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D1DC95F">
      <w:pPr>
        <w:wordWrap w:val="0"/>
        <w:spacing w:line="240" w:lineRule="auto"/>
        <w:ind w:firstLine="0" w:firstLineChars="0"/>
        <w:jc w:val="center"/>
        <w:rPr>
          <w:rFonts w:hint="eastAsia" w:ascii="华文中宋" w:hAnsi="宋体" w:eastAsia="华文中宋"/>
          <w:kern w:val="0"/>
          <w:sz w:val="44"/>
        </w:rPr>
      </w:pPr>
      <w:bookmarkStart w:id="0" w:name="_Toc360096100"/>
      <w:bookmarkStart w:id="1" w:name="_Toc392680641"/>
      <w:bookmarkStart w:id="2" w:name="_Toc140123904"/>
      <w:bookmarkStart w:id="3" w:name="_Toc137793143"/>
    </w:p>
    <w:p w14:paraId="7AC33C77">
      <w:pPr>
        <w:wordWrap w:val="0"/>
        <w:spacing w:line="240" w:lineRule="auto"/>
        <w:ind w:firstLine="0" w:firstLineChars="0"/>
        <w:jc w:val="center"/>
        <w:rPr>
          <w:rFonts w:hint="eastAsia" w:ascii="华文中宋" w:hAnsi="宋体" w:eastAsia="华文中宋"/>
          <w:kern w:val="0"/>
          <w:sz w:val="44"/>
        </w:rPr>
      </w:pPr>
    </w:p>
    <w:p w14:paraId="2EF3A448">
      <w:pPr>
        <w:wordWrap w:val="0"/>
        <w:spacing w:line="240" w:lineRule="auto"/>
        <w:ind w:firstLine="0" w:firstLineChars="0"/>
        <w:jc w:val="center"/>
        <w:rPr>
          <w:rFonts w:hint="eastAsia" w:ascii="华文中宋" w:hAnsi="宋体" w:eastAsia="华文中宋"/>
          <w:kern w:val="0"/>
          <w:sz w:val="44"/>
        </w:rPr>
      </w:pPr>
    </w:p>
    <w:p w14:paraId="53F22C28">
      <w:pPr>
        <w:adjustRightInd w:val="0"/>
        <w:snapToGrid w:val="0"/>
        <w:ind w:firstLine="0" w:firstLineChars="0"/>
        <w:jc w:val="center"/>
        <w:rPr>
          <w:b/>
          <w:kern w:val="0"/>
          <w:sz w:val="44"/>
        </w:rPr>
      </w:pPr>
      <w:r>
        <w:rPr>
          <w:rFonts w:hint="eastAsia"/>
          <w:b/>
          <w:kern w:val="0"/>
          <w:sz w:val="44"/>
        </w:rPr>
        <w:t>广南县旧莫小格达普通建筑石料用灰岩矿</w:t>
      </w:r>
    </w:p>
    <w:p w14:paraId="0C94D7BF">
      <w:pPr>
        <w:adjustRightInd w:val="0"/>
        <w:snapToGrid w:val="0"/>
        <w:ind w:firstLine="0" w:firstLineChars="0"/>
        <w:jc w:val="center"/>
        <w:rPr>
          <w:rFonts w:cs="宋体"/>
          <w:b/>
          <w:bCs/>
          <w:sz w:val="44"/>
          <w:szCs w:val="60"/>
        </w:rPr>
      </w:pPr>
      <w:r>
        <w:rPr>
          <w:b/>
          <w:kern w:val="0"/>
          <w:sz w:val="44"/>
        </w:rPr>
        <w:t>50万</w:t>
      </w:r>
      <w:r>
        <w:rPr>
          <w:b/>
          <w:bCs/>
          <w:sz w:val="44"/>
          <w:szCs w:val="44"/>
        </w:rPr>
        <w:t>t/a露天采矿工程</w:t>
      </w:r>
    </w:p>
    <w:p w14:paraId="45256C5D">
      <w:pPr>
        <w:adjustRightInd w:val="0"/>
        <w:snapToGrid w:val="0"/>
        <w:ind w:firstLine="0" w:firstLineChars="0"/>
        <w:jc w:val="center"/>
        <w:rPr>
          <w:b/>
          <w:kern w:val="0"/>
          <w:sz w:val="52"/>
          <w:szCs w:val="52"/>
        </w:rPr>
      </w:pPr>
      <w:r>
        <w:rPr>
          <w:rFonts w:hint="eastAsia"/>
          <w:b/>
          <w:kern w:val="0"/>
          <w:sz w:val="52"/>
          <w:szCs w:val="52"/>
        </w:rPr>
        <mc:AlternateContent>
          <mc:Choice Requires="wps">
            <w:drawing>
              <wp:anchor distT="0" distB="0" distL="114300" distR="114300" simplePos="0" relativeHeight="251659264" behindDoc="0" locked="0" layoutInCell="1" allowOverlap="1">
                <wp:simplePos x="0" y="0"/>
                <wp:positionH relativeFrom="column">
                  <wp:posOffset>5590540</wp:posOffset>
                </wp:positionH>
                <wp:positionV relativeFrom="paragraph">
                  <wp:posOffset>253365</wp:posOffset>
                </wp:positionV>
                <wp:extent cx="3228975" cy="635"/>
                <wp:effectExtent l="0" t="0" r="2540" b="2540"/>
                <wp:wrapNone/>
                <wp:docPr id="1126847169" name="直线 2052"/>
                <wp:cNvGraphicFramePr/>
                <a:graphic xmlns:a="http://schemas.openxmlformats.org/drawingml/2006/main">
                  <a:graphicData uri="http://schemas.microsoft.com/office/word/2010/wordprocessingShape">
                    <wps:wsp>
                      <wps:cNvCnPr>
                        <a:cxnSpLocks noChangeShapeType="1"/>
                      </wps:cNvCnPr>
                      <wps:spPr bwMode="auto">
                        <a:xfrm>
                          <a:off x="0" y="0"/>
                          <a:ext cx="3228975" cy="635"/>
                        </a:xfrm>
                        <a:prstGeom prst="line">
                          <a:avLst/>
                        </a:prstGeom>
                        <a:noFill/>
                        <a:ln>
                          <a:noFill/>
                        </a:ln>
                      </wps:spPr>
                      <wps:bodyPr/>
                    </wps:wsp>
                  </a:graphicData>
                </a:graphic>
              </wp:anchor>
            </w:drawing>
          </mc:Choice>
          <mc:Fallback>
            <w:pict>
              <v:line id="直线 2052" o:spid="_x0000_s1026" o:spt="20" style="position:absolute;left:0pt;margin-left:440.2pt;margin-top:19.95pt;height:0.05pt;width:254.25pt;z-index:251659264;mso-width-relative:page;mso-height-relative:page;" filled="f" stroked="f" coordsize="21600,21600" o:gfxdata="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UsNkAAAAKAQAADwAAAAAAAAABACAAAAAiAAAAZHJzL2Rvd25y&#10;ZXYueG1sUEsBAhQAFAAAAAgAh07iQJFPhUzEAQAAcwMAAA4AAAAAAAAAAQAgAAAAKAEAAGRycy9l&#10;Mm9Eb2MueG1sUEsFBgAAAAAGAAYAWQEAAF4FAAAAAA==&#10;">
                <v:fill on="f" focussize="0,0"/>
                <v:stroke on="f"/>
                <v:imagedata o:title=""/>
                <o:lock v:ext="edit" aspectratio="f"/>
              </v:line>
            </w:pict>
          </mc:Fallback>
        </mc:AlternateContent>
      </w:r>
      <w:r>
        <w:rPr>
          <w:rFonts w:hint="eastAsia"/>
          <w:b/>
          <w:kern w:val="0"/>
          <w:sz w:val="52"/>
          <w:szCs w:val="52"/>
        </w:rPr>
        <w:t>安全预评价报告</w:t>
      </w:r>
    </w:p>
    <w:p w14:paraId="47BB0B8B">
      <w:pPr>
        <w:adjustRightInd w:val="0"/>
        <w:snapToGrid w:val="0"/>
        <w:ind w:firstLine="0" w:firstLineChars="0"/>
        <w:jc w:val="center"/>
        <w:rPr>
          <w:rFonts w:cs="宋体"/>
          <w:b/>
          <w:bCs/>
          <w:sz w:val="44"/>
          <w:szCs w:val="60"/>
        </w:rPr>
      </w:pPr>
      <w:r>
        <w:rPr>
          <w:rFonts w:hint="eastAsia" w:cs="宋体"/>
          <w:b/>
          <w:bCs/>
          <w:sz w:val="44"/>
          <w:szCs w:val="60"/>
        </w:rPr>
        <w:t>（终稿）</w:t>
      </w:r>
    </w:p>
    <w:p w14:paraId="6DB6B294">
      <w:pPr>
        <w:wordWrap w:val="0"/>
        <w:adjustRightInd w:val="0"/>
        <w:snapToGrid w:val="0"/>
        <w:ind w:firstLine="0" w:firstLineChars="0"/>
        <w:jc w:val="both"/>
        <w:rPr>
          <w:rFonts w:hint="eastAsia" w:ascii="宋体" w:hAnsi="宋体" w:cs="宋体"/>
          <w:b/>
          <w:bCs/>
        </w:rPr>
      </w:pPr>
    </w:p>
    <w:p w14:paraId="14EDC4DD">
      <w:pPr>
        <w:wordWrap w:val="0"/>
        <w:adjustRightInd w:val="0"/>
        <w:snapToGrid w:val="0"/>
        <w:ind w:firstLine="0" w:firstLineChars="0"/>
        <w:jc w:val="both"/>
        <w:rPr>
          <w:rFonts w:hint="eastAsia" w:ascii="宋体" w:hAnsi="宋体" w:cs="宋体"/>
          <w:b/>
          <w:bCs/>
        </w:rPr>
      </w:pPr>
    </w:p>
    <w:p w14:paraId="00A617BF">
      <w:pPr>
        <w:wordWrap w:val="0"/>
        <w:adjustRightInd w:val="0"/>
        <w:snapToGrid w:val="0"/>
        <w:ind w:firstLine="0" w:firstLineChars="0"/>
        <w:jc w:val="both"/>
        <w:rPr>
          <w:rFonts w:hint="eastAsia" w:ascii="宋体" w:hAnsi="宋体" w:cs="宋体"/>
          <w:b/>
          <w:bCs/>
        </w:rPr>
      </w:pPr>
    </w:p>
    <w:p w14:paraId="7EE9BC78">
      <w:pPr>
        <w:wordWrap w:val="0"/>
        <w:adjustRightInd w:val="0"/>
        <w:snapToGrid w:val="0"/>
        <w:ind w:firstLine="0" w:firstLineChars="0"/>
        <w:jc w:val="both"/>
        <w:rPr>
          <w:rFonts w:hint="eastAsia" w:ascii="宋体" w:hAnsi="宋体" w:cs="宋体"/>
          <w:b/>
          <w:bCs/>
        </w:rPr>
      </w:pPr>
    </w:p>
    <w:p w14:paraId="67F04FBD">
      <w:pPr>
        <w:wordWrap w:val="0"/>
        <w:adjustRightInd w:val="0"/>
        <w:snapToGrid w:val="0"/>
        <w:ind w:firstLine="0" w:firstLineChars="0"/>
        <w:jc w:val="both"/>
        <w:rPr>
          <w:rFonts w:hint="eastAsia" w:ascii="宋体" w:hAnsi="宋体" w:cs="宋体"/>
          <w:b/>
          <w:bCs/>
        </w:rPr>
      </w:pPr>
    </w:p>
    <w:p w14:paraId="092FECB1">
      <w:pPr>
        <w:wordWrap w:val="0"/>
        <w:adjustRightInd w:val="0"/>
        <w:snapToGrid w:val="0"/>
        <w:ind w:firstLine="0" w:firstLineChars="0"/>
        <w:jc w:val="both"/>
        <w:rPr>
          <w:rFonts w:hint="eastAsia" w:ascii="宋体" w:hAnsi="宋体" w:cs="宋体"/>
          <w:b/>
          <w:bCs/>
        </w:rPr>
      </w:pPr>
    </w:p>
    <w:p w14:paraId="0E97EC6A">
      <w:pPr>
        <w:wordWrap w:val="0"/>
        <w:adjustRightInd w:val="0"/>
        <w:snapToGrid w:val="0"/>
        <w:ind w:firstLine="0" w:firstLineChars="0"/>
        <w:jc w:val="both"/>
        <w:rPr>
          <w:rFonts w:hint="eastAsia" w:ascii="宋体" w:hAnsi="宋体" w:cs="宋体"/>
          <w:b/>
          <w:bCs/>
        </w:rPr>
      </w:pPr>
    </w:p>
    <w:p w14:paraId="75555521">
      <w:pPr>
        <w:wordWrap w:val="0"/>
        <w:adjustRightInd w:val="0"/>
        <w:snapToGrid w:val="0"/>
        <w:ind w:firstLine="0" w:firstLineChars="0"/>
        <w:jc w:val="both"/>
        <w:rPr>
          <w:rFonts w:hint="eastAsia" w:ascii="宋体" w:hAnsi="宋体" w:cs="宋体"/>
          <w:b/>
          <w:bCs/>
        </w:rPr>
      </w:pPr>
    </w:p>
    <w:p w14:paraId="65AFBCC9">
      <w:pPr>
        <w:wordWrap w:val="0"/>
        <w:adjustRightInd w:val="0"/>
        <w:snapToGrid w:val="0"/>
        <w:ind w:firstLine="0" w:firstLineChars="0"/>
        <w:jc w:val="both"/>
        <w:rPr>
          <w:rFonts w:hint="eastAsia" w:ascii="宋体" w:hAnsi="宋体" w:cs="宋体"/>
          <w:b/>
          <w:bCs/>
        </w:rPr>
      </w:pPr>
    </w:p>
    <w:p w14:paraId="21EA5725">
      <w:pPr>
        <w:wordWrap w:val="0"/>
        <w:adjustRightInd w:val="0"/>
        <w:snapToGrid w:val="0"/>
        <w:ind w:firstLine="0" w:firstLineChars="0"/>
        <w:jc w:val="both"/>
        <w:rPr>
          <w:rFonts w:hint="eastAsia" w:ascii="宋体" w:hAnsi="宋体" w:cs="宋体"/>
          <w:b/>
          <w:bCs/>
        </w:rPr>
      </w:pPr>
    </w:p>
    <w:p w14:paraId="361DDE0A">
      <w:pPr>
        <w:adjustRightInd w:val="0"/>
        <w:snapToGrid w:val="0"/>
        <w:ind w:firstLine="0" w:firstLineChars="0"/>
        <w:jc w:val="center"/>
        <w:rPr>
          <w:rFonts w:hint="eastAsia" w:ascii="宋体" w:hAnsi="宋体" w:cs="宋体"/>
          <w:b/>
          <w:bCs/>
          <w:sz w:val="36"/>
          <w:szCs w:val="36"/>
          <w:lang w:val="en-GB"/>
        </w:rPr>
      </w:pPr>
      <w:r>
        <w:rPr>
          <w:rFonts w:hint="eastAsia" w:ascii="宋体" w:hAnsi="宋体" w:cs="宋体"/>
          <w:b/>
          <w:bCs/>
          <w:sz w:val="36"/>
          <w:szCs w:val="36"/>
          <w:lang w:val="en-GB"/>
        </w:rPr>
        <w:t>江西赣安安全生产科学技术咨询服务中心</w:t>
      </w:r>
    </w:p>
    <w:p w14:paraId="32DBF6EE">
      <w:pPr>
        <w:adjustRightInd w:val="0"/>
        <w:snapToGrid w:val="0"/>
        <w:ind w:firstLine="0" w:firstLineChars="0"/>
        <w:jc w:val="center"/>
        <w:rPr>
          <w:rFonts w:hint="eastAsia" w:ascii="宋体" w:hAnsi="宋体" w:cs="宋体"/>
          <w:b/>
          <w:bCs/>
          <w:sz w:val="36"/>
          <w:szCs w:val="36"/>
          <w:lang w:val="en-GB"/>
        </w:rPr>
      </w:pPr>
      <w:r>
        <w:rPr>
          <w:rFonts w:hint="eastAsia" w:ascii="宋体" w:hAnsi="宋体" w:cs="宋体"/>
          <w:b/>
          <w:bCs/>
          <w:sz w:val="36"/>
          <w:szCs w:val="36"/>
          <w:lang w:val="en-GB"/>
        </w:rPr>
        <w:t>资质证书编号：</w:t>
      </w:r>
      <w:r>
        <w:rPr>
          <w:rFonts w:ascii="宋体" w:hAnsi="宋体" w:cs="宋体"/>
          <w:b/>
          <w:bCs/>
          <w:sz w:val="36"/>
          <w:szCs w:val="36"/>
          <w:lang w:val="en-GB"/>
        </w:rPr>
        <w:t>APJ-</w:t>
      </w:r>
      <w:r>
        <w:rPr>
          <w:rFonts w:hint="eastAsia" w:ascii="宋体" w:hAnsi="宋体" w:cs="宋体"/>
          <w:b/>
          <w:bCs/>
          <w:sz w:val="36"/>
          <w:szCs w:val="36"/>
          <w:lang w:val="en-GB"/>
        </w:rPr>
        <w:t>（赣）</w:t>
      </w:r>
      <w:r>
        <w:rPr>
          <w:rFonts w:ascii="宋体" w:hAnsi="宋体" w:cs="宋体"/>
          <w:b/>
          <w:bCs/>
          <w:sz w:val="36"/>
          <w:szCs w:val="36"/>
          <w:lang w:val="en-GB"/>
        </w:rPr>
        <w:t>-002</w:t>
      </w:r>
    </w:p>
    <w:p w14:paraId="3B9CE55F">
      <w:pPr>
        <w:adjustRightInd w:val="0"/>
        <w:snapToGrid w:val="0"/>
        <w:ind w:firstLine="0" w:firstLineChars="0"/>
        <w:jc w:val="center"/>
        <w:rPr>
          <w:rFonts w:hint="eastAsia" w:ascii="宋体" w:hAnsi="宋体" w:cs="宋体"/>
          <w:b/>
          <w:bCs/>
          <w:sz w:val="36"/>
          <w:szCs w:val="36"/>
          <w:lang w:val="en-GB"/>
        </w:rPr>
      </w:pPr>
      <w:r>
        <w:rPr>
          <w:rFonts w:hint="eastAsia" w:ascii="宋体" w:hAnsi="宋体" w:cs="宋体"/>
          <w:b/>
          <w:bCs/>
          <w:sz w:val="36"/>
          <w:szCs w:val="36"/>
          <w:lang w:val="en-GB"/>
        </w:rPr>
        <w:t>二〇二五年九月</w:t>
      </w:r>
    </w:p>
    <w:p w14:paraId="0D185058">
      <w:pPr>
        <w:wordWrap w:val="0"/>
        <w:spacing w:line="240" w:lineRule="auto"/>
        <w:ind w:firstLine="0" w:firstLineChars="0"/>
        <w:jc w:val="both"/>
        <w:rPr>
          <w:rFonts w:hint="eastAsia" w:ascii="宋体" w:hAnsi="宋体" w:cs="宋体"/>
          <w:b/>
          <w:bCs/>
          <w:lang w:val="en-GB"/>
        </w:rPr>
      </w:pPr>
    </w:p>
    <w:p w14:paraId="78CF09D8">
      <w:pPr>
        <w:wordWrap w:val="0"/>
        <w:spacing w:line="240" w:lineRule="auto"/>
        <w:ind w:firstLine="0" w:firstLineChars="0"/>
        <w:jc w:val="both"/>
        <w:rPr>
          <w:rFonts w:hint="eastAsia" w:ascii="宋体" w:hAnsi="宋体" w:cs="宋体"/>
          <w:b/>
          <w:bCs/>
          <w:lang w:val="en-GB"/>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587" w:header="850" w:footer="992" w:gutter="0"/>
          <w:pgNumType w:start="1"/>
          <w:cols w:space="720" w:num="1"/>
          <w:docGrid w:linePitch="381" w:charSpace="0"/>
        </w:sectPr>
      </w:pPr>
    </w:p>
    <w:p w14:paraId="39B9A76B">
      <w:pPr>
        <w:adjustRightInd w:val="0"/>
        <w:snapToGrid w:val="0"/>
        <w:ind w:firstLine="0" w:firstLineChars="0"/>
        <w:jc w:val="center"/>
        <w:rPr>
          <w:b/>
          <w:kern w:val="0"/>
          <w:sz w:val="44"/>
        </w:rPr>
        <w:sectPr>
          <w:headerReference r:id="rId13" w:type="first"/>
          <w:footerReference r:id="rId16" w:type="first"/>
          <w:headerReference r:id="rId11" w:type="default"/>
          <w:footerReference r:id="rId14" w:type="default"/>
          <w:headerReference r:id="rId12" w:type="even"/>
          <w:footerReference r:id="rId15" w:type="even"/>
          <w:type w:val="continuous"/>
          <w:pgSz w:w="11906" w:h="16838"/>
          <w:pgMar w:top="1134" w:right="1134" w:bottom="1134" w:left="1587" w:header="850" w:footer="992" w:gutter="0"/>
          <w:pgNumType w:fmt="upperRoman" w:start="1"/>
          <w:cols w:space="720" w:num="1"/>
          <w:docGrid w:linePitch="381" w:charSpace="0"/>
        </w:sectPr>
      </w:pPr>
    </w:p>
    <w:p w14:paraId="225888C4">
      <w:pPr>
        <w:adjustRightInd w:val="0"/>
        <w:snapToGrid w:val="0"/>
        <w:ind w:firstLine="0" w:firstLineChars="0"/>
        <w:jc w:val="center"/>
        <w:rPr>
          <w:b/>
          <w:kern w:val="0"/>
          <w:sz w:val="44"/>
        </w:rPr>
      </w:pPr>
    </w:p>
    <w:p w14:paraId="39839953">
      <w:pPr>
        <w:adjustRightInd w:val="0"/>
        <w:snapToGrid w:val="0"/>
        <w:ind w:firstLine="0" w:firstLineChars="0"/>
        <w:jc w:val="center"/>
        <w:rPr>
          <w:b/>
          <w:kern w:val="0"/>
          <w:sz w:val="44"/>
        </w:rPr>
      </w:pPr>
    </w:p>
    <w:p w14:paraId="089DE1FE">
      <w:pPr>
        <w:adjustRightInd w:val="0"/>
        <w:snapToGrid w:val="0"/>
        <w:ind w:firstLine="0" w:firstLineChars="0"/>
        <w:jc w:val="center"/>
        <w:rPr>
          <w:b/>
          <w:kern w:val="0"/>
          <w:sz w:val="44"/>
        </w:rPr>
      </w:pPr>
      <w:r>
        <w:rPr>
          <w:rFonts w:hint="eastAsia"/>
          <w:b/>
          <w:kern w:val="0"/>
          <w:sz w:val="44"/>
        </w:rPr>
        <w:t>广南县旧莫小格达普通建筑石料用灰岩矿</w:t>
      </w:r>
    </w:p>
    <w:p w14:paraId="2BF382C6">
      <w:pPr>
        <w:adjustRightInd w:val="0"/>
        <w:snapToGrid w:val="0"/>
        <w:ind w:firstLine="0" w:firstLineChars="0"/>
        <w:jc w:val="center"/>
        <w:rPr>
          <w:b/>
          <w:kern w:val="0"/>
          <w:sz w:val="44"/>
        </w:rPr>
      </w:pPr>
      <w:r>
        <w:rPr>
          <w:b/>
          <w:kern w:val="0"/>
          <w:sz w:val="44"/>
        </w:rPr>
        <w:t>50万t/a露天采矿工程</w:t>
      </w:r>
    </w:p>
    <w:p w14:paraId="37ECB3EE">
      <w:pPr>
        <w:ind w:left="560" w:firstLine="0" w:firstLineChars="0"/>
      </w:pPr>
    </w:p>
    <w:p w14:paraId="0EBF8EAD">
      <w:pPr>
        <w:adjustRightInd w:val="0"/>
        <w:snapToGrid w:val="0"/>
        <w:ind w:firstLine="0" w:firstLineChars="0"/>
        <w:jc w:val="center"/>
        <w:rPr>
          <w:b/>
          <w:kern w:val="0"/>
          <w:sz w:val="52"/>
          <w:szCs w:val="52"/>
        </w:rPr>
      </w:pPr>
      <w:r>
        <w:rPr>
          <w:b/>
          <w:kern w:val="0"/>
          <w:sz w:val="52"/>
          <w:szCs w:val="52"/>
        </w:rPr>
        <w:t>安全预评价报告</w:t>
      </w:r>
    </w:p>
    <w:p w14:paraId="65D134D3">
      <w:pPr>
        <w:adjustRightInd w:val="0"/>
        <w:snapToGrid w:val="0"/>
        <w:ind w:firstLine="0" w:firstLineChars="0"/>
        <w:jc w:val="center"/>
        <w:rPr>
          <w:b/>
          <w:kern w:val="0"/>
          <w:sz w:val="52"/>
          <w:szCs w:val="52"/>
        </w:rPr>
      </w:pPr>
      <w:r>
        <w:rPr>
          <w:rFonts w:hint="eastAsia"/>
          <w:b/>
          <w:kern w:val="0"/>
          <w:sz w:val="52"/>
          <w:szCs w:val="52"/>
        </w:rPr>
        <w:t>（终稿）</w:t>
      </w:r>
    </w:p>
    <w:p w14:paraId="25E4626A">
      <w:pPr>
        <w:wordWrap w:val="0"/>
        <w:adjustRightInd w:val="0"/>
        <w:snapToGrid w:val="0"/>
        <w:ind w:firstLine="0" w:firstLineChars="0"/>
        <w:jc w:val="both"/>
        <w:rPr>
          <w:rFonts w:hint="eastAsia" w:ascii="宋体" w:hAnsi="宋体" w:cs="宋体"/>
          <w:b/>
          <w:bCs/>
        </w:rPr>
      </w:pPr>
    </w:p>
    <w:p w14:paraId="45A0353A">
      <w:pPr>
        <w:wordWrap w:val="0"/>
        <w:adjustRightInd w:val="0"/>
        <w:snapToGrid w:val="0"/>
        <w:ind w:firstLine="0" w:firstLineChars="0"/>
        <w:jc w:val="both"/>
        <w:rPr>
          <w:rFonts w:hint="eastAsia" w:ascii="宋体" w:hAnsi="宋体" w:cs="宋体"/>
          <w:b/>
          <w:bCs/>
        </w:rPr>
      </w:pPr>
    </w:p>
    <w:p w14:paraId="2E26DF2B">
      <w:pPr>
        <w:wordWrap w:val="0"/>
        <w:adjustRightInd w:val="0"/>
        <w:snapToGrid w:val="0"/>
        <w:ind w:firstLine="0" w:firstLineChars="0"/>
        <w:jc w:val="both"/>
        <w:rPr>
          <w:rFonts w:hint="eastAsia" w:ascii="宋体" w:hAnsi="宋体" w:cs="宋体"/>
          <w:b/>
          <w:bCs/>
        </w:rPr>
      </w:pPr>
    </w:p>
    <w:p w14:paraId="244C3A15">
      <w:pPr>
        <w:wordWrap w:val="0"/>
        <w:adjustRightInd w:val="0"/>
        <w:snapToGrid w:val="0"/>
        <w:ind w:firstLine="0" w:firstLineChars="0"/>
        <w:jc w:val="both"/>
        <w:rPr>
          <w:rFonts w:hint="eastAsia" w:ascii="宋体" w:hAnsi="宋体" w:cs="宋体"/>
          <w:b/>
          <w:bCs/>
        </w:rPr>
      </w:pPr>
    </w:p>
    <w:p w14:paraId="1B5CF9B8">
      <w:pPr>
        <w:wordWrap w:val="0"/>
        <w:adjustRightInd w:val="0"/>
        <w:snapToGrid w:val="0"/>
        <w:ind w:firstLine="960" w:firstLineChars="300"/>
        <w:jc w:val="both"/>
        <w:rPr>
          <w:rFonts w:cs="宋体"/>
          <w:sz w:val="32"/>
        </w:rPr>
      </w:pPr>
      <w:r>
        <w:rPr>
          <w:rFonts w:hint="eastAsia" w:cs="宋体"/>
          <w:sz w:val="32"/>
        </w:rPr>
        <w:t>评价机构名称：江西赣安安全生产科学技术咨询服务中心</w:t>
      </w:r>
    </w:p>
    <w:p w14:paraId="58E4C343">
      <w:pPr>
        <w:wordWrap w:val="0"/>
        <w:adjustRightInd w:val="0"/>
        <w:snapToGrid w:val="0"/>
        <w:ind w:firstLine="960" w:firstLineChars="300"/>
        <w:jc w:val="both"/>
        <w:rPr>
          <w:rFonts w:cs="宋体"/>
          <w:sz w:val="32"/>
        </w:rPr>
      </w:pPr>
      <w:r>
        <w:rPr>
          <w:rFonts w:hint="eastAsia" w:cs="宋体"/>
          <w:sz w:val="32"/>
        </w:rPr>
        <w:t>资质证书编号：APJ-(赣)-002</w:t>
      </w:r>
    </w:p>
    <w:p w14:paraId="5B23BCC0">
      <w:pPr>
        <w:wordWrap w:val="0"/>
        <w:adjustRightInd w:val="0"/>
        <w:snapToGrid w:val="0"/>
        <w:ind w:firstLine="960" w:firstLineChars="300"/>
        <w:jc w:val="both"/>
        <w:rPr>
          <w:rFonts w:cs="宋体"/>
          <w:sz w:val="32"/>
        </w:rPr>
      </w:pPr>
      <w:r>
        <w:rPr>
          <w:rFonts w:hint="eastAsia" w:cs="宋体"/>
          <w:sz w:val="32"/>
        </w:rPr>
        <w:t>法定代表人：应  宏</w:t>
      </w:r>
    </w:p>
    <w:p w14:paraId="050D02AC">
      <w:pPr>
        <w:wordWrap w:val="0"/>
        <w:adjustRightInd w:val="0"/>
        <w:snapToGrid w:val="0"/>
        <w:ind w:firstLine="960" w:firstLineChars="300"/>
        <w:jc w:val="both"/>
        <w:rPr>
          <w:rFonts w:cs="宋体"/>
          <w:sz w:val="32"/>
        </w:rPr>
      </w:pPr>
      <w:r>
        <w:rPr>
          <w:rFonts w:hint="eastAsia" w:cs="宋体"/>
          <w:sz w:val="32"/>
        </w:rPr>
        <w:t>技术负责人：管自强</w:t>
      </w:r>
    </w:p>
    <w:p w14:paraId="5F2C29B2">
      <w:pPr>
        <w:wordWrap w:val="0"/>
        <w:adjustRightInd w:val="0"/>
        <w:snapToGrid w:val="0"/>
        <w:ind w:firstLine="960" w:firstLineChars="300"/>
        <w:jc w:val="both"/>
        <w:rPr>
          <w:rFonts w:cs="宋体"/>
          <w:sz w:val="32"/>
        </w:rPr>
      </w:pPr>
      <w:r>
        <w:rPr>
          <w:rFonts w:hint="eastAsia" w:cs="宋体"/>
          <w:sz w:val="32"/>
        </w:rPr>
        <w:t>项目负责人：吴  华</w:t>
      </w:r>
    </w:p>
    <w:p w14:paraId="3C4867C2">
      <w:pPr>
        <w:wordWrap w:val="0"/>
        <w:adjustRightInd w:val="0"/>
        <w:snapToGrid w:val="0"/>
        <w:ind w:firstLine="0" w:firstLineChars="0"/>
        <w:jc w:val="both"/>
        <w:rPr>
          <w:rFonts w:hint="eastAsia" w:ascii="宋体" w:hAnsi="宋体" w:cs="宋体"/>
          <w:b/>
          <w:bCs/>
        </w:rPr>
      </w:pPr>
    </w:p>
    <w:p w14:paraId="40C14C00">
      <w:pPr>
        <w:wordWrap w:val="0"/>
        <w:adjustRightInd w:val="0"/>
        <w:snapToGrid w:val="0"/>
        <w:ind w:firstLine="0" w:firstLineChars="0"/>
        <w:jc w:val="both"/>
        <w:rPr>
          <w:rFonts w:hint="eastAsia" w:ascii="宋体" w:hAnsi="宋体" w:cs="宋体"/>
          <w:b/>
          <w:bCs/>
        </w:rPr>
      </w:pPr>
    </w:p>
    <w:p w14:paraId="528D83A0">
      <w:pPr>
        <w:wordWrap w:val="0"/>
        <w:adjustRightInd w:val="0"/>
        <w:snapToGrid w:val="0"/>
        <w:ind w:firstLine="0" w:firstLineChars="0"/>
        <w:jc w:val="both"/>
        <w:rPr>
          <w:rFonts w:hint="eastAsia" w:ascii="宋体" w:hAnsi="宋体" w:cs="宋体"/>
          <w:b/>
          <w:bCs/>
        </w:rPr>
      </w:pPr>
    </w:p>
    <w:p w14:paraId="19FF72FC">
      <w:pPr>
        <w:wordWrap w:val="0"/>
        <w:adjustRightInd w:val="0"/>
        <w:snapToGrid w:val="0"/>
        <w:ind w:firstLine="0" w:firstLineChars="0"/>
        <w:jc w:val="both"/>
        <w:rPr>
          <w:rFonts w:hint="eastAsia" w:ascii="宋体" w:hAnsi="宋体" w:cs="宋体"/>
          <w:b/>
          <w:bCs/>
        </w:rPr>
      </w:pPr>
    </w:p>
    <w:p w14:paraId="77EAE990">
      <w:pPr>
        <w:adjustRightInd w:val="0"/>
        <w:snapToGrid w:val="0"/>
        <w:ind w:firstLine="0" w:firstLineChars="0"/>
        <w:jc w:val="center"/>
        <w:rPr>
          <w:color w:val="000000" w:themeColor="text1"/>
          <w:szCs w:val="28"/>
          <w:lang w:val="en-GB"/>
          <w14:textFill>
            <w14:solidFill>
              <w14:schemeClr w14:val="tx1"/>
            </w14:solidFill>
          </w14:textFill>
        </w:rPr>
      </w:pPr>
      <w:r>
        <w:rPr>
          <w:color w:val="000000" w:themeColor="text1"/>
          <w:szCs w:val="28"/>
          <w:lang w:val="en-GB"/>
          <w14:textFill>
            <w14:solidFill>
              <w14:schemeClr w14:val="tx1"/>
            </w14:solidFill>
          </w14:textFill>
        </w:rPr>
        <w:t>2025年</w:t>
      </w:r>
      <w:r>
        <w:rPr>
          <w:rFonts w:hint="eastAsia"/>
          <w:color w:val="000000" w:themeColor="text1"/>
          <w:szCs w:val="28"/>
          <w:lang w:val="en-GB"/>
          <w14:textFill>
            <w14:solidFill>
              <w14:schemeClr w14:val="tx1"/>
            </w14:solidFill>
          </w14:textFill>
        </w:rPr>
        <w:t>9</w:t>
      </w:r>
      <w:r>
        <w:rPr>
          <w:color w:val="000000" w:themeColor="text1"/>
          <w:szCs w:val="28"/>
          <w:lang w:val="en-GB"/>
          <w14:textFill>
            <w14:solidFill>
              <w14:schemeClr w14:val="tx1"/>
            </w14:solidFill>
          </w14:textFill>
        </w:rPr>
        <w:t>月</w:t>
      </w:r>
    </w:p>
    <w:p w14:paraId="0A0F261D">
      <w:pPr>
        <w:adjustRightInd w:val="0"/>
        <w:snapToGrid w:val="0"/>
        <w:ind w:firstLine="0" w:firstLineChars="0"/>
        <w:jc w:val="center"/>
        <w:rPr>
          <w:color w:val="000000" w:themeColor="text1"/>
          <w:szCs w:val="28"/>
          <w:lang w:val="en-GB"/>
          <w14:textFill>
            <w14:solidFill>
              <w14:schemeClr w14:val="tx1"/>
            </w14:solidFill>
          </w14:textFill>
        </w:rPr>
      </w:pPr>
      <w:r>
        <w:rPr>
          <w:color w:val="000000" w:themeColor="text1"/>
          <w:szCs w:val="28"/>
          <w:lang w:val="en-GB"/>
          <w14:textFill>
            <w14:solidFill>
              <w14:schemeClr w14:val="tx1"/>
            </w14:solidFill>
          </w14:textFill>
        </w:rPr>
        <w:t>（安全评价机构公章）</w:t>
      </w:r>
    </w:p>
    <w:p w14:paraId="0235D020">
      <w:pPr>
        <w:widowControl/>
        <w:ind w:firstLine="0" w:firstLineChars="0"/>
        <w:rPr>
          <w:rFonts w:hint="eastAsia" w:ascii="仿宋_GB2312" w:hAnsi="宋体" w:eastAsia="仿宋_GB2312"/>
          <w:kern w:val="0"/>
          <w:sz w:val="32"/>
          <w:szCs w:val="20"/>
        </w:rPr>
      </w:pPr>
    </w:p>
    <w:p w14:paraId="657E07D5">
      <w:pPr>
        <w:ind w:firstLine="0" w:firstLineChars="0"/>
        <w:jc w:val="center"/>
        <w:rPr>
          <w:rFonts w:hint="eastAsia" w:hAnsi="宋体" w:cs="宋体"/>
          <w:kern w:val="0"/>
          <w:sz w:val="36"/>
          <w:szCs w:val="36"/>
        </w:rPr>
      </w:pPr>
      <w:r>
        <w:rPr>
          <w:rFonts w:hint="eastAsia" w:hAnsi="宋体" w:cs="宋体"/>
          <w:kern w:val="0"/>
          <w:sz w:val="36"/>
          <w:szCs w:val="36"/>
        </w:rPr>
        <w:t>广南县旧莫小格达普通建筑石料用灰岩矿</w:t>
      </w:r>
    </w:p>
    <w:p w14:paraId="2EFF56AA">
      <w:pPr>
        <w:ind w:firstLine="0" w:firstLineChars="0"/>
        <w:jc w:val="center"/>
        <w:rPr>
          <w:rFonts w:hint="eastAsia" w:hAnsi="宋体" w:cs="宋体"/>
          <w:kern w:val="0"/>
          <w:sz w:val="36"/>
          <w:szCs w:val="36"/>
        </w:rPr>
      </w:pPr>
      <w:r>
        <w:rPr>
          <w:rFonts w:hint="eastAsia" w:hAnsi="宋体" w:cs="宋体"/>
          <w:kern w:val="0"/>
          <w:sz w:val="36"/>
          <w:szCs w:val="36"/>
        </w:rPr>
        <w:t>50万t/a露天采矿工程</w:t>
      </w:r>
    </w:p>
    <w:p w14:paraId="14AC91E6">
      <w:pPr>
        <w:ind w:firstLine="0" w:firstLineChars="0"/>
        <w:jc w:val="center"/>
        <w:rPr>
          <w:rFonts w:hint="eastAsia" w:hAnsi="宋体" w:cs="宋体"/>
          <w:kern w:val="0"/>
          <w:sz w:val="36"/>
          <w:szCs w:val="36"/>
        </w:rPr>
      </w:pPr>
      <w:r>
        <w:rPr>
          <w:rFonts w:hint="eastAsia" w:hAnsi="宋体" w:cs="宋体"/>
          <w:kern w:val="0"/>
          <w:sz w:val="36"/>
          <w:szCs w:val="36"/>
        </w:rPr>
        <w:t>安全预</w:t>
      </w:r>
      <w:r>
        <w:rPr>
          <w:rFonts w:hAnsi="宋体" w:cs="宋体"/>
          <w:kern w:val="0"/>
          <w:sz w:val="36"/>
          <w:szCs w:val="36"/>
        </w:rPr>
        <w:t>评价</w:t>
      </w:r>
      <w:r>
        <w:rPr>
          <w:rFonts w:hint="eastAsia" w:hAnsi="宋体" w:cs="宋体"/>
          <w:kern w:val="0"/>
          <w:sz w:val="36"/>
          <w:szCs w:val="36"/>
        </w:rPr>
        <w:t>技术服务</w:t>
      </w:r>
      <w:r>
        <w:rPr>
          <w:rFonts w:hAnsi="宋体" w:cs="宋体"/>
          <w:kern w:val="0"/>
          <w:sz w:val="36"/>
          <w:szCs w:val="36"/>
        </w:rPr>
        <w:t>承诺书</w:t>
      </w:r>
    </w:p>
    <w:p w14:paraId="3B65EBBD">
      <w:pPr>
        <w:adjustRightInd w:val="0"/>
        <w:snapToGrid w:val="0"/>
        <w:spacing w:line="240" w:lineRule="auto"/>
        <w:ind w:firstLine="720" w:firstLineChars="0"/>
        <w:jc w:val="center"/>
        <w:rPr>
          <w:rFonts w:hint="eastAsia" w:ascii="宋体" w:hAnsi="宋体" w:cs="宋体"/>
          <w:kern w:val="0"/>
          <w:sz w:val="36"/>
          <w:szCs w:val="36"/>
        </w:rPr>
      </w:pPr>
    </w:p>
    <w:p w14:paraId="50117A91">
      <w:pPr>
        <w:widowControl/>
        <w:wordWrap w:val="0"/>
        <w:adjustRightInd w:val="0"/>
        <w:snapToGrid w:val="0"/>
        <w:spacing w:line="425" w:lineRule="auto"/>
        <w:ind w:firstLine="640" w:firstLineChars="0"/>
        <w:jc w:val="both"/>
        <w:rPr>
          <w:rFonts w:hint="eastAsia" w:ascii="仿宋" w:hAnsi="仿宋" w:eastAsia="仿宋" w:cs="宋体"/>
          <w:kern w:val="0"/>
          <w:sz w:val="32"/>
          <w:szCs w:val="32"/>
        </w:rPr>
      </w:pPr>
      <w:r>
        <w:rPr>
          <w:rFonts w:hint="eastAsia" w:ascii="仿宋" w:hAnsi="仿宋" w:eastAsia="仿宋" w:cs="宋体"/>
          <w:kern w:val="0"/>
          <w:sz w:val="32"/>
          <w:szCs w:val="32"/>
        </w:rPr>
        <w:t>一、在本项目安全评价活动过程中，我单位严格遵守《安全生产法》及相关法律、法规和标准的要求。</w:t>
      </w:r>
    </w:p>
    <w:p w14:paraId="4997DC66">
      <w:pPr>
        <w:widowControl/>
        <w:wordWrap w:val="0"/>
        <w:adjustRightInd w:val="0"/>
        <w:snapToGrid w:val="0"/>
        <w:spacing w:line="425" w:lineRule="auto"/>
        <w:ind w:firstLine="640" w:firstLineChars="0"/>
        <w:jc w:val="both"/>
        <w:rPr>
          <w:rFonts w:hint="eastAsia" w:ascii="仿宋" w:hAnsi="仿宋" w:eastAsia="仿宋" w:cs="宋体"/>
          <w:kern w:val="0"/>
          <w:sz w:val="32"/>
          <w:szCs w:val="32"/>
        </w:rPr>
      </w:pPr>
      <w:r>
        <w:rPr>
          <w:rFonts w:hint="eastAsia" w:ascii="仿宋" w:hAnsi="仿宋" w:eastAsia="仿宋" w:cs="宋体"/>
          <w:kern w:val="0"/>
          <w:sz w:val="32"/>
          <w:szCs w:val="32"/>
        </w:rPr>
        <w:t>二、在本项目安全评价活动过程中，我单位作为第三方，未受到任何组织和个人的干预和影响，依法独立开展工作，保证了技术服务活动的客观公正性。</w:t>
      </w:r>
    </w:p>
    <w:p w14:paraId="61EF1915">
      <w:pPr>
        <w:widowControl/>
        <w:wordWrap w:val="0"/>
        <w:adjustRightInd w:val="0"/>
        <w:snapToGrid w:val="0"/>
        <w:spacing w:line="425" w:lineRule="auto"/>
        <w:ind w:firstLine="640" w:firstLineChars="0"/>
        <w:jc w:val="both"/>
        <w:rPr>
          <w:rFonts w:hint="eastAsia" w:ascii="仿宋" w:hAnsi="仿宋" w:eastAsia="仿宋" w:cs="宋体"/>
          <w:kern w:val="0"/>
          <w:sz w:val="32"/>
          <w:szCs w:val="32"/>
        </w:rPr>
      </w:pPr>
      <w:r>
        <w:rPr>
          <w:rFonts w:hint="eastAsia" w:ascii="仿宋" w:hAnsi="仿宋" w:eastAsia="仿宋" w:cs="宋体"/>
          <w:kern w:val="0"/>
          <w:sz w:val="32"/>
          <w:szCs w:val="32"/>
        </w:rPr>
        <w:t>三、我单位按照实事求是的原则，对本项目进行安全评价，确保出具的报告均真实有效，报告所提出的措施具有针对性、有效性和可行性。</w:t>
      </w:r>
    </w:p>
    <w:p w14:paraId="2CA22747">
      <w:pPr>
        <w:widowControl/>
        <w:wordWrap w:val="0"/>
        <w:adjustRightInd w:val="0"/>
        <w:snapToGrid w:val="0"/>
        <w:spacing w:line="425" w:lineRule="auto"/>
        <w:ind w:firstLine="640" w:firstLineChars="0"/>
        <w:jc w:val="both"/>
        <w:rPr>
          <w:rFonts w:hint="eastAsia" w:ascii="宋体" w:hAnsi="宋体" w:cs="宋体"/>
          <w:kern w:val="0"/>
          <w:sz w:val="32"/>
          <w:szCs w:val="32"/>
        </w:rPr>
      </w:pPr>
      <w:r>
        <w:rPr>
          <w:rFonts w:hint="eastAsia" w:ascii="仿宋" w:hAnsi="仿宋" w:eastAsia="仿宋" w:cs="宋体"/>
          <w:kern w:val="0"/>
          <w:sz w:val="32"/>
          <w:szCs w:val="32"/>
        </w:rPr>
        <w:t>四、我单位对本项目安全评价报告中结论性内容承担法律责任。</w:t>
      </w:r>
      <w:r>
        <w:rPr>
          <w:rFonts w:hint="eastAsia" w:ascii="宋体" w:hAnsi="宋体" w:cs="宋体"/>
          <w:kern w:val="0"/>
          <w:sz w:val="32"/>
          <w:szCs w:val="32"/>
        </w:rPr>
        <w:t xml:space="preserve">                      </w:t>
      </w:r>
    </w:p>
    <w:p w14:paraId="63C990CE">
      <w:pPr>
        <w:widowControl/>
        <w:wordWrap w:val="0"/>
        <w:adjustRightInd w:val="0"/>
        <w:snapToGrid w:val="0"/>
        <w:spacing w:before="100" w:beforeAutospacing="1" w:after="100" w:afterAutospacing="1" w:line="425" w:lineRule="auto"/>
        <w:ind w:firstLine="1600" w:firstLineChars="500"/>
        <w:jc w:val="both"/>
        <w:rPr>
          <w:rFonts w:hint="eastAsia" w:ascii="宋体" w:hAnsi="宋体" w:cs="宋体"/>
          <w:kern w:val="0"/>
          <w:sz w:val="32"/>
          <w:szCs w:val="32"/>
        </w:rPr>
      </w:pPr>
      <w:r>
        <w:rPr>
          <w:rFonts w:hint="eastAsia" w:ascii="宋体" w:hAnsi="宋体" w:cs="宋体"/>
          <w:kern w:val="0"/>
          <w:sz w:val="32"/>
          <w:szCs w:val="32"/>
        </w:rPr>
        <w:t xml:space="preserve">               </w:t>
      </w:r>
    </w:p>
    <w:p w14:paraId="46C509A6">
      <w:pPr>
        <w:widowControl/>
        <w:ind w:firstLine="560"/>
        <w:jc w:val="right"/>
        <w:rPr>
          <w:rFonts w:hint="eastAsia" w:hAnsi="宋体"/>
          <w:szCs w:val="28"/>
        </w:rPr>
      </w:pPr>
      <w:r>
        <w:rPr>
          <w:rFonts w:hAnsi="宋体"/>
          <w:szCs w:val="28"/>
        </w:rPr>
        <w:t>江西赣安安全生产科学技术咨询服务中心</w:t>
      </w:r>
    </w:p>
    <w:p w14:paraId="101004D7">
      <w:pPr>
        <w:widowControl/>
        <w:ind w:firstLine="640"/>
        <w:jc w:val="right"/>
        <w:rPr>
          <w:rFonts w:hint="eastAsia" w:hAnsi="宋体"/>
          <w:sz w:val="32"/>
          <w:szCs w:val="32"/>
        </w:rPr>
      </w:pPr>
      <w:r>
        <w:rPr>
          <w:rFonts w:hAnsi="宋体"/>
          <w:sz w:val="32"/>
          <w:szCs w:val="32"/>
        </w:rPr>
        <w:t>2</w:t>
      </w:r>
      <w:r>
        <w:rPr>
          <w:rFonts w:hint="eastAsia" w:hAnsi="宋体"/>
          <w:sz w:val="32"/>
          <w:szCs w:val="32"/>
        </w:rPr>
        <w:t>025</w:t>
      </w:r>
      <w:r>
        <w:rPr>
          <w:rFonts w:hAnsi="宋体"/>
          <w:sz w:val="32"/>
          <w:szCs w:val="32"/>
        </w:rPr>
        <w:t>年</w:t>
      </w:r>
      <w:r>
        <w:rPr>
          <w:rFonts w:hint="eastAsia" w:hAnsi="宋体"/>
          <w:sz w:val="32"/>
          <w:szCs w:val="32"/>
        </w:rPr>
        <w:t>9</w:t>
      </w:r>
      <w:r>
        <w:rPr>
          <w:rFonts w:hAnsi="宋体"/>
          <w:sz w:val="32"/>
          <w:szCs w:val="32"/>
        </w:rPr>
        <w:t>月</w:t>
      </w:r>
      <w:r>
        <w:rPr>
          <w:rFonts w:hint="eastAsia" w:hAnsi="宋体"/>
          <w:sz w:val="32"/>
          <w:szCs w:val="32"/>
        </w:rPr>
        <w:t>16</w:t>
      </w:r>
      <w:r>
        <w:rPr>
          <w:rFonts w:hAnsi="宋体"/>
          <w:sz w:val="32"/>
          <w:szCs w:val="32"/>
        </w:rPr>
        <w:t>日</w:t>
      </w:r>
    </w:p>
    <w:p w14:paraId="51967649">
      <w:pPr>
        <w:ind w:firstLine="640"/>
        <w:jc w:val="center"/>
        <w:rPr>
          <w:rFonts w:hint="eastAsia" w:hAnsi="宋体"/>
          <w:sz w:val="32"/>
          <w:szCs w:val="32"/>
        </w:rPr>
      </w:pPr>
      <w:r>
        <w:rPr>
          <w:rFonts w:hint="eastAsia" w:hAnsi="宋体"/>
          <w:sz w:val="32"/>
          <w:szCs w:val="32"/>
        </w:rPr>
        <w:br w:type="page"/>
      </w:r>
    </w:p>
    <w:p w14:paraId="1444A19E">
      <w:pPr>
        <w:ind w:firstLine="880"/>
        <w:jc w:val="center"/>
        <w:rPr>
          <w:rFonts w:hint="eastAsia" w:ascii="微软雅黑" w:hAnsi="微软雅黑" w:eastAsia="微软雅黑"/>
          <w:sz w:val="18"/>
          <w:szCs w:val="18"/>
        </w:rPr>
      </w:pPr>
      <w:r>
        <w:rPr>
          <w:rFonts w:hint="eastAsia" w:ascii="方正小标宋简体" w:hAnsi="微软雅黑" w:eastAsia="方正小标宋简体"/>
          <w:sz w:val="44"/>
          <w:szCs w:val="44"/>
        </w:rPr>
        <w:t>规范安全生产中介行为的九条禁令</w:t>
      </w:r>
    </w:p>
    <w:p w14:paraId="27F8EEBC">
      <w:pPr>
        <w:widowControl/>
        <w:spacing w:line="580" w:lineRule="exact"/>
        <w:ind w:firstLine="640"/>
        <w:rPr>
          <w:rFonts w:hint="eastAsia" w:hAnsi="宋体" w:cs="宋体"/>
          <w:kern w:val="0"/>
          <w:sz w:val="18"/>
          <w:szCs w:val="18"/>
        </w:rPr>
      </w:pPr>
      <w:r>
        <w:rPr>
          <w:rFonts w:hint="eastAsia" w:hAnsi="宋体" w:cs="宋体"/>
          <w:kern w:val="0"/>
          <w:sz w:val="32"/>
          <w:szCs w:val="32"/>
        </w:rPr>
        <w:t>一、禁止从事安全生产和职业卫生服务的中介服务机构（以下统称中介机构）租借资质证书、非法挂靠、转包服务项目的行为；</w:t>
      </w:r>
    </w:p>
    <w:p w14:paraId="13EB6EF4">
      <w:pPr>
        <w:widowControl/>
        <w:spacing w:line="580" w:lineRule="exact"/>
        <w:ind w:firstLine="640"/>
        <w:rPr>
          <w:rFonts w:hint="eastAsia" w:hAnsi="宋体" w:cs="宋体"/>
          <w:kern w:val="0"/>
          <w:sz w:val="18"/>
          <w:szCs w:val="18"/>
        </w:rPr>
      </w:pPr>
      <w:r>
        <w:rPr>
          <w:rFonts w:hint="eastAsia" w:hAnsi="宋体" w:cs="宋体"/>
          <w:kern w:val="0"/>
          <w:sz w:val="32"/>
          <w:szCs w:val="32"/>
        </w:rPr>
        <w:t>二、禁止中介机构假借、冒用他人名义要求服务对象接受有偿服务，或者恶意低价竞争以及采取串标、围标等不正当竞争手段，扰乱技术服务市场秩序的行为；</w:t>
      </w:r>
    </w:p>
    <w:p w14:paraId="4A0C3326">
      <w:pPr>
        <w:widowControl/>
        <w:spacing w:line="580" w:lineRule="exact"/>
        <w:ind w:firstLine="640"/>
        <w:rPr>
          <w:rFonts w:hint="eastAsia" w:hAnsi="宋体" w:cs="宋体"/>
          <w:kern w:val="0"/>
          <w:sz w:val="18"/>
          <w:szCs w:val="18"/>
        </w:rPr>
      </w:pPr>
      <w:r>
        <w:rPr>
          <w:rFonts w:hint="eastAsia" w:hAnsi="宋体" w:cs="宋体"/>
          <w:kern w:val="0"/>
          <w:sz w:val="32"/>
          <w:szCs w:val="32"/>
        </w:rPr>
        <w:t>三、禁止中介机构出具虚假或漏项、缺项技术报告的行为；</w:t>
      </w:r>
    </w:p>
    <w:p w14:paraId="51130E99">
      <w:pPr>
        <w:widowControl/>
        <w:spacing w:line="580" w:lineRule="exact"/>
        <w:ind w:firstLine="640"/>
        <w:rPr>
          <w:rFonts w:hint="eastAsia" w:hAnsi="宋体" w:cs="宋体"/>
          <w:kern w:val="0"/>
          <w:sz w:val="18"/>
          <w:szCs w:val="18"/>
        </w:rPr>
      </w:pPr>
      <w:r>
        <w:rPr>
          <w:rFonts w:hint="eastAsia" w:hAnsi="宋体" w:cs="宋体"/>
          <w:kern w:val="0"/>
          <w:sz w:val="32"/>
          <w:szCs w:val="32"/>
        </w:rPr>
        <w:t>四、禁止中介机构出租、出借资格证书、在报告上冒用他人签名的行为；</w:t>
      </w:r>
    </w:p>
    <w:p w14:paraId="6323DC98">
      <w:pPr>
        <w:widowControl/>
        <w:spacing w:line="580" w:lineRule="exact"/>
        <w:ind w:firstLine="640"/>
        <w:rPr>
          <w:rFonts w:hint="eastAsia" w:hAnsi="宋体" w:cs="宋体"/>
          <w:kern w:val="0"/>
          <w:sz w:val="18"/>
          <w:szCs w:val="18"/>
        </w:rPr>
      </w:pPr>
      <w:r>
        <w:rPr>
          <w:rFonts w:hint="eastAsia" w:hAnsi="宋体" w:cs="宋体"/>
          <w:kern w:val="0"/>
          <w:sz w:val="32"/>
          <w:szCs w:val="32"/>
        </w:rPr>
        <w:t>五、禁止中介机构有应到而不到现场开展技术服务的行为；</w:t>
      </w:r>
    </w:p>
    <w:p w14:paraId="71D2AB53">
      <w:pPr>
        <w:widowControl/>
        <w:spacing w:line="580" w:lineRule="exact"/>
        <w:ind w:firstLine="640"/>
        <w:rPr>
          <w:rFonts w:hint="eastAsia" w:hAnsi="宋体" w:cs="宋体"/>
          <w:kern w:val="0"/>
          <w:sz w:val="18"/>
          <w:szCs w:val="18"/>
        </w:rPr>
      </w:pPr>
      <w:r>
        <w:rPr>
          <w:rFonts w:hint="eastAsia" w:hAnsi="宋体" w:cs="宋体"/>
          <w:kern w:val="0"/>
          <w:sz w:val="32"/>
          <w:szCs w:val="32"/>
        </w:rPr>
        <w:t>六、禁止安全生产监管部门及其工作人员要求生产经营单位接受指定的中介机构开展技术服务的行为；</w:t>
      </w:r>
      <w:r>
        <w:rPr>
          <w:rFonts w:hint="eastAsia" w:hAnsi="宋体" w:cs="宋体"/>
          <w:kern w:val="0"/>
          <w:sz w:val="18"/>
          <w:szCs w:val="18"/>
        </w:rPr>
        <w:t xml:space="preserve"> </w:t>
      </w:r>
    </w:p>
    <w:p w14:paraId="3A0395E0">
      <w:pPr>
        <w:widowControl/>
        <w:spacing w:line="580" w:lineRule="exact"/>
        <w:ind w:firstLine="640"/>
        <w:rPr>
          <w:rFonts w:hint="eastAsia" w:hAnsi="宋体" w:cs="宋体"/>
          <w:kern w:val="0"/>
          <w:sz w:val="18"/>
          <w:szCs w:val="18"/>
        </w:rPr>
      </w:pPr>
      <w:r>
        <w:rPr>
          <w:rFonts w:hint="eastAsia" w:hAnsi="宋体" w:cs="宋体"/>
          <w:kern w:val="0"/>
          <w:sz w:val="32"/>
          <w:szCs w:val="32"/>
        </w:rPr>
        <w:t>七、禁止安全生产监管部门及其工作人员没有法律依据组织由生产经营单位或机构支付费用的行政性评审的行为；</w:t>
      </w:r>
      <w:r>
        <w:rPr>
          <w:rFonts w:hint="eastAsia" w:hAnsi="宋体" w:cs="宋体"/>
          <w:kern w:val="0"/>
          <w:sz w:val="18"/>
          <w:szCs w:val="18"/>
        </w:rPr>
        <w:t xml:space="preserve"> </w:t>
      </w:r>
    </w:p>
    <w:p w14:paraId="36997CA1">
      <w:pPr>
        <w:widowControl/>
        <w:spacing w:line="580" w:lineRule="exact"/>
        <w:ind w:firstLine="640"/>
        <w:rPr>
          <w:rFonts w:hint="eastAsia" w:hAnsi="宋体" w:cs="宋体"/>
          <w:kern w:val="0"/>
          <w:sz w:val="18"/>
          <w:szCs w:val="18"/>
        </w:rPr>
      </w:pPr>
      <w:r>
        <w:rPr>
          <w:rFonts w:hint="eastAsia" w:hAnsi="宋体" w:cs="宋体"/>
          <w:kern w:val="0"/>
          <w:sz w:val="32"/>
          <w:szCs w:val="32"/>
        </w:rPr>
        <w:t>八、禁止安全生产监管部门及其工作人员干预市场定价，违规擅自出台技术服务收费标准的行为；</w:t>
      </w:r>
      <w:r>
        <w:rPr>
          <w:rFonts w:hint="eastAsia" w:hAnsi="宋体" w:cs="宋体"/>
          <w:kern w:val="0"/>
          <w:sz w:val="18"/>
          <w:szCs w:val="18"/>
        </w:rPr>
        <w:t xml:space="preserve"> </w:t>
      </w:r>
    </w:p>
    <w:p w14:paraId="394F068E">
      <w:pPr>
        <w:spacing w:line="580" w:lineRule="exact"/>
        <w:ind w:firstLine="960" w:firstLineChars="300"/>
        <w:rPr>
          <w:rFonts w:hint="eastAsia" w:hAnsi="宋体"/>
          <w:sz w:val="32"/>
          <w:szCs w:val="32"/>
        </w:rPr>
      </w:pPr>
      <w:r>
        <w:rPr>
          <w:rFonts w:hint="eastAsia" w:hAnsi="宋体"/>
          <w:sz w:val="32"/>
          <w:szCs w:val="32"/>
        </w:rPr>
        <w:t>九、禁止安全生产监管部门及其工作人员参与、擅自干预中介机构从业活动，或者有获取不正当利益的行为。</w:t>
      </w:r>
    </w:p>
    <w:p w14:paraId="27BB35CD">
      <w:pPr>
        <w:widowControl/>
        <w:ind w:firstLine="0" w:firstLineChars="0"/>
        <w:rPr>
          <w:rFonts w:eastAsia="黑体"/>
          <w:b/>
          <w:sz w:val="32"/>
          <w:szCs w:val="32"/>
        </w:rPr>
      </w:pPr>
    </w:p>
    <w:p w14:paraId="540BC67F">
      <w:pPr>
        <w:widowControl/>
        <w:ind w:firstLine="0" w:firstLineChars="0"/>
        <w:rPr>
          <w:rFonts w:eastAsia="黑体"/>
          <w:b/>
          <w:sz w:val="32"/>
          <w:szCs w:val="32"/>
        </w:rPr>
      </w:pPr>
      <w:r>
        <w:rPr>
          <w:rFonts w:eastAsia="黑体"/>
          <w:b/>
          <w:sz w:val="32"/>
          <w:szCs w:val="32"/>
        </w:rPr>
        <w:br w:type="page"/>
      </w:r>
    </w:p>
    <w:p w14:paraId="62CAEBD9">
      <w:pPr>
        <w:widowControl/>
        <w:spacing w:line="240" w:lineRule="auto"/>
        <w:ind w:firstLine="0" w:firstLineChars="0"/>
        <w:rPr>
          <w:rFonts w:hint="eastAsia" w:ascii="宋体" w:hAnsi="宋体" w:cs="宋体"/>
          <w:b/>
          <w:bCs/>
        </w:rPr>
      </w:pPr>
      <w:r>
        <w:rPr>
          <w:rFonts w:ascii="宋体" w:hAnsi="宋体" w:cs="宋体"/>
          <w:b/>
          <w:bCs/>
        </w:rPr>
        <w:drawing>
          <wp:inline distT="0" distB="0" distL="0" distR="0">
            <wp:extent cx="5791200" cy="8248650"/>
            <wp:effectExtent l="0" t="0" r="0" b="0"/>
            <wp:docPr id="20941612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61262"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2075" cy="8250511"/>
                    </a:xfrm>
                    <a:prstGeom prst="rect">
                      <a:avLst/>
                    </a:prstGeom>
                  </pic:spPr>
                </pic:pic>
              </a:graphicData>
            </a:graphic>
          </wp:inline>
        </w:drawing>
      </w:r>
    </w:p>
    <w:p w14:paraId="1DC6CB63">
      <w:pPr>
        <w:widowControl/>
        <w:spacing w:line="240" w:lineRule="auto"/>
        <w:ind w:firstLine="0" w:firstLineChars="0"/>
        <w:rPr>
          <w:rFonts w:hint="eastAsia" w:ascii="宋体" w:hAnsi="宋体" w:cs="宋体"/>
          <w:b/>
          <w:bCs/>
        </w:rPr>
      </w:pPr>
      <w:r>
        <w:rPr>
          <w:rFonts w:hint="eastAsia" w:ascii="宋体" w:hAnsi="宋体" w:cs="宋体"/>
          <w:b/>
          <w:bCs/>
        </w:rPr>
        <w:br w:type="page"/>
      </w:r>
    </w:p>
    <w:p w14:paraId="6E75497D">
      <w:pPr>
        <w:widowControl/>
        <w:spacing w:line="240" w:lineRule="auto"/>
        <w:ind w:firstLine="0" w:firstLineChars="0"/>
        <w:jc w:val="center"/>
        <w:rPr>
          <w:rFonts w:hint="eastAsia" w:ascii="宋体" w:hAnsi="宋体" w:cs="宋体"/>
          <w:b/>
          <w:bCs/>
        </w:rPr>
      </w:pPr>
    </w:p>
    <w:p w14:paraId="249126EA">
      <w:pPr>
        <w:widowControl/>
        <w:spacing w:line="240" w:lineRule="auto"/>
        <w:ind w:firstLine="0" w:firstLineChars="0"/>
        <w:jc w:val="center"/>
        <w:rPr>
          <w:rFonts w:hint="eastAsia" w:ascii="宋体" w:hAnsi="宋体" w:cs="宋体"/>
          <w:b/>
          <w:bCs/>
        </w:rPr>
      </w:pPr>
      <w:r>
        <w:rPr>
          <w:rFonts w:hint="eastAsia" w:ascii="宋体" w:hAnsi="宋体" w:cs="宋体"/>
          <w:b/>
          <w:bCs/>
        </w:rPr>
        <w:t>评价人员</w:t>
      </w:r>
    </w:p>
    <w:tbl>
      <w:tblPr>
        <w:tblStyle w:val="44"/>
        <w:tblpPr w:leftFromText="180" w:rightFromText="180" w:vertAnchor="page" w:horzAnchor="page" w:tblpXSpec="center" w:tblpY="3096"/>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23"/>
        <w:gridCol w:w="2905"/>
        <w:gridCol w:w="1488"/>
        <w:gridCol w:w="1193"/>
        <w:gridCol w:w="1616"/>
      </w:tblGrid>
      <w:tr w14:paraId="1B8B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14:paraId="6F8EA510">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4E5F50A5">
            <w:pPr>
              <w:pStyle w:val="145"/>
              <w:jc w:val="left"/>
              <w:rPr>
                <w:rFonts w:hint="default"/>
              </w:rPr>
            </w:pPr>
            <w:r>
              <w:t>姓  名</w:t>
            </w:r>
          </w:p>
        </w:tc>
        <w:tc>
          <w:tcPr>
            <w:tcW w:w="2905" w:type="dxa"/>
            <w:tcBorders>
              <w:top w:val="single" w:color="auto" w:sz="4" w:space="0"/>
              <w:left w:val="single" w:color="auto" w:sz="4" w:space="0"/>
              <w:bottom w:val="single" w:color="auto" w:sz="4" w:space="0"/>
              <w:right w:val="single" w:color="auto" w:sz="4" w:space="0"/>
            </w:tcBorders>
            <w:vAlign w:val="center"/>
          </w:tcPr>
          <w:p w14:paraId="39A5B145">
            <w:pPr>
              <w:pStyle w:val="145"/>
              <w:ind w:firstLine="560"/>
              <w:rPr>
                <w:rFonts w:hint="default"/>
              </w:rPr>
            </w:pPr>
            <w:r>
              <w:t>证书编号</w:t>
            </w:r>
          </w:p>
        </w:tc>
        <w:tc>
          <w:tcPr>
            <w:tcW w:w="1488" w:type="dxa"/>
            <w:tcBorders>
              <w:top w:val="single" w:color="auto" w:sz="4" w:space="0"/>
              <w:left w:val="single" w:color="auto" w:sz="4" w:space="0"/>
              <w:bottom w:val="single" w:color="auto" w:sz="4" w:space="0"/>
              <w:right w:val="single" w:color="auto" w:sz="4" w:space="0"/>
            </w:tcBorders>
            <w:vAlign w:val="center"/>
          </w:tcPr>
          <w:p w14:paraId="248E6A0D">
            <w:pPr>
              <w:pStyle w:val="145"/>
              <w:jc w:val="left"/>
              <w:rPr>
                <w:rFonts w:hint="default"/>
              </w:rPr>
            </w:pPr>
            <w:r>
              <w:t>从业登记号</w:t>
            </w:r>
          </w:p>
        </w:tc>
        <w:tc>
          <w:tcPr>
            <w:tcW w:w="1193" w:type="dxa"/>
            <w:tcBorders>
              <w:top w:val="single" w:color="auto" w:sz="4" w:space="0"/>
              <w:left w:val="single" w:color="auto" w:sz="4" w:space="0"/>
              <w:bottom w:val="single" w:color="auto" w:sz="4" w:space="0"/>
              <w:right w:val="single" w:color="auto" w:sz="4" w:space="0"/>
            </w:tcBorders>
            <w:vAlign w:val="center"/>
          </w:tcPr>
          <w:p w14:paraId="0687413A">
            <w:pPr>
              <w:pStyle w:val="145"/>
              <w:jc w:val="left"/>
              <w:rPr>
                <w:rFonts w:hint="default"/>
              </w:rPr>
            </w:pPr>
            <w:r>
              <w:t>专业</w:t>
            </w:r>
          </w:p>
        </w:tc>
        <w:tc>
          <w:tcPr>
            <w:tcW w:w="1616" w:type="dxa"/>
            <w:tcBorders>
              <w:top w:val="single" w:color="auto" w:sz="4" w:space="0"/>
              <w:left w:val="single" w:color="auto" w:sz="4" w:space="0"/>
              <w:bottom w:val="single" w:color="auto" w:sz="4" w:space="0"/>
              <w:right w:val="single" w:color="auto" w:sz="4" w:space="0"/>
            </w:tcBorders>
            <w:vAlign w:val="center"/>
          </w:tcPr>
          <w:p w14:paraId="0DDE1302">
            <w:pPr>
              <w:pStyle w:val="145"/>
              <w:jc w:val="left"/>
              <w:rPr>
                <w:rFonts w:hint="default"/>
              </w:rPr>
            </w:pPr>
            <w:r>
              <w:t>签  字</w:t>
            </w:r>
          </w:p>
        </w:tc>
      </w:tr>
      <w:tr w14:paraId="2231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14:paraId="61D28052">
            <w:pPr>
              <w:pStyle w:val="145"/>
              <w:jc w:val="left"/>
              <w:rPr>
                <w:rFonts w:hint="default"/>
              </w:rPr>
            </w:pPr>
            <w:r>
              <w:t>项目负责人</w:t>
            </w:r>
          </w:p>
        </w:tc>
        <w:tc>
          <w:tcPr>
            <w:tcW w:w="1023" w:type="dxa"/>
            <w:tcBorders>
              <w:top w:val="single" w:color="auto" w:sz="4" w:space="0"/>
              <w:left w:val="single" w:color="auto" w:sz="4" w:space="0"/>
              <w:bottom w:val="single" w:color="auto" w:sz="4" w:space="0"/>
              <w:right w:val="single" w:color="auto" w:sz="4" w:space="0"/>
            </w:tcBorders>
            <w:vAlign w:val="center"/>
          </w:tcPr>
          <w:p w14:paraId="6391A294">
            <w:pPr>
              <w:pStyle w:val="145"/>
              <w:jc w:val="left"/>
              <w:rPr>
                <w:rFonts w:hint="default"/>
              </w:rPr>
            </w:pPr>
            <w:r>
              <w:t>吴  华</w:t>
            </w:r>
          </w:p>
        </w:tc>
        <w:tc>
          <w:tcPr>
            <w:tcW w:w="2905" w:type="dxa"/>
            <w:tcBorders>
              <w:top w:val="single" w:color="auto" w:sz="4" w:space="0"/>
              <w:left w:val="single" w:color="auto" w:sz="4" w:space="0"/>
              <w:bottom w:val="single" w:color="auto" w:sz="4" w:space="0"/>
              <w:right w:val="single" w:color="auto" w:sz="4" w:space="0"/>
            </w:tcBorders>
            <w:vAlign w:val="center"/>
          </w:tcPr>
          <w:p w14:paraId="6516EAF8">
            <w:pPr>
              <w:pStyle w:val="145"/>
              <w:ind w:firstLine="560"/>
              <w:rPr>
                <w:rFonts w:hint="default"/>
              </w:rPr>
            </w:pPr>
            <w:r>
              <w:t>CAWS530000230200949</w:t>
            </w:r>
          </w:p>
        </w:tc>
        <w:tc>
          <w:tcPr>
            <w:tcW w:w="1488" w:type="dxa"/>
            <w:tcBorders>
              <w:top w:val="single" w:color="auto" w:sz="4" w:space="0"/>
              <w:left w:val="single" w:color="auto" w:sz="4" w:space="0"/>
              <w:bottom w:val="single" w:color="auto" w:sz="4" w:space="0"/>
              <w:right w:val="single" w:color="auto" w:sz="4" w:space="0"/>
            </w:tcBorders>
            <w:vAlign w:val="center"/>
          </w:tcPr>
          <w:p w14:paraId="3B4118D1">
            <w:pPr>
              <w:pStyle w:val="145"/>
              <w:jc w:val="left"/>
              <w:rPr>
                <w:rFonts w:hint="default"/>
              </w:rPr>
            </w:pPr>
            <w:bookmarkStart w:id="4" w:name="OLE_LINK16"/>
            <w:r>
              <w:t>043387</w:t>
            </w:r>
            <w:bookmarkEnd w:id="4"/>
          </w:p>
        </w:tc>
        <w:tc>
          <w:tcPr>
            <w:tcW w:w="1193" w:type="dxa"/>
            <w:tcBorders>
              <w:top w:val="single" w:color="auto" w:sz="4" w:space="0"/>
              <w:left w:val="single" w:color="auto" w:sz="4" w:space="0"/>
              <w:bottom w:val="single" w:color="auto" w:sz="4" w:space="0"/>
              <w:right w:val="single" w:color="auto" w:sz="4" w:space="0"/>
            </w:tcBorders>
            <w:vAlign w:val="center"/>
          </w:tcPr>
          <w:p w14:paraId="4B61D2E8">
            <w:pPr>
              <w:pStyle w:val="145"/>
              <w:jc w:val="left"/>
              <w:rPr>
                <w:rFonts w:hint="default"/>
              </w:rPr>
            </w:pPr>
            <w:r>
              <w:t>工业分析</w:t>
            </w:r>
          </w:p>
        </w:tc>
        <w:tc>
          <w:tcPr>
            <w:tcW w:w="1616" w:type="dxa"/>
            <w:tcBorders>
              <w:top w:val="single" w:color="auto" w:sz="4" w:space="0"/>
              <w:left w:val="single" w:color="auto" w:sz="4" w:space="0"/>
              <w:bottom w:val="single" w:color="auto" w:sz="4" w:space="0"/>
              <w:right w:val="single" w:color="auto" w:sz="4" w:space="0"/>
            </w:tcBorders>
            <w:vAlign w:val="center"/>
          </w:tcPr>
          <w:p w14:paraId="02E4E4FA">
            <w:pPr>
              <w:pStyle w:val="145"/>
              <w:ind w:firstLine="560"/>
              <w:rPr>
                <w:rFonts w:hint="default"/>
              </w:rPr>
            </w:pPr>
          </w:p>
        </w:tc>
      </w:tr>
      <w:tr w14:paraId="194C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restart"/>
            <w:tcBorders>
              <w:left w:val="single" w:color="auto" w:sz="4" w:space="0"/>
              <w:right w:val="single" w:color="auto" w:sz="4" w:space="0"/>
            </w:tcBorders>
            <w:vAlign w:val="center"/>
          </w:tcPr>
          <w:p w14:paraId="4D8150CF">
            <w:pPr>
              <w:pStyle w:val="145"/>
              <w:jc w:val="left"/>
              <w:rPr>
                <w:rFonts w:hint="default"/>
              </w:rPr>
            </w:pPr>
            <w:r>
              <w:t>项目组成员</w:t>
            </w:r>
          </w:p>
        </w:tc>
        <w:tc>
          <w:tcPr>
            <w:tcW w:w="1023" w:type="dxa"/>
            <w:tcBorders>
              <w:top w:val="single" w:color="auto" w:sz="4" w:space="0"/>
              <w:left w:val="single" w:color="auto" w:sz="4" w:space="0"/>
              <w:bottom w:val="single" w:color="auto" w:sz="4" w:space="0"/>
              <w:right w:val="single" w:color="auto" w:sz="4" w:space="0"/>
            </w:tcBorders>
            <w:vAlign w:val="center"/>
          </w:tcPr>
          <w:p w14:paraId="7505EAB1">
            <w:pPr>
              <w:pStyle w:val="145"/>
              <w:jc w:val="left"/>
              <w:rPr>
                <w:rFonts w:hint="default"/>
              </w:rPr>
            </w:pPr>
            <w:r>
              <w:t>吴  华</w:t>
            </w:r>
          </w:p>
        </w:tc>
        <w:tc>
          <w:tcPr>
            <w:tcW w:w="2905" w:type="dxa"/>
            <w:tcBorders>
              <w:top w:val="single" w:color="auto" w:sz="4" w:space="0"/>
              <w:left w:val="single" w:color="auto" w:sz="4" w:space="0"/>
              <w:bottom w:val="single" w:color="auto" w:sz="4" w:space="0"/>
              <w:right w:val="single" w:color="auto" w:sz="4" w:space="0"/>
            </w:tcBorders>
            <w:vAlign w:val="center"/>
          </w:tcPr>
          <w:p w14:paraId="7F096BCD">
            <w:pPr>
              <w:pStyle w:val="145"/>
              <w:ind w:firstLine="560"/>
              <w:rPr>
                <w:rFonts w:hint="default"/>
              </w:rPr>
            </w:pPr>
            <w:r>
              <w:t>CAWS530000230200949</w:t>
            </w:r>
          </w:p>
        </w:tc>
        <w:tc>
          <w:tcPr>
            <w:tcW w:w="1488" w:type="dxa"/>
            <w:tcBorders>
              <w:top w:val="single" w:color="auto" w:sz="4" w:space="0"/>
              <w:left w:val="single" w:color="auto" w:sz="4" w:space="0"/>
              <w:bottom w:val="single" w:color="auto" w:sz="4" w:space="0"/>
              <w:right w:val="single" w:color="auto" w:sz="4" w:space="0"/>
            </w:tcBorders>
            <w:vAlign w:val="center"/>
          </w:tcPr>
          <w:p w14:paraId="2779A012">
            <w:pPr>
              <w:pStyle w:val="145"/>
              <w:jc w:val="left"/>
              <w:rPr>
                <w:rFonts w:hint="default"/>
              </w:rPr>
            </w:pPr>
            <w:r>
              <w:t>043387</w:t>
            </w:r>
          </w:p>
        </w:tc>
        <w:tc>
          <w:tcPr>
            <w:tcW w:w="1193" w:type="dxa"/>
            <w:tcBorders>
              <w:top w:val="single" w:color="auto" w:sz="4" w:space="0"/>
              <w:left w:val="single" w:color="auto" w:sz="4" w:space="0"/>
              <w:bottom w:val="single" w:color="auto" w:sz="4" w:space="0"/>
              <w:right w:val="single" w:color="auto" w:sz="4" w:space="0"/>
            </w:tcBorders>
            <w:vAlign w:val="center"/>
          </w:tcPr>
          <w:p w14:paraId="7FFE8B1B">
            <w:pPr>
              <w:pStyle w:val="145"/>
              <w:jc w:val="left"/>
              <w:rPr>
                <w:rFonts w:hint="default"/>
              </w:rPr>
            </w:pPr>
            <w:r>
              <w:t>工业分析</w:t>
            </w:r>
          </w:p>
        </w:tc>
        <w:tc>
          <w:tcPr>
            <w:tcW w:w="1616" w:type="dxa"/>
            <w:tcBorders>
              <w:top w:val="single" w:color="auto" w:sz="4" w:space="0"/>
              <w:left w:val="single" w:color="auto" w:sz="4" w:space="0"/>
              <w:bottom w:val="single" w:color="auto" w:sz="4" w:space="0"/>
              <w:right w:val="single" w:color="auto" w:sz="4" w:space="0"/>
            </w:tcBorders>
            <w:vAlign w:val="center"/>
          </w:tcPr>
          <w:p w14:paraId="632B9054">
            <w:pPr>
              <w:pStyle w:val="145"/>
              <w:ind w:firstLine="560"/>
              <w:rPr>
                <w:rFonts w:hint="default"/>
              </w:rPr>
            </w:pPr>
          </w:p>
        </w:tc>
      </w:tr>
      <w:tr w14:paraId="12A5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continue"/>
            <w:tcBorders>
              <w:left w:val="single" w:color="auto" w:sz="4" w:space="0"/>
              <w:right w:val="single" w:color="auto" w:sz="4" w:space="0"/>
            </w:tcBorders>
            <w:vAlign w:val="center"/>
          </w:tcPr>
          <w:p w14:paraId="34700735">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48D15CD6">
            <w:pPr>
              <w:pStyle w:val="145"/>
              <w:jc w:val="left"/>
              <w:rPr>
                <w:rFonts w:hint="default"/>
              </w:rPr>
            </w:pPr>
            <w:r>
              <w:t>吴映琴</w:t>
            </w:r>
          </w:p>
        </w:tc>
        <w:tc>
          <w:tcPr>
            <w:tcW w:w="2905" w:type="dxa"/>
            <w:tcBorders>
              <w:top w:val="single" w:color="auto" w:sz="4" w:space="0"/>
              <w:left w:val="single" w:color="auto" w:sz="4" w:space="0"/>
              <w:bottom w:val="single" w:color="auto" w:sz="4" w:space="0"/>
              <w:right w:val="single" w:color="auto" w:sz="4" w:space="0"/>
            </w:tcBorders>
            <w:vAlign w:val="center"/>
          </w:tcPr>
          <w:p w14:paraId="22E35CC1">
            <w:pPr>
              <w:pStyle w:val="145"/>
              <w:ind w:firstLine="560"/>
              <w:rPr>
                <w:rFonts w:hint="default"/>
              </w:rPr>
            </w:pPr>
            <w:r>
              <w:t>1800000000301265</w:t>
            </w:r>
          </w:p>
        </w:tc>
        <w:tc>
          <w:tcPr>
            <w:tcW w:w="1488" w:type="dxa"/>
            <w:tcBorders>
              <w:top w:val="single" w:color="auto" w:sz="4" w:space="0"/>
              <w:left w:val="single" w:color="auto" w:sz="4" w:space="0"/>
              <w:bottom w:val="single" w:color="auto" w:sz="4" w:space="0"/>
              <w:right w:val="single" w:color="auto" w:sz="4" w:space="0"/>
            </w:tcBorders>
            <w:vAlign w:val="center"/>
          </w:tcPr>
          <w:p w14:paraId="076A17E2">
            <w:pPr>
              <w:pStyle w:val="145"/>
              <w:jc w:val="left"/>
              <w:rPr>
                <w:rFonts w:hint="default"/>
              </w:rPr>
            </w:pPr>
            <w:r>
              <w:t>033760</w:t>
            </w:r>
          </w:p>
        </w:tc>
        <w:tc>
          <w:tcPr>
            <w:tcW w:w="1193" w:type="dxa"/>
            <w:tcBorders>
              <w:top w:val="single" w:color="auto" w:sz="4" w:space="0"/>
              <w:left w:val="single" w:color="auto" w:sz="4" w:space="0"/>
              <w:bottom w:val="single" w:color="auto" w:sz="4" w:space="0"/>
              <w:right w:val="single" w:color="auto" w:sz="4" w:space="0"/>
            </w:tcBorders>
            <w:vAlign w:val="center"/>
          </w:tcPr>
          <w:p w14:paraId="0C22DC52">
            <w:pPr>
              <w:pStyle w:val="145"/>
              <w:jc w:val="left"/>
              <w:rPr>
                <w:rFonts w:hint="default"/>
              </w:rPr>
            </w:pPr>
            <w:r>
              <w:t>安全工程</w:t>
            </w:r>
          </w:p>
        </w:tc>
        <w:tc>
          <w:tcPr>
            <w:tcW w:w="1616" w:type="dxa"/>
            <w:tcBorders>
              <w:top w:val="single" w:color="auto" w:sz="4" w:space="0"/>
              <w:left w:val="single" w:color="auto" w:sz="4" w:space="0"/>
              <w:right w:val="single" w:color="auto" w:sz="4" w:space="0"/>
            </w:tcBorders>
            <w:vAlign w:val="center"/>
          </w:tcPr>
          <w:p w14:paraId="306AF781">
            <w:pPr>
              <w:pStyle w:val="145"/>
              <w:ind w:firstLine="560"/>
              <w:rPr>
                <w:rFonts w:hint="default"/>
              </w:rPr>
            </w:pPr>
          </w:p>
        </w:tc>
      </w:tr>
      <w:tr w14:paraId="0CF1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492" w:type="dxa"/>
            <w:vMerge w:val="continue"/>
            <w:tcBorders>
              <w:left w:val="single" w:color="auto" w:sz="4" w:space="0"/>
              <w:right w:val="single" w:color="auto" w:sz="4" w:space="0"/>
            </w:tcBorders>
            <w:vAlign w:val="center"/>
          </w:tcPr>
          <w:p w14:paraId="7DFB7E7D">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34307074">
            <w:pPr>
              <w:pStyle w:val="145"/>
              <w:jc w:val="left"/>
              <w:rPr>
                <w:rFonts w:hint="default"/>
              </w:rPr>
            </w:pPr>
            <w:r>
              <w:t>杜达衡</w:t>
            </w:r>
          </w:p>
        </w:tc>
        <w:tc>
          <w:tcPr>
            <w:tcW w:w="2905" w:type="dxa"/>
            <w:tcBorders>
              <w:top w:val="single" w:color="auto" w:sz="4" w:space="0"/>
              <w:left w:val="single" w:color="auto" w:sz="4" w:space="0"/>
              <w:bottom w:val="single" w:color="auto" w:sz="4" w:space="0"/>
              <w:right w:val="single" w:color="auto" w:sz="4" w:space="0"/>
            </w:tcBorders>
            <w:vAlign w:val="center"/>
          </w:tcPr>
          <w:p w14:paraId="4156F379">
            <w:pPr>
              <w:pStyle w:val="145"/>
              <w:ind w:firstLine="560"/>
              <w:rPr>
                <w:rFonts w:hint="default"/>
              </w:rPr>
            </w:pPr>
            <w:r>
              <w:t>S011053000110203001735</w:t>
            </w:r>
          </w:p>
        </w:tc>
        <w:tc>
          <w:tcPr>
            <w:tcW w:w="1488" w:type="dxa"/>
            <w:tcBorders>
              <w:top w:val="single" w:color="auto" w:sz="4" w:space="0"/>
              <w:left w:val="single" w:color="auto" w:sz="4" w:space="0"/>
              <w:bottom w:val="single" w:color="auto" w:sz="4" w:space="0"/>
              <w:right w:val="single" w:color="auto" w:sz="4" w:space="0"/>
            </w:tcBorders>
            <w:vAlign w:val="center"/>
          </w:tcPr>
          <w:p w14:paraId="3FC740EC">
            <w:pPr>
              <w:pStyle w:val="145"/>
              <w:jc w:val="left"/>
              <w:rPr>
                <w:rFonts w:hint="default"/>
              </w:rPr>
            </w:pPr>
            <w:r>
              <w:t>041638</w:t>
            </w:r>
          </w:p>
        </w:tc>
        <w:tc>
          <w:tcPr>
            <w:tcW w:w="1193" w:type="dxa"/>
            <w:tcBorders>
              <w:top w:val="single" w:color="auto" w:sz="4" w:space="0"/>
              <w:left w:val="single" w:color="auto" w:sz="4" w:space="0"/>
              <w:bottom w:val="single" w:color="auto" w:sz="4" w:space="0"/>
              <w:right w:val="single" w:color="auto" w:sz="4" w:space="0"/>
            </w:tcBorders>
            <w:vAlign w:val="center"/>
          </w:tcPr>
          <w:p w14:paraId="5A128103">
            <w:pPr>
              <w:pStyle w:val="145"/>
              <w:jc w:val="left"/>
              <w:rPr>
                <w:rFonts w:hint="default"/>
              </w:rPr>
            </w:pPr>
            <w:r>
              <w:t>安全工程</w:t>
            </w:r>
          </w:p>
        </w:tc>
        <w:tc>
          <w:tcPr>
            <w:tcW w:w="1616" w:type="dxa"/>
            <w:tcBorders>
              <w:top w:val="single" w:color="auto" w:sz="4" w:space="0"/>
              <w:left w:val="single" w:color="auto" w:sz="4" w:space="0"/>
              <w:right w:val="single" w:color="auto" w:sz="4" w:space="0"/>
            </w:tcBorders>
            <w:vAlign w:val="center"/>
          </w:tcPr>
          <w:p w14:paraId="12EC43C8">
            <w:pPr>
              <w:pStyle w:val="145"/>
              <w:ind w:firstLine="560"/>
              <w:rPr>
                <w:rFonts w:hint="default"/>
              </w:rPr>
            </w:pPr>
          </w:p>
        </w:tc>
      </w:tr>
      <w:tr w14:paraId="3544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continue"/>
            <w:tcBorders>
              <w:left w:val="single" w:color="auto" w:sz="4" w:space="0"/>
              <w:right w:val="single" w:color="auto" w:sz="4" w:space="0"/>
            </w:tcBorders>
            <w:vAlign w:val="center"/>
          </w:tcPr>
          <w:p w14:paraId="17ACE306">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5E8E1334">
            <w:pPr>
              <w:pStyle w:val="145"/>
              <w:jc w:val="left"/>
              <w:rPr>
                <w:rFonts w:hint="default"/>
              </w:rPr>
            </w:pPr>
            <w:r>
              <w:t>许玉才</w:t>
            </w:r>
          </w:p>
        </w:tc>
        <w:tc>
          <w:tcPr>
            <w:tcW w:w="2905" w:type="dxa"/>
            <w:tcBorders>
              <w:top w:val="single" w:color="auto" w:sz="4" w:space="0"/>
              <w:left w:val="single" w:color="auto" w:sz="4" w:space="0"/>
              <w:bottom w:val="single" w:color="auto" w:sz="4" w:space="0"/>
              <w:right w:val="single" w:color="auto" w:sz="4" w:space="0"/>
            </w:tcBorders>
            <w:vAlign w:val="center"/>
          </w:tcPr>
          <w:p w14:paraId="0B838A4F">
            <w:pPr>
              <w:pStyle w:val="145"/>
              <w:ind w:firstLine="560"/>
              <w:rPr>
                <w:rFonts w:hint="default"/>
              </w:rPr>
            </w:pPr>
            <w:r>
              <w:t>1800000000200658</w:t>
            </w:r>
          </w:p>
        </w:tc>
        <w:tc>
          <w:tcPr>
            <w:tcW w:w="1488" w:type="dxa"/>
            <w:tcBorders>
              <w:top w:val="single" w:color="auto" w:sz="4" w:space="0"/>
              <w:left w:val="single" w:color="auto" w:sz="4" w:space="0"/>
              <w:bottom w:val="single" w:color="auto" w:sz="4" w:space="0"/>
              <w:right w:val="single" w:color="auto" w:sz="4" w:space="0"/>
            </w:tcBorders>
            <w:vAlign w:val="center"/>
          </w:tcPr>
          <w:p w14:paraId="505DB910">
            <w:pPr>
              <w:pStyle w:val="145"/>
              <w:jc w:val="left"/>
              <w:rPr>
                <w:rFonts w:hint="default"/>
              </w:rPr>
            </w:pPr>
            <w:r>
              <w:t>033460</w:t>
            </w:r>
          </w:p>
        </w:tc>
        <w:tc>
          <w:tcPr>
            <w:tcW w:w="1193" w:type="dxa"/>
            <w:tcBorders>
              <w:top w:val="single" w:color="auto" w:sz="4" w:space="0"/>
              <w:left w:val="single" w:color="auto" w:sz="4" w:space="0"/>
              <w:bottom w:val="single" w:color="auto" w:sz="4" w:space="0"/>
              <w:right w:val="single" w:color="auto" w:sz="4" w:space="0"/>
            </w:tcBorders>
            <w:vAlign w:val="center"/>
          </w:tcPr>
          <w:p w14:paraId="369175C7">
            <w:pPr>
              <w:pStyle w:val="145"/>
              <w:jc w:val="left"/>
              <w:rPr>
                <w:rFonts w:hint="default"/>
              </w:rPr>
            </w:pPr>
            <w:r>
              <w:t>机械工程</w:t>
            </w:r>
          </w:p>
          <w:p w14:paraId="05601A67">
            <w:pPr>
              <w:pStyle w:val="145"/>
              <w:jc w:val="left"/>
              <w:rPr>
                <w:rFonts w:hint="default"/>
              </w:rPr>
            </w:pPr>
            <w:r>
              <w:t>及自动化</w:t>
            </w:r>
          </w:p>
        </w:tc>
        <w:tc>
          <w:tcPr>
            <w:tcW w:w="1616" w:type="dxa"/>
            <w:tcBorders>
              <w:top w:val="single" w:color="auto" w:sz="4" w:space="0"/>
              <w:left w:val="single" w:color="auto" w:sz="4" w:space="0"/>
              <w:bottom w:val="single" w:color="auto" w:sz="4" w:space="0"/>
              <w:right w:val="single" w:color="auto" w:sz="4" w:space="0"/>
            </w:tcBorders>
            <w:vAlign w:val="center"/>
          </w:tcPr>
          <w:p w14:paraId="52E1A35B">
            <w:pPr>
              <w:pStyle w:val="145"/>
              <w:ind w:firstLine="560"/>
              <w:rPr>
                <w:rFonts w:hint="default"/>
              </w:rPr>
            </w:pPr>
          </w:p>
        </w:tc>
      </w:tr>
      <w:tr w14:paraId="4030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continue"/>
            <w:tcBorders>
              <w:left w:val="single" w:color="auto" w:sz="4" w:space="0"/>
              <w:right w:val="single" w:color="auto" w:sz="4" w:space="0"/>
            </w:tcBorders>
            <w:vAlign w:val="center"/>
          </w:tcPr>
          <w:p w14:paraId="26D05A93">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222F8335">
            <w:pPr>
              <w:pStyle w:val="145"/>
              <w:jc w:val="left"/>
              <w:rPr>
                <w:rFonts w:hint="default"/>
              </w:rPr>
            </w:pPr>
            <w:r>
              <w:t>黄伯扬</w:t>
            </w:r>
          </w:p>
        </w:tc>
        <w:tc>
          <w:tcPr>
            <w:tcW w:w="2905" w:type="dxa"/>
            <w:tcBorders>
              <w:top w:val="single" w:color="auto" w:sz="4" w:space="0"/>
              <w:left w:val="single" w:color="auto" w:sz="4" w:space="0"/>
              <w:bottom w:val="single" w:color="auto" w:sz="4" w:space="0"/>
              <w:right w:val="single" w:color="auto" w:sz="4" w:space="0"/>
            </w:tcBorders>
            <w:vAlign w:val="center"/>
          </w:tcPr>
          <w:p w14:paraId="13C95EE0">
            <w:pPr>
              <w:pStyle w:val="145"/>
              <w:ind w:firstLine="560"/>
              <w:rPr>
                <w:rFonts w:hint="default"/>
              </w:rPr>
            </w:pPr>
            <w:r>
              <w:t>1800000000300643</w:t>
            </w:r>
          </w:p>
        </w:tc>
        <w:tc>
          <w:tcPr>
            <w:tcW w:w="1488" w:type="dxa"/>
            <w:tcBorders>
              <w:top w:val="single" w:color="auto" w:sz="4" w:space="0"/>
              <w:left w:val="single" w:color="auto" w:sz="4" w:space="0"/>
              <w:bottom w:val="single" w:color="auto" w:sz="4" w:space="0"/>
              <w:right w:val="single" w:color="auto" w:sz="4" w:space="0"/>
            </w:tcBorders>
            <w:vAlign w:val="center"/>
          </w:tcPr>
          <w:p w14:paraId="2F4969F4">
            <w:pPr>
              <w:pStyle w:val="145"/>
              <w:jc w:val="left"/>
              <w:rPr>
                <w:rFonts w:hint="default"/>
              </w:rPr>
            </w:pPr>
            <w:r>
              <w:t>032737</w:t>
            </w:r>
          </w:p>
        </w:tc>
        <w:tc>
          <w:tcPr>
            <w:tcW w:w="1193" w:type="dxa"/>
            <w:tcBorders>
              <w:top w:val="single" w:color="auto" w:sz="4" w:space="0"/>
              <w:left w:val="single" w:color="auto" w:sz="4" w:space="0"/>
              <w:bottom w:val="single" w:color="auto" w:sz="4" w:space="0"/>
              <w:right w:val="single" w:color="auto" w:sz="4" w:space="0"/>
            </w:tcBorders>
            <w:vAlign w:val="center"/>
          </w:tcPr>
          <w:p w14:paraId="2E72806C">
            <w:pPr>
              <w:pStyle w:val="145"/>
              <w:jc w:val="left"/>
              <w:rPr>
                <w:rFonts w:hint="default"/>
              </w:rPr>
            </w:pPr>
            <w:r>
              <w:t>采矿工程</w:t>
            </w:r>
          </w:p>
        </w:tc>
        <w:tc>
          <w:tcPr>
            <w:tcW w:w="1616" w:type="dxa"/>
            <w:tcBorders>
              <w:top w:val="single" w:color="auto" w:sz="4" w:space="0"/>
              <w:left w:val="single" w:color="auto" w:sz="4" w:space="0"/>
              <w:bottom w:val="single" w:color="auto" w:sz="4" w:space="0"/>
              <w:right w:val="single" w:color="auto" w:sz="4" w:space="0"/>
            </w:tcBorders>
            <w:vAlign w:val="center"/>
          </w:tcPr>
          <w:p w14:paraId="79B56D59">
            <w:pPr>
              <w:pStyle w:val="145"/>
              <w:ind w:firstLine="560"/>
              <w:rPr>
                <w:rFonts w:hint="default"/>
              </w:rPr>
            </w:pPr>
          </w:p>
        </w:tc>
      </w:tr>
      <w:tr w14:paraId="6334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restart"/>
            <w:tcBorders>
              <w:top w:val="single" w:color="auto" w:sz="4" w:space="0"/>
              <w:left w:val="single" w:color="auto" w:sz="4" w:space="0"/>
              <w:right w:val="single" w:color="auto" w:sz="4" w:space="0"/>
            </w:tcBorders>
            <w:vAlign w:val="center"/>
          </w:tcPr>
          <w:p w14:paraId="2DF8283F">
            <w:pPr>
              <w:pStyle w:val="145"/>
              <w:jc w:val="left"/>
              <w:rPr>
                <w:rFonts w:hint="default"/>
              </w:rPr>
            </w:pPr>
            <w:r>
              <w:t>报告编制人</w:t>
            </w:r>
          </w:p>
        </w:tc>
        <w:tc>
          <w:tcPr>
            <w:tcW w:w="1023" w:type="dxa"/>
            <w:tcBorders>
              <w:top w:val="single" w:color="auto" w:sz="4" w:space="0"/>
              <w:left w:val="single" w:color="auto" w:sz="4" w:space="0"/>
              <w:bottom w:val="single" w:color="auto" w:sz="4" w:space="0"/>
              <w:right w:val="single" w:color="auto" w:sz="4" w:space="0"/>
            </w:tcBorders>
            <w:vAlign w:val="center"/>
          </w:tcPr>
          <w:p w14:paraId="242CD5F3">
            <w:pPr>
              <w:pStyle w:val="145"/>
              <w:jc w:val="left"/>
              <w:rPr>
                <w:rFonts w:hint="default"/>
              </w:rPr>
            </w:pPr>
            <w:r>
              <w:t>吴  华</w:t>
            </w:r>
          </w:p>
        </w:tc>
        <w:tc>
          <w:tcPr>
            <w:tcW w:w="2905" w:type="dxa"/>
            <w:tcBorders>
              <w:top w:val="single" w:color="auto" w:sz="4" w:space="0"/>
              <w:left w:val="single" w:color="auto" w:sz="4" w:space="0"/>
              <w:bottom w:val="single" w:color="auto" w:sz="4" w:space="0"/>
              <w:right w:val="single" w:color="auto" w:sz="4" w:space="0"/>
            </w:tcBorders>
            <w:vAlign w:val="center"/>
          </w:tcPr>
          <w:p w14:paraId="671895AE">
            <w:pPr>
              <w:pStyle w:val="145"/>
              <w:ind w:firstLine="560"/>
              <w:rPr>
                <w:rFonts w:hint="default"/>
              </w:rPr>
            </w:pPr>
            <w:r>
              <w:t>CAWS530000230200949</w:t>
            </w:r>
          </w:p>
        </w:tc>
        <w:tc>
          <w:tcPr>
            <w:tcW w:w="1488" w:type="dxa"/>
            <w:tcBorders>
              <w:top w:val="single" w:color="auto" w:sz="4" w:space="0"/>
              <w:left w:val="single" w:color="auto" w:sz="4" w:space="0"/>
              <w:bottom w:val="single" w:color="auto" w:sz="4" w:space="0"/>
              <w:right w:val="single" w:color="auto" w:sz="4" w:space="0"/>
            </w:tcBorders>
            <w:vAlign w:val="center"/>
          </w:tcPr>
          <w:p w14:paraId="35331C36">
            <w:pPr>
              <w:pStyle w:val="145"/>
              <w:jc w:val="left"/>
              <w:rPr>
                <w:rFonts w:hint="default"/>
              </w:rPr>
            </w:pPr>
            <w:r>
              <w:t>043387</w:t>
            </w:r>
          </w:p>
        </w:tc>
        <w:tc>
          <w:tcPr>
            <w:tcW w:w="1193" w:type="dxa"/>
            <w:tcBorders>
              <w:top w:val="single" w:color="auto" w:sz="4" w:space="0"/>
              <w:left w:val="single" w:color="auto" w:sz="4" w:space="0"/>
              <w:bottom w:val="single" w:color="auto" w:sz="4" w:space="0"/>
              <w:right w:val="single" w:color="auto" w:sz="4" w:space="0"/>
            </w:tcBorders>
            <w:vAlign w:val="center"/>
          </w:tcPr>
          <w:p w14:paraId="04CE21F5">
            <w:pPr>
              <w:pStyle w:val="145"/>
              <w:jc w:val="left"/>
              <w:rPr>
                <w:rFonts w:hint="default"/>
              </w:rPr>
            </w:pPr>
            <w:r>
              <w:t>工业分析</w:t>
            </w:r>
          </w:p>
        </w:tc>
        <w:tc>
          <w:tcPr>
            <w:tcW w:w="1616" w:type="dxa"/>
            <w:tcBorders>
              <w:top w:val="single" w:color="auto" w:sz="4" w:space="0"/>
              <w:left w:val="single" w:color="auto" w:sz="4" w:space="0"/>
              <w:bottom w:val="single" w:color="auto" w:sz="4" w:space="0"/>
              <w:right w:val="single" w:color="auto" w:sz="4" w:space="0"/>
            </w:tcBorders>
            <w:vAlign w:val="center"/>
          </w:tcPr>
          <w:p w14:paraId="72F95B6A">
            <w:pPr>
              <w:pStyle w:val="145"/>
              <w:ind w:firstLine="560"/>
              <w:rPr>
                <w:rFonts w:hint="default"/>
              </w:rPr>
            </w:pPr>
          </w:p>
        </w:tc>
      </w:tr>
      <w:tr w14:paraId="339F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continue"/>
            <w:tcBorders>
              <w:left w:val="single" w:color="auto" w:sz="4" w:space="0"/>
              <w:right w:val="single" w:color="auto" w:sz="4" w:space="0"/>
            </w:tcBorders>
            <w:vAlign w:val="center"/>
          </w:tcPr>
          <w:p w14:paraId="7E89031F">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6949C83A">
            <w:pPr>
              <w:pStyle w:val="145"/>
              <w:jc w:val="left"/>
              <w:rPr>
                <w:rFonts w:hint="default"/>
              </w:rPr>
            </w:pPr>
            <w:r>
              <w:t>杜达衡</w:t>
            </w:r>
          </w:p>
        </w:tc>
        <w:tc>
          <w:tcPr>
            <w:tcW w:w="2905" w:type="dxa"/>
            <w:tcBorders>
              <w:top w:val="single" w:color="auto" w:sz="4" w:space="0"/>
              <w:left w:val="single" w:color="auto" w:sz="4" w:space="0"/>
              <w:bottom w:val="single" w:color="auto" w:sz="4" w:space="0"/>
              <w:right w:val="single" w:color="auto" w:sz="4" w:space="0"/>
            </w:tcBorders>
            <w:vAlign w:val="center"/>
          </w:tcPr>
          <w:p w14:paraId="4E933E99">
            <w:pPr>
              <w:pStyle w:val="145"/>
              <w:ind w:firstLine="560"/>
              <w:rPr>
                <w:rFonts w:hint="default"/>
              </w:rPr>
            </w:pPr>
            <w:r>
              <w:t>S011053000110203001735</w:t>
            </w:r>
          </w:p>
        </w:tc>
        <w:tc>
          <w:tcPr>
            <w:tcW w:w="1488" w:type="dxa"/>
            <w:tcBorders>
              <w:top w:val="single" w:color="auto" w:sz="4" w:space="0"/>
              <w:left w:val="single" w:color="auto" w:sz="4" w:space="0"/>
              <w:bottom w:val="single" w:color="auto" w:sz="4" w:space="0"/>
              <w:right w:val="single" w:color="auto" w:sz="4" w:space="0"/>
            </w:tcBorders>
            <w:vAlign w:val="center"/>
          </w:tcPr>
          <w:p w14:paraId="01D55225">
            <w:pPr>
              <w:pStyle w:val="145"/>
              <w:jc w:val="left"/>
              <w:rPr>
                <w:rFonts w:hint="default"/>
              </w:rPr>
            </w:pPr>
            <w:r>
              <w:t>041638</w:t>
            </w:r>
          </w:p>
        </w:tc>
        <w:tc>
          <w:tcPr>
            <w:tcW w:w="1193" w:type="dxa"/>
            <w:tcBorders>
              <w:top w:val="single" w:color="auto" w:sz="4" w:space="0"/>
              <w:left w:val="single" w:color="auto" w:sz="4" w:space="0"/>
              <w:bottom w:val="single" w:color="auto" w:sz="4" w:space="0"/>
              <w:right w:val="single" w:color="auto" w:sz="4" w:space="0"/>
            </w:tcBorders>
            <w:vAlign w:val="center"/>
          </w:tcPr>
          <w:p w14:paraId="6FBD11C2">
            <w:pPr>
              <w:pStyle w:val="145"/>
              <w:jc w:val="left"/>
              <w:rPr>
                <w:rFonts w:hint="default"/>
              </w:rPr>
            </w:pPr>
            <w:r>
              <w:t>安全工程</w:t>
            </w:r>
          </w:p>
        </w:tc>
        <w:tc>
          <w:tcPr>
            <w:tcW w:w="1616" w:type="dxa"/>
            <w:tcBorders>
              <w:top w:val="single" w:color="auto" w:sz="4" w:space="0"/>
              <w:left w:val="single" w:color="auto" w:sz="4" w:space="0"/>
              <w:right w:val="single" w:color="auto" w:sz="4" w:space="0"/>
            </w:tcBorders>
            <w:vAlign w:val="center"/>
          </w:tcPr>
          <w:p w14:paraId="435F21C9">
            <w:pPr>
              <w:pStyle w:val="145"/>
              <w:ind w:firstLine="560"/>
              <w:rPr>
                <w:rFonts w:hint="default"/>
              </w:rPr>
            </w:pPr>
          </w:p>
        </w:tc>
      </w:tr>
      <w:tr w14:paraId="363C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vMerge w:val="continue"/>
            <w:tcBorders>
              <w:left w:val="single" w:color="auto" w:sz="4" w:space="0"/>
              <w:right w:val="single" w:color="auto" w:sz="4" w:space="0"/>
            </w:tcBorders>
            <w:vAlign w:val="center"/>
          </w:tcPr>
          <w:p w14:paraId="1A295049">
            <w:pPr>
              <w:pStyle w:val="145"/>
              <w:ind w:firstLine="560"/>
              <w:rPr>
                <w:rFonts w:hint="default"/>
              </w:rPr>
            </w:pPr>
          </w:p>
        </w:tc>
        <w:tc>
          <w:tcPr>
            <w:tcW w:w="1023" w:type="dxa"/>
            <w:tcBorders>
              <w:top w:val="single" w:color="auto" w:sz="4" w:space="0"/>
              <w:left w:val="single" w:color="auto" w:sz="4" w:space="0"/>
              <w:bottom w:val="single" w:color="auto" w:sz="4" w:space="0"/>
              <w:right w:val="single" w:color="auto" w:sz="4" w:space="0"/>
            </w:tcBorders>
            <w:vAlign w:val="center"/>
          </w:tcPr>
          <w:p w14:paraId="3DF9CF6B">
            <w:pPr>
              <w:pStyle w:val="145"/>
              <w:jc w:val="left"/>
              <w:rPr>
                <w:rFonts w:hint="default"/>
              </w:rPr>
            </w:pPr>
            <w:r>
              <w:t>吴映琴</w:t>
            </w:r>
          </w:p>
        </w:tc>
        <w:tc>
          <w:tcPr>
            <w:tcW w:w="2905" w:type="dxa"/>
            <w:tcBorders>
              <w:top w:val="single" w:color="auto" w:sz="4" w:space="0"/>
              <w:left w:val="single" w:color="auto" w:sz="4" w:space="0"/>
              <w:bottom w:val="single" w:color="auto" w:sz="4" w:space="0"/>
              <w:right w:val="single" w:color="auto" w:sz="4" w:space="0"/>
            </w:tcBorders>
            <w:vAlign w:val="center"/>
          </w:tcPr>
          <w:p w14:paraId="33971FFA">
            <w:pPr>
              <w:pStyle w:val="145"/>
              <w:ind w:firstLine="560"/>
              <w:rPr>
                <w:rFonts w:hint="default"/>
              </w:rPr>
            </w:pPr>
            <w:r>
              <w:t>1800000000301265</w:t>
            </w:r>
          </w:p>
        </w:tc>
        <w:tc>
          <w:tcPr>
            <w:tcW w:w="1488" w:type="dxa"/>
            <w:tcBorders>
              <w:top w:val="single" w:color="auto" w:sz="4" w:space="0"/>
              <w:left w:val="single" w:color="auto" w:sz="4" w:space="0"/>
              <w:bottom w:val="single" w:color="auto" w:sz="4" w:space="0"/>
              <w:right w:val="single" w:color="auto" w:sz="4" w:space="0"/>
            </w:tcBorders>
            <w:vAlign w:val="center"/>
          </w:tcPr>
          <w:p w14:paraId="47B28712">
            <w:pPr>
              <w:pStyle w:val="145"/>
              <w:jc w:val="left"/>
              <w:rPr>
                <w:rFonts w:hint="default"/>
              </w:rPr>
            </w:pPr>
            <w:r>
              <w:t>033760</w:t>
            </w:r>
          </w:p>
        </w:tc>
        <w:tc>
          <w:tcPr>
            <w:tcW w:w="1193" w:type="dxa"/>
            <w:tcBorders>
              <w:top w:val="single" w:color="auto" w:sz="4" w:space="0"/>
              <w:left w:val="single" w:color="auto" w:sz="4" w:space="0"/>
              <w:bottom w:val="single" w:color="auto" w:sz="4" w:space="0"/>
              <w:right w:val="single" w:color="auto" w:sz="4" w:space="0"/>
            </w:tcBorders>
            <w:vAlign w:val="center"/>
          </w:tcPr>
          <w:p w14:paraId="26F4A1CC">
            <w:pPr>
              <w:pStyle w:val="145"/>
              <w:jc w:val="left"/>
              <w:rPr>
                <w:rFonts w:hint="default"/>
              </w:rPr>
            </w:pPr>
            <w:r>
              <w:t>安全工程</w:t>
            </w:r>
          </w:p>
        </w:tc>
        <w:tc>
          <w:tcPr>
            <w:tcW w:w="1616" w:type="dxa"/>
            <w:tcBorders>
              <w:left w:val="single" w:color="auto" w:sz="4" w:space="0"/>
              <w:bottom w:val="single" w:color="auto" w:sz="4" w:space="0"/>
              <w:right w:val="single" w:color="auto" w:sz="4" w:space="0"/>
            </w:tcBorders>
            <w:vAlign w:val="center"/>
          </w:tcPr>
          <w:p w14:paraId="11EFC3F0">
            <w:pPr>
              <w:pStyle w:val="145"/>
              <w:ind w:firstLine="560"/>
              <w:rPr>
                <w:rFonts w:hint="default"/>
              </w:rPr>
            </w:pPr>
          </w:p>
        </w:tc>
      </w:tr>
      <w:tr w14:paraId="08B3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14:paraId="4A9A84AE">
            <w:pPr>
              <w:pStyle w:val="145"/>
              <w:jc w:val="left"/>
              <w:rPr>
                <w:rFonts w:hint="default"/>
              </w:rPr>
            </w:pPr>
            <w:r>
              <w:t>报告审核人</w:t>
            </w:r>
          </w:p>
        </w:tc>
        <w:tc>
          <w:tcPr>
            <w:tcW w:w="1023" w:type="dxa"/>
            <w:tcBorders>
              <w:top w:val="single" w:color="auto" w:sz="4" w:space="0"/>
              <w:left w:val="single" w:color="auto" w:sz="4" w:space="0"/>
              <w:bottom w:val="single" w:color="auto" w:sz="4" w:space="0"/>
              <w:right w:val="single" w:color="auto" w:sz="4" w:space="0"/>
            </w:tcBorders>
            <w:vAlign w:val="center"/>
          </w:tcPr>
          <w:p w14:paraId="24E0DC2E">
            <w:pPr>
              <w:pStyle w:val="145"/>
              <w:jc w:val="left"/>
              <w:rPr>
                <w:rFonts w:hint="default"/>
              </w:rPr>
            </w:pPr>
            <w:r>
              <w:t>郑  强</w:t>
            </w:r>
          </w:p>
        </w:tc>
        <w:tc>
          <w:tcPr>
            <w:tcW w:w="2905" w:type="dxa"/>
            <w:tcBorders>
              <w:top w:val="single" w:color="auto" w:sz="4" w:space="0"/>
              <w:left w:val="single" w:color="auto" w:sz="4" w:space="0"/>
              <w:bottom w:val="single" w:color="auto" w:sz="4" w:space="0"/>
              <w:right w:val="single" w:color="auto" w:sz="4" w:space="0"/>
            </w:tcBorders>
            <w:vAlign w:val="center"/>
          </w:tcPr>
          <w:p w14:paraId="616BA9CD">
            <w:pPr>
              <w:pStyle w:val="145"/>
              <w:ind w:firstLine="560"/>
              <w:rPr>
                <w:rFonts w:hint="default"/>
              </w:rPr>
            </w:pPr>
            <w:r>
              <w:t>0800000000101605</w:t>
            </w:r>
          </w:p>
        </w:tc>
        <w:tc>
          <w:tcPr>
            <w:tcW w:w="1488" w:type="dxa"/>
            <w:tcBorders>
              <w:top w:val="single" w:color="auto" w:sz="4" w:space="0"/>
              <w:left w:val="single" w:color="auto" w:sz="4" w:space="0"/>
              <w:bottom w:val="single" w:color="auto" w:sz="4" w:space="0"/>
              <w:right w:val="single" w:color="auto" w:sz="4" w:space="0"/>
            </w:tcBorders>
            <w:vAlign w:val="center"/>
          </w:tcPr>
          <w:p w14:paraId="7A5DF62F">
            <w:pPr>
              <w:pStyle w:val="145"/>
              <w:jc w:val="left"/>
              <w:rPr>
                <w:rFonts w:hint="default"/>
              </w:rPr>
            </w:pPr>
            <w:r>
              <w:t>001851</w:t>
            </w:r>
          </w:p>
        </w:tc>
        <w:tc>
          <w:tcPr>
            <w:tcW w:w="1193" w:type="dxa"/>
            <w:tcBorders>
              <w:top w:val="single" w:color="auto" w:sz="4" w:space="0"/>
              <w:left w:val="single" w:color="auto" w:sz="4" w:space="0"/>
              <w:bottom w:val="single" w:color="auto" w:sz="4" w:space="0"/>
              <w:right w:val="single" w:color="auto" w:sz="4" w:space="0"/>
            </w:tcBorders>
            <w:vAlign w:val="center"/>
          </w:tcPr>
          <w:p w14:paraId="01BA6BAE">
            <w:pPr>
              <w:pStyle w:val="145"/>
              <w:jc w:val="left"/>
              <w:rPr>
                <w:rFonts w:hint="default"/>
              </w:rPr>
            </w:pPr>
            <w:r>
              <w:t>安全工程</w:t>
            </w:r>
          </w:p>
        </w:tc>
        <w:tc>
          <w:tcPr>
            <w:tcW w:w="1616" w:type="dxa"/>
            <w:tcBorders>
              <w:top w:val="single" w:color="auto" w:sz="4" w:space="0"/>
              <w:left w:val="single" w:color="auto" w:sz="4" w:space="0"/>
              <w:bottom w:val="single" w:color="auto" w:sz="4" w:space="0"/>
              <w:right w:val="single" w:color="auto" w:sz="4" w:space="0"/>
            </w:tcBorders>
            <w:vAlign w:val="center"/>
          </w:tcPr>
          <w:p w14:paraId="67C19666">
            <w:pPr>
              <w:pStyle w:val="145"/>
              <w:ind w:firstLine="560"/>
              <w:rPr>
                <w:rFonts w:hint="default"/>
              </w:rPr>
            </w:pPr>
          </w:p>
        </w:tc>
      </w:tr>
      <w:tr w14:paraId="1DA8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14:paraId="7266495E">
            <w:pPr>
              <w:pStyle w:val="145"/>
              <w:jc w:val="left"/>
              <w:rPr>
                <w:rFonts w:hint="default"/>
              </w:rPr>
            </w:pPr>
            <w:r>
              <w:t>过程控制</w:t>
            </w:r>
          </w:p>
          <w:p w14:paraId="591986F8">
            <w:pPr>
              <w:pStyle w:val="145"/>
              <w:jc w:val="left"/>
              <w:rPr>
                <w:rFonts w:hint="default"/>
              </w:rPr>
            </w:pPr>
            <w:r>
              <w:t>负责人</w:t>
            </w:r>
          </w:p>
        </w:tc>
        <w:tc>
          <w:tcPr>
            <w:tcW w:w="1023" w:type="dxa"/>
            <w:tcBorders>
              <w:top w:val="single" w:color="auto" w:sz="4" w:space="0"/>
              <w:left w:val="single" w:color="auto" w:sz="4" w:space="0"/>
              <w:bottom w:val="single" w:color="auto" w:sz="4" w:space="0"/>
              <w:right w:val="single" w:color="auto" w:sz="4" w:space="0"/>
            </w:tcBorders>
            <w:vAlign w:val="center"/>
          </w:tcPr>
          <w:p w14:paraId="435BC09E">
            <w:pPr>
              <w:pStyle w:val="145"/>
              <w:jc w:val="left"/>
              <w:rPr>
                <w:rFonts w:hint="default"/>
              </w:rPr>
            </w:pPr>
            <w:r>
              <w:t>黄香港</w:t>
            </w:r>
          </w:p>
        </w:tc>
        <w:tc>
          <w:tcPr>
            <w:tcW w:w="2905" w:type="dxa"/>
            <w:tcBorders>
              <w:top w:val="single" w:color="auto" w:sz="4" w:space="0"/>
              <w:left w:val="single" w:color="auto" w:sz="4" w:space="0"/>
              <w:bottom w:val="single" w:color="auto" w:sz="4" w:space="0"/>
              <w:right w:val="single" w:color="auto" w:sz="4" w:space="0"/>
            </w:tcBorders>
            <w:vAlign w:val="center"/>
          </w:tcPr>
          <w:p w14:paraId="31F95626">
            <w:pPr>
              <w:pStyle w:val="145"/>
              <w:ind w:firstLine="560"/>
              <w:rPr>
                <w:rFonts w:hint="default"/>
              </w:rPr>
            </w:pPr>
            <w:r>
              <w:t>S011035000110191000617</w:t>
            </w:r>
          </w:p>
        </w:tc>
        <w:tc>
          <w:tcPr>
            <w:tcW w:w="1488" w:type="dxa"/>
            <w:tcBorders>
              <w:top w:val="single" w:color="auto" w:sz="4" w:space="0"/>
              <w:left w:val="single" w:color="auto" w:sz="4" w:space="0"/>
              <w:bottom w:val="single" w:color="auto" w:sz="4" w:space="0"/>
              <w:right w:val="single" w:color="auto" w:sz="4" w:space="0"/>
            </w:tcBorders>
            <w:vAlign w:val="center"/>
          </w:tcPr>
          <w:p w14:paraId="456AC719">
            <w:pPr>
              <w:pStyle w:val="145"/>
              <w:jc w:val="left"/>
              <w:rPr>
                <w:rFonts w:hint="default"/>
              </w:rPr>
            </w:pPr>
            <w:r>
              <w:t>024436</w:t>
            </w:r>
          </w:p>
        </w:tc>
        <w:tc>
          <w:tcPr>
            <w:tcW w:w="1193" w:type="dxa"/>
            <w:tcBorders>
              <w:top w:val="single" w:color="auto" w:sz="4" w:space="0"/>
              <w:left w:val="single" w:color="auto" w:sz="4" w:space="0"/>
              <w:bottom w:val="single" w:color="auto" w:sz="4" w:space="0"/>
              <w:right w:val="single" w:color="auto" w:sz="4" w:space="0"/>
            </w:tcBorders>
            <w:vAlign w:val="center"/>
          </w:tcPr>
          <w:p w14:paraId="2C64D503">
            <w:pPr>
              <w:pStyle w:val="145"/>
              <w:jc w:val="left"/>
              <w:rPr>
                <w:rFonts w:hint="default"/>
              </w:rPr>
            </w:pPr>
            <w:r>
              <w:t>化学工程与工艺</w:t>
            </w:r>
          </w:p>
        </w:tc>
        <w:tc>
          <w:tcPr>
            <w:tcW w:w="1616" w:type="dxa"/>
            <w:tcBorders>
              <w:top w:val="single" w:color="auto" w:sz="4" w:space="0"/>
              <w:left w:val="single" w:color="auto" w:sz="4" w:space="0"/>
              <w:bottom w:val="single" w:color="auto" w:sz="4" w:space="0"/>
              <w:right w:val="single" w:color="auto" w:sz="4" w:space="0"/>
            </w:tcBorders>
            <w:vAlign w:val="center"/>
          </w:tcPr>
          <w:p w14:paraId="334CA025">
            <w:pPr>
              <w:pStyle w:val="145"/>
              <w:ind w:firstLine="560"/>
              <w:rPr>
                <w:rFonts w:hint="default"/>
              </w:rPr>
            </w:pPr>
          </w:p>
        </w:tc>
      </w:tr>
      <w:tr w14:paraId="2AFD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14:paraId="6167B6DB">
            <w:pPr>
              <w:pStyle w:val="145"/>
              <w:jc w:val="left"/>
              <w:rPr>
                <w:rFonts w:hint="default"/>
              </w:rPr>
            </w:pPr>
            <w:r>
              <w:t>技术负责人</w:t>
            </w:r>
          </w:p>
        </w:tc>
        <w:tc>
          <w:tcPr>
            <w:tcW w:w="1023" w:type="dxa"/>
            <w:tcBorders>
              <w:top w:val="single" w:color="auto" w:sz="4" w:space="0"/>
              <w:left w:val="single" w:color="auto" w:sz="4" w:space="0"/>
              <w:bottom w:val="single" w:color="auto" w:sz="4" w:space="0"/>
              <w:right w:val="single" w:color="auto" w:sz="4" w:space="0"/>
            </w:tcBorders>
            <w:vAlign w:val="center"/>
          </w:tcPr>
          <w:p w14:paraId="62DEEBF0">
            <w:pPr>
              <w:pStyle w:val="145"/>
              <w:jc w:val="left"/>
              <w:rPr>
                <w:rFonts w:hint="default"/>
              </w:rPr>
            </w:pPr>
            <w:r>
              <w:t>管自强</w:t>
            </w:r>
          </w:p>
        </w:tc>
        <w:tc>
          <w:tcPr>
            <w:tcW w:w="2905" w:type="dxa"/>
            <w:tcBorders>
              <w:top w:val="single" w:color="auto" w:sz="4" w:space="0"/>
              <w:left w:val="single" w:color="auto" w:sz="4" w:space="0"/>
              <w:bottom w:val="single" w:color="auto" w:sz="4" w:space="0"/>
              <w:right w:val="single" w:color="auto" w:sz="4" w:space="0"/>
            </w:tcBorders>
            <w:vAlign w:val="center"/>
          </w:tcPr>
          <w:p w14:paraId="1D0E441C">
            <w:pPr>
              <w:pStyle w:val="145"/>
              <w:ind w:firstLine="560"/>
              <w:rPr>
                <w:rFonts w:hint="default"/>
              </w:rPr>
            </w:pPr>
            <w:r>
              <w:t>S011035000110191000614</w:t>
            </w:r>
          </w:p>
        </w:tc>
        <w:tc>
          <w:tcPr>
            <w:tcW w:w="1488" w:type="dxa"/>
            <w:tcBorders>
              <w:top w:val="single" w:color="auto" w:sz="4" w:space="0"/>
              <w:left w:val="single" w:color="auto" w:sz="4" w:space="0"/>
              <w:bottom w:val="single" w:color="auto" w:sz="4" w:space="0"/>
              <w:right w:val="single" w:color="auto" w:sz="4" w:space="0"/>
            </w:tcBorders>
            <w:vAlign w:val="center"/>
          </w:tcPr>
          <w:p w14:paraId="4757AB8E">
            <w:pPr>
              <w:pStyle w:val="145"/>
              <w:jc w:val="left"/>
              <w:rPr>
                <w:rFonts w:hint="default"/>
              </w:rPr>
            </w:pPr>
            <w:r>
              <w:t>020516</w:t>
            </w:r>
          </w:p>
        </w:tc>
        <w:tc>
          <w:tcPr>
            <w:tcW w:w="1193" w:type="dxa"/>
            <w:tcBorders>
              <w:top w:val="single" w:color="auto" w:sz="4" w:space="0"/>
              <w:left w:val="single" w:color="auto" w:sz="4" w:space="0"/>
              <w:bottom w:val="single" w:color="auto" w:sz="4" w:space="0"/>
              <w:right w:val="single" w:color="auto" w:sz="4" w:space="0"/>
            </w:tcBorders>
            <w:vAlign w:val="center"/>
          </w:tcPr>
          <w:p w14:paraId="095D4812">
            <w:pPr>
              <w:pStyle w:val="145"/>
              <w:jc w:val="left"/>
              <w:rPr>
                <w:rFonts w:hint="default"/>
              </w:rPr>
            </w:pPr>
            <w:r>
              <w:t>水工结构</w:t>
            </w:r>
          </w:p>
        </w:tc>
        <w:tc>
          <w:tcPr>
            <w:tcW w:w="1616" w:type="dxa"/>
            <w:tcBorders>
              <w:top w:val="single" w:color="auto" w:sz="4" w:space="0"/>
              <w:left w:val="single" w:color="auto" w:sz="4" w:space="0"/>
              <w:bottom w:val="single" w:color="auto" w:sz="4" w:space="0"/>
              <w:right w:val="single" w:color="auto" w:sz="4" w:space="0"/>
            </w:tcBorders>
            <w:vAlign w:val="center"/>
          </w:tcPr>
          <w:p w14:paraId="5AA29A14">
            <w:pPr>
              <w:pStyle w:val="145"/>
              <w:ind w:firstLine="560"/>
              <w:rPr>
                <w:rFonts w:hint="default"/>
              </w:rPr>
            </w:pPr>
          </w:p>
        </w:tc>
      </w:tr>
    </w:tbl>
    <w:p w14:paraId="65939A69">
      <w:pPr>
        <w:widowControl/>
        <w:spacing w:line="240" w:lineRule="auto"/>
        <w:ind w:firstLine="0" w:firstLineChars="0"/>
        <w:rPr>
          <w:rFonts w:hint="eastAsia" w:ascii="宋体" w:hAnsi="宋体" w:cs="宋体"/>
          <w:b/>
          <w:bCs/>
        </w:rPr>
      </w:pPr>
      <w:r>
        <w:rPr>
          <w:rFonts w:hint="eastAsia" w:ascii="宋体" w:hAnsi="宋体" w:cs="宋体"/>
          <w:b/>
          <w:bCs/>
        </w:rPr>
        <w:br w:type="page"/>
      </w:r>
    </w:p>
    <w:p w14:paraId="6A979252">
      <w:pPr>
        <w:wordWrap w:val="0"/>
        <w:spacing w:line="800" w:lineRule="exact"/>
        <w:ind w:firstLine="0" w:firstLineChars="0"/>
        <w:jc w:val="both"/>
      </w:pPr>
      <w:r>
        <w:drawing>
          <wp:anchor distT="0" distB="0" distL="114300" distR="114300" simplePos="0" relativeHeight="251660288" behindDoc="1" locked="0" layoutInCell="1" allowOverlap="1">
            <wp:simplePos x="0" y="0"/>
            <wp:positionH relativeFrom="column">
              <wp:posOffset>175895</wp:posOffset>
            </wp:positionH>
            <wp:positionV relativeFrom="paragraph">
              <wp:posOffset>521970</wp:posOffset>
            </wp:positionV>
            <wp:extent cx="5821680" cy="4366260"/>
            <wp:effectExtent l="0" t="0" r="0" b="0"/>
            <wp:wrapTight wrapText="bothSides">
              <wp:wrapPolygon>
                <wp:start x="0" y="0"/>
                <wp:lineTo x="0" y="21487"/>
                <wp:lineTo x="21558" y="21487"/>
                <wp:lineTo x="21558" y="0"/>
                <wp:lineTo x="0" y="0"/>
              </wp:wrapPolygon>
            </wp:wrapTight>
            <wp:docPr id="1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21680" cy="4366260"/>
                    </a:xfrm>
                    <a:prstGeom prst="rect">
                      <a:avLst/>
                    </a:prstGeom>
                    <a:noFill/>
                    <a:ln>
                      <a:noFill/>
                    </a:ln>
                  </pic:spPr>
                </pic:pic>
              </a:graphicData>
            </a:graphic>
          </wp:anchor>
        </w:drawing>
      </w:r>
      <w:r>
        <w:rPr>
          <w:rFonts w:hint="eastAsia"/>
        </w:rPr>
        <w:t>评价组现场照片：</w:t>
      </w:r>
    </w:p>
    <w:p w14:paraId="53D54E5F">
      <w:pPr>
        <w:wordWrap w:val="0"/>
        <w:spacing w:line="800" w:lineRule="exact"/>
        <w:ind w:firstLine="0" w:firstLineChars="0"/>
        <w:jc w:val="both"/>
      </w:pPr>
      <w:r>
        <w:rPr>
          <w:rFonts w:hint="eastAsia"/>
        </w:rPr>
        <w:t>图1（左：评价师吴映琴、中：企业代表张帮明、右：评价师吴华）</w:t>
      </w:r>
    </w:p>
    <w:p w14:paraId="392C72A5">
      <w:pPr>
        <w:widowControl/>
        <w:spacing w:line="240" w:lineRule="auto"/>
        <w:ind w:firstLine="0" w:firstLineChars="0"/>
        <w:sectPr>
          <w:pgSz w:w="11906" w:h="16838"/>
          <w:pgMar w:top="1134" w:right="1134" w:bottom="1134" w:left="1587" w:header="850" w:footer="992" w:gutter="0"/>
          <w:pgNumType w:fmt="upperRoman" w:start="1"/>
          <w:cols w:space="720" w:num="1"/>
          <w:docGrid w:linePitch="381" w:charSpace="0"/>
        </w:sectPr>
      </w:pPr>
      <w:r>
        <w:br w:type="page"/>
      </w:r>
    </w:p>
    <w:p w14:paraId="7936FF80">
      <w:pPr>
        <w:pStyle w:val="3"/>
        <w:spacing w:before="480" w:after="240"/>
        <w:rPr>
          <w:rFonts w:hint="default"/>
        </w:rPr>
      </w:pPr>
      <w:bookmarkStart w:id="5" w:name="_Toc24731"/>
      <w:bookmarkStart w:id="6" w:name="_Toc18021"/>
      <w:bookmarkStart w:id="7" w:name="_Toc30701"/>
      <w:bookmarkStart w:id="8" w:name="_Toc208929871"/>
      <w:bookmarkStart w:id="9" w:name="_Toc30176"/>
      <w:bookmarkStart w:id="10" w:name="_Toc215070126"/>
      <w:r>
        <w:t>前  言</w:t>
      </w:r>
      <w:bookmarkEnd w:id="5"/>
      <w:bookmarkEnd w:id="6"/>
      <w:bookmarkEnd w:id="7"/>
      <w:bookmarkEnd w:id="8"/>
      <w:bookmarkEnd w:id="9"/>
      <w:bookmarkEnd w:id="10"/>
    </w:p>
    <w:p w14:paraId="4DF4D05A">
      <w:pPr>
        <w:adjustRightInd w:val="0"/>
        <w:snapToGrid w:val="0"/>
        <w:ind w:firstLine="560"/>
        <w:jc w:val="both"/>
        <w:rPr>
          <w:szCs w:val="28"/>
        </w:rPr>
      </w:pPr>
      <w:r>
        <w:rPr>
          <w:szCs w:val="28"/>
        </w:rPr>
        <w:t>广南同邦工贸有限公司成立于2020年09月30日，注册地位于云南省文山壮族苗族自治州广南县旧莫乡昔板小格达村小组，法定代表人为余昌奎，企业类型为有限责任公司（自然人投资或控股），统一社会信用代码为91532627MA6PTLLG0W。</w:t>
      </w:r>
    </w:p>
    <w:p w14:paraId="43E9FA77">
      <w:pPr>
        <w:widowControl/>
        <w:adjustRightInd w:val="0"/>
        <w:snapToGrid w:val="0"/>
        <w:ind w:firstLine="560"/>
        <w:jc w:val="both"/>
        <w:rPr>
          <w:color w:val="000000" w:themeColor="text1"/>
          <w:szCs w:val="28"/>
          <w14:textFill>
            <w14:solidFill>
              <w14:schemeClr w14:val="tx1"/>
            </w14:solidFill>
          </w14:textFill>
        </w:rPr>
      </w:pPr>
      <w:bookmarkStart w:id="11" w:name="OLE_LINK19"/>
      <w:r>
        <w:rPr>
          <w:color w:val="000000" w:themeColor="text1"/>
          <w:szCs w:val="28"/>
          <w14:textFill>
            <w14:solidFill>
              <w14:schemeClr w14:val="tx1"/>
            </w14:solidFill>
          </w14:textFill>
        </w:rPr>
        <w:t>广南县旧莫小格达普通建筑石料用灰岩矿</w:t>
      </w:r>
      <w:bookmarkEnd w:id="11"/>
      <w:r>
        <w:rPr>
          <w:rFonts w:hint="eastAsia"/>
          <w:color w:val="000000" w:themeColor="text1"/>
          <w:szCs w:val="28"/>
          <w14:textFill>
            <w14:solidFill>
              <w14:schemeClr w14:val="tx1"/>
            </w14:solidFill>
          </w14:textFill>
        </w:rPr>
        <w:t>50万t/a露天矿</w:t>
      </w:r>
      <w:r>
        <w:rPr>
          <w:color w:val="000000" w:themeColor="text1"/>
          <w:szCs w:val="28"/>
          <w14:textFill>
            <w14:solidFill>
              <w14:schemeClr w14:val="tx1"/>
            </w14:solidFill>
          </w14:textFill>
        </w:rPr>
        <w:t>为广南同邦工贸有限公司下属矿山，矿山地理坐标(2000国家大地坐标系)：东经104°59′32″～104°59′44″，北纬23°58′43″～23°59′02″，位于208省道东侧，地处广南县旧莫乡昔板村民委员会境内，行政区划隶属文山壮族苗族自治州广南县管辖。</w:t>
      </w:r>
    </w:p>
    <w:p w14:paraId="023A850B">
      <w:pPr>
        <w:adjustRightInd w:val="0"/>
        <w:snapToGrid w:val="0"/>
        <w:ind w:firstLine="560"/>
        <w:jc w:val="both"/>
        <w:rPr>
          <w:rFonts w:cs="宋体"/>
          <w:color w:val="000000" w:themeColor="text1"/>
          <w:szCs w:val="28"/>
          <w14:textFill>
            <w14:solidFill>
              <w14:schemeClr w14:val="tx1"/>
            </w14:solidFill>
          </w14:textFill>
        </w:rPr>
      </w:pPr>
      <w:r>
        <w:rPr>
          <w:color w:val="000000" w:themeColor="text1"/>
          <w:szCs w:val="28"/>
          <w14:textFill>
            <w14:solidFill>
              <w14:schemeClr w14:val="tx1"/>
            </w14:solidFill>
          </w14:textFill>
        </w:rPr>
        <w:t>广南县旧莫小格达普通建筑石料用灰岩矿</w:t>
      </w:r>
      <w:r>
        <w:rPr>
          <w:rFonts w:hint="eastAsia"/>
          <w:color w:val="000000" w:themeColor="text1"/>
          <w:szCs w:val="28"/>
          <w14:textFill>
            <w14:solidFill>
              <w14:schemeClr w14:val="tx1"/>
            </w14:solidFill>
          </w14:textFill>
        </w:rPr>
        <w:t>露天矿山</w:t>
      </w:r>
      <w:r>
        <w:rPr>
          <w:rFonts w:hint="eastAsia" w:cs="宋体"/>
          <w:color w:val="000000" w:themeColor="text1"/>
          <w:szCs w:val="28"/>
          <w14:textFill>
            <w14:solidFill>
              <w14:schemeClr w14:val="tx1"/>
            </w14:solidFill>
          </w14:textFill>
        </w:rPr>
        <w:t>于2014年6月12日首次取得采矿许可证。</w:t>
      </w:r>
      <w:r>
        <w:rPr>
          <w:color w:val="000000" w:themeColor="text1"/>
          <w:kern w:val="0"/>
          <w:szCs w:val="28"/>
          <w14:textFill>
            <w14:solidFill>
              <w14:schemeClr w14:val="tx1"/>
            </w14:solidFill>
          </w14:textFill>
        </w:rPr>
        <w:t>采矿权到期后，</w:t>
      </w:r>
      <w:r>
        <w:rPr>
          <w:rFonts w:hint="eastAsia"/>
          <w:color w:val="000000" w:themeColor="text1"/>
          <w:kern w:val="0"/>
          <w:szCs w:val="28"/>
          <w14:textFill>
            <w14:solidFill>
              <w14:schemeClr w14:val="tx1"/>
            </w14:solidFill>
          </w14:textFill>
        </w:rPr>
        <w:t>矿山重新办理采矿证，</w:t>
      </w:r>
      <w:r>
        <w:rPr>
          <w:color w:val="000000" w:themeColor="text1"/>
          <w:kern w:val="0"/>
          <w:szCs w:val="28"/>
          <w14:textFill>
            <w14:solidFill>
              <w14:schemeClr w14:val="tx1"/>
            </w14:solidFill>
          </w14:textFill>
        </w:rPr>
        <w:t>于202</w:t>
      </w:r>
      <w:r>
        <w:rPr>
          <w:rFonts w:hint="eastAsia"/>
          <w:color w:val="000000" w:themeColor="text1"/>
          <w:kern w:val="0"/>
          <w:szCs w:val="28"/>
          <w14:textFill>
            <w14:solidFill>
              <w14:schemeClr w14:val="tx1"/>
            </w14:solidFill>
          </w14:textFill>
        </w:rPr>
        <w:t>3</w:t>
      </w:r>
      <w:r>
        <w:rPr>
          <w:color w:val="000000" w:themeColor="text1"/>
          <w:kern w:val="0"/>
          <w:szCs w:val="28"/>
          <w14:textFill>
            <w14:solidFill>
              <w14:schemeClr w14:val="tx1"/>
            </w14:solidFill>
          </w14:textFill>
        </w:rPr>
        <w:t>年</w:t>
      </w:r>
      <w:r>
        <w:rPr>
          <w:rFonts w:hint="eastAsia"/>
          <w:color w:val="000000" w:themeColor="text1"/>
          <w:kern w:val="0"/>
          <w:szCs w:val="28"/>
          <w14:textFill>
            <w14:solidFill>
              <w14:schemeClr w14:val="tx1"/>
            </w14:solidFill>
          </w14:textFill>
        </w:rPr>
        <w:t>3</w:t>
      </w:r>
      <w:r>
        <w:rPr>
          <w:color w:val="000000" w:themeColor="text1"/>
          <w:kern w:val="0"/>
          <w:szCs w:val="28"/>
          <w14:textFill>
            <w14:solidFill>
              <w14:schemeClr w14:val="tx1"/>
            </w14:solidFill>
          </w14:textFill>
        </w:rPr>
        <w:t>月</w:t>
      </w:r>
      <w:r>
        <w:rPr>
          <w:rFonts w:hint="eastAsia"/>
          <w:color w:val="000000" w:themeColor="text1"/>
          <w:kern w:val="0"/>
          <w:szCs w:val="28"/>
          <w14:textFill>
            <w14:solidFill>
              <w14:schemeClr w14:val="tx1"/>
            </w14:solidFill>
          </w14:textFill>
        </w:rPr>
        <w:t>2</w:t>
      </w:r>
      <w:r>
        <w:rPr>
          <w:color w:val="000000" w:themeColor="text1"/>
          <w:kern w:val="0"/>
          <w:szCs w:val="28"/>
          <w14:textFill>
            <w14:solidFill>
              <w14:schemeClr w14:val="tx1"/>
            </w14:solidFill>
          </w14:textFill>
        </w:rPr>
        <w:t>4日取得了</w:t>
      </w:r>
      <w:r>
        <w:rPr>
          <w:rFonts w:hint="eastAsia"/>
          <w:color w:val="000000" w:themeColor="text1"/>
          <w:kern w:val="0"/>
          <w:szCs w:val="28"/>
          <w14:textFill>
            <w14:solidFill>
              <w14:schemeClr w14:val="tx1"/>
            </w14:solidFill>
          </w14:textFill>
        </w:rPr>
        <w:t>广南县</w:t>
      </w:r>
      <w:r>
        <w:rPr>
          <w:color w:val="000000" w:themeColor="text1"/>
          <w:kern w:val="0"/>
          <w:szCs w:val="28"/>
          <w14:textFill>
            <w14:solidFill>
              <w14:schemeClr w14:val="tx1"/>
            </w14:solidFill>
          </w14:textFill>
        </w:rPr>
        <w:t>自然资源局颁发的采矿证，矿山名称：广南县旧莫小格达</w:t>
      </w:r>
      <w:r>
        <w:rPr>
          <w:rFonts w:hint="eastAsia"/>
          <w:color w:val="000000" w:themeColor="text1"/>
          <w:kern w:val="0"/>
          <w:szCs w:val="28"/>
          <w14:textFill>
            <w14:solidFill>
              <w14:schemeClr w14:val="tx1"/>
            </w14:solidFill>
          </w14:textFill>
        </w:rPr>
        <w:t>普通建筑石料用</w:t>
      </w:r>
      <w:r>
        <w:rPr>
          <w:color w:val="000000" w:themeColor="text1"/>
          <w:szCs w:val="28"/>
          <w14:textFill>
            <w14:solidFill>
              <w14:schemeClr w14:val="tx1"/>
            </w14:solidFill>
          </w14:textFill>
        </w:rPr>
        <w:t>灰岩矿，采矿权人：广南同邦工贸有限公司</w:t>
      </w:r>
      <w:r>
        <w:rPr>
          <w:rFonts w:hint="eastAsia"/>
          <w:color w:val="000000" w:themeColor="text1"/>
          <w:szCs w:val="28"/>
          <w14:textFill>
            <w14:solidFill>
              <w14:schemeClr w14:val="tx1"/>
            </w14:solidFill>
          </w14:textFill>
        </w:rPr>
        <w:t>，经济类型：</w:t>
      </w:r>
      <w:r>
        <w:rPr>
          <w:color w:val="000000" w:themeColor="text1"/>
          <w:szCs w:val="28"/>
          <w14:textFill>
            <w14:solidFill>
              <w14:schemeClr w14:val="tx1"/>
            </w14:solidFill>
          </w14:textFill>
        </w:rPr>
        <w:t>有限责任公司</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生产规模：</w:t>
      </w:r>
      <w:r>
        <w:rPr>
          <w:rFonts w:hint="eastAsia"/>
          <w:color w:val="000000" w:themeColor="text1"/>
          <w:szCs w:val="28"/>
          <w14:textFill>
            <w14:solidFill>
              <w14:schemeClr w14:val="tx1"/>
            </w14:solidFill>
          </w14:textFill>
        </w:rPr>
        <w:t>30</w:t>
      </w:r>
      <w:r>
        <w:rPr>
          <w:color w:val="000000" w:themeColor="text1"/>
          <w:szCs w:val="28"/>
          <w14:textFill>
            <w14:solidFill>
              <w14:schemeClr w14:val="tx1"/>
            </w14:solidFill>
          </w14:textFill>
        </w:rPr>
        <w:t>万</w:t>
      </w:r>
      <w:r>
        <w:rPr>
          <w:rFonts w:hint="eastAsia"/>
          <w:color w:val="000000" w:themeColor="text1"/>
          <w:szCs w:val="28"/>
          <w14:textFill>
            <w14:solidFill>
              <w14:schemeClr w14:val="tx1"/>
            </w14:solidFill>
          </w14:textFill>
        </w:rPr>
        <w:t>吨</w:t>
      </w:r>
      <w:r>
        <w:rPr>
          <w:color w:val="000000" w:themeColor="text1"/>
          <w:szCs w:val="28"/>
          <w14:textFill>
            <w14:solidFill>
              <w14:schemeClr w14:val="tx1"/>
            </w14:solidFill>
          </w14:textFill>
        </w:rPr>
        <w:t>/年</w:t>
      </w:r>
      <w:r>
        <w:rPr>
          <w:rFonts w:hint="eastAsia"/>
          <w:color w:val="000000" w:themeColor="text1"/>
          <w:szCs w:val="28"/>
          <w14:textFill>
            <w14:solidFill>
              <w14:schemeClr w14:val="tx1"/>
            </w14:solidFill>
          </w14:textFill>
        </w:rPr>
        <w:t>，矿区</w:t>
      </w:r>
      <w:r>
        <w:rPr>
          <w:color w:val="000000" w:themeColor="text1"/>
          <w:szCs w:val="28"/>
          <w14:textFill>
            <w14:solidFill>
              <w14:schemeClr w14:val="tx1"/>
            </w14:solidFill>
          </w14:textFill>
        </w:rPr>
        <w:t>面积0.</w:t>
      </w:r>
      <w:r>
        <w:rPr>
          <w:rFonts w:hint="eastAsia"/>
          <w:color w:val="000000" w:themeColor="text1"/>
          <w:szCs w:val="28"/>
          <w14:textFill>
            <w14:solidFill>
              <w14:schemeClr w14:val="tx1"/>
            </w14:solidFill>
          </w14:textFill>
        </w:rPr>
        <w:t>1048</w:t>
      </w:r>
      <w:r>
        <w:rPr>
          <w:color w:val="000000" w:themeColor="text1"/>
          <w:szCs w:val="28"/>
          <w14:textFill>
            <w14:solidFill>
              <w14:schemeClr w14:val="tx1"/>
            </w14:solidFill>
          </w14:textFill>
        </w:rPr>
        <w:t>km</w:t>
      </w:r>
      <w:r>
        <w:rPr>
          <w:color w:val="000000" w:themeColor="text1"/>
          <w:szCs w:val="28"/>
          <w:vertAlign w:val="superscript"/>
          <w14:textFill>
            <w14:solidFill>
              <w14:schemeClr w14:val="tx1"/>
            </w14:solidFill>
          </w14:textFill>
        </w:rPr>
        <w:t>2</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采矿证号：C326272023037230154872，开采方式：露天开采，开采矿种：建筑石料</w:t>
      </w:r>
      <w:r>
        <w:rPr>
          <w:color w:val="000000" w:themeColor="text1"/>
          <w:kern w:val="0"/>
          <w:szCs w:val="28"/>
          <w14:textFill>
            <w14:solidFill>
              <w14:schemeClr w14:val="tx1"/>
            </w14:solidFill>
          </w14:textFill>
        </w:rPr>
        <w:t>用灰岩，有效期：202</w:t>
      </w:r>
      <w:r>
        <w:rPr>
          <w:rFonts w:hint="eastAsia"/>
          <w:color w:val="000000" w:themeColor="text1"/>
          <w:kern w:val="0"/>
          <w:szCs w:val="28"/>
          <w14:textFill>
            <w14:solidFill>
              <w14:schemeClr w14:val="tx1"/>
            </w14:solidFill>
          </w14:textFill>
        </w:rPr>
        <w:t>3</w:t>
      </w:r>
      <w:r>
        <w:rPr>
          <w:color w:val="000000" w:themeColor="text1"/>
          <w:kern w:val="0"/>
          <w:szCs w:val="28"/>
          <w14:textFill>
            <w14:solidFill>
              <w14:schemeClr w14:val="tx1"/>
            </w14:solidFill>
          </w14:textFill>
        </w:rPr>
        <w:t>年</w:t>
      </w:r>
      <w:r>
        <w:rPr>
          <w:rFonts w:hint="eastAsia"/>
          <w:color w:val="000000" w:themeColor="text1"/>
          <w:kern w:val="0"/>
          <w:szCs w:val="28"/>
          <w14:textFill>
            <w14:solidFill>
              <w14:schemeClr w14:val="tx1"/>
            </w14:solidFill>
          </w14:textFill>
        </w:rPr>
        <w:t>03</w:t>
      </w:r>
      <w:r>
        <w:rPr>
          <w:color w:val="000000" w:themeColor="text1"/>
          <w:kern w:val="0"/>
          <w:szCs w:val="28"/>
          <w14:textFill>
            <w14:solidFill>
              <w14:schemeClr w14:val="tx1"/>
            </w14:solidFill>
          </w14:textFill>
        </w:rPr>
        <w:t>月</w:t>
      </w:r>
      <w:r>
        <w:rPr>
          <w:rFonts w:hint="eastAsia"/>
          <w:color w:val="000000" w:themeColor="text1"/>
          <w:kern w:val="0"/>
          <w:szCs w:val="28"/>
          <w14:textFill>
            <w14:solidFill>
              <w14:schemeClr w14:val="tx1"/>
            </w14:solidFill>
          </w14:textFill>
        </w:rPr>
        <w:t>24</w:t>
      </w:r>
      <w:r>
        <w:rPr>
          <w:color w:val="000000" w:themeColor="text1"/>
          <w:kern w:val="0"/>
          <w:szCs w:val="28"/>
          <w14:textFill>
            <w14:solidFill>
              <w14:schemeClr w14:val="tx1"/>
            </w14:solidFill>
          </w14:textFill>
        </w:rPr>
        <w:t>日至20</w:t>
      </w:r>
      <w:r>
        <w:rPr>
          <w:rFonts w:hint="eastAsia"/>
          <w:color w:val="000000" w:themeColor="text1"/>
          <w:kern w:val="0"/>
          <w:szCs w:val="28"/>
          <w14:textFill>
            <w14:solidFill>
              <w14:schemeClr w14:val="tx1"/>
            </w14:solidFill>
          </w14:textFill>
        </w:rPr>
        <w:t>28</w:t>
      </w:r>
      <w:r>
        <w:rPr>
          <w:color w:val="000000" w:themeColor="text1"/>
          <w:kern w:val="0"/>
          <w:szCs w:val="28"/>
          <w14:textFill>
            <w14:solidFill>
              <w14:schemeClr w14:val="tx1"/>
            </w14:solidFill>
          </w14:textFill>
        </w:rPr>
        <w:t>年</w:t>
      </w:r>
      <w:r>
        <w:rPr>
          <w:rFonts w:hint="eastAsia"/>
          <w:color w:val="000000" w:themeColor="text1"/>
          <w:kern w:val="0"/>
          <w:szCs w:val="28"/>
          <w14:textFill>
            <w14:solidFill>
              <w14:schemeClr w14:val="tx1"/>
            </w14:solidFill>
          </w14:textFill>
        </w:rPr>
        <w:t>03</w:t>
      </w:r>
      <w:r>
        <w:rPr>
          <w:color w:val="000000" w:themeColor="text1"/>
          <w:kern w:val="0"/>
          <w:szCs w:val="28"/>
          <w14:textFill>
            <w14:solidFill>
              <w14:schemeClr w14:val="tx1"/>
            </w14:solidFill>
          </w14:textFill>
        </w:rPr>
        <w:t>月</w:t>
      </w:r>
      <w:r>
        <w:rPr>
          <w:rFonts w:hint="eastAsia"/>
          <w:color w:val="000000" w:themeColor="text1"/>
          <w:kern w:val="0"/>
          <w:szCs w:val="28"/>
          <w14:textFill>
            <w14:solidFill>
              <w14:schemeClr w14:val="tx1"/>
            </w14:solidFill>
          </w14:textFill>
        </w:rPr>
        <w:t>24</w:t>
      </w:r>
      <w:r>
        <w:rPr>
          <w:color w:val="000000" w:themeColor="text1"/>
          <w:kern w:val="0"/>
          <w:szCs w:val="28"/>
          <w14:textFill>
            <w14:solidFill>
              <w14:schemeClr w14:val="tx1"/>
            </w14:solidFill>
          </w14:textFill>
        </w:rPr>
        <w:t>日。</w:t>
      </w:r>
    </w:p>
    <w:p w14:paraId="1A0EBA5C">
      <w:pPr>
        <w:widowControl/>
        <w:adjustRightInd w:val="0"/>
        <w:snapToGrid w:val="0"/>
        <w:ind w:firstLine="560"/>
        <w:jc w:val="both"/>
        <w:rPr>
          <w:szCs w:val="28"/>
        </w:rPr>
      </w:pPr>
      <w:bookmarkStart w:id="12" w:name="_Hlk205366658"/>
      <w:r>
        <w:rPr>
          <w:color w:val="000000" w:themeColor="text1"/>
          <w:szCs w:val="28"/>
          <w14:textFill>
            <w14:solidFill>
              <w14:schemeClr w14:val="tx1"/>
            </w14:solidFill>
          </w14:textFill>
        </w:rPr>
        <w:t>根据《企业投资项目核准和备案管理条例》（中华人民共和国国务</w:t>
      </w:r>
      <w:r>
        <w:rPr>
          <w:szCs w:val="28"/>
        </w:rPr>
        <w:t>院令第673号，自2017年2月1日起施行）、《云南省全面加强非煤矿山安全生产工作若干措施》（云政办发〔2024〕44号）等相关法律、法规、文件要求</w:t>
      </w:r>
      <w:r>
        <w:rPr>
          <w:rFonts w:hint="eastAsia"/>
          <w:szCs w:val="28"/>
        </w:rPr>
        <w:t>，</w:t>
      </w:r>
      <w:bookmarkStart w:id="13" w:name="OLE_LINK1"/>
      <w:r>
        <w:rPr>
          <w:rFonts w:hint="eastAsia"/>
          <w:szCs w:val="28"/>
        </w:rPr>
        <w:t>广南县旧莫小格达普通建筑石料用灰岩矿</w:t>
      </w:r>
      <w:bookmarkEnd w:id="13"/>
      <w:r>
        <w:rPr>
          <w:szCs w:val="28"/>
        </w:rPr>
        <w:t>申请项目立项，</w:t>
      </w:r>
      <w:r>
        <w:rPr>
          <w:rFonts w:hint="eastAsia"/>
          <w:szCs w:val="28"/>
        </w:rPr>
        <w:t>拟将生产规模</w:t>
      </w:r>
      <w:r>
        <w:rPr>
          <w:szCs w:val="28"/>
        </w:rPr>
        <w:t>从</w:t>
      </w:r>
      <w:r>
        <w:rPr>
          <w:rFonts w:hint="eastAsia"/>
          <w:szCs w:val="28"/>
        </w:rPr>
        <w:t>30</w:t>
      </w:r>
      <w:r>
        <w:rPr>
          <w:szCs w:val="28"/>
        </w:rPr>
        <w:t>万t/a提升至</w:t>
      </w:r>
      <w:r>
        <w:rPr>
          <w:rFonts w:hint="eastAsia"/>
          <w:szCs w:val="28"/>
        </w:rPr>
        <w:t>5</w:t>
      </w:r>
      <w:r>
        <w:rPr>
          <w:szCs w:val="28"/>
        </w:rPr>
        <w:t>0万t/a。</w:t>
      </w:r>
      <w:r>
        <w:rPr>
          <w:rFonts w:hint="eastAsia"/>
          <w:szCs w:val="28"/>
        </w:rPr>
        <w:t>企业</w:t>
      </w:r>
      <w:r>
        <w:rPr>
          <w:szCs w:val="28"/>
        </w:rPr>
        <w:t>委托</w:t>
      </w:r>
      <w:r>
        <w:rPr>
          <w:rFonts w:hint="eastAsia"/>
          <w:szCs w:val="28"/>
        </w:rPr>
        <w:t>云南增股工程勘察设计有限公司</w:t>
      </w:r>
      <w:r>
        <w:rPr>
          <w:szCs w:val="28"/>
        </w:rPr>
        <w:t>对扩建石场矿山进行可行性研究工作，编制和提交</w:t>
      </w:r>
      <w:r>
        <w:rPr>
          <w:rFonts w:hint="eastAsia"/>
          <w:szCs w:val="28"/>
        </w:rPr>
        <w:t>了</w:t>
      </w:r>
      <w:r>
        <w:rPr>
          <w:szCs w:val="28"/>
        </w:rPr>
        <w:t>《</w:t>
      </w:r>
      <w:r>
        <w:rPr>
          <w:rFonts w:hint="eastAsia"/>
          <w:szCs w:val="28"/>
        </w:rPr>
        <w:t>广南县旧莫小格达普通建筑石料用灰岩矿</w:t>
      </w:r>
      <w:r>
        <w:rPr>
          <w:szCs w:val="28"/>
        </w:rPr>
        <w:t>50万t/a露天采矿工程可行性研究报告</w:t>
      </w:r>
      <w:r>
        <w:rPr>
          <w:snapToGrid w:val="0"/>
          <w:kern w:val="0"/>
          <w:szCs w:val="28"/>
        </w:rPr>
        <w:t>》</w:t>
      </w:r>
      <w:r>
        <w:rPr>
          <w:rFonts w:hint="eastAsia"/>
          <w:snapToGrid w:val="0"/>
          <w:kern w:val="0"/>
          <w:szCs w:val="28"/>
        </w:rPr>
        <w:t>，</w:t>
      </w:r>
      <w:r>
        <w:rPr>
          <w:rFonts w:hint="eastAsia" w:cs="宋体"/>
          <w:snapToGrid w:val="0"/>
          <w:kern w:val="0"/>
          <w:szCs w:val="28"/>
          <w:lang w:bidi="ar"/>
        </w:rPr>
        <w:t>2025年6月6日《</w:t>
      </w:r>
      <w:r>
        <w:rPr>
          <w:rFonts w:hint="eastAsia"/>
          <w:snapToGrid w:val="0"/>
          <w:kern w:val="0"/>
          <w:szCs w:val="28"/>
        </w:rPr>
        <w:t>云南省固定资产投资项目备案证</w:t>
      </w:r>
      <w:r>
        <w:rPr>
          <w:rFonts w:hint="eastAsia" w:cs="宋体"/>
          <w:snapToGrid w:val="0"/>
          <w:kern w:val="0"/>
          <w:szCs w:val="28"/>
          <w:lang w:bidi="ar"/>
        </w:rPr>
        <w:t>》</w:t>
      </w:r>
      <w:r>
        <w:rPr>
          <w:rFonts w:hint="eastAsia"/>
          <w:snapToGrid w:val="0"/>
          <w:kern w:val="0"/>
          <w:szCs w:val="28"/>
        </w:rPr>
        <w:t>（备案号</w:t>
      </w:r>
      <w:r>
        <w:rPr>
          <w:rFonts w:hint="eastAsia" w:cs="宋体"/>
          <w:snapToGrid w:val="0"/>
          <w:kern w:val="0"/>
          <w:szCs w:val="28"/>
        </w:rPr>
        <w:t>[项目代码]</w:t>
      </w:r>
      <w:r>
        <w:rPr>
          <w:rFonts w:hint="eastAsia"/>
          <w:snapToGrid w:val="0"/>
          <w:kern w:val="0"/>
          <w:szCs w:val="28"/>
        </w:rPr>
        <w:t>：</w:t>
      </w:r>
      <w:r>
        <w:rPr>
          <w:bCs/>
          <w:snapToGrid w:val="0"/>
          <w:kern w:val="0"/>
          <w:szCs w:val="28"/>
        </w:rPr>
        <w:t>2302-532627-04-05-191623</w:t>
      </w:r>
      <w:r>
        <w:rPr>
          <w:rFonts w:hint="eastAsia"/>
          <w:snapToGrid w:val="0"/>
          <w:kern w:val="0"/>
          <w:szCs w:val="28"/>
        </w:rPr>
        <w:t>）进行了变更。</w:t>
      </w:r>
    </w:p>
    <w:p w14:paraId="42101A37">
      <w:pPr>
        <w:adjustRightInd w:val="0"/>
        <w:snapToGrid w:val="0"/>
        <w:ind w:firstLine="560"/>
        <w:jc w:val="both"/>
        <w:rPr>
          <w:rFonts w:cs="宋体"/>
          <w:color w:val="000000" w:themeColor="text1"/>
          <w:szCs w:val="28"/>
          <w14:textFill>
            <w14:solidFill>
              <w14:schemeClr w14:val="tx1"/>
            </w14:solidFill>
          </w14:textFill>
        </w:rPr>
      </w:pPr>
      <w:r>
        <w:rPr>
          <w:szCs w:val="28"/>
        </w:rPr>
        <w:t>根据《中华人民共和国安全生产法》（中华人民共和国主席令第</w:t>
      </w:r>
      <w:r>
        <w:rPr>
          <w:rFonts w:hint="eastAsia"/>
          <w:szCs w:val="28"/>
        </w:rPr>
        <w:t>八十八</w:t>
      </w:r>
      <w:r>
        <w:rPr>
          <w:szCs w:val="28"/>
        </w:rPr>
        <w:t>号修订）、</w:t>
      </w:r>
      <w:r>
        <w:rPr>
          <w:color w:val="000000" w:themeColor="text1"/>
          <w:szCs w:val="28"/>
          <w14:textFill>
            <w14:solidFill>
              <w14:schemeClr w14:val="tx1"/>
            </w14:solidFill>
          </w14:textFill>
        </w:rPr>
        <w:t>《建设项目安全设施“三同时”监督管理办法》（国家安全生产监督管理总局令第36号</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国家安监总局令第77号令修订）等国家有关安全生产法律法规和标准规范的要求</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为了履行建设项目安全设施“三同时”手续</w:t>
      </w:r>
      <w:r>
        <w:rPr>
          <w:rFonts w:hint="eastAsia"/>
          <w:color w:val="000000" w:themeColor="text1"/>
          <w:szCs w:val="28"/>
          <w14:textFill>
            <w14:solidFill>
              <w14:schemeClr w14:val="tx1"/>
            </w14:solidFill>
          </w14:textFill>
        </w:rPr>
        <w:t>， 2025年7月</w:t>
      </w:r>
      <w:bookmarkEnd w:id="0"/>
      <w:r>
        <w:rPr>
          <w:rFonts w:hint="eastAsia"/>
          <w:color w:val="000000" w:themeColor="text1"/>
          <w:szCs w:val="28"/>
          <w14:textFill>
            <w14:solidFill>
              <w14:schemeClr w14:val="tx1"/>
            </w14:solidFill>
          </w14:textFill>
        </w:rPr>
        <w:t>16日</w:t>
      </w:r>
      <w:r>
        <w:rPr>
          <w:rFonts w:hint="eastAsia" w:cs="宋体"/>
          <w:color w:val="000000" w:themeColor="text1"/>
          <w:szCs w:val="28"/>
          <w14:textFill>
            <w14:solidFill>
              <w14:schemeClr w14:val="tx1"/>
            </w14:solidFill>
          </w14:textFill>
        </w:rPr>
        <w:t>委托江西赣安安全生产科学技术咨询服务中心承担</w:t>
      </w:r>
      <w:r>
        <w:rPr>
          <w:rFonts w:hint="eastAsia"/>
          <w:color w:val="000000" w:themeColor="text1"/>
          <w:szCs w:val="28"/>
          <w14:textFill>
            <w14:solidFill>
              <w14:schemeClr w14:val="tx1"/>
            </w14:solidFill>
          </w14:textFill>
        </w:rPr>
        <w:t>广南县旧莫小格达普通建筑石料用灰岩矿</w:t>
      </w:r>
      <w:r>
        <w:rPr>
          <w:color w:val="000000" w:themeColor="text1"/>
          <w:szCs w:val="28"/>
          <w14:textFill>
            <w14:solidFill>
              <w14:schemeClr w14:val="tx1"/>
            </w14:solidFill>
          </w14:textFill>
        </w:rPr>
        <w:t>50万t/a露天采矿工程</w:t>
      </w:r>
      <w:r>
        <w:rPr>
          <w:rFonts w:hint="eastAsia" w:cs="宋体"/>
          <w:color w:val="000000" w:themeColor="text1"/>
          <w:szCs w:val="28"/>
          <w14:textFill>
            <w14:solidFill>
              <w14:schemeClr w14:val="tx1"/>
            </w14:solidFill>
          </w14:textFill>
        </w:rPr>
        <w:t>安全预评价工作。</w:t>
      </w:r>
    </w:p>
    <w:bookmarkEnd w:id="12"/>
    <w:p w14:paraId="7ECA82B3">
      <w:pPr>
        <w:pStyle w:val="17"/>
        <w:adjustRightInd w:val="0"/>
        <w:snapToGrid w:val="0"/>
        <w:ind w:firstLine="560"/>
        <w:jc w:val="both"/>
        <w:rPr>
          <w:rFonts w:cs="宋体"/>
          <w:szCs w:val="28"/>
        </w:rPr>
      </w:pPr>
      <w:r>
        <w:rPr>
          <w:rFonts w:hint="eastAsia" w:cs="宋体"/>
          <w:color w:val="000000" w:themeColor="text1"/>
          <w:szCs w:val="28"/>
          <w14:textFill>
            <w14:solidFill>
              <w14:schemeClr w14:val="tx1"/>
            </w14:solidFill>
          </w14:textFill>
        </w:rPr>
        <w:t>我中心在接受企业委托后，组织安全评价人员成立安全评价小组开展</w:t>
      </w:r>
      <w:r>
        <w:rPr>
          <w:rFonts w:hint="eastAsia"/>
          <w:color w:val="000000" w:themeColor="text1"/>
          <w:szCs w:val="28"/>
          <w14:textFill>
            <w14:solidFill>
              <w14:schemeClr w14:val="tx1"/>
            </w14:solidFill>
          </w14:textFill>
        </w:rPr>
        <w:t>广南县旧莫小格达普通建筑石料用灰岩矿</w:t>
      </w:r>
      <w:r>
        <w:rPr>
          <w:color w:val="000000" w:themeColor="text1"/>
          <w:szCs w:val="28"/>
          <w14:textFill>
            <w14:solidFill>
              <w14:schemeClr w14:val="tx1"/>
            </w14:solidFill>
          </w14:textFill>
        </w:rPr>
        <w:t>50万t/a露天采矿工程</w:t>
      </w:r>
      <w:r>
        <w:rPr>
          <w:rFonts w:hint="eastAsia" w:cs="宋体"/>
          <w:color w:val="000000" w:themeColor="text1"/>
          <w:szCs w:val="28"/>
          <w14:textFill>
            <w14:solidFill>
              <w14:schemeClr w14:val="tx1"/>
            </w14:solidFill>
          </w14:textFill>
        </w:rPr>
        <w:t>的安全评价工作，进行法律法规、标准和规范的收集；同类生产企业调</w:t>
      </w:r>
      <w:r>
        <w:rPr>
          <w:rFonts w:hint="eastAsia" w:cs="宋体"/>
          <w:szCs w:val="28"/>
        </w:rPr>
        <w:t>研；有关资料收集整理；企业危险有害因素分析；评价单元划分；评价方法选择；采用可靠、适用的评价技术对</w:t>
      </w:r>
      <w:r>
        <w:rPr>
          <w:rFonts w:hint="eastAsia"/>
          <w:szCs w:val="28"/>
        </w:rPr>
        <w:t>广南县旧莫小格达普通建筑石料用灰岩矿</w:t>
      </w:r>
      <w:r>
        <w:rPr>
          <w:szCs w:val="28"/>
        </w:rPr>
        <w:t>50万t/a露天采矿工程</w:t>
      </w:r>
      <w:r>
        <w:rPr>
          <w:rFonts w:hint="eastAsia" w:cs="宋体"/>
          <w:szCs w:val="28"/>
        </w:rPr>
        <w:t>进行评价，并得出评价结论，提出科学、合理、可行的安全技术和管理措施，为该矿山项目的设计、建设和生产提供依据，</w:t>
      </w:r>
      <w:r>
        <w:rPr>
          <w:color w:val="000000"/>
          <w:szCs w:val="28"/>
          <w:lang w:val="en-GB"/>
        </w:rPr>
        <w:t>最后</w:t>
      </w:r>
      <w:r>
        <w:rPr>
          <w:color w:val="000000"/>
          <w:szCs w:val="28"/>
        </w:rPr>
        <w:t>按</w:t>
      </w:r>
      <w:r>
        <w:rPr>
          <w:rFonts w:hint="eastAsia"/>
          <w:szCs w:val="28"/>
        </w:rPr>
        <w:t>《安全预评价导则》及</w:t>
      </w:r>
      <w:r>
        <w:rPr>
          <w:color w:val="000000"/>
          <w:szCs w:val="28"/>
          <w:lang w:val="en-GB"/>
        </w:rPr>
        <w:t>《国家安全监管总局关于印发金属非金属矿山建设项目安全评价报告编写提纲的通知》</w:t>
      </w:r>
      <w:r>
        <w:rPr>
          <w:rFonts w:hint="eastAsia" w:cs="宋体"/>
          <w:szCs w:val="28"/>
        </w:rPr>
        <w:t>编制完成《</w:t>
      </w:r>
      <w:r>
        <w:rPr>
          <w:rFonts w:hint="eastAsia"/>
          <w:szCs w:val="28"/>
        </w:rPr>
        <w:t>广南县旧莫小格达普通建筑石料用灰岩矿</w:t>
      </w:r>
      <w:r>
        <w:rPr>
          <w:szCs w:val="28"/>
        </w:rPr>
        <w:t>50万t/a露天采矿工程</w:t>
      </w:r>
      <w:r>
        <w:rPr>
          <w:rFonts w:hint="eastAsia" w:cs="宋体"/>
          <w:szCs w:val="28"/>
        </w:rPr>
        <w:t>安全预评价报告》。</w:t>
      </w:r>
    </w:p>
    <w:p w14:paraId="3A04FB3F">
      <w:pPr>
        <w:adjustRightInd w:val="0"/>
        <w:snapToGrid w:val="0"/>
        <w:ind w:firstLine="560"/>
        <w:jc w:val="both"/>
        <w:rPr>
          <w:szCs w:val="28"/>
        </w:rPr>
      </w:pPr>
      <w:r>
        <w:rPr>
          <w:rFonts w:hint="eastAsia"/>
          <w:szCs w:val="28"/>
        </w:rPr>
        <w:t>安全预评价程序一般包括：</w:t>
      </w:r>
    </w:p>
    <w:p w14:paraId="6C278137">
      <w:pPr>
        <w:adjustRightInd w:val="0"/>
        <w:snapToGrid w:val="0"/>
        <w:ind w:firstLine="560"/>
        <w:jc w:val="both"/>
      </w:pPr>
      <w:bookmarkStart w:id="14" w:name="_Toc29249"/>
      <w:bookmarkStart w:id="15" w:name="_Toc13714"/>
      <w:r>
        <w:rPr>
          <w:rFonts w:hint="eastAsia"/>
        </w:rPr>
        <w:t>1、前期准备</w:t>
      </w:r>
      <w:bookmarkEnd w:id="14"/>
      <w:bookmarkEnd w:id="15"/>
    </w:p>
    <w:p w14:paraId="4295194F">
      <w:pPr>
        <w:adjustRightInd w:val="0"/>
        <w:snapToGrid w:val="0"/>
        <w:ind w:firstLine="560"/>
        <w:jc w:val="both"/>
      </w:pPr>
      <w:r>
        <w:rPr>
          <w:rFonts w:hint="eastAsia"/>
        </w:rPr>
        <w:t>（1）明确评价对象和评价范围；</w:t>
      </w:r>
    </w:p>
    <w:p w14:paraId="6CF8CF20">
      <w:pPr>
        <w:adjustRightInd w:val="0"/>
        <w:snapToGrid w:val="0"/>
        <w:ind w:firstLine="560"/>
        <w:jc w:val="both"/>
      </w:pPr>
      <w:r>
        <w:rPr>
          <w:rFonts w:hint="eastAsia"/>
        </w:rPr>
        <w:t>（2）组建评价组；</w:t>
      </w:r>
    </w:p>
    <w:p w14:paraId="202F0041">
      <w:pPr>
        <w:adjustRightInd w:val="0"/>
        <w:snapToGrid w:val="0"/>
        <w:ind w:firstLine="560"/>
        <w:jc w:val="both"/>
      </w:pPr>
      <w:r>
        <w:rPr>
          <w:rFonts w:hint="eastAsia"/>
        </w:rPr>
        <w:t>（3）收集国内外相关法律法规、标准、规章、规范；</w:t>
      </w:r>
    </w:p>
    <w:p w14:paraId="46297A61">
      <w:pPr>
        <w:adjustRightInd w:val="0"/>
        <w:snapToGrid w:val="0"/>
        <w:ind w:firstLine="560"/>
        <w:jc w:val="both"/>
      </w:pPr>
      <w:r>
        <w:rPr>
          <w:rFonts w:hint="eastAsia"/>
        </w:rPr>
        <w:t>（4）收集并分析评价对象的基础资料、相关事故案例；</w:t>
      </w:r>
    </w:p>
    <w:p w14:paraId="4048C0FE">
      <w:pPr>
        <w:adjustRightInd w:val="0"/>
        <w:snapToGrid w:val="0"/>
        <w:ind w:firstLine="560"/>
        <w:jc w:val="both"/>
      </w:pPr>
      <w:r>
        <w:rPr>
          <w:rFonts w:hint="eastAsia"/>
        </w:rPr>
        <w:t>（5）对类比工程进行实地调查等内容。</w:t>
      </w:r>
    </w:p>
    <w:p w14:paraId="42209D60">
      <w:pPr>
        <w:adjustRightInd w:val="0"/>
        <w:snapToGrid w:val="0"/>
        <w:ind w:firstLine="560"/>
        <w:jc w:val="both"/>
      </w:pPr>
      <w:bookmarkStart w:id="16" w:name="_Toc26173"/>
      <w:bookmarkStart w:id="17" w:name="_Toc10955"/>
      <w:r>
        <w:rPr>
          <w:rFonts w:hint="eastAsia"/>
        </w:rPr>
        <w:t>2、辨识与分析危险、有害因素</w:t>
      </w:r>
      <w:bookmarkEnd w:id="16"/>
      <w:bookmarkEnd w:id="17"/>
    </w:p>
    <w:p w14:paraId="78424230">
      <w:pPr>
        <w:adjustRightInd w:val="0"/>
        <w:snapToGrid w:val="0"/>
        <w:ind w:firstLine="560"/>
        <w:jc w:val="both"/>
      </w:pPr>
      <w:r>
        <w:rPr>
          <w:rFonts w:hint="eastAsia"/>
        </w:rPr>
        <w:t>（1）辨识和分析评价对象可能存在的各种危险、有害因素；</w:t>
      </w:r>
    </w:p>
    <w:p w14:paraId="20F2353C">
      <w:pPr>
        <w:adjustRightInd w:val="0"/>
        <w:snapToGrid w:val="0"/>
        <w:ind w:firstLine="560"/>
        <w:jc w:val="both"/>
      </w:pPr>
      <w:r>
        <w:rPr>
          <w:rFonts w:hint="eastAsia"/>
        </w:rPr>
        <w:t>（2）分析危险、有害因素发生作用的途径及其变化规律。</w:t>
      </w:r>
    </w:p>
    <w:p w14:paraId="06F0F3C6">
      <w:pPr>
        <w:adjustRightInd w:val="0"/>
        <w:snapToGrid w:val="0"/>
        <w:ind w:firstLine="560"/>
        <w:jc w:val="both"/>
      </w:pPr>
      <w:bookmarkStart w:id="18" w:name="_Toc14638"/>
      <w:bookmarkStart w:id="19" w:name="_Toc12874"/>
      <w:r>
        <w:rPr>
          <w:rFonts w:hint="eastAsia"/>
        </w:rPr>
        <w:t>3、划分评价单元</w:t>
      </w:r>
      <w:bookmarkEnd w:id="18"/>
      <w:bookmarkEnd w:id="19"/>
    </w:p>
    <w:p w14:paraId="64C4B683">
      <w:pPr>
        <w:adjustRightInd w:val="0"/>
        <w:snapToGrid w:val="0"/>
        <w:ind w:firstLine="560"/>
        <w:jc w:val="both"/>
      </w:pPr>
      <w:r>
        <w:rPr>
          <w:rFonts w:hint="eastAsia"/>
        </w:rPr>
        <w:t>评价单元的划分应考虑安全预评价的特点，以自然条件、基本工艺条件、危险、有害因素分布及状况、便于实施评价为原则进行。</w:t>
      </w:r>
    </w:p>
    <w:p w14:paraId="699AB9A5">
      <w:pPr>
        <w:adjustRightInd w:val="0"/>
        <w:snapToGrid w:val="0"/>
        <w:ind w:firstLine="560"/>
        <w:jc w:val="both"/>
      </w:pPr>
      <w:bookmarkStart w:id="20" w:name="_Toc14724"/>
      <w:bookmarkStart w:id="21" w:name="_Toc20838"/>
      <w:r>
        <w:rPr>
          <w:rFonts w:hint="eastAsia"/>
        </w:rPr>
        <w:t>4、选择评价方法</w:t>
      </w:r>
      <w:bookmarkEnd w:id="20"/>
      <w:bookmarkEnd w:id="21"/>
    </w:p>
    <w:p w14:paraId="6FD0EB05">
      <w:pPr>
        <w:adjustRightInd w:val="0"/>
        <w:snapToGrid w:val="0"/>
        <w:ind w:firstLine="560"/>
        <w:jc w:val="both"/>
      </w:pPr>
      <w:r>
        <w:rPr>
          <w:rFonts w:hint="eastAsia"/>
        </w:rPr>
        <w:t>对于不同的评价单元，可根据评价的需要和单元特征选择不同的评价方法。</w:t>
      </w:r>
    </w:p>
    <w:p w14:paraId="3CD5173A">
      <w:pPr>
        <w:adjustRightInd w:val="0"/>
        <w:snapToGrid w:val="0"/>
        <w:ind w:firstLine="560"/>
        <w:jc w:val="both"/>
      </w:pPr>
      <w:bookmarkStart w:id="22" w:name="_Toc795"/>
      <w:r>
        <w:rPr>
          <w:rFonts w:hint="eastAsia"/>
        </w:rPr>
        <w:t>5、定性定量评价</w:t>
      </w:r>
      <w:bookmarkEnd w:id="22"/>
    </w:p>
    <w:p w14:paraId="55E8E203">
      <w:pPr>
        <w:adjustRightInd w:val="0"/>
        <w:snapToGrid w:val="0"/>
        <w:ind w:firstLine="560"/>
        <w:jc w:val="both"/>
      </w:pPr>
      <w:r>
        <w:rPr>
          <w:rFonts w:hint="eastAsia"/>
        </w:rPr>
        <w:t>根据评价的目的、要求和评价对象的特点、工艺、功能或活动分布，选择科学、合理、适用的定性、定量评价方法对危险、有害因素导致事故发生的可能性及其严重程度进行定性定量评价。</w:t>
      </w:r>
    </w:p>
    <w:p w14:paraId="6233740A">
      <w:pPr>
        <w:adjustRightInd w:val="0"/>
        <w:snapToGrid w:val="0"/>
        <w:ind w:firstLine="560"/>
        <w:jc w:val="both"/>
      </w:pPr>
      <w:bookmarkStart w:id="23" w:name="_Toc18031"/>
      <w:bookmarkStart w:id="24" w:name="_Toc9138"/>
      <w:r>
        <w:rPr>
          <w:rFonts w:hint="eastAsia"/>
        </w:rPr>
        <w:t>6、提出安全对策措施建议</w:t>
      </w:r>
      <w:bookmarkEnd w:id="23"/>
      <w:bookmarkEnd w:id="24"/>
    </w:p>
    <w:p w14:paraId="6AF79380">
      <w:pPr>
        <w:adjustRightInd w:val="0"/>
        <w:snapToGrid w:val="0"/>
        <w:ind w:firstLine="560"/>
        <w:jc w:val="both"/>
      </w:pPr>
      <w:r>
        <w:rPr>
          <w:rFonts w:hint="eastAsia"/>
        </w:rPr>
        <w:t>（1）为保障评价对象建成或实施后能安全运行，从评价对象的总图布置、功能分布、工艺流程、设施、设备、装置等方面提出安全技术对策措施；</w:t>
      </w:r>
    </w:p>
    <w:p w14:paraId="36E2769C">
      <w:pPr>
        <w:adjustRightInd w:val="0"/>
        <w:snapToGrid w:val="0"/>
        <w:ind w:firstLine="560"/>
        <w:jc w:val="both"/>
      </w:pPr>
      <w:r>
        <w:rPr>
          <w:rFonts w:hint="eastAsia"/>
        </w:rPr>
        <w:t>（2）从评价对象的组织机构设置、人员管理、物料管理、应急救援管理等方面提出安全管理对策措施；</w:t>
      </w:r>
    </w:p>
    <w:p w14:paraId="28ED01BC">
      <w:pPr>
        <w:adjustRightInd w:val="0"/>
        <w:snapToGrid w:val="0"/>
        <w:ind w:firstLine="560"/>
        <w:jc w:val="both"/>
      </w:pPr>
      <w:bookmarkStart w:id="25" w:name="_Toc75"/>
      <w:bookmarkStart w:id="26" w:name="_Toc25001"/>
      <w:r>
        <w:rPr>
          <w:rFonts w:hint="eastAsia"/>
        </w:rPr>
        <w:t>（3）从保证评价对象安全运行需要提出其他安全对策措施。</w:t>
      </w:r>
      <w:bookmarkEnd w:id="25"/>
      <w:bookmarkEnd w:id="26"/>
    </w:p>
    <w:p w14:paraId="27685294">
      <w:pPr>
        <w:adjustRightInd w:val="0"/>
        <w:snapToGrid w:val="0"/>
        <w:ind w:firstLine="560"/>
        <w:jc w:val="both"/>
      </w:pPr>
      <w:bookmarkStart w:id="27" w:name="_Toc19473"/>
      <w:bookmarkStart w:id="28" w:name="_Toc21678"/>
      <w:r>
        <w:rPr>
          <w:rFonts w:hint="eastAsia"/>
        </w:rPr>
        <w:t>7、作出评价结论</w:t>
      </w:r>
      <w:bookmarkEnd w:id="27"/>
      <w:bookmarkEnd w:id="28"/>
    </w:p>
    <w:p w14:paraId="6834C3F7">
      <w:pPr>
        <w:adjustRightInd w:val="0"/>
        <w:snapToGrid w:val="0"/>
        <w:ind w:firstLine="560"/>
        <w:jc w:val="both"/>
      </w:pPr>
      <w:r>
        <w:rPr>
          <w:rFonts w:hint="eastAsia"/>
        </w:rPr>
        <w:t>概括评价结果，给出评价对象在评价时的条件下与国家有关法律法规、标准、规章、规范的符合性结论，给出危险、有害因素引发各类事故的可能性及其严重程度的预测性结论，明确评价对象建成或实施后能否安全运行的结论。</w:t>
      </w:r>
    </w:p>
    <w:p w14:paraId="4B4ED084">
      <w:pPr>
        <w:adjustRightInd w:val="0"/>
        <w:snapToGrid w:val="0"/>
        <w:ind w:firstLine="560"/>
        <w:jc w:val="both"/>
      </w:pPr>
      <w:bookmarkStart w:id="29" w:name="_Toc12725"/>
      <w:bookmarkStart w:id="30" w:name="_Toc11771"/>
      <w:r>
        <w:rPr>
          <w:rFonts w:hint="eastAsia"/>
        </w:rPr>
        <w:t>8、编制安全预评价报告</w:t>
      </w:r>
      <w:bookmarkEnd w:id="29"/>
      <w:bookmarkEnd w:id="30"/>
    </w:p>
    <w:p w14:paraId="29A24679">
      <w:pPr>
        <w:adjustRightInd w:val="0"/>
        <w:snapToGrid w:val="0"/>
        <w:ind w:firstLine="560"/>
        <w:jc w:val="both"/>
      </w:pPr>
      <w:r>
        <w:rPr>
          <w:rFonts w:hint="eastAsia"/>
        </w:rPr>
        <w:t>安全预评价报告是安全预评价工作过程的具体体现，是评价对象在建设或实施过程中的安全技术性指导文件。安全预评价报告文字简洁、准确，可同时采用图表和照片，以使评价过程和结论清楚、明确，利于阅读和审查。安全预评价工作的程序见下图所示。</w:t>
      </w:r>
    </w:p>
    <w:p w14:paraId="517666B9">
      <w:pPr>
        <w:adjustRightInd w:val="0"/>
        <w:snapToGrid w:val="0"/>
        <w:jc w:val="center"/>
        <w:rPr>
          <w:rFonts w:cs="宋体"/>
          <w:b/>
          <w:szCs w:val="28"/>
        </w:rPr>
      </w:pPr>
      <w:r>
        <w:rPr>
          <w:rFonts w:hint="eastAsia" w:cs="宋体"/>
          <w:b/>
          <w:szCs w:val="28"/>
        </w:rPr>
        <w:drawing>
          <wp:inline distT="0" distB="0" distL="0" distR="0">
            <wp:extent cx="2286000" cy="3316605"/>
            <wp:effectExtent l="0" t="0" r="0" b="0"/>
            <wp:docPr id="111" name="图片 717" descr="167998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17" descr="16799832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93172" cy="3327346"/>
                    </a:xfrm>
                    <a:prstGeom prst="rect">
                      <a:avLst/>
                    </a:prstGeom>
                    <a:noFill/>
                    <a:ln>
                      <a:noFill/>
                    </a:ln>
                  </pic:spPr>
                </pic:pic>
              </a:graphicData>
            </a:graphic>
          </wp:inline>
        </w:drawing>
      </w:r>
    </w:p>
    <w:p w14:paraId="464FAE15">
      <w:pPr>
        <w:adjustRightInd w:val="0"/>
        <w:snapToGrid w:val="0"/>
        <w:ind w:firstLine="422"/>
        <w:jc w:val="center"/>
        <w:rPr>
          <w:rFonts w:cs="宋体"/>
          <w:b/>
          <w:bCs/>
          <w:sz w:val="21"/>
          <w:szCs w:val="21"/>
        </w:rPr>
      </w:pPr>
      <w:r>
        <w:rPr>
          <w:rFonts w:hint="eastAsia" w:cs="宋体"/>
          <w:b/>
          <w:bCs/>
          <w:sz w:val="21"/>
          <w:szCs w:val="21"/>
        </w:rPr>
        <w:t>图3   评价程序图</w:t>
      </w:r>
    </w:p>
    <w:p w14:paraId="79D64486">
      <w:pPr>
        <w:adjustRightInd w:val="0"/>
        <w:snapToGrid w:val="0"/>
        <w:ind w:firstLine="560"/>
        <w:jc w:val="both"/>
        <w:rPr>
          <w:rFonts w:hint="eastAsia" w:ascii="宋体" w:hAnsi="宋体" w:cs="宋体"/>
          <w:color w:val="000000" w:themeColor="text1"/>
          <w:szCs w:val="28"/>
          <w14:textFill>
            <w14:solidFill>
              <w14:schemeClr w14:val="tx1"/>
            </w14:solidFill>
          </w14:textFill>
        </w:rPr>
      </w:pPr>
      <w:r>
        <w:rPr>
          <w:rFonts w:hint="eastAsia" w:cs="宋体"/>
          <w:szCs w:val="28"/>
        </w:rPr>
        <w:t>在编写本评价报告的过程中，</w:t>
      </w:r>
      <w:r>
        <w:rPr>
          <w:rFonts w:hint="eastAsia" w:cs="宋体"/>
          <w:color w:val="000000" w:themeColor="text1"/>
          <w:szCs w:val="28"/>
          <w14:textFill>
            <w14:solidFill>
              <w14:schemeClr w14:val="tx1"/>
            </w14:solidFill>
          </w14:textFill>
        </w:rPr>
        <w:t>得到了</w:t>
      </w:r>
      <w:r>
        <w:rPr>
          <w:rFonts w:hint="eastAsia"/>
          <w:color w:val="000000" w:themeColor="text1"/>
          <w:szCs w:val="28"/>
          <w14:textFill>
            <w14:solidFill>
              <w14:schemeClr w14:val="tx1"/>
            </w14:solidFill>
          </w14:textFill>
        </w:rPr>
        <w:t>广南县旧莫小格达普通建筑石料用灰岩矿</w:t>
      </w:r>
      <w:r>
        <w:rPr>
          <w:rFonts w:hint="eastAsia" w:cs="宋体"/>
          <w:color w:val="000000" w:themeColor="text1"/>
          <w:szCs w:val="28"/>
          <w14:textFill>
            <w14:solidFill>
              <w14:schemeClr w14:val="tx1"/>
            </w14:solidFill>
          </w14:textFill>
        </w:rPr>
        <w:t>有关领导和人员的大力支持，在此一并表示感谢！</w:t>
      </w:r>
      <w:r>
        <w:rPr>
          <w:rFonts w:hint="eastAsia" w:ascii="宋体" w:hAnsi="宋体" w:cs="宋体"/>
          <w:color w:val="000000" w:themeColor="text1"/>
          <w:szCs w:val="28"/>
          <w14:textFill>
            <w14:solidFill>
              <w14:schemeClr w14:val="tx1"/>
            </w14:solidFill>
          </w14:textFill>
        </w:rPr>
        <w:br w:type="page"/>
      </w:r>
    </w:p>
    <w:p w14:paraId="2C0FD446">
      <w:pPr>
        <w:pStyle w:val="31"/>
        <w:tabs>
          <w:tab w:val="right" w:leader="dot" w:pos="8957"/>
        </w:tabs>
        <w:ind w:left="0" w:leftChars="0"/>
        <w:jc w:val="center"/>
        <w:rPr>
          <w:rFonts w:hint="eastAsia" w:ascii="宋体" w:hAnsi="宋体" w:cs="宋体"/>
          <w:b/>
          <w:bCs/>
          <w:szCs w:val="28"/>
        </w:rPr>
      </w:pPr>
      <w:bookmarkStart w:id="31" w:name="_Toc11773"/>
      <w:r>
        <w:rPr>
          <w:rFonts w:hint="eastAsia" w:ascii="宋体" w:hAnsi="宋体" w:cs="宋体"/>
          <w:b/>
          <w:bCs/>
          <w:szCs w:val="28"/>
        </w:rPr>
        <w:t>目  录</w:t>
      </w:r>
    </w:p>
    <w:bookmarkEnd w:id="1"/>
    <w:bookmarkEnd w:id="31"/>
    <w:p w14:paraId="764F4430">
      <w:pPr>
        <w:pStyle w:val="22"/>
        <w:tabs>
          <w:tab w:val="right" w:leader="dot" w:pos="9175"/>
        </w:tabs>
        <w:rPr>
          <w:rFonts w:hint="eastAsia" w:asciiTheme="minorHAnsi" w:hAnsiTheme="minorHAnsi" w:eastAsiaTheme="minorEastAsia" w:cstheme="minorBidi"/>
          <w:sz w:val="22"/>
          <w14:ligatures w14:val="standardContextual"/>
        </w:rPr>
      </w:pPr>
      <w:r>
        <w:rPr>
          <w:rFonts w:hint="eastAsia" w:ascii="宋体" w:hAnsi="宋体" w:cs="宋体"/>
          <w:bCs/>
          <w:szCs w:val="28"/>
        </w:rPr>
        <w:fldChar w:fldCharType="begin"/>
      </w:r>
      <w:r>
        <w:rPr>
          <w:rFonts w:hint="eastAsia" w:ascii="宋体" w:hAnsi="宋体" w:cs="宋体"/>
          <w:bCs/>
          <w:szCs w:val="28"/>
        </w:rPr>
        <w:instrText xml:space="preserve">TOC \o "3-3" \t "标题 1,3,标题 2,3,标题 4,3" \h \u </w:instrText>
      </w:r>
      <w:r>
        <w:rPr>
          <w:rFonts w:hint="eastAsia" w:ascii="宋体" w:hAnsi="宋体" w:cs="宋体"/>
          <w:bCs/>
          <w:szCs w:val="28"/>
        </w:rPr>
        <w:fldChar w:fldCharType="separate"/>
      </w:r>
      <w:r>
        <w:fldChar w:fldCharType="begin"/>
      </w:r>
      <w:r>
        <w:instrText xml:space="preserve"> HYPERLINK \l "_Toc215070126" </w:instrText>
      </w:r>
      <w:r>
        <w:fldChar w:fldCharType="separate"/>
      </w:r>
      <w:r>
        <w:rPr>
          <w:rStyle w:val="51"/>
          <w:rFonts w:hint="eastAsia"/>
        </w:rPr>
        <w:t>前  言</w:t>
      </w:r>
      <w:r>
        <w:rPr>
          <w:rFonts w:hint="eastAsia"/>
        </w:rPr>
        <w:tab/>
      </w:r>
      <w:r>
        <w:rPr>
          <w:rFonts w:hint="eastAsia"/>
        </w:rPr>
        <w:fldChar w:fldCharType="begin"/>
      </w:r>
      <w:r>
        <w:rPr>
          <w:rFonts w:hint="eastAsia"/>
        </w:rPr>
        <w:instrText xml:space="preserve"> </w:instrText>
      </w:r>
      <w:r>
        <w:instrText xml:space="preserve">PAGEREF _Toc215070126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9F7DF9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"_Toc215070127" </w:instrText>
      </w:r>
      <w:r>
        <w:fldChar w:fldCharType="separate"/>
      </w:r>
      <w:r>
        <w:rPr>
          <w:rStyle w:val="51"/>
          <w:rFonts w:hint="eastAsia"/>
        </w:rPr>
        <w:t>1.评价对象与依据</w:t>
      </w:r>
      <w:r>
        <w:rPr>
          <w:rFonts w:hint="eastAsia"/>
        </w:rPr>
        <w:tab/>
      </w:r>
      <w:r>
        <w:rPr>
          <w:rFonts w:hint="eastAsia"/>
        </w:rPr>
        <w:fldChar w:fldCharType="begin"/>
      </w:r>
      <w:r>
        <w:rPr>
          <w:rFonts w:hint="eastAsia"/>
        </w:rPr>
        <w:instrText xml:space="preserve"> </w:instrText>
      </w:r>
      <w:r>
        <w:instrText xml:space="preserve">PAGEREF _Toc215070127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548C0E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"_Toc215070128" </w:instrText>
      </w:r>
      <w:r>
        <w:fldChar w:fldCharType="separate"/>
      </w:r>
      <w:r>
        <w:rPr>
          <w:rStyle w:val="51"/>
          <w:rFonts w:hint="eastAsia"/>
        </w:rPr>
        <w:t>1.1评价对象和范围</w:t>
      </w:r>
      <w:r>
        <w:rPr>
          <w:rFonts w:hint="eastAsia"/>
        </w:rPr>
        <w:tab/>
      </w:r>
      <w:r>
        <w:rPr>
          <w:rFonts w:hint="eastAsia"/>
        </w:rPr>
        <w:fldChar w:fldCharType="begin"/>
      </w:r>
      <w:r>
        <w:rPr>
          <w:rFonts w:hint="eastAsia"/>
        </w:rPr>
        <w:instrText xml:space="preserve"> </w:instrText>
      </w:r>
      <w:r>
        <w:instrText xml:space="preserve">PAGEREF _Toc215070128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231C2D3D">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"_Toc215070129" </w:instrText>
      </w:r>
      <w:r>
        <w:fldChar w:fldCharType="separate"/>
      </w:r>
      <w:r>
        <w:rPr>
          <w:rStyle w:val="51"/>
          <w:rFonts w:hint="eastAsia" w:ascii="黑体" w:hAnsi="黑体" w:cs="宋体"/>
          <w:kern w:val="1"/>
        </w:rPr>
        <w:t>1.2 预评价目的、内容</w:t>
      </w:r>
      <w:r>
        <w:rPr>
          <w:rFonts w:hint="eastAsia"/>
        </w:rPr>
        <w:tab/>
      </w:r>
      <w:r>
        <w:rPr>
          <w:rFonts w:hint="eastAsia"/>
        </w:rPr>
        <w:fldChar w:fldCharType="begin"/>
      </w:r>
      <w:r>
        <w:rPr>
          <w:rFonts w:hint="eastAsia"/>
        </w:rPr>
        <w:instrText xml:space="preserve"> </w:instrText>
      </w:r>
      <w:r>
        <w:instrText xml:space="preserve">PAGEREF _Toc215070129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0B004B2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"_Toc215070130" </w:instrText>
      </w:r>
      <w:r>
        <w:fldChar w:fldCharType="separate"/>
      </w:r>
      <w:r>
        <w:rPr>
          <w:rStyle w:val="51"/>
          <w:rFonts w:hint="eastAsia"/>
        </w:rPr>
        <w:t>1.3评价依据</w:t>
      </w:r>
      <w:r>
        <w:rPr>
          <w:rFonts w:hint="eastAsia"/>
        </w:rPr>
        <w:tab/>
      </w:r>
      <w:r>
        <w:rPr>
          <w:rFonts w:hint="eastAsia"/>
        </w:rPr>
        <w:fldChar w:fldCharType="begin"/>
      </w:r>
      <w:r>
        <w:rPr>
          <w:rFonts w:hint="eastAsia"/>
        </w:rPr>
        <w:instrText xml:space="preserve"> </w:instrText>
      </w:r>
      <w:r>
        <w:instrText xml:space="preserve">PAGEREF _Toc215070130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2550411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"_Toc215070131" </w:instrText>
      </w:r>
      <w:r>
        <w:fldChar w:fldCharType="separate"/>
      </w:r>
      <w:r>
        <w:rPr>
          <w:rStyle w:val="51"/>
          <w:rFonts w:hint="eastAsia"/>
        </w:rPr>
        <w:t>1.3.1国家法律</w:t>
      </w:r>
      <w:r>
        <w:rPr>
          <w:rFonts w:hint="eastAsia"/>
        </w:rPr>
        <w:tab/>
      </w:r>
      <w:r>
        <w:rPr>
          <w:rFonts w:hint="eastAsia"/>
        </w:rPr>
        <w:fldChar w:fldCharType="begin"/>
      </w:r>
      <w:r>
        <w:rPr>
          <w:rFonts w:hint="eastAsia"/>
        </w:rPr>
        <w:instrText xml:space="preserve"> </w:instrText>
      </w:r>
      <w:r>
        <w:instrText xml:space="preserve">PAGEREF _Toc215070131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2DE812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"_Toc215070132" </w:instrText>
      </w:r>
      <w:r>
        <w:fldChar w:fldCharType="separate"/>
      </w:r>
      <w:r>
        <w:rPr>
          <w:rStyle w:val="51"/>
          <w:rFonts w:hint="eastAsia"/>
        </w:rPr>
        <w:t>1.3.2行政法规</w:t>
      </w:r>
      <w:r>
        <w:rPr>
          <w:rFonts w:hint="eastAsia"/>
        </w:rPr>
        <w:tab/>
      </w:r>
      <w:r>
        <w:rPr>
          <w:rFonts w:hint="eastAsia"/>
        </w:rPr>
        <w:fldChar w:fldCharType="begin"/>
      </w:r>
      <w:r>
        <w:rPr>
          <w:rFonts w:hint="eastAsia"/>
        </w:rPr>
        <w:instrText xml:space="preserve"> </w:instrText>
      </w:r>
      <w:r>
        <w:instrText xml:space="preserve">PAGEREF _Toc215070132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7D0D6E8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"_Toc215070133" </w:instrText>
      </w:r>
      <w:r>
        <w:fldChar w:fldCharType="separate"/>
      </w:r>
      <w:r>
        <w:rPr>
          <w:rStyle w:val="51"/>
          <w:rFonts w:hint="eastAsia"/>
        </w:rPr>
        <w:t>1.3.3部门规章及规范性文件</w:t>
      </w:r>
      <w:r>
        <w:rPr>
          <w:rFonts w:hint="eastAsia"/>
        </w:rPr>
        <w:tab/>
      </w:r>
      <w:r>
        <w:rPr>
          <w:rFonts w:hint="eastAsia"/>
        </w:rPr>
        <w:fldChar w:fldCharType="begin"/>
      </w:r>
      <w:r>
        <w:rPr>
          <w:rFonts w:hint="eastAsia"/>
        </w:rPr>
        <w:instrText xml:space="preserve"> </w:instrText>
      </w:r>
      <w:r>
        <w:instrText xml:space="preserve">PAGEREF _Toc215070133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0757696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"_Toc215070134" </w:instrText>
      </w:r>
      <w:r>
        <w:fldChar w:fldCharType="separate"/>
      </w:r>
      <w:r>
        <w:rPr>
          <w:rStyle w:val="51"/>
          <w:rFonts w:hint="eastAsia"/>
        </w:rPr>
        <w:t>1.3.4地方性法规及规范性文件</w:t>
      </w:r>
      <w:r>
        <w:rPr>
          <w:rFonts w:hint="eastAsia"/>
        </w:rPr>
        <w:tab/>
      </w:r>
      <w:r>
        <w:rPr>
          <w:rFonts w:hint="eastAsia"/>
        </w:rPr>
        <w:fldChar w:fldCharType="begin"/>
      </w:r>
      <w:r>
        <w:rPr>
          <w:rFonts w:hint="eastAsia"/>
        </w:rPr>
        <w:instrText xml:space="preserve"> </w:instrText>
      </w:r>
      <w:r>
        <w:instrText xml:space="preserve">PAGEREF _Toc215070134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3F7334DD">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"_Toc215070135" </w:instrText>
      </w:r>
      <w:r>
        <w:fldChar w:fldCharType="separate"/>
      </w:r>
      <w:r>
        <w:rPr>
          <w:rStyle w:val="51"/>
          <w:rFonts w:hint="eastAsia"/>
        </w:rPr>
        <w:t>1.3.4标准规范</w:t>
      </w:r>
      <w:r>
        <w:rPr>
          <w:rFonts w:hint="eastAsia"/>
        </w:rPr>
        <w:tab/>
      </w:r>
      <w:r>
        <w:rPr>
          <w:rFonts w:hint="eastAsia"/>
        </w:rPr>
        <w:fldChar w:fldCharType="begin"/>
      </w:r>
      <w:r>
        <w:rPr>
          <w:rFonts w:hint="eastAsia"/>
        </w:rPr>
        <w:instrText xml:space="preserve"> </w:instrText>
      </w:r>
      <w:r>
        <w:instrText xml:space="preserve">PAGEREF _Toc215070135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41BFCEB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"_Toc215070136" </w:instrText>
      </w:r>
      <w:r>
        <w:fldChar w:fldCharType="separate"/>
      </w:r>
      <w:r>
        <w:rPr>
          <w:rStyle w:val="51"/>
          <w:rFonts w:hint="eastAsia"/>
        </w:rPr>
        <w:t>1.3.5建设项目合法证明文件</w:t>
      </w:r>
      <w:r>
        <w:rPr>
          <w:rFonts w:hint="eastAsia"/>
        </w:rPr>
        <w:tab/>
      </w:r>
      <w:r>
        <w:rPr>
          <w:rFonts w:hint="eastAsia"/>
        </w:rPr>
        <w:fldChar w:fldCharType="begin"/>
      </w:r>
      <w:r>
        <w:rPr>
          <w:rFonts w:hint="eastAsia"/>
        </w:rPr>
        <w:instrText xml:space="preserve"> </w:instrText>
      </w:r>
      <w:r>
        <w:instrText xml:space="preserve">PAGEREF _Toc215070136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766A007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"_Toc215070137" </w:instrText>
      </w:r>
      <w:r>
        <w:fldChar w:fldCharType="separate"/>
      </w:r>
      <w:r>
        <w:rPr>
          <w:rStyle w:val="51"/>
          <w:rFonts w:hint="eastAsia"/>
        </w:rPr>
        <w:t>1.3.6建设项目技术资料</w:t>
      </w:r>
      <w:r>
        <w:rPr>
          <w:rFonts w:hint="eastAsia"/>
        </w:rPr>
        <w:tab/>
      </w:r>
      <w:r>
        <w:rPr>
          <w:rFonts w:hint="eastAsia"/>
        </w:rPr>
        <w:fldChar w:fldCharType="begin"/>
      </w:r>
      <w:r>
        <w:rPr>
          <w:rFonts w:hint="eastAsia"/>
        </w:rPr>
        <w:instrText xml:space="preserve"> </w:instrText>
      </w:r>
      <w:r>
        <w:instrText xml:space="preserve">PAGEREF _Toc215070137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5B9FF79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"_Toc215070138" </w:instrText>
      </w:r>
      <w:r>
        <w:fldChar w:fldCharType="separate"/>
      </w:r>
      <w:r>
        <w:rPr>
          <w:rStyle w:val="51"/>
          <w:rFonts w:hint="eastAsia" w:ascii="宋体" w:hAnsi="宋体" w:cs="宋体"/>
        </w:rPr>
        <w:t>1.3.7其他评价依据</w:t>
      </w:r>
      <w:r>
        <w:rPr>
          <w:rFonts w:hint="eastAsia"/>
        </w:rPr>
        <w:tab/>
      </w:r>
      <w:r>
        <w:rPr>
          <w:rFonts w:hint="eastAsia"/>
        </w:rPr>
        <w:fldChar w:fldCharType="begin"/>
      </w:r>
      <w:r>
        <w:rPr>
          <w:rFonts w:hint="eastAsia"/>
        </w:rPr>
        <w:instrText xml:space="preserve"> </w:instrText>
      </w:r>
      <w:r>
        <w:instrText xml:space="preserve">PAGEREF _Toc215070138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22E9741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"_Toc215070139" </w:instrText>
      </w:r>
      <w:r>
        <w:fldChar w:fldCharType="separate"/>
      </w:r>
      <w:r>
        <w:rPr>
          <w:rStyle w:val="51"/>
          <w:rFonts w:hint="eastAsia"/>
        </w:rPr>
        <w:t>1.3.8评价基准日</w:t>
      </w:r>
      <w:r>
        <w:rPr>
          <w:rFonts w:hint="eastAsia"/>
        </w:rPr>
        <w:tab/>
      </w:r>
      <w:r>
        <w:rPr>
          <w:rFonts w:hint="eastAsia"/>
        </w:rPr>
        <w:fldChar w:fldCharType="begin"/>
      </w:r>
      <w:r>
        <w:rPr>
          <w:rFonts w:hint="eastAsia"/>
        </w:rPr>
        <w:instrText xml:space="preserve"> </w:instrText>
      </w:r>
      <w:r>
        <w:instrText xml:space="preserve">PAGEREF _Toc215070139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71170D8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"_Toc215070140" </w:instrText>
      </w:r>
      <w:r>
        <w:fldChar w:fldCharType="separate"/>
      </w:r>
      <w:r>
        <w:rPr>
          <w:rStyle w:val="51"/>
          <w:rFonts w:hint="eastAsia"/>
        </w:rPr>
        <w:t>2.建设项目概述</w:t>
      </w:r>
      <w:r>
        <w:rPr>
          <w:rFonts w:hint="eastAsia"/>
        </w:rPr>
        <w:tab/>
      </w:r>
      <w:r>
        <w:rPr>
          <w:rFonts w:hint="eastAsia"/>
        </w:rPr>
        <w:fldChar w:fldCharType="begin"/>
      </w:r>
      <w:r>
        <w:rPr>
          <w:rFonts w:hint="eastAsia"/>
        </w:rPr>
        <w:instrText xml:space="preserve"> </w:instrText>
      </w:r>
      <w:r>
        <w:instrText xml:space="preserve">PAGEREF _Toc215070140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1C6E4A2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"_Toc215070141" </w:instrText>
      </w:r>
      <w:r>
        <w:fldChar w:fldCharType="separate"/>
      </w:r>
      <w:r>
        <w:rPr>
          <w:rStyle w:val="51"/>
          <w:rFonts w:hint="eastAsia"/>
        </w:rPr>
        <w:t>2.1建设单位概况</w:t>
      </w:r>
      <w:r>
        <w:rPr>
          <w:rFonts w:hint="eastAsia"/>
        </w:rPr>
        <w:tab/>
      </w:r>
      <w:r>
        <w:rPr>
          <w:rFonts w:hint="eastAsia"/>
        </w:rPr>
        <w:fldChar w:fldCharType="begin"/>
      </w:r>
      <w:r>
        <w:rPr>
          <w:rFonts w:hint="eastAsia"/>
        </w:rPr>
        <w:instrText xml:space="preserve"> </w:instrText>
      </w:r>
      <w:r>
        <w:instrText xml:space="preserve">PAGEREF _Toc215070141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4E1FCC3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"_Toc215070142" </w:instrText>
      </w:r>
      <w:r>
        <w:fldChar w:fldCharType="separate"/>
      </w:r>
      <w:r>
        <w:rPr>
          <w:rStyle w:val="51"/>
          <w:rFonts w:hint="eastAsia"/>
        </w:rPr>
        <w:t>2.1.1建设单位基本情况</w:t>
      </w:r>
      <w:r>
        <w:rPr>
          <w:rFonts w:hint="eastAsia"/>
        </w:rPr>
        <w:tab/>
      </w:r>
      <w:r>
        <w:rPr>
          <w:rFonts w:hint="eastAsia"/>
        </w:rPr>
        <w:fldChar w:fldCharType="begin"/>
      </w:r>
      <w:r>
        <w:rPr>
          <w:rFonts w:hint="eastAsia"/>
        </w:rPr>
        <w:instrText xml:space="preserve"> </w:instrText>
      </w:r>
      <w:r>
        <w:instrText xml:space="preserve">PAGEREF _Toc215070142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34E9C16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"_Toc215070143" </w:instrText>
      </w:r>
      <w:r>
        <w:fldChar w:fldCharType="separate"/>
      </w:r>
      <w:r>
        <w:rPr>
          <w:rStyle w:val="51"/>
          <w:rFonts w:hint="eastAsia"/>
        </w:rPr>
        <w:t>2.1.2建设项目行政区划、地理位置及交通</w:t>
      </w:r>
      <w:r>
        <w:rPr>
          <w:rFonts w:hint="eastAsia"/>
        </w:rPr>
        <w:tab/>
      </w:r>
      <w:r>
        <w:rPr>
          <w:rFonts w:hint="eastAsia"/>
        </w:rPr>
        <w:fldChar w:fldCharType="begin"/>
      </w:r>
      <w:r>
        <w:rPr>
          <w:rFonts w:hint="eastAsia"/>
        </w:rPr>
        <w:instrText xml:space="preserve"> </w:instrText>
      </w:r>
      <w:r>
        <w:instrText xml:space="preserve">PAGEREF _Toc215070143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06AD767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"_Toc215070144" </w:instrText>
      </w:r>
      <w:r>
        <w:fldChar w:fldCharType="separate"/>
      </w:r>
      <w:r>
        <w:rPr>
          <w:rStyle w:val="51"/>
          <w:rFonts w:hint="eastAsia"/>
        </w:rPr>
        <w:t>2.1.2.1矿区位置</w:t>
      </w:r>
      <w:r>
        <w:rPr>
          <w:rFonts w:hint="eastAsia"/>
        </w:rPr>
        <w:tab/>
      </w:r>
      <w:r>
        <w:rPr>
          <w:rFonts w:hint="eastAsia"/>
        </w:rPr>
        <w:fldChar w:fldCharType="begin"/>
      </w:r>
      <w:r>
        <w:rPr>
          <w:rFonts w:hint="eastAsia"/>
        </w:rPr>
        <w:instrText xml:space="preserve"> </w:instrText>
      </w:r>
      <w:r>
        <w:instrText xml:space="preserve">PAGEREF _Toc215070144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47A5A7B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"_Toc215070145" </w:instrText>
      </w:r>
      <w:r>
        <w:fldChar w:fldCharType="separate"/>
      </w:r>
      <w:r>
        <w:rPr>
          <w:rStyle w:val="51"/>
          <w:rFonts w:hint="eastAsia"/>
        </w:rPr>
        <w:t>2.1.2.2矿区交通</w:t>
      </w:r>
      <w:r>
        <w:rPr>
          <w:rFonts w:hint="eastAsia"/>
        </w:rPr>
        <w:tab/>
      </w:r>
      <w:r>
        <w:rPr>
          <w:rFonts w:hint="eastAsia"/>
        </w:rPr>
        <w:fldChar w:fldCharType="begin"/>
      </w:r>
      <w:r>
        <w:rPr>
          <w:rFonts w:hint="eastAsia"/>
        </w:rPr>
        <w:instrText xml:space="preserve"> </w:instrText>
      </w:r>
      <w:r>
        <w:instrText xml:space="preserve">PAGEREF _Toc215070145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391FE91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"_Toc215070146" </w:instrText>
      </w:r>
      <w:r>
        <w:fldChar w:fldCharType="separate"/>
      </w:r>
      <w:r>
        <w:rPr>
          <w:rStyle w:val="51"/>
          <w:rFonts w:hint="eastAsia"/>
        </w:rPr>
        <w:t>2.1.3矿业权设置</w:t>
      </w:r>
      <w:r>
        <w:rPr>
          <w:rFonts w:hint="eastAsia"/>
        </w:rPr>
        <w:tab/>
      </w:r>
      <w:r>
        <w:rPr>
          <w:rFonts w:hint="eastAsia"/>
        </w:rPr>
        <w:fldChar w:fldCharType="begin"/>
      </w:r>
      <w:r>
        <w:rPr>
          <w:rFonts w:hint="eastAsia"/>
        </w:rPr>
        <w:instrText xml:space="preserve"> </w:instrText>
      </w:r>
      <w:r>
        <w:instrText xml:space="preserve">PAGEREF _Toc215070146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183D76B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"_Toc215070147" </w:instrText>
      </w:r>
      <w:r>
        <w:fldChar w:fldCharType="separate"/>
      </w:r>
      <w:r>
        <w:rPr>
          <w:rStyle w:val="51"/>
          <w:rFonts w:hint="eastAsia"/>
        </w:rPr>
        <w:t>2.1.4周边环境</w:t>
      </w:r>
      <w:r>
        <w:rPr>
          <w:rFonts w:hint="eastAsia"/>
        </w:rPr>
        <w:tab/>
      </w:r>
      <w:r>
        <w:rPr>
          <w:rFonts w:hint="eastAsia"/>
        </w:rPr>
        <w:fldChar w:fldCharType="begin"/>
      </w:r>
      <w:r>
        <w:rPr>
          <w:rFonts w:hint="eastAsia"/>
        </w:rPr>
        <w:instrText xml:space="preserve"> </w:instrText>
      </w:r>
      <w:r>
        <w:instrText xml:space="preserve">PAGEREF _Toc215070147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08FF104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"_Toc215070148" </w:instrText>
      </w:r>
      <w:r>
        <w:fldChar w:fldCharType="separate"/>
      </w:r>
      <w:r>
        <w:rPr>
          <w:rStyle w:val="51"/>
          <w:rFonts w:hint="eastAsia"/>
        </w:rPr>
        <w:t>2.2自然环境概况</w:t>
      </w:r>
      <w:r>
        <w:rPr>
          <w:rFonts w:hint="eastAsia"/>
        </w:rPr>
        <w:tab/>
      </w:r>
      <w:r>
        <w:rPr>
          <w:rFonts w:hint="eastAsia"/>
        </w:rPr>
        <w:fldChar w:fldCharType="begin"/>
      </w:r>
      <w:r>
        <w:rPr>
          <w:rFonts w:hint="eastAsia"/>
        </w:rPr>
        <w:instrText xml:space="preserve"> </w:instrText>
      </w:r>
      <w:r>
        <w:instrText xml:space="preserve">PAGEREF _Toc215070148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3C208BE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"_Toc215070149" </w:instrText>
      </w:r>
      <w:r>
        <w:fldChar w:fldCharType="separate"/>
      </w:r>
      <w:r>
        <w:rPr>
          <w:rStyle w:val="51"/>
          <w:rFonts w:hint="eastAsia"/>
        </w:rPr>
        <w:t>2.3建设项目地质概况</w:t>
      </w:r>
      <w:r>
        <w:rPr>
          <w:rFonts w:hint="eastAsia"/>
        </w:rPr>
        <w:tab/>
      </w:r>
      <w:r>
        <w:rPr>
          <w:rFonts w:hint="eastAsia"/>
        </w:rPr>
        <w:fldChar w:fldCharType="begin"/>
      </w:r>
      <w:r>
        <w:rPr>
          <w:rFonts w:hint="eastAsia"/>
        </w:rPr>
        <w:instrText xml:space="preserve"> </w:instrText>
      </w:r>
      <w:r>
        <w:instrText xml:space="preserve">PAGEREF _Toc215070149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47A3C60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"_Toc215070150" </w:instrText>
      </w:r>
      <w:r>
        <w:fldChar w:fldCharType="separate"/>
      </w:r>
      <w:r>
        <w:rPr>
          <w:rStyle w:val="51"/>
          <w:rFonts w:hint="eastAsia"/>
        </w:rPr>
        <w:t>2.3.1区域地质</w:t>
      </w:r>
      <w:r>
        <w:rPr>
          <w:rFonts w:hint="eastAsia"/>
        </w:rPr>
        <w:tab/>
      </w:r>
      <w:r>
        <w:rPr>
          <w:rFonts w:hint="eastAsia"/>
        </w:rPr>
        <w:fldChar w:fldCharType="begin"/>
      </w:r>
      <w:r>
        <w:rPr>
          <w:rFonts w:hint="eastAsia"/>
        </w:rPr>
        <w:instrText xml:space="preserve"> </w:instrText>
      </w:r>
      <w:r>
        <w:instrText xml:space="preserve">PAGEREF _Toc215070150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70F1D63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"_Toc215070151" </w:instrText>
      </w:r>
      <w:r>
        <w:fldChar w:fldCharType="separate"/>
      </w:r>
      <w:r>
        <w:rPr>
          <w:rStyle w:val="51"/>
          <w:rFonts w:hint="eastAsia"/>
        </w:rPr>
        <w:t>2.3.2矿区地质</w:t>
      </w:r>
      <w:r>
        <w:rPr>
          <w:rFonts w:hint="eastAsia"/>
        </w:rPr>
        <w:tab/>
      </w:r>
      <w:r>
        <w:rPr>
          <w:rFonts w:hint="eastAsia"/>
        </w:rPr>
        <w:fldChar w:fldCharType="begin"/>
      </w:r>
      <w:r>
        <w:rPr>
          <w:rFonts w:hint="eastAsia"/>
        </w:rPr>
        <w:instrText xml:space="preserve"> </w:instrText>
      </w:r>
      <w:r>
        <w:instrText xml:space="preserve">PAGEREF _Toc215070151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08B3A84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"_Toc215070152" </w:instrText>
      </w:r>
      <w:r>
        <w:fldChar w:fldCharType="separate"/>
      </w:r>
      <w:r>
        <w:rPr>
          <w:rStyle w:val="51"/>
          <w:rFonts w:hint="eastAsia"/>
        </w:rPr>
        <w:t>2.3.2.1地层</w:t>
      </w:r>
      <w:r>
        <w:rPr>
          <w:rFonts w:hint="eastAsia"/>
        </w:rPr>
        <w:tab/>
      </w:r>
      <w:r>
        <w:rPr>
          <w:rFonts w:hint="eastAsia"/>
        </w:rPr>
        <w:fldChar w:fldCharType="begin"/>
      </w:r>
      <w:r>
        <w:rPr>
          <w:rFonts w:hint="eastAsia"/>
        </w:rPr>
        <w:instrText xml:space="preserve"> </w:instrText>
      </w:r>
      <w:r>
        <w:instrText xml:space="preserve">PAGEREF _Toc215070152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6F4AF9A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"_Toc215070153" </w:instrText>
      </w:r>
      <w:r>
        <w:fldChar w:fldCharType="separate"/>
      </w:r>
      <w:r>
        <w:rPr>
          <w:rStyle w:val="51"/>
          <w:rFonts w:hint="eastAsia"/>
        </w:rPr>
        <w:t>2.3.2.2构造</w:t>
      </w:r>
      <w:r>
        <w:rPr>
          <w:rFonts w:hint="eastAsia"/>
        </w:rPr>
        <w:tab/>
      </w:r>
      <w:r>
        <w:rPr>
          <w:rFonts w:hint="eastAsia"/>
        </w:rPr>
        <w:fldChar w:fldCharType="begin"/>
      </w:r>
      <w:r>
        <w:rPr>
          <w:rFonts w:hint="eastAsia"/>
        </w:rPr>
        <w:instrText xml:space="preserve"> </w:instrText>
      </w:r>
      <w:r>
        <w:instrText xml:space="preserve">PAGEREF _Toc215070153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2A58DB1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"_Toc215070154" </w:instrText>
      </w:r>
      <w:r>
        <w:fldChar w:fldCharType="separate"/>
      </w:r>
      <w:r>
        <w:rPr>
          <w:rStyle w:val="51"/>
          <w:rFonts w:hint="eastAsia"/>
        </w:rPr>
        <w:t>2.3.3矿体（层）地质</w:t>
      </w:r>
      <w:r>
        <w:rPr>
          <w:rFonts w:hint="eastAsia"/>
        </w:rPr>
        <w:tab/>
      </w:r>
      <w:r>
        <w:rPr>
          <w:rFonts w:hint="eastAsia"/>
        </w:rPr>
        <w:fldChar w:fldCharType="begin"/>
      </w:r>
      <w:r>
        <w:rPr>
          <w:rFonts w:hint="eastAsia"/>
        </w:rPr>
        <w:instrText xml:space="preserve"> </w:instrText>
      </w:r>
      <w:r>
        <w:instrText xml:space="preserve">PAGEREF _Toc215070154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2DDA677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"_Toc215070155" </w:instrText>
      </w:r>
      <w:r>
        <w:fldChar w:fldCharType="separate"/>
      </w:r>
      <w:r>
        <w:rPr>
          <w:rStyle w:val="51"/>
          <w:rFonts w:hint="eastAsia"/>
        </w:rPr>
        <w:t>2.3.3.1矿体（层）特征</w:t>
      </w:r>
      <w:r>
        <w:rPr>
          <w:rFonts w:hint="eastAsia"/>
        </w:rPr>
        <w:tab/>
      </w:r>
      <w:r>
        <w:rPr>
          <w:rFonts w:hint="eastAsia"/>
        </w:rPr>
        <w:fldChar w:fldCharType="begin"/>
      </w:r>
      <w:r>
        <w:rPr>
          <w:rFonts w:hint="eastAsia"/>
        </w:rPr>
        <w:instrText xml:space="preserve"> </w:instrText>
      </w:r>
      <w:r>
        <w:instrText xml:space="preserve">PAGEREF _Toc215070155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2EBFECBD">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"_Toc215070156" </w:instrText>
      </w:r>
      <w:r>
        <w:fldChar w:fldCharType="separate"/>
      </w:r>
      <w:r>
        <w:rPr>
          <w:rStyle w:val="51"/>
          <w:rFonts w:hint="eastAsia"/>
        </w:rPr>
        <w:t>2.3.3.2矿石质量</w:t>
      </w:r>
      <w:r>
        <w:rPr>
          <w:rFonts w:hint="eastAsia"/>
        </w:rPr>
        <w:tab/>
      </w:r>
      <w:r>
        <w:rPr>
          <w:rFonts w:hint="eastAsia"/>
        </w:rPr>
        <w:fldChar w:fldCharType="begin"/>
      </w:r>
      <w:r>
        <w:rPr>
          <w:rFonts w:hint="eastAsia"/>
        </w:rPr>
        <w:instrText xml:space="preserve"> </w:instrText>
      </w:r>
      <w:r>
        <w:instrText xml:space="preserve">PAGEREF _Toc215070156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13E9E47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"_Toc215070157" </w:instrText>
      </w:r>
      <w:r>
        <w:fldChar w:fldCharType="separate"/>
      </w:r>
      <w:r>
        <w:rPr>
          <w:rStyle w:val="51"/>
          <w:rFonts w:hint="eastAsia"/>
        </w:rPr>
        <w:t>2.3.3.3矿体围岩及夹石</w:t>
      </w:r>
      <w:r>
        <w:rPr>
          <w:rFonts w:hint="eastAsia"/>
        </w:rPr>
        <w:tab/>
      </w:r>
      <w:r>
        <w:rPr>
          <w:rFonts w:hint="eastAsia"/>
        </w:rPr>
        <w:fldChar w:fldCharType="begin"/>
      </w:r>
      <w:r>
        <w:rPr>
          <w:rFonts w:hint="eastAsia"/>
        </w:rPr>
        <w:instrText xml:space="preserve"> </w:instrText>
      </w:r>
      <w:r>
        <w:instrText xml:space="preserve">PAGEREF _Toc215070157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0EEE0F2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"_Toc215070158" </w:instrText>
      </w:r>
      <w:r>
        <w:fldChar w:fldCharType="separate"/>
      </w:r>
      <w:r>
        <w:rPr>
          <w:rStyle w:val="51"/>
          <w:rFonts w:hint="eastAsia"/>
        </w:rPr>
        <w:t>2.3.3.4共（伴）生矿产</w:t>
      </w:r>
      <w:r>
        <w:rPr>
          <w:rFonts w:hint="eastAsia"/>
        </w:rPr>
        <w:tab/>
      </w:r>
      <w:r>
        <w:rPr>
          <w:rFonts w:hint="eastAsia"/>
        </w:rPr>
        <w:fldChar w:fldCharType="begin"/>
      </w:r>
      <w:r>
        <w:rPr>
          <w:rFonts w:hint="eastAsia"/>
        </w:rPr>
        <w:instrText xml:space="preserve"> </w:instrText>
      </w:r>
      <w:r>
        <w:instrText xml:space="preserve">PAGEREF _Toc215070158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5DC8434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"_Toc215070159" </w:instrText>
      </w:r>
      <w:r>
        <w:fldChar w:fldCharType="separate"/>
      </w:r>
      <w:r>
        <w:rPr>
          <w:rStyle w:val="51"/>
          <w:rFonts w:hint="eastAsia"/>
        </w:rPr>
        <w:t>2.3.3.5风化和岩溶发育特征</w:t>
      </w:r>
      <w:r>
        <w:rPr>
          <w:rFonts w:hint="eastAsia"/>
        </w:rPr>
        <w:tab/>
      </w:r>
      <w:r>
        <w:rPr>
          <w:rFonts w:hint="eastAsia"/>
        </w:rPr>
        <w:fldChar w:fldCharType="begin"/>
      </w:r>
      <w:r>
        <w:rPr>
          <w:rFonts w:hint="eastAsia"/>
        </w:rPr>
        <w:instrText xml:space="preserve"> </w:instrText>
      </w:r>
      <w:r>
        <w:instrText xml:space="preserve">PAGEREF _Toc215070159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66C9DB2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"_Toc215070160" </w:instrText>
      </w:r>
      <w:r>
        <w:fldChar w:fldCharType="separate"/>
      </w:r>
      <w:r>
        <w:rPr>
          <w:rStyle w:val="51"/>
          <w:rFonts w:hint="eastAsia"/>
        </w:rPr>
        <w:t>2.3.4水文地质概况</w:t>
      </w:r>
      <w:r>
        <w:rPr>
          <w:rFonts w:hint="eastAsia"/>
        </w:rPr>
        <w:tab/>
      </w:r>
      <w:r>
        <w:rPr>
          <w:rFonts w:hint="eastAsia"/>
        </w:rPr>
        <w:fldChar w:fldCharType="begin"/>
      </w:r>
      <w:r>
        <w:rPr>
          <w:rFonts w:hint="eastAsia"/>
        </w:rPr>
        <w:instrText xml:space="preserve"> </w:instrText>
      </w:r>
      <w:r>
        <w:instrText xml:space="preserve">PAGEREF _Toc215070160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68E9314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"_Toc215070161" </w:instrText>
      </w:r>
      <w:r>
        <w:fldChar w:fldCharType="separate"/>
      </w:r>
      <w:r>
        <w:rPr>
          <w:rStyle w:val="51"/>
          <w:rFonts w:hint="eastAsia"/>
        </w:rPr>
        <w:t>2.3.4.1区域水文地质条件</w:t>
      </w:r>
      <w:r>
        <w:rPr>
          <w:rFonts w:hint="eastAsia"/>
        </w:rPr>
        <w:tab/>
      </w:r>
      <w:r>
        <w:rPr>
          <w:rFonts w:hint="eastAsia"/>
        </w:rPr>
        <w:fldChar w:fldCharType="begin"/>
      </w:r>
      <w:r>
        <w:rPr>
          <w:rFonts w:hint="eastAsia"/>
        </w:rPr>
        <w:instrText xml:space="preserve"> </w:instrText>
      </w:r>
      <w:r>
        <w:instrText xml:space="preserve">PAGEREF _Toc215070161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5514168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"_Toc215070162" </w:instrText>
      </w:r>
      <w:r>
        <w:fldChar w:fldCharType="separate"/>
      </w:r>
      <w:r>
        <w:rPr>
          <w:rStyle w:val="51"/>
          <w:rFonts w:hint="eastAsia"/>
        </w:rPr>
        <w:t>2.3.4.2矿区含、隔水层</w:t>
      </w:r>
      <w:r>
        <w:rPr>
          <w:rFonts w:hint="eastAsia"/>
        </w:rPr>
        <w:tab/>
      </w:r>
      <w:r>
        <w:rPr>
          <w:rFonts w:hint="eastAsia"/>
        </w:rPr>
        <w:fldChar w:fldCharType="begin"/>
      </w:r>
      <w:r>
        <w:rPr>
          <w:rFonts w:hint="eastAsia"/>
        </w:rPr>
        <w:instrText xml:space="preserve"> </w:instrText>
      </w:r>
      <w:r>
        <w:instrText xml:space="preserve">PAGEREF _Toc215070162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14:paraId="7EB2346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"_Toc215070163" </w:instrText>
      </w:r>
      <w:r>
        <w:fldChar w:fldCharType="separate"/>
      </w:r>
      <w:r>
        <w:rPr>
          <w:rStyle w:val="51"/>
          <w:rFonts w:hint="eastAsia"/>
        </w:rPr>
        <w:t>2.3.4.3矿坑涌水量分析</w:t>
      </w:r>
      <w:r>
        <w:rPr>
          <w:rFonts w:hint="eastAsia"/>
        </w:rPr>
        <w:tab/>
      </w:r>
      <w:r>
        <w:rPr>
          <w:rFonts w:hint="eastAsia"/>
        </w:rPr>
        <w:fldChar w:fldCharType="begin"/>
      </w:r>
      <w:r>
        <w:rPr>
          <w:rFonts w:hint="eastAsia"/>
        </w:rPr>
        <w:instrText xml:space="preserve"> </w:instrText>
      </w:r>
      <w:r>
        <w:instrText xml:space="preserve">PAGEREF _Toc215070163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1591461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"_Toc215070164" </w:instrText>
      </w:r>
      <w:r>
        <w:fldChar w:fldCharType="separate"/>
      </w:r>
      <w:r>
        <w:rPr>
          <w:rStyle w:val="51"/>
          <w:rFonts w:hint="eastAsia"/>
        </w:rPr>
        <w:t>2.3.4.4矿区供水水源</w:t>
      </w:r>
      <w:r>
        <w:rPr>
          <w:rFonts w:hint="eastAsia"/>
        </w:rPr>
        <w:tab/>
      </w:r>
      <w:r>
        <w:rPr>
          <w:rFonts w:hint="eastAsia"/>
        </w:rPr>
        <w:fldChar w:fldCharType="begin"/>
      </w:r>
      <w:r>
        <w:rPr>
          <w:rFonts w:hint="eastAsia"/>
        </w:rPr>
        <w:instrText xml:space="preserve"> </w:instrText>
      </w:r>
      <w:r>
        <w:instrText xml:space="preserve">PAGEREF _Toc215070164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013983F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"_Toc215070165" </w:instrText>
      </w:r>
      <w:r>
        <w:fldChar w:fldCharType="separate"/>
      </w:r>
      <w:r>
        <w:rPr>
          <w:rStyle w:val="51"/>
          <w:rFonts w:hint="eastAsia"/>
        </w:rPr>
        <w:t>2.3.4.5矿区水文地质条件小结</w:t>
      </w:r>
      <w:r>
        <w:rPr>
          <w:rFonts w:hint="eastAsia"/>
        </w:rPr>
        <w:tab/>
      </w:r>
      <w:r>
        <w:rPr>
          <w:rFonts w:hint="eastAsia"/>
        </w:rPr>
        <w:fldChar w:fldCharType="begin"/>
      </w:r>
      <w:r>
        <w:rPr>
          <w:rFonts w:hint="eastAsia"/>
        </w:rPr>
        <w:instrText xml:space="preserve"> </w:instrText>
      </w:r>
      <w:r>
        <w:instrText xml:space="preserve">PAGEREF _Toc215070165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1689793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"_Toc215070166" </w:instrText>
      </w:r>
      <w:r>
        <w:fldChar w:fldCharType="separate"/>
      </w:r>
      <w:r>
        <w:rPr>
          <w:rStyle w:val="51"/>
          <w:rFonts w:hint="eastAsia"/>
        </w:rPr>
        <w:t>2.3.5工程地质概况</w:t>
      </w:r>
      <w:r>
        <w:rPr>
          <w:rFonts w:hint="eastAsia"/>
        </w:rPr>
        <w:tab/>
      </w:r>
      <w:r>
        <w:rPr>
          <w:rFonts w:hint="eastAsia"/>
        </w:rPr>
        <w:fldChar w:fldCharType="begin"/>
      </w:r>
      <w:r>
        <w:rPr>
          <w:rFonts w:hint="eastAsia"/>
        </w:rPr>
        <w:instrText xml:space="preserve"> </w:instrText>
      </w:r>
      <w:r>
        <w:instrText xml:space="preserve">PAGEREF _Toc215070166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32FD34C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"_Toc215070167" </w:instrText>
      </w:r>
      <w:r>
        <w:fldChar w:fldCharType="separate"/>
      </w:r>
      <w:r>
        <w:rPr>
          <w:rStyle w:val="51"/>
          <w:rFonts w:hint="eastAsia"/>
        </w:rPr>
        <w:t>2.3.5.1工程地质</w:t>
      </w:r>
      <w:r>
        <w:rPr>
          <w:rFonts w:hint="eastAsia"/>
        </w:rPr>
        <w:tab/>
      </w:r>
      <w:r>
        <w:rPr>
          <w:rFonts w:hint="eastAsia"/>
        </w:rPr>
        <w:fldChar w:fldCharType="begin"/>
      </w:r>
      <w:r>
        <w:rPr>
          <w:rFonts w:hint="eastAsia"/>
        </w:rPr>
        <w:instrText xml:space="preserve"> </w:instrText>
      </w:r>
      <w:r>
        <w:instrText xml:space="preserve">PAGEREF _Toc215070167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36DEF2A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"_Toc215070168" </w:instrText>
      </w:r>
      <w:r>
        <w:fldChar w:fldCharType="separate"/>
      </w:r>
      <w:r>
        <w:rPr>
          <w:rStyle w:val="51"/>
          <w:rFonts w:hint="eastAsia"/>
        </w:rPr>
        <w:t>2.3.5.2矿床顶底板及露采边坡稳定性分析</w:t>
      </w:r>
      <w:r>
        <w:rPr>
          <w:rFonts w:hint="eastAsia"/>
        </w:rPr>
        <w:tab/>
      </w:r>
      <w:r>
        <w:rPr>
          <w:rFonts w:hint="eastAsia"/>
        </w:rPr>
        <w:fldChar w:fldCharType="begin"/>
      </w:r>
      <w:r>
        <w:rPr>
          <w:rFonts w:hint="eastAsia"/>
        </w:rPr>
        <w:instrText xml:space="preserve"> </w:instrText>
      </w:r>
      <w:r>
        <w:instrText xml:space="preserve">PAGEREF _Toc215070168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14:paraId="220EC00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"_Toc215070169" </w:instrText>
      </w:r>
      <w:r>
        <w:fldChar w:fldCharType="separate"/>
      </w:r>
      <w:r>
        <w:rPr>
          <w:rStyle w:val="51"/>
          <w:rFonts w:hint="eastAsia"/>
        </w:rPr>
        <w:t>2.3.5.3矿区工程地质条件小结</w:t>
      </w:r>
      <w:r>
        <w:rPr>
          <w:rFonts w:hint="eastAsia"/>
        </w:rPr>
        <w:tab/>
      </w:r>
      <w:r>
        <w:rPr>
          <w:rFonts w:hint="eastAsia"/>
        </w:rPr>
        <w:fldChar w:fldCharType="begin"/>
      </w:r>
      <w:r>
        <w:rPr>
          <w:rFonts w:hint="eastAsia"/>
        </w:rPr>
        <w:instrText xml:space="preserve"> </w:instrText>
      </w:r>
      <w:r>
        <w:instrText xml:space="preserve">PAGEREF _Toc215070169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2AE98AE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"_Toc215070170" </w:instrText>
      </w:r>
      <w:r>
        <w:fldChar w:fldCharType="separate"/>
      </w:r>
      <w:r>
        <w:rPr>
          <w:rStyle w:val="51"/>
          <w:rFonts w:hint="eastAsia"/>
        </w:rPr>
        <w:t>2.3.6环境地质</w:t>
      </w:r>
      <w:r>
        <w:rPr>
          <w:rFonts w:hint="eastAsia"/>
        </w:rPr>
        <w:tab/>
      </w:r>
      <w:r>
        <w:rPr>
          <w:rFonts w:hint="eastAsia"/>
        </w:rPr>
        <w:fldChar w:fldCharType="begin"/>
      </w:r>
      <w:r>
        <w:rPr>
          <w:rFonts w:hint="eastAsia"/>
        </w:rPr>
        <w:instrText xml:space="preserve"> </w:instrText>
      </w:r>
      <w:r>
        <w:instrText xml:space="preserve">PAGEREF _Toc215070170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5C81DEB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"_Toc215070171" </w:instrText>
      </w:r>
      <w:r>
        <w:fldChar w:fldCharType="separate"/>
      </w:r>
      <w:r>
        <w:rPr>
          <w:rStyle w:val="51"/>
          <w:rFonts w:hint="eastAsia"/>
        </w:rPr>
        <w:t>2.3.6.1矿区环境地质现状评价</w:t>
      </w:r>
      <w:r>
        <w:rPr>
          <w:rFonts w:hint="eastAsia"/>
        </w:rPr>
        <w:tab/>
      </w:r>
      <w:r>
        <w:rPr>
          <w:rFonts w:hint="eastAsia"/>
        </w:rPr>
        <w:fldChar w:fldCharType="begin"/>
      </w:r>
      <w:r>
        <w:rPr>
          <w:rFonts w:hint="eastAsia"/>
        </w:rPr>
        <w:instrText xml:space="preserve"> </w:instrText>
      </w:r>
      <w:r>
        <w:instrText xml:space="preserve">PAGEREF _Toc215070171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7D4ABBF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"_Toc215070172" </w:instrText>
      </w:r>
      <w:r>
        <w:fldChar w:fldCharType="separate"/>
      </w:r>
      <w:r>
        <w:rPr>
          <w:rStyle w:val="51"/>
          <w:rFonts w:hint="eastAsia"/>
        </w:rPr>
        <w:t>2.3.6.2矿区地质环境预测分析</w:t>
      </w:r>
      <w:r>
        <w:rPr>
          <w:rFonts w:hint="eastAsia"/>
        </w:rPr>
        <w:tab/>
      </w:r>
      <w:r>
        <w:rPr>
          <w:rFonts w:hint="eastAsia"/>
        </w:rPr>
        <w:fldChar w:fldCharType="begin"/>
      </w:r>
      <w:r>
        <w:rPr>
          <w:rFonts w:hint="eastAsia"/>
        </w:rPr>
        <w:instrText xml:space="preserve"> </w:instrText>
      </w:r>
      <w:r>
        <w:instrText xml:space="preserve">PAGEREF _Toc215070172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14:paraId="3719111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"_Toc215070173" </w:instrText>
      </w:r>
      <w:r>
        <w:fldChar w:fldCharType="separate"/>
      </w:r>
      <w:r>
        <w:rPr>
          <w:rStyle w:val="51"/>
          <w:rFonts w:hint="eastAsia"/>
        </w:rPr>
        <w:t>2.3.6.3地质灾害防治措施及建议</w:t>
      </w:r>
      <w:r>
        <w:rPr>
          <w:rFonts w:hint="eastAsia"/>
        </w:rPr>
        <w:tab/>
      </w:r>
      <w:r>
        <w:rPr>
          <w:rFonts w:hint="eastAsia"/>
        </w:rPr>
        <w:fldChar w:fldCharType="begin"/>
      </w:r>
      <w:r>
        <w:rPr>
          <w:rFonts w:hint="eastAsia"/>
        </w:rPr>
        <w:instrText xml:space="preserve"> </w:instrText>
      </w:r>
      <w:r>
        <w:instrText xml:space="preserve">PAGEREF _Toc215070173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14:paraId="57B1D25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"_Toc215070174" </w:instrText>
      </w:r>
      <w:r>
        <w:fldChar w:fldCharType="separate"/>
      </w:r>
      <w:r>
        <w:rPr>
          <w:rStyle w:val="51"/>
          <w:rFonts w:hint="eastAsia"/>
        </w:rPr>
        <w:t>2.3.7矿山开采技术条件小结</w:t>
      </w:r>
      <w:r>
        <w:rPr>
          <w:rFonts w:hint="eastAsia"/>
        </w:rPr>
        <w:tab/>
      </w:r>
      <w:r>
        <w:rPr>
          <w:rFonts w:hint="eastAsia"/>
        </w:rPr>
        <w:fldChar w:fldCharType="begin"/>
      </w:r>
      <w:r>
        <w:rPr>
          <w:rFonts w:hint="eastAsia"/>
        </w:rPr>
        <w:instrText xml:space="preserve"> </w:instrText>
      </w:r>
      <w:r>
        <w:instrText xml:space="preserve">PAGEREF _Toc215070174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14:paraId="5BDFEAF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"_Toc215070175" </w:instrText>
      </w:r>
      <w:r>
        <w:fldChar w:fldCharType="separate"/>
      </w:r>
      <w:r>
        <w:rPr>
          <w:rStyle w:val="51"/>
          <w:rFonts w:hint="eastAsia"/>
        </w:rPr>
        <w:t>2.3.7.1开采技术条件</w:t>
      </w:r>
      <w:r>
        <w:rPr>
          <w:rFonts w:hint="eastAsia"/>
        </w:rPr>
        <w:tab/>
      </w:r>
      <w:r>
        <w:rPr>
          <w:rFonts w:hint="eastAsia"/>
        </w:rPr>
        <w:fldChar w:fldCharType="begin"/>
      </w:r>
      <w:r>
        <w:rPr>
          <w:rFonts w:hint="eastAsia"/>
        </w:rPr>
        <w:instrText xml:space="preserve"> </w:instrText>
      </w:r>
      <w:r>
        <w:instrText xml:space="preserve">PAGEREF _Toc215070175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14:paraId="3844D90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"_Toc215070176" </w:instrText>
      </w:r>
      <w:r>
        <w:fldChar w:fldCharType="separate"/>
      </w:r>
      <w:r>
        <w:rPr>
          <w:rStyle w:val="51"/>
          <w:rFonts w:hint="eastAsia"/>
        </w:rPr>
        <w:t>2.4工程建设方案概况</w:t>
      </w:r>
      <w:r>
        <w:rPr>
          <w:rFonts w:hint="eastAsia"/>
        </w:rPr>
        <w:tab/>
      </w:r>
      <w:r>
        <w:rPr>
          <w:rFonts w:hint="eastAsia"/>
        </w:rPr>
        <w:fldChar w:fldCharType="begin"/>
      </w:r>
      <w:r>
        <w:rPr>
          <w:rFonts w:hint="eastAsia"/>
        </w:rPr>
        <w:instrText xml:space="preserve"> </w:instrText>
      </w:r>
      <w:r>
        <w:instrText xml:space="preserve">PAGEREF _Toc215070176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44467AD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"_Toc215070177" </w:instrText>
      </w:r>
      <w:r>
        <w:fldChar w:fldCharType="separate"/>
      </w:r>
      <w:r>
        <w:rPr>
          <w:rStyle w:val="51"/>
          <w:rFonts w:hint="eastAsia"/>
        </w:rPr>
        <w:t>2.4.1矿山开采现状</w:t>
      </w:r>
      <w:r>
        <w:rPr>
          <w:rFonts w:hint="eastAsia"/>
        </w:rPr>
        <w:tab/>
      </w:r>
      <w:r>
        <w:rPr>
          <w:rFonts w:hint="eastAsia"/>
        </w:rPr>
        <w:fldChar w:fldCharType="begin"/>
      </w:r>
      <w:r>
        <w:rPr>
          <w:rFonts w:hint="eastAsia"/>
        </w:rPr>
        <w:instrText xml:space="preserve"> </w:instrText>
      </w:r>
      <w:r>
        <w:instrText xml:space="preserve">PAGEREF _Toc215070177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5EE47F9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"_Toc215070178" </w:instrText>
      </w:r>
      <w:r>
        <w:fldChar w:fldCharType="separate"/>
      </w:r>
      <w:r>
        <w:rPr>
          <w:rStyle w:val="51"/>
          <w:rFonts w:hint="eastAsia"/>
        </w:rPr>
        <w:t>2.4.2建设规模、工作制度及产品方案</w:t>
      </w:r>
      <w:r>
        <w:rPr>
          <w:rFonts w:hint="eastAsia"/>
        </w:rPr>
        <w:tab/>
      </w:r>
      <w:r>
        <w:rPr>
          <w:rFonts w:hint="eastAsia"/>
        </w:rPr>
        <w:fldChar w:fldCharType="begin"/>
      </w:r>
      <w:r>
        <w:rPr>
          <w:rFonts w:hint="eastAsia"/>
        </w:rPr>
        <w:instrText xml:space="preserve"> </w:instrText>
      </w:r>
      <w:r>
        <w:instrText xml:space="preserve">PAGEREF _Toc215070178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F00E2F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"_Toc215070179" </w:instrText>
      </w:r>
      <w:r>
        <w:fldChar w:fldCharType="separate"/>
      </w:r>
      <w:r>
        <w:rPr>
          <w:rStyle w:val="51"/>
          <w:rFonts w:hint="eastAsia"/>
        </w:rPr>
        <w:t>2.4.2.1建设规模</w:t>
      </w:r>
      <w:r>
        <w:rPr>
          <w:rFonts w:hint="eastAsia"/>
        </w:rPr>
        <w:tab/>
      </w:r>
      <w:r>
        <w:rPr>
          <w:rFonts w:hint="eastAsia"/>
        </w:rPr>
        <w:fldChar w:fldCharType="begin"/>
      </w:r>
      <w:r>
        <w:rPr>
          <w:rFonts w:hint="eastAsia"/>
        </w:rPr>
        <w:instrText xml:space="preserve"> </w:instrText>
      </w:r>
      <w:r>
        <w:instrText xml:space="preserve">PAGEREF _Toc215070179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600FB5E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"_Toc215070180" </w:instrText>
      </w:r>
      <w:r>
        <w:fldChar w:fldCharType="separate"/>
      </w:r>
      <w:r>
        <w:rPr>
          <w:rStyle w:val="51"/>
          <w:rFonts w:hint="eastAsia"/>
        </w:rPr>
        <w:t>2.4.2.2产品方案</w:t>
      </w:r>
      <w:r>
        <w:rPr>
          <w:rFonts w:hint="eastAsia"/>
        </w:rPr>
        <w:tab/>
      </w:r>
      <w:r>
        <w:rPr>
          <w:rFonts w:hint="eastAsia"/>
        </w:rPr>
        <w:fldChar w:fldCharType="begin"/>
      </w:r>
      <w:r>
        <w:rPr>
          <w:rFonts w:hint="eastAsia"/>
        </w:rPr>
        <w:instrText xml:space="preserve"> </w:instrText>
      </w:r>
      <w:r>
        <w:instrText xml:space="preserve">PAGEREF _Toc215070180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55C35F1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"_Toc215070181" </w:instrText>
      </w:r>
      <w:r>
        <w:fldChar w:fldCharType="separate"/>
      </w:r>
      <w:r>
        <w:rPr>
          <w:rStyle w:val="51"/>
          <w:rFonts w:hint="eastAsia"/>
        </w:rPr>
        <w:t>2.4.3总图运输</w:t>
      </w:r>
      <w:r>
        <w:rPr>
          <w:rFonts w:hint="eastAsia"/>
        </w:rPr>
        <w:tab/>
      </w:r>
      <w:r>
        <w:rPr>
          <w:rFonts w:hint="eastAsia"/>
        </w:rPr>
        <w:fldChar w:fldCharType="begin"/>
      </w:r>
      <w:r>
        <w:rPr>
          <w:rFonts w:hint="eastAsia"/>
        </w:rPr>
        <w:instrText xml:space="preserve"> </w:instrText>
      </w:r>
      <w:r>
        <w:instrText xml:space="preserve">PAGEREF _Toc215070181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4323402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"_Toc215070182" </w:instrText>
      </w:r>
      <w:r>
        <w:fldChar w:fldCharType="separate"/>
      </w:r>
      <w:r>
        <w:rPr>
          <w:rStyle w:val="51"/>
          <w:rFonts w:hint="eastAsia"/>
        </w:rPr>
        <w:t>2.4.3.1总图布置</w:t>
      </w:r>
      <w:r>
        <w:rPr>
          <w:rFonts w:hint="eastAsia"/>
        </w:rPr>
        <w:tab/>
      </w:r>
      <w:r>
        <w:rPr>
          <w:rFonts w:hint="eastAsia"/>
        </w:rPr>
        <w:fldChar w:fldCharType="begin"/>
      </w:r>
      <w:r>
        <w:rPr>
          <w:rFonts w:hint="eastAsia"/>
        </w:rPr>
        <w:instrText xml:space="preserve"> </w:instrText>
      </w:r>
      <w:r>
        <w:instrText xml:space="preserve">PAGEREF _Toc215070182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3A6119B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"_Toc215070183" </w:instrText>
      </w:r>
      <w:r>
        <w:fldChar w:fldCharType="separate"/>
      </w:r>
      <w:r>
        <w:rPr>
          <w:rStyle w:val="51"/>
          <w:rFonts w:hint="eastAsia"/>
        </w:rPr>
        <w:t>2.4.3.2矿山运输</w:t>
      </w:r>
      <w:r>
        <w:rPr>
          <w:rFonts w:hint="eastAsia"/>
        </w:rPr>
        <w:tab/>
      </w:r>
      <w:r>
        <w:rPr>
          <w:rFonts w:hint="eastAsia"/>
        </w:rPr>
        <w:fldChar w:fldCharType="begin"/>
      </w:r>
      <w:r>
        <w:rPr>
          <w:rFonts w:hint="eastAsia"/>
        </w:rPr>
        <w:instrText xml:space="preserve"> </w:instrText>
      </w:r>
      <w:r>
        <w:instrText xml:space="preserve">PAGEREF _Toc215070183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3A2483D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"_Toc215070184" </w:instrText>
      </w:r>
      <w:r>
        <w:fldChar w:fldCharType="separate"/>
      </w:r>
      <w:r>
        <w:rPr>
          <w:rStyle w:val="51"/>
          <w:rFonts w:hint="eastAsia"/>
        </w:rPr>
        <w:t>2.4.4开采范围和开采方式的选择</w:t>
      </w:r>
      <w:r>
        <w:rPr>
          <w:rFonts w:hint="eastAsia"/>
        </w:rPr>
        <w:tab/>
      </w:r>
      <w:r>
        <w:rPr>
          <w:rFonts w:hint="eastAsia"/>
        </w:rPr>
        <w:fldChar w:fldCharType="begin"/>
      </w:r>
      <w:r>
        <w:rPr>
          <w:rFonts w:hint="eastAsia"/>
        </w:rPr>
        <w:instrText xml:space="preserve"> </w:instrText>
      </w:r>
      <w:r>
        <w:instrText xml:space="preserve">PAGEREF _Toc215070184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25E3447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"_Toc215070185" </w:instrText>
      </w:r>
      <w:r>
        <w:fldChar w:fldCharType="separate"/>
      </w:r>
      <w:r>
        <w:rPr>
          <w:rStyle w:val="51"/>
          <w:rFonts w:hint="eastAsia"/>
        </w:rPr>
        <w:t>2.4.4.1开采范围</w:t>
      </w:r>
      <w:r>
        <w:rPr>
          <w:rFonts w:hint="eastAsia"/>
        </w:rPr>
        <w:tab/>
      </w:r>
      <w:r>
        <w:rPr>
          <w:rFonts w:hint="eastAsia"/>
        </w:rPr>
        <w:fldChar w:fldCharType="begin"/>
      </w:r>
      <w:r>
        <w:rPr>
          <w:rFonts w:hint="eastAsia"/>
        </w:rPr>
        <w:instrText xml:space="preserve"> </w:instrText>
      </w:r>
      <w:r>
        <w:instrText xml:space="preserve">PAGEREF _Toc215070185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1AC7911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"_Toc215070186" </w:instrText>
      </w:r>
      <w:r>
        <w:fldChar w:fldCharType="separate"/>
      </w:r>
      <w:r>
        <w:rPr>
          <w:rStyle w:val="51"/>
          <w:rFonts w:hint="eastAsia"/>
        </w:rPr>
        <w:t>2.4.4.2开采方式</w:t>
      </w:r>
      <w:r>
        <w:rPr>
          <w:rFonts w:hint="eastAsia"/>
        </w:rPr>
        <w:tab/>
      </w:r>
      <w:r>
        <w:rPr>
          <w:rFonts w:hint="eastAsia"/>
        </w:rPr>
        <w:fldChar w:fldCharType="begin"/>
      </w:r>
      <w:r>
        <w:rPr>
          <w:rFonts w:hint="eastAsia"/>
        </w:rPr>
        <w:instrText xml:space="preserve"> </w:instrText>
      </w:r>
      <w:r>
        <w:instrText xml:space="preserve">PAGEREF _Toc215070186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751691E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"_Toc215070187" </w:instrText>
      </w:r>
      <w:r>
        <w:fldChar w:fldCharType="separate"/>
      </w:r>
      <w:r>
        <w:rPr>
          <w:rStyle w:val="51"/>
          <w:rFonts w:hint="eastAsia"/>
        </w:rPr>
        <w:t>2.4.4.3</w:t>
      </w:r>
      <w:r>
        <w:rPr>
          <w:rStyle w:val="51"/>
          <w:rFonts w:hint="eastAsia"/>
          <w:lang w:val="zh-TW" w:eastAsia="zh-TW"/>
        </w:rPr>
        <w:t>开采境界</w:t>
      </w:r>
      <w:r>
        <w:rPr>
          <w:rStyle w:val="51"/>
          <w:rFonts w:hint="eastAsia"/>
        </w:rPr>
        <w:t>圈定</w:t>
      </w:r>
      <w:r>
        <w:rPr>
          <w:rFonts w:hint="eastAsia"/>
        </w:rPr>
        <w:tab/>
      </w:r>
      <w:r>
        <w:rPr>
          <w:rFonts w:hint="eastAsia"/>
        </w:rPr>
        <w:fldChar w:fldCharType="begin"/>
      </w:r>
      <w:r>
        <w:rPr>
          <w:rFonts w:hint="eastAsia"/>
        </w:rPr>
        <w:instrText xml:space="preserve"> </w:instrText>
      </w:r>
      <w:r>
        <w:instrText xml:space="preserve">PAGEREF _Toc215070187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7DE7FD4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"_Toc215070188" </w:instrText>
      </w:r>
      <w:r>
        <w:fldChar w:fldCharType="separate"/>
      </w:r>
      <w:r>
        <w:rPr>
          <w:rStyle w:val="51"/>
          <w:rFonts w:hint="eastAsia"/>
        </w:rPr>
        <w:t>2.4.4.4</w:t>
      </w:r>
      <w:r>
        <w:rPr>
          <w:rStyle w:val="51"/>
          <w:rFonts w:hint="eastAsia"/>
          <w:lang w:val="zh-TW"/>
        </w:rPr>
        <w:t>开采境界</w:t>
      </w:r>
      <w:r>
        <w:rPr>
          <w:rStyle w:val="51"/>
          <w:rFonts w:hint="eastAsia"/>
        </w:rPr>
        <w:t>参数</w:t>
      </w:r>
      <w:r>
        <w:rPr>
          <w:rFonts w:hint="eastAsia"/>
        </w:rPr>
        <w:tab/>
      </w:r>
      <w:r>
        <w:rPr>
          <w:rFonts w:hint="eastAsia"/>
        </w:rPr>
        <w:fldChar w:fldCharType="begin"/>
      </w:r>
      <w:r>
        <w:rPr>
          <w:rFonts w:hint="eastAsia"/>
        </w:rPr>
        <w:instrText xml:space="preserve"> </w:instrText>
      </w:r>
      <w:r>
        <w:instrText xml:space="preserve">PAGEREF _Toc215070188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47EC1C4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"_Toc215070189" </w:instrText>
      </w:r>
      <w:r>
        <w:fldChar w:fldCharType="separate"/>
      </w:r>
      <w:r>
        <w:rPr>
          <w:rStyle w:val="51"/>
          <w:rFonts w:hint="eastAsia"/>
        </w:rPr>
        <w:t>2.4.4.5</w:t>
      </w:r>
      <w:r>
        <w:rPr>
          <w:rStyle w:val="51"/>
          <w:rFonts w:hint="eastAsia"/>
          <w:lang w:val="zh-TW" w:eastAsia="zh-TW"/>
        </w:rPr>
        <w:t>设计圈定矿量</w:t>
      </w:r>
      <w:r>
        <w:rPr>
          <w:rFonts w:hint="eastAsia"/>
        </w:rPr>
        <w:tab/>
      </w:r>
      <w:r>
        <w:rPr>
          <w:rFonts w:hint="eastAsia"/>
        </w:rPr>
        <w:fldChar w:fldCharType="begin"/>
      </w:r>
      <w:r>
        <w:rPr>
          <w:rFonts w:hint="eastAsia"/>
        </w:rPr>
        <w:instrText xml:space="preserve"> </w:instrText>
      </w:r>
      <w:r>
        <w:instrText xml:space="preserve">PAGEREF _Toc215070189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4806A6E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"_Toc215070190" </w:instrText>
      </w:r>
      <w:r>
        <w:fldChar w:fldCharType="separate"/>
      </w:r>
      <w:r>
        <w:rPr>
          <w:rStyle w:val="51"/>
          <w:rFonts w:hint="eastAsia"/>
        </w:rPr>
        <w:t>2.4.4.6开采顺序</w:t>
      </w:r>
      <w:r>
        <w:rPr>
          <w:rFonts w:hint="eastAsia"/>
        </w:rPr>
        <w:tab/>
      </w:r>
      <w:r>
        <w:rPr>
          <w:rFonts w:hint="eastAsia"/>
        </w:rPr>
        <w:fldChar w:fldCharType="begin"/>
      </w:r>
      <w:r>
        <w:rPr>
          <w:rFonts w:hint="eastAsia"/>
        </w:rPr>
        <w:instrText xml:space="preserve"> </w:instrText>
      </w:r>
      <w:r>
        <w:instrText xml:space="preserve">PAGEREF _Toc215070190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423D486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"_Toc215070191" </w:instrText>
      </w:r>
      <w:r>
        <w:fldChar w:fldCharType="separate"/>
      </w:r>
      <w:r>
        <w:rPr>
          <w:rStyle w:val="51"/>
          <w:rFonts w:hint="eastAsia"/>
        </w:rPr>
        <w:t>2.4.4.7基建工程</w:t>
      </w:r>
      <w:r>
        <w:rPr>
          <w:rFonts w:hint="eastAsia"/>
        </w:rPr>
        <w:tab/>
      </w:r>
      <w:r>
        <w:rPr>
          <w:rFonts w:hint="eastAsia"/>
        </w:rPr>
        <w:fldChar w:fldCharType="begin"/>
      </w:r>
      <w:r>
        <w:rPr>
          <w:rFonts w:hint="eastAsia"/>
        </w:rPr>
        <w:instrText xml:space="preserve"> </w:instrText>
      </w:r>
      <w:r>
        <w:instrText xml:space="preserve">PAGEREF _Toc215070191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14:paraId="440F6D8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"_Toc215070192" </w:instrText>
      </w:r>
      <w:r>
        <w:fldChar w:fldCharType="separate"/>
      </w:r>
      <w:r>
        <w:rPr>
          <w:rStyle w:val="51"/>
          <w:rFonts w:hint="eastAsia"/>
        </w:rPr>
        <w:t>2.4.5开拓运输</w:t>
      </w:r>
      <w:r>
        <w:rPr>
          <w:rFonts w:hint="eastAsia"/>
        </w:rPr>
        <w:tab/>
      </w:r>
      <w:r>
        <w:rPr>
          <w:rFonts w:hint="eastAsia"/>
        </w:rPr>
        <w:fldChar w:fldCharType="begin"/>
      </w:r>
      <w:r>
        <w:rPr>
          <w:rFonts w:hint="eastAsia"/>
        </w:rPr>
        <w:instrText xml:space="preserve"> </w:instrText>
      </w:r>
      <w:r>
        <w:instrText xml:space="preserve">PAGEREF _Toc215070192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1EE9091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"_Toc215070193" </w:instrText>
      </w:r>
      <w:r>
        <w:fldChar w:fldCharType="separate"/>
      </w:r>
      <w:r>
        <w:rPr>
          <w:rStyle w:val="51"/>
          <w:rFonts w:hint="eastAsia"/>
        </w:rPr>
        <w:t>2.4.5.1开拓运输方案</w:t>
      </w:r>
      <w:r>
        <w:rPr>
          <w:rFonts w:hint="eastAsia"/>
        </w:rPr>
        <w:tab/>
      </w:r>
      <w:r>
        <w:rPr>
          <w:rFonts w:hint="eastAsia"/>
        </w:rPr>
        <w:fldChar w:fldCharType="begin"/>
      </w:r>
      <w:r>
        <w:rPr>
          <w:rFonts w:hint="eastAsia"/>
        </w:rPr>
        <w:instrText xml:space="preserve"> </w:instrText>
      </w:r>
      <w:r>
        <w:instrText xml:space="preserve">PAGEREF _Toc215070193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6D0F852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"_Toc215070194" </w:instrText>
      </w:r>
      <w:r>
        <w:fldChar w:fldCharType="separate"/>
      </w:r>
      <w:r>
        <w:rPr>
          <w:rStyle w:val="51"/>
          <w:rFonts w:hint="eastAsia"/>
        </w:rPr>
        <w:t>2.4.5.2 运输设备</w:t>
      </w:r>
      <w:r>
        <w:rPr>
          <w:rFonts w:hint="eastAsia"/>
        </w:rPr>
        <w:tab/>
      </w:r>
      <w:r>
        <w:rPr>
          <w:rFonts w:hint="eastAsia"/>
        </w:rPr>
        <w:fldChar w:fldCharType="begin"/>
      </w:r>
      <w:r>
        <w:rPr>
          <w:rFonts w:hint="eastAsia"/>
        </w:rPr>
        <w:instrText xml:space="preserve"> </w:instrText>
      </w:r>
      <w:r>
        <w:instrText xml:space="preserve">PAGEREF _Toc215070194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077457C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"_Toc215070195" </w:instrText>
      </w:r>
      <w:r>
        <w:fldChar w:fldCharType="separate"/>
      </w:r>
      <w:r>
        <w:rPr>
          <w:rStyle w:val="51"/>
          <w:rFonts w:hint="eastAsia"/>
        </w:rPr>
        <w:t>2.4.5.3 运输道路</w:t>
      </w:r>
      <w:r>
        <w:rPr>
          <w:rFonts w:hint="eastAsia"/>
        </w:rPr>
        <w:tab/>
      </w:r>
      <w:r>
        <w:rPr>
          <w:rFonts w:hint="eastAsia"/>
        </w:rPr>
        <w:fldChar w:fldCharType="begin"/>
      </w:r>
      <w:r>
        <w:rPr>
          <w:rFonts w:hint="eastAsia"/>
        </w:rPr>
        <w:instrText xml:space="preserve"> </w:instrText>
      </w:r>
      <w:r>
        <w:instrText xml:space="preserve">PAGEREF _Toc215070195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1557434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"_Toc215070196" </w:instrText>
      </w:r>
      <w:r>
        <w:fldChar w:fldCharType="separate"/>
      </w:r>
      <w:r>
        <w:rPr>
          <w:rStyle w:val="51"/>
          <w:rFonts w:hint="eastAsia"/>
        </w:rPr>
        <w:t>2.4.5.4运输安全防范措施</w:t>
      </w:r>
      <w:r>
        <w:rPr>
          <w:rFonts w:hint="eastAsia"/>
        </w:rPr>
        <w:tab/>
      </w:r>
      <w:r>
        <w:rPr>
          <w:rFonts w:hint="eastAsia"/>
        </w:rPr>
        <w:fldChar w:fldCharType="begin"/>
      </w:r>
      <w:r>
        <w:rPr>
          <w:rFonts w:hint="eastAsia"/>
        </w:rPr>
        <w:instrText xml:space="preserve"> </w:instrText>
      </w:r>
      <w:r>
        <w:instrText xml:space="preserve">PAGEREF _Toc215070196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14:paraId="4FBCF58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"_Toc215070197" </w:instrText>
      </w:r>
      <w:r>
        <w:fldChar w:fldCharType="separate"/>
      </w:r>
      <w:r>
        <w:rPr>
          <w:rStyle w:val="51"/>
          <w:rFonts w:hint="eastAsia"/>
        </w:rPr>
        <w:t>2.4.6采矿工艺</w:t>
      </w:r>
      <w:r>
        <w:rPr>
          <w:rFonts w:hint="eastAsia"/>
        </w:rPr>
        <w:tab/>
      </w:r>
      <w:r>
        <w:rPr>
          <w:rFonts w:hint="eastAsia"/>
        </w:rPr>
        <w:fldChar w:fldCharType="begin"/>
      </w:r>
      <w:r>
        <w:rPr>
          <w:rFonts w:hint="eastAsia"/>
        </w:rPr>
        <w:instrText xml:space="preserve"> </w:instrText>
      </w:r>
      <w:r>
        <w:instrText xml:space="preserve">PAGEREF _Toc215070197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1F2403C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"_Toc215070198" </w:instrText>
      </w:r>
      <w:r>
        <w:fldChar w:fldCharType="separate"/>
      </w:r>
      <w:r>
        <w:rPr>
          <w:rStyle w:val="51"/>
          <w:rFonts w:hint="eastAsia"/>
        </w:rPr>
        <w:t>2.4.6.1</w:t>
      </w:r>
      <w:r>
        <w:rPr>
          <w:rStyle w:val="51"/>
          <w:rFonts w:hint="eastAsia"/>
          <w:lang w:val="zh-TW" w:eastAsia="zh-TW"/>
        </w:rPr>
        <w:t>采剥方法</w:t>
      </w:r>
      <w:r>
        <w:rPr>
          <w:rFonts w:hint="eastAsia"/>
        </w:rPr>
        <w:tab/>
      </w:r>
      <w:r>
        <w:rPr>
          <w:rFonts w:hint="eastAsia"/>
        </w:rPr>
        <w:fldChar w:fldCharType="begin"/>
      </w:r>
      <w:r>
        <w:rPr>
          <w:rFonts w:hint="eastAsia"/>
        </w:rPr>
        <w:instrText xml:space="preserve"> </w:instrText>
      </w:r>
      <w:r>
        <w:instrText xml:space="preserve">PAGEREF _Toc215070198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43B0B01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"_Toc215070199" </w:instrText>
      </w:r>
      <w:r>
        <w:fldChar w:fldCharType="separate"/>
      </w:r>
      <w:r>
        <w:rPr>
          <w:rStyle w:val="51"/>
          <w:rFonts w:hint="eastAsia"/>
        </w:rPr>
        <w:t>2.4.6.2穿爆工作</w:t>
      </w:r>
      <w:r>
        <w:rPr>
          <w:rFonts w:hint="eastAsia"/>
        </w:rPr>
        <w:tab/>
      </w:r>
      <w:r>
        <w:rPr>
          <w:rFonts w:hint="eastAsia"/>
        </w:rPr>
        <w:fldChar w:fldCharType="begin"/>
      </w:r>
      <w:r>
        <w:rPr>
          <w:rFonts w:hint="eastAsia"/>
        </w:rPr>
        <w:instrText xml:space="preserve"> </w:instrText>
      </w:r>
      <w:r>
        <w:instrText xml:space="preserve">PAGEREF _Toc215070199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14:paraId="6C5F7BC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"_Toc215070200" </w:instrText>
      </w:r>
      <w:r>
        <w:fldChar w:fldCharType="separate"/>
      </w:r>
      <w:r>
        <w:rPr>
          <w:rStyle w:val="51"/>
          <w:rFonts w:hint="eastAsia"/>
        </w:rPr>
        <w:t>2.4.6.3垂直孔（工作）爆破</w:t>
      </w:r>
      <w:r>
        <w:rPr>
          <w:rFonts w:hint="eastAsia"/>
        </w:rPr>
        <w:tab/>
      </w:r>
      <w:r>
        <w:rPr>
          <w:rFonts w:hint="eastAsia"/>
        </w:rPr>
        <w:fldChar w:fldCharType="begin"/>
      </w:r>
      <w:r>
        <w:rPr>
          <w:rFonts w:hint="eastAsia"/>
        </w:rPr>
        <w:instrText xml:space="preserve"> </w:instrText>
      </w:r>
      <w:r>
        <w:instrText xml:space="preserve">PAGEREF _Toc215070200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14:paraId="261C67F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"_Toc215070201" </w:instrText>
      </w:r>
      <w:r>
        <w:fldChar w:fldCharType="separate"/>
      </w:r>
      <w:r>
        <w:rPr>
          <w:rStyle w:val="51"/>
          <w:rFonts w:hint="eastAsia"/>
        </w:rPr>
        <w:t>2.4.6.4倾斜孔（靠帮预裂）爆破</w:t>
      </w:r>
      <w:r>
        <w:rPr>
          <w:rFonts w:hint="eastAsia"/>
        </w:rPr>
        <w:tab/>
      </w:r>
      <w:r>
        <w:rPr>
          <w:rFonts w:hint="eastAsia"/>
        </w:rPr>
        <w:fldChar w:fldCharType="begin"/>
      </w:r>
      <w:r>
        <w:rPr>
          <w:rFonts w:hint="eastAsia"/>
        </w:rPr>
        <w:instrText xml:space="preserve"> </w:instrText>
      </w:r>
      <w:r>
        <w:instrText xml:space="preserve">PAGEREF _Toc215070201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14:paraId="2ACC830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"_Toc215070202" </w:instrText>
      </w:r>
      <w:r>
        <w:fldChar w:fldCharType="separate"/>
      </w:r>
      <w:r>
        <w:rPr>
          <w:rStyle w:val="51"/>
          <w:rFonts w:hint="eastAsia"/>
        </w:rPr>
        <w:t>2.4.6.5二次爆破</w:t>
      </w:r>
      <w:r>
        <w:rPr>
          <w:rFonts w:hint="eastAsia"/>
        </w:rPr>
        <w:tab/>
      </w:r>
      <w:r>
        <w:rPr>
          <w:rFonts w:hint="eastAsia"/>
        </w:rPr>
        <w:fldChar w:fldCharType="begin"/>
      </w:r>
      <w:r>
        <w:rPr>
          <w:rFonts w:hint="eastAsia"/>
        </w:rPr>
        <w:instrText xml:space="preserve"> </w:instrText>
      </w:r>
      <w:r>
        <w:instrText xml:space="preserve">PAGEREF _Toc215070202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02CCAF9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"_Toc215070203" </w:instrText>
      </w:r>
      <w:r>
        <w:fldChar w:fldCharType="separate"/>
      </w:r>
      <w:r>
        <w:rPr>
          <w:rStyle w:val="51"/>
          <w:rFonts w:hint="eastAsia"/>
        </w:rPr>
        <w:t>2.4.6.6一次爆破最大装药量</w:t>
      </w:r>
      <w:r>
        <w:rPr>
          <w:rFonts w:hint="eastAsia"/>
        </w:rPr>
        <w:tab/>
      </w:r>
      <w:r>
        <w:rPr>
          <w:rFonts w:hint="eastAsia"/>
        </w:rPr>
        <w:fldChar w:fldCharType="begin"/>
      </w:r>
      <w:r>
        <w:rPr>
          <w:rFonts w:hint="eastAsia"/>
        </w:rPr>
        <w:instrText xml:space="preserve"> </w:instrText>
      </w:r>
      <w:r>
        <w:instrText xml:space="preserve">PAGEREF _Toc215070203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0179F9B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"_Toc215070204" </w:instrText>
      </w:r>
      <w:r>
        <w:fldChar w:fldCharType="separate"/>
      </w:r>
      <w:r>
        <w:rPr>
          <w:rStyle w:val="51"/>
          <w:rFonts w:hint="eastAsia"/>
        </w:rPr>
        <w:t>2.4.6.7爆破材料选择</w:t>
      </w:r>
      <w:r>
        <w:rPr>
          <w:rFonts w:hint="eastAsia"/>
        </w:rPr>
        <w:tab/>
      </w:r>
      <w:r>
        <w:rPr>
          <w:rFonts w:hint="eastAsia"/>
        </w:rPr>
        <w:fldChar w:fldCharType="begin"/>
      </w:r>
      <w:r>
        <w:rPr>
          <w:rFonts w:hint="eastAsia"/>
        </w:rPr>
        <w:instrText xml:space="preserve"> </w:instrText>
      </w:r>
      <w:r>
        <w:instrText xml:space="preserve">PAGEREF _Toc215070204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3F6DDFF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"_Toc215070205" </w:instrText>
      </w:r>
      <w:r>
        <w:fldChar w:fldCharType="separate"/>
      </w:r>
      <w:r>
        <w:rPr>
          <w:rStyle w:val="51"/>
          <w:rFonts w:hint="eastAsia"/>
        </w:rPr>
        <w:t>2.4.6.8爆破作业参数汇总</w:t>
      </w:r>
      <w:r>
        <w:rPr>
          <w:rFonts w:hint="eastAsia"/>
        </w:rPr>
        <w:tab/>
      </w:r>
      <w:r>
        <w:rPr>
          <w:rFonts w:hint="eastAsia"/>
        </w:rPr>
        <w:fldChar w:fldCharType="begin"/>
      </w:r>
      <w:r>
        <w:rPr>
          <w:rFonts w:hint="eastAsia"/>
        </w:rPr>
        <w:instrText xml:space="preserve"> </w:instrText>
      </w:r>
      <w:r>
        <w:instrText xml:space="preserve">PAGEREF _Toc215070205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7535C23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"_Toc215070206" </w:instrText>
      </w:r>
      <w:r>
        <w:fldChar w:fldCharType="separate"/>
      </w:r>
      <w:r>
        <w:rPr>
          <w:rStyle w:val="51"/>
          <w:rFonts w:hint="eastAsia"/>
        </w:rPr>
        <w:t>2.4.6.9</w:t>
      </w:r>
      <w:r>
        <w:rPr>
          <w:rStyle w:val="51"/>
          <w:rFonts w:hint="eastAsia"/>
          <w:lang w:val="zh-TW"/>
        </w:rPr>
        <w:t>爆破安全距离</w:t>
      </w:r>
      <w:r>
        <w:rPr>
          <w:rFonts w:hint="eastAsia"/>
        </w:rPr>
        <w:tab/>
      </w:r>
      <w:r>
        <w:rPr>
          <w:rFonts w:hint="eastAsia"/>
        </w:rPr>
        <w:fldChar w:fldCharType="begin"/>
      </w:r>
      <w:r>
        <w:rPr>
          <w:rFonts w:hint="eastAsia"/>
        </w:rPr>
        <w:instrText xml:space="preserve"> </w:instrText>
      </w:r>
      <w:r>
        <w:instrText xml:space="preserve">PAGEREF _Toc215070206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2A68AD9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"_Toc215070207" </w:instrText>
      </w:r>
      <w:r>
        <w:fldChar w:fldCharType="separate"/>
      </w:r>
      <w:r>
        <w:rPr>
          <w:rStyle w:val="51"/>
          <w:rFonts w:hint="eastAsia"/>
        </w:rPr>
        <w:t>2.4.6.10</w:t>
      </w:r>
      <w:r>
        <w:rPr>
          <w:rStyle w:val="51"/>
          <w:rFonts w:hint="eastAsia"/>
          <w:lang w:val="zh-TW" w:eastAsia="zh-TW"/>
        </w:rPr>
        <w:t>穿爆设备</w:t>
      </w:r>
      <w:r>
        <w:rPr>
          <w:rFonts w:hint="eastAsia"/>
        </w:rPr>
        <w:tab/>
      </w:r>
      <w:r>
        <w:rPr>
          <w:rFonts w:hint="eastAsia"/>
        </w:rPr>
        <w:fldChar w:fldCharType="begin"/>
      </w:r>
      <w:r>
        <w:rPr>
          <w:rFonts w:hint="eastAsia"/>
        </w:rPr>
        <w:instrText xml:space="preserve"> </w:instrText>
      </w:r>
      <w:r>
        <w:instrText xml:space="preserve">PAGEREF _Toc215070207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0CD9672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"_Toc215070208" </w:instrText>
      </w:r>
      <w:r>
        <w:fldChar w:fldCharType="separate"/>
      </w:r>
      <w:r>
        <w:rPr>
          <w:rStyle w:val="51"/>
          <w:rFonts w:hint="eastAsia"/>
        </w:rPr>
        <w:t>2.4.6.11</w:t>
      </w:r>
      <w:r>
        <w:rPr>
          <w:rStyle w:val="51"/>
          <w:rFonts w:hint="eastAsia"/>
          <w:lang w:val="zh-TW" w:eastAsia="zh-TW"/>
        </w:rPr>
        <w:t>挖掘</w:t>
      </w:r>
      <w:r>
        <w:rPr>
          <w:rStyle w:val="51"/>
          <w:rFonts w:hint="eastAsia"/>
        </w:rPr>
        <w:t>铲装</w:t>
      </w:r>
      <w:r>
        <w:rPr>
          <w:rStyle w:val="51"/>
          <w:rFonts w:hint="eastAsia"/>
          <w:lang w:val="zh-TW" w:eastAsia="zh-TW"/>
        </w:rPr>
        <w:t>设备</w:t>
      </w:r>
      <w:r>
        <w:rPr>
          <w:rFonts w:hint="eastAsia"/>
        </w:rPr>
        <w:tab/>
      </w:r>
      <w:r>
        <w:rPr>
          <w:rFonts w:hint="eastAsia"/>
        </w:rPr>
        <w:fldChar w:fldCharType="begin"/>
      </w:r>
      <w:r>
        <w:rPr>
          <w:rFonts w:hint="eastAsia"/>
        </w:rPr>
        <w:instrText xml:space="preserve"> </w:instrText>
      </w:r>
      <w:r>
        <w:instrText xml:space="preserve">PAGEREF _Toc215070208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0B5649F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"_Toc215070209" </w:instrText>
      </w:r>
      <w:r>
        <w:fldChar w:fldCharType="separate"/>
      </w:r>
      <w:r>
        <w:rPr>
          <w:rStyle w:val="51"/>
          <w:rFonts w:hint="eastAsia"/>
        </w:rPr>
        <w:t>2.4.7防尘</w:t>
      </w:r>
      <w:r>
        <w:rPr>
          <w:rFonts w:hint="eastAsia"/>
        </w:rPr>
        <w:tab/>
      </w:r>
      <w:r>
        <w:rPr>
          <w:rFonts w:hint="eastAsia"/>
        </w:rPr>
        <w:fldChar w:fldCharType="begin"/>
      </w:r>
      <w:r>
        <w:rPr>
          <w:rFonts w:hint="eastAsia"/>
        </w:rPr>
        <w:instrText xml:space="preserve"> </w:instrText>
      </w:r>
      <w:r>
        <w:instrText xml:space="preserve">PAGEREF _Toc215070209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085F33B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"_Toc215070210" </w:instrText>
      </w:r>
      <w:r>
        <w:fldChar w:fldCharType="separate"/>
      </w:r>
      <w:r>
        <w:rPr>
          <w:rStyle w:val="51"/>
          <w:rFonts w:hint="eastAsia"/>
        </w:rPr>
        <w:t>2.4.8矿山供配电设施及通讯</w:t>
      </w:r>
      <w:r>
        <w:rPr>
          <w:rFonts w:hint="eastAsia"/>
        </w:rPr>
        <w:tab/>
      </w:r>
      <w:r>
        <w:rPr>
          <w:rFonts w:hint="eastAsia"/>
        </w:rPr>
        <w:fldChar w:fldCharType="begin"/>
      </w:r>
      <w:r>
        <w:rPr>
          <w:rFonts w:hint="eastAsia"/>
        </w:rPr>
        <w:instrText xml:space="preserve"> </w:instrText>
      </w:r>
      <w:r>
        <w:instrText xml:space="preserve">PAGEREF _Toc215070210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474F977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"_Toc215070211" </w:instrText>
      </w:r>
      <w:r>
        <w:fldChar w:fldCharType="separate"/>
      </w:r>
      <w:r>
        <w:rPr>
          <w:rStyle w:val="51"/>
          <w:rFonts w:hint="eastAsia"/>
        </w:rPr>
        <w:t>2.4.8.1供配电系统</w:t>
      </w:r>
      <w:r>
        <w:rPr>
          <w:rFonts w:hint="eastAsia"/>
        </w:rPr>
        <w:tab/>
      </w:r>
      <w:r>
        <w:rPr>
          <w:rFonts w:hint="eastAsia"/>
        </w:rPr>
        <w:fldChar w:fldCharType="begin"/>
      </w:r>
      <w:r>
        <w:rPr>
          <w:rFonts w:hint="eastAsia"/>
        </w:rPr>
        <w:instrText xml:space="preserve"> </w:instrText>
      </w:r>
      <w:r>
        <w:instrText xml:space="preserve">PAGEREF _Toc215070211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5371D17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"_Toc215070212" </w:instrText>
      </w:r>
      <w:r>
        <w:fldChar w:fldCharType="separate"/>
      </w:r>
      <w:r>
        <w:rPr>
          <w:rStyle w:val="51"/>
          <w:rFonts w:hint="eastAsia"/>
        </w:rPr>
        <w:t>2.4.8.2电气设施</w:t>
      </w:r>
      <w:r>
        <w:rPr>
          <w:rFonts w:hint="eastAsia"/>
        </w:rPr>
        <w:tab/>
      </w:r>
      <w:r>
        <w:rPr>
          <w:rFonts w:hint="eastAsia"/>
        </w:rPr>
        <w:fldChar w:fldCharType="begin"/>
      </w:r>
      <w:r>
        <w:rPr>
          <w:rFonts w:hint="eastAsia"/>
        </w:rPr>
        <w:instrText xml:space="preserve"> </w:instrText>
      </w:r>
      <w:r>
        <w:instrText xml:space="preserve">PAGEREF _Toc215070212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507CE4D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"_Toc215070213" </w:instrText>
      </w:r>
      <w:r>
        <w:fldChar w:fldCharType="separate"/>
      </w:r>
      <w:r>
        <w:rPr>
          <w:rStyle w:val="51"/>
          <w:rFonts w:hint="eastAsia"/>
        </w:rPr>
        <w:t>2.4.8.3通讯及信号</w:t>
      </w:r>
      <w:r>
        <w:rPr>
          <w:rFonts w:hint="eastAsia"/>
        </w:rPr>
        <w:tab/>
      </w:r>
      <w:r>
        <w:rPr>
          <w:rFonts w:hint="eastAsia"/>
        </w:rPr>
        <w:fldChar w:fldCharType="begin"/>
      </w:r>
      <w:r>
        <w:rPr>
          <w:rFonts w:hint="eastAsia"/>
        </w:rPr>
        <w:instrText xml:space="preserve"> </w:instrText>
      </w:r>
      <w:r>
        <w:instrText xml:space="preserve">PAGEREF _Toc215070213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62650C6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"_Toc215070214" </w:instrText>
      </w:r>
      <w:r>
        <w:fldChar w:fldCharType="separate"/>
      </w:r>
      <w:r>
        <w:rPr>
          <w:rStyle w:val="51"/>
          <w:rFonts w:hint="eastAsia"/>
        </w:rPr>
        <w:t>2.4.9防排水系统</w:t>
      </w:r>
      <w:r>
        <w:rPr>
          <w:rFonts w:hint="eastAsia"/>
        </w:rPr>
        <w:tab/>
      </w:r>
      <w:r>
        <w:rPr>
          <w:rFonts w:hint="eastAsia"/>
        </w:rPr>
        <w:fldChar w:fldCharType="begin"/>
      </w:r>
      <w:r>
        <w:rPr>
          <w:rFonts w:hint="eastAsia"/>
        </w:rPr>
        <w:instrText xml:space="preserve"> </w:instrText>
      </w:r>
      <w:r>
        <w:instrText xml:space="preserve">PAGEREF _Toc215070214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14:paraId="599A0A5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"_Toc215070215" </w:instrText>
      </w:r>
      <w:r>
        <w:fldChar w:fldCharType="separate"/>
      </w:r>
      <w:r>
        <w:rPr>
          <w:rStyle w:val="51"/>
          <w:rFonts w:hint="eastAsia"/>
        </w:rPr>
        <w:t>2.4.9.1矿山给水</w:t>
      </w:r>
      <w:r>
        <w:rPr>
          <w:rFonts w:hint="eastAsia"/>
        </w:rPr>
        <w:tab/>
      </w:r>
      <w:r>
        <w:rPr>
          <w:rFonts w:hint="eastAsia"/>
        </w:rPr>
        <w:fldChar w:fldCharType="begin"/>
      </w:r>
      <w:r>
        <w:rPr>
          <w:rFonts w:hint="eastAsia"/>
        </w:rPr>
        <w:instrText xml:space="preserve"> </w:instrText>
      </w:r>
      <w:r>
        <w:instrText xml:space="preserve">PAGEREF _Toc215070215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14:paraId="058B583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"_Toc215070216" </w:instrText>
      </w:r>
      <w:r>
        <w:fldChar w:fldCharType="separate"/>
      </w:r>
      <w:r>
        <w:rPr>
          <w:rStyle w:val="51"/>
          <w:rFonts w:hint="eastAsia"/>
        </w:rPr>
        <w:t>2.4.9.2矿山排水</w:t>
      </w:r>
      <w:r>
        <w:rPr>
          <w:rFonts w:hint="eastAsia"/>
        </w:rPr>
        <w:tab/>
      </w:r>
      <w:r>
        <w:rPr>
          <w:rFonts w:hint="eastAsia"/>
        </w:rPr>
        <w:fldChar w:fldCharType="begin"/>
      </w:r>
      <w:r>
        <w:rPr>
          <w:rFonts w:hint="eastAsia"/>
        </w:rPr>
        <w:instrText xml:space="preserve"> </w:instrText>
      </w:r>
      <w:r>
        <w:instrText xml:space="preserve">PAGEREF _Toc215070216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14:paraId="4DC3063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"_Toc215070217" </w:instrText>
      </w:r>
      <w:r>
        <w:fldChar w:fldCharType="separate"/>
      </w:r>
      <w:r>
        <w:rPr>
          <w:rStyle w:val="51"/>
          <w:rFonts w:hint="eastAsia"/>
        </w:rPr>
        <w:t>2.4.9.3废水</w:t>
      </w:r>
      <w:r>
        <w:rPr>
          <w:rFonts w:hint="eastAsia"/>
        </w:rPr>
        <w:tab/>
      </w:r>
      <w:r>
        <w:rPr>
          <w:rFonts w:hint="eastAsia"/>
        </w:rPr>
        <w:fldChar w:fldCharType="begin"/>
      </w:r>
      <w:r>
        <w:rPr>
          <w:rFonts w:hint="eastAsia"/>
        </w:rPr>
        <w:instrText xml:space="preserve"> </w:instrText>
      </w:r>
      <w:r>
        <w:instrText xml:space="preserve">PAGEREF _Toc215070217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14:paraId="4DD1A76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"_Toc215070218" </w:instrText>
      </w:r>
      <w:r>
        <w:fldChar w:fldCharType="separate"/>
      </w:r>
      <w:r>
        <w:rPr>
          <w:rStyle w:val="51"/>
          <w:rFonts w:hint="eastAsia"/>
        </w:rPr>
        <w:t>2.4.10排土场</w:t>
      </w:r>
      <w:r>
        <w:rPr>
          <w:rFonts w:hint="eastAsia"/>
        </w:rPr>
        <w:tab/>
      </w:r>
      <w:r>
        <w:rPr>
          <w:rFonts w:hint="eastAsia"/>
        </w:rPr>
        <w:fldChar w:fldCharType="begin"/>
      </w:r>
      <w:r>
        <w:rPr>
          <w:rFonts w:hint="eastAsia"/>
        </w:rPr>
        <w:instrText xml:space="preserve"> </w:instrText>
      </w:r>
      <w:r>
        <w:instrText xml:space="preserve">PAGEREF _Toc215070218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14:paraId="7F10AC5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"_Toc215070219" </w:instrText>
      </w:r>
      <w:r>
        <w:fldChar w:fldCharType="separate"/>
      </w:r>
      <w:r>
        <w:rPr>
          <w:rStyle w:val="51"/>
          <w:rFonts w:hint="eastAsia"/>
        </w:rPr>
        <w:t>2.4.11破碎</w:t>
      </w:r>
      <w:r>
        <w:rPr>
          <w:rFonts w:hint="eastAsia"/>
        </w:rPr>
        <w:tab/>
      </w:r>
      <w:r>
        <w:rPr>
          <w:rFonts w:hint="eastAsia"/>
        </w:rPr>
        <w:fldChar w:fldCharType="begin"/>
      </w:r>
      <w:r>
        <w:rPr>
          <w:rFonts w:hint="eastAsia"/>
        </w:rPr>
        <w:instrText xml:space="preserve"> </w:instrText>
      </w:r>
      <w:r>
        <w:instrText xml:space="preserve">PAGEREF _Toc215070219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14:paraId="3DB0FBE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"_Toc215070220" </w:instrText>
      </w:r>
      <w:r>
        <w:fldChar w:fldCharType="separate"/>
      </w:r>
      <w:r>
        <w:rPr>
          <w:rStyle w:val="51"/>
          <w:rFonts w:hint="eastAsia"/>
        </w:rPr>
        <w:t>2.4.11.1</w:t>
      </w:r>
      <w:r>
        <w:rPr>
          <w:rStyle w:val="51"/>
          <w:rFonts w:hint="eastAsia"/>
          <w:bCs/>
        </w:rPr>
        <w:t>破碎站位置</w:t>
      </w:r>
      <w:r>
        <w:rPr>
          <w:rFonts w:hint="eastAsia"/>
        </w:rPr>
        <w:tab/>
      </w:r>
      <w:r>
        <w:rPr>
          <w:rFonts w:hint="eastAsia"/>
        </w:rPr>
        <w:fldChar w:fldCharType="begin"/>
      </w:r>
      <w:r>
        <w:rPr>
          <w:rFonts w:hint="eastAsia"/>
        </w:rPr>
        <w:instrText xml:space="preserve"> </w:instrText>
      </w:r>
      <w:r>
        <w:instrText xml:space="preserve">PAGEREF _Toc215070220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14:paraId="49BC5C2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"_Toc215070221" </w:instrText>
      </w:r>
      <w:r>
        <w:fldChar w:fldCharType="separate"/>
      </w:r>
      <w:r>
        <w:rPr>
          <w:rStyle w:val="51"/>
          <w:rFonts w:hint="eastAsia"/>
          <w:bCs/>
        </w:rPr>
        <w:t>2.4.11.2破碎设备</w:t>
      </w:r>
      <w:r>
        <w:rPr>
          <w:rFonts w:hint="eastAsia"/>
        </w:rPr>
        <w:tab/>
      </w:r>
      <w:r>
        <w:rPr>
          <w:rFonts w:hint="eastAsia"/>
        </w:rPr>
        <w:fldChar w:fldCharType="begin"/>
      </w:r>
      <w:r>
        <w:rPr>
          <w:rFonts w:hint="eastAsia"/>
        </w:rPr>
        <w:instrText xml:space="preserve"> </w:instrText>
      </w:r>
      <w:r>
        <w:instrText xml:space="preserve">PAGEREF _Toc215070221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5A2732F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"_Toc215070222" </w:instrText>
      </w:r>
      <w:r>
        <w:fldChar w:fldCharType="separate"/>
      </w:r>
      <w:r>
        <w:rPr>
          <w:rStyle w:val="51"/>
          <w:rFonts w:hint="eastAsia"/>
          <w:bCs/>
        </w:rPr>
        <w:t>2.4.11.3破碎站安全措施</w:t>
      </w:r>
      <w:r>
        <w:rPr>
          <w:rFonts w:hint="eastAsia"/>
        </w:rPr>
        <w:tab/>
      </w:r>
      <w:r>
        <w:rPr>
          <w:rFonts w:hint="eastAsia"/>
        </w:rPr>
        <w:fldChar w:fldCharType="begin"/>
      </w:r>
      <w:r>
        <w:rPr>
          <w:rFonts w:hint="eastAsia"/>
        </w:rPr>
        <w:instrText xml:space="preserve"> </w:instrText>
      </w:r>
      <w:r>
        <w:instrText xml:space="preserve">PAGEREF _Toc215070222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2CDABA1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"_Toc215070223" </w:instrText>
      </w:r>
      <w:r>
        <w:fldChar w:fldCharType="separate"/>
      </w:r>
      <w:r>
        <w:rPr>
          <w:rStyle w:val="51"/>
          <w:rFonts w:hint="eastAsia"/>
        </w:rPr>
        <w:t>2.4.12边坡监测</w:t>
      </w:r>
      <w:r>
        <w:rPr>
          <w:rFonts w:hint="eastAsia"/>
        </w:rPr>
        <w:tab/>
      </w:r>
      <w:r>
        <w:rPr>
          <w:rFonts w:hint="eastAsia"/>
        </w:rPr>
        <w:fldChar w:fldCharType="begin"/>
      </w:r>
      <w:r>
        <w:rPr>
          <w:rFonts w:hint="eastAsia"/>
        </w:rPr>
        <w:instrText xml:space="preserve"> </w:instrText>
      </w:r>
      <w:r>
        <w:instrText xml:space="preserve">PAGEREF _Toc215070223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5E22036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"_Toc215070224" </w:instrText>
      </w:r>
      <w:r>
        <w:fldChar w:fldCharType="separate"/>
      </w:r>
      <w:r>
        <w:rPr>
          <w:rStyle w:val="51"/>
          <w:rFonts w:hint="eastAsia"/>
        </w:rPr>
        <w:t>2.5安全管理及其它</w:t>
      </w:r>
      <w:r>
        <w:rPr>
          <w:rFonts w:hint="eastAsia"/>
        </w:rPr>
        <w:tab/>
      </w:r>
      <w:r>
        <w:rPr>
          <w:rFonts w:hint="eastAsia"/>
        </w:rPr>
        <w:fldChar w:fldCharType="begin"/>
      </w:r>
      <w:r>
        <w:rPr>
          <w:rFonts w:hint="eastAsia"/>
        </w:rPr>
        <w:instrText xml:space="preserve"> </w:instrText>
      </w:r>
      <w:r>
        <w:instrText xml:space="preserve">PAGEREF _Toc215070224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59EA958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"_Toc215070225" </w:instrText>
      </w:r>
      <w:r>
        <w:fldChar w:fldCharType="separate"/>
      </w:r>
      <w:r>
        <w:rPr>
          <w:rStyle w:val="51"/>
          <w:rFonts w:hint="eastAsia"/>
        </w:rPr>
        <w:t>2.5.1组织结构</w:t>
      </w:r>
      <w:r>
        <w:rPr>
          <w:rFonts w:hint="eastAsia"/>
        </w:rPr>
        <w:tab/>
      </w:r>
      <w:r>
        <w:rPr>
          <w:rFonts w:hint="eastAsia"/>
        </w:rPr>
        <w:fldChar w:fldCharType="begin"/>
      </w:r>
      <w:r>
        <w:rPr>
          <w:rFonts w:hint="eastAsia"/>
        </w:rPr>
        <w:instrText xml:space="preserve"> </w:instrText>
      </w:r>
      <w:r>
        <w:instrText xml:space="preserve">PAGEREF _Toc215070225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17787FC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"_Toc215070226" </w:instrText>
      </w:r>
      <w:r>
        <w:fldChar w:fldCharType="separate"/>
      </w:r>
      <w:r>
        <w:rPr>
          <w:rStyle w:val="51"/>
          <w:rFonts w:hint="eastAsia"/>
        </w:rPr>
        <w:t>2.5.2工作制度</w:t>
      </w:r>
      <w:r>
        <w:rPr>
          <w:rFonts w:hint="eastAsia"/>
        </w:rPr>
        <w:tab/>
      </w:r>
      <w:r>
        <w:rPr>
          <w:rFonts w:hint="eastAsia"/>
        </w:rPr>
        <w:fldChar w:fldCharType="begin"/>
      </w:r>
      <w:r>
        <w:rPr>
          <w:rFonts w:hint="eastAsia"/>
        </w:rPr>
        <w:instrText xml:space="preserve"> </w:instrText>
      </w:r>
      <w:r>
        <w:instrText xml:space="preserve">PAGEREF _Toc215070226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04CB575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"_Toc215070227" </w:instrText>
      </w:r>
      <w:r>
        <w:fldChar w:fldCharType="separate"/>
      </w:r>
      <w:r>
        <w:rPr>
          <w:rStyle w:val="51"/>
          <w:rFonts w:hint="eastAsia"/>
        </w:rPr>
        <w:t>2.5</w:t>
      </w:r>
      <w:r>
        <w:rPr>
          <w:rStyle w:val="51"/>
          <w:rFonts w:hint="eastAsia"/>
          <w:lang w:val="zh-TW" w:eastAsia="zh-TW"/>
        </w:rPr>
        <w:t>.</w:t>
      </w:r>
      <w:r>
        <w:rPr>
          <w:rStyle w:val="51"/>
          <w:rFonts w:hint="eastAsia"/>
        </w:rPr>
        <w:t>3</w:t>
      </w:r>
      <w:r>
        <w:rPr>
          <w:rStyle w:val="51"/>
          <w:rFonts w:hint="eastAsia"/>
          <w:lang w:val="zh-TW" w:eastAsia="zh-TW"/>
        </w:rPr>
        <w:t>劳动定员</w:t>
      </w:r>
      <w:r>
        <w:rPr>
          <w:rFonts w:hint="eastAsia"/>
        </w:rPr>
        <w:tab/>
      </w:r>
      <w:r>
        <w:rPr>
          <w:rFonts w:hint="eastAsia"/>
        </w:rPr>
        <w:fldChar w:fldCharType="begin"/>
      </w:r>
      <w:r>
        <w:rPr>
          <w:rFonts w:hint="eastAsia"/>
        </w:rPr>
        <w:instrText xml:space="preserve"> </w:instrText>
      </w:r>
      <w:r>
        <w:instrText xml:space="preserve">PAGEREF _Toc215070227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07E2F1E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"_Toc215070228" </w:instrText>
      </w:r>
      <w:r>
        <w:fldChar w:fldCharType="separate"/>
      </w:r>
      <w:r>
        <w:rPr>
          <w:rStyle w:val="51"/>
          <w:rFonts w:hint="eastAsia"/>
        </w:rPr>
        <w:t>2.5.4劳动生产率计算</w:t>
      </w:r>
      <w:r>
        <w:rPr>
          <w:rFonts w:hint="eastAsia"/>
        </w:rPr>
        <w:tab/>
      </w:r>
      <w:r>
        <w:rPr>
          <w:rFonts w:hint="eastAsia"/>
        </w:rPr>
        <w:fldChar w:fldCharType="begin"/>
      </w:r>
      <w:r>
        <w:rPr>
          <w:rFonts w:hint="eastAsia"/>
        </w:rPr>
        <w:instrText xml:space="preserve"> </w:instrText>
      </w:r>
      <w:r>
        <w:instrText xml:space="preserve">PAGEREF _Toc215070228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286745C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"_Toc215070229" </w:instrText>
      </w:r>
      <w:r>
        <w:fldChar w:fldCharType="separate"/>
      </w:r>
      <w:r>
        <w:rPr>
          <w:rStyle w:val="51"/>
          <w:rFonts w:hint="eastAsia"/>
        </w:rPr>
        <w:t>2.5.5职工培训</w:t>
      </w:r>
      <w:r>
        <w:rPr>
          <w:rFonts w:hint="eastAsia"/>
        </w:rPr>
        <w:tab/>
      </w:r>
      <w:r>
        <w:rPr>
          <w:rFonts w:hint="eastAsia"/>
        </w:rPr>
        <w:fldChar w:fldCharType="begin"/>
      </w:r>
      <w:r>
        <w:rPr>
          <w:rFonts w:hint="eastAsia"/>
        </w:rPr>
        <w:instrText xml:space="preserve"> </w:instrText>
      </w:r>
      <w:r>
        <w:instrText xml:space="preserve">PAGEREF _Toc215070229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1CED67E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"_Toc215070230" </w:instrText>
      </w:r>
      <w:r>
        <w:fldChar w:fldCharType="separate"/>
      </w:r>
      <w:r>
        <w:rPr>
          <w:rStyle w:val="51"/>
          <w:rFonts w:hint="eastAsia"/>
        </w:rPr>
        <w:t>2.5.6安全管理制度</w:t>
      </w:r>
      <w:r>
        <w:rPr>
          <w:rFonts w:hint="eastAsia"/>
        </w:rPr>
        <w:tab/>
      </w:r>
      <w:r>
        <w:rPr>
          <w:rFonts w:hint="eastAsia"/>
        </w:rPr>
        <w:fldChar w:fldCharType="begin"/>
      </w:r>
      <w:r>
        <w:rPr>
          <w:rFonts w:hint="eastAsia"/>
        </w:rPr>
        <w:instrText xml:space="preserve"> </w:instrText>
      </w:r>
      <w:r>
        <w:instrText xml:space="preserve">PAGEREF _Toc215070230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5AB78C4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"_Toc215070231" </w:instrText>
      </w:r>
      <w:r>
        <w:fldChar w:fldCharType="separate"/>
      </w:r>
      <w:r>
        <w:rPr>
          <w:rStyle w:val="51"/>
          <w:rFonts w:hint="eastAsia"/>
        </w:rPr>
        <w:t>2.5.7工伤保险、安全生产责任险</w:t>
      </w:r>
      <w:r>
        <w:rPr>
          <w:rFonts w:hint="eastAsia"/>
        </w:rPr>
        <w:tab/>
      </w:r>
      <w:r>
        <w:rPr>
          <w:rFonts w:hint="eastAsia"/>
        </w:rPr>
        <w:fldChar w:fldCharType="begin"/>
      </w:r>
      <w:r>
        <w:rPr>
          <w:rFonts w:hint="eastAsia"/>
        </w:rPr>
        <w:instrText xml:space="preserve"> </w:instrText>
      </w:r>
      <w:r>
        <w:instrText xml:space="preserve">PAGEREF _Toc215070231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4E8DD36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"_Toc215070232" </w:instrText>
      </w:r>
      <w:r>
        <w:fldChar w:fldCharType="separate"/>
      </w:r>
      <w:r>
        <w:rPr>
          <w:rStyle w:val="51"/>
          <w:rFonts w:hint="eastAsia"/>
        </w:rPr>
        <w:t>2.5.8安全专项投资</w:t>
      </w:r>
      <w:r>
        <w:rPr>
          <w:rFonts w:hint="eastAsia"/>
        </w:rPr>
        <w:tab/>
      </w:r>
      <w:r>
        <w:rPr>
          <w:rFonts w:hint="eastAsia"/>
        </w:rPr>
        <w:fldChar w:fldCharType="begin"/>
      </w:r>
      <w:r>
        <w:rPr>
          <w:rFonts w:hint="eastAsia"/>
        </w:rPr>
        <w:instrText xml:space="preserve"> </w:instrText>
      </w:r>
      <w:r>
        <w:instrText xml:space="preserve">PAGEREF _Toc215070232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31F37B5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"_Toc215070233" </w:instrText>
      </w:r>
      <w:r>
        <w:fldChar w:fldCharType="separate"/>
      </w:r>
      <w:r>
        <w:rPr>
          <w:rStyle w:val="51"/>
          <w:rFonts w:hint="eastAsia"/>
        </w:rPr>
        <w:t>3.定性定量评价</w:t>
      </w:r>
      <w:r>
        <w:rPr>
          <w:rFonts w:hint="eastAsia"/>
        </w:rPr>
        <w:tab/>
      </w:r>
      <w:r>
        <w:rPr>
          <w:rFonts w:hint="eastAsia"/>
        </w:rPr>
        <w:fldChar w:fldCharType="begin"/>
      </w:r>
      <w:r>
        <w:rPr>
          <w:rFonts w:hint="eastAsia"/>
        </w:rPr>
        <w:instrText xml:space="preserve"> </w:instrText>
      </w:r>
      <w:r>
        <w:instrText xml:space="preserve">PAGEREF _Toc215070233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64D0AF6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"_Toc215070234" </w:instrText>
      </w:r>
      <w:r>
        <w:fldChar w:fldCharType="separate"/>
      </w:r>
      <w:r>
        <w:rPr>
          <w:rStyle w:val="51"/>
          <w:rFonts w:hint="eastAsia"/>
        </w:rPr>
        <w:t>3.1评价方法的选择</w:t>
      </w:r>
      <w:r>
        <w:rPr>
          <w:rFonts w:hint="eastAsia"/>
        </w:rPr>
        <w:tab/>
      </w:r>
      <w:r>
        <w:rPr>
          <w:rFonts w:hint="eastAsia"/>
        </w:rPr>
        <w:fldChar w:fldCharType="begin"/>
      </w:r>
      <w:r>
        <w:rPr>
          <w:rFonts w:hint="eastAsia"/>
        </w:rPr>
        <w:instrText xml:space="preserve"> </w:instrText>
      </w:r>
      <w:r>
        <w:instrText xml:space="preserve">PAGEREF _Toc215070234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34E5A54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"_Toc215070235" </w:instrText>
      </w:r>
      <w:r>
        <w:fldChar w:fldCharType="separate"/>
      </w:r>
      <w:r>
        <w:rPr>
          <w:rStyle w:val="51"/>
          <w:rFonts w:hint="eastAsia"/>
        </w:rPr>
        <w:t>3.2总平面布置单元</w:t>
      </w:r>
      <w:r>
        <w:rPr>
          <w:rFonts w:hint="eastAsia"/>
        </w:rPr>
        <w:tab/>
      </w:r>
      <w:r>
        <w:rPr>
          <w:rFonts w:hint="eastAsia"/>
        </w:rPr>
        <w:fldChar w:fldCharType="begin"/>
      </w:r>
      <w:r>
        <w:rPr>
          <w:rFonts w:hint="eastAsia"/>
        </w:rPr>
        <w:instrText xml:space="preserve"> </w:instrText>
      </w:r>
      <w:r>
        <w:instrText xml:space="preserve">PAGEREF _Toc215070235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6901C09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"_Toc215070236" </w:instrText>
      </w:r>
      <w:r>
        <w:fldChar w:fldCharType="separate"/>
      </w:r>
      <w:r>
        <w:rPr>
          <w:rStyle w:val="51"/>
          <w:rFonts w:hint="eastAsia"/>
        </w:rPr>
        <w:t>3.2.1总平面布置单元危险、有害因素辨识与分析</w:t>
      </w:r>
      <w:r>
        <w:rPr>
          <w:rFonts w:hint="eastAsia"/>
        </w:rPr>
        <w:tab/>
      </w:r>
      <w:r>
        <w:rPr>
          <w:rFonts w:hint="eastAsia"/>
        </w:rPr>
        <w:fldChar w:fldCharType="begin"/>
      </w:r>
      <w:r>
        <w:rPr>
          <w:rFonts w:hint="eastAsia"/>
        </w:rPr>
        <w:instrText xml:space="preserve"> </w:instrText>
      </w:r>
      <w:r>
        <w:instrText xml:space="preserve">PAGEREF _Toc215070236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03459AF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"_Toc215070237" </w:instrText>
      </w:r>
      <w:r>
        <w:fldChar w:fldCharType="separate"/>
      </w:r>
      <w:r>
        <w:rPr>
          <w:rStyle w:val="51"/>
          <w:rFonts w:hint="eastAsia"/>
        </w:rPr>
        <w:t>3.2.2矿层地质方面的主要危险、有害因素辨识与分析</w:t>
      </w:r>
      <w:r>
        <w:rPr>
          <w:rFonts w:hint="eastAsia"/>
        </w:rPr>
        <w:tab/>
      </w:r>
      <w:r>
        <w:rPr>
          <w:rFonts w:hint="eastAsia"/>
        </w:rPr>
        <w:fldChar w:fldCharType="begin"/>
      </w:r>
      <w:r>
        <w:rPr>
          <w:rFonts w:hint="eastAsia"/>
        </w:rPr>
        <w:instrText xml:space="preserve"> </w:instrText>
      </w:r>
      <w:r>
        <w:instrText xml:space="preserve">PAGEREF _Toc215070237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14:paraId="2056241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"_Toc215070238" </w:instrText>
      </w:r>
      <w:r>
        <w:fldChar w:fldCharType="separate"/>
      </w:r>
      <w:r>
        <w:rPr>
          <w:rStyle w:val="51"/>
          <w:rFonts w:hint="eastAsia"/>
        </w:rPr>
        <w:t>3.2.3工程地质方面的主要危险、有害因素辨识与分析</w:t>
      </w:r>
      <w:r>
        <w:rPr>
          <w:rFonts w:hint="eastAsia"/>
        </w:rPr>
        <w:tab/>
      </w:r>
      <w:r>
        <w:rPr>
          <w:rFonts w:hint="eastAsia"/>
        </w:rPr>
        <w:fldChar w:fldCharType="begin"/>
      </w:r>
      <w:r>
        <w:rPr>
          <w:rFonts w:hint="eastAsia"/>
        </w:rPr>
        <w:instrText xml:space="preserve"> </w:instrText>
      </w:r>
      <w:r>
        <w:instrText xml:space="preserve">PAGEREF _Toc215070238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14:paraId="23B22DB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"_Toc215070239" </w:instrText>
      </w:r>
      <w:r>
        <w:fldChar w:fldCharType="separate"/>
      </w:r>
      <w:r>
        <w:rPr>
          <w:rStyle w:val="51"/>
          <w:rFonts w:hint="eastAsia"/>
        </w:rPr>
        <w:t>3.2.3.1工程地质方面的主要危险、有害因素辨识</w:t>
      </w:r>
      <w:r>
        <w:rPr>
          <w:rFonts w:hint="eastAsia"/>
        </w:rPr>
        <w:tab/>
      </w:r>
      <w:r>
        <w:rPr>
          <w:rFonts w:hint="eastAsia"/>
        </w:rPr>
        <w:fldChar w:fldCharType="begin"/>
      </w:r>
      <w:r>
        <w:rPr>
          <w:rFonts w:hint="eastAsia"/>
        </w:rPr>
        <w:instrText xml:space="preserve"> </w:instrText>
      </w:r>
      <w:r>
        <w:instrText xml:space="preserve">PAGEREF _Toc215070239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14:paraId="059197C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"_Toc215070240" </w:instrText>
      </w:r>
      <w:r>
        <w:fldChar w:fldCharType="separate"/>
      </w:r>
      <w:r>
        <w:rPr>
          <w:rStyle w:val="51"/>
          <w:rFonts w:hint="eastAsia"/>
        </w:rPr>
        <w:t>3.2.3.2工程地质方面主要危险、有害因素评价</w:t>
      </w:r>
      <w:r>
        <w:rPr>
          <w:rFonts w:hint="eastAsia"/>
        </w:rPr>
        <w:tab/>
      </w:r>
      <w:r>
        <w:rPr>
          <w:rFonts w:hint="eastAsia"/>
        </w:rPr>
        <w:fldChar w:fldCharType="begin"/>
      </w:r>
      <w:r>
        <w:rPr>
          <w:rFonts w:hint="eastAsia"/>
        </w:rPr>
        <w:instrText xml:space="preserve"> </w:instrText>
      </w:r>
      <w:r>
        <w:instrText xml:space="preserve">PAGEREF _Toc215070240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3D78B19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"_Toc215070241" </w:instrText>
      </w:r>
      <w:r>
        <w:fldChar w:fldCharType="separate"/>
      </w:r>
      <w:r>
        <w:rPr>
          <w:rStyle w:val="51"/>
          <w:rFonts w:hint="eastAsia"/>
        </w:rPr>
        <w:t>3.2.3.3工程地质灾害防、治措施及建议</w:t>
      </w:r>
      <w:r>
        <w:rPr>
          <w:rFonts w:hint="eastAsia"/>
        </w:rPr>
        <w:tab/>
      </w:r>
      <w:r>
        <w:rPr>
          <w:rFonts w:hint="eastAsia"/>
        </w:rPr>
        <w:fldChar w:fldCharType="begin"/>
      </w:r>
      <w:r>
        <w:rPr>
          <w:rFonts w:hint="eastAsia"/>
        </w:rPr>
        <w:instrText xml:space="preserve"> </w:instrText>
      </w:r>
      <w:r>
        <w:instrText xml:space="preserve">PAGEREF _Toc215070241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5A42CBB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"_Toc215070242" </w:instrText>
      </w:r>
      <w:r>
        <w:fldChar w:fldCharType="separate"/>
      </w:r>
      <w:r>
        <w:rPr>
          <w:rStyle w:val="51"/>
          <w:rFonts w:hint="eastAsia"/>
        </w:rPr>
        <w:t>3.2.4环境地质方面的主要危险、有害因素辨识与分析</w:t>
      </w:r>
      <w:r>
        <w:rPr>
          <w:rFonts w:hint="eastAsia"/>
        </w:rPr>
        <w:tab/>
      </w:r>
      <w:r>
        <w:rPr>
          <w:rFonts w:hint="eastAsia"/>
        </w:rPr>
        <w:fldChar w:fldCharType="begin"/>
      </w:r>
      <w:r>
        <w:rPr>
          <w:rFonts w:hint="eastAsia"/>
        </w:rPr>
        <w:instrText xml:space="preserve"> </w:instrText>
      </w:r>
      <w:r>
        <w:instrText xml:space="preserve">PAGEREF _Toc215070242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4F8D489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"_Toc215070243" </w:instrText>
      </w:r>
      <w:r>
        <w:fldChar w:fldCharType="separate"/>
      </w:r>
      <w:r>
        <w:rPr>
          <w:rStyle w:val="51"/>
          <w:rFonts w:hint="eastAsia"/>
        </w:rPr>
        <w:t>3.2.4.1矿区环境地质分析</w:t>
      </w:r>
      <w:r>
        <w:rPr>
          <w:rFonts w:hint="eastAsia"/>
        </w:rPr>
        <w:tab/>
      </w:r>
      <w:r>
        <w:rPr>
          <w:rFonts w:hint="eastAsia"/>
        </w:rPr>
        <w:fldChar w:fldCharType="begin"/>
      </w:r>
      <w:r>
        <w:rPr>
          <w:rFonts w:hint="eastAsia"/>
        </w:rPr>
        <w:instrText xml:space="preserve"> </w:instrText>
      </w:r>
      <w:r>
        <w:instrText xml:space="preserve">PAGEREF _Toc215070243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7A26123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"_Toc215070244" </w:instrText>
      </w:r>
      <w:r>
        <w:fldChar w:fldCharType="separate"/>
      </w:r>
      <w:r>
        <w:rPr>
          <w:rStyle w:val="51"/>
          <w:rFonts w:hint="eastAsia"/>
        </w:rPr>
        <w:t>3.2.4.2环境地质主要危险、有害因素辨识</w:t>
      </w:r>
      <w:r>
        <w:rPr>
          <w:rFonts w:hint="eastAsia"/>
        </w:rPr>
        <w:tab/>
      </w:r>
      <w:r>
        <w:rPr>
          <w:rFonts w:hint="eastAsia"/>
        </w:rPr>
        <w:fldChar w:fldCharType="begin"/>
      </w:r>
      <w:r>
        <w:rPr>
          <w:rFonts w:hint="eastAsia"/>
        </w:rPr>
        <w:instrText xml:space="preserve"> </w:instrText>
      </w:r>
      <w:r>
        <w:instrText xml:space="preserve">PAGEREF _Toc215070244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219651A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"_Toc215070245" </w:instrText>
      </w:r>
      <w:r>
        <w:fldChar w:fldCharType="separate"/>
      </w:r>
      <w:r>
        <w:rPr>
          <w:rStyle w:val="51"/>
          <w:rFonts w:hint="eastAsia"/>
        </w:rPr>
        <w:t>3.2.4.3地质灾害防、治措施及建议</w:t>
      </w:r>
      <w:r>
        <w:rPr>
          <w:rFonts w:hint="eastAsia"/>
        </w:rPr>
        <w:tab/>
      </w:r>
      <w:r>
        <w:rPr>
          <w:rFonts w:hint="eastAsia"/>
        </w:rPr>
        <w:fldChar w:fldCharType="begin"/>
      </w:r>
      <w:r>
        <w:rPr>
          <w:rFonts w:hint="eastAsia"/>
        </w:rPr>
        <w:instrText xml:space="preserve"> </w:instrText>
      </w:r>
      <w:r>
        <w:instrText xml:space="preserve">PAGEREF _Toc215070245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14:paraId="1EC8379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"_Toc215070246" </w:instrText>
      </w:r>
      <w:r>
        <w:fldChar w:fldCharType="separate"/>
      </w:r>
      <w:r>
        <w:rPr>
          <w:rStyle w:val="51"/>
          <w:rFonts w:hint="eastAsia"/>
        </w:rPr>
        <w:t>3.2.5气象、水文地质的主要危险、有害因素辨识与分析</w:t>
      </w:r>
      <w:r>
        <w:rPr>
          <w:rFonts w:hint="eastAsia"/>
        </w:rPr>
        <w:tab/>
      </w:r>
      <w:r>
        <w:rPr>
          <w:rFonts w:hint="eastAsia"/>
        </w:rPr>
        <w:fldChar w:fldCharType="begin"/>
      </w:r>
      <w:r>
        <w:rPr>
          <w:rFonts w:hint="eastAsia"/>
        </w:rPr>
        <w:instrText xml:space="preserve"> </w:instrText>
      </w:r>
      <w:r>
        <w:instrText xml:space="preserve">PAGEREF _Toc215070246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14:paraId="020931E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"_Toc215070247" </w:instrText>
      </w:r>
      <w:r>
        <w:fldChar w:fldCharType="separate"/>
      </w:r>
      <w:r>
        <w:rPr>
          <w:rStyle w:val="51"/>
          <w:rFonts w:hint="eastAsia"/>
        </w:rPr>
        <w:t>3.2.5.1大气降水、地表水</w:t>
      </w:r>
      <w:r>
        <w:rPr>
          <w:rFonts w:hint="eastAsia"/>
        </w:rPr>
        <w:tab/>
      </w:r>
      <w:r>
        <w:rPr>
          <w:rFonts w:hint="eastAsia"/>
        </w:rPr>
        <w:fldChar w:fldCharType="begin"/>
      </w:r>
      <w:r>
        <w:rPr>
          <w:rFonts w:hint="eastAsia"/>
        </w:rPr>
        <w:instrText xml:space="preserve"> </w:instrText>
      </w:r>
      <w:r>
        <w:instrText xml:space="preserve">PAGEREF _Toc215070247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14:paraId="35CB946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"_Toc215070248" </w:instrText>
      </w:r>
      <w:r>
        <w:fldChar w:fldCharType="separate"/>
      </w:r>
      <w:r>
        <w:rPr>
          <w:rStyle w:val="51"/>
          <w:rFonts w:hint="eastAsia"/>
        </w:rPr>
        <w:t>3.2.5.2矿区含、隔水层</w:t>
      </w:r>
      <w:r>
        <w:rPr>
          <w:rFonts w:hint="eastAsia"/>
        </w:rPr>
        <w:tab/>
      </w:r>
      <w:r>
        <w:rPr>
          <w:rFonts w:hint="eastAsia"/>
        </w:rPr>
        <w:fldChar w:fldCharType="begin"/>
      </w:r>
      <w:r>
        <w:rPr>
          <w:rFonts w:hint="eastAsia"/>
        </w:rPr>
        <w:instrText xml:space="preserve"> </w:instrText>
      </w:r>
      <w:r>
        <w:instrText xml:space="preserve">PAGEREF _Toc215070248 \h</w:instrText>
      </w:r>
      <w:r>
        <w:rPr>
          <w:rFonts w:hint="eastAsia"/>
        </w:rPr>
        <w:instrText xml:space="preserve"> </w:instrText>
      </w:r>
      <w:r>
        <w:rPr>
          <w:rFonts w:hint="eastAsia"/>
        </w:rPr>
        <w:fldChar w:fldCharType="separate"/>
      </w:r>
      <w:r>
        <w:t>95</w:t>
      </w:r>
      <w:r>
        <w:rPr>
          <w:rFonts w:hint="eastAsia"/>
        </w:rPr>
        <w:fldChar w:fldCharType="end"/>
      </w:r>
      <w:r>
        <w:rPr>
          <w:rFonts w:hint="eastAsia"/>
        </w:rPr>
        <w:fldChar w:fldCharType="end"/>
      </w:r>
    </w:p>
    <w:p w14:paraId="5E08089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"_Toc215070249" </w:instrText>
      </w:r>
      <w:r>
        <w:fldChar w:fldCharType="separate"/>
      </w:r>
      <w:r>
        <w:rPr>
          <w:rStyle w:val="51"/>
          <w:rFonts w:hint="eastAsia"/>
        </w:rPr>
        <w:t>3.2.5.3矿坑涌水分析</w:t>
      </w:r>
      <w:r>
        <w:rPr>
          <w:rFonts w:hint="eastAsia"/>
        </w:rPr>
        <w:tab/>
      </w:r>
      <w:r>
        <w:rPr>
          <w:rFonts w:hint="eastAsia"/>
        </w:rPr>
        <w:fldChar w:fldCharType="begin"/>
      </w:r>
      <w:r>
        <w:rPr>
          <w:rFonts w:hint="eastAsia"/>
        </w:rPr>
        <w:instrText xml:space="preserve"> </w:instrText>
      </w:r>
      <w:r>
        <w:instrText xml:space="preserve">PAGEREF _Toc215070249 \h</w:instrText>
      </w:r>
      <w:r>
        <w:rPr>
          <w:rFonts w:hint="eastAsia"/>
        </w:rPr>
        <w:instrText xml:space="preserve"> </w:instrText>
      </w:r>
      <w:r>
        <w:rPr>
          <w:rFonts w:hint="eastAsia"/>
        </w:rPr>
        <w:fldChar w:fldCharType="separate"/>
      </w:r>
      <w:r>
        <w:t>95</w:t>
      </w:r>
      <w:r>
        <w:rPr>
          <w:rFonts w:hint="eastAsia"/>
        </w:rPr>
        <w:fldChar w:fldCharType="end"/>
      </w:r>
      <w:r>
        <w:rPr>
          <w:rFonts w:hint="eastAsia"/>
        </w:rPr>
        <w:fldChar w:fldCharType="end"/>
      </w:r>
    </w:p>
    <w:p w14:paraId="753E279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"_Toc215070250" </w:instrText>
      </w:r>
      <w:r>
        <w:fldChar w:fldCharType="separate"/>
      </w:r>
      <w:r>
        <w:rPr>
          <w:rStyle w:val="51"/>
          <w:rFonts w:hint="eastAsia"/>
        </w:rPr>
        <w:t>3.2.6总平面布置单元预先危险性分析（PHA）</w:t>
      </w:r>
      <w:r>
        <w:rPr>
          <w:rFonts w:hint="eastAsia"/>
        </w:rPr>
        <w:tab/>
      </w:r>
      <w:r>
        <w:rPr>
          <w:rFonts w:hint="eastAsia"/>
        </w:rPr>
        <w:fldChar w:fldCharType="begin"/>
      </w:r>
      <w:r>
        <w:rPr>
          <w:rFonts w:hint="eastAsia"/>
        </w:rPr>
        <w:instrText xml:space="preserve"> </w:instrText>
      </w:r>
      <w:r>
        <w:instrText xml:space="preserve">PAGEREF _Toc215070250 \h</w:instrText>
      </w:r>
      <w:r>
        <w:rPr>
          <w:rFonts w:hint="eastAsia"/>
        </w:rPr>
        <w:instrText xml:space="preserve"> </w:instrText>
      </w:r>
      <w:r>
        <w:rPr>
          <w:rFonts w:hint="eastAsia"/>
        </w:rPr>
        <w:fldChar w:fldCharType="separate"/>
      </w:r>
      <w:r>
        <w:t>96</w:t>
      </w:r>
      <w:r>
        <w:rPr>
          <w:rFonts w:hint="eastAsia"/>
        </w:rPr>
        <w:fldChar w:fldCharType="end"/>
      </w:r>
      <w:r>
        <w:rPr>
          <w:rFonts w:hint="eastAsia"/>
        </w:rPr>
        <w:fldChar w:fldCharType="end"/>
      </w:r>
    </w:p>
    <w:p w14:paraId="6C811E5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"_Toc215070251" </w:instrText>
      </w:r>
      <w:r>
        <w:fldChar w:fldCharType="separate"/>
      </w:r>
      <w:r>
        <w:rPr>
          <w:rStyle w:val="51"/>
          <w:rFonts w:hint="eastAsia"/>
        </w:rPr>
        <w:t>3.2.7总平面布置单元安全检查表</w:t>
      </w:r>
      <w:r>
        <w:rPr>
          <w:rFonts w:hint="eastAsia"/>
        </w:rPr>
        <w:tab/>
      </w:r>
      <w:r>
        <w:rPr>
          <w:rFonts w:hint="eastAsia"/>
        </w:rPr>
        <w:fldChar w:fldCharType="begin"/>
      </w:r>
      <w:r>
        <w:rPr>
          <w:rFonts w:hint="eastAsia"/>
        </w:rPr>
        <w:instrText xml:space="preserve"> </w:instrText>
      </w:r>
      <w:r>
        <w:instrText xml:space="preserve">PAGEREF _Toc215070251 \h</w:instrText>
      </w:r>
      <w:r>
        <w:rPr>
          <w:rFonts w:hint="eastAsia"/>
        </w:rPr>
        <w:instrText xml:space="preserve"> </w:instrText>
      </w:r>
      <w:r>
        <w:rPr>
          <w:rFonts w:hint="eastAsia"/>
        </w:rPr>
        <w:fldChar w:fldCharType="separate"/>
      </w:r>
      <w:r>
        <w:t>97</w:t>
      </w:r>
      <w:r>
        <w:rPr>
          <w:rFonts w:hint="eastAsia"/>
        </w:rPr>
        <w:fldChar w:fldCharType="end"/>
      </w:r>
      <w:r>
        <w:rPr>
          <w:rFonts w:hint="eastAsia"/>
        </w:rPr>
        <w:fldChar w:fldCharType="end"/>
      </w:r>
    </w:p>
    <w:p w14:paraId="307718F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"_Toc215070252" </w:instrText>
      </w:r>
      <w:r>
        <w:fldChar w:fldCharType="separate"/>
      </w:r>
      <w:r>
        <w:rPr>
          <w:rStyle w:val="51"/>
          <w:rFonts w:hint="eastAsia"/>
        </w:rPr>
        <w:t>3.2.8矿山开采对周边环境相互影响评价</w:t>
      </w:r>
      <w:r>
        <w:rPr>
          <w:rFonts w:hint="eastAsia"/>
        </w:rPr>
        <w:tab/>
      </w:r>
      <w:r>
        <w:rPr>
          <w:rFonts w:hint="eastAsia"/>
        </w:rPr>
        <w:fldChar w:fldCharType="begin"/>
      </w:r>
      <w:r>
        <w:rPr>
          <w:rFonts w:hint="eastAsia"/>
        </w:rPr>
        <w:instrText xml:space="preserve"> </w:instrText>
      </w:r>
      <w:r>
        <w:instrText xml:space="preserve">PAGEREF _Toc215070252 \h</w:instrText>
      </w:r>
      <w:r>
        <w:rPr>
          <w:rFonts w:hint="eastAsia"/>
        </w:rPr>
        <w:instrText xml:space="preserve"> </w:instrText>
      </w:r>
      <w:r>
        <w:rPr>
          <w:rFonts w:hint="eastAsia"/>
        </w:rPr>
        <w:fldChar w:fldCharType="separate"/>
      </w:r>
      <w:r>
        <w:t>100</w:t>
      </w:r>
      <w:r>
        <w:rPr>
          <w:rFonts w:hint="eastAsia"/>
        </w:rPr>
        <w:fldChar w:fldCharType="end"/>
      </w:r>
      <w:r>
        <w:rPr>
          <w:rFonts w:hint="eastAsia"/>
        </w:rPr>
        <w:fldChar w:fldCharType="end"/>
      </w:r>
    </w:p>
    <w:p w14:paraId="6405E90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"_Toc215070253" </w:instrText>
      </w:r>
      <w:r>
        <w:fldChar w:fldCharType="separate"/>
      </w:r>
      <w:r>
        <w:rPr>
          <w:rStyle w:val="51"/>
          <w:rFonts w:hint="eastAsia"/>
        </w:rPr>
        <w:t>3.2.9单元小结</w:t>
      </w:r>
      <w:r>
        <w:rPr>
          <w:rFonts w:hint="eastAsia"/>
        </w:rPr>
        <w:tab/>
      </w:r>
      <w:r>
        <w:rPr>
          <w:rFonts w:hint="eastAsia"/>
        </w:rPr>
        <w:fldChar w:fldCharType="begin"/>
      </w:r>
      <w:r>
        <w:rPr>
          <w:rFonts w:hint="eastAsia"/>
        </w:rPr>
        <w:instrText xml:space="preserve"> </w:instrText>
      </w:r>
      <w:r>
        <w:instrText xml:space="preserve">PAGEREF _Toc215070253 \h</w:instrText>
      </w:r>
      <w:r>
        <w:rPr>
          <w:rFonts w:hint="eastAsia"/>
        </w:rPr>
        <w:instrText xml:space="preserve"> </w:instrText>
      </w:r>
      <w:r>
        <w:rPr>
          <w:rFonts w:hint="eastAsia"/>
        </w:rPr>
        <w:fldChar w:fldCharType="separate"/>
      </w:r>
      <w:r>
        <w:t>101</w:t>
      </w:r>
      <w:r>
        <w:rPr>
          <w:rFonts w:hint="eastAsia"/>
        </w:rPr>
        <w:fldChar w:fldCharType="end"/>
      </w:r>
      <w:r>
        <w:rPr>
          <w:rFonts w:hint="eastAsia"/>
        </w:rPr>
        <w:fldChar w:fldCharType="end"/>
      </w:r>
    </w:p>
    <w:p w14:paraId="51CA03A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"_Toc215070254" </w:instrText>
      </w:r>
      <w:r>
        <w:fldChar w:fldCharType="separate"/>
      </w:r>
      <w:r>
        <w:rPr>
          <w:rStyle w:val="51"/>
          <w:rFonts w:hint="eastAsia"/>
        </w:rPr>
        <w:t>3.3开拓运输单元</w:t>
      </w:r>
      <w:r>
        <w:rPr>
          <w:rFonts w:hint="eastAsia"/>
        </w:rPr>
        <w:tab/>
      </w:r>
      <w:r>
        <w:rPr>
          <w:rFonts w:hint="eastAsia"/>
        </w:rPr>
        <w:fldChar w:fldCharType="begin"/>
      </w:r>
      <w:r>
        <w:rPr>
          <w:rFonts w:hint="eastAsia"/>
        </w:rPr>
        <w:instrText xml:space="preserve"> </w:instrText>
      </w:r>
      <w:r>
        <w:instrText xml:space="preserve">PAGEREF _Toc215070254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4DFA90B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"_Toc215070255" </w:instrText>
      </w:r>
      <w:r>
        <w:fldChar w:fldCharType="separate"/>
      </w:r>
      <w:r>
        <w:rPr>
          <w:rStyle w:val="51"/>
          <w:rFonts w:hint="eastAsia"/>
        </w:rPr>
        <w:t>3.3.1开拓运输危险有害因素</w:t>
      </w:r>
      <w:r>
        <w:rPr>
          <w:rFonts w:hint="eastAsia"/>
        </w:rPr>
        <w:tab/>
      </w:r>
      <w:r>
        <w:rPr>
          <w:rFonts w:hint="eastAsia"/>
        </w:rPr>
        <w:fldChar w:fldCharType="begin"/>
      </w:r>
      <w:r>
        <w:rPr>
          <w:rFonts w:hint="eastAsia"/>
        </w:rPr>
        <w:instrText xml:space="preserve"> </w:instrText>
      </w:r>
      <w:r>
        <w:instrText xml:space="preserve">PAGEREF _Toc215070255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208E395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"_Toc215070256" </w:instrText>
      </w:r>
      <w:r>
        <w:fldChar w:fldCharType="separate"/>
      </w:r>
      <w:r>
        <w:rPr>
          <w:rStyle w:val="51"/>
          <w:rFonts w:hint="eastAsia"/>
        </w:rPr>
        <w:t>3.3.2安全检查表</w:t>
      </w:r>
      <w:r>
        <w:rPr>
          <w:rFonts w:hint="eastAsia"/>
        </w:rPr>
        <w:tab/>
      </w:r>
      <w:r>
        <w:rPr>
          <w:rFonts w:hint="eastAsia"/>
        </w:rPr>
        <w:fldChar w:fldCharType="begin"/>
      </w:r>
      <w:r>
        <w:rPr>
          <w:rFonts w:hint="eastAsia"/>
        </w:rPr>
        <w:instrText xml:space="preserve"> </w:instrText>
      </w:r>
      <w:r>
        <w:instrText xml:space="preserve">PAGEREF _Toc215070256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14:paraId="0B3A59F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"_Toc215070257" </w:instrText>
      </w:r>
      <w:r>
        <w:fldChar w:fldCharType="separate"/>
      </w:r>
      <w:r>
        <w:rPr>
          <w:rStyle w:val="51"/>
          <w:rFonts w:hint="eastAsia"/>
        </w:rPr>
        <w:t>3.3.3单元小结</w:t>
      </w:r>
      <w:r>
        <w:rPr>
          <w:rFonts w:hint="eastAsia"/>
        </w:rPr>
        <w:tab/>
      </w:r>
      <w:r>
        <w:rPr>
          <w:rFonts w:hint="eastAsia"/>
        </w:rPr>
        <w:fldChar w:fldCharType="begin"/>
      </w:r>
      <w:r>
        <w:rPr>
          <w:rFonts w:hint="eastAsia"/>
        </w:rPr>
        <w:instrText xml:space="preserve"> </w:instrText>
      </w:r>
      <w:r>
        <w:instrText xml:space="preserve">PAGEREF _Toc215070257 \h</w:instrText>
      </w:r>
      <w:r>
        <w:rPr>
          <w:rFonts w:hint="eastAsia"/>
        </w:rPr>
        <w:instrText xml:space="preserve"> </w:instrText>
      </w:r>
      <w:r>
        <w:rPr>
          <w:rFonts w:hint="eastAsia"/>
        </w:rPr>
        <w:fldChar w:fldCharType="separate"/>
      </w:r>
      <w:r>
        <w:t>110</w:t>
      </w:r>
      <w:r>
        <w:rPr>
          <w:rFonts w:hint="eastAsia"/>
        </w:rPr>
        <w:fldChar w:fldCharType="end"/>
      </w:r>
      <w:r>
        <w:rPr>
          <w:rFonts w:hint="eastAsia"/>
        </w:rPr>
        <w:fldChar w:fldCharType="end"/>
      </w:r>
    </w:p>
    <w:p w14:paraId="5899CAF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"_Toc215070258" </w:instrText>
      </w:r>
      <w:r>
        <w:fldChar w:fldCharType="separate"/>
      </w:r>
      <w:r>
        <w:rPr>
          <w:rStyle w:val="51"/>
          <w:rFonts w:hint="eastAsia"/>
        </w:rPr>
        <w:t>3.4采剥单元</w:t>
      </w:r>
      <w:r>
        <w:rPr>
          <w:rFonts w:hint="eastAsia"/>
        </w:rPr>
        <w:tab/>
      </w:r>
      <w:r>
        <w:rPr>
          <w:rFonts w:hint="eastAsia"/>
        </w:rPr>
        <w:fldChar w:fldCharType="begin"/>
      </w:r>
      <w:r>
        <w:rPr>
          <w:rFonts w:hint="eastAsia"/>
        </w:rPr>
        <w:instrText xml:space="preserve"> </w:instrText>
      </w:r>
      <w:r>
        <w:instrText xml:space="preserve">PAGEREF _Toc215070258 \h</w:instrText>
      </w:r>
      <w:r>
        <w:rPr>
          <w:rFonts w:hint="eastAsia"/>
        </w:rPr>
        <w:instrText xml:space="preserve"> </w:instrText>
      </w:r>
      <w:r>
        <w:rPr>
          <w:rFonts w:hint="eastAsia"/>
        </w:rPr>
        <w:fldChar w:fldCharType="separate"/>
      </w:r>
      <w:r>
        <w:t>110</w:t>
      </w:r>
      <w:r>
        <w:rPr>
          <w:rFonts w:hint="eastAsia"/>
        </w:rPr>
        <w:fldChar w:fldCharType="end"/>
      </w:r>
      <w:r>
        <w:rPr>
          <w:rFonts w:hint="eastAsia"/>
        </w:rPr>
        <w:fldChar w:fldCharType="end"/>
      </w:r>
    </w:p>
    <w:p w14:paraId="1F0B6F9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"_Toc215070259" </w:instrText>
      </w:r>
      <w:r>
        <w:fldChar w:fldCharType="separate"/>
      </w:r>
      <w:r>
        <w:rPr>
          <w:rStyle w:val="51"/>
          <w:rFonts w:hint="eastAsia"/>
        </w:rPr>
        <w:t>3.4.1露天采场子单元</w:t>
      </w:r>
      <w:r>
        <w:rPr>
          <w:rFonts w:hint="eastAsia"/>
        </w:rPr>
        <w:tab/>
      </w:r>
      <w:r>
        <w:rPr>
          <w:rFonts w:hint="eastAsia"/>
        </w:rPr>
        <w:fldChar w:fldCharType="begin"/>
      </w:r>
      <w:r>
        <w:rPr>
          <w:rFonts w:hint="eastAsia"/>
        </w:rPr>
        <w:instrText xml:space="preserve"> </w:instrText>
      </w:r>
      <w:r>
        <w:instrText xml:space="preserve">PAGEREF _Toc215070259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14:paraId="14C3FCB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"_Toc215070260" </w:instrText>
      </w:r>
      <w:r>
        <w:fldChar w:fldCharType="separate"/>
      </w:r>
      <w:r>
        <w:rPr>
          <w:rStyle w:val="51"/>
          <w:rFonts w:hint="eastAsia"/>
        </w:rPr>
        <w:t>3.4.1.1露天采场危险因素辨识</w:t>
      </w:r>
      <w:r>
        <w:rPr>
          <w:rFonts w:hint="eastAsia"/>
        </w:rPr>
        <w:tab/>
      </w:r>
      <w:r>
        <w:rPr>
          <w:rFonts w:hint="eastAsia"/>
        </w:rPr>
        <w:fldChar w:fldCharType="begin"/>
      </w:r>
      <w:r>
        <w:rPr>
          <w:rFonts w:hint="eastAsia"/>
        </w:rPr>
        <w:instrText xml:space="preserve"> </w:instrText>
      </w:r>
      <w:r>
        <w:instrText xml:space="preserve">PAGEREF _Toc215070260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14:paraId="3DC3000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"_Toc215070261" </w:instrText>
      </w:r>
      <w:r>
        <w:fldChar w:fldCharType="separate"/>
      </w:r>
      <w:r>
        <w:rPr>
          <w:rStyle w:val="51"/>
          <w:rFonts w:hint="eastAsia"/>
        </w:rPr>
        <w:t>3.4.1.2露天采场子单元预先危险性分析（PHA）</w:t>
      </w:r>
      <w:r>
        <w:rPr>
          <w:rFonts w:hint="eastAsia"/>
        </w:rPr>
        <w:tab/>
      </w:r>
      <w:r>
        <w:rPr>
          <w:rFonts w:hint="eastAsia"/>
        </w:rPr>
        <w:fldChar w:fldCharType="begin"/>
      </w:r>
      <w:r>
        <w:rPr>
          <w:rFonts w:hint="eastAsia"/>
        </w:rPr>
        <w:instrText xml:space="preserve"> </w:instrText>
      </w:r>
      <w:r>
        <w:instrText xml:space="preserve">PAGEREF _Toc215070261 \h</w:instrText>
      </w:r>
      <w:r>
        <w:rPr>
          <w:rFonts w:hint="eastAsia"/>
        </w:rPr>
        <w:instrText xml:space="preserve"> </w:instrText>
      </w:r>
      <w:r>
        <w:rPr>
          <w:rFonts w:hint="eastAsia"/>
        </w:rPr>
        <w:fldChar w:fldCharType="separate"/>
      </w:r>
      <w:r>
        <w:t>115</w:t>
      </w:r>
      <w:r>
        <w:rPr>
          <w:rFonts w:hint="eastAsia"/>
        </w:rPr>
        <w:fldChar w:fldCharType="end"/>
      </w:r>
      <w:r>
        <w:rPr>
          <w:rFonts w:hint="eastAsia"/>
        </w:rPr>
        <w:fldChar w:fldCharType="end"/>
      </w:r>
    </w:p>
    <w:p w14:paraId="7CE4D69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"_Toc215070262" </w:instrText>
      </w:r>
      <w:r>
        <w:fldChar w:fldCharType="separate"/>
      </w:r>
      <w:r>
        <w:rPr>
          <w:rStyle w:val="51"/>
          <w:rFonts w:hint="eastAsia"/>
        </w:rPr>
        <w:t>3.4.1.3露天采场子单元安全检查表法分析</w:t>
      </w:r>
      <w:r>
        <w:rPr>
          <w:rFonts w:hint="eastAsia"/>
        </w:rPr>
        <w:tab/>
      </w:r>
      <w:r>
        <w:rPr>
          <w:rFonts w:hint="eastAsia"/>
        </w:rPr>
        <w:fldChar w:fldCharType="begin"/>
      </w:r>
      <w:r>
        <w:rPr>
          <w:rFonts w:hint="eastAsia"/>
        </w:rPr>
        <w:instrText xml:space="preserve"> </w:instrText>
      </w:r>
      <w:r>
        <w:instrText xml:space="preserve">PAGEREF _Toc215070262 \h</w:instrText>
      </w:r>
      <w:r>
        <w:rPr>
          <w:rFonts w:hint="eastAsia"/>
        </w:rPr>
        <w:instrText xml:space="preserve"> </w:instrText>
      </w:r>
      <w:r>
        <w:rPr>
          <w:rFonts w:hint="eastAsia"/>
        </w:rPr>
        <w:fldChar w:fldCharType="separate"/>
      </w:r>
      <w:r>
        <w:t>118</w:t>
      </w:r>
      <w:r>
        <w:rPr>
          <w:rFonts w:hint="eastAsia"/>
        </w:rPr>
        <w:fldChar w:fldCharType="end"/>
      </w:r>
      <w:r>
        <w:rPr>
          <w:rFonts w:hint="eastAsia"/>
        </w:rPr>
        <w:fldChar w:fldCharType="end"/>
      </w:r>
    </w:p>
    <w:p w14:paraId="72088A8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"_Toc215070263" </w:instrText>
      </w:r>
      <w:r>
        <w:fldChar w:fldCharType="separate"/>
      </w:r>
      <w:r>
        <w:rPr>
          <w:rStyle w:val="51"/>
          <w:rFonts w:hint="eastAsia"/>
        </w:rPr>
        <w:t>3.4.1.4边坡高处坠落事故树分析</w:t>
      </w:r>
      <w:r>
        <w:rPr>
          <w:rFonts w:hint="eastAsia"/>
        </w:rPr>
        <w:tab/>
      </w:r>
      <w:r>
        <w:rPr>
          <w:rFonts w:hint="eastAsia"/>
        </w:rPr>
        <w:fldChar w:fldCharType="begin"/>
      </w:r>
      <w:r>
        <w:rPr>
          <w:rFonts w:hint="eastAsia"/>
        </w:rPr>
        <w:instrText xml:space="preserve"> </w:instrText>
      </w:r>
      <w:r>
        <w:instrText xml:space="preserve">PAGEREF _Toc215070263 \h</w:instrText>
      </w:r>
      <w:r>
        <w:rPr>
          <w:rFonts w:hint="eastAsia"/>
        </w:rPr>
        <w:instrText xml:space="preserve"> </w:instrText>
      </w:r>
      <w:r>
        <w:rPr>
          <w:rFonts w:hint="eastAsia"/>
        </w:rPr>
        <w:fldChar w:fldCharType="separate"/>
      </w:r>
      <w:r>
        <w:t>120</w:t>
      </w:r>
      <w:r>
        <w:rPr>
          <w:rFonts w:hint="eastAsia"/>
        </w:rPr>
        <w:fldChar w:fldCharType="end"/>
      </w:r>
      <w:r>
        <w:rPr>
          <w:rFonts w:hint="eastAsia"/>
        </w:rPr>
        <w:fldChar w:fldCharType="end"/>
      </w:r>
    </w:p>
    <w:p w14:paraId="4CB882F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"_Toc215070264" </w:instrText>
      </w:r>
      <w:r>
        <w:fldChar w:fldCharType="separate"/>
      </w:r>
      <w:r>
        <w:rPr>
          <w:rStyle w:val="51"/>
          <w:rFonts w:hint="eastAsia"/>
        </w:rPr>
        <w:t>3.4.1.5边坡稳定性影响</w:t>
      </w:r>
      <w:r>
        <w:rPr>
          <w:rFonts w:hint="eastAsia"/>
        </w:rPr>
        <w:tab/>
      </w:r>
      <w:r>
        <w:rPr>
          <w:rFonts w:hint="eastAsia"/>
        </w:rPr>
        <w:fldChar w:fldCharType="begin"/>
      </w:r>
      <w:r>
        <w:rPr>
          <w:rFonts w:hint="eastAsia"/>
        </w:rPr>
        <w:instrText xml:space="preserve"> </w:instrText>
      </w:r>
      <w:r>
        <w:instrText xml:space="preserve">PAGEREF _Toc215070264 \h</w:instrText>
      </w:r>
      <w:r>
        <w:rPr>
          <w:rFonts w:hint="eastAsia"/>
        </w:rPr>
        <w:instrText xml:space="preserve"> </w:instrText>
      </w:r>
      <w:r>
        <w:rPr>
          <w:rFonts w:hint="eastAsia"/>
        </w:rPr>
        <w:fldChar w:fldCharType="separate"/>
      </w:r>
      <w:r>
        <w:t>122</w:t>
      </w:r>
      <w:r>
        <w:rPr>
          <w:rFonts w:hint="eastAsia"/>
        </w:rPr>
        <w:fldChar w:fldCharType="end"/>
      </w:r>
      <w:r>
        <w:rPr>
          <w:rFonts w:hint="eastAsia"/>
        </w:rPr>
        <w:fldChar w:fldCharType="end"/>
      </w:r>
    </w:p>
    <w:p w14:paraId="5D8510AD">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"_Toc215070265" </w:instrText>
      </w:r>
      <w:r>
        <w:fldChar w:fldCharType="separate"/>
      </w:r>
      <w:r>
        <w:rPr>
          <w:rStyle w:val="51"/>
          <w:rFonts w:hint="eastAsia"/>
        </w:rPr>
        <w:t>3.4.1.6边坡监测</w:t>
      </w:r>
      <w:r>
        <w:rPr>
          <w:rFonts w:hint="eastAsia"/>
        </w:rPr>
        <w:tab/>
      </w:r>
      <w:r>
        <w:rPr>
          <w:rFonts w:hint="eastAsia"/>
        </w:rPr>
        <w:fldChar w:fldCharType="begin"/>
      </w:r>
      <w:r>
        <w:rPr>
          <w:rFonts w:hint="eastAsia"/>
        </w:rPr>
        <w:instrText xml:space="preserve"> </w:instrText>
      </w:r>
      <w:r>
        <w:instrText xml:space="preserve">PAGEREF _Toc215070265 \h</w:instrText>
      </w:r>
      <w:r>
        <w:rPr>
          <w:rFonts w:hint="eastAsia"/>
        </w:rPr>
        <w:instrText xml:space="preserve"> </w:instrText>
      </w:r>
      <w:r>
        <w:rPr>
          <w:rFonts w:hint="eastAsia"/>
        </w:rPr>
        <w:fldChar w:fldCharType="separate"/>
      </w:r>
      <w:r>
        <w:t>123</w:t>
      </w:r>
      <w:r>
        <w:rPr>
          <w:rFonts w:hint="eastAsia"/>
        </w:rPr>
        <w:fldChar w:fldCharType="end"/>
      </w:r>
      <w:r>
        <w:rPr>
          <w:rFonts w:hint="eastAsia"/>
        </w:rPr>
        <w:fldChar w:fldCharType="end"/>
      </w:r>
    </w:p>
    <w:p w14:paraId="54DD999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"_Toc215070266" </w:instrText>
      </w:r>
      <w:r>
        <w:fldChar w:fldCharType="separate"/>
      </w:r>
      <w:r>
        <w:rPr>
          <w:rStyle w:val="51"/>
          <w:rFonts w:hint="eastAsia"/>
        </w:rPr>
        <w:t>3.4.1.7边坡维护与管理</w:t>
      </w:r>
      <w:r>
        <w:rPr>
          <w:rFonts w:hint="eastAsia"/>
        </w:rPr>
        <w:tab/>
      </w:r>
      <w:r>
        <w:rPr>
          <w:rFonts w:hint="eastAsia"/>
        </w:rPr>
        <w:fldChar w:fldCharType="begin"/>
      </w:r>
      <w:r>
        <w:rPr>
          <w:rFonts w:hint="eastAsia"/>
        </w:rPr>
        <w:instrText xml:space="preserve"> </w:instrText>
      </w:r>
      <w:r>
        <w:instrText xml:space="preserve">PAGEREF _Toc215070266 \h</w:instrText>
      </w:r>
      <w:r>
        <w:rPr>
          <w:rFonts w:hint="eastAsia"/>
        </w:rPr>
        <w:instrText xml:space="preserve"> </w:instrText>
      </w:r>
      <w:r>
        <w:rPr>
          <w:rFonts w:hint="eastAsia"/>
        </w:rPr>
        <w:fldChar w:fldCharType="separate"/>
      </w:r>
      <w:r>
        <w:t>123</w:t>
      </w:r>
      <w:r>
        <w:rPr>
          <w:rFonts w:hint="eastAsia"/>
        </w:rPr>
        <w:fldChar w:fldCharType="end"/>
      </w:r>
      <w:r>
        <w:rPr>
          <w:rFonts w:hint="eastAsia"/>
        </w:rPr>
        <w:fldChar w:fldCharType="end"/>
      </w:r>
    </w:p>
    <w:p w14:paraId="545ACA9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"_Toc215070267" </w:instrText>
      </w:r>
      <w:r>
        <w:fldChar w:fldCharType="separate"/>
      </w:r>
      <w:r>
        <w:rPr>
          <w:rStyle w:val="51"/>
          <w:rFonts w:hint="eastAsia"/>
        </w:rPr>
        <w:t>3.4.1.8设备生产能力</w:t>
      </w:r>
      <w:r>
        <w:rPr>
          <w:rFonts w:hint="eastAsia"/>
        </w:rPr>
        <w:tab/>
      </w:r>
      <w:r>
        <w:rPr>
          <w:rFonts w:hint="eastAsia"/>
        </w:rPr>
        <w:fldChar w:fldCharType="begin"/>
      </w:r>
      <w:r>
        <w:rPr>
          <w:rFonts w:hint="eastAsia"/>
        </w:rPr>
        <w:instrText xml:space="preserve"> </w:instrText>
      </w:r>
      <w:r>
        <w:instrText xml:space="preserve">PAGEREF _Toc215070267 \h</w:instrText>
      </w:r>
      <w:r>
        <w:rPr>
          <w:rFonts w:hint="eastAsia"/>
        </w:rPr>
        <w:instrText xml:space="preserve"> </w:instrText>
      </w:r>
      <w:r>
        <w:rPr>
          <w:rFonts w:hint="eastAsia"/>
        </w:rPr>
        <w:fldChar w:fldCharType="separate"/>
      </w:r>
      <w:r>
        <w:t>126</w:t>
      </w:r>
      <w:r>
        <w:rPr>
          <w:rFonts w:hint="eastAsia"/>
        </w:rPr>
        <w:fldChar w:fldCharType="end"/>
      </w:r>
      <w:r>
        <w:rPr>
          <w:rFonts w:hint="eastAsia"/>
        </w:rPr>
        <w:fldChar w:fldCharType="end"/>
      </w:r>
    </w:p>
    <w:p w14:paraId="3A19EEC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"_Toc215070268" </w:instrText>
      </w:r>
      <w:r>
        <w:fldChar w:fldCharType="separate"/>
      </w:r>
      <w:r>
        <w:rPr>
          <w:rStyle w:val="51"/>
          <w:rFonts w:hint="eastAsia"/>
        </w:rPr>
        <w:t>3.4.1.9露天采场子单元小结</w:t>
      </w:r>
      <w:r>
        <w:rPr>
          <w:rFonts w:hint="eastAsia"/>
        </w:rPr>
        <w:tab/>
      </w:r>
      <w:r>
        <w:rPr>
          <w:rFonts w:hint="eastAsia"/>
        </w:rPr>
        <w:fldChar w:fldCharType="begin"/>
      </w:r>
      <w:r>
        <w:rPr>
          <w:rFonts w:hint="eastAsia"/>
        </w:rPr>
        <w:instrText xml:space="preserve"> </w:instrText>
      </w:r>
      <w:r>
        <w:instrText xml:space="preserve">PAGEREF _Toc215070268 \h</w:instrText>
      </w:r>
      <w:r>
        <w:rPr>
          <w:rFonts w:hint="eastAsia"/>
        </w:rPr>
        <w:instrText xml:space="preserve"> </w:instrText>
      </w:r>
      <w:r>
        <w:rPr>
          <w:rFonts w:hint="eastAsia"/>
        </w:rPr>
        <w:fldChar w:fldCharType="separate"/>
      </w:r>
      <w:r>
        <w:t>128</w:t>
      </w:r>
      <w:r>
        <w:rPr>
          <w:rFonts w:hint="eastAsia"/>
        </w:rPr>
        <w:fldChar w:fldCharType="end"/>
      </w:r>
      <w:r>
        <w:rPr>
          <w:rFonts w:hint="eastAsia"/>
        </w:rPr>
        <w:fldChar w:fldCharType="end"/>
      </w:r>
    </w:p>
    <w:p w14:paraId="0FEAE4F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"_Toc215070269" </w:instrText>
      </w:r>
      <w:r>
        <w:fldChar w:fldCharType="separate"/>
      </w:r>
      <w:r>
        <w:rPr>
          <w:rStyle w:val="51"/>
          <w:rFonts w:hint="eastAsia"/>
        </w:rPr>
        <w:t>3.4.2穿孔爆破子单元</w:t>
      </w:r>
      <w:r>
        <w:rPr>
          <w:rFonts w:hint="eastAsia"/>
        </w:rPr>
        <w:tab/>
      </w:r>
      <w:r>
        <w:rPr>
          <w:rFonts w:hint="eastAsia"/>
        </w:rPr>
        <w:fldChar w:fldCharType="begin"/>
      </w:r>
      <w:r>
        <w:rPr>
          <w:rFonts w:hint="eastAsia"/>
        </w:rPr>
        <w:instrText xml:space="preserve"> </w:instrText>
      </w:r>
      <w:r>
        <w:instrText xml:space="preserve">PAGEREF _Toc215070269 \h</w:instrText>
      </w:r>
      <w:r>
        <w:rPr>
          <w:rFonts w:hint="eastAsia"/>
        </w:rPr>
        <w:instrText xml:space="preserve"> </w:instrText>
      </w:r>
      <w:r>
        <w:rPr>
          <w:rFonts w:hint="eastAsia"/>
        </w:rPr>
        <w:fldChar w:fldCharType="separate"/>
      </w:r>
      <w:r>
        <w:t>128</w:t>
      </w:r>
      <w:r>
        <w:rPr>
          <w:rFonts w:hint="eastAsia"/>
        </w:rPr>
        <w:fldChar w:fldCharType="end"/>
      </w:r>
      <w:r>
        <w:rPr>
          <w:rFonts w:hint="eastAsia"/>
        </w:rPr>
        <w:fldChar w:fldCharType="end"/>
      </w:r>
    </w:p>
    <w:p w14:paraId="415DF3C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"_Toc215070270" </w:instrText>
      </w:r>
      <w:r>
        <w:fldChar w:fldCharType="separate"/>
      </w:r>
      <w:r>
        <w:rPr>
          <w:rStyle w:val="51"/>
          <w:rFonts w:hint="eastAsia"/>
        </w:rPr>
        <w:t>3.4.2.1爆破安全距离</w:t>
      </w:r>
      <w:r>
        <w:rPr>
          <w:rFonts w:hint="eastAsia"/>
        </w:rPr>
        <w:tab/>
      </w:r>
      <w:r>
        <w:rPr>
          <w:rFonts w:hint="eastAsia"/>
        </w:rPr>
        <w:fldChar w:fldCharType="begin"/>
      </w:r>
      <w:r>
        <w:rPr>
          <w:rFonts w:hint="eastAsia"/>
        </w:rPr>
        <w:instrText xml:space="preserve"> </w:instrText>
      </w:r>
      <w:r>
        <w:instrText xml:space="preserve">PAGEREF _Toc215070270 \h</w:instrText>
      </w:r>
      <w:r>
        <w:rPr>
          <w:rFonts w:hint="eastAsia"/>
        </w:rPr>
        <w:instrText xml:space="preserve"> </w:instrText>
      </w:r>
      <w:r>
        <w:rPr>
          <w:rFonts w:hint="eastAsia"/>
        </w:rPr>
        <w:fldChar w:fldCharType="separate"/>
      </w:r>
      <w:r>
        <w:t>129</w:t>
      </w:r>
      <w:r>
        <w:rPr>
          <w:rFonts w:hint="eastAsia"/>
        </w:rPr>
        <w:fldChar w:fldCharType="end"/>
      </w:r>
      <w:r>
        <w:rPr>
          <w:rFonts w:hint="eastAsia"/>
        </w:rPr>
        <w:fldChar w:fldCharType="end"/>
      </w:r>
    </w:p>
    <w:p w14:paraId="4C5DE74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"_Toc215070271" </w:instrText>
      </w:r>
      <w:r>
        <w:fldChar w:fldCharType="separate"/>
      </w:r>
      <w:r>
        <w:rPr>
          <w:rStyle w:val="51"/>
          <w:rFonts w:hint="eastAsia"/>
        </w:rPr>
        <w:t>3.4.2.1穿孔爆破单元危险因素辨识</w:t>
      </w:r>
      <w:r>
        <w:rPr>
          <w:rFonts w:hint="eastAsia"/>
        </w:rPr>
        <w:tab/>
      </w:r>
      <w:r>
        <w:rPr>
          <w:rFonts w:hint="eastAsia"/>
        </w:rPr>
        <w:fldChar w:fldCharType="begin"/>
      </w:r>
      <w:r>
        <w:rPr>
          <w:rFonts w:hint="eastAsia"/>
        </w:rPr>
        <w:instrText xml:space="preserve"> </w:instrText>
      </w:r>
      <w:r>
        <w:instrText xml:space="preserve">PAGEREF _Toc215070271 \h</w:instrText>
      </w:r>
      <w:r>
        <w:rPr>
          <w:rFonts w:hint="eastAsia"/>
        </w:rPr>
        <w:instrText xml:space="preserve"> </w:instrText>
      </w:r>
      <w:r>
        <w:rPr>
          <w:rFonts w:hint="eastAsia"/>
        </w:rPr>
        <w:fldChar w:fldCharType="separate"/>
      </w:r>
      <w:r>
        <w:t>132</w:t>
      </w:r>
      <w:r>
        <w:rPr>
          <w:rFonts w:hint="eastAsia"/>
        </w:rPr>
        <w:fldChar w:fldCharType="end"/>
      </w:r>
      <w:r>
        <w:rPr>
          <w:rFonts w:hint="eastAsia"/>
        </w:rPr>
        <w:fldChar w:fldCharType="end"/>
      </w:r>
    </w:p>
    <w:p w14:paraId="497F057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"_Toc215070272" </w:instrText>
      </w:r>
      <w:r>
        <w:fldChar w:fldCharType="separate"/>
      </w:r>
      <w:r>
        <w:rPr>
          <w:rStyle w:val="51"/>
          <w:rFonts w:hint="eastAsia"/>
        </w:rPr>
        <w:t>3.4.2.2穿孔爆破检查表</w:t>
      </w:r>
      <w:r>
        <w:rPr>
          <w:rFonts w:hint="eastAsia"/>
        </w:rPr>
        <w:tab/>
      </w:r>
      <w:r>
        <w:rPr>
          <w:rFonts w:hint="eastAsia"/>
        </w:rPr>
        <w:fldChar w:fldCharType="begin"/>
      </w:r>
      <w:r>
        <w:rPr>
          <w:rFonts w:hint="eastAsia"/>
        </w:rPr>
        <w:instrText xml:space="preserve"> </w:instrText>
      </w:r>
      <w:r>
        <w:instrText xml:space="preserve">PAGEREF _Toc215070272 \h</w:instrText>
      </w:r>
      <w:r>
        <w:rPr>
          <w:rFonts w:hint="eastAsia"/>
        </w:rPr>
        <w:instrText xml:space="preserve"> </w:instrText>
      </w:r>
      <w:r>
        <w:rPr>
          <w:rFonts w:hint="eastAsia"/>
        </w:rPr>
        <w:fldChar w:fldCharType="separate"/>
      </w:r>
      <w:r>
        <w:t>135</w:t>
      </w:r>
      <w:r>
        <w:rPr>
          <w:rFonts w:hint="eastAsia"/>
        </w:rPr>
        <w:fldChar w:fldCharType="end"/>
      </w:r>
      <w:r>
        <w:rPr>
          <w:rFonts w:hint="eastAsia"/>
        </w:rPr>
        <w:fldChar w:fldCharType="end"/>
      </w:r>
    </w:p>
    <w:p w14:paraId="290131D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"_Toc215070273" </w:instrText>
      </w:r>
      <w:r>
        <w:fldChar w:fldCharType="separate"/>
      </w:r>
      <w:r>
        <w:rPr>
          <w:rStyle w:val="51"/>
          <w:rFonts w:hint="eastAsia"/>
        </w:rPr>
        <w:t>3.4.2.3单元小结</w:t>
      </w:r>
      <w:r>
        <w:rPr>
          <w:rFonts w:hint="eastAsia"/>
        </w:rPr>
        <w:tab/>
      </w:r>
      <w:r>
        <w:rPr>
          <w:rFonts w:hint="eastAsia"/>
        </w:rPr>
        <w:fldChar w:fldCharType="begin"/>
      </w:r>
      <w:r>
        <w:rPr>
          <w:rFonts w:hint="eastAsia"/>
        </w:rPr>
        <w:instrText xml:space="preserve"> </w:instrText>
      </w:r>
      <w:r>
        <w:instrText xml:space="preserve">PAGEREF _Toc215070273 \h</w:instrText>
      </w:r>
      <w:r>
        <w:rPr>
          <w:rFonts w:hint="eastAsia"/>
        </w:rPr>
        <w:instrText xml:space="preserve"> </w:instrText>
      </w:r>
      <w:r>
        <w:rPr>
          <w:rFonts w:hint="eastAsia"/>
        </w:rPr>
        <w:fldChar w:fldCharType="separate"/>
      </w:r>
      <w:r>
        <w:t>139</w:t>
      </w:r>
      <w:r>
        <w:rPr>
          <w:rFonts w:hint="eastAsia"/>
        </w:rPr>
        <w:fldChar w:fldCharType="end"/>
      </w:r>
      <w:r>
        <w:rPr>
          <w:rFonts w:hint="eastAsia"/>
        </w:rPr>
        <w:fldChar w:fldCharType="end"/>
      </w:r>
    </w:p>
    <w:p w14:paraId="2DE20B3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"_Toc215070274" </w:instrText>
      </w:r>
      <w:r>
        <w:fldChar w:fldCharType="separate"/>
      </w:r>
      <w:r>
        <w:rPr>
          <w:rStyle w:val="51"/>
          <w:rFonts w:hint="eastAsia"/>
          <w:b/>
          <w:bCs/>
          <w:snapToGrid w:val="0"/>
        </w:rPr>
        <w:t>3.4.3边坡稳定性分析和监测</w:t>
      </w:r>
      <w:r>
        <w:rPr>
          <w:rFonts w:hint="eastAsia"/>
        </w:rPr>
        <w:tab/>
      </w:r>
      <w:r>
        <w:rPr>
          <w:rFonts w:hint="eastAsia"/>
        </w:rPr>
        <w:fldChar w:fldCharType="begin"/>
      </w:r>
      <w:r>
        <w:rPr>
          <w:rFonts w:hint="eastAsia"/>
        </w:rPr>
        <w:instrText xml:space="preserve"> </w:instrText>
      </w:r>
      <w:r>
        <w:instrText xml:space="preserve">PAGEREF _Toc215070274 \h</w:instrText>
      </w:r>
      <w:r>
        <w:rPr>
          <w:rFonts w:hint="eastAsia"/>
        </w:rPr>
        <w:instrText xml:space="preserve"> </w:instrText>
      </w:r>
      <w:r>
        <w:rPr>
          <w:rFonts w:hint="eastAsia"/>
        </w:rPr>
        <w:fldChar w:fldCharType="separate"/>
      </w:r>
      <w:r>
        <w:t>140</w:t>
      </w:r>
      <w:r>
        <w:rPr>
          <w:rFonts w:hint="eastAsia"/>
        </w:rPr>
        <w:fldChar w:fldCharType="end"/>
      </w:r>
      <w:r>
        <w:rPr>
          <w:rFonts w:hint="eastAsia"/>
        </w:rPr>
        <w:fldChar w:fldCharType="end"/>
      </w:r>
    </w:p>
    <w:p w14:paraId="53D58F2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"_Toc215070275" </w:instrText>
      </w:r>
      <w:r>
        <w:fldChar w:fldCharType="separate"/>
      </w:r>
      <w:r>
        <w:rPr>
          <w:rStyle w:val="51"/>
          <w:rFonts w:hint="eastAsia"/>
        </w:rPr>
        <w:t>3.4.4铲装作业运输子单元</w:t>
      </w:r>
      <w:r>
        <w:rPr>
          <w:rFonts w:hint="eastAsia"/>
        </w:rPr>
        <w:tab/>
      </w:r>
      <w:r>
        <w:rPr>
          <w:rFonts w:hint="eastAsia"/>
        </w:rPr>
        <w:fldChar w:fldCharType="begin"/>
      </w:r>
      <w:r>
        <w:rPr>
          <w:rFonts w:hint="eastAsia"/>
        </w:rPr>
        <w:instrText xml:space="preserve"> </w:instrText>
      </w:r>
      <w:r>
        <w:instrText xml:space="preserve">PAGEREF _Toc215070275 \h</w:instrText>
      </w:r>
      <w:r>
        <w:rPr>
          <w:rFonts w:hint="eastAsia"/>
        </w:rPr>
        <w:instrText xml:space="preserve"> </w:instrText>
      </w:r>
      <w:r>
        <w:rPr>
          <w:rFonts w:hint="eastAsia"/>
        </w:rPr>
        <w:fldChar w:fldCharType="separate"/>
      </w:r>
      <w:r>
        <w:t>149</w:t>
      </w:r>
      <w:r>
        <w:rPr>
          <w:rFonts w:hint="eastAsia"/>
        </w:rPr>
        <w:fldChar w:fldCharType="end"/>
      </w:r>
      <w:r>
        <w:rPr>
          <w:rFonts w:hint="eastAsia"/>
        </w:rPr>
        <w:fldChar w:fldCharType="end"/>
      </w:r>
    </w:p>
    <w:p w14:paraId="42E1B84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"_Toc215070276" </w:instrText>
      </w:r>
      <w:r>
        <w:fldChar w:fldCharType="separate"/>
      </w:r>
      <w:r>
        <w:rPr>
          <w:rStyle w:val="51"/>
          <w:rFonts w:hint="eastAsia"/>
        </w:rPr>
        <w:t>3.4.4.1铲装作业危险因素辨识</w:t>
      </w:r>
      <w:r>
        <w:rPr>
          <w:rFonts w:hint="eastAsia"/>
        </w:rPr>
        <w:tab/>
      </w:r>
      <w:r>
        <w:rPr>
          <w:rFonts w:hint="eastAsia"/>
        </w:rPr>
        <w:fldChar w:fldCharType="begin"/>
      </w:r>
      <w:r>
        <w:rPr>
          <w:rFonts w:hint="eastAsia"/>
        </w:rPr>
        <w:instrText xml:space="preserve"> </w:instrText>
      </w:r>
      <w:r>
        <w:instrText xml:space="preserve">PAGEREF _Toc215070276 \h</w:instrText>
      </w:r>
      <w:r>
        <w:rPr>
          <w:rFonts w:hint="eastAsia"/>
        </w:rPr>
        <w:instrText xml:space="preserve"> </w:instrText>
      </w:r>
      <w:r>
        <w:rPr>
          <w:rFonts w:hint="eastAsia"/>
        </w:rPr>
        <w:fldChar w:fldCharType="separate"/>
      </w:r>
      <w:r>
        <w:t>149</w:t>
      </w:r>
      <w:r>
        <w:rPr>
          <w:rFonts w:hint="eastAsia"/>
        </w:rPr>
        <w:fldChar w:fldCharType="end"/>
      </w:r>
      <w:r>
        <w:rPr>
          <w:rFonts w:hint="eastAsia"/>
        </w:rPr>
        <w:fldChar w:fldCharType="end"/>
      </w:r>
    </w:p>
    <w:p w14:paraId="6866CE2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"_Toc215070277" </w:instrText>
      </w:r>
      <w:r>
        <w:fldChar w:fldCharType="separate"/>
      </w:r>
      <w:r>
        <w:rPr>
          <w:rStyle w:val="51"/>
          <w:rFonts w:hint="eastAsia"/>
        </w:rPr>
        <w:t>3.4.4.2铲装作业子单元预先危险性分析</w:t>
      </w:r>
      <w:r>
        <w:rPr>
          <w:rFonts w:hint="eastAsia"/>
        </w:rPr>
        <w:tab/>
      </w:r>
      <w:r>
        <w:rPr>
          <w:rFonts w:hint="eastAsia"/>
        </w:rPr>
        <w:fldChar w:fldCharType="begin"/>
      </w:r>
      <w:r>
        <w:rPr>
          <w:rFonts w:hint="eastAsia"/>
        </w:rPr>
        <w:instrText xml:space="preserve"> </w:instrText>
      </w:r>
      <w:r>
        <w:instrText xml:space="preserve">PAGEREF _Toc215070277 \h</w:instrText>
      </w:r>
      <w:r>
        <w:rPr>
          <w:rFonts w:hint="eastAsia"/>
        </w:rPr>
        <w:instrText xml:space="preserve"> </w:instrText>
      </w:r>
      <w:r>
        <w:rPr>
          <w:rFonts w:hint="eastAsia"/>
        </w:rPr>
        <w:fldChar w:fldCharType="separate"/>
      </w:r>
      <w:r>
        <w:t>151</w:t>
      </w:r>
      <w:r>
        <w:rPr>
          <w:rFonts w:hint="eastAsia"/>
        </w:rPr>
        <w:fldChar w:fldCharType="end"/>
      </w:r>
      <w:r>
        <w:rPr>
          <w:rFonts w:hint="eastAsia"/>
        </w:rPr>
        <w:fldChar w:fldCharType="end"/>
      </w:r>
    </w:p>
    <w:p w14:paraId="4AFFE35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"_Toc215070278" </w:instrText>
      </w:r>
      <w:r>
        <w:fldChar w:fldCharType="separate"/>
      </w:r>
      <w:r>
        <w:rPr>
          <w:rStyle w:val="51"/>
          <w:rFonts w:hint="eastAsia"/>
        </w:rPr>
        <w:t>3.4.3.3安全检查表</w:t>
      </w:r>
      <w:r>
        <w:rPr>
          <w:rFonts w:hint="eastAsia"/>
        </w:rPr>
        <w:tab/>
      </w:r>
      <w:r>
        <w:rPr>
          <w:rFonts w:hint="eastAsia"/>
        </w:rPr>
        <w:fldChar w:fldCharType="begin"/>
      </w:r>
      <w:r>
        <w:rPr>
          <w:rFonts w:hint="eastAsia"/>
        </w:rPr>
        <w:instrText xml:space="preserve"> </w:instrText>
      </w:r>
      <w:r>
        <w:instrText xml:space="preserve">PAGEREF _Toc215070278 \h</w:instrText>
      </w:r>
      <w:r>
        <w:rPr>
          <w:rFonts w:hint="eastAsia"/>
        </w:rPr>
        <w:instrText xml:space="preserve"> </w:instrText>
      </w:r>
      <w:r>
        <w:rPr>
          <w:rFonts w:hint="eastAsia"/>
        </w:rPr>
        <w:fldChar w:fldCharType="separate"/>
      </w:r>
      <w:r>
        <w:t>151</w:t>
      </w:r>
      <w:r>
        <w:rPr>
          <w:rFonts w:hint="eastAsia"/>
        </w:rPr>
        <w:fldChar w:fldCharType="end"/>
      </w:r>
      <w:r>
        <w:rPr>
          <w:rFonts w:hint="eastAsia"/>
        </w:rPr>
        <w:fldChar w:fldCharType="end"/>
      </w:r>
    </w:p>
    <w:p w14:paraId="55C188C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"_Toc215070279" </w:instrText>
      </w:r>
      <w:r>
        <w:fldChar w:fldCharType="separate"/>
      </w:r>
      <w:r>
        <w:rPr>
          <w:rStyle w:val="51"/>
          <w:rFonts w:hint="eastAsia"/>
        </w:rPr>
        <w:t>3.4.4.4单元小结</w:t>
      </w:r>
      <w:r>
        <w:rPr>
          <w:rFonts w:hint="eastAsia"/>
        </w:rPr>
        <w:tab/>
      </w:r>
      <w:r>
        <w:rPr>
          <w:rFonts w:hint="eastAsia"/>
        </w:rPr>
        <w:fldChar w:fldCharType="begin"/>
      </w:r>
      <w:r>
        <w:rPr>
          <w:rFonts w:hint="eastAsia"/>
        </w:rPr>
        <w:instrText xml:space="preserve"> </w:instrText>
      </w:r>
      <w:r>
        <w:instrText xml:space="preserve">PAGEREF _Toc215070279 \h</w:instrText>
      </w:r>
      <w:r>
        <w:rPr>
          <w:rFonts w:hint="eastAsia"/>
        </w:rPr>
        <w:instrText xml:space="preserve"> </w:instrText>
      </w:r>
      <w:r>
        <w:rPr>
          <w:rFonts w:hint="eastAsia"/>
        </w:rPr>
        <w:fldChar w:fldCharType="separate"/>
      </w:r>
      <w:r>
        <w:t>152</w:t>
      </w:r>
      <w:r>
        <w:rPr>
          <w:rFonts w:hint="eastAsia"/>
        </w:rPr>
        <w:fldChar w:fldCharType="end"/>
      </w:r>
      <w:r>
        <w:rPr>
          <w:rFonts w:hint="eastAsia"/>
        </w:rPr>
        <w:fldChar w:fldCharType="end"/>
      </w:r>
    </w:p>
    <w:p w14:paraId="7CA8092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"_Toc215070280" </w:instrText>
      </w:r>
      <w:r>
        <w:fldChar w:fldCharType="separate"/>
      </w:r>
      <w:r>
        <w:rPr>
          <w:rStyle w:val="51"/>
          <w:rFonts w:hint="eastAsia"/>
        </w:rPr>
        <w:t>3.5防尘单元</w:t>
      </w:r>
      <w:r>
        <w:rPr>
          <w:rFonts w:hint="eastAsia"/>
        </w:rPr>
        <w:tab/>
      </w:r>
      <w:r>
        <w:rPr>
          <w:rFonts w:hint="eastAsia"/>
        </w:rPr>
        <w:fldChar w:fldCharType="begin"/>
      </w:r>
      <w:r>
        <w:rPr>
          <w:rFonts w:hint="eastAsia"/>
        </w:rPr>
        <w:instrText xml:space="preserve"> </w:instrText>
      </w:r>
      <w:r>
        <w:instrText xml:space="preserve">PAGEREF _Toc215070280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14:paraId="55745AC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"_Toc215070281" </w:instrText>
      </w:r>
      <w:r>
        <w:fldChar w:fldCharType="separate"/>
      </w:r>
      <w:r>
        <w:rPr>
          <w:rStyle w:val="51"/>
          <w:rFonts w:hint="eastAsia"/>
        </w:rPr>
        <w:t>3.5.1防尘单元危险因素辨识</w:t>
      </w:r>
      <w:r>
        <w:rPr>
          <w:rFonts w:hint="eastAsia"/>
        </w:rPr>
        <w:tab/>
      </w:r>
      <w:r>
        <w:rPr>
          <w:rFonts w:hint="eastAsia"/>
        </w:rPr>
        <w:fldChar w:fldCharType="begin"/>
      </w:r>
      <w:r>
        <w:rPr>
          <w:rFonts w:hint="eastAsia"/>
        </w:rPr>
        <w:instrText xml:space="preserve"> </w:instrText>
      </w:r>
      <w:r>
        <w:instrText xml:space="preserve">PAGEREF _Toc215070281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14:paraId="6BCCAD3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"_Toc215070282" </w:instrText>
      </w:r>
      <w:r>
        <w:fldChar w:fldCharType="separate"/>
      </w:r>
      <w:r>
        <w:rPr>
          <w:rStyle w:val="51"/>
          <w:rFonts w:hint="eastAsia"/>
        </w:rPr>
        <w:t>3.5.2安全检查表</w:t>
      </w:r>
      <w:r>
        <w:rPr>
          <w:rFonts w:hint="eastAsia"/>
        </w:rPr>
        <w:tab/>
      </w:r>
      <w:r>
        <w:rPr>
          <w:rFonts w:hint="eastAsia"/>
        </w:rPr>
        <w:fldChar w:fldCharType="begin"/>
      </w:r>
      <w:r>
        <w:rPr>
          <w:rFonts w:hint="eastAsia"/>
        </w:rPr>
        <w:instrText xml:space="preserve"> </w:instrText>
      </w:r>
      <w:r>
        <w:instrText xml:space="preserve">PAGEREF _Toc215070282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14:paraId="261DCDA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"_Toc215070283" </w:instrText>
      </w:r>
      <w:r>
        <w:fldChar w:fldCharType="separate"/>
      </w:r>
      <w:r>
        <w:rPr>
          <w:rStyle w:val="51"/>
          <w:rFonts w:hint="eastAsia"/>
        </w:rPr>
        <w:t>3.5.3单元小结</w:t>
      </w:r>
      <w:r>
        <w:rPr>
          <w:rFonts w:hint="eastAsia"/>
        </w:rPr>
        <w:tab/>
      </w:r>
      <w:r>
        <w:rPr>
          <w:rFonts w:hint="eastAsia"/>
        </w:rPr>
        <w:fldChar w:fldCharType="begin"/>
      </w:r>
      <w:r>
        <w:rPr>
          <w:rFonts w:hint="eastAsia"/>
        </w:rPr>
        <w:instrText xml:space="preserve"> </w:instrText>
      </w:r>
      <w:r>
        <w:instrText xml:space="preserve">PAGEREF _Toc215070283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14:paraId="606856C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"_Toc215070284" </w:instrText>
      </w:r>
      <w:r>
        <w:fldChar w:fldCharType="separate"/>
      </w:r>
      <w:r>
        <w:rPr>
          <w:rStyle w:val="51"/>
          <w:rFonts w:hint="eastAsia"/>
        </w:rPr>
        <w:t>3.6供配电设施及通讯单元</w:t>
      </w:r>
      <w:r>
        <w:rPr>
          <w:rFonts w:hint="eastAsia"/>
        </w:rPr>
        <w:tab/>
      </w:r>
      <w:r>
        <w:rPr>
          <w:rFonts w:hint="eastAsia"/>
        </w:rPr>
        <w:fldChar w:fldCharType="begin"/>
      </w:r>
      <w:r>
        <w:rPr>
          <w:rFonts w:hint="eastAsia"/>
        </w:rPr>
        <w:instrText xml:space="preserve"> </w:instrText>
      </w:r>
      <w:r>
        <w:instrText xml:space="preserve">PAGEREF _Toc215070284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14:paraId="1DD56CC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"_Toc215070285" </w:instrText>
      </w:r>
      <w:r>
        <w:fldChar w:fldCharType="separate"/>
      </w:r>
      <w:r>
        <w:rPr>
          <w:rStyle w:val="51"/>
          <w:rFonts w:hint="eastAsia"/>
        </w:rPr>
        <w:t>3.6.1供配电设施危险因素辨识</w:t>
      </w:r>
      <w:r>
        <w:rPr>
          <w:rFonts w:hint="eastAsia"/>
        </w:rPr>
        <w:tab/>
      </w:r>
      <w:r>
        <w:rPr>
          <w:rFonts w:hint="eastAsia"/>
        </w:rPr>
        <w:fldChar w:fldCharType="begin"/>
      </w:r>
      <w:r>
        <w:rPr>
          <w:rFonts w:hint="eastAsia"/>
        </w:rPr>
        <w:instrText xml:space="preserve"> </w:instrText>
      </w:r>
      <w:r>
        <w:instrText xml:space="preserve">PAGEREF _Toc215070285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14:paraId="1FBAE46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"_Toc215070286" </w:instrText>
      </w:r>
      <w:r>
        <w:fldChar w:fldCharType="separate"/>
      </w:r>
      <w:r>
        <w:rPr>
          <w:rStyle w:val="51"/>
          <w:rFonts w:hint="eastAsia"/>
        </w:rPr>
        <w:t>3.6.2安全检查表</w:t>
      </w:r>
      <w:r>
        <w:rPr>
          <w:rFonts w:hint="eastAsia"/>
        </w:rPr>
        <w:tab/>
      </w:r>
      <w:r>
        <w:rPr>
          <w:rFonts w:hint="eastAsia"/>
        </w:rPr>
        <w:fldChar w:fldCharType="begin"/>
      </w:r>
      <w:r>
        <w:rPr>
          <w:rFonts w:hint="eastAsia"/>
        </w:rPr>
        <w:instrText xml:space="preserve"> </w:instrText>
      </w:r>
      <w:r>
        <w:instrText xml:space="preserve">PAGEREF _Toc215070286 \h</w:instrText>
      </w:r>
      <w:r>
        <w:rPr>
          <w:rFonts w:hint="eastAsia"/>
        </w:rPr>
        <w:instrText xml:space="preserve"> </w:instrText>
      </w:r>
      <w:r>
        <w:rPr>
          <w:rFonts w:hint="eastAsia"/>
        </w:rPr>
        <w:fldChar w:fldCharType="separate"/>
      </w:r>
      <w:r>
        <w:t>159</w:t>
      </w:r>
      <w:r>
        <w:rPr>
          <w:rFonts w:hint="eastAsia"/>
        </w:rPr>
        <w:fldChar w:fldCharType="end"/>
      </w:r>
      <w:r>
        <w:rPr>
          <w:rFonts w:hint="eastAsia"/>
        </w:rPr>
        <w:fldChar w:fldCharType="end"/>
      </w:r>
    </w:p>
    <w:p w14:paraId="5FD8787D">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"_Toc215070287" </w:instrText>
      </w:r>
      <w:r>
        <w:fldChar w:fldCharType="separate"/>
      </w:r>
      <w:r>
        <w:rPr>
          <w:rStyle w:val="51"/>
          <w:rFonts w:hint="eastAsia"/>
        </w:rPr>
        <w:t>3.6.3单元小结</w:t>
      </w:r>
      <w:r>
        <w:rPr>
          <w:rFonts w:hint="eastAsia"/>
        </w:rPr>
        <w:tab/>
      </w:r>
      <w:r>
        <w:rPr>
          <w:rFonts w:hint="eastAsia"/>
        </w:rPr>
        <w:fldChar w:fldCharType="begin"/>
      </w:r>
      <w:r>
        <w:rPr>
          <w:rFonts w:hint="eastAsia"/>
        </w:rPr>
        <w:instrText xml:space="preserve"> </w:instrText>
      </w:r>
      <w:r>
        <w:instrText xml:space="preserve">PAGEREF _Toc215070287 \h</w:instrText>
      </w:r>
      <w:r>
        <w:rPr>
          <w:rFonts w:hint="eastAsia"/>
        </w:rPr>
        <w:instrText xml:space="preserve"> </w:instrText>
      </w:r>
      <w:r>
        <w:rPr>
          <w:rFonts w:hint="eastAsia"/>
        </w:rPr>
        <w:fldChar w:fldCharType="separate"/>
      </w:r>
      <w:r>
        <w:t>163</w:t>
      </w:r>
      <w:r>
        <w:rPr>
          <w:rFonts w:hint="eastAsia"/>
        </w:rPr>
        <w:fldChar w:fldCharType="end"/>
      </w:r>
      <w:r>
        <w:rPr>
          <w:rFonts w:hint="eastAsia"/>
        </w:rPr>
        <w:fldChar w:fldCharType="end"/>
      </w:r>
    </w:p>
    <w:p w14:paraId="0E933B0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"_Toc215070288" </w:instrText>
      </w:r>
      <w:r>
        <w:fldChar w:fldCharType="separate"/>
      </w:r>
      <w:r>
        <w:rPr>
          <w:rStyle w:val="51"/>
          <w:rFonts w:hint="eastAsia"/>
        </w:rPr>
        <w:t>3.7防排水与防灭火单元</w:t>
      </w:r>
      <w:r>
        <w:rPr>
          <w:rFonts w:hint="eastAsia"/>
        </w:rPr>
        <w:tab/>
      </w:r>
      <w:r>
        <w:rPr>
          <w:rFonts w:hint="eastAsia"/>
        </w:rPr>
        <w:fldChar w:fldCharType="begin"/>
      </w:r>
      <w:r>
        <w:rPr>
          <w:rFonts w:hint="eastAsia"/>
        </w:rPr>
        <w:instrText xml:space="preserve"> </w:instrText>
      </w:r>
      <w:r>
        <w:instrText xml:space="preserve">PAGEREF _Toc215070288 \h</w:instrText>
      </w:r>
      <w:r>
        <w:rPr>
          <w:rFonts w:hint="eastAsia"/>
        </w:rPr>
        <w:instrText xml:space="preserve"> </w:instrText>
      </w:r>
      <w:r>
        <w:rPr>
          <w:rFonts w:hint="eastAsia"/>
        </w:rPr>
        <w:fldChar w:fldCharType="separate"/>
      </w:r>
      <w:r>
        <w:t>163</w:t>
      </w:r>
      <w:r>
        <w:rPr>
          <w:rFonts w:hint="eastAsia"/>
        </w:rPr>
        <w:fldChar w:fldCharType="end"/>
      </w:r>
      <w:r>
        <w:rPr>
          <w:rFonts w:hint="eastAsia"/>
        </w:rPr>
        <w:fldChar w:fldCharType="end"/>
      </w:r>
    </w:p>
    <w:p w14:paraId="414CAA2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"_Toc215070289" </w:instrText>
      </w:r>
      <w:r>
        <w:fldChar w:fldCharType="separate"/>
      </w:r>
      <w:r>
        <w:rPr>
          <w:rStyle w:val="51"/>
          <w:rFonts w:hint="eastAsia"/>
        </w:rPr>
        <w:t>3.7.1防排水防灭火单元危险因素辨识</w:t>
      </w:r>
      <w:r>
        <w:rPr>
          <w:rFonts w:hint="eastAsia"/>
        </w:rPr>
        <w:tab/>
      </w:r>
      <w:r>
        <w:rPr>
          <w:rFonts w:hint="eastAsia"/>
        </w:rPr>
        <w:fldChar w:fldCharType="begin"/>
      </w:r>
      <w:r>
        <w:rPr>
          <w:rFonts w:hint="eastAsia"/>
        </w:rPr>
        <w:instrText xml:space="preserve"> </w:instrText>
      </w:r>
      <w:r>
        <w:instrText xml:space="preserve">PAGEREF _Toc215070289 \h</w:instrText>
      </w:r>
      <w:r>
        <w:rPr>
          <w:rFonts w:hint="eastAsia"/>
        </w:rPr>
        <w:instrText xml:space="preserve"> </w:instrText>
      </w:r>
      <w:r>
        <w:rPr>
          <w:rFonts w:hint="eastAsia"/>
        </w:rPr>
        <w:fldChar w:fldCharType="separate"/>
      </w:r>
      <w:r>
        <w:t>163</w:t>
      </w:r>
      <w:r>
        <w:rPr>
          <w:rFonts w:hint="eastAsia"/>
        </w:rPr>
        <w:fldChar w:fldCharType="end"/>
      </w:r>
      <w:r>
        <w:rPr>
          <w:rFonts w:hint="eastAsia"/>
        </w:rPr>
        <w:fldChar w:fldCharType="end"/>
      </w:r>
    </w:p>
    <w:p w14:paraId="3527700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"_Toc215070290" </w:instrText>
      </w:r>
      <w:r>
        <w:fldChar w:fldCharType="separate"/>
      </w:r>
      <w:r>
        <w:rPr>
          <w:rStyle w:val="51"/>
          <w:rFonts w:hint="eastAsia"/>
        </w:rPr>
        <w:t>3.7.2防排水安全检查表</w:t>
      </w:r>
      <w:r>
        <w:rPr>
          <w:rFonts w:hint="eastAsia"/>
        </w:rPr>
        <w:tab/>
      </w:r>
      <w:r>
        <w:rPr>
          <w:rFonts w:hint="eastAsia"/>
        </w:rPr>
        <w:fldChar w:fldCharType="begin"/>
      </w:r>
      <w:r>
        <w:rPr>
          <w:rFonts w:hint="eastAsia"/>
        </w:rPr>
        <w:instrText xml:space="preserve"> </w:instrText>
      </w:r>
      <w:r>
        <w:instrText xml:space="preserve">PAGEREF _Toc215070290 \h</w:instrText>
      </w:r>
      <w:r>
        <w:rPr>
          <w:rFonts w:hint="eastAsia"/>
        </w:rPr>
        <w:instrText xml:space="preserve"> </w:instrText>
      </w:r>
      <w:r>
        <w:rPr>
          <w:rFonts w:hint="eastAsia"/>
        </w:rPr>
        <w:fldChar w:fldCharType="separate"/>
      </w:r>
      <w:r>
        <w:t>164</w:t>
      </w:r>
      <w:r>
        <w:rPr>
          <w:rFonts w:hint="eastAsia"/>
        </w:rPr>
        <w:fldChar w:fldCharType="end"/>
      </w:r>
      <w:r>
        <w:rPr>
          <w:rFonts w:hint="eastAsia"/>
        </w:rPr>
        <w:fldChar w:fldCharType="end"/>
      </w:r>
    </w:p>
    <w:p w14:paraId="4500C32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"_Toc215070291" </w:instrText>
      </w:r>
      <w:r>
        <w:fldChar w:fldCharType="separate"/>
      </w:r>
      <w:r>
        <w:rPr>
          <w:rStyle w:val="51"/>
          <w:rFonts w:hint="eastAsia"/>
        </w:rPr>
        <w:t>3.7.3防灭火安全检查表</w:t>
      </w:r>
      <w:r>
        <w:rPr>
          <w:rFonts w:hint="eastAsia"/>
        </w:rPr>
        <w:tab/>
      </w:r>
      <w:r>
        <w:rPr>
          <w:rFonts w:hint="eastAsia"/>
        </w:rPr>
        <w:fldChar w:fldCharType="begin"/>
      </w:r>
      <w:r>
        <w:rPr>
          <w:rFonts w:hint="eastAsia"/>
        </w:rPr>
        <w:instrText xml:space="preserve"> </w:instrText>
      </w:r>
      <w:r>
        <w:instrText xml:space="preserve">PAGEREF _Toc215070291 \h</w:instrText>
      </w:r>
      <w:r>
        <w:rPr>
          <w:rFonts w:hint="eastAsia"/>
        </w:rPr>
        <w:instrText xml:space="preserve"> </w:instrText>
      </w:r>
      <w:r>
        <w:rPr>
          <w:rFonts w:hint="eastAsia"/>
        </w:rPr>
        <w:fldChar w:fldCharType="separate"/>
      </w:r>
      <w:r>
        <w:t>165</w:t>
      </w:r>
      <w:r>
        <w:rPr>
          <w:rFonts w:hint="eastAsia"/>
        </w:rPr>
        <w:fldChar w:fldCharType="end"/>
      </w:r>
      <w:r>
        <w:rPr>
          <w:rFonts w:hint="eastAsia"/>
        </w:rPr>
        <w:fldChar w:fldCharType="end"/>
      </w:r>
    </w:p>
    <w:p w14:paraId="494BCBD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"_Toc215070292" </w:instrText>
      </w:r>
      <w:r>
        <w:fldChar w:fldCharType="separate"/>
      </w:r>
      <w:r>
        <w:rPr>
          <w:rStyle w:val="51"/>
          <w:rFonts w:hint="eastAsia"/>
        </w:rPr>
        <w:t>3.7.4单元小结</w:t>
      </w:r>
      <w:r>
        <w:rPr>
          <w:rFonts w:hint="eastAsia"/>
        </w:rPr>
        <w:tab/>
      </w:r>
      <w:r>
        <w:rPr>
          <w:rFonts w:hint="eastAsia"/>
        </w:rPr>
        <w:fldChar w:fldCharType="begin"/>
      </w:r>
      <w:r>
        <w:rPr>
          <w:rFonts w:hint="eastAsia"/>
        </w:rPr>
        <w:instrText xml:space="preserve"> </w:instrText>
      </w:r>
      <w:r>
        <w:instrText xml:space="preserve">PAGEREF _Toc215070292 \h</w:instrText>
      </w:r>
      <w:r>
        <w:rPr>
          <w:rFonts w:hint="eastAsia"/>
        </w:rPr>
        <w:instrText xml:space="preserve"> </w:instrText>
      </w:r>
      <w:r>
        <w:rPr>
          <w:rFonts w:hint="eastAsia"/>
        </w:rPr>
        <w:fldChar w:fldCharType="separate"/>
      </w:r>
      <w:r>
        <w:t>165</w:t>
      </w:r>
      <w:r>
        <w:rPr>
          <w:rFonts w:hint="eastAsia"/>
        </w:rPr>
        <w:fldChar w:fldCharType="end"/>
      </w:r>
      <w:r>
        <w:rPr>
          <w:rFonts w:hint="eastAsia"/>
        </w:rPr>
        <w:fldChar w:fldCharType="end"/>
      </w:r>
    </w:p>
    <w:p w14:paraId="7BD7F009">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"_Toc215070293" </w:instrText>
      </w:r>
      <w:r>
        <w:fldChar w:fldCharType="separate"/>
      </w:r>
      <w:r>
        <w:rPr>
          <w:rStyle w:val="51"/>
          <w:rFonts w:hint="eastAsia"/>
        </w:rPr>
        <w:t>3.8破碎站单元</w:t>
      </w:r>
      <w:r>
        <w:rPr>
          <w:rFonts w:hint="eastAsia"/>
        </w:rPr>
        <w:tab/>
      </w:r>
      <w:r>
        <w:rPr>
          <w:rFonts w:hint="eastAsia"/>
        </w:rPr>
        <w:fldChar w:fldCharType="begin"/>
      </w:r>
      <w:r>
        <w:rPr>
          <w:rFonts w:hint="eastAsia"/>
        </w:rPr>
        <w:instrText xml:space="preserve"> </w:instrText>
      </w:r>
      <w:r>
        <w:instrText xml:space="preserve">PAGEREF _Toc215070293 \h</w:instrText>
      </w:r>
      <w:r>
        <w:rPr>
          <w:rFonts w:hint="eastAsia"/>
        </w:rPr>
        <w:instrText xml:space="preserve"> </w:instrText>
      </w:r>
      <w:r>
        <w:rPr>
          <w:rFonts w:hint="eastAsia"/>
        </w:rPr>
        <w:fldChar w:fldCharType="separate"/>
      </w:r>
      <w:r>
        <w:t>166</w:t>
      </w:r>
      <w:r>
        <w:rPr>
          <w:rFonts w:hint="eastAsia"/>
        </w:rPr>
        <w:fldChar w:fldCharType="end"/>
      </w:r>
      <w:r>
        <w:rPr>
          <w:rFonts w:hint="eastAsia"/>
        </w:rPr>
        <w:fldChar w:fldCharType="end"/>
      </w:r>
    </w:p>
    <w:p w14:paraId="26208FE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"_Toc215070294" </w:instrText>
      </w:r>
      <w:r>
        <w:fldChar w:fldCharType="separate"/>
      </w:r>
      <w:r>
        <w:rPr>
          <w:rStyle w:val="51"/>
          <w:rFonts w:hint="eastAsia"/>
        </w:rPr>
        <w:t>3.8.1破碎单元安全检查法分析</w:t>
      </w:r>
      <w:r>
        <w:rPr>
          <w:rFonts w:hint="eastAsia"/>
        </w:rPr>
        <w:tab/>
      </w:r>
      <w:r>
        <w:rPr>
          <w:rFonts w:hint="eastAsia"/>
        </w:rPr>
        <w:fldChar w:fldCharType="begin"/>
      </w:r>
      <w:r>
        <w:rPr>
          <w:rFonts w:hint="eastAsia"/>
        </w:rPr>
        <w:instrText xml:space="preserve"> </w:instrText>
      </w:r>
      <w:r>
        <w:instrText xml:space="preserve">PAGEREF _Toc215070294 \h</w:instrText>
      </w:r>
      <w:r>
        <w:rPr>
          <w:rFonts w:hint="eastAsia"/>
        </w:rPr>
        <w:instrText xml:space="preserve"> </w:instrText>
      </w:r>
      <w:r>
        <w:rPr>
          <w:rFonts w:hint="eastAsia"/>
        </w:rPr>
        <w:fldChar w:fldCharType="separate"/>
      </w:r>
      <w:r>
        <w:t>166</w:t>
      </w:r>
      <w:r>
        <w:rPr>
          <w:rFonts w:hint="eastAsia"/>
        </w:rPr>
        <w:fldChar w:fldCharType="end"/>
      </w:r>
      <w:r>
        <w:rPr>
          <w:rFonts w:hint="eastAsia"/>
        </w:rPr>
        <w:fldChar w:fldCharType="end"/>
      </w:r>
    </w:p>
    <w:p w14:paraId="4A3DED9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"_Toc215070295" </w:instrText>
      </w:r>
      <w:r>
        <w:fldChar w:fldCharType="separate"/>
      </w:r>
      <w:r>
        <w:rPr>
          <w:rStyle w:val="51"/>
          <w:rFonts w:hint="eastAsia"/>
        </w:rPr>
        <w:t>3.8.2破碎站单元安全检查表分析</w:t>
      </w:r>
      <w:r>
        <w:rPr>
          <w:rFonts w:hint="eastAsia"/>
        </w:rPr>
        <w:tab/>
      </w:r>
      <w:r>
        <w:rPr>
          <w:rFonts w:hint="eastAsia"/>
        </w:rPr>
        <w:fldChar w:fldCharType="begin"/>
      </w:r>
      <w:r>
        <w:rPr>
          <w:rFonts w:hint="eastAsia"/>
        </w:rPr>
        <w:instrText xml:space="preserve"> </w:instrText>
      </w:r>
      <w:r>
        <w:instrText xml:space="preserve">PAGEREF _Toc215070295 \h</w:instrText>
      </w:r>
      <w:r>
        <w:rPr>
          <w:rFonts w:hint="eastAsia"/>
        </w:rPr>
        <w:instrText xml:space="preserve"> </w:instrText>
      </w:r>
      <w:r>
        <w:rPr>
          <w:rFonts w:hint="eastAsia"/>
        </w:rPr>
        <w:fldChar w:fldCharType="separate"/>
      </w:r>
      <w:r>
        <w:t>167</w:t>
      </w:r>
      <w:r>
        <w:rPr>
          <w:rFonts w:hint="eastAsia"/>
        </w:rPr>
        <w:fldChar w:fldCharType="end"/>
      </w:r>
      <w:r>
        <w:rPr>
          <w:rFonts w:hint="eastAsia"/>
        </w:rPr>
        <w:fldChar w:fldCharType="end"/>
      </w:r>
    </w:p>
    <w:p w14:paraId="44D0445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"_Toc215070296" </w:instrText>
      </w:r>
      <w:r>
        <w:fldChar w:fldCharType="separate"/>
      </w:r>
      <w:r>
        <w:rPr>
          <w:rStyle w:val="51"/>
          <w:rFonts w:hint="eastAsia"/>
        </w:rPr>
        <w:t>3.10安全管理及其他单元</w:t>
      </w:r>
      <w:r>
        <w:rPr>
          <w:rFonts w:hint="eastAsia"/>
        </w:rPr>
        <w:tab/>
      </w:r>
      <w:r>
        <w:rPr>
          <w:rFonts w:hint="eastAsia"/>
        </w:rPr>
        <w:fldChar w:fldCharType="begin"/>
      </w:r>
      <w:r>
        <w:rPr>
          <w:rFonts w:hint="eastAsia"/>
        </w:rPr>
        <w:instrText xml:space="preserve"> </w:instrText>
      </w:r>
      <w:r>
        <w:instrText xml:space="preserve">PAGEREF _Toc215070296 \h</w:instrText>
      </w:r>
      <w:r>
        <w:rPr>
          <w:rFonts w:hint="eastAsia"/>
        </w:rPr>
        <w:instrText xml:space="preserve"> </w:instrText>
      </w:r>
      <w:r>
        <w:rPr>
          <w:rFonts w:hint="eastAsia"/>
        </w:rPr>
        <w:fldChar w:fldCharType="separate"/>
      </w:r>
      <w:r>
        <w:t>169</w:t>
      </w:r>
      <w:r>
        <w:rPr>
          <w:rFonts w:hint="eastAsia"/>
        </w:rPr>
        <w:fldChar w:fldCharType="end"/>
      </w:r>
      <w:r>
        <w:rPr>
          <w:rFonts w:hint="eastAsia"/>
        </w:rPr>
        <w:fldChar w:fldCharType="end"/>
      </w:r>
    </w:p>
    <w:p w14:paraId="04DACE4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"_Toc215070297" </w:instrText>
      </w:r>
      <w:r>
        <w:fldChar w:fldCharType="separate"/>
      </w:r>
      <w:r>
        <w:rPr>
          <w:rStyle w:val="51"/>
          <w:rFonts w:hint="eastAsia"/>
        </w:rPr>
        <w:t>3.10.1安全管理及其他单元危险有害因素辨识</w:t>
      </w:r>
      <w:r>
        <w:rPr>
          <w:rFonts w:hint="eastAsia"/>
        </w:rPr>
        <w:tab/>
      </w:r>
      <w:r>
        <w:rPr>
          <w:rFonts w:hint="eastAsia"/>
        </w:rPr>
        <w:fldChar w:fldCharType="begin"/>
      </w:r>
      <w:r>
        <w:rPr>
          <w:rFonts w:hint="eastAsia"/>
        </w:rPr>
        <w:instrText xml:space="preserve"> </w:instrText>
      </w:r>
      <w:r>
        <w:instrText xml:space="preserve">PAGEREF _Toc215070297 \h</w:instrText>
      </w:r>
      <w:r>
        <w:rPr>
          <w:rFonts w:hint="eastAsia"/>
        </w:rPr>
        <w:instrText xml:space="preserve"> </w:instrText>
      </w:r>
      <w:r>
        <w:rPr>
          <w:rFonts w:hint="eastAsia"/>
        </w:rPr>
        <w:fldChar w:fldCharType="separate"/>
      </w:r>
      <w:r>
        <w:t>169</w:t>
      </w:r>
      <w:r>
        <w:rPr>
          <w:rFonts w:hint="eastAsia"/>
        </w:rPr>
        <w:fldChar w:fldCharType="end"/>
      </w:r>
      <w:r>
        <w:rPr>
          <w:rFonts w:hint="eastAsia"/>
        </w:rPr>
        <w:fldChar w:fldCharType="end"/>
      </w:r>
    </w:p>
    <w:p w14:paraId="5928E36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"_Toc215070298" </w:instrText>
      </w:r>
      <w:r>
        <w:fldChar w:fldCharType="separate"/>
      </w:r>
      <w:r>
        <w:rPr>
          <w:rStyle w:val="51"/>
          <w:rFonts w:hint="eastAsia"/>
        </w:rPr>
        <w:t>3.10.2安全检查表</w:t>
      </w:r>
      <w:r>
        <w:rPr>
          <w:rFonts w:hint="eastAsia"/>
        </w:rPr>
        <w:tab/>
      </w:r>
      <w:r>
        <w:rPr>
          <w:rFonts w:hint="eastAsia"/>
        </w:rPr>
        <w:fldChar w:fldCharType="begin"/>
      </w:r>
      <w:r>
        <w:rPr>
          <w:rFonts w:hint="eastAsia"/>
        </w:rPr>
        <w:instrText xml:space="preserve"> </w:instrText>
      </w:r>
      <w:r>
        <w:instrText xml:space="preserve">PAGEREF _Toc215070298 \h</w:instrText>
      </w:r>
      <w:r>
        <w:rPr>
          <w:rFonts w:hint="eastAsia"/>
        </w:rPr>
        <w:instrText xml:space="preserve"> </w:instrText>
      </w:r>
      <w:r>
        <w:rPr>
          <w:rFonts w:hint="eastAsia"/>
        </w:rPr>
        <w:fldChar w:fldCharType="separate"/>
      </w:r>
      <w:r>
        <w:t>170</w:t>
      </w:r>
      <w:r>
        <w:rPr>
          <w:rFonts w:hint="eastAsia"/>
        </w:rPr>
        <w:fldChar w:fldCharType="end"/>
      </w:r>
      <w:r>
        <w:rPr>
          <w:rFonts w:hint="eastAsia"/>
        </w:rPr>
        <w:fldChar w:fldCharType="end"/>
      </w:r>
    </w:p>
    <w:p w14:paraId="10A9675A">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"_Toc215070299" </w:instrText>
      </w:r>
      <w:r>
        <w:fldChar w:fldCharType="separate"/>
      </w:r>
      <w:r>
        <w:rPr>
          <w:rStyle w:val="51"/>
          <w:rFonts w:hint="eastAsia"/>
        </w:rPr>
        <w:t>3.10.3矿山土地复垦方案</w:t>
      </w:r>
      <w:r>
        <w:rPr>
          <w:rFonts w:hint="eastAsia"/>
        </w:rPr>
        <w:tab/>
      </w:r>
      <w:r>
        <w:rPr>
          <w:rFonts w:hint="eastAsia"/>
        </w:rPr>
        <w:fldChar w:fldCharType="begin"/>
      </w:r>
      <w:r>
        <w:rPr>
          <w:rFonts w:hint="eastAsia"/>
        </w:rPr>
        <w:instrText xml:space="preserve"> </w:instrText>
      </w:r>
      <w:r>
        <w:instrText xml:space="preserve">PAGEREF _Toc215070299 \h</w:instrText>
      </w:r>
      <w:r>
        <w:rPr>
          <w:rFonts w:hint="eastAsia"/>
        </w:rPr>
        <w:instrText xml:space="preserve"> </w:instrText>
      </w:r>
      <w:r>
        <w:rPr>
          <w:rFonts w:hint="eastAsia"/>
        </w:rPr>
        <w:fldChar w:fldCharType="separate"/>
      </w:r>
      <w:r>
        <w:t>175</w:t>
      </w:r>
      <w:r>
        <w:rPr>
          <w:rFonts w:hint="eastAsia"/>
        </w:rPr>
        <w:fldChar w:fldCharType="end"/>
      </w:r>
      <w:r>
        <w:rPr>
          <w:rFonts w:hint="eastAsia"/>
        </w:rPr>
        <w:fldChar w:fldCharType="end"/>
      </w:r>
    </w:p>
    <w:p w14:paraId="4DEE954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"_Toc215070300" </w:instrText>
      </w:r>
      <w:r>
        <w:fldChar w:fldCharType="separate"/>
      </w:r>
      <w:r>
        <w:rPr>
          <w:rStyle w:val="51"/>
          <w:rFonts w:hint="eastAsia"/>
        </w:rPr>
        <w:t>3.10.4单元小结</w:t>
      </w:r>
      <w:r>
        <w:rPr>
          <w:rFonts w:hint="eastAsia"/>
        </w:rPr>
        <w:tab/>
      </w:r>
      <w:r>
        <w:rPr>
          <w:rFonts w:hint="eastAsia"/>
        </w:rPr>
        <w:fldChar w:fldCharType="begin"/>
      </w:r>
      <w:r>
        <w:rPr>
          <w:rFonts w:hint="eastAsia"/>
        </w:rPr>
        <w:instrText xml:space="preserve"> </w:instrText>
      </w:r>
      <w:r>
        <w:instrText xml:space="preserve">PAGEREF _Toc215070300 \h</w:instrText>
      </w:r>
      <w:r>
        <w:rPr>
          <w:rFonts w:hint="eastAsia"/>
        </w:rPr>
        <w:instrText xml:space="preserve"> </w:instrText>
      </w:r>
      <w:r>
        <w:rPr>
          <w:rFonts w:hint="eastAsia"/>
        </w:rPr>
        <w:fldChar w:fldCharType="separate"/>
      </w:r>
      <w:r>
        <w:t>175</w:t>
      </w:r>
      <w:r>
        <w:rPr>
          <w:rFonts w:hint="eastAsia"/>
        </w:rPr>
        <w:fldChar w:fldCharType="end"/>
      </w:r>
      <w:r>
        <w:rPr>
          <w:rFonts w:hint="eastAsia"/>
        </w:rPr>
        <w:fldChar w:fldCharType="end"/>
      </w:r>
    </w:p>
    <w:p w14:paraId="54E0A2D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"_Toc215070301" </w:instrText>
      </w:r>
      <w:r>
        <w:fldChar w:fldCharType="separate"/>
      </w:r>
      <w:r>
        <w:rPr>
          <w:rStyle w:val="51"/>
          <w:rFonts w:hint="eastAsia"/>
        </w:rPr>
        <w:t>3.10.5淘汰落后生产工艺及设备</w:t>
      </w:r>
      <w:r>
        <w:rPr>
          <w:rFonts w:hint="eastAsia"/>
        </w:rPr>
        <w:tab/>
      </w:r>
      <w:r>
        <w:rPr>
          <w:rFonts w:hint="eastAsia"/>
        </w:rPr>
        <w:fldChar w:fldCharType="begin"/>
      </w:r>
      <w:r>
        <w:rPr>
          <w:rFonts w:hint="eastAsia"/>
        </w:rPr>
        <w:instrText xml:space="preserve"> </w:instrText>
      </w:r>
      <w:r>
        <w:instrText xml:space="preserve">PAGEREF _Toc215070301 \h</w:instrText>
      </w:r>
      <w:r>
        <w:rPr>
          <w:rFonts w:hint="eastAsia"/>
        </w:rPr>
        <w:instrText xml:space="preserve"> </w:instrText>
      </w:r>
      <w:r>
        <w:rPr>
          <w:rFonts w:hint="eastAsia"/>
        </w:rPr>
        <w:fldChar w:fldCharType="separate"/>
      </w:r>
      <w:r>
        <w:t>176</w:t>
      </w:r>
      <w:r>
        <w:rPr>
          <w:rFonts w:hint="eastAsia"/>
        </w:rPr>
        <w:fldChar w:fldCharType="end"/>
      </w:r>
      <w:r>
        <w:rPr>
          <w:rFonts w:hint="eastAsia"/>
        </w:rPr>
        <w:fldChar w:fldCharType="end"/>
      </w:r>
    </w:p>
    <w:p w14:paraId="48D5310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"_Toc215070302" </w:instrText>
      </w:r>
      <w:r>
        <w:fldChar w:fldCharType="separate"/>
      </w:r>
      <w:r>
        <w:rPr>
          <w:rStyle w:val="51"/>
          <w:rFonts w:hint="eastAsia"/>
        </w:rPr>
        <w:t>3.11重大危险源辨识单元</w:t>
      </w:r>
      <w:r>
        <w:rPr>
          <w:rFonts w:hint="eastAsia"/>
        </w:rPr>
        <w:tab/>
      </w:r>
      <w:r>
        <w:rPr>
          <w:rFonts w:hint="eastAsia"/>
        </w:rPr>
        <w:fldChar w:fldCharType="begin"/>
      </w:r>
      <w:r>
        <w:rPr>
          <w:rFonts w:hint="eastAsia"/>
        </w:rPr>
        <w:instrText xml:space="preserve"> </w:instrText>
      </w:r>
      <w:r>
        <w:instrText xml:space="preserve">PAGEREF _Toc215070302 \h</w:instrText>
      </w:r>
      <w:r>
        <w:rPr>
          <w:rFonts w:hint="eastAsia"/>
        </w:rPr>
        <w:instrText xml:space="preserve"> </w:instrText>
      </w:r>
      <w:r>
        <w:rPr>
          <w:rFonts w:hint="eastAsia"/>
        </w:rPr>
        <w:fldChar w:fldCharType="separate"/>
      </w:r>
      <w:r>
        <w:t>177</w:t>
      </w:r>
      <w:r>
        <w:rPr>
          <w:rFonts w:hint="eastAsia"/>
        </w:rPr>
        <w:fldChar w:fldCharType="end"/>
      </w:r>
      <w:r>
        <w:rPr>
          <w:rFonts w:hint="eastAsia"/>
        </w:rPr>
        <w:fldChar w:fldCharType="end"/>
      </w:r>
    </w:p>
    <w:p w14:paraId="35C7E37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"_Toc215070303" </w:instrText>
      </w:r>
      <w:r>
        <w:fldChar w:fldCharType="separate"/>
      </w:r>
      <w:r>
        <w:rPr>
          <w:rStyle w:val="51"/>
          <w:rFonts w:hint="eastAsia"/>
        </w:rPr>
        <w:t>3.9.1矿山使用的炸药</w:t>
      </w:r>
      <w:r>
        <w:rPr>
          <w:rFonts w:hint="eastAsia"/>
        </w:rPr>
        <w:tab/>
      </w:r>
      <w:r>
        <w:rPr>
          <w:rFonts w:hint="eastAsia"/>
        </w:rPr>
        <w:fldChar w:fldCharType="begin"/>
      </w:r>
      <w:r>
        <w:rPr>
          <w:rFonts w:hint="eastAsia"/>
        </w:rPr>
        <w:instrText xml:space="preserve"> </w:instrText>
      </w:r>
      <w:r>
        <w:instrText xml:space="preserve">PAGEREF _Toc215070303 \h</w:instrText>
      </w:r>
      <w:r>
        <w:rPr>
          <w:rFonts w:hint="eastAsia"/>
        </w:rPr>
        <w:instrText xml:space="preserve"> </w:instrText>
      </w:r>
      <w:r>
        <w:rPr>
          <w:rFonts w:hint="eastAsia"/>
        </w:rPr>
        <w:fldChar w:fldCharType="separate"/>
      </w:r>
      <w:r>
        <w:t>177</w:t>
      </w:r>
      <w:r>
        <w:rPr>
          <w:rFonts w:hint="eastAsia"/>
        </w:rPr>
        <w:fldChar w:fldCharType="end"/>
      </w:r>
      <w:r>
        <w:rPr>
          <w:rFonts w:hint="eastAsia"/>
        </w:rPr>
        <w:fldChar w:fldCharType="end"/>
      </w:r>
    </w:p>
    <w:p w14:paraId="506D3B7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"_Toc215070304" </w:instrText>
      </w:r>
      <w:r>
        <w:fldChar w:fldCharType="separate"/>
      </w:r>
      <w:r>
        <w:rPr>
          <w:rStyle w:val="51"/>
          <w:rFonts w:hint="eastAsia"/>
        </w:rPr>
        <w:t>3.9.2矿山使用的柴油</w:t>
      </w:r>
      <w:r>
        <w:rPr>
          <w:rFonts w:hint="eastAsia"/>
        </w:rPr>
        <w:tab/>
      </w:r>
      <w:r>
        <w:rPr>
          <w:rFonts w:hint="eastAsia"/>
        </w:rPr>
        <w:fldChar w:fldCharType="begin"/>
      </w:r>
      <w:r>
        <w:rPr>
          <w:rFonts w:hint="eastAsia"/>
        </w:rPr>
        <w:instrText xml:space="preserve"> </w:instrText>
      </w:r>
      <w:r>
        <w:instrText xml:space="preserve">PAGEREF _Toc215070304 \h</w:instrText>
      </w:r>
      <w:r>
        <w:rPr>
          <w:rFonts w:hint="eastAsia"/>
        </w:rPr>
        <w:instrText xml:space="preserve"> </w:instrText>
      </w:r>
      <w:r>
        <w:rPr>
          <w:rFonts w:hint="eastAsia"/>
        </w:rPr>
        <w:fldChar w:fldCharType="separate"/>
      </w:r>
      <w:r>
        <w:t>177</w:t>
      </w:r>
      <w:r>
        <w:rPr>
          <w:rFonts w:hint="eastAsia"/>
        </w:rPr>
        <w:fldChar w:fldCharType="end"/>
      </w:r>
      <w:r>
        <w:rPr>
          <w:rFonts w:hint="eastAsia"/>
        </w:rPr>
        <w:fldChar w:fldCharType="end"/>
      </w:r>
    </w:p>
    <w:p w14:paraId="098F472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"_Toc215070305" </w:instrText>
      </w:r>
      <w:r>
        <w:fldChar w:fldCharType="separate"/>
      </w:r>
      <w:r>
        <w:rPr>
          <w:rStyle w:val="51"/>
          <w:rFonts w:hint="eastAsia"/>
        </w:rPr>
        <w:t>3.9.3金属非金属矿山重大事故隐患判定</w:t>
      </w:r>
      <w:r>
        <w:rPr>
          <w:rFonts w:hint="eastAsia"/>
        </w:rPr>
        <w:tab/>
      </w:r>
      <w:r>
        <w:rPr>
          <w:rFonts w:hint="eastAsia"/>
        </w:rPr>
        <w:fldChar w:fldCharType="begin"/>
      </w:r>
      <w:r>
        <w:rPr>
          <w:rFonts w:hint="eastAsia"/>
        </w:rPr>
        <w:instrText xml:space="preserve"> </w:instrText>
      </w:r>
      <w:r>
        <w:instrText xml:space="preserve">PAGEREF _Toc215070305 \h</w:instrText>
      </w:r>
      <w:r>
        <w:rPr>
          <w:rFonts w:hint="eastAsia"/>
        </w:rPr>
        <w:instrText xml:space="preserve"> </w:instrText>
      </w:r>
      <w:r>
        <w:rPr>
          <w:rFonts w:hint="eastAsia"/>
        </w:rPr>
        <w:fldChar w:fldCharType="separate"/>
      </w:r>
      <w:r>
        <w:t>177</w:t>
      </w:r>
      <w:r>
        <w:rPr>
          <w:rFonts w:hint="eastAsia"/>
        </w:rPr>
        <w:fldChar w:fldCharType="end"/>
      </w:r>
      <w:r>
        <w:rPr>
          <w:rFonts w:hint="eastAsia"/>
        </w:rPr>
        <w:fldChar w:fldCharType="end"/>
      </w:r>
    </w:p>
    <w:p w14:paraId="58A8A35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"_Toc215070306" </w:instrText>
      </w:r>
      <w:r>
        <w:fldChar w:fldCharType="separate"/>
      </w:r>
      <w:r>
        <w:rPr>
          <w:rStyle w:val="51"/>
          <w:rFonts w:hint="eastAsia"/>
        </w:rPr>
        <w:t>3.9.4矿山隐蔽致灾因素评价</w:t>
      </w:r>
      <w:r>
        <w:rPr>
          <w:rFonts w:hint="eastAsia"/>
        </w:rPr>
        <w:tab/>
      </w:r>
      <w:r>
        <w:rPr>
          <w:rFonts w:hint="eastAsia"/>
        </w:rPr>
        <w:fldChar w:fldCharType="begin"/>
      </w:r>
      <w:r>
        <w:rPr>
          <w:rFonts w:hint="eastAsia"/>
        </w:rPr>
        <w:instrText xml:space="preserve"> </w:instrText>
      </w:r>
      <w:r>
        <w:instrText xml:space="preserve">PAGEREF _Toc215070306 \h</w:instrText>
      </w:r>
      <w:r>
        <w:rPr>
          <w:rFonts w:hint="eastAsia"/>
        </w:rPr>
        <w:instrText xml:space="preserve"> </w:instrText>
      </w:r>
      <w:r>
        <w:rPr>
          <w:rFonts w:hint="eastAsia"/>
        </w:rPr>
        <w:fldChar w:fldCharType="separate"/>
      </w:r>
      <w:r>
        <w:t>179</w:t>
      </w:r>
      <w:r>
        <w:rPr>
          <w:rFonts w:hint="eastAsia"/>
        </w:rPr>
        <w:fldChar w:fldCharType="end"/>
      </w:r>
      <w:r>
        <w:rPr>
          <w:rFonts w:hint="eastAsia"/>
        </w:rPr>
        <w:fldChar w:fldCharType="end"/>
      </w:r>
    </w:p>
    <w:p w14:paraId="588F1F17">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"_Toc215070307" </w:instrText>
      </w:r>
      <w:r>
        <w:fldChar w:fldCharType="separate"/>
      </w:r>
      <w:r>
        <w:rPr>
          <w:rStyle w:val="51"/>
          <w:rFonts w:hint="eastAsia"/>
        </w:rPr>
        <w:t>3.9.5单元小结</w:t>
      </w:r>
      <w:r>
        <w:rPr>
          <w:rFonts w:hint="eastAsia"/>
        </w:rPr>
        <w:tab/>
      </w:r>
      <w:r>
        <w:rPr>
          <w:rFonts w:hint="eastAsia"/>
        </w:rPr>
        <w:fldChar w:fldCharType="begin"/>
      </w:r>
      <w:r>
        <w:rPr>
          <w:rFonts w:hint="eastAsia"/>
        </w:rPr>
        <w:instrText xml:space="preserve"> </w:instrText>
      </w:r>
      <w:r>
        <w:instrText xml:space="preserve">PAGEREF _Toc215070307 \h</w:instrText>
      </w:r>
      <w:r>
        <w:rPr>
          <w:rFonts w:hint="eastAsia"/>
        </w:rPr>
        <w:instrText xml:space="preserve"> </w:instrText>
      </w:r>
      <w:r>
        <w:rPr>
          <w:rFonts w:hint="eastAsia"/>
        </w:rPr>
        <w:fldChar w:fldCharType="separate"/>
      </w:r>
      <w:r>
        <w:t>182</w:t>
      </w:r>
      <w:r>
        <w:rPr>
          <w:rFonts w:hint="eastAsia"/>
        </w:rPr>
        <w:fldChar w:fldCharType="end"/>
      </w:r>
      <w:r>
        <w:rPr>
          <w:rFonts w:hint="eastAsia"/>
        </w:rPr>
        <w:fldChar w:fldCharType="end"/>
      </w:r>
    </w:p>
    <w:p w14:paraId="05A8911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"_Toc215070308" </w:instrText>
      </w:r>
      <w:r>
        <w:fldChar w:fldCharType="separate"/>
      </w:r>
      <w:r>
        <w:rPr>
          <w:rStyle w:val="51"/>
          <w:rFonts w:hint="eastAsia"/>
        </w:rPr>
        <w:t>4.安全对策措施建议</w:t>
      </w:r>
      <w:r>
        <w:rPr>
          <w:rFonts w:hint="eastAsia"/>
        </w:rPr>
        <w:tab/>
      </w:r>
      <w:r>
        <w:rPr>
          <w:rFonts w:hint="eastAsia"/>
        </w:rPr>
        <w:fldChar w:fldCharType="begin"/>
      </w:r>
      <w:r>
        <w:rPr>
          <w:rFonts w:hint="eastAsia"/>
        </w:rPr>
        <w:instrText xml:space="preserve"> </w:instrText>
      </w:r>
      <w:r>
        <w:instrText xml:space="preserve">PAGEREF _Toc215070308 \h</w:instrText>
      </w:r>
      <w:r>
        <w:rPr>
          <w:rFonts w:hint="eastAsia"/>
        </w:rPr>
        <w:instrText xml:space="preserve"> </w:instrText>
      </w:r>
      <w:r>
        <w:rPr>
          <w:rFonts w:hint="eastAsia"/>
        </w:rPr>
        <w:fldChar w:fldCharType="separate"/>
      </w:r>
      <w:r>
        <w:t>183</w:t>
      </w:r>
      <w:r>
        <w:rPr>
          <w:rFonts w:hint="eastAsia"/>
        </w:rPr>
        <w:fldChar w:fldCharType="end"/>
      </w:r>
      <w:r>
        <w:rPr>
          <w:rFonts w:hint="eastAsia"/>
        </w:rPr>
        <w:fldChar w:fldCharType="end"/>
      </w:r>
    </w:p>
    <w:p w14:paraId="2ED21F9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"_Toc215070309" </w:instrText>
      </w:r>
      <w:r>
        <w:fldChar w:fldCharType="separate"/>
      </w:r>
      <w:r>
        <w:rPr>
          <w:rStyle w:val="51"/>
          <w:rFonts w:hint="eastAsia"/>
        </w:rPr>
        <w:t>4.1 存在的主要问题</w:t>
      </w:r>
      <w:r>
        <w:rPr>
          <w:rFonts w:hint="eastAsia"/>
        </w:rPr>
        <w:tab/>
      </w:r>
      <w:r>
        <w:rPr>
          <w:rFonts w:hint="eastAsia"/>
        </w:rPr>
        <w:fldChar w:fldCharType="begin"/>
      </w:r>
      <w:r>
        <w:rPr>
          <w:rFonts w:hint="eastAsia"/>
        </w:rPr>
        <w:instrText xml:space="preserve"> </w:instrText>
      </w:r>
      <w:r>
        <w:instrText xml:space="preserve">PAGEREF _Toc215070309 \h</w:instrText>
      </w:r>
      <w:r>
        <w:rPr>
          <w:rFonts w:hint="eastAsia"/>
        </w:rPr>
        <w:instrText xml:space="preserve"> </w:instrText>
      </w:r>
      <w:r>
        <w:rPr>
          <w:rFonts w:hint="eastAsia"/>
        </w:rPr>
        <w:fldChar w:fldCharType="separate"/>
      </w:r>
      <w:r>
        <w:t>183</w:t>
      </w:r>
      <w:r>
        <w:rPr>
          <w:rFonts w:hint="eastAsia"/>
        </w:rPr>
        <w:fldChar w:fldCharType="end"/>
      </w:r>
      <w:r>
        <w:rPr>
          <w:rFonts w:hint="eastAsia"/>
        </w:rPr>
        <w:fldChar w:fldCharType="end"/>
      </w:r>
    </w:p>
    <w:p w14:paraId="4E133C6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"_Toc215070310" </w:instrText>
      </w:r>
      <w:r>
        <w:fldChar w:fldCharType="separate"/>
      </w:r>
      <w:r>
        <w:rPr>
          <w:rStyle w:val="51"/>
          <w:rFonts w:hint="eastAsia"/>
        </w:rPr>
        <w:t>4.2可行性研究报告提出的安全对策措施</w:t>
      </w:r>
      <w:r>
        <w:rPr>
          <w:rFonts w:hint="eastAsia"/>
        </w:rPr>
        <w:tab/>
      </w:r>
      <w:r>
        <w:rPr>
          <w:rFonts w:hint="eastAsia"/>
        </w:rPr>
        <w:fldChar w:fldCharType="begin"/>
      </w:r>
      <w:r>
        <w:rPr>
          <w:rFonts w:hint="eastAsia"/>
        </w:rPr>
        <w:instrText xml:space="preserve"> </w:instrText>
      </w:r>
      <w:r>
        <w:instrText xml:space="preserve">PAGEREF _Toc215070310 \h</w:instrText>
      </w:r>
      <w:r>
        <w:rPr>
          <w:rFonts w:hint="eastAsia"/>
        </w:rPr>
        <w:instrText xml:space="preserve"> </w:instrText>
      </w:r>
      <w:r>
        <w:rPr>
          <w:rFonts w:hint="eastAsia"/>
        </w:rPr>
        <w:fldChar w:fldCharType="separate"/>
      </w:r>
      <w:r>
        <w:t>183</w:t>
      </w:r>
      <w:r>
        <w:rPr>
          <w:rFonts w:hint="eastAsia"/>
        </w:rPr>
        <w:fldChar w:fldCharType="end"/>
      </w:r>
      <w:r>
        <w:rPr>
          <w:rFonts w:hint="eastAsia"/>
        </w:rPr>
        <w:fldChar w:fldCharType="end"/>
      </w:r>
    </w:p>
    <w:p w14:paraId="5300ECA5">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"_Toc215070311" </w:instrText>
      </w:r>
      <w:r>
        <w:fldChar w:fldCharType="separate"/>
      </w:r>
      <w:r>
        <w:rPr>
          <w:rStyle w:val="51"/>
          <w:rFonts w:hint="eastAsia"/>
        </w:rPr>
        <w:t>4.2.1总平面布置单元安全对策措施</w:t>
      </w:r>
      <w:r>
        <w:rPr>
          <w:rFonts w:hint="eastAsia"/>
        </w:rPr>
        <w:tab/>
      </w:r>
      <w:r>
        <w:rPr>
          <w:rFonts w:hint="eastAsia"/>
        </w:rPr>
        <w:fldChar w:fldCharType="begin"/>
      </w:r>
      <w:r>
        <w:rPr>
          <w:rFonts w:hint="eastAsia"/>
        </w:rPr>
        <w:instrText xml:space="preserve"> </w:instrText>
      </w:r>
      <w:r>
        <w:instrText xml:space="preserve">PAGEREF _Toc215070311 \h</w:instrText>
      </w:r>
      <w:r>
        <w:rPr>
          <w:rFonts w:hint="eastAsia"/>
        </w:rPr>
        <w:instrText xml:space="preserve"> </w:instrText>
      </w:r>
      <w:r>
        <w:rPr>
          <w:rFonts w:hint="eastAsia"/>
        </w:rPr>
        <w:fldChar w:fldCharType="separate"/>
      </w:r>
      <w:r>
        <w:t>183</w:t>
      </w:r>
      <w:r>
        <w:rPr>
          <w:rFonts w:hint="eastAsia"/>
        </w:rPr>
        <w:fldChar w:fldCharType="end"/>
      </w:r>
      <w:r>
        <w:rPr>
          <w:rFonts w:hint="eastAsia"/>
        </w:rPr>
        <w:fldChar w:fldCharType="end"/>
      </w:r>
    </w:p>
    <w:p w14:paraId="65835CB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"_Toc215070312" </w:instrText>
      </w:r>
      <w:r>
        <w:fldChar w:fldCharType="separate"/>
      </w:r>
      <w:r>
        <w:rPr>
          <w:rStyle w:val="51"/>
          <w:rFonts w:hint="eastAsia"/>
        </w:rPr>
        <w:t>4.2.2开拓运输单元安全对策措施</w:t>
      </w:r>
      <w:r>
        <w:rPr>
          <w:rFonts w:hint="eastAsia"/>
        </w:rPr>
        <w:tab/>
      </w:r>
      <w:r>
        <w:rPr>
          <w:rFonts w:hint="eastAsia"/>
        </w:rPr>
        <w:fldChar w:fldCharType="begin"/>
      </w:r>
      <w:r>
        <w:rPr>
          <w:rFonts w:hint="eastAsia"/>
        </w:rPr>
        <w:instrText xml:space="preserve"> </w:instrText>
      </w:r>
      <w:r>
        <w:instrText xml:space="preserve">PAGEREF _Toc215070312 \h</w:instrText>
      </w:r>
      <w:r>
        <w:rPr>
          <w:rFonts w:hint="eastAsia"/>
        </w:rPr>
        <w:instrText xml:space="preserve"> </w:instrText>
      </w:r>
      <w:r>
        <w:rPr>
          <w:rFonts w:hint="eastAsia"/>
        </w:rPr>
        <w:fldChar w:fldCharType="separate"/>
      </w:r>
      <w:r>
        <w:t>184</w:t>
      </w:r>
      <w:r>
        <w:rPr>
          <w:rFonts w:hint="eastAsia"/>
        </w:rPr>
        <w:fldChar w:fldCharType="end"/>
      </w:r>
      <w:r>
        <w:rPr>
          <w:rFonts w:hint="eastAsia"/>
        </w:rPr>
        <w:fldChar w:fldCharType="end"/>
      </w:r>
    </w:p>
    <w:p w14:paraId="7B89C6F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"_Toc215070313" </w:instrText>
      </w:r>
      <w:r>
        <w:fldChar w:fldCharType="separate"/>
      </w:r>
      <w:r>
        <w:rPr>
          <w:rStyle w:val="51"/>
          <w:rFonts w:hint="eastAsia"/>
        </w:rPr>
        <w:t>4.1.1总平面布置单元需补充完善的内容</w:t>
      </w:r>
      <w:r>
        <w:rPr>
          <w:rFonts w:hint="eastAsia"/>
        </w:rPr>
        <w:tab/>
      </w:r>
      <w:r>
        <w:rPr>
          <w:rFonts w:hint="eastAsia"/>
        </w:rPr>
        <w:fldChar w:fldCharType="begin"/>
      </w:r>
      <w:r>
        <w:rPr>
          <w:rFonts w:hint="eastAsia"/>
        </w:rPr>
        <w:instrText xml:space="preserve"> </w:instrText>
      </w:r>
      <w:r>
        <w:instrText xml:space="preserve">PAGEREF _Toc215070313 \h</w:instrText>
      </w:r>
      <w:r>
        <w:rPr>
          <w:rFonts w:hint="eastAsia"/>
        </w:rPr>
        <w:instrText xml:space="preserve"> </w:instrText>
      </w:r>
      <w:r>
        <w:rPr>
          <w:rFonts w:hint="eastAsia"/>
        </w:rPr>
        <w:fldChar w:fldCharType="separate"/>
      </w:r>
      <w:r>
        <w:t>185</w:t>
      </w:r>
      <w:r>
        <w:rPr>
          <w:rFonts w:hint="eastAsia"/>
        </w:rPr>
        <w:fldChar w:fldCharType="end"/>
      </w:r>
      <w:r>
        <w:rPr>
          <w:rFonts w:hint="eastAsia"/>
        </w:rPr>
        <w:fldChar w:fldCharType="end"/>
      </w:r>
    </w:p>
    <w:p w14:paraId="6FA267FD">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"_Toc215070314" </w:instrText>
      </w:r>
      <w:r>
        <w:fldChar w:fldCharType="separate"/>
      </w:r>
      <w:r>
        <w:rPr>
          <w:rStyle w:val="51"/>
          <w:rFonts w:hint="eastAsia"/>
        </w:rPr>
        <w:t>4.1.2开拓运输单元需补充完善的内容</w:t>
      </w:r>
      <w:r>
        <w:rPr>
          <w:rFonts w:hint="eastAsia"/>
        </w:rPr>
        <w:tab/>
      </w:r>
      <w:r>
        <w:rPr>
          <w:rFonts w:hint="eastAsia"/>
        </w:rPr>
        <w:fldChar w:fldCharType="begin"/>
      </w:r>
      <w:r>
        <w:rPr>
          <w:rFonts w:hint="eastAsia"/>
        </w:rPr>
        <w:instrText xml:space="preserve"> </w:instrText>
      </w:r>
      <w:r>
        <w:instrText xml:space="preserve">PAGEREF _Toc215070314 \h</w:instrText>
      </w:r>
      <w:r>
        <w:rPr>
          <w:rFonts w:hint="eastAsia"/>
        </w:rPr>
        <w:instrText xml:space="preserve"> </w:instrText>
      </w:r>
      <w:r>
        <w:rPr>
          <w:rFonts w:hint="eastAsia"/>
        </w:rPr>
        <w:fldChar w:fldCharType="separate"/>
      </w:r>
      <w:r>
        <w:t>185</w:t>
      </w:r>
      <w:r>
        <w:rPr>
          <w:rFonts w:hint="eastAsia"/>
        </w:rPr>
        <w:fldChar w:fldCharType="end"/>
      </w:r>
      <w:r>
        <w:rPr>
          <w:rFonts w:hint="eastAsia"/>
        </w:rPr>
        <w:fldChar w:fldCharType="end"/>
      </w:r>
    </w:p>
    <w:p w14:paraId="447C3DB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"_Toc215070315" </w:instrText>
      </w:r>
      <w:r>
        <w:fldChar w:fldCharType="separate"/>
      </w:r>
      <w:r>
        <w:rPr>
          <w:rStyle w:val="51"/>
          <w:rFonts w:hint="eastAsia"/>
        </w:rPr>
        <w:t>4.1.3供配电设施及通讯单元需补充完善的内容</w:t>
      </w:r>
      <w:r>
        <w:rPr>
          <w:rFonts w:hint="eastAsia"/>
        </w:rPr>
        <w:tab/>
      </w:r>
      <w:r>
        <w:rPr>
          <w:rFonts w:hint="eastAsia"/>
        </w:rPr>
        <w:fldChar w:fldCharType="begin"/>
      </w:r>
      <w:r>
        <w:rPr>
          <w:rFonts w:hint="eastAsia"/>
        </w:rPr>
        <w:instrText xml:space="preserve"> </w:instrText>
      </w:r>
      <w:r>
        <w:instrText xml:space="preserve">PAGEREF _Toc215070315 \h</w:instrText>
      </w:r>
      <w:r>
        <w:rPr>
          <w:rFonts w:hint="eastAsia"/>
        </w:rPr>
        <w:instrText xml:space="preserve"> </w:instrText>
      </w:r>
      <w:r>
        <w:rPr>
          <w:rFonts w:hint="eastAsia"/>
        </w:rPr>
        <w:fldChar w:fldCharType="separate"/>
      </w:r>
      <w:r>
        <w:t>186</w:t>
      </w:r>
      <w:r>
        <w:rPr>
          <w:rFonts w:hint="eastAsia"/>
        </w:rPr>
        <w:fldChar w:fldCharType="end"/>
      </w:r>
      <w:r>
        <w:rPr>
          <w:rFonts w:hint="eastAsia"/>
        </w:rPr>
        <w:fldChar w:fldCharType="end"/>
      </w:r>
    </w:p>
    <w:p w14:paraId="6D5933A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"_Toc215070316" </w:instrText>
      </w:r>
      <w:r>
        <w:fldChar w:fldCharType="separate"/>
      </w:r>
      <w:r>
        <w:rPr>
          <w:rStyle w:val="51"/>
          <w:rFonts w:hint="eastAsia"/>
        </w:rPr>
        <w:t>4.1.4防排水防灭火单元需补充完善的内容</w:t>
      </w:r>
      <w:r>
        <w:rPr>
          <w:rFonts w:hint="eastAsia"/>
        </w:rPr>
        <w:tab/>
      </w:r>
      <w:r>
        <w:rPr>
          <w:rFonts w:hint="eastAsia"/>
        </w:rPr>
        <w:fldChar w:fldCharType="begin"/>
      </w:r>
      <w:r>
        <w:rPr>
          <w:rFonts w:hint="eastAsia"/>
        </w:rPr>
        <w:instrText xml:space="preserve"> </w:instrText>
      </w:r>
      <w:r>
        <w:instrText xml:space="preserve">PAGEREF _Toc215070316 \h</w:instrText>
      </w:r>
      <w:r>
        <w:rPr>
          <w:rFonts w:hint="eastAsia"/>
        </w:rPr>
        <w:instrText xml:space="preserve"> </w:instrText>
      </w:r>
      <w:r>
        <w:rPr>
          <w:rFonts w:hint="eastAsia"/>
        </w:rPr>
        <w:fldChar w:fldCharType="separate"/>
      </w:r>
      <w:r>
        <w:t>186</w:t>
      </w:r>
      <w:r>
        <w:rPr>
          <w:rFonts w:hint="eastAsia"/>
        </w:rPr>
        <w:fldChar w:fldCharType="end"/>
      </w:r>
      <w:r>
        <w:rPr>
          <w:rFonts w:hint="eastAsia"/>
        </w:rPr>
        <w:fldChar w:fldCharType="end"/>
      </w:r>
    </w:p>
    <w:p w14:paraId="121E9BA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"_Toc215070317" </w:instrText>
      </w:r>
      <w:r>
        <w:fldChar w:fldCharType="separate"/>
      </w:r>
      <w:r>
        <w:rPr>
          <w:rStyle w:val="51"/>
          <w:rFonts w:hint="eastAsia"/>
        </w:rPr>
        <w:t>4.1.5安全管理及其他单元需补充完善的内容</w:t>
      </w:r>
      <w:r>
        <w:rPr>
          <w:rFonts w:hint="eastAsia"/>
        </w:rPr>
        <w:tab/>
      </w:r>
      <w:r>
        <w:rPr>
          <w:rFonts w:hint="eastAsia"/>
        </w:rPr>
        <w:fldChar w:fldCharType="begin"/>
      </w:r>
      <w:r>
        <w:rPr>
          <w:rFonts w:hint="eastAsia"/>
        </w:rPr>
        <w:instrText xml:space="preserve"> </w:instrText>
      </w:r>
      <w:r>
        <w:instrText xml:space="preserve">PAGEREF _Toc215070317 \h</w:instrText>
      </w:r>
      <w:r>
        <w:rPr>
          <w:rFonts w:hint="eastAsia"/>
        </w:rPr>
        <w:instrText xml:space="preserve"> </w:instrText>
      </w:r>
      <w:r>
        <w:rPr>
          <w:rFonts w:hint="eastAsia"/>
        </w:rPr>
        <w:fldChar w:fldCharType="separate"/>
      </w:r>
      <w:r>
        <w:t>186</w:t>
      </w:r>
      <w:r>
        <w:rPr>
          <w:rFonts w:hint="eastAsia"/>
        </w:rPr>
        <w:fldChar w:fldCharType="end"/>
      </w:r>
      <w:r>
        <w:rPr>
          <w:rFonts w:hint="eastAsia"/>
        </w:rPr>
        <w:fldChar w:fldCharType="end"/>
      </w:r>
    </w:p>
    <w:p w14:paraId="3B4537F2">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"_Toc215070318" </w:instrText>
      </w:r>
      <w:r>
        <w:fldChar w:fldCharType="separate"/>
      </w:r>
      <w:r>
        <w:rPr>
          <w:rStyle w:val="51"/>
          <w:rFonts w:hint="eastAsia"/>
        </w:rPr>
        <w:t>4.2安全预评价提出的安全对策措施及建议</w:t>
      </w:r>
      <w:r>
        <w:rPr>
          <w:rFonts w:hint="eastAsia"/>
        </w:rPr>
        <w:tab/>
      </w:r>
      <w:r>
        <w:rPr>
          <w:rFonts w:hint="eastAsia"/>
        </w:rPr>
        <w:fldChar w:fldCharType="begin"/>
      </w:r>
      <w:r>
        <w:rPr>
          <w:rFonts w:hint="eastAsia"/>
        </w:rPr>
        <w:instrText xml:space="preserve"> </w:instrText>
      </w:r>
      <w:r>
        <w:instrText xml:space="preserve">PAGEREF _Toc215070318 \h</w:instrText>
      </w:r>
      <w:r>
        <w:rPr>
          <w:rFonts w:hint="eastAsia"/>
        </w:rPr>
        <w:instrText xml:space="preserve"> </w:instrText>
      </w:r>
      <w:r>
        <w:rPr>
          <w:rFonts w:hint="eastAsia"/>
        </w:rPr>
        <w:fldChar w:fldCharType="separate"/>
      </w:r>
      <w:r>
        <w:t>187</w:t>
      </w:r>
      <w:r>
        <w:rPr>
          <w:rFonts w:hint="eastAsia"/>
        </w:rPr>
        <w:fldChar w:fldCharType="end"/>
      </w:r>
      <w:r>
        <w:rPr>
          <w:rFonts w:hint="eastAsia"/>
        </w:rPr>
        <w:fldChar w:fldCharType="end"/>
      </w:r>
    </w:p>
    <w:p w14:paraId="69800B3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"_Toc215070319" </w:instrText>
      </w:r>
      <w:r>
        <w:fldChar w:fldCharType="separate"/>
      </w:r>
      <w:r>
        <w:rPr>
          <w:rStyle w:val="51"/>
          <w:rFonts w:hint="eastAsia"/>
        </w:rPr>
        <w:t>4.2.1总平面布置单元安全对策措施及建议</w:t>
      </w:r>
      <w:r>
        <w:rPr>
          <w:rFonts w:hint="eastAsia"/>
        </w:rPr>
        <w:tab/>
      </w:r>
      <w:r>
        <w:rPr>
          <w:rFonts w:hint="eastAsia"/>
        </w:rPr>
        <w:fldChar w:fldCharType="begin"/>
      </w:r>
      <w:r>
        <w:rPr>
          <w:rFonts w:hint="eastAsia"/>
        </w:rPr>
        <w:instrText xml:space="preserve"> </w:instrText>
      </w:r>
      <w:r>
        <w:instrText xml:space="preserve">PAGEREF _Toc215070319 \h</w:instrText>
      </w:r>
      <w:r>
        <w:rPr>
          <w:rFonts w:hint="eastAsia"/>
        </w:rPr>
        <w:instrText xml:space="preserve"> </w:instrText>
      </w:r>
      <w:r>
        <w:rPr>
          <w:rFonts w:hint="eastAsia"/>
        </w:rPr>
        <w:fldChar w:fldCharType="separate"/>
      </w:r>
      <w:r>
        <w:t>187</w:t>
      </w:r>
      <w:r>
        <w:rPr>
          <w:rFonts w:hint="eastAsia"/>
        </w:rPr>
        <w:fldChar w:fldCharType="end"/>
      </w:r>
      <w:r>
        <w:rPr>
          <w:rFonts w:hint="eastAsia"/>
        </w:rPr>
        <w:fldChar w:fldCharType="end"/>
      </w:r>
    </w:p>
    <w:p w14:paraId="703A2D3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"_Toc215070320" </w:instrText>
      </w:r>
      <w:r>
        <w:fldChar w:fldCharType="separate"/>
      </w:r>
      <w:r>
        <w:rPr>
          <w:rStyle w:val="51"/>
          <w:rFonts w:hint="eastAsia"/>
        </w:rPr>
        <w:t>4.2.2开拓运输单元安全对策措施及建议</w:t>
      </w:r>
      <w:r>
        <w:rPr>
          <w:rFonts w:hint="eastAsia"/>
        </w:rPr>
        <w:tab/>
      </w:r>
      <w:r>
        <w:rPr>
          <w:rFonts w:hint="eastAsia"/>
        </w:rPr>
        <w:fldChar w:fldCharType="begin"/>
      </w:r>
      <w:r>
        <w:rPr>
          <w:rFonts w:hint="eastAsia"/>
        </w:rPr>
        <w:instrText xml:space="preserve"> </w:instrText>
      </w:r>
      <w:r>
        <w:instrText xml:space="preserve">PAGEREF _Toc215070320 \h</w:instrText>
      </w:r>
      <w:r>
        <w:rPr>
          <w:rFonts w:hint="eastAsia"/>
        </w:rPr>
        <w:instrText xml:space="preserve"> </w:instrText>
      </w:r>
      <w:r>
        <w:rPr>
          <w:rFonts w:hint="eastAsia"/>
        </w:rPr>
        <w:fldChar w:fldCharType="separate"/>
      </w:r>
      <w:r>
        <w:t>188</w:t>
      </w:r>
      <w:r>
        <w:rPr>
          <w:rFonts w:hint="eastAsia"/>
        </w:rPr>
        <w:fldChar w:fldCharType="end"/>
      </w:r>
      <w:r>
        <w:rPr>
          <w:rFonts w:hint="eastAsia"/>
        </w:rPr>
        <w:fldChar w:fldCharType="end"/>
      </w:r>
    </w:p>
    <w:p w14:paraId="02E49B3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"_Toc215070321" </w:instrText>
      </w:r>
      <w:r>
        <w:fldChar w:fldCharType="separate"/>
      </w:r>
      <w:r>
        <w:rPr>
          <w:rStyle w:val="51"/>
          <w:rFonts w:hint="eastAsia"/>
        </w:rPr>
        <w:t>4.2.3采剥单元安全对策措施及建议</w:t>
      </w:r>
      <w:r>
        <w:rPr>
          <w:rFonts w:hint="eastAsia"/>
        </w:rPr>
        <w:tab/>
      </w:r>
      <w:r>
        <w:rPr>
          <w:rFonts w:hint="eastAsia"/>
        </w:rPr>
        <w:fldChar w:fldCharType="begin"/>
      </w:r>
      <w:r>
        <w:rPr>
          <w:rFonts w:hint="eastAsia"/>
        </w:rPr>
        <w:instrText xml:space="preserve"> </w:instrText>
      </w:r>
      <w:r>
        <w:instrText xml:space="preserve">PAGEREF _Toc215070321 \h</w:instrText>
      </w:r>
      <w:r>
        <w:rPr>
          <w:rFonts w:hint="eastAsia"/>
        </w:rPr>
        <w:instrText xml:space="preserve"> </w:instrText>
      </w:r>
      <w:r>
        <w:rPr>
          <w:rFonts w:hint="eastAsia"/>
        </w:rPr>
        <w:fldChar w:fldCharType="separate"/>
      </w:r>
      <w:r>
        <w:t>188</w:t>
      </w:r>
      <w:r>
        <w:rPr>
          <w:rFonts w:hint="eastAsia"/>
        </w:rPr>
        <w:fldChar w:fldCharType="end"/>
      </w:r>
      <w:r>
        <w:rPr>
          <w:rFonts w:hint="eastAsia"/>
        </w:rPr>
        <w:fldChar w:fldCharType="end"/>
      </w:r>
    </w:p>
    <w:p w14:paraId="1722CAAC">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"_Toc215070322" </w:instrText>
      </w:r>
      <w:r>
        <w:fldChar w:fldCharType="separate"/>
      </w:r>
      <w:r>
        <w:rPr>
          <w:rStyle w:val="51"/>
          <w:rFonts w:hint="eastAsia"/>
        </w:rPr>
        <w:t>4.2.3.1露天采场子单元安全对策措施及建议</w:t>
      </w:r>
      <w:r>
        <w:rPr>
          <w:rFonts w:hint="eastAsia"/>
        </w:rPr>
        <w:tab/>
      </w:r>
      <w:r>
        <w:rPr>
          <w:rFonts w:hint="eastAsia"/>
        </w:rPr>
        <w:fldChar w:fldCharType="begin"/>
      </w:r>
      <w:r>
        <w:rPr>
          <w:rFonts w:hint="eastAsia"/>
        </w:rPr>
        <w:instrText xml:space="preserve"> </w:instrText>
      </w:r>
      <w:r>
        <w:instrText xml:space="preserve">PAGEREF _Toc215070322 \h</w:instrText>
      </w:r>
      <w:r>
        <w:rPr>
          <w:rFonts w:hint="eastAsia"/>
        </w:rPr>
        <w:instrText xml:space="preserve"> </w:instrText>
      </w:r>
      <w:r>
        <w:rPr>
          <w:rFonts w:hint="eastAsia"/>
        </w:rPr>
        <w:fldChar w:fldCharType="separate"/>
      </w:r>
      <w:r>
        <w:t>188</w:t>
      </w:r>
      <w:r>
        <w:rPr>
          <w:rFonts w:hint="eastAsia"/>
        </w:rPr>
        <w:fldChar w:fldCharType="end"/>
      </w:r>
      <w:r>
        <w:rPr>
          <w:rFonts w:hint="eastAsia"/>
        </w:rPr>
        <w:fldChar w:fldCharType="end"/>
      </w:r>
    </w:p>
    <w:p w14:paraId="2CC5E57B">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"_Toc215070323" </w:instrText>
      </w:r>
      <w:r>
        <w:fldChar w:fldCharType="separate"/>
      </w:r>
      <w:r>
        <w:rPr>
          <w:rStyle w:val="51"/>
          <w:rFonts w:hint="eastAsia"/>
        </w:rPr>
        <w:t>4.2.3.2采剥工艺子单元安全对策措施及建议</w:t>
      </w:r>
      <w:r>
        <w:rPr>
          <w:rFonts w:hint="eastAsia"/>
        </w:rPr>
        <w:tab/>
      </w:r>
      <w:r>
        <w:rPr>
          <w:rFonts w:hint="eastAsia"/>
        </w:rPr>
        <w:fldChar w:fldCharType="begin"/>
      </w:r>
      <w:r>
        <w:rPr>
          <w:rFonts w:hint="eastAsia"/>
        </w:rPr>
        <w:instrText xml:space="preserve"> </w:instrText>
      </w:r>
      <w:r>
        <w:instrText xml:space="preserve">PAGEREF _Toc215070323 \h</w:instrText>
      </w:r>
      <w:r>
        <w:rPr>
          <w:rFonts w:hint="eastAsia"/>
        </w:rPr>
        <w:instrText xml:space="preserve"> </w:instrText>
      </w:r>
      <w:r>
        <w:rPr>
          <w:rFonts w:hint="eastAsia"/>
        </w:rPr>
        <w:fldChar w:fldCharType="separate"/>
      </w:r>
      <w:r>
        <w:t>189</w:t>
      </w:r>
      <w:r>
        <w:rPr>
          <w:rFonts w:hint="eastAsia"/>
        </w:rPr>
        <w:fldChar w:fldCharType="end"/>
      </w:r>
      <w:r>
        <w:rPr>
          <w:rFonts w:hint="eastAsia"/>
        </w:rPr>
        <w:fldChar w:fldCharType="end"/>
      </w:r>
    </w:p>
    <w:p w14:paraId="3F01649E">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"_Toc215070324" </w:instrText>
      </w:r>
      <w:r>
        <w:fldChar w:fldCharType="separate"/>
      </w:r>
      <w:r>
        <w:rPr>
          <w:rStyle w:val="51"/>
          <w:rFonts w:hint="eastAsia"/>
        </w:rPr>
        <w:t>4.2.3.3铲装作业子单元安全对策措施及建议</w:t>
      </w:r>
      <w:r>
        <w:rPr>
          <w:rFonts w:hint="eastAsia"/>
        </w:rPr>
        <w:tab/>
      </w:r>
      <w:r>
        <w:rPr>
          <w:rFonts w:hint="eastAsia"/>
        </w:rPr>
        <w:fldChar w:fldCharType="begin"/>
      </w:r>
      <w:r>
        <w:rPr>
          <w:rFonts w:hint="eastAsia"/>
        </w:rPr>
        <w:instrText xml:space="preserve"> </w:instrText>
      </w:r>
      <w:r>
        <w:instrText xml:space="preserve">PAGEREF _Toc215070324 \h</w:instrText>
      </w:r>
      <w:r>
        <w:rPr>
          <w:rFonts w:hint="eastAsia"/>
        </w:rPr>
        <w:instrText xml:space="preserve"> </w:instrText>
      </w:r>
      <w:r>
        <w:rPr>
          <w:rFonts w:hint="eastAsia"/>
        </w:rPr>
        <w:fldChar w:fldCharType="separate"/>
      </w:r>
      <w:r>
        <w:t>189</w:t>
      </w:r>
      <w:r>
        <w:rPr>
          <w:rFonts w:hint="eastAsia"/>
        </w:rPr>
        <w:fldChar w:fldCharType="end"/>
      </w:r>
      <w:r>
        <w:rPr>
          <w:rFonts w:hint="eastAsia"/>
        </w:rPr>
        <w:fldChar w:fldCharType="end"/>
      </w:r>
    </w:p>
    <w:p w14:paraId="337DDF6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"_Toc215070325" </w:instrText>
      </w:r>
      <w:r>
        <w:fldChar w:fldCharType="separate"/>
      </w:r>
      <w:r>
        <w:rPr>
          <w:rStyle w:val="51"/>
          <w:rFonts w:hint="eastAsia"/>
        </w:rPr>
        <w:t>4.2.4防尘单元安全对策措施及建议</w:t>
      </w:r>
      <w:r>
        <w:rPr>
          <w:rFonts w:hint="eastAsia"/>
        </w:rPr>
        <w:tab/>
      </w:r>
      <w:r>
        <w:rPr>
          <w:rFonts w:hint="eastAsia"/>
        </w:rPr>
        <w:fldChar w:fldCharType="begin"/>
      </w:r>
      <w:r>
        <w:rPr>
          <w:rFonts w:hint="eastAsia"/>
        </w:rPr>
        <w:instrText xml:space="preserve"> </w:instrText>
      </w:r>
      <w:r>
        <w:instrText xml:space="preserve">PAGEREF _Toc215070325 \h</w:instrText>
      </w:r>
      <w:r>
        <w:rPr>
          <w:rFonts w:hint="eastAsia"/>
        </w:rPr>
        <w:instrText xml:space="preserve"> </w:instrText>
      </w:r>
      <w:r>
        <w:rPr>
          <w:rFonts w:hint="eastAsia"/>
        </w:rPr>
        <w:fldChar w:fldCharType="separate"/>
      </w:r>
      <w:r>
        <w:t>189</w:t>
      </w:r>
      <w:r>
        <w:rPr>
          <w:rFonts w:hint="eastAsia"/>
        </w:rPr>
        <w:fldChar w:fldCharType="end"/>
      </w:r>
      <w:r>
        <w:rPr>
          <w:rFonts w:hint="eastAsia"/>
        </w:rPr>
        <w:fldChar w:fldCharType="end"/>
      </w:r>
    </w:p>
    <w:p w14:paraId="7EF17D9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"_Toc215070326" </w:instrText>
      </w:r>
      <w:r>
        <w:fldChar w:fldCharType="separate"/>
      </w:r>
      <w:r>
        <w:rPr>
          <w:rStyle w:val="51"/>
          <w:rFonts w:hint="eastAsia"/>
        </w:rPr>
        <w:t>4.2.5供配电设施及通讯单元安全对策措施及建议</w:t>
      </w:r>
      <w:r>
        <w:rPr>
          <w:rFonts w:hint="eastAsia"/>
        </w:rPr>
        <w:tab/>
      </w:r>
      <w:r>
        <w:rPr>
          <w:rFonts w:hint="eastAsia"/>
        </w:rPr>
        <w:fldChar w:fldCharType="begin"/>
      </w:r>
      <w:r>
        <w:rPr>
          <w:rFonts w:hint="eastAsia"/>
        </w:rPr>
        <w:instrText xml:space="preserve"> </w:instrText>
      </w:r>
      <w:r>
        <w:instrText xml:space="preserve">PAGEREF _Toc215070326 \h</w:instrText>
      </w:r>
      <w:r>
        <w:rPr>
          <w:rFonts w:hint="eastAsia"/>
        </w:rPr>
        <w:instrText xml:space="preserve"> </w:instrText>
      </w:r>
      <w:r>
        <w:rPr>
          <w:rFonts w:hint="eastAsia"/>
        </w:rPr>
        <w:fldChar w:fldCharType="separate"/>
      </w:r>
      <w:r>
        <w:t>190</w:t>
      </w:r>
      <w:r>
        <w:rPr>
          <w:rFonts w:hint="eastAsia"/>
        </w:rPr>
        <w:fldChar w:fldCharType="end"/>
      </w:r>
      <w:r>
        <w:rPr>
          <w:rFonts w:hint="eastAsia"/>
        </w:rPr>
        <w:fldChar w:fldCharType="end"/>
      </w:r>
    </w:p>
    <w:p w14:paraId="116BE2A6">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"_Toc215070327" </w:instrText>
      </w:r>
      <w:r>
        <w:fldChar w:fldCharType="separate"/>
      </w:r>
      <w:r>
        <w:rPr>
          <w:rStyle w:val="51"/>
          <w:rFonts w:hint="eastAsia"/>
        </w:rPr>
        <w:t>4.2.6防排水防灭火单元安全对策措施及建议</w:t>
      </w:r>
      <w:r>
        <w:rPr>
          <w:rFonts w:hint="eastAsia"/>
        </w:rPr>
        <w:tab/>
      </w:r>
      <w:r>
        <w:rPr>
          <w:rFonts w:hint="eastAsia"/>
        </w:rPr>
        <w:fldChar w:fldCharType="begin"/>
      </w:r>
      <w:r>
        <w:rPr>
          <w:rFonts w:hint="eastAsia"/>
        </w:rPr>
        <w:instrText xml:space="preserve"> </w:instrText>
      </w:r>
      <w:r>
        <w:instrText xml:space="preserve">PAGEREF _Toc215070327 \h</w:instrText>
      </w:r>
      <w:r>
        <w:rPr>
          <w:rFonts w:hint="eastAsia"/>
        </w:rPr>
        <w:instrText xml:space="preserve"> </w:instrText>
      </w:r>
      <w:r>
        <w:rPr>
          <w:rFonts w:hint="eastAsia"/>
        </w:rPr>
        <w:fldChar w:fldCharType="separate"/>
      </w:r>
      <w:r>
        <w:t>190</w:t>
      </w:r>
      <w:r>
        <w:rPr>
          <w:rFonts w:hint="eastAsia"/>
        </w:rPr>
        <w:fldChar w:fldCharType="end"/>
      </w:r>
      <w:r>
        <w:rPr>
          <w:rFonts w:hint="eastAsia"/>
        </w:rPr>
        <w:fldChar w:fldCharType="end"/>
      </w:r>
    </w:p>
    <w:p w14:paraId="72E2B73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"_Toc215070328" </w:instrText>
      </w:r>
      <w:r>
        <w:fldChar w:fldCharType="separate"/>
      </w:r>
      <w:r>
        <w:rPr>
          <w:rStyle w:val="51"/>
          <w:rFonts w:hint="eastAsia"/>
        </w:rPr>
        <w:t>4.2.8破碎车间单元安全对策措施及建议</w:t>
      </w:r>
      <w:r>
        <w:rPr>
          <w:rFonts w:hint="eastAsia"/>
        </w:rPr>
        <w:tab/>
      </w:r>
      <w:r>
        <w:rPr>
          <w:rFonts w:hint="eastAsia"/>
        </w:rPr>
        <w:fldChar w:fldCharType="begin"/>
      </w:r>
      <w:r>
        <w:rPr>
          <w:rFonts w:hint="eastAsia"/>
        </w:rPr>
        <w:instrText xml:space="preserve"> </w:instrText>
      </w:r>
      <w:r>
        <w:instrText xml:space="preserve">PAGEREF _Toc215070328 \h</w:instrText>
      </w:r>
      <w:r>
        <w:rPr>
          <w:rFonts w:hint="eastAsia"/>
        </w:rPr>
        <w:instrText xml:space="preserve"> </w:instrText>
      </w:r>
      <w:r>
        <w:rPr>
          <w:rFonts w:hint="eastAsia"/>
        </w:rPr>
        <w:fldChar w:fldCharType="separate"/>
      </w:r>
      <w:r>
        <w:t>190</w:t>
      </w:r>
      <w:r>
        <w:rPr>
          <w:rFonts w:hint="eastAsia"/>
        </w:rPr>
        <w:fldChar w:fldCharType="end"/>
      </w:r>
      <w:r>
        <w:rPr>
          <w:rFonts w:hint="eastAsia"/>
        </w:rPr>
        <w:fldChar w:fldCharType="end"/>
      </w:r>
    </w:p>
    <w:p w14:paraId="7E9BD30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"_Toc215070329" </w:instrText>
      </w:r>
      <w:r>
        <w:fldChar w:fldCharType="separate"/>
      </w:r>
      <w:r>
        <w:rPr>
          <w:rStyle w:val="51"/>
          <w:rFonts w:hint="eastAsia"/>
        </w:rPr>
        <w:t>4.2.9安全管理及其他单元安全对策措施及建议</w:t>
      </w:r>
      <w:r>
        <w:rPr>
          <w:rFonts w:hint="eastAsia"/>
        </w:rPr>
        <w:tab/>
      </w:r>
      <w:r>
        <w:rPr>
          <w:rFonts w:hint="eastAsia"/>
        </w:rPr>
        <w:fldChar w:fldCharType="begin"/>
      </w:r>
      <w:r>
        <w:rPr>
          <w:rFonts w:hint="eastAsia"/>
        </w:rPr>
        <w:instrText xml:space="preserve"> </w:instrText>
      </w:r>
      <w:r>
        <w:instrText xml:space="preserve">PAGEREF _Toc215070329 \h</w:instrText>
      </w:r>
      <w:r>
        <w:rPr>
          <w:rFonts w:hint="eastAsia"/>
        </w:rPr>
        <w:instrText xml:space="preserve"> </w:instrText>
      </w:r>
      <w:r>
        <w:rPr>
          <w:rFonts w:hint="eastAsia"/>
        </w:rPr>
        <w:fldChar w:fldCharType="separate"/>
      </w:r>
      <w:r>
        <w:t>191</w:t>
      </w:r>
      <w:r>
        <w:rPr>
          <w:rFonts w:hint="eastAsia"/>
        </w:rPr>
        <w:fldChar w:fldCharType="end"/>
      </w:r>
      <w:r>
        <w:rPr>
          <w:rFonts w:hint="eastAsia"/>
        </w:rPr>
        <w:fldChar w:fldCharType="end"/>
      </w:r>
    </w:p>
    <w:p w14:paraId="3AFBC52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"_Toc215070330" </w:instrText>
      </w:r>
      <w:r>
        <w:fldChar w:fldCharType="separate"/>
      </w:r>
      <w:r>
        <w:rPr>
          <w:rStyle w:val="51"/>
          <w:rFonts w:hint="eastAsia"/>
        </w:rPr>
        <w:t>5.评价结论</w:t>
      </w:r>
      <w:r>
        <w:rPr>
          <w:rFonts w:hint="eastAsia"/>
        </w:rPr>
        <w:tab/>
      </w:r>
      <w:r>
        <w:rPr>
          <w:rFonts w:hint="eastAsia"/>
        </w:rPr>
        <w:fldChar w:fldCharType="begin"/>
      </w:r>
      <w:r>
        <w:rPr>
          <w:rFonts w:hint="eastAsia"/>
        </w:rPr>
        <w:instrText xml:space="preserve"> </w:instrText>
      </w:r>
      <w:r>
        <w:instrText xml:space="preserve">PAGEREF _Toc215070330 \h</w:instrText>
      </w:r>
      <w:r>
        <w:rPr>
          <w:rFonts w:hint="eastAsia"/>
        </w:rPr>
        <w:instrText xml:space="preserve"> </w:instrText>
      </w:r>
      <w:r>
        <w:rPr>
          <w:rFonts w:hint="eastAsia"/>
        </w:rPr>
        <w:fldChar w:fldCharType="separate"/>
      </w:r>
      <w:r>
        <w:t>192</w:t>
      </w:r>
      <w:r>
        <w:rPr>
          <w:rFonts w:hint="eastAsia"/>
        </w:rPr>
        <w:fldChar w:fldCharType="end"/>
      </w:r>
      <w:r>
        <w:rPr>
          <w:rFonts w:hint="eastAsia"/>
        </w:rPr>
        <w:fldChar w:fldCharType="end"/>
      </w:r>
    </w:p>
    <w:p w14:paraId="67C65A2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"_Toc215070331" </w:instrText>
      </w:r>
      <w:r>
        <w:fldChar w:fldCharType="separate"/>
      </w:r>
      <w:r>
        <w:rPr>
          <w:rStyle w:val="51"/>
          <w:rFonts w:hint="eastAsia"/>
        </w:rPr>
        <w:t>5.1需要重点防范的危险、有害因素</w:t>
      </w:r>
      <w:r>
        <w:rPr>
          <w:rFonts w:hint="eastAsia"/>
        </w:rPr>
        <w:tab/>
      </w:r>
      <w:r>
        <w:rPr>
          <w:rFonts w:hint="eastAsia"/>
        </w:rPr>
        <w:fldChar w:fldCharType="begin"/>
      </w:r>
      <w:r>
        <w:rPr>
          <w:rFonts w:hint="eastAsia"/>
        </w:rPr>
        <w:instrText xml:space="preserve"> </w:instrText>
      </w:r>
      <w:r>
        <w:instrText xml:space="preserve">PAGEREF _Toc215070331 \h</w:instrText>
      </w:r>
      <w:r>
        <w:rPr>
          <w:rFonts w:hint="eastAsia"/>
        </w:rPr>
        <w:instrText xml:space="preserve"> </w:instrText>
      </w:r>
      <w:r>
        <w:rPr>
          <w:rFonts w:hint="eastAsia"/>
        </w:rPr>
        <w:fldChar w:fldCharType="separate"/>
      </w:r>
      <w:r>
        <w:t>192</w:t>
      </w:r>
      <w:r>
        <w:rPr>
          <w:rFonts w:hint="eastAsia"/>
        </w:rPr>
        <w:fldChar w:fldCharType="end"/>
      </w:r>
      <w:r>
        <w:rPr>
          <w:rFonts w:hint="eastAsia"/>
        </w:rPr>
        <w:fldChar w:fldCharType="end"/>
      </w:r>
    </w:p>
    <w:p w14:paraId="3F7C8758">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"_Toc215070332" </w:instrText>
      </w:r>
      <w:r>
        <w:fldChar w:fldCharType="separate"/>
      </w:r>
      <w:r>
        <w:rPr>
          <w:rStyle w:val="51"/>
          <w:rFonts w:hint="eastAsia"/>
        </w:rPr>
        <w:t>5.1.1本项目应重点防范的危险、有害因素</w:t>
      </w:r>
      <w:r>
        <w:rPr>
          <w:rFonts w:hint="eastAsia"/>
        </w:rPr>
        <w:tab/>
      </w:r>
      <w:r>
        <w:rPr>
          <w:rFonts w:hint="eastAsia"/>
        </w:rPr>
        <w:fldChar w:fldCharType="begin"/>
      </w:r>
      <w:r>
        <w:rPr>
          <w:rFonts w:hint="eastAsia"/>
        </w:rPr>
        <w:instrText xml:space="preserve"> </w:instrText>
      </w:r>
      <w:r>
        <w:instrText xml:space="preserve">PAGEREF _Toc215070332 \h</w:instrText>
      </w:r>
      <w:r>
        <w:rPr>
          <w:rFonts w:hint="eastAsia"/>
        </w:rPr>
        <w:instrText xml:space="preserve"> </w:instrText>
      </w:r>
      <w:r>
        <w:rPr>
          <w:rFonts w:hint="eastAsia"/>
        </w:rPr>
        <w:fldChar w:fldCharType="separate"/>
      </w:r>
      <w:r>
        <w:t>192</w:t>
      </w:r>
      <w:r>
        <w:rPr>
          <w:rFonts w:hint="eastAsia"/>
        </w:rPr>
        <w:fldChar w:fldCharType="end"/>
      </w:r>
      <w:r>
        <w:rPr>
          <w:rFonts w:hint="eastAsia"/>
        </w:rPr>
        <w:fldChar w:fldCharType="end"/>
      </w:r>
    </w:p>
    <w:p w14:paraId="27610F44">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"_Toc215070333" </w:instrText>
      </w:r>
      <w:r>
        <w:fldChar w:fldCharType="separate"/>
      </w:r>
      <w:r>
        <w:rPr>
          <w:rStyle w:val="51"/>
          <w:rFonts w:hint="eastAsia"/>
        </w:rPr>
        <w:t>5.1.2本项目应重视的安全对策措施及建议</w:t>
      </w:r>
      <w:r>
        <w:rPr>
          <w:rFonts w:hint="eastAsia"/>
        </w:rPr>
        <w:tab/>
      </w:r>
      <w:r>
        <w:rPr>
          <w:rFonts w:hint="eastAsia"/>
        </w:rPr>
        <w:fldChar w:fldCharType="begin"/>
      </w:r>
      <w:r>
        <w:rPr>
          <w:rFonts w:hint="eastAsia"/>
        </w:rPr>
        <w:instrText xml:space="preserve"> </w:instrText>
      </w:r>
      <w:r>
        <w:instrText xml:space="preserve">PAGEREF _Toc215070333 \h</w:instrText>
      </w:r>
      <w:r>
        <w:rPr>
          <w:rFonts w:hint="eastAsia"/>
        </w:rPr>
        <w:instrText xml:space="preserve"> </w:instrText>
      </w:r>
      <w:r>
        <w:rPr>
          <w:rFonts w:hint="eastAsia"/>
        </w:rPr>
        <w:fldChar w:fldCharType="separate"/>
      </w:r>
      <w:r>
        <w:t>192</w:t>
      </w:r>
      <w:r>
        <w:rPr>
          <w:rFonts w:hint="eastAsia"/>
        </w:rPr>
        <w:fldChar w:fldCharType="end"/>
      </w:r>
      <w:r>
        <w:rPr>
          <w:rFonts w:hint="eastAsia"/>
        </w:rPr>
        <w:fldChar w:fldCharType="end"/>
      </w:r>
    </w:p>
    <w:p w14:paraId="51936471">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"_Toc215070334" </w:instrText>
      </w:r>
      <w:r>
        <w:fldChar w:fldCharType="separate"/>
      </w:r>
      <w:r>
        <w:rPr>
          <w:rStyle w:val="51"/>
          <w:rFonts w:hint="eastAsia"/>
        </w:rPr>
        <w:t>5.1.3下一步安全设施设计应重视得安全对策设施</w:t>
      </w:r>
      <w:r>
        <w:rPr>
          <w:rFonts w:hint="eastAsia"/>
        </w:rPr>
        <w:tab/>
      </w:r>
      <w:r>
        <w:rPr>
          <w:rFonts w:hint="eastAsia"/>
        </w:rPr>
        <w:fldChar w:fldCharType="begin"/>
      </w:r>
      <w:r>
        <w:rPr>
          <w:rFonts w:hint="eastAsia"/>
        </w:rPr>
        <w:instrText xml:space="preserve"> </w:instrText>
      </w:r>
      <w:r>
        <w:instrText xml:space="preserve">PAGEREF _Toc215070334 \h</w:instrText>
      </w:r>
      <w:r>
        <w:rPr>
          <w:rFonts w:hint="eastAsia"/>
        </w:rPr>
        <w:instrText xml:space="preserve"> </w:instrText>
      </w:r>
      <w:r>
        <w:rPr>
          <w:rFonts w:hint="eastAsia"/>
        </w:rPr>
        <w:fldChar w:fldCharType="separate"/>
      </w:r>
      <w:r>
        <w:t>194</w:t>
      </w:r>
      <w:r>
        <w:rPr>
          <w:rFonts w:hint="eastAsia"/>
        </w:rPr>
        <w:fldChar w:fldCharType="end"/>
      </w:r>
      <w:r>
        <w:rPr>
          <w:rFonts w:hint="eastAsia"/>
        </w:rPr>
        <w:fldChar w:fldCharType="end"/>
      </w:r>
    </w:p>
    <w:p w14:paraId="1E811A7F">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"_Toc215070335" </w:instrText>
      </w:r>
      <w:r>
        <w:fldChar w:fldCharType="separate"/>
      </w:r>
      <w:r>
        <w:rPr>
          <w:rStyle w:val="51"/>
          <w:rFonts w:hint="eastAsia"/>
        </w:rPr>
        <w:t>5.2评价结论</w:t>
      </w:r>
      <w:r>
        <w:rPr>
          <w:rFonts w:hint="eastAsia"/>
        </w:rPr>
        <w:tab/>
      </w:r>
      <w:r>
        <w:rPr>
          <w:rFonts w:hint="eastAsia"/>
        </w:rPr>
        <w:fldChar w:fldCharType="begin"/>
      </w:r>
      <w:r>
        <w:rPr>
          <w:rFonts w:hint="eastAsia"/>
        </w:rPr>
        <w:instrText xml:space="preserve"> </w:instrText>
      </w:r>
      <w:r>
        <w:instrText xml:space="preserve">PAGEREF _Toc215070335 \h</w:instrText>
      </w:r>
      <w:r>
        <w:rPr>
          <w:rFonts w:hint="eastAsia"/>
        </w:rPr>
        <w:instrText xml:space="preserve"> </w:instrText>
      </w:r>
      <w:r>
        <w:rPr>
          <w:rFonts w:hint="eastAsia"/>
        </w:rPr>
        <w:fldChar w:fldCharType="separate"/>
      </w:r>
      <w:r>
        <w:t>194</w:t>
      </w:r>
      <w:r>
        <w:rPr>
          <w:rFonts w:hint="eastAsia"/>
        </w:rPr>
        <w:fldChar w:fldCharType="end"/>
      </w:r>
      <w:r>
        <w:rPr>
          <w:rFonts w:hint="eastAsia"/>
        </w:rPr>
        <w:fldChar w:fldCharType="end"/>
      </w:r>
    </w:p>
    <w:p w14:paraId="59E22CA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"_Toc215070336" </w:instrText>
      </w:r>
      <w:r>
        <w:fldChar w:fldCharType="separate"/>
      </w:r>
      <w:r>
        <w:rPr>
          <w:rStyle w:val="51"/>
          <w:rFonts w:hint="eastAsia"/>
        </w:rPr>
        <w:t>6.附件附图</w:t>
      </w:r>
      <w:r>
        <w:rPr>
          <w:rFonts w:hint="eastAsia"/>
        </w:rPr>
        <w:tab/>
      </w:r>
      <w:r>
        <w:rPr>
          <w:rFonts w:hint="eastAsia"/>
        </w:rPr>
        <w:fldChar w:fldCharType="begin"/>
      </w:r>
      <w:r>
        <w:rPr>
          <w:rFonts w:hint="eastAsia"/>
        </w:rPr>
        <w:instrText xml:space="preserve"> </w:instrText>
      </w:r>
      <w:r>
        <w:instrText xml:space="preserve">PAGEREF _Toc215070336 \h</w:instrText>
      </w:r>
      <w:r>
        <w:rPr>
          <w:rFonts w:hint="eastAsia"/>
        </w:rPr>
        <w:instrText xml:space="preserve"> </w:instrText>
      </w:r>
      <w:r>
        <w:rPr>
          <w:rFonts w:hint="eastAsia"/>
        </w:rPr>
        <w:fldChar w:fldCharType="separate"/>
      </w:r>
      <w:r>
        <w:t>196</w:t>
      </w:r>
      <w:r>
        <w:rPr>
          <w:rFonts w:hint="eastAsia"/>
        </w:rPr>
        <w:fldChar w:fldCharType="end"/>
      </w:r>
      <w:r>
        <w:rPr>
          <w:rFonts w:hint="eastAsia"/>
        </w:rPr>
        <w:fldChar w:fldCharType="end"/>
      </w:r>
    </w:p>
    <w:p w14:paraId="54D75363">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"_Toc215070337" </w:instrText>
      </w:r>
      <w:r>
        <w:fldChar w:fldCharType="separate"/>
      </w:r>
      <w:r>
        <w:rPr>
          <w:rStyle w:val="51"/>
          <w:rFonts w:hint="eastAsia"/>
        </w:rPr>
        <w:t>6.1附件</w:t>
      </w:r>
      <w:r>
        <w:rPr>
          <w:rFonts w:hint="eastAsia"/>
        </w:rPr>
        <w:tab/>
      </w:r>
      <w:r>
        <w:rPr>
          <w:rFonts w:hint="eastAsia"/>
        </w:rPr>
        <w:fldChar w:fldCharType="begin"/>
      </w:r>
      <w:r>
        <w:rPr>
          <w:rFonts w:hint="eastAsia"/>
        </w:rPr>
        <w:instrText xml:space="preserve"> </w:instrText>
      </w:r>
      <w:r>
        <w:instrText xml:space="preserve">PAGEREF _Toc215070337 \h</w:instrText>
      </w:r>
      <w:r>
        <w:rPr>
          <w:rFonts w:hint="eastAsia"/>
        </w:rPr>
        <w:instrText xml:space="preserve"> </w:instrText>
      </w:r>
      <w:r>
        <w:rPr>
          <w:rFonts w:hint="eastAsia"/>
        </w:rPr>
        <w:fldChar w:fldCharType="separate"/>
      </w:r>
      <w:r>
        <w:t>196</w:t>
      </w:r>
      <w:r>
        <w:rPr>
          <w:rFonts w:hint="eastAsia"/>
        </w:rPr>
        <w:fldChar w:fldCharType="end"/>
      </w:r>
      <w:r>
        <w:rPr>
          <w:rFonts w:hint="eastAsia"/>
        </w:rPr>
        <w:fldChar w:fldCharType="end"/>
      </w:r>
    </w:p>
    <w:p w14:paraId="63A6E590">
      <w:pPr>
        <w:pStyle w:val="22"/>
        <w:tabs>
          <w:tab w:val="right" w:leader="dot" w:pos="9175"/>
        </w:tabs>
        <w:rPr>
          <w:rFonts w:hint="eastAsia" w:asciiTheme="minorHAnsi" w:hAnsiTheme="minorHAnsi" w:eastAsiaTheme="minorEastAsia" w:cstheme="minorBidi"/>
          <w:sz w:val="22"/>
          <w14:ligatures w14:val="standardContextual"/>
        </w:rPr>
      </w:pPr>
      <w:r>
        <w:fldChar w:fldCharType="begin"/>
      </w:r>
      <w:r>
        <w:instrText xml:space="preserve"> HYPERLINK \l "_Toc215070338" </w:instrText>
      </w:r>
      <w:r>
        <w:fldChar w:fldCharType="separate"/>
      </w:r>
      <w:r>
        <w:rPr>
          <w:rStyle w:val="51"/>
          <w:rFonts w:hint="eastAsia"/>
        </w:rPr>
        <w:t>6.2附图</w:t>
      </w:r>
      <w:r>
        <w:rPr>
          <w:rFonts w:hint="eastAsia"/>
        </w:rPr>
        <w:tab/>
      </w:r>
      <w:r>
        <w:rPr>
          <w:rFonts w:hint="eastAsia"/>
        </w:rPr>
        <w:fldChar w:fldCharType="begin"/>
      </w:r>
      <w:r>
        <w:rPr>
          <w:rFonts w:hint="eastAsia"/>
        </w:rPr>
        <w:instrText xml:space="preserve"> </w:instrText>
      </w:r>
      <w:r>
        <w:instrText xml:space="preserve">PAGEREF _Toc215070338 \h</w:instrText>
      </w:r>
      <w:r>
        <w:rPr>
          <w:rFonts w:hint="eastAsia"/>
        </w:rPr>
        <w:instrText xml:space="preserve"> </w:instrText>
      </w:r>
      <w:r>
        <w:rPr>
          <w:rFonts w:hint="eastAsia"/>
        </w:rPr>
        <w:fldChar w:fldCharType="separate"/>
      </w:r>
      <w:r>
        <w:t>197</w:t>
      </w:r>
      <w:r>
        <w:rPr>
          <w:rFonts w:hint="eastAsia"/>
        </w:rPr>
        <w:fldChar w:fldCharType="end"/>
      </w:r>
      <w:r>
        <w:rPr>
          <w:rFonts w:hint="eastAsia"/>
        </w:rPr>
        <w:fldChar w:fldCharType="end"/>
      </w:r>
    </w:p>
    <w:p w14:paraId="14C1B509">
      <w:pPr>
        <w:adjustRightInd w:val="0"/>
        <w:snapToGrid w:val="0"/>
        <w:spacing w:line="288" w:lineRule="auto"/>
        <w:ind w:firstLine="0" w:firstLineChars="0"/>
        <w:jc w:val="center"/>
        <w:rPr>
          <w:rFonts w:hint="eastAsia" w:ascii="宋体" w:hAnsi="宋体" w:cs="宋体"/>
          <w:bCs/>
          <w:szCs w:val="28"/>
        </w:rPr>
        <w:sectPr>
          <w:pgSz w:w="11906" w:h="16838"/>
          <w:pgMar w:top="1134" w:right="1134" w:bottom="1134" w:left="1587" w:header="850" w:footer="992" w:gutter="0"/>
          <w:pgNumType w:start="1"/>
          <w:cols w:space="720" w:num="1"/>
          <w:docGrid w:linePitch="381" w:charSpace="0"/>
        </w:sectPr>
      </w:pPr>
      <w:r>
        <w:rPr>
          <w:rFonts w:hint="eastAsia" w:ascii="宋体" w:hAnsi="宋体" w:cs="宋体"/>
          <w:bCs/>
          <w:szCs w:val="28"/>
        </w:rPr>
        <w:fldChar w:fldCharType="end"/>
      </w:r>
      <w:bookmarkStart w:id="3324" w:name="_GoBack"/>
      <w:bookmarkEnd w:id="3324"/>
    </w:p>
    <w:bookmarkEnd w:id="2"/>
    <w:bookmarkEnd w:id="3"/>
    <w:p w14:paraId="664AC713">
      <w:pPr>
        <w:pStyle w:val="3"/>
        <w:spacing w:before="480" w:after="240"/>
        <w:rPr>
          <w:rFonts w:hint="default"/>
        </w:rPr>
      </w:pPr>
      <w:bookmarkStart w:id="32" w:name="_Toc105675949"/>
      <w:bookmarkStart w:id="33" w:name="_Toc105730314"/>
      <w:bookmarkStart w:id="34" w:name="_Toc140123906"/>
      <w:bookmarkStart w:id="35" w:name="_Toc105675469"/>
      <w:bookmarkStart w:id="36" w:name="_Toc105674751"/>
      <w:bookmarkStart w:id="37" w:name="_Toc317240366"/>
      <w:bookmarkStart w:id="38" w:name="_Toc15892"/>
      <w:bookmarkStart w:id="39" w:name="_Toc15037"/>
      <w:bookmarkStart w:id="40" w:name="_Toc12963"/>
      <w:bookmarkStart w:id="41" w:name="_Toc12782"/>
      <w:bookmarkStart w:id="42" w:name="_Toc14371"/>
      <w:bookmarkStart w:id="43" w:name="_Toc392680643"/>
      <w:bookmarkStart w:id="44" w:name="_Toc18569"/>
      <w:bookmarkStart w:id="45" w:name="_Toc9353"/>
      <w:bookmarkStart w:id="46" w:name="_Toc11638"/>
      <w:bookmarkStart w:id="47" w:name="_Toc28327"/>
      <w:bookmarkStart w:id="48" w:name="_Toc18581"/>
      <w:bookmarkStart w:id="49" w:name="_Toc362"/>
      <w:bookmarkStart w:id="50" w:name="_Toc7257"/>
      <w:bookmarkStart w:id="51" w:name="_Toc11213"/>
      <w:bookmarkStart w:id="52" w:name="_Toc7628"/>
      <w:bookmarkStart w:id="53" w:name="_Toc215070127"/>
      <w:bookmarkStart w:id="54" w:name="_Toc7626"/>
      <w:bookmarkStart w:id="55" w:name="_Toc137793152"/>
      <w:bookmarkStart w:id="56" w:name="_Toc136168329"/>
      <w:bookmarkStart w:id="57" w:name="_Toc140123914"/>
      <w:bookmarkStart w:id="58" w:name="_Toc43191086"/>
      <w:bookmarkStart w:id="59" w:name="_Toc19930508"/>
      <w:bookmarkStart w:id="60" w:name="_Toc40432558"/>
      <w:bookmarkStart w:id="61" w:name="_Toc20043499"/>
      <w:bookmarkStart w:id="62" w:name="_Toc20114390"/>
      <w:bookmarkStart w:id="63" w:name="_Toc105674766"/>
      <w:bookmarkStart w:id="64" w:name="_Toc15189165"/>
      <w:bookmarkStart w:id="65" w:name="_Toc31434370"/>
      <w:bookmarkStart w:id="66" w:name="_Toc43199269"/>
      <w:bookmarkStart w:id="67" w:name="_Toc105675964"/>
      <w:bookmarkStart w:id="68" w:name="_Toc105675484"/>
      <w:bookmarkStart w:id="69" w:name="_Toc33409095"/>
      <w:bookmarkStart w:id="70" w:name="_Toc33343446"/>
      <w:bookmarkStart w:id="71" w:name="_Toc105730329"/>
      <w:bookmarkStart w:id="72" w:name="_Toc20114069"/>
      <w:bookmarkStart w:id="73" w:name="_Toc20114869"/>
      <w:bookmarkStart w:id="74" w:name="_Toc23944581"/>
      <w:r>
        <w:t>1.</w:t>
      </w:r>
      <w:bookmarkEnd w:id="32"/>
      <w:bookmarkEnd w:id="33"/>
      <w:bookmarkEnd w:id="34"/>
      <w:bookmarkEnd w:id="35"/>
      <w:bookmarkEnd w:id="36"/>
      <w:bookmarkEnd w:id="37"/>
      <w:r>
        <w:t>评价对象与依据</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DC41591">
      <w:pPr>
        <w:pStyle w:val="4"/>
        <w:spacing w:before="240" w:after="120"/>
      </w:pPr>
      <w:bookmarkStart w:id="75" w:name="_Toc7062"/>
      <w:bookmarkStart w:id="76" w:name="_Toc23458"/>
      <w:bookmarkStart w:id="77" w:name="_Toc2604"/>
      <w:bookmarkStart w:id="78" w:name="_Toc20977"/>
      <w:bookmarkStart w:id="79" w:name="_Toc12204"/>
      <w:bookmarkStart w:id="80" w:name="_Toc215070128"/>
      <w:bookmarkStart w:id="81" w:name="_Toc392680644"/>
      <w:bookmarkStart w:id="82" w:name="_Toc2999"/>
      <w:bookmarkStart w:id="83" w:name="_Toc27676"/>
      <w:bookmarkStart w:id="84" w:name="_Toc16202"/>
      <w:bookmarkStart w:id="85" w:name="_Toc32174"/>
      <w:bookmarkStart w:id="86" w:name="_Toc29560"/>
      <w:bookmarkStart w:id="87" w:name="_Toc10072"/>
      <w:bookmarkStart w:id="88" w:name="_Toc16301"/>
      <w:bookmarkStart w:id="89" w:name="_Toc22950"/>
      <w:bookmarkStart w:id="90" w:name="_Toc13929"/>
      <w:bookmarkStart w:id="91" w:name="_Toc105730315"/>
      <w:bookmarkStart w:id="92" w:name="_Toc317240367"/>
      <w:bookmarkStart w:id="93" w:name="_Toc105675950"/>
      <w:bookmarkStart w:id="94" w:name="_Toc105674752"/>
      <w:bookmarkStart w:id="95" w:name="_Toc105675470"/>
      <w:bookmarkStart w:id="96" w:name="_Toc105675481"/>
      <w:bookmarkStart w:id="97" w:name="_Toc105674763"/>
      <w:bookmarkStart w:id="98" w:name="_Toc105730326"/>
      <w:bookmarkStart w:id="99" w:name="_Toc105675961"/>
      <w:r>
        <w:rPr>
          <w:rFonts w:hint="eastAsia"/>
        </w:rPr>
        <w:t>1.1评价对象和范围</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67C4A92">
      <w:pPr>
        <w:ind w:firstLine="560"/>
        <w:rPr>
          <w:rFonts w:hint="eastAsia"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本次评价的对象为广南县旧莫小格达普通建筑石料用灰岩矿50万t/a露天采矿工程。</w:t>
      </w:r>
    </w:p>
    <w:p w14:paraId="29459649">
      <w:pPr>
        <w:pStyle w:val="17"/>
        <w:ind w:firstLine="56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2、本次评价范围为广南县旧莫小格达普通建筑石料用灰岩矿采矿</w:t>
      </w:r>
      <w:r>
        <w:rPr>
          <w:rFonts w:hint="eastAsia"/>
          <w:color w:val="000000" w:themeColor="text1"/>
          <w14:textFill>
            <w14:solidFill>
              <w14:schemeClr w14:val="tx1"/>
            </w14:solidFill>
          </w14:textFill>
        </w:rPr>
        <w:t>许可证允许范围内，经项目可行性研究报告所推荐范围内的露天采矿工程，具体包括露天采场、采矿工艺、开拓运输、总平面布置、周边环境、排土场、破碎站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防排水设施、供配电设施（主要为供水泵和机修车间用电设施）的安全设施以及安全管理等。</w:t>
      </w:r>
    </w:p>
    <w:p w14:paraId="6DA340CA">
      <w:pPr>
        <w:ind w:firstLine="560"/>
        <w:rPr>
          <w:color w:val="000000" w:themeColor="text1"/>
          <w14:textFill>
            <w14:solidFill>
              <w14:schemeClr w14:val="tx1"/>
            </w14:solidFill>
          </w14:textFill>
        </w:rPr>
      </w:pPr>
      <w:bookmarkStart w:id="100" w:name="_Hlk123908520"/>
      <w:r>
        <w:rPr>
          <w:color w:val="000000" w:themeColor="text1"/>
          <w14:textFill>
            <w14:solidFill>
              <w14:schemeClr w14:val="tx1"/>
            </w14:solidFill>
          </w14:textFill>
        </w:rPr>
        <w:t>凡涉及本项目的</w:t>
      </w:r>
      <w:r>
        <w:rPr>
          <w:rFonts w:hint="eastAsia"/>
          <w:color w:val="000000" w:themeColor="text1"/>
          <w14:textFill>
            <w14:solidFill>
              <w14:schemeClr w14:val="tx1"/>
            </w14:solidFill>
          </w14:textFill>
        </w:rPr>
        <w:t>炸药库及附属设施、爆破作业、</w:t>
      </w:r>
      <w:r>
        <w:rPr>
          <w:color w:val="000000" w:themeColor="text1"/>
          <w14:textFill>
            <w14:solidFill>
              <w14:schemeClr w14:val="tx1"/>
            </w14:solidFill>
          </w14:textFill>
        </w:rPr>
        <w:t>外部运输、</w:t>
      </w:r>
      <w:r>
        <w:rPr>
          <w:rFonts w:hint="eastAsia"/>
          <w:color w:val="000000" w:themeColor="text1"/>
          <w14:textFill>
            <w14:solidFill>
              <w14:schemeClr w14:val="tx1"/>
            </w14:solidFill>
          </w14:textFill>
        </w:rPr>
        <w:t>以及危险化学品、</w:t>
      </w:r>
      <w:r>
        <w:rPr>
          <w:color w:val="000000" w:themeColor="text1"/>
          <w14:textFill>
            <w14:solidFill>
              <w14:schemeClr w14:val="tx1"/>
            </w14:solidFill>
          </w14:textFill>
        </w:rPr>
        <w:t>职业病及防治、</w:t>
      </w:r>
      <w:r>
        <w:rPr>
          <w:rFonts w:hint="eastAsia"/>
          <w:color w:val="000000" w:themeColor="text1"/>
          <w14:textFill>
            <w14:solidFill>
              <w14:schemeClr w14:val="tx1"/>
            </w14:solidFill>
          </w14:textFill>
        </w:rPr>
        <w:t>消防、</w:t>
      </w:r>
      <w:r>
        <w:rPr>
          <w:color w:val="000000" w:themeColor="text1"/>
          <w14:textFill>
            <w14:solidFill>
              <w14:schemeClr w14:val="tx1"/>
            </w14:solidFill>
          </w14:textFill>
        </w:rPr>
        <w:t>环保、地质灾害评估问题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不在本次评价范围之内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但评价报告中会涉及到相关内容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企业应执行国家相关法律、法规、标准和规范要求</w:t>
      </w:r>
      <w:bookmarkEnd w:id="100"/>
      <w:r>
        <w:rPr>
          <w:rFonts w:hint="eastAsia"/>
          <w:color w:val="000000" w:themeColor="text1"/>
          <w14:textFill>
            <w14:solidFill>
              <w14:schemeClr w14:val="tx1"/>
            </w14:solidFill>
          </w14:textFill>
        </w:rPr>
        <w:t>。</w:t>
      </w:r>
    </w:p>
    <w:p w14:paraId="2AF97028">
      <w:pPr>
        <w:pStyle w:val="4"/>
        <w:spacing w:before="240" w:after="120" w:line="360" w:lineRule="auto"/>
        <w:rPr>
          <w:rFonts w:hint="eastAsia" w:ascii="黑体" w:hAnsi="黑体" w:cs="宋体"/>
          <w:color w:val="000000" w:themeColor="text1"/>
          <w:kern w:val="1"/>
          <w:sz w:val="28"/>
          <w:szCs w:val="22"/>
          <w14:textFill>
            <w14:solidFill>
              <w14:schemeClr w14:val="tx1"/>
            </w14:solidFill>
          </w14:textFill>
        </w:rPr>
      </w:pPr>
      <w:bookmarkStart w:id="101" w:name="_Toc22166"/>
      <w:bookmarkStart w:id="102" w:name="_Toc215070129"/>
      <w:bookmarkStart w:id="103" w:name="_Toc29520"/>
      <w:bookmarkStart w:id="104" w:name="_Toc9425"/>
      <w:bookmarkStart w:id="105" w:name="_Toc5794"/>
      <w:bookmarkStart w:id="106" w:name="_Toc28987"/>
      <w:bookmarkStart w:id="107" w:name="_Toc451447878"/>
      <w:r>
        <w:rPr>
          <w:rFonts w:ascii="黑体" w:hAnsi="黑体" w:cs="宋体"/>
          <w:color w:val="000000" w:themeColor="text1"/>
          <w:kern w:val="1"/>
          <w:sz w:val="28"/>
          <w:szCs w:val="22"/>
          <w14:textFill>
            <w14:solidFill>
              <w14:schemeClr w14:val="tx1"/>
            </w14:solidFill>
          </w14:textFill>
        </w:rPr>
        <w:t>1.2 预评价目的、内容</w:t>
      </w:r>
      <w:bookmarkEnd w:id="101"/>
      <w:bookmarkEnd w:id="102"/>
      <w:bookmarkEnd w:id="103"/>
      <w:bookmarkEnd w:id="104"/>
      <w:bookmarkEnd w:id="105"/>
      <w:bookmarkEnd w:id="106"/>
      <w:bookmarkEnd w:id="107"/>
    </w:p>
    <w:p w14:paraId="3E50823A">
      <w:pPr>
        <w:ind w:firstLine="560"/>
        <w:rPr>
          <w:rFonts w:hint="eastAsia" w:ascii="宋体" w:hAnsi="宋体" w:cs="宋体"/>
          <w:kern w:val="1"/>
        </w:rPr>
      </w:pPr>
      <w:r>
        <w:rPr>
          <w:rFonts w:hint="eastAsia" w:ascii="宋体" w:hAnsi="宋体" w:cs="宋体"/>
          <w:color w:val="000000" w:themeColor="text1"/>
          <w:kern w:val="1"/>
          <w14:textFill>
            <w14:solidFill>
              <w14:schemeClr w14:val="tx1"/>
            </w14:solidFill>
          </w14:textFill>
        </w:rPr>
        <w:t>1、</w:t>
      </w:r>
      <w:r>
        <w:rPr>
          <w:rFonts w:ascii="宋体" w:hAnsi="宋体" w:cs="宋体"/>
          <w:color w:val="000000" w:themeColor="text1"/>
          <w:kern w:val="1"/>
          <w14:textFill>
            <w14:solidFill>
              <w14:schemeClr w14:val="tx1"/>
            </w14:solidFill>
          </w14:textFill>
        </w:rPr>
        <w:t>预评价目的</w:t>
      </w:r>
      <w:r>
        <w:rPr>
          <w:rFonts w:hint="eastAsia" w:ascii="宋体" w:hAnsi="宋体" w:cs="宋体"/>
          <w:color w:val="000000" w:themeColor="text1"/>
          <w:kern w:val="1"/>
          <w14:textFill>
            <w14:solidFill>
              <w14:schemeClr w14:val="tx1"/>
            </w14:solidFill>
          </w14:textFill>
        </w:rPr>
        <w:t>：</w:t>
      </w:r>
      <w:r>
        <w:rPr>
          <w:rFonts w:ascii="宋体" w:hAnsi="宋体" w:cs="宋体"/>
          <w:color w:val="000000" w:themeColor="text1"/>
          <w:kern w:val="1"/>
          <w14:textFill>
            <w14:solidFill>
              <w14:schemeClr w14:val="tx1"/>
            </w14:solidFill>
          </w14:textFill>
        </w:rPr>
        <w:t>根据《</w:t>
      </w:r>
      <w:bookmarkStart w:id="108" w:name="OLE_LINK18"/>
      <w:r>
        <w:rPr>
          <w:rFonts w:hint="eastAsia" w:ascii="宋体" w:hAnsi="宋体" w:cs="宋体"/>
          <w:color w:val="000000" w:themeColor="text1"/>
          <w:kern w:val="1"/>
          <w14:textFill>
            <w14:solidFill>
              <w14:schemeClr w14:val="tx1"/>
            </w14:solidFill>
          </w14:textFill>
        </w:rPr>
        <w:t>广南县旧莫小格达普通建筑石料用灰岩矿50万t/a露天采矿工程</w:t>
      </w:r>
      <w:bookmarkEnd w:id="108"/>
      <w:r>
        <w:rPr>
          <w:rFonts w:hint="eastAsia" w:ascii="宋体" w:hAnsi="宋体" w:cs="宋体"/>
          <w:color w:val="000000" w:themeColor="text1"/>
          <w:kern w:val="1"/>
          <w14:textFill>
            <w14:solidFill>
              <w14:schemeClr w14:val="tx1"/>
            </w14:solidFill>
          </w14:textFill>
        </w:rPr>
        <w:t>可行性研究报告</w:t>
      </w:r>
      <w:r>
        <w:rPr>
          <w:rFonts w:ascii="宋体" w:hAnsi="宋体" w:cs="宋体"/>
          <w:color w:val="000000" w:themeColor="text1"/>
          <w:kern w:val="1"/>
          <w14:textFill>
            <w14:solidFill>
              <w14:schemeClr w14:val="tx1"/>
            </w14:solidFill>
          </w14:textFill>
        </w:rPr>
        <w:t>》等技术资料，辨识与分析评价该露天开采</w:t>
      </w:r>
      <w:r>
        <w:rPr>
          <w:rFonts w:hint="eastAsia" w:ascii="宋体" w:hAnsi="宋体" w:cs="宋体"/>
          <w:color w:val="000000" w:themeColor="text1"/>
          <w:kern w:val="1"/>
          <w14:textFill>
            <w14:solidFill>
              <w14:schemeClr w14:val="tx1"/>
            </w14:solidFill>
          </w14:textFill>
        </w:rPr>
        <w:t>扩建项目</w:t>
      </w:r>
      <w:r>
        <w:rPr>
          <w:rFonts w:ascii="宋体" w:hAnsi="宋体" w:cs="宋体"/>
          <w:color w:val="000000" w:themeColor="text1"/>
          <w:kern w:val="1"/>
          <w14:textFill>
            <w14:solidFill>
              <w14:schemeClr w14:val="tx1"/>
            </w14:solidFill>
          </w14:textFill>
        </w:rPr>
        <w:t>投产运行后在运行过程中存在的主要危险有害因素及其可能导致发生事故的诱发因素，辨识、分析该项</w:t>
      </w:r>
      <w:r>
        <w:rPr>
          <w:rFonts w:ascii="宋体" w:hAnsi="宋体" w:cs="宋体"/>
          <w:kern w:val="1"/>
        </w:rPr>
        <w:t>目存在的危险有害因素预防与控制措施的可靠性，以及有关安全生产法律、法规、规章、规范性文件和标准的符合性，预测发生事故的可能性及严重程度，提出消除危险和危害的安全对策措施及建议，使建设项目的安全管理由事后处置变为事先预测和预防，以实现评价对象的本质安全。</w:t>
      </w:r>
    </w:p>
    <w:p w14:paraId="31A0C0CA">
      <w:pPr>
        <w:adjustRightInd w:val="0"/>
        <w:snapToGrid w:val="0"/>
        <w:ind w:firstLine="560"/>
        <w:rPr>
          <w:rFonts w:hint="eastAsia" w:ascii="宋体" w:hAnsi="宋体" w:cs="宋体"/>
          <w:color w:val="000000" w:themeColor="text1"/>
          <w:kern w:val="1"/>
          <w14:textFill>
            <w14:solidFill>
              <w14:schemeClr w14:val="tx1"/>
            </w14:solidFill>
          </w14:textFill>
        </w:rPr>
      </w:pPr>
      <w:r>
        <w:rPr>
          <w:rFonts w:hint="eastAsia" w:ascii="宋体" w:hAnsi="宋体" w:cs="宋体"/>
          <w:color w:val="000000" w:themeColor="text1"/>
          <w:kern w:val="1"/>
          <w14:textFill>
            <w14:solidFill>
              <w14:schemeClr w14:val="tx1"/>
            </w14:solidFill>
          </w14:textFill>
        </w:rPr>
        <w:t>2、</w:t>
      </w:r>
      <w:r>
        <w:rPr>
          <w:rFonts w:ascii="宋体" w:hAnsi="宋体" w:cs="宋体"/>
          <w:color w:val="000000" w:themeColor="text1"/>
          <w:kern w:val="1"/>
          <w14:textFill>
            <w14:solidFill>
              <w14:schemeClr w14:val="tx1"/>
            </w14:solidFill>
          </w14:textFill>
        </w:rPr>
        <w:t>安全预评价的主要内容包括：</w:t>
      </w:r>
    </w:p>
    <w:p w14:paraId="7F10D76D">
      <w:pPr>
        <w:adjustRightInd w:val="0"/>
        <w:snapToGrid w:val="0"/>
        <w:ind w:firstLine="560"/>
        <w:rPr>
          <w:rFonts w:hint="eastAsia" w:ascii="宋体" w:hAnsi="宋体" w:cs="宋体"/>
          <w:kern w:val="1"/>
        </w:rPr>
      </w:pPr>
      <w:r>
        <w:rPr>
          <w:rFonts w:hint="eastAsia" w:ascii="宋体" w:hAnsi="宋体" w:cs="宋体"/>
          <w:color w:val="000000" w:themeColor="text1"/>
          <w:kern w:val="1"/>
          <w14:textFill>
            <w14:solidFill>
              <w14:schemeClr w14:val="tx1"/>
            </w14:solidFill>
          </w14:textFill>
        </w:rPr>
        <w:t>（1）</w:t>
      </w:r>
      <w:r>
        <w:rPr>
          <w:rFonts w:ascii="宋体" w:hAnsi="宋体" w:cs="宋体"/>
          <w:color w:val="000000" w:themeColor="text1"/>
          <w:kern w:val="1"/>
          <w14:textFill>
            <w14:solidFill>
              <w14:schemeClr w14:val="tx1"/>
            </w14:solidFill>
          </w14:textFill>
        </w:rPr>
        <w:t>辨识建设项目投产运行后在运行过程中存在的</w:t>
      </w:r>
      <w:r>
        <w:rPr>
          <w:rFonts w:ascii="宋体" w:hAnsi="宋体" w:cs="宋体"/>
          <w:kern w:val="1"/>
        </w:rPr>
        <w:t>主要危险有害因素，并分析其可能导致发生事故的诱发因素、可能性及严重程度。</w:t>
      </w:r>
    </w:p>
    <w:p w14:paraId="44256CD4">
      <w:pPr>
        <w:adjustRightInd w:val="0"/>
        <w:snapToGrid w:val="0"/>
        <w:ind w:firstLine="560"/>
        <w:rPr>
          <w:rFonts w:hint="eastAsia" w:ascii="宋体" w:hAnsi="宋体" w:cs="宋体"/>
          <w:kern w:val="1"/>
        </w:rPr>
      </w:pPr>
      <w:r>
        <w:rPr>
          <w:rFonts w:hint="eastAsia" w:ascii="宋体" w:hAnsi="宋体" w:cs="宋体"/>
          <w:kern w:val="1"/>
        </w:rPr>
        <w:t>（2）</w:t>
      </w:r>
      <w:r>
        <w:rPr>
          <w:rFonts w:ascii="宋体" w:hAnsi="宋体" w:cs="宋体"/>
          <w:kern w:val="1"/>
        </w:rPr>
        <w:t>提出消除未受控危险有害因素的安全对策措施及建议。</w:t>
      </w:r>
    </w:p>
    <w:p w14:paraId="6ACCE125">
      <w:pPr>
        <w:adjustRightInd w:val="0"/>
        <w:snapToGrid w:val="0"/>
        <w:ind w:firstLine="560"/>
        <w:rPr>
          <w:rFonts w:hint="eastAsia" w:ascii="宋体" w:hAnsi="宋体" w:cs="宋体"/>
          <w:kern w:val="1"/>
        </w:rPr>
      </w:pPr>
      <w:r>
        <w:rPr>
          <w:rFonts w:hint="eastAsia" w:ascii="宋体" w:hAnsi="宋体" w:cs="宋体"/>
          <w:kern w:val="1"/>
        </w:rPr>
        <w:t>（3）作出安全预评价结论。</w:t>
      </w:r>
    </w:p>
    <w:bookmarkEnd w:id="91"/>
    <w:bookmarkEnd w:id="92"/>
    <w:bookmarkEnd w:id="93"/>
    <w:bookmarkEnd w:id="94"/>
    <w:bookmarkEnd w:id="95"/>
    <w:p w14:paraId="50E64A5E">
      <w:pPr>
        <w:pStyle w:val="4"/>
        <w:spacing w:before="240" w:after="120"/>
      </w:pPr>
      <w:bookmarkStart w:id="109" w:name="_Toc28992"/>
      <w:bookmarkStart w:id="110" w:name="_Toc4899"/>
      <w:bookmarkStart w:id="111" w:name="_Toc20049"/>
      <w:bookmarkStart w:id="112" w:name="_Toc13952"/>
      <w:bookmarkStart w:id="113" w:name="_Toc31888"/>
      <w:bookmarkStart w:id="114" w:name="_Toc19170"/>
      <w:bookmarkStart w:id="115" w:name="_Toc29531"/>
      <w:bookmarkStart w:id="116" w:name="_Toc105730316"/>
      <w:bookmarkStart w:id="117" w:name="_Toc317240368"/>
      <w:bookmarkStart w:id="118" w:name="_Toc105674753"/>
      <w:bookmarkStart w:id="119" w:name="_Toc7770"/>
      <w:bookmarkStart w:id="120" w:name="_Toc18858"/>
      <w:bookmarkStart w:id="121" w:name="_Toc7306"/>
      <w:bookmarkStart w:id="122" w:name="_Toc105675951"/>
      <w:bookmarkStart w:id="123" w:name="_Toc17908"/>
      <w:bookmarkStart w:id="124" w:name="_Toc6079"/>
      <w:bookmarkStart w:id="125" w:name="_Toc3634"/>
      <w:bookmarkStart w:id="126" w:name="_Toc105675471"/>
      <w:bookmarkStart w:id="127" w:name="_Toc215070130"/>
      <w:bookmarkStart w:id="128" w:name="_Toc392680648"/>
      <w:bookmarkStart w:id="129" w:name="_Toc30803"/>
      <w:r>
        <w:rPr>
          <w:rFonts w:hint="eastAsia"/>
        </w:rPr>
        <w:t>1.3评价依据</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DBFD0CA">
      <w:pPr>
        <w:pStyle w:val="5"/>
        <w:spacing w:after="120"/>
      </w:pPr>
      <w:bookmarkStart w:id="130" w:name="_Toc215070131"/>
      <w:bookmarkStart w:id="131" w:name="_Toc137793145"/>
      <w:bookmarkStart w:id="132" w:name="_Toc31534"/>
      <w:bookmarkStart w:id="133" w:name="_Toc105674754"/>
      <w:bookmarkStart w:id="134" w:name="_Toc13416"/>
      <w:bookmarkStart w:id="135" w:name="_Toc154134180"/>
      <w:bookmarkStart w:id="136" w:name="_Toc15381"/>
      <w:bookmarkStart w:id="137" w:name="_Toc16063"/>
      <w:bookmarkStart w:id="138" w:name="_Toc140123907"/>
      <w:bookmarkStart w:id="139" w:name="_Toc17037"/>
      <w:bookmarkStart w:id="140" w:name="_Toc481"/>
      <w:bookmarkStart w:id="141" w:name="_Toc181368036"/>
      <w:bookmarkStart w:id="142" w:name="_Toc105730317"/>
      <w:bookmarkStart w:id="143" w:name="_Toc105675472"/>
      <w:bookmarkStart w:id="144" w:name="_Toc105675952"/>
      <w:bookmarkStart w:id="145" w:name="_Toc9432"/>
      <w:bookmarkStart w:id="146" w:name="_Toc17104"/>
      <w:bookmarkStart w:id="147" w:name="_Toc1349"/>
      <w:bookmarkStart w:id="148" w:name="_Toc1237"/>
      <w:bookmarkStart w:id="149" w:name="_Toc105675475"/>
      <w:bookmarkStart w:id="150" w:name="_Toc105675955"/>
      <w:bookmarkStart w:id="151" w:name="_Toc105730320"/>
      <w:bookmarkStart w:id="152" w:name="_Toc105674757"/>
      <w:bookmarkStart w:id="153" w:name="_Toc317240373"/>
      <w:bookmarkStart w:id="154" w:name="_Toc137793148"/>
      <w:bookmarkStart w:id="155" w:name="_Toc140123910"/>
      <w:r>
        <w:rPr>
          <w:rFonts w:hint="eastAsia"/>
        </w:rPr>
        <w:t>1.3.1国家法律</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2B9AAA7">
      <w:pPr>
        <w:ind w:firstLine="560"/>
      </w:pPr>
      <w:bookmarkStart w:id="156" w:name="_Toc317723849"/>
      <w:bookmarkStart w:id="157" w:name="_Toc303360059"/>
      <w:bookmarkStart w:id="158" w:name="_Toc356559521"/>
      <w:bookmarkStart w:id="159" w:name="_Toc366667894"/>
      <w:bookmarkStart w:id="160" w:name="_Toc27258"/>
      <w:bookmarkStart w:id="161" w:name="_Toc363672502"/>
      <w:bookmarkStart w:id="162" w:name="_Toc22411"/>
      <w:r>
        <w:rPr>
          <w:rFonts w:hint="eastAsia"/>
        </w:rPr>
        <w:t>1、《中华人民共和国水污染防治法》（1984年5月11日第六届全国人民代表大会常务委员会第五次会议通过；1996年5月15日第八届全国人民代表大会常务委员会第十九次会议第一次修正；2008年2月28日第十届全国人民代表大会常务委员会第三十二次会议修订；2017年6月27日第十二届全国人民代表大会常务委员会第二十八次会议第二次修正）；</w:t>
      </w:r>
    </w:p>
    <w:p w14:paraId="17D49745">
      <w:pPr>
        <w:ind w:firstLine="560"/>
      </w:pPr>
      <w:r>
        <w:rPr>
          <w:rFonts w:hint="eastAsia"/>
        </w:rPr>
        <w:t>2、《中华人民共和国矿产资源法》（1986年3月19日第六届全国人民代表大会常务委员会第十五次会议通过，自1986年10月1日起施行。由中华人民共和国第十四届全国人民代表大会常务委员会第十二次会议于2024年11月8日第3次修订通过，自2025年7月1日起施行）；</w:t>
      </w:r>
    </w:p>
    <w:p w14:paraId="51BBFA4C">
      <w:pPr>
        <w:ind w:firstLine="560"/>
      </w:pPr>
      <w:r>
        <w:rPr>
          <w:rFonts w:hint="eastAsia"/>
        </w:rPr>
        <w:t>3、《中华人民共和国环境保护法》（1989年12月26日第七届全国人民代表大会常务委员会第十一次会议通过，2014年4月24日第十二届全国人民代表大会常务委员会第八次会议修订，2015年1月1日起施行）；</w:t>
      </w:r>
    </w:p>
    <w:p w14:paraId="337E1359">
      <w:pPr>
        <w:ind w:firstLine="560"/>
      </w:pPr>
      <w:r>
        <w:rPr>
          <w:rFonts w:hint="eastAsia"/>
        </w:rPr>
        <w:t>4、《中华人民共和国水土保持法》（1991年6月29日第七届全国人民代表大会常务委员会第二十次会议通过；2010年12月25日第十一届全国人民代表大会常务委员会第十八次会议修订，自2011年3月1日起施行）；</w:t>
      </w:r>
    </w:p>
    <w:p w14:paraId="06B8F9BA">
      <w:pPr>
        <w:ind w:firstLine="560"/>
      </w:pPr>
      <w:r>
        <w:rPr>
          <w:rFonts w:hint="eastAsia"/>
        </w:rPr>
        <w:t>5、《中华人民共和国矿山安全法》(中华人民共和国主席令第十八号，2009年8月27日《全国人民代表大会常务委员会关于修改部分法律的决定》修正并公布，自公布之日起施行）；</w:t>
      </w:r>
    </w:p>
    <w:p w14:paraId="0151177C">
      <w:pPr>
        <w:ind w:firstLine="560"/>
      </w:pPr>
      <w:r>
        <w:rPr>
          <w:rFonts w:hint="eastAsia"/>
        </w:rPr>
        <w:t>6、《中华人民共和国劳动法》（1994年7月5日第八届全国人民代表大会常务委员会第八次会议通过施行，2009年8月27日第十一届全国人民代表大会常务委员会第十次会议第一次修正；2018年12月29日第十三届全国人民代表大会常务委员会第七次会议关于修改；第二次修正施行）；</w:t>
      </w:r>
    </w:p>
    <w:p w14:paraId="1EFEAB64">
      <w:pPr>
        <w:ind w:firstLine="560"/>
        <w:rPr>
          <w:rFonts w:hint="eastAsia" w:ascii="宋体" w:hAnsi="宋体" w:cs="宋体"/>
          <w:color w:val="333333"/>
          <w:szCs w:val="28"/>
          <w:shd w:val="clear" w:color="auto" w:fill="FFFFFF"/>
        </w:rPr>
      </w:pPr>
      <w:r>
        <w:rPr>
          <w:rFonts w:hint="eastAsia" w:ascii="宋体" w:hAnsi="宋体" w:cs="宋体"/>
          <w:color w:val="000000"/>
          <w:szCs w:val="28"/>
        </w:rPr>
        <w:t>7、《中华人民共和国电力法》</w:t>
      </w:r>
      <w:r>
        <w:rPr>
          <w:rFonts w:hint="eastAsia" w:ascii="宋体" w:hAnsi="宋体" w:cs="宋体"/>
          <w:color w:val="333333"/>
          <w:szCs w:val="28"/>
          <w:shd w:val="clear" w:color="auto" w:fill="FFFFFF"/>
        </w:rPr>
        <w:t>（1995年12月28日第八届全国人民代表大会常务委员会第十七次会议通过；2009年8月27日第十一届全国人民代表大会常务委员会第十次会议第一次修正；2015年4月24日第十二届全国人民代表大会常务委员会第十四次会议第二次修正；2018年12月29日第十三届全国人民代表大会常务委员会第七次会议《第三次修正）；</w:t>
      </w:r>
    </w:p>
    <w:p w14:paraId="2B01EFC6">
      <w:pPr>
        <w:ind w:firstLine="560"/>
      </w:pPr>
      <w:r>
        <w:rPr>
          <w:rFonts w:hint="eastAsia" w:ascii="宋体" w:hAnsi="宋体" w:cs="宋体"/>
          <w:color w:val="000000"/>
          <w:szCs w:val="28"/>
        </w:rPr>
        <w:t>8、《中华人民共和国防洪法》（</w:t>
      </w:r>
      <w:r>
        <w:rPr>
          <w:rFonts w:hint="eastAsia" w:ascii="宋体" w:hAnsi="宋体" w:cs="宋体"/>
          <w:color w:val="333333"/>
          <w:szCs w:val="28"/>
          <w:shd w:val="clear" w:color="auto" w:fill="FFFFFF"/>
        </w:rPr>
        <w:t>中华人民共和国主席令第</w:t>
      </w:r>
      <w:r>
        <w:rPr>
          <w:rFonts w:hint="eastAsia" w:ascii="宋体" w:hAnsi="宋体" w:cs="宋体"/>
          <w:szCs w:val="28"/>
          <w:shd w:val="clear" w:color="auto" w:fill="FFFFFF"/>
        </w:rPr>
        <w:t>八十八</w:t>
      </w:r>
      <w:r>
        <w:rPr>
          <w:rFonts w:hint="eastAsia" w:ascii="宋体" w:hAnsi="宋体" w:cs="宋体"/>
          <w:color w:val="333333"/>
          <w:szCs w:val="28"/>
          <w:shd w:val="clear" w:color="auto" w:fill="FFFFFF"/>
        </w:rPr>
        <w:t>号公布，自1998年1月1日起施行；2009年8月27日第十一届全国人民代表大会常务委员会第十次会议第一次修订；2015年4月24日第十二届全</w:t>
      </w:r>
      <w:r>
        <w:rPr>
          <w:rFonts w:hint="eastAsia"/>
        </w:rPr>
        <w:t>国人民代表大会常务委员会第十四次会议第二次修订；2016年7月2日第十二届全国人民代表大会常务委员会第二十一次会议修改）；</w:t>
      </w:r>
    </w:p>
    <w:p w14:paraId="0458591C">
      <w:pPr>
        <w:ind w:firstLine="560"/>
      </w:pPr>
      <w:r>
        <w:rPr>
          <w:rFonts w:hint="eastAsia"/>
        </w:rPr>
        <w:t>9、《中华人民共和国消防法》（1998年4月29日第九届全国人民代表大会常务委员会第二次会议通过；2008年10月28日第十一届全国人民代表大会常务委员会第五次会议修订；2019年4月23日第十三届全国人民代表大会常务委员会第十次会议第一次修正；2021年4月29日第十三届全国人民代表大会常务委员会第二十八次会议第二次修正施行）；</w:t>
      </w:r>
    </w:p>
    <w:p w14:paraId="4C5F3EA8">
      <w:pPr>
        <w:ind w:firstLine="560"/>
      </w:pPr>
      <w:r>
        <w:rPr>
          <w:rFonts w:hint="eastAsia"/>
        </w:rPr>
        <w:t>10、《中华人民共和国气象法》（1999年10月31日第九届全国人民代表大会常务委员会第十二次会议通过；2009年8月27日第十一届全国人民代表大会常务委员会第一次修正；2014年8月31日第十二届全国人民代表大会常务委员会第二次修正；2016年11月7日第十二届全国人民代表大会常务委员会第二十四次会议第三次修正）；</w:t>
      </w:r>
    </w:p>
    <w:p w14:paraId="7CF38D0E">
      <w:pPr>
        <w:ind w:firstLine="560"/>
      </w:pPr>
      <w:r>
        <w:rPr>
          <w:rFonts w:hint="eastAsia"/>
        </w:rPr>
        <w:t>11、《中华人民共和国安全生产法》（</w:t>
      </w:r>
      <w:r>
        <w:rPr>
          <w:rFonts w:hint="eastAsia" w:ascii="宋体" w:hAnsi="宋体" w:cs="宋体"/>
          <w:szCs w:val="28"/>
          <w:shd w:val="clear" w:color="auto" w:fill="FFFFFF"/>
        </w:rPr>
        <w:t>中华人民共和国主席令第八十八号，</w:t>
      </w:r>
      <w:r>
        <w:rPr>
          <w:rFonts w:hint="eastAsia"/>
        </w:rPr>
        <w:t>2021年6月10日中华人民共和国第十三届全国人民代表大会常务委员会第二十九次会议于通过第三次修正，自2021年9月1日起施行）；</w:t>
      </w:r>
    </w:p>
    <w:p w14:paraId="26774853">
      <w:pPr>
        <w:ind w:firstLine="560"/>
      </w:pPr>
      <w:r>
        <w:rPr>
          <w:rFonts w:hint="eastAsia"/>
        </w:rPr>
        <w:t>12、《中华人民共和国劳动合同法》（2007年6月29日第十届全国人民代表大会常务委员会第二十八次会议通过施行；2012年12月28日第十一届全国人民代表大会常务委员会第三十次会议修正，自2013年7月1日起施行）；</w:t>
      </w:r>
    </w:p>
    <w:p w14:paraId="491E63E8">
      <w:pPr>
        <w:ind w:firstLine="560"/>
      </w:pPr>
      <w:r>
        <w:rPr>
          <w:rFonts w:hint="eastAsia"/>
        </w:rPr>
        <w:t>13、《中华人民共和国突发事件应对法》（</w:t>
      </w:r>
      <w:r>
        <w:t>中华人民共和国主席令第二十五号</w:t>
      </w:r>
      <w:r>
        <w:rPr>
          <w:rFonts w:hint="eastAsia"/>
        </w:rPr>
        <w:t>，2024年6月28日第十四届全国人民代表大会常务委员会第十次会议修订并公布，自2024年11月1日起施行）。</w:t>
      </w:r>
    </w:p>
    <w:p w14:paraId="2DEB8743">
      <w:pPr>
        <w:ind w:firstLine="560"/>
      </w:pPr>
      <w:r>
        <w:rPr>
          <w:rFonts w:hint="eastAsia"/>
        </w:rPr>
        <w:t>14、</w:t>
      </w:r>
      <w:r>
        <w:rPr>
          <w:rFonts w:hint="eastAsia"/>
          <w:lang w:val="zh-TW" w:eastAsia="zh-TW"/>
        </w:rPr>
        <w:t>《中华人民共和国</w:t>
      </w:r>
      <w:r>
        <w:rPr>
          <w:rFonts w:hint="eastAsia"/>
        </w:rPr>
        <w:t>民法典</w:t>
      </w:r>
      <w:r>
        <w:rPr>
          <w:rFonts w:hint="eastAsia"/>
          <w:lang w:val="zh-TW" w:eastAsia="zh-TW"/>
        </w:rPr>
        <w:t>》（</w:t>
      </w:r>
      <w:r>
        <w:rPr>
          <w:rFonts w:hint="eastAsia"/>
        </w:rPr>
        <w:t>中华人民共和国主席令第四十五号，2020年5月28日十三届全国人大三次会议表决通过，自2021年1月1日起施行。）</w:t>
      </w:r>
    </w:p>
    <w:p w14:paraId="3FB0CFDC">
      <w:pPr>
        <w:ind w:firstLine="560"/>
      </w:pPr>
      <w:r>
        <w:rPr>
          <w:rFonts w:hint="eastAsia"/>
        </w:rPr>
        <w:t>1</w:t>
      </w:r>
      <w:r>
        <w:rPr>
          <w:rFonts w:hint="eastAsia"/>
          <w:lang w:val="zh-TW"/>
        </w:rPr>
        <w:t>5、</w:t>
      </w:r>
      <w:r>
        <w:rPr>
          <w:rFonts w:hint="eastAsia"/>
          <w:lang w:val="zh-TW" w:eastAsia="zh-TW"/>
        </w:rPr>
        <w:t>《中华人民共和国</w:t>
      </w:r>
      <w:r>
        <w:rPr>
          <w:rFonts w:hint="eastAsia"/>
        </w:rPr>
        <w:t>噪声污染防治</w:t>
      </w:r>
      <w:r>
        <w:rPr>
          <w:rFonts w:hint="eastAsia"/>
          <w:lang w:val="zh-TW" w:eastAsia="zh-TW"/>
        </w:rPr>
        <w:t>法》</w:t>
      </w:r>
      <w:r>
        <w:rPr>
          <w:rFonts w:hint="eastAsia"/>
          <w:lang w:val="zh-TW"/>
        </w:rPr>
        <w:t>（</w:t>
      </w:r>
      <w:r>
        <w:t>中华人民共和国主席令第一〇四号</w:t>
      </w:r>
      <w:r>
        <w:rPr>
          <w:rFonts w:hint="eastAsia"/>
        </w:rPr>
        <w:t>，2021年12月24日中华人民共和国第十三届全国人民代表大会常务委员会第三十二次会议通过，自2022年6月5日起施行）；</w:t>
      </w:r>
    </w:p>
    <w:p w14:paraId="7D22FF70">
      <w:pPr>
        <w:pStyle w:val="5"/>
        <w:spacing w:after="120"/>
      </w:pPr>
      <w:bookmarkStart w:id="163" w:name="_Toc1681"/>
      <w:bookmarkStart w:id="164" w:name="_Toc30514"/>
      <w:bookmarkStart w:id="165" w:name="_Toc1475"/>
      <w:bookmarkStart w:id="166" w:name="_Toc9673"/>
      <w:bookmarkStart w:id="167" w:name="_Toc215070132"/>
      <w:bookmarkStart w:id="168" w:name="_Toc22767"/>
      <w:bookmarkStart w:id="169" w:name="_Toc28131"/>
      <w:bookmarkStart w:id="170" w:name="_Toc9455"/>
      <w:bookmarkStart w:id="171" w:name="_Toc113"/>
      <w:bookmarkStart w:id="172" w:name="_Toc12885"/>
      <w:bookmarkStart w:id="173" w:name="_Toc2539"/>
      <w:bookmarkStart w:id="174" w:name="_Toc12331"/>
      <w:r>
        <w:rPr>
          <w:rFonts w:hint="eastAsia"/>
        </w:rPr>
        <w:t>1.3.2行政法规</w:t>
      </w:r>
      <w:bookmarkEnd w:id="163"/>
      <w:bookmarkEnd w:id="164"/>
      <w:bookmarkEnd w:id="165"/>
      <w:bookmarkEnd w:id="166"/>
      <w:bookmarkEnd w:id="167"/>
      <w:bookmarkEnd w:id="168"/>
      <w:bookmarkEnd w:id="169"/>
      <w:bookmarkEnd w:id="170"/>
      <w:bookmarkEnd w:id="171"/>
      <w:bookmarkEnd w:id="172"/>
      <w:bookmarkEnd w:id="173"/>
      <w:bookmarkEnd w:id="174"/>
    </w:p>
    <w:p w14:paraId="42AE67B2">
      <w:pPr>
        <w:ind w:firstLine="560"/>
      </w:pPr>
      <w:r>
        <w:fldChar w:fldCharType="begin"/>
      </w:r>
      <w:r>
        <w:instrText xml:space="preserve"> </w:instrText>
      </w:r>
      <w:r>
        <w:rPr>
          <w:rFonts w:hint="eastAsia"/>
        </w:rPr>
        <w:instrText xml:space="preserve">= 1 \* Arabic</w:instrText>
      </w:r>
      <w:r>
        <w:instrText xml:space="preserve"> </w:instrText>
      </w:r>
      <w:r>
        <w:fldChar w:fldCharType="separate"/>
      </w:r>
      <w:r>
        <w:t>1</w:t>
      </w:r>
      <w:r>
        <w:fldChar w:fldCharType="end"/>
      </w:r>
      <w:r>
        <w:rPr>
          <w:rFonts w:hint="eastAsia"/>
        </w:rPr>
        <w:t>、《电力设施保护条例》（国务院令第588号，根据2011年1月8日</w:t>
      </w:r>
      <w:r>
        <w:t>《</w:t>
      </w:r>
      <w:r>
        <w:fldChar w:fldCharType="begin"/>
      </w:r>
      <w:r>
        <w:instrText xml:space="preserve"> HYPERLINK "https://baike.baidu.com/item/%E5%9B%BD%E5%8A%A1%E9%99%A2/343590?fromModule=lemma_inlink" \t "https://baike.baidu.com/item/%E5%9B%BD%E5%8A%A1%E9%99%A2%E5%85%B3%E4%BA%8E%E5%BA%9F%E6%AD%A2%E5%92%8C%E4%BF%AE%E6%94%B9%E9%83%A8%E5%88%86%E8%A1%8C%E6%94%BF%E6%B3%95%E8%A7%84%E7%9A%84%E5%86%B3%E5%AE%9A/_blank" </w:instrText>
      </w:r>
      <w:r>
        <w:fldChar w:fldCharType="separate"/>
      </w:r>
      <w:r>
        <w:rPr>
          <w:rStyle w:val="51"/>
          <w:rFonts w:ascii="Helvetica" w:hAnsi="Helvetica" w:eastAsia="Helvetica" w:cs="Helvetica"/>
          <w:color w:val="auto"/>
          <w:szCs w:val="21"/>
          <w:u w:val="none"/>
          <w:shd w:val="clear" w:color="auto" w:fill="FFFFFF"/>
        </w:rPr>
        <w:t>国务院</w:t>
      </w:r>
      <w:r>
        <w:rPr>
          <w:rStyle w:val="51"/>
          <w:rFonts w:ascii="Helvetica" w:hAnsi="Helvetica" w:eastAsia="Helvetica" w:cs="Helvetica"/>
          <w:color w:val="auto"/>
          <w:szCs w:val="21"/>
          <w:u w:val="none"/>
          <w:shd w:val="clear" w:color="auto" w:fill="FFFFFF"/>
        </w:rPr>
        <w:fldChar w:fldCharType="end"/>
      </w:r>
      <w:r>
        <w:t>关于废止和修改部分行政法规的决定》</w:t>
      </w:r>
      <w:r>
        <w:rPr>
          <w:rFonts w:hint="eastAsia"/>
        </w:rPr>
        <w:t>第二次修订并施行）；</w:t>
      </w:r>
    </w:p>
    <w:p w14:paraId="37CCE2D1">
      <w:pPr>
        <w:adjustRightInd w:val="0"/>
        <w:snapToGrid w:val="0"/>
        <w:ind w:firstLine="560"/>
        <w:rPr>
          <w:rFonts w:hint="eastAsia" w:ascii="宋体" w:hAnsi="宋体"/>
        </w:rPr>
      </w:pPr>
      <w:r>
        <w:rPr>
          <w:rFonts w:hint="eastAsia"/>
        </w:rPr>
        <w:t>2、《中华人民共和国矿产资源法实施细则》（国务院令152号，1994年3月26日发布并施行）；</w:t>
      </w:r>
    </w:p>
    <w:p w14:paraId="4A264CE2">
      <w:pPr>
        <w:ind w:firstLine="560"/>
      </w:pPr>
      <w:r>
        <w:rPr>
          <w:rFonts w:hint="eastAsia"/>
        </w:rPr>
        <w:t>3、《特种设备安全监察条例》（国务院令第549号，根据2009年1月24日</w:t>
      </w:r>
      <w:r>
        <w:t>《</w:t>
      </w:r>
      <w:r>
        <w:fldChar w:fldCharType="begin"/>
      </w:r>
      <w:r>
        <w:instrText xml:space="preserve"> HYPERLINK "https://baike.baidu.com/item/%E5%9B%BD%E5%8A%A1%E9%99%A2%E5%85%B3%E4%BA%8E%E4%BF%AE%E6%94%B9%E3%80%88%E7%89%B9%E7%A7%8D%E8%AE%BE%E5%A4%87%E5%AE%89%E5%85%A8%E7%9B%91%E5%AF%9F%E6%9D%A1%E4%BE%8B%E3%80%89%E7%9A%84%E5%86%B3%E5%AE%9A/12700418?fromModule=lemma_inlink" \t "https://baike.baidu.com/item/%E4%B8%AD%E5%8D%8E%E4%BA%BA%E6%B0%91%E5%85%B1%E5%92%8C%E5%9B%BD%E5%9B%BD%E5%8A%A1%E9%99%A2%E4%BB%A4%EF%BC%88%E7%AC%AC549%E5%8F%B7%EF%BC%89/_blank" </w:instrText>
      </w:r>
      <w:r>
        <w:fldChar w:fldCharType="separate"/>
      </w:r>
      <w:r>
        <w:rPr>
          <w:rStyle w:val="51"/>
          <w:rFonts w:ascii="Helvetica" w:hAnsi="Helvetica" w:eastAsia="Helvetica" w:cs="Helvetica"/>
          <w:color w:val="auto"/>
          <w:szCs w:val="21"/>
          <w:u w:val="none"/>
          <w:shd w:val="clear" w:color="auto" w:fill="FFFFFF"/>
        </w:rPr>
        <w:t>国务院关于修改〈特种设备安全监察条例〉的决定</w:t>
      </w:r>
      <w:r>
        <w:rPr>
          <w:rStyle w:val="51"/>
          <w:rFonts w:ascii="Helvetica" w:hAnsi="Helvetica" w:eastAsia="Helvetica" w:cs="Helvetica"/>
          <w:color w:val="auto"/>
          <w:szCs w:val="21"/>
          <w:u w:val="none"/>
          <w:shd w:val="clear" w:color="auto" w:fill="FFFFFF"/>
        </w:rPr>
        <w:fldChar w:fldCharType="end"/>
      </w:r>
      <w:r>
        <w:t>》</w:t>
      </w:r>
      <w:r>
        <w:rPr>
          <w:rFonts w:hint="eastAsia"/>
        </w:rPr>
        <w:t>修订并公布，自2009年5月1日起施行）；</w:t>
      </w:r>
    </w:p>
    <w:p w14:paraId="3A605597">
      <w:pPr>
        <w:ind w:firstLine="700" w:firstLineChars="250"/>
      </w:pPr>
      <w:r>
        <w:rPr>
          <w:rFonts w:hint="eastAsia"/>
        </w:rPr>
        <w:t>4、《工伤保险条例》（国务院令第586号，根据2010年12月20日《国务院关于修改〈工伤保险条例〉的决定》修订，自2011年1月1日起施行）；</w:t>
      </w:r>
    </w:p>
    <w:p w14:paraId="1CC05361">
      <w:pPr>
        <w:ind w:firstLine="560"/>
      </w:pPr>
      <w:r>
        <w:rPr>
          <w:rFonts w:hint="eastAsia"/>
        </w:rPr>
        <w:t>5、《建设工程安全生产管理条例》（中国务院令第393号，2003年11月24日公布，自2004年2月1日起施行）；</w:t>
      </w:r>
    </w:p>
    <w:p w14:paraId="194B7BB2">
      <w:pPr>
        <w:ind w:firstLine="560"/>
      </w:pPr>
      <w:r>
        <w:rPr>
          <w:rFonts w:hint="eastAsia"/>
        </w:rPr>
        <w:t>6、《地质灾害防治条例》（国务院令第394号，2003年11月24日公布，自2004年3月1日起施行）；</w:t>
      </w:r>
    </w:p>
    <w:p w14:paraId="7FD50BC4">
      <w:pPr>
        <w:ind w:firstLine="560"/>
      </w:pPr>
      <w:r>
        <w:rPr>
          <w:rFonts w:hint="eastAsia"/>
        </w:rPr>
        <w:t>7、《安全生产许可证条例》（国务院令第653号，根据2014年7月29日《国务院关于修改部分行政法规的决定》第二次修订）；</w:t>
      </w:r>
    </w:p>
    <w:p w14:paraId="2B314F92">
      <w:pPr>
        <w:ind w:firstLine="560"/>
      </w:pPr>
      <w:r>
        <w:rPr>
          <w:rFonts w:hint="eastAsia"/>
        </w:rPr>
        <w:t>8、《民用爆炸物品管理条例》（国务院令第653号，根据2014年7月29日《国务院关于修改部分行政法规的决定》进行修正并施行）；</w:t>
      </w:r>
    </w:p>
    <w:p w14:paraId="1DC66723">
      <w:pPr>
        <w:ind w:firstLine="560"/>
      </w:pPr>
      <w:r>
        <w:rPr>
          <w:rFonts w:hint="eastAsia"/>
        </w:rPr>
        <w:t>9、《生产安全事故报告和调查处理条例》（国务院令第493号，2007年4月9日公布，自2007年6月1日起施行）；</w:t>
      </w:r>
    </w:p>
    <w:p w14:paraId="5F6F6E0C">
      <w:pPr>
        <w:ind w:firstLine="560"/>
      </w:pPr>
      <w:r>
        <w:rPr>
          <w:rFonts w:hint="eastAsia"/>
        </w:rPr>
        <w:t>10、《中华人民共和国劳动合同法实施条例》（国务院令第535号，2008年9月18日公布，自公布之日起施行）；</w:t>
      </w:r>
    </w:p>
    <w:p w14:paraId="50DDB560">
      <w:pPr>
        <w:ind w:firstLine="560"/>
      </w:pPr>
      <w:r>
        <w:rPr>
          <w:rFonts w:hint="eastAsia"/>
        </w:rPr>
        <w:t>11、《生产安全事故应急条例》（国务院令第708号，2019年2月17日公布，自2019年4月1日起施行）。</w:t>
      </w:r>
    </w:p>
    <w:p w14:paraId="6483F6BE">
      <w:pPr>
        <w:pStyle w:val="5"/>
        <w:spacing w:after="120"/>
      </w:pPr>
      <w:bookmarkStart w:id="175" w:name="_Toc3390"/>
      <w:bookmarkStart w:id="176" w:name="_Toc8795"/>
      <w:bookmarkStart w:id="177" w:name="_Toc23032"/>
      <w:bookmarkStart w:id="178" w:name="_Toc16261"/>
      <w:bookmarkStart w:id="179" w:name="_Toc501120262"/>
      <w:bookmarkStart w:id="180" w:name="_Toc25056"/>
      <w:bookmarkStart w:id="181" w:name="_Toc30557"/>
      <w:bookmarkStart w:id="182" w:name="_Toc17576"/>
      <w:bookmarkStart w:id="183" w:name="_Toc20399"/>
      <w:bookmarkStart w:id="184" w:name="_Toc23634"/>
      <w:bookmarkStart w:id="185" w:name="_Toc21492"/>
      <w:bookmarkStart w:id="186" w:name="_Toc32256"/>
      <w:bookmarkStart w:id="187" w:name="_Toc13803"/>
      <w:bookmarkStart w:id="188" w:name="_Toc215070133"/>
      <w:r>
        <w:t>1.</w:t>
      </w:r>
      <w:r>
        <w:rPr>
          <w:rFonts w:hint="eastAsia"/>
        </w:rPr>
        <w:t>3</w:t>
      </w:r>
      <w:r>
        <w:t>.</w:t>
      </w:r>
      <w:r>
        <w:rPr>
          <w:rFonts w:hint="eastAsia"/>
        </w:rPr>
        <w:t>3</w:t>
      </w:r>
      <w:r>
        <w:t>部门规章</w:t>
      </w:r>
      <w:bookmarkEnd w:id="175"/>
      <w:bookmarkEnd w:id="176"/>
      <w:bookmarkEnd w:id="177"/>
      <w:bookmarkEnd w:id="178"/>
      <w:bookmarkEnd w:id="179"/>
      <w:bookmarkEnd w:id="180"/>
      <w:bookmarkEnd w:id="181"/>
      <w:bookmarkEnd w:id="182"/>
      <w:bookmarkEnd w:id="183"/>
      <w:bookmarkEnd w:id="184"/>
      <w:bookmarkEnd w:id="185"/>
      <w:bookmarkEnd w:id="186"/>
      <w:bookmarkEnd w:id="187"/>
      <w:r>
        <w:rPr>
          <w:rFonts w:hint="eastAsia"/>
        </w:rPr>
        <w:t>及规范性文件</w:t>
      </w:r>
      <w:bookmarkEnd w:id="188"/>
    </w:p>
    <w:p w14:paraId="359DD32E">
      <w:pPr>
        <w:ind w:firstLine="560"/>
      </w:pPr>
      <w:r>
        <w:rPr>
          <w:rFonts w:hint="eastAsia"/>
        </w:rPr>
        <w:t>1、</w:t>
      </w:r>
      <w:bookmarkStart w:id="189" w:name="_Hlk501312957"/>
      <w:r>
        <w:rPr>
          <w:rFonts w:hint="eastAsia"/>
        </w:rPr>
        <w:t>《仓库防火安全管理规则》（公安部令第6号，1990年4月10日公布施行）；</w:t>
      </w:r>
    </w:p>
    <w:p w14:paraId="02BB64BB">
      <w:pPr>
        <w:ind w:firstLine="560"/>
      </w:pPr>
      <w:r>
        <w:rPr>
          <w:rFonts w:hint="eastAsia"/>
        </w:rPr>
        <w:t>2、《中华人民共和国矿山安全法实施条例》（劳动部令第4号，1996年10月30日发布施行）；</w:t>
      </w:r>
    </w:p>
    <w:p w14:paraId="6A140551">
      <w:pPr>
        <w:ind w:firstLine="560"/>
      </w:pPr>
      <w:r>
        <w:rPr>
          <w:rFonts w:hint="eastAsia"/>
        </w:rPr>
        <w:t>3、《特种设备作业人员监督管理办法》（国家质量监督检验检疫总局令第140号，2011年5月3日修订，2011年7月1日起施行）；</w:t>
      </w:r>
    </w:p>
    <w:p w14:paraId="1D1CD4CA">
      <w:pPr>
        <w:ind w:firstLine="560"/>
      </w:pPr>
      <w:r>
        <w:rPr>
          <w:rFonts w:hint="eastAsia"/>
        </w:rPr>
        <w:t>4、</w:t>
      </w:r>
      <w:bookmarkStart w:id="190" w:name="OLE_LINK24"/>
      <w:r>
        <w:rPr>
          <w:rFonts w:hint="eastAsia"/>
        </w:rPr>
        <w:t>《国家安全监管总局关于发布金属非金属矿山禁止使用的设备及工艺目录（第一批）的通知》（国家安全监管总局2013年9月6日安监总管—〔2013〕101号）</w:t>
      </w:r>
      <w:bookmarkEnd w:id="190"/>
      <w:r>
        <w:rPr>
          <w:rFonts w:hint="eastAsia"/>
        </w:rPr>
        <w:t>；</w:t>
      </w:r>
    </w:p>
    <w:p w14:paraId="761C0420">
      <w:pPr>
        <w:ind w:firstLine="560"/>
      </w:pPr>
      <w:r>
        <w:rPr>
          <w:rFonts w:hint="eastAsia"/>
        </w:rPr>
        <w:t>5、《国家安全监管总局关于发布金属非金属矿山新型适用安全技术及装备推广目录（第一批）的通知》（安监总管—〔2015〕12号，2015年2月13日</w:t>
      </w:r>
      <w:r>
        <w:rPr>
          <w:rFonts w:hint="eastAsia"/>
          <w:lang w:val="sq-AL"/>
        </w:rPr>
        <w:t>起施行</w:t>
      </w:r>
      <w:r>
        <w:rPr>
          <w:rFonts w:hint="eastAsia"/>
        </w:rPr>
        <w:t>）；</w:t>
      </w:r>
    </w:p>
    <w:p w14:paraId="2BD7290D">
      <w:pPr>
        <w:ind w:firstLine="560"/>
      </w:pPr>
      <w:r>
        <w:rPr>
          <w:rFonts w:hint="eastAsia"/>
        </w:rPr>
        <w:t>6、《国家安全监管总局关于发布金属非金属矿山禁止使用的设备及工艺目录（第二批）的通知》（安监总管—〔2015〕13号，2015年2月13日</w:t>
      </w:r>
      <w:r>
        <w:rPr>
          <w:rFonts w:hint="eastAsia"/>
          <w:lang w:val="sq-AL"/>
        </w:rPr>
        <w:t>起施行</w:t>
      </w:r>
      <w:r>
        <w:rPr>
          <w:rFonts w:hint="eastAsia"/>
        </w:rPr>
        <w:t>）；</w:t>
      </w:r>
    </w:p>
    <w:p w14:paraId="784EA113">
      <w:pPr>
        <w:ind w:firstLine="560"/>
      </w:pPr>
      <w:r>
        <w:rPr>
          <w:rFonts w:hint="eastAsia"/>
        </w:rPr>
        <w:t>7、《建设项目安全设施“三同时”监督管理办法》（国家安全生产监管总局令第77号，2015年4月2日修正，2015年5月1日起施行）；</w:t>
      </w:r>
    </w:p>
    <w:p w14:paraId="7B864F6F">
      <w:pPr>
        <w:ind w:firstLine="560"/>
      </w:pPr>
      <w:r>
        <w:rPr>
          <w:rFonts w:hint="eastAsia"/>
        </w:rPr>
        <w:t>8、《</w:t>
      </w:r>
      <w:r>
        <w:t>生产经营单位安全培训规定</w:t>
      </w:r>
      <w:r>
        <w:rPr>
          <w:rFonts w:hint="eastAsia"/>
        </w:rPr>
        <w:t>》</w:t>
      </w:r>
      <w:r>
        <w:t>（国家安全生产监督管理总局令第</w:t>
      </w:r>
      <w:r>
        <w:rPr>
          <w:rFonts w:hint="eastAsia"/>
        </w:rPr>
        <w:t>80</w:t>
      </w:r>
      <w:r>
        <w:t>号</w:t>
      </w:r>
      <w:r>
        <w:rPr>
          <w:rFonts w:hint="eastAsia"/>
        </w:rPr>
        <w:t>，</w:t>
      </w:r>
      <w:r>
        <w:t>2015年5月29日第二次修正）</w:t>
      </w:r>
      <w:r>
        <w:rPr>
          <w:rFonts w:hint="eastAsia"/>
        </w:rPr>
        <w:t>；</w:t>
      </w:r>
    </w:p>
    <w:p w14:paraId="6AA24723">
      <w:pPr>
        <w:ind w:firstLine="560"/>
      </w:pPr>
      <w:r>
        <w:rPr>
          <w:rFonts w:hint="eastAsia"/>
        </w:rPr>
        <w:t>9、《</w:t>
      </w:r>
      <w:r>
        <w:t>安全生产培训管理办法</w:t>
      </w:r>
      <w:r>
        <w:rPr>
          <w:rFonts w:hint="eastAsia"/>
        </w:rPr>
        <w:t>》</w:t>
      </w:r>
      <w:r>
        <w:t>（国家安全生产监督管理总局令第</w:t>
      </w:r>
      <w:r>
        <w:rPr>
          <w:rFonts w:hint="eastAsia"/>
        </w:rPr>
        <w:t>80</w:t>
      </w:r>
      <w:r>
        <w:t>号</w:t>
      </w:r>
      <w:r>
        <w:rPr>
          <w:rFonts w:hint="eastAsia"/>
        </w:rPr>
        <w:t>，</w:t>
      </w:r>
      <w:r>
        <w:t>2015年5月29日第二次修正）</w:t>
      </w:r>
      <w:r>
        <w:rPr>
          <w:rFonts w:hint="eastAsia"/>
        </w:rPr>
        <w:t>；</w:t>
      </w:r>
    </w:p>
    <w:p w14:paraId="6E90069E">
      <w:pPr>
        <w:ind w:firstLine="560"/>
      </w:pPr>
      <w:r>
        <w:rPr>
          <w:rFonts w:hint="eastAsia"/>
        </w:rPr>
        <w:t>10、《特种作业人员安全技术培训考核管理规定》</w:t>
      </w:r>
      <w:r>
        <w:t>（国家安全生产监督管理总局令第</w:t>
      </w:r>
      <w:r>
        <w:rPr>
          <w:rFonts w:hint="eastAsia"/>
        </w:rPr>
        <w:t>80</w:t>
      </w:r>
      <w:r>
        <w:t>号</w:t>
      </w:r>
      <w:r>
        <w:rPr>
          <w:rFonts w:hint="eastAsia"/>
        </w:rPr>
        <w:t>，</w:t>
      </w:r>
      <w:r>
        <w:t>2015年5月29日第二次修正）</w:t>
      </w:r>
      <w:r>
        <w:rPr>
          <w:rFonts w:hint="eastAsia"/>
        </w:rPr>
        <w:t>；</w:t>
      </w:r>
    </w:p>
    <w:p w14:paraId="265AD3BC">
      <w:pPr>
        <w:ind w:firstLine="560"/>
      </w:pPr>
      <w:r>
        <w:rPr>
          <w:rFonts w:hint="eastAsia"/>
        </w:rPr>
        <w:t>11、《非煤矿山企业安全生产许可证实施办法》（国家安全监管总局令第78号，</w:t>
      </w:r>
      <w:r>
        <w:t>2015</w:t>
      </w:r>
      <w:r>
        <w:rPr>
          <w:rFonts w:hint="eastAsia"/>
        </w:rPr>
        <w:t>年</w:t>
      </w:r>
      <w:r>
        <w:t>5</w:t>
      </w:r>
      <w:r>
        <w:rPr>
          <w:rFonts w:hint="eastAsia"/>
        </w:rPr>
        <w:t>月</w:t>
      </w:r>
      <w:r>
        <w:t>26</w:t>
      </w:r>
      <w:r>
        <w:rPr>
          <w:rFonts w:hint="eastAsia"/>
        </w:rPr>
        <w:t>日修正，自2015年7月1日起施行）；</w:t>
      </w:r>
    </w:p>
    <w:p w14:paraId="0579A25A">
      <w:pPr>
        <w:ind w:firstLine="560"/>
      </w:pPr>
      <w:r>
        <w:rPr>
          <w:rFonts w:hint="eastAsia"/>
        </w:rPr>
        <w:t>12、《非煤矿山外包工程安全管理暂行办法》（</w:t>
      </w:r>
      <w:r>
        <w:t>2013年8月23日国家安全生产监督管理总局令第62号公布，自2013年10月1日起施行；根据2015年5月26日国家安全生产监督管理总局令第78号修正</w:t>
      </w:r>
      <w:r>
        <w:rPr>
          <w:rFonts w:hint="eastAsia"/>
        </w:rPr>
        <w:t>，自2015年7月1日起施行）；</w:t>
      </w:r>
    </w:p>
    <w:p w14:paraId="2655FC03">
      <w:pPr>
        <w:ind w:firstLine="560"/>
      </w:pPr>
      <w:r>
        <w:rPr>
          <w:rFonts w:hint="eastAsia"/>
        </w:rPr>
        <w:t>13、《金属非金属矿山建设项目安全设施目录（试行）》（国家安全监管总局令第75号，2015年7月1日施行）；</w:t>
      </w:r>
    </w:p>
    <w:p w14:paraId="4BB1C419">
      <w:pPr>
        <w:ind w:firstLine="560"/>
      </w:pPr>
      <w:r>
        <w:rPr>
          <w:rFonts w:hint="eastAsia"/>
        </w:rPr>
        <w:t>14、《国家安全监管总局关于印发金属非金属矿山建设项目安全评价报告写提纲的通知》（安监总管—〔</w:t>
      </w:r>
      <w:r>
        <w:t>2016</w:t>
      </w:r>
      <w:r>
        <w:rPr>
          <w:rFonts w:hint="eastAsia"/>
        </w:rPr>
        <w:t>〕</w:t>
      </w:r>
      <w:r>
        <w:t>49</w:t>
      </w:r>
      <w:r>
        <w:rPr>
          <w:rFonts w:hint="eastAsia"/>
        </w:rPr>
        <w:t>号）</w:t>
      </w:r>
    </w:p>
    <w:p w14:paraId="7DBCD815">
      <w:pPr>
        <w:ind w:firstLine="560"/>
      </w:pPr>
      <w:r>
        <w:rPr>
          <w:rFonts w:hint="eastAsia"/>
        </w:rPr>
        <w:t>15、《工作场所职业卫生管理规定》（</w:t>
      </w:r>
      <w:r>
        <w:fldChar w:fldCharType="begin"/>
      </w:r>
      <w:r>
        <w:instrText xml:space="preserve">HYPERLINK "https://www.waizi.org.cn/doc/98605.html" \t "https://www.waizi.org.cn/doc/_blank" \o "《工作场所职业卫生管理规定》全文（国家卫生健康委员会令第5号）"</w:instrText>
      </w:r>
      <w:r>
        <w:fldChar w:fldCharType="separate"/>
      </w:r>
      <w:r>
        <w:rPr>
          <w:rFonts w:hint="eastAsia"/>
        </w:rPr>
        <w:t>国家卫生健康委员会令第5号</w:t>
      </w:r>
      <w:r>
        <w:fldChar w:fldCharType="end"/>
      </w:r>
      <w:r>
        <w:rPr>
          <w:rFonts w:hint="eastAsia"/>
        </w:rPr>
        <w:t>，2021年2月1日公布，自2021年2月1日起施行）；</w:t>
      </w:r>
    </w:p>
    <w:p w14:paraId="50BA9823">
      <w:pPr>
        <w:ind w:firstLine="560"/>
      </w:pPr>
      <w:r>
        <w:rPr>
          <w:rFonts w:hint="eastAsia"/>
        </w:rPr>
        <w:t>16、《国家矿山安全监察局关于印发&lt;关于加强非煤矿山安全生产工作的指导意见&gt;的通知》（国家矿山安全监察局矿安〔2022〕4号，2022年2月8日）；</w:t>
      </w:r>
    </w:p>
    <w:p w14:paraId="216B4FF5">
      <w:pPr>
        <w:ind w:firstLine="560"/>
      </w:pPr>
      <w:r>
        <w:rPr>
          <w:rFonts w:hint="eastAsia"/>
        </w:rPr>
        <w:t>17、《国家矿山安全监察局关于印发&lt;金属非金属矿山重大事故隐患判定标准&gt;的通知》（国家矿山安全监察局矿安〔2022〕88号，2022年7月8日公布，2022年9月1日施行）；</w:t>
      </w:r>
    </w:p>
    <w:p w14:paraId="2CE72A4B">
      <w:pPr>
        <w:ind w:firstLine="560"/>
      </w:pPr>
      <w:r>
        <w:rPr>
          <w:rFonts w:hint="eastAsia"/>
        </w:rPr>
        <w:t>18、财政部应急部关于印发《企业安全生产费用提取和使用管理办法》的通知（财资〔2022〕136号，2022年11月21日发布施行）；</w:t>
      </w:r>
    </w:p>
    <w:p w14:paraId="3B4E533E">
      <w:pPr>
        <w:ind w:firstLine="560"/>
      </w:pPr>
      <w:r>
        <w:rPr>
          <w:rFonts w:hint="eastAsia"/>
        </w:rPr>
        <w:t>19、《中共中央办公厅国务院办公厅关于进一步加强矿山安全生产工作的意见》（国务院公报2023年第26号</w:t>
      </w:r>
      <w:r>
        <w:t>厅字〔2023〕21号</w:t>
      </w:r>
      <w:r>
        <w:rPr>
          <w:rFonts w:hint="eastAsia"/>
        </w:rPr>
        <w:t>，2023年9月6日）；</w:t>
      </w:r>
    </w:p>
    <w:p w14:paraId="46DC3CC0">
      <w:pPr>
        <w:ind w:firstLine="560"/>
      </w:pPr>
      <w:r>
        <w:rPr>
          <w:rFonts w:hint="eastAsia"/>
        </w:rPr>
        <w:t>20、《国家矿山安全监察局关于印发&lt;非煤矿山建设项目安全设施重大变更范围&gt;的通知》（国家矿山安全监察局矿安〔2023〕147号，2023年11月14日公布并实施）；</w:t>
      </w:r>
    </w:p>
    <w:p w14:paraId="0A1379AE">
      <w:pPr>
        <w:ind w:firstLine="560"/>
      </w:pPr>
      <w:r>
        <w:rPr>
          <w:rFonts w:hint="eastAsia"/>
        </w:rPr>
        <w:t>21、国家矿山安全监察局关于印发《矿山重大隐患调查处理办法（试行）》的通知（矿安〔2021〕49号）</w:t>
      </w:r>
    </w:p>
    <w:p w14:paraId="282FB937">
      <w:pPr>
        <w:ind w:firstLine="560"/>
      </w:pPr>
      <w:r>
        <w:rPr>
          <w:rFonts w:hint="eastAsia"/>
        </w:rPr>
        <w:t>22、《国家矿山安全监察局关于开展露天矿山边坡监测系统建设及联网工作的通知》（矿安〔</w:t>
      </w:r>
      <w:r>
        <w:t>2023</w:t>
      </w:r>
      <w:r>
        <w:rPr>
          <w:rFonts w:hint="eastAsia"/>
        </w:rPr>
        <w:t>〕</w:t>
      </w:r>
      <w:r>
        <w:t xml:space="preserve">119 </w:t>
      </w:r>
      <w:r>
        <w:rPr>
          <w:rFonts w:hint="eastAsia"/>
        </w:rPr>
        <w:t>号）</w:t>
      </w:r>
    </w:p>
    <w:p w14:paraId="49E144E0">
      <w:pPr>
        <w:ind w:firstLine="560"/>
      </w:pPr>
      <w:r>
        <w:rPr>
          <w:rFonts w:hint="eastAsia"/>
        </w:rPr>
        <w:t>23、《国家矿山安全监察局关于印发</w:t>
      </w:r>
      <w:r>
        <w:t>&lt;</w:t>
      </w:r>
      <w:r>
        <w:rPr>
          <w:rFonts w:hint="eastAsia"/>
        </w:rPr>
        <w:t>防范非煤矿山典型多发事故六十条措施</w:t>
      </w:r>
      <w:r>
        <w:t>&gt;</w:t>
      </w:r>
      <w:r>
        <w:rPr>
          <w:rFonts w:hint="eastAsia"/>
        </w:rPr>
        <w:t>的通知》（矿安〔</w:t>
      </w:r>
      <w:r>
        <w:t>2023</w:t>
      </w:r>
      <w:r>
        <w:rPr>
          <w:rFonts w:hint="eastAsia"/>
        </w:rPr>
        <w:t>〕</w:t>
      </w:r>
      <w:r>
        <w:t xml:space="preserve">124 </w:t>
      </w:r>
      <w:r>
        <w:rPr>
          <w:rFonts w:hint="eastAsia"/>
        </w:rPr>
        <w:t>号）</w:t>
      </w:r>
    </w:p>
    <w:p w14:paraId="621C33AB">
      <w:pPr>
        <w:ind w:firstLine="560"/>
      </w:pPr>
      <w:r>
        <w:rPr>
          <w:rFonts w:hint="eastAsia"/>
        </w:rPr>
        <w:t>24、《国家矿山安全监察局关于深化矿山重大事故隐患专项排查整治</w:t>
      </w:r>
      <w:r>
        <w:t xml:space="preserve">2023 </w:t>
      </w:r>
      <w:r>
        <w:rPr>
          <w:rFonts w:hint="eastAsia"/>
        </w:rPr>
        <w:t>行动的通知》（矿安〔</w:t>
      </w:r>
      <w:r>
        <w:t>2023</w:t>
      </w:r>
      <w:r>
        <w:rPr>
          <w:rFonts w:hint="eastAsia"/>
        </w:rPr>
        <w:t>〕</w:t>
      </w:r>
      <w:r>
        <w:t xml:space="preserve">130 </w:t>
      </w:r>
      <w:r>
        <w:rPr>
          <w:rFonts w:hint="eastAsia"/>
        </w:rPr>
        <w:t>号）</w:t>
      </w:r>
    </w:p>
    <w:p w14:paraId="6EF70F58">
      <w:pPr>
        <w:ind w:firstLine="560"/>
      </w:pPr>
      <w:r>
        <w:rPr>
          <w:rFonts w:hint="eastAsia"/>
        </w:rPr>
        <w:t>25、国务院安全生产委员会印发《关于防范遏制矿山领域重特大生产安全事故的硬措施》的通知（安委〔</w:t>
      </w:r>
      <w:r>
        <w:t>2024</w:t>
      </w:r>
      <w:r>
        <w:rPr>
          <w:rFonts w:hint="eastAsia"/>
        </w:rPr>
        <w:t>〕</w:t>
      </w:r>
      <w:r>
        <w:t>1</w:t>
      </w:r>
      <w:r>
        <w:rPr>
          <w:rFonts w:hint="eastAsia"/>
        </w:rPr>
        <w:t>号，</w:t>
      </w:r>
      <w:r>
        <w:t>2024</w:t>
      </w:r>
      <w:r>
        <w:rPr>
          <w:rFonts w:hint="eastAsia"/>
        </w:rPr>
        <w:t>年</w:t>
      </w:r>
      <w:r>
        <w:t>1</w:t>
      </w:r>
      <w:r>
        <w:rPr>
          <w:rFonts w:hint="eastAsia"/>
        </w:rPr>
        <w:t>月</w:t>
      </w:r>
      <w:r>
        <w:t>16</w:t>
      </w:r>
      <w:r>
        <w:rPr>
          <w:rFonts w:hint="eastAsia"/>
        </w:rPr>
        <w:t>日）</w:t>
      </w:r>
    </w:p>
    <w:p w14:paraId="17149636">
      <w:pPr>
        <w:ind w:firstLine="560"/>
      </w:pPr>
      <w:r>
        <w:rPr>
          <w:rFonts w:hint="eastAsia"/>
        </w:rPr>
        <w:t>26、《电力设施保护条例实施细则》（国家发展和改革委员会令第11号，2024年1月4日第二次修订，自2024年3月1日起施行）；</w:t>
      </w:r>
    </w:p>
    <w:p w14:paraId="0BD3572F">
      <w:pPr>
        <w:ind w:firstLine="560"/>
      </w:pPr>
      <w:r>
        <w:rPr>
          <w:rFonts w:hint="eastAsia"/>
        </w:rPr>
        <w:t>27、《国家矿山安全监察局关于印发&lt;金属非金属矿山重大事故隐患判定标准补充情形&gt;的通知》（国家矿山安全监察局矿安〔2024〕41号，2024年4月23日）；</w:t>
      </w:r>
    </w:p>
    <w:p w14:paraId="45C45714">
      <w:pPr>
        <w:ind w:firstLine="560"/>
      </w:pPr>
      <w:r>
        <w:rPr>
          <w:rFonts w:hint="eastAsia"/>
        </w:rPr>
        <w:t>28、《国家矿山安全监察局关于进一步加强非煤矿山安全生产行政许可工作的通知》（矿安〔</w:t>
      </w:r>
      <w:r>
        <w:t>2024</w:t>
      </w:r>
      <w:r>
        <w:rPr>
          <w:rFonts w:hint="eastAsia"/>
        </w:rPr>
        <w:t>〕</w:t>
      </w:r>
      <w:r>
        <w:t>70</w:t>
      </w:r>
      <w:r>
        <w:rPr>
          <w:rFonts w:hint="eastAsia"/>
        </w:rPr>
        <w:t>号，</w:t>
      </w:r>
      <w:r>
        <w:t>2024</w:t>
      </w:r>
      <w:r>
        <w:rPr>
          <w:rFonts w:hint="eastAsia"/>
        </w:rPr>
        <w:t>年</w:t>
      </w:r>
      <w:r>
        <w:t>6</w:t>
      </w:r>
      <w:r>
        <w:rPr>
          <w:rFonts w:hint="eastAsia"/>
        </w:rPr>
        <w:t>月</w:t>
      </w:r>
      <w:r>
        <w:t>28</w:t>
      </w:r>
      <w:r>
        <w:rPr>
          <w:rFonts w:hint="eastAsia"/>
        </w:rPr>
        <w:t>日起施行）</w:t>
      </w:r>
    </w:p>
    <w:p w14:paraId="184D6C2A">
      <w:pPr>
        <w:ind w:firstLine="560"/>
      </w:pPr>
      <w:r>
        <w:rPr>
          <w:rFonts w:hint="eastAsia"/>
        </w:rPr>
        <w:t>29、《矿山救援规程》（应急部</w:t>
      </w:r>
      <w:r>
        <w:t>16</w:t>
      </w:r>
      <w:r>
        <w:rPr>
          <w:rFonts w:hint="eastAsia"/>
        </w:rPr>
        <w:t>号令，自</w:t>
      </w:r>
      <w:r>
        <w:t>2024</w:t>
      </w:r>
      <w:r>
        <w:rPr>
          <w:rFonts w:hint="eastAsia"/>
        </w:rPr>
        <w:t>年</w:t>
      </w:r>
      <w:r>
        <w:t>7</w:t>
      </w:r>
      <w:r>
        <w:rPr>
          <w:rFonts w:hint="eastAsia"/>
        </w:rPr>
        <w:t>月</w:t>
      </w:r>
      <w:r>
        <w:t>1</w:t>
      </w:r>
      <w:r>
        <w:rPr>
          <w:rFonts w:hint="eastAsia"/>
        </w:rPr>
        <w:t>日起施行）；</w:t>
      </w:r>
    </w:p>
    <w:p w14:paraId="6D3B4F3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30、</w:t>
      </w:r>
      <w:r>
        <w:rPr>
          <w:color w:val="000000" w:themeColor="text1"/>
          <w14:textFill>
            <w14:solidFill>
              <w14:schemeClr w14:val="tx1"/>
            </w14:solidFill>
          </w14:textFill>
        </w:rPr>
        <w:t>《安全生产责任保险实施办法》</w:t>
      </w:r>
      <w:r>
        <w:rPr>
          <w:rFonts w:hint="eastAsia"/>
          <w:color w:val="000000" w:themeColor="text1"/>
          <w14:textFill>
            <w14:solidFill>
              <w14:schemeClr w14:val="tx1"/>
            </w14:solidFill>
          </w14:textFill>
        </w:rPr>
        <w:t>（应急〔2025〕27号，</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2025年03月29日起实施）。</w:t>
      </w:r>
    </w:p>
    <w:bookmarkEnd w:id="189"/>
    <w:p w14:paraId="1759CCAA">
      <w:pPr>
        <w:pStyle w:val="5"/>
        <w:spacing w:after="120"/>
      </w:pPr>
      <w:bookmarkStart w:id="191" w:name="_Toc501120263"/>
      <w:bookmarkStart w:id="192" w:name="_Toc1586"/>
      <w:bookmarkStart w:id="193" w:name="_Toc26432"/>
      <w:bookmarkStart w:id="194" w:name="_Toc21150"/>
      <w:bookmarkStart w:id="195" w:name="_Toc15737"/>
      <w:bookmarkStart w:id="196" w:name="_Toc19698"/>
      <w:bookmarkStart w:id="197" w:name="_Toc21192"/>
      <w:bookmarkStart w:id="198" w:name="_Toc10972"/>
      <w:bookmarkStart w:id="199" w:name="_Toc4628"/>
      <w:bookmarkStart w:id="200" w:name="_Toc26855"/>
      <w:bookmarkStart w:id="201" w:name="_Toc19791"/>
      <w:bookmarkStart w:id="202" w:name="_Toc22262"/>
      <w:bookmarkStart w:id="203" w:name="_Toc215070134"/>
      <w:r>
        <w:rPr>
          <w:rFonts w:hint="eastAsia"/>
          <w:color w:val="000000" w:themeColor="text1"/>
          <w14:textFill>
            <w14:solidFill>
              <w14:schemeClr w14:val="tx1"/>
            </w14:solidFill>
          </w14:textFill>
        </w:rPr>
        <w:t>1.3.</w:t>
      </w:r>
      <w:bookmarkEnd w:id="191"/>
      <w:r>
        <w:rPr>
          <w:rFonts w:hint="eastAsia"/>
          <w:color w:val="000000" w:themeColor="text1"/>
          <w14:textFill>
            <w14:solidFill>
              <w14:schemeClr w14:val="tx1"/>
            </w14:solidFill>
          </w14:textFill>
        </w:rPr>
        <w:t>4地方性法规及规范性</w:t>
      </w:r>
      <w:r>
        <w:rPr>
          <w:rFonts w:hint="eastAsia"/>
        </w:rPr>
        <w:t>文件</w:t>
      </w:r>
      <w:bookmarkEnd w:id="192"/>
      <w:bookmarkEnd w:id="193"/>
      <w:bookmarkEnd w:id="194"/>
      <w:bookmarkEnd w:id="195"/>
      <w:bookmarkEnd w:id="196"/>
      <w:bookmarkEnd w:id="197"/>
      <w:bookmarkEnd w:id="198"/>
      <w:bookmarkEnd w:id="199"/>
      <w:bookmarkEnd w:id="200"/>
      <w:bookmarkEnd w:id="201"/>
      <w:bookmarkEnd w:id="202"/>
      <w:bookmarkEnd w:id="203"/>
    </w:p>
    <w:p w14:paraId="6B0D62B5">
      <w:pPr>
        <w:ind w:firstLine="560"/>
      </w:pPr>
      <w:r>
        <w:rPr>
          <w:rFonts w:hint="eastAsia"/>
        </w:rPr>
        <w:t>1、《关于在全省高危行业推行人身意外伤害保险的通知》（云安监管〔2008〕102号，自2008年5月7日起施行）；</w:t>
      </w:r>
    </w:p>
    <w:p w14:paraId="7B90A87F">
      <w:pPr>
        <w:ind w:firstLine="560"/>
      </w:pPr>
      <w:r>
        <w:rPr>
          <w:rFonts w:hint="eastAsia"/>
        </w:rPr>
        <w:t>2、</w:t>
      </w:r>
      <w:r>
        <w:t>《云南省生产安全事故报告和调查处理规定》</w:t>
      </w:r>
      <w:r>
        <w:rPr>
          <w:rFonts w:hint="eastAsia"/>
        </w:rPr>
        <w:t>（</w:t>
      </w:r>
      <w:r>
        <w:t>云南省政府令第155号</w:t>
      </w:r>
      <w:r>
        <w:rPr>
          <w:rFonts w:hint="eastAsia"/>
        </w:rPr>
        <w:t>，</w:t>
      </w:r>
      <w:r>
        <w:t>经2009年7月30日云南省人民政府第27次常务会议通过</w:t>
      </w:r>
      <w:r>
        <w:rPr>
          <w:rFonts w:hint="eastAsia"/>
        </w:rPr>
        <w:t>并</w:t>
      </w:r>
      <w:r>
        <w:t>予公布，自2009年10月1日起施行</w:t>
      </w:r>
      <w:r>
        <w:rPr>
          <w:rFonts w:hint="eastAsia"/>
        </w:rPr>
        <w:t>）；</w:t>
      </w:r>
    </w:p>
    <w:p w14:paraId="779CFBF5">
      <w:pPr>
        <w:ind w:firstLine="560"/>
      </w:pPr>
      <w:r>
        <w:rPr>
          <w:rFonts w:hint="eastAsia"/>
        </w:rPr>
        <w:t>3、《云南省实施〈工伤保险条例〉办法》（云政发〔2011〕255号，2011年12月31日）；</w:t>
      </w:r>
    </w:p>
    <w:p w14:paraId="5C7ACE87">
      <w:pPr>
        <w:ind w:firstLine="560"/>
      </w:pPr>
      <w:r>
        <w:rPr>
          <w:rFonts w:hint="eastAsia"/>
        </w:rPr>
        <w:t>4、《云南省突发事件应对条例》（省人大常委会公告第18号，由云南省第十二届人民代表大会常务委员会第十次会议于2014年7月27日审议通过并公布，自2014年12月1日起施行）；</w:t>
      </w:r>
    </w:p>
    <w:p w14:paraId="6E51F9DD">
      <w:pPr>
        <w:ind w:firstLine="560"/>
        <w:rPr>
          <w:lang w:val="sq-AL"/>
        </w:rPr>
      </w:pPr>
      <w:r>
        <w:rPr>
          <w:rFonts w:hint="eastAsia"/>
        </w:rPr>
        <w:t>5、云南省安全生产监督管理局关于进一步规范金属非金属矿山建设项目安全“三同时”工作的通知》（云南省安全生产监督管理局，2016年3月21日）；</w:t>
      </w:r>
    </w:p>
    <w:p w14:paraId="59EB97E8">
      <w:pPr>
        <w:ind w:firstLine="560"/>
      </w:pPr>
      <w:r>
        <w:rPr>
          <w:rFonts w:hint="eastAsia"/>
        </w:rPr>
        <w:t>6、《云南省安全生产条例》（云南省第十二届人民代表大会常务委员会公告第63号，自2018年1月1日施行）；</w:t>
      </w:r>
      <w:bookmarkStart w:id="204" w:name="_Toc21299"/>
      <w:bookmarkStart w:id="205" w:name="_Toc374352221"/>
      <w:bookmarkStart w:id="206" w:name="_Toc20342"/>
      <w:bookmarkStart w:id="207" w:name="_Toc501120265"/>
      <w:bookmarkStart w:id="208" w:name="_Toc326668529"/>
    </w:p>
    <w:p w14:paraId="3E2F8C9A">
      <w:pPr>
        <w:ind w:firstLine="560"/>
      </w:pPr>
      <w:r>
        <w:rPr>
          <w:rFonts w:hint="eastAsia"/>
        </w:rPr>
        <w:t>7、云南省人民政府关于印发《云南省生产经营单位安全生产主体责任规定》的通知 (云政规〔2022〕4号)；</w:t>
      </w:r>
    </w:p>
    <w:p w14:paraId="4131CA4F">
      <w:pPr>
        <w:ind w:firstLine="560"/>
      </w:pPr>
      <w:r>
        <w:rPr>
          <w:rFonts w:hint="eastAsia"/>
        </w:rPr>
        <w:t>8、云南省人民政府办公厅关于印发《云南省全面加强非煤矿山安全生产工作若干措施》的通知（云政办发〔2024〕44号，2024年7月18日）</w:t>
      </w:r>
      <w:bookmarkEnd w:id="204"/>
      <w:bookmarkEnd w:id="205"/>
      <w:bookmarkEnd w:id="206"/>
      <w:bookmarkEnd w:id="207"/>
      <w:bookmarkEnd w:id="208"/>
      <w:r>
        <w:rPr>
          <w:rFonts w:hint="eastAsia"/>
        </w:rPr>
        <w:t>。</w:t>
      </w:r>
    </w:p>
    <w:p w14:paraId="2E2B14CA">
      <w:pPr>
        <w:ind w:firstLine="560"/>
      </w:pPr>
      <w:bookmarkStart w:id="209" w:name="_Toc19265"/>
      <w:bookmarkStart w:id="210" w:name="_Toc20124"/>
      <w:bookmarkStart w:id="211" w:name="_Toc12776"/>
      <w:bookmarkStart w:id="212" w:name="_Toc26215"/>
      <w:bookmarkStart w:id="213" w:name="_Toc17664"/>
      <w:bookmarkStart w:id="214" w:name="_Toc9003"/>
      <w:bookmarkStart w:id="215" w:name="_Toc22939"/>
      <w:bookmarkStart w:id="216" w:name="_Toc6487"/>
      <w:r>
        <w:rPr>
          <w:rFonts w:hint="eastAsia"/>
        </w:rPr>
        <w:t>9</w:t>
      </w:r>
      <w:r>
        <w:t>、</w:t>
      </w:r>
      <w:r>
        <w:rPr>
          <w:rFonts w:hint="eastAsia"/>
        </w:rPr>
        <w:t>《云南省电力设施保护条例》（</w:t>
      </w:r>
      <w:r>
        <w:t>2024年12月，云南省十四届人大常委会第十三次会议审议通过《</w:t>
      </w:r>
      <w:r>
        <w:fldChar w:fldCharType="begin"/>
      </w:r>
      <w:r>
        <w:instrText xml:space="preserve">HYPERLINK "https://baike.baidu.com/item/%E4%BA%91%E5%8D%97%E7%9C%81%E4%BA%BA%E6%B0%91%E4%BB%A3%E8%A1%A8%E5%A4%A7%E4%BC%9A%E5%B8%B8%E5%8A%A1%E5%A7%94%E5%91%98%E4%BC%9A%E5%85%B3%E4%BA%8E%E5%BA%9F%E6%AD%A2%E5%92%8C%E4%BF%AE%E6%94%B9%E9%83%A8%E5%88%86%E5%9C%B0%E6%96%B9%E6%80%A7%E6%B3%95%E8%A7%84%E7%9A%84%E5%86%B3%E5%AE%9A/59457279?fromModule=lemma_inlink" \t "https://baike.baidu.com/item/%E4%BA%91%E5%8D%97%E7%9C%81%E7%94%B5%E5%8A%9B%E8%AE%BE%E6%96%BD%E4%BF%9D%E6%8A%A4%E6%9D%A1%E4%BE%8B/_blank"</w:instrText>
      </w:r>
      <w:r>
        <w:fldChar w:fldCharType="separate"/>
      </w:r>
      <w:r>
        <w:t>云南省人民代表大会常务委员会关于废止和修改部分地方性法规的决定</w:t>
      </w:r>
      <w:r>
        <w:fldChar w:fldCharType="end"/>
      </w:r>
      <w:r>
        <w:t>》</w:t>
      </w:r>
      <w:r>
        <w:rPr>
          <w:rFonts w:hint="eastAsia"/>
        </w:rPr>
        <w:t>第二次修正</w:t>
      </w:r>
      <w:r>
        <w:t>并重新发布</w:t>
      </w:r>
      <w:r>
        <w:rPr>
          <w:rFonts w:hint="eastAsia"/>
        </w:rPr>
        <w:t>）；</w:t>
      </w:r>
    </w:p>
    <w:p w14:paraId="45C945ED">
      <w:pPr>
        <w:ind w:firstLine="560"/>
      </w:pPr>
      <w:r>
        <w:rPr>
          <w:rFonts w:hint="eastAsia"/>
        </w:rPr>
        <w:t>10、《云南省生产安全事故应急办法》（云南省人民政府令第227号，经2023年11月27日第十四届云南省人民政府第23次常务会议通过并公布，自2024年2月1日起施行。</w:t>
      </w:r>
    </w:p>
    <w:p w14:paraId="558C65F2">
      <w:pPr>
        <w:pStyle w:val="5"/>
        <w:spacing w:after="120"/>
      </w:pPr>
      <w:bookmarkStart w:id="217" w:name="_Toc215070135"/>
      <w:r>
        <w:rPr>
          <w:rFonts w:hint="eastAsia"/>
        </w:rPr>
        <w:t>1.3.4标准规范</w:t>
      </w:r>
      <w:bookmarkEnd w:id="209"/>
      <w:bookmarkEnd w:id="210"/>
      <w:bookmarkEnd w:id="211"/>
      <w:bookmarkEnd w:id="212"/>
      <w:bookmarkEnd w:id="213"/>
      <w:bookmarkEnd w:id="214"/>
      <w:bookmarkEnd w:id="215"/>
      <w:bookmarkEnd w:id="216"/>
      <w:bookmarkEnd w:id="217"/>
    </w:p>
    <w:p w14:paraId="062FCE62">
      <w:pPr>
        <w:ind w:firstLine="560"/>
        <w:rPr>
          <w:rFonts w:hint="eastAsia" w:ascii="宋体" w:hAnsi="宋体" w:cs="宋体"/>
          <w:color w:val="C00000"/>
          <w:szCs w:val="28"/>
        </w:rPr>
      </w:pPr>
      <w:r>
        <w:rPr>
          <w:rFonts w:hint="eastAsia" w:ascii="宋体" w:hAnsi="宋体" w:cs="宋体"/>
          <w:color w:val="000000"/>
          <w:szCs w:val="28"/>
        </w:rPr>
        <w:t>1、</w:t>
      </w:r>
      <w:r>
        <w:rPr>
          <w:rFonts w:hint="eastAsia" w:ascii="宋体" w:hAnsi="宋体" w:cs="宋体"/>
          <w:color w:val="000000"/>
          <w:szCs w:val="28"/>
          <w:lang w:val="sq-AL"/>
        </w:rPr>
        <w:t>《企业职工伤亡事故分类》（GB6441-1986，</w:t>
      </w:r>
      <w:r>
        <w:rPr>
          <w:rFonts w:hint="eastAsia" w:ascii="宋体" w:hAnsi="宋体" w:cs="宋体"/>
          <w:color w:val="000000"/>
          <w:szCs w:val="28"/>
        </w:rPr>
        <w:t>1987</w:t>
      </w:r>
      <w:r>
        <w:rPr>
          <w:rFonts w:hint="eastAsia" w:ascii="宋体" w:hAnsi="宋体" w:cs="宋体"/>
          <w:color w:val="000000"/>
          <w:szCs w:val="28"/>
          <w:lang w:val="sq-AL"/>
        </w:rPr>
        <w:t>年</w:t>
      </w:r>
      <w:r>
        <w:rPr>
          <w:rFonts w:hint="eastAsia" w:ascii="宋体" w:hAnsi="宋体" w:cs="宋体"/>
          <w:color w:val="000000"/>
          <w:szCs w:val="28"/>
        </w:rPr>
        <w:t>2</w:t>
      </w:r>
      <w:r>
        <w:rPr>
          <w:rFonts w:hint="eastAsia" w:ascii="宋体" w:hAnsi="宋体" w:cs="宋体"/>
          <w:color w:val="000000"/>
          <w:szCs w:val="28"/>
          <w:lang w:val="sq-AL"/>
        </w:rPr>
        <w:t>月1日实施）；</w:t>
      </w:r>
    </w:p>
    <w:p w14:paraId="730D346E">
      <w:pPr>
        <w:ind w:firstLine="560"/>
        <w:rPr>
          <w:rFonts w:hint="eastAsia" w:ascii="宋体" w:hAnsi="宋体" w:cs="宋体"/>
          <w:color w:val="000000"/>
          <w:szCs w:val="28"/>
        </w:rPr>
      </w:pPr>
      <w:r>
        <w:rPr>
          <w:rFonts w:hint="eastAsia" w:ascii="宋体" w:hAnsi="宋体" w:cs="宋体"/>
          <w:color w:val="000000"/>
          <w:szCs w:val="28"/>
        </w:rPr>
        <w:t>2、《厂矿道路设计规范》（GBJ22-87，1988年8月1日实施）；</w:t>
      </w:r>
    </w:p>
    <w:p w14:paraId="5CA14DF4">
      <w:pPr>
        <w:ind w:firstLine="560"/>
        <w:rPr>
          <w:rFonts w:hint="eastAsia" w:ascii="宋体" w:hAnsi="宋体" w:cs="宋体"/>
          <w:color w:val="000000"/>
          <w:szCs w:val="28"/>
        </w:rPr>
      </w:pPr>
      <w:r>
        <w:rPr>
          <w:rFonts w:hint="eastAsia" w:ascii="宋体" w:hAnsi="宋体" w:cs="宋体"/>
          <w:color w:val="000000"/>
          <w:szCs w:val="28"/>
        </w:rPr>
        <w:t>3、《金属非金属矿山排土场安全生产规则》(AQ2005-2005,2005年5月1日实施)；</w:t>
      </w:r>
    </w:p>
    <w:p w14:paraId="33387C5B">
      <w:pPr>
        <w:ind w:firstLine="560"/>
        <w:rPr>
          <w:rFonts w:hint="eastAsia" w:ascii="宋体" w:hAnsi="宋体" w:cs="宋体"/>
          <w:szCs w:val="28"/>
        </w:rPr>
      </w:pPr>
      <w:r>
        <w:rPr>
          <w:rFonts w:hint="eastAsia" w:ascii="宋体" w:hAnsi="宋体" w:cs="宋体"/>
          <w:color w:val="000000"/>
          <w:szCs w:val="28"/>
        </w:rPr>
        <w:t>4、</w:t>
      </w:r>
      <w:r>
        <w:rPr>
          <w:rFonts w:hint="eastAsia" w:ascii="宋体" w:hAnsi="宋体" w:cs="宋体"/>
          <w:szCs w:val="28"/>
        </w:rPr>
        <w:t>《建筑灭火器配置设计规范》（GB50140-2005，2005年10月1日实施）；</w:t>
      </w:r>
    </w:p>
    <w:p w14:paraId="19078C6C">
      <w:pPr>
        <w:ind w:firstLine="560"/>
        <w:rPr>
          <w:rFonts w:hint="eastAsia" w:ascii="宋体" w:hAnsi="宋体" w:cs="宋体"/>
          <w:szCs w:val="28"/>
        </w:rPr>
      </w:pPr>
      <w:r>
        <w:rPr>
          <w:rFonts w:hint="eastAsia"/>
        </w:rPr>
        <w:t>5、</w:t>
      </w:r>
      <w:r>
        <w:rPr>
          <w:rFonts w:hint="eastAsia" w:ascii="宋体" w:hAnsi="宋体" w:cs="宋体"/>
          <w:szCs w:val="28"/>
        </w:rPr>
        <w:t>《工业企业厂内铁路、道路运输安全规程》（GB4387-2008，2009年10月1日实施）；</w:t>
      </w:r>
    </w:p>
    <w:p w14:paraId="51A2CB26">
      <w:pPr>
        <w:ind w:firstLine="560"/>
        <w:rPr>
          <w:rFonts w:hint="eastAsia" w:ascii="宋体" w:hAnsi="宋体" w:cs="宋体"/>
          <w:szCs w:val="28"/>
          <w:lang w:val="sq-AL"/>
        </w:rPr>
      </w:pPr>
      <w:r>
        <w:rPr>
          <w:rFonts w:hint="eastAsia" w:ascii="宋体" w:hAnsi="宋体" w:cs="宋体"/>
          <w:szCs w:val="28"/>
        </w:rPr>
        <w:t>6、</w:t>
      </w:r>
      <w:r>
        <w:rPr>
          <w:rFonts w:hint="eastAsia" w:ascii="宋体" w:hAnsi="宋体" w:cs="宋体"/>
          <w:szCs w:val="28"/>
          <w:lang w:val="sq-AL"/>
        </w:rPr>
        <w:t>《矿用一般型电气设备》（GB</w:t>
      </w:r>
      <w:r>
        <w:rPr>
          <w:rFonts w:hint="eastAsia" w:ascii="宋体" w:hAnsi="宋体" w:cs="宋体"/>
          <w:szCs w:val="28"/>
        </w:rPr>
        <w:t>/T</w:t>
      </w:r>
      <w:r>
        <w:rPr>
          <w:rFonts w:hint="eastAsia" w:ascii="宋体" w:hAnsi="宋体" w:cs="宋体"/>
          <w:szCs w:val="28"/>
          <w:lang w:val="sq-AL"/>
        </w:rPr>
        <w:t>12173-2008，20</w:t>
      </w:r>
      <w:r>
        <w:rPr>
          <w:rFonts w:hint="eastAsia" w:ascii="宋体" w:hAnsi="宋体" w:cs="宋体"/>
          <w:szCs w:val="28"/>
        </w:rPr>
        <w:t>09</w:t>
      </w:r>
      <w:r>
        <w:rPr>
          <w:rFonts w:hint="eastAsia" w:ascii="宋体" w:hAnsi="宋体" w:cs="宋体"/>
          <w:szCs w:val="28"/>
          <w:lang w:val="sq-AL"/>
        </w:rPr>
        <w:t>年</w:t>
      </w:r>
      <w:r>
        <w:rPr>
          <w:rFonts w:hint="eastAsia" w:ascii="宋体" w:hAnsi="宋体" w:cs="宋体"/>
          <w:szCs w:val="28"/>
        </w:rPr>
        <w:t>4</w:t>
      </w:r>
      <w:r>
        <w:rPr>
          <w:rFonts w:hint="eastAsia" w:ascii="宋体" w:hAnsi="宋体" w:cs="宋体"/>
          <w:szCs w:val="28"/>
          <w:lang w:val="sq-AL"/>
        </w:rPr>
        <w:t>月1日实施）；</w:t>
      </w:r>
    </w:p>
    <w:p w14:paraId="6D584852">
      <w:pPr>
        <w:ind w:firstLine="560"/>
        <w:rPr>
          <w:rFonts w:hint="eastAsia" w:ascii="宋体" w:hAnsi="宋体" w:cs="宋体"/>
          <w:color w:val="000000"/>
          <w:szCs w:val="28"/>
        </w:rPr>
      </w:pPr>
      <w:r>
        <w:rPr>
          <w:rFonts w:hint="eastAsia" w:ascii="宋体" w:hAnsi="宋体" w:cs="宋体"/>
          <w:color w:val="000000"/>
          <w:szCs w:val="28"/>
        </w:rPr>
        <w:t>7、《高处作业分级》（GB/T3608-2008，2009年6月1日实施）；</w:t>
      </w:r>
    </w:p>
    <w:p w14:paraId="6EDB519F">
      <w:pPr>
        <w:ind w:firstLine="560"/>
        <w:rPr>
          <w:rFonts w:hint="eastAsia" w:ascii="宋体" w:hAnsi="宋体" w:cs="宋体"/>
          <w:color w:val="000000"/>
          <w:szCs w:val="28"/>
        </w:rPr>
      </w:pPr>
      <w:r>
        <w:rPr>
          <w:rFonts w:hint="eastAsia"/>
        </w:rPr>
        <w:t>8、《3~110kV高压配电装置设计规范》（GB50060-2008，2009年6月1日实施）；</w:t>
      </w:r>
    </w:p>
    <w:p w14:paraId="6ED726E3">
      <w:pPr>
        <w:ind w:firstLine="560"/>
        <w:rPr>
          <w:rFonts w:hint="eastAsia" w:ascii="宋体" w:hAnsi="宋体" w:cs="宋体"/>
          <w:color w:val="000000" w:themeColor="text1"/>
          <w:szCs w:val="28"/>
          <w14:textFill>
            <w14:solidFill>
              <w14:schemeClr w14:val="tx1"/>
            </w14:solidFill>
          </w14:textFill>
        </w:rPr>
      </w:pPr>
      <w:r>
        <w:rPr>
          <w:rFonts w:hint="eastAsia"/>
        </w:rPr>
        <w:t>9、</w:t>
      </w:r>
      <w:r>
        <w:t>《固定式钢梯及平台安全要求 第3部分：工业防护栏杆及钢平台</w:t>
      </w:r>
      <w:r>
        <w:rPr>
          <w:color w:val="000000" w:themeColor="text1"/>
          <w14:textFill>
            <w14:solidFill>
              <w14:schemeClr w14:val="tx1"/>
            </w14:solidFill>
          </w14:textFill>
        </w:rPr>
        <w:t>》（GB4053.3-2009，2009年12月1日实施）</w:t>
      </w:r>
      <w:r>
        <w:rPr>
          <w:rFonts w:hint="eastAsia" w:ascii="宋体" w:hAnsi="宋体" w:cs="宋体"/>
          <w:color w:val="000000" w:themeColor="text1"/>
          <w:szCs w:val="28"/>
          <w14:textFill>
            <w14:solidFill>
              <w14:schemeClr w14:val="tx1"/>
            </w14:solidFill>
          </w14:textFill>
        </w:rPr>
        <w:t>；</w:t>
      </w:r>
    </w:p>
    <w:p w14:paraId="4EFBC27B">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10、《安全标志及其使用导则》（GB2894-2008，2009年10月1日实施）；</w:t>
      </w:r>
    </w:p>
    <w:p w14:paraId="2B60D7CE">
      <w:pPr>
        <w:ind w:firstLine="560"/>
        <w:rPr>
          <w:rFonts w:hint="eastAsia" w:ascii="宋体" w:hAnsi="宋体" w:cs="宋体"/>
          <w:color w:val="000000"/>
          <w:szCs w:val="28"/>
        </w:rPr>
      </w:pPr>
      <w:r>
        <w:rPr>
          <w:rFonts w:hint="eastAsia" w:ascii="宋体" w:hAnsi="宋体" w:cs="宋体"/>
          <w:color w:val="000000"/>
          <w:szCs w:val="28"/>
        </w:rPr>
        <w:t>11、</w:t>
      </w:r>
      <w:r>
        <w:rPr>
          <w:rFonts w:hint="eastAsia" w:ascii="宋体" w:hAnsi="宋体" w:cs="宋体"/>
          <w:color w:val="000000"/>
          <w:szCs w:val="28"/>
          <w:lang w:val="sq-AL"/>
        </w:rPr>
        <w:t>《生产过程安全卫生要求总则》（GB/T12801-2008，2009年10月1日实施）；</w:t>
      </w:r>
    </w:p>
    <w:p w14:paraId="3D43BBA0">
      <w:pPr>
        <w:ind w:firstLine="560"/>
        <w:rPr>
          <w:rFonts w:hint="eastAsia" w:ascii="宋体" w:hAnsi="宋体" w:cs="宋体"/>
          <w:szCs w:val="28"/>
          <w:lang w:val="sq-AL"/>
        </w:rPr>
      </w:pPr>
      <w:r>
        <w:rPr>
          <w:rFonts w:hint="eastAsia" w:ascii="宋体" w:hAnsi="宋体" w:cs="宋体"/>
          <w:color w:val="000000"/>
          <w:szCs w:val="28"/>
        </w:rPr>
        <w:t>12、</w:t>
      </w:r>
      <w:r>
        <w:rPr>
          <w:rFonts w:hint="eastAsia" w:ascii="宋体" w:hAnsi="宋体" w:cs="宋体"/>
          <w:color w:val="000000"/>
          <w:szCs w:val="28"/>
          <w:lang w:val="sq-AL"/>
        </w:rPr>
        <w:t>《矿山安全标志》</w:t>
      </w:r>
      <w:r>
        <w:rPr>
          <w:rFonts w:hint="eastAsia" w:ascii="宋体" w:hAnsi="宋体" w:cs="宋体"/>
          <w:szCs w:val="28"/>
          <w:lang w:val="sq-AL"/>
        </w:rPr>
        <w:t>（GB</w:t>
      </w:r>
      <w:r>
        <w:rPr>
          <w:rFonts w:hint="eastAsia" w:ascii="宋体" w:hAnsi="宋体" w:cs="宋体"/>
          <w:szCs w:val="28"/>
        </w:rPr>
        <w:t>/T</w:t>
      </w:r>
      <w:r>
        <w:rPr>
          <w:rFonts w:hint="eastAsia" w:ascii="宋体" w:hAnsi="宋体" w:cs="宋体"/>
          <w:szCs w:val="28"/>
          <w:lang w:val="sq-AL"/>
        </w:rPr>
        <w:t>14161-2008，20</w:t>
      </w:r>
      <w:r>
        <w:rPr>
          <w:rFonts w:hint="eastAsia" w:ascii="宋体" w:hAnsi="宋体" w:cs="宋体"/>
          <w:szCs w:val="28"/>
        </w:rPr>
        <w:t>09</w:t>
      </w:r>
      <w:r>
        <w:rPr>
          <w:rFonts w:hint="eastAsia" w:ascii="宋体" w:hAnsi="宋体" w:cs="宋体"/>
          <w:szCs w:val="28"/>
          <w:lang w:val="sq-AL"/>
        </w:rPr>
        <w:t>年</w:t>
      </w:r>
      <w:r>
        <w:rPr>
          <w:rFonts w:hint="eastAsia" w:ascii="宋体" w:hAnsi="宋体" w:cs="宋体"/>
          <w:szCs w:val="28"/>
        </w:rPr>
        <w:t>10</w:t>
      </w:r>
      <w:r>
        <w:rPr>
          <w:rFonts w:hint="eastAsia" w:ascii="宋体" w:hAnsi="宋体" w:cs="宋体"/>
          <w:szCs w:val="28"/>
          <w:lang w:val="sq-AL"/>
        </w:rPr>
        <w:t>月1日实施）；</w:t>
      </w:r>
    </w:p>
    <w:p w14:paraId="6A81AF08">
      <w:pPr>
        <w:ind w:firstLine="560"/>
      </w:pPr>
      <w:r>
        <w:rPr>
          <w:rFonts w:hint="eastAsia"/>
        </w:rPr>
        <w:t>13、《工业企业设计卫生标准》（GBZ1-2010，2010年8月1日起施行）；</w:t>
      </w:r>
    </w:p>
    <w:p w14:paraId="0C24B1CE">
      <w:pPr>
        <w:ind w:firstLine="560"/>
        <w:rPr>
          <w:rFonts w:hint="eastAsia" w:ascii="宋体" w:hAnsi="宋体" w:cs="宋体"/>
          <w:color w:val="000000"/>
          <w:szCs w:val="28"/>
        </w:rPr>
      </w:pPr>
      <w:r>
        <w:rPr>
          <w:rFonts w:hint="eastAsia" w:ascii="宋体" w:hAnsi="宋体" w:cs="宋体"/>
          <w:szCs w:val="28"/>
        </w:rPr>
        <w:t>14、《电气设备安全设计导则》(GB/T252</w:t>
      </w:r>
      <w:r>
        <w:rPr>
          <w:rFonts w:hint="eastAsia" w:ascii="宋体" w:hAnsi="宋体" w:cs="宋体"/>
          <w:color w:val="000000"/>
          <w:szCs w:val="28"/>
        </w:rPr>
        <w:t>95-2010，2010年5月1日实施)；</w:t>
      </w:r>
    </w:p>
    <w:p w14:paraId="76C5F4E3">
      <w:pPr>
        <w:pStyle w:val="17"/>
        <w:ind w:firstLine="560"/>
        <w:rPr>
          <w:rFonts w:hint="eastAsia" w:ascii="宋体" w:hAnsi="宋体" w:cs="宋体"/>
          <w:color w:val="000000"/>
          <w:szCs w:val="28"/>
        </w:rPr>
      </w:pPr>
      <w:r>
        <w:rPr>
          <w:rFonts w:hint="eastAsia"/>
        </w:rPr>
        <w:t>15、</w:t>
      </w:r>
      <w:r>
        <w:t>《建筑抗震设计标准》</w:t>
      </w:r>
      <w:r>
        <w:rPr>
          <w:rFonts w:hint="eastAsia"/>
        </w:rPr>
        <w:t>（2024版）（</w:t>
      </w:r>
      <w:r>
        <w:t>GB/T50011-2010</w:t>
      </w:r>
      <w:r>
        <w:rPr>
          <w:rFonts w:hint="eastAsia"/>
        </w:rPr>
        <w:t>，</w:t>
      </w:r>
      <w:r>
        <w:t>20</w:t>
      </w:r>
      <w:r>
        <w:rPr>
          <w:rFonts w:hint="eastAsia"/>
        </w:rPr>
        <w:t>10年12月1日施行）；</w:t>
      </w:r>
    </w:p>
    <w:p w14:paraId="2350AC7E">
      <w:pPr>
        <w:ind w:firstLine="560"/>
        <w:rPr>
          <w:rFonts w:hint="eastAsia" w:ascii="宋体" w:hAnsi="宋体" w:cs="宋体"/>
          <w:color w:val="C00000"/>
          <w:szCs w:val="28"/>
        </w:rPr>
      </w:pPr>
      <w:r>
        <w:rPr>
          <w:rFonts w:hint="eastAsia"/>
        </w:rPr>
        <w:t>16、</w:t>
      </w:r>
      <w:r>
        <w:t>《建筑物防雷设计规范》（GB50057-2010，2011年10月1日实施）</w:t>
      </w:r>
      <w:r>
        <w:rPr>
          <w:rFonts w:hint="eastAsia"/>
        </w:rPr>
        <w:t>；</w:t>
      </w:r>
    </w:p>
    <w:p w14:paraId="68F61358">
      <w:pPr>
        <w:ind w:firstLine="560"/>
        <w:rPr>
          <w:rFonts w:hint="eastAsia" w:ascii="宋体" w:hAnsi="宋体" w:cs="宋体"/>
          <w:color w:val="000000"/>
          <w:szCs w:val="28"/>
        </w:rPr>
      </w:pPr>
      <w:r>
        <w:rPr>
          <w:rFonts w:hint="eastAsia"/>
        </w:rPr>
        <w:t>17、《低压配电设计规范》（GB50054-2011，2012年6月1日实施）；</w:t>
      </w:r>
    </w:p>
    <w:p w14:paraId="4351124D">
      <w:pPr>
        <w:ind w:firstLine="560"/>
        <w:rPr>
          <w:rFonts w:hint="eastAsia" w:ascii="宋体" w:hAnsi="宋体" w:cs="宋体"/>
          <w:color w:val="000000"/>
          <w:szCs w:val="28"/>
        </w:rPr>
      </w:pPr>
      <w:r>
        <w:rPr>
          <w:rFonts w:hint="eastAsia" w:ascii="宋体" w:hAnsi="宋体" w:cs="宋体"/>
          <w:color w:val="000000"/>
          <w:szCs w:val="28"/>
        </w:rPr>
        <w:t>18、《工业企业总平面设计规范》（GB50187-2012，2012年8月1日实施）；</w:t>
      </w:r>
    </w:p>
    <w:p w14:paraId="1837ED11">
      <w:pPr>
        <w:ind w:firstLine="560"/>
        <w:rPr>
          <w:rFonts w:hint="eastAsia" w:ascii="宋体" w:hAnsi="宋体" w:cs="宋体"/>
          <w:szCs w:val="28"/>
        </w:rPr>
      </w:pPr>
      <w:r>
        <w:rPr>
          <w:rFonts w:hint="eastAsia" w:cs="宋体"/>
          <w:color w:val="000000"/>
          <w:szCs w:val="28"/>
          <w:shd w:val="clear" w:color="auto" w:fill="FFFFFF"/>
        </w:rPr>
        <w:t>19</w:t>
      </w:r>
      <w:r>
        <w:rPr>
          <w:rFonts w:hint="eastAsia" w:ascii="宋体" w:hAnsi="宋体" w:cs="宋体"/>
          <w:color w:val="000000"/>
          <w:szCs w:val="28"/>
        </w:rPr>
        <w:t>、</w:t>
      </w:r>
      <w:r>
        <w:rPr>
          <w:rFonts w:hint="eastAsia" w:ascii="宋体" w:hAnsi="宋体" w:cs="宋体"/>
          <w:szCs w:val="28"/>
        </w:rPr>
        <w:t>《</w:t>
      </w:r>
      <w:r>
        <w:rPr>
          <w:rFonts w:hint="eastAsia" w:ascii="宋体" w:hAnsi="宋体" w:cs="宋体"/>
          <w:szCs w:val="28"/>
          <w:shd w:val="clear" w:color="auto" w:fill="FFFFFF"/>
        </w:rPr>
        <w:t>冶金矿山采矿设计规范》</w:t>
      </w:r>
      <w:r>
        <w:rPr>
          <w:rFonts w:hint="eastAsia" w:ascii="宋体" w:hAnsi="宋体" w:cs="宋体"/>
          <w:color w:val="000000"/>
          <w:szCs w:val="28"/>
          <w:shd w:val="clear" w:color="auto" w:fill="FFFFFF"/>
        </w:rPr>
        <w:t>（</w:t>
      </w:r>
      <w:r>
        <w:rPr>
          <w:rStyle w:val="47"/>
          <w:rFonts w:hint="eastAsia" w:ascii="宋体" w:hAnsi="宋体" w:cs="宋体"/>
          <w:b w:val="0"/>
          <w:bCs w:val="0"/>
          <w:color w:val="000000"/>
          <w:szCs w:val="28"/>
          <w:shd w:val="clear" w:color="auto" w:fill="FFFFFF"/>
        </w:rPr>
        <w:t>GB50830-2013，</w:t>
      </w:r>
      <w:r>
        <w:rPr>
          <w:rStyle w:val="47"/>
          <w:rFonts w:hint="eastAsia" w:ascii="宋体" w:hAnsi="宋体" w:cs="宋体"/>
          <w:b w:val="0"/>
          <w:bCs w:val="0"/>
          <w:color w:val="2B2B2B"/>
          <w:kern w:val="0"/>
          <w:szCs w:val="28"/>
          <w:lang w:bidi="ar"/>
        </w:rPr>
        <w:t>实施日期2013年10月</w:t>
      </w:r>
      <w:r>
        <w:rPr>
          <w:rStyle w:val="47"/>
          <w:rFonts w:hint="eastAsia" w:ascii="宋体" w:hAnsi="宋体" w:cs="宋体"/>
          <w:b w:val="0"/>
          <w:bCs w:val="0"/>
          <w:kern w:val="0"/>
          <w:szCs w:val="28"/>
          <w:lang w:bidi="ar"/>
        </w:rPr>
        <w:t>1日</w:t>
      </w:r>
      <w:r>
        <w:rPr>
          <w:rFonts w:hint="eastAsia" w:ascii="宋体" w:hAnsi="宋体" w:cs="宋体"/>
          <w:szCs w:val="28"/>
        </w:rPr>
        <w:t>）；</w:t>
      </w:r>
    </w:p>
    <w:p w14:paraId="348E5787">
      <w:pPr>
        <w:ind w:firstLine="560"/>
        <w:rPr>
          <w:rFonts w:hint="eastAsia" w:ascii="宋体" w:hAnsi="宋体" w:cs="宋体"/>
          <w:szCs w:val="28"/>
        </w:rPr>
      </w:pPr>
      <w:r>
        <w:rPr>
          <w:rFonts w:hint="eastAsia"/>
          <w:bCs/>
          <w:color w:val="000000"/>
        </w:rPr>
        <w:t>20、</w:t>
      </w:r>
      <w:r>
        <w:rPr>
          <w:bCs/>
          <w:color w:val="000000"/>
        </w:rPr>
        <w:t>《2</w:t>
      </w:r>
      <w:r>
        <w:rPr>
          <w:bCs/>
        </w:rPr>
        <w:t>0kV及以下变电所设计规范》（GB50053</w:t>
      </w:r>
      <w:r>
        <w:rPr>
          <w:rFonts w:hint="eastAsia"/>
          <w:bCs/>
        </w:rPr>
        <w:t>-</w:t>
      </w:r>
      <w:r>
        <w:rPr>
          <w:bCs/>
        </w:rPr>
        <w:t>2013</w:t>
      </w:r>
      <w:r>
        <w:rPr>
          <w:rFonts w:hint="eastAsia"/>
          <w:bCs/>
        </w:rPr>
        <w:t>，自2014年7月1日起施行</w:t>
      </w:r>
      <w:r>
        <w:rPr>
          <w:bCs/>
        </w:rPr>
        <w:t>）</w:t>
      </w:r>
      <w:r>
        <w:rPr>
          <w:rFonts w:hint="eastAsia" w:ascii="宋体" w:hAnsi="宋体" w:cs="宋体"/>
          <w:szCs w:val="28"/>
        </w:rPr>
        <w:t>；</w:t>
      </w:r>
    </w:p>
    <w:p w14:paraId="53C0B247">
      <w:pPr>
        <w:ind w:firstLine="560"/>
        <w:rPr>
          <w:rFonts w:hint="eastAsia" w:ascii="宋体" w:hAnsi="宋体" w:cs="宋体"/>
          <w:szCs w:val="28"/>
        </w:rPr>
      </w:pPr>
      <w:r>
        <w:rPr>
          <w:rFonts w:hint="eastAsia" w:ascii="宋体" w:hAnsi="宋体" w:cs="宋体"/>
          <w:szCs w:val="28"/>
        </w:rPr>
        <w:t>21、《非煤露天矿边坡工程技术规范》（GB51016-2014，2015年5月1日施行）；</w:t>
      </w:r>
    </w:p>
    <w:p w14:paraId="22843EA3">
      <w:pPr>
        <w:ind w:firstLine="560"/>
        <w:rPr>
          <w:rFonts w:hint="eastAsia" w:ascii="宋体" w:hAnsi="宋体" w:cs="宋体"/>
          <w:color w:val="000000"/>
          <w:szCs w:val="28"/>
        </w:rPr>
      </w:pPr>
      <w:r>
        <w:rPr>
          <w:rFonts w:hint="eastAsia" w:ascii="宋体" w:hAnsi="宋体" w:cs="宋体"/>
          <w:color w:val="000000"/>
          <w:szCs w:val="28"/>
        </w:rPr>
        <w:t>22、《爆破安全规程》(GB6722-2014,2015年7月1日实施)；</w:t>
      </w:r>
    </w:p>
    <w:p w14:paraId="4663BBD2">
      <w:pPr>
        <w:ind w:firstLine="560"/>
        <w:rPr>
          <w:rFonts w:hint="eastAsia" w:ascii="宋体" w:hAnsi="宋体" w:cs="宋体"/>
          <w:szCs w:val="28"/>
        </w:rPr>
      </w:pPr>
      <w:r>
        <w:rPr>
          <w:rFonts w:hint="eastAsia"/>
        </w:rPr>
        <w:t>23、</w:t>
      </w:r>
      <w:r>
        <w:t>《中国地震动参数区划图》（GB18306-2015，201</w:t>
      </w:r>
      <w:r>
        <w:rPr>
          <w:rFonts w:hint="eastAsia"/>
        </w:rPr>
        <w:t>6</w:t>
      </w:r>
      <w:r>
        <w:t>年</w:t>
      </w:r>
      <w:r>
        <w:rPr>
          <w:rFonts w:hint="eastAsia"/>
        </w:rPr>
        <w:t>6</w:t>
      </w:r>
      <w:r>
        <w:t>月1日实施）</w:t>
      </w:r>
      <w:r>
        <w:rPr>
          <w:rFonts w:hint="eastAsia"/>
        </w:rPr>
        <w:t>；</w:t>
      </w:r>
    </w:p>
    <w:p w14:paraId="7B294180">
      <w:pPr>
        <w:ind w:firstLine="560"/>
      </w:pPr>
      <w:r>
        <w:rPr>
          <w:rFonts w:hint="eastAsia"/>
        </w:rPr>
        <w:t>24、</w:t>
      </w:r>
      <w:bookmarkStart w:id="218" w:name="_Hlk168118609"/>
      <w:r>
        <w:t>《&lt;固定式压力容器安全技术监察规程&gt;行业标准第1号修改单》（TSG21-2016/XG1-2020）</w:t>
      </w:r>
      <w:bookmarkEnd w:id="218"/>
      <w:r>
        <w:rPr>
          <w:rFonts w:hint="eastAsia"/>
        </w:rPr>
        <w:t>；</w:t>
      </w:r>
    </w:p>
    <w:p w14:paraId="78C2C003">
      <w:pPr>
        <w:ind w:firstLine="560"/>
        <w:rPr>
          <w:rFonts w:hint="eastAsia" w:ascii="宋体" w:hAnsi="宋体" w:cs="宋体"/>
          <w:szCs w:val="28"/>
        </w:rPr>
      </w:pPr>
      <w:r>
        <w:rPr>
          <w:rFonts w:hint="eastAsia" w:ascii="宋体" w:hAnsi="宋体" w:cs="宋体"/>
          <w:szCs w:val="28"/>
        </w:rPr>
        <w:t>25、</w:t>
      </w:r>
      <w:r>
        <w:rPr>
          <w:rFonts w:hint="eastAsia" w:ascii="宋体" w:hAnsi="宋体" w:cs="宋体"/>
          <w:szCs w:val="28"/>
          <w:lang w:val="sq-AL"/>
        </w:rPr>
        <w:t>《用电安全导则》（GB/T13869-2017，20</w:t>
      </w:r>
      <w:r>
        <w:rPr>
          <w:rFonts w:hint="eastAsia" w:ascii="宋体" w:hAnsi="宋体" w:cs="宋体"/>
          <w:szCs w:val="28"/>
        </w:rPr>
        <w:t>18</w:t>
      </w:r>
      <w:r>
        <w:rPr>
          <w:rFonts w:hint="eastAsia" w:ascii="宋体" w:hAnsi="宋体" w:cs="宋体"/>
          <w:szCs w:val="28"/>
          <w:lang w:val="sq-AL"/>
        </w:rPr>
        <w:t>年</w:t>
      </w:r>
      <w:r>
        <w:rPr>
          <w:rFonts w:hint="eastAsia" w:ascii="宋体" w:hAnsi="宋体" w:cs="宋体"/>
          <w:szCs w:val="28"/>
        </w:rPr>
        <w:t>7</w:t>
      </w:r>
      <w:r>
        <w:rPr>
          <w:rFonts w:hint="eastAsia" w:ascii="宋体" w:hAnsi="宋体" w:cs="宋体"/>
          <w:szCs w:val="28"/>
          <w:lang w:val="sq-AL"/>
        </w:rPr>
        <w:t>月1日实施）</w:t>
      </w:r>
      <w:r>
        <w:rPr>
          <w:rFonts w:hint="eastAsia" w:ascii="宋体" w:hAnsi="宋体" w:cs="宋体"/>
          <w:szCs w:val="28"/>
        </w:rPr>
        <w:t>；</w:t>
      </w:r>
    </w:p>
    <w:p w14:paraId="624D1E4F">
      <w:pPr>
        <w:ind w:firstLine="560"/>
        <w:rPr>
          <w:rFonts w:hint="eastAsia" w:ascii="宋体" w:hAnsi="宋体" w:cs="宋体"/>
          <w:color w:val="000000"/>
          <w:szCs w:val="28"/>
        </w:rPr>
      </w:pPr>
      <w:r>
        <w:rPr>
          <w:rFonts w:hint="eastAsia" w:ascii="宋体" w:hAnsi="宋体" w:cs="宋体"/>
          <w:szCs w:val="28"/>
        </w:rPr>
        <w:t>26、《建筑设计防火规范》（</w:t>
      </w:r>
      <w:r>
        <w:rPr>
          <w:rFonts w:hint="eastAsia" w:ascii="宋体" w:hAnsi="宋体" w:cs="宋体"/>
          <w:color w:val="000000"/>
          <w:szCs w:val="28"/>
        </w:rPr>
        <w:t>GB50016-2014，2018修订版，2018年10月1日实施）；</w:t>
      </w:r>
    </w:p>
    <w:p w14:paraId="4390BA34">
      <w:pPr>
        <w:ind w:firstLine="560"/>
      </w:pPr>
      <w:r>
        <w:rPr>
          <w:rFonts w:hint="eastAsia"/>
        </w:rPr>
        <w:t>27、《有色金属矿山排土场设计标准》（GB50421-2018，2018年12月1日实施）</w:t>
      </w:r>
    </w:p>
    <w:p w14:paraId="2244403F">
      <w:pPr>
        <w:ind w:firstLine="560"/>
      </w:pPr>
      <w:r>
        <w:rPr>
          <w:rFonts w:hint="eastAsia"/>
        </w:rPr>
        <w:t>28、《</w:t>
      </w:r>
      <w:r>
        <w:t>金属非金属露天矿山高陡边坡安全监测技术规范</w:t>
      </w:r>
      <w:r>
        <w:rPr>
          <w:rFonts w:hint="eastAsia"/>
        </w:rPr>
        <w:t>》（</w:t>
      </w:r>
      <w:r>
        <w:fldChar w:fldCharType="begin"/>
      </w:r>
      <w:r>
        <w:instrText xml:space="preserve"> HYPERLINK "http://www.csres.com/detail/412933.html" \t "http://www.csres.com/detail/_blank" </w:instrText>
      </w:r>
      <w:r>
        <w:fldChar w:fldCharType="separate"/>
      </w:r>
      <w:r>
        <w:rPr>
          <w:rStyle w:val="51"/>
          <w:rFonts w:hint="eastAsia" w:ascii="宋体" w:hAnsi="宋体" w:cs="宋体"/>
          <w:color w:val="auto"/>
          <w:szCs w:val="21"/>
          <w:u w:val="none"/>
          <w:shd w:val="clear" w:color="auto" w:fill="FFFFFF"/>
        </w:rPr>
        <w:t>KA/T2063 -2018</w:t>
      </w:r>
      <w:r>
        <w:rPr>
          <w:rStyle w:val="51"/>
          <w:rFonts w:hint="eastAsia" w:ascii="宋体" w:hAnsi="宋体" w:cs="宋体"/>
          <w:color w:val="auto"/>
          <w:szCs w:val="21"/>
          <w:u w:val="none"/>
          <w:shd w:val="clear" w:color="auto" w:fill="FFFFFF"/>
        </w:rPr>
        <w:fldChar w:fldCharType="end"/>
      </w:r>
      <w:r>
        <w:rPr>
          <w:rFonts w:hint="eastAsia"/>
        </w:rPr>
        <w:t>，2018年12月1日实施）</w:t>
      </w:r>
    </w:p>
    <w:p w14:paraId="2F61852F">
      <w:pPr>
        <w:ind w:firstLine="560"/>
        <w:rPr>
          <w:rFonts w:hint="eastAsia" w:ascii="宋体" w:hAnsi="宋体" w:cs="宋体"/>
          <w:color w:val="000000"/>
          <w:szCs w:val="28"/>
        </w:rPr>
      </w:pPr>
      <w:r>
        <w:rPr>
          <w:rFonts w:hint="eastAsia" w:ascii="宋体" w:hAnsi="宋体" w:cs="宋体"/>
          <w:color w:val="000000"/>
          <w:szCs w:val="28"/>
        </w:rPr>
        <w:t>29、《头部防护安全帽》（GB2811-2019，2020年7月1日实施）；</w:t>
      </w:r>
    </w:p>
    <w:p w14:paraId="4B3F1CD0">
      <w:pPr>
        <w:ind w:firstLine="560"/>
        <w:rPr>
          <w:rFonts w:hint="eastAsia" w:ascii="宋体" w:hAnsi="宋体" w:cs="宋体"/>
          <w:color w:val="000000"/>
          <w:szCs w:val="28"/>
        </w:rPr>
      </w:pPr>
      <w:r>
        <w:rPr>
          <w:rFonts w:hint="eastAsia" w:ascii="宋体" w:hAnsi="宋体" w:cs="宋体"/>
          <w:color w:val="000000"/>
          <w:szCs w:val="28"/>
        </w:rPr>
        <w:t>30、《机械安全防护装置固定式和活动式防护装置设计与制造一般要求》（GB/T8196-2018，2019年7月1日实施）；</w:t>
      </w:r>
    </w:p>
    <w:p w14:paraId="4F412F01">
      <w:pPr>
        <w:ind w:firstLine="560"/>
        <w:rPr>
          <w:rFonts w:hint="eastAsia" w:ascii="宋体" w:hAnsi="宋体" w:cs="宋体"/>
          <w:color w:val="000000"/>
          <w:szCs w:val="28"/>
        </w:rPr>
      </w:pPr>
      <w:r>
        <w:rPr>
          <w:rFonts w:hint="eastAsia" w:ascii="宋体" w:hAnsi="宋体" w:cs="宋体"/>
          <w:color w:val="000000"/>
          <w:szCs w:val="28"/>
        </w:rPr>
        <w:t>31、《生产安全事故应急演练基本规范》（AQ/T9007-2019，2020年2月1日实施）；</w:t>
      </w:r>
    </w:p>
    <w:p w14:paraId="12B5123B">
      <w:pPr>
        <w:ind w:firstLine="560"/>
        <w:rPr>
          <w:rFonts w:hint="eastAsia" w:ascii="宋体" w:hAnsi="宋体" w:cs="宋体"/>
          <w:color w:val="000000"/>
          <w:szCs w:val="28"/>
        </w:rPr>
      </w:pPr>
      <w:r>
        <w:rPr>
          <w:rFonts w:hint="eastAsia" w:ascii="宋体" w:hAnsi="宋体" w:cs="宋体"/>
          <w:color w:val="000000"/>
          <w:szCs w:val="28"/>
        </w:rPr>
        <w:t>32、《矿山电力设计标准》（GB50070-2020，2020年10月1日实施）；</w:t>
      </w:r>
    </w:p>
    <w:p w14:paraId="4789253E">
      <w:pPr>
        <w:ind w:firstLine="560"/>
        <w:rPr>
          <w:rFonts w:hint="eastAsia" w:ascii="宋体" w:hAnsi="宋体" w:cs="宋体"/>
          <w:color w:val="000000"/>
          <w:szCs w:val="28"/>
        </w:rPr>
      </w:pPr>
      <w:r>
        <w:rPr>
          <w:rFonts w:hint="eastAsia" w:ascii="宋体" w:hAnsi="宋体" w:cs="宋体"/>
          <w:color w:val="000000"/>
          <w:szCs w:val="28"/>
        </w:rPr>
        <w:t>33、《图形符号安全色和安全标志第5部分：安全标志使用原则与要求》（GB/T2893.5-2020，2020年10月1日实施）；</w:t>
      </w:r>
    </w:p>
    <w:p w14:paraId="7366A41F">
      <w:pPr>
        <w:ind w:firstLine="560"/>
        <w:rPr>
          <w:rFonts w:hint="eastAsia" w:ascii="宋体" w:hAnsi="宋体" w:cs="宋体"/>
          <w:color w:val="000000"/>
          <w:szCs w:val="28"/>
        </w:rPr>
      </w:pPr>
      <w:r>
        <w:rPr>
          <w:rFonts w:hint="eastAsia" w:ascii="宋体" w:hAnsi="宋体" w:cs="宋体"/>
          <w:color w:val="000000"/>
          <w:szCs w:val="28"/>
        </w:rPr>
        <w:t>34、《金属非金属矿山安全规程》（GB16423-2020，2021年9月1日实施）；</w:t>
      </w:r>
    </w:p>
    <w:p w14:paraId="43B328FB">
      <w:pPr>
        <w:ind w:firstLine="560"/>
        <w:rPr>
          <w:rFonts w:hint="eastAsia" w:ascii="宋体" w:hAnsi="宋体" w:cs="宋体"/>
          <w:color w:val="000000"/>
          <w:szCs w:val="28"/>
        </w:rPr>
      </w:pPr>
      <w:r>
        <w:rPr>
          <w:rFonts w:hint="eastAsia"/>
          <w:color w:val="000000"/>
          <w:szCs w:val="28"/>
        </w:rPr>
        <w:t>35、</w:t>
      </w:r>
      <w:r>
        <w:rPr>
          <w:color w:val="000000"/>
          <w:szCs w:val="28"/>
        </w:rPr>
        <w:t>《矿区水文地质工程地质勘</w:t>
      </w:r>
      <w:r>
        <w:rPr>
          <w:rFonts w:hint="eastAsia"/>
          <w:color w:val="000000"/>
          <w:szCs w:val="28"/>
        </w:rPr>
        <w:t>查</w:t>
      </w:r>
      <w:r>
        <w:rPr>
          <w:color w:val="000000"/>
          <w:szCs w:val="28"/>
        </w:rPr>
        <w:t>规范》</w:t>
      </w:r>
      <w:r>
        <w:rPr>
          <w:rFonts w:hint="eastAsia"/>
          <w:color w:val="000000"/>
          <w:szCs w:val="28"/>
        </w:rPr>
        <w:t>（</w:t>
      </w:r>
      <w:r>
        <w:rPr>
          <w:color w:val="000000"/>
          <w:szCs w:val="28"/>
        </w:rPr>
        <w:t>GB</w:t>
      </w:r>
      <w:r>
        <w:rPr>
          <w:rFonts w:hint="eastAsia"/>
          <w:color w:val="000000"/>
          <w:szCs w:val="28"/>
        </w:rPr>
        <w:t>/T1</w:t>
      </w:r>
      <w:r>
        <w:rPr>
          <w:color w:val="000000"/>
          <w:szCs w:val="28"/>
        </w:rPr>
        <w:t>2719</w:t>
      </w:r>
      <w:r>
        <w:rPr>
          <w:rFonts w:hint="eastAsia"/>
          <w:color w:val="000000"/>
          <w:szCs w:val="28"/>
        </w:rPr>
        <w:t>-2021，</w:t>
      </w:r>
      <w:r>
        <w:rPr>
          <w:rFonts w:hint="eastAsia" w:ascii="宋体" w:hAnsi="宋体" w:cs="宋体"/>
          <w:color w:val="000000"/>
          <w:szCs w:val="28"/>
        </w:rPr>
        <w:t>2021年12月1日实施）</w:t>
      </w:r>
      <w:r>
        <w:rPr>
          <w:rFonts w:hint="eastAsia" w:ascii="宋体" w:hAnsi="宋体" w:cs="宋体"/>
          <w:szCs w:val="28"/>
        </w:rPr>
        <w:t>；</w:t>
      </w:r>
    </w:p>
    <w:p w14:paraId="4B37F86E">
      <w:pPr>
        <w:ind w:firstLine="560"/>
        <w:rPr>
          <w:rFonts w:hint="eastAsia" w:ascii="宋体" w:hAnsi="宋体" w:cs="宋体"/>
          <w:color w:val="000000"/>
          <w:szCs w:val="28"/>
          <w:lang w:val="sq-AL"/>
        </w:rPr>
      </w:pPr>
      <w:r>
        <w:rPr>
          <w:rFonts w:hint="eastAsia" w:ascii="宋体" w:hAnsi="宋体" w:cs="宋体"/>
          <w:color w:val="000000"/>
          <w:szCs w:val="28"/>
        </w:rPr>
        <w:t>36、</w:t>
      </w:r>
      <w:r>
        <w:rPr>
          <w:rFonts w:hint="eastAsia" w:ascii="宋体" w:hAnsi="宋体" w:cs="宋体"/>
          <w:color w:val="000000"/>
          <w:szCs w:val="28"/>
          <w:lang w:val="sq-AL"/>
        </w:rPr>
        <w:t>《电力变压器运行规程》（DL/T572-20</w:t>
      </w:r>
      <w:r>
        <w:rPr>
          <w:rFonts w:hint="eastAsia" w:ascii="宋体" w:hAnsi="宋体" w:cs="宋体"/>
          <w:color w:val="000000"/>
          <w:szCs w:val="28"/>
        </w:rPr>
        <w:t>21</w:t>
      </w:r>
      <w:r>
        <w:rPr>
          <w:rFonts w:hint="eastAsia" w:ascii="宋体" w:hAnsi="宋体" w:cs="宋体"/>
          <w:color w:val="000000"/>
          <w:szCs w:val="28"/>
          <w:lang w:val="sq-AL"/>
        </w:rPr>
        <w:t>，</w:t>
      </w:r>
      <w:r>
        <w:rPr>
          <w:rFonts w:hint="eastAsia" w:ascii="宋体" w:hAnsi="宋体" w:cs="宋体"/>
          <w:color w:val="000000"/>
          <w:szCs w:val="28"/>
        </w:rPr>
        <w:t>2021</w:t>
      </w:r>
      <w:r>
        <w:rPr>
          <w:rFonts w:hint="eastAsia" w:ascii="宋体" w:hAnsi="宋体" w:cs="宋体"/>
          <w:color w:val="000000"/>
          <w:szCs w:val="28"/>
          <w:lang w:val="sq-AL"/>
        </w:rPr>
        <w:t>年</w:t>
      </w:r>
      <w:r>
        <w:rPr>
          <w:rFonts w:hint="eastAsia" w:ascii="宋体" w:hAnsi="宋体" w:cs="宋体"/>
          <w:color w:val="000000"/>
          <w:szCs w:val="28"/>
        </w:rPr>
        <w:t>10</w:t>
      </w:r>
      <w:r>
        <w:rPr>
          <w:rFonts w:hint="eastAsia" w:ascii="宋体" w:hAnsi="宋体" w:cs="宋体"/>
          <w:color w:val="000000"/>
          <w:szCs w:val="28"/>
          <w:lang w:val="sq-AL"/>
        </w:rPr>
        <w:t>月</w:t>
      </w:r>
      <w:r>
        <w:rPr>
          <w:rFonts w:hint="eastAsia" w:ascii="宋体" w:hAnsi="宋体" w:cs="宋体"/>
          <w:color w:val="000000"/>
          <w:szCs w:val="28"/>
        </w:rPr>
        <w:t>26</w:t>
      </w:r>
      <w:r>
        <w:rPr>
          <w:rFonts w:hint="eastAsia" w:ascii="宋体" w:hAnsi="宋体" w:cs="宋体"/>
          <w:color w:val="000000"/>
          <w:szCs w:val="28"/>
          <w:lang w:val="sq-AL"/>
        </w:rPr>
        <w:t>日实施）；</w:t>
      </w:r>
    </w:p>
    <w:p w14:paraId="3D42663C">
      <w:pPr>
        <w:pStyle w:val="17"/>
        <w:ind w:firstLine="560"/>
        <w:rPr>
          <w:rFonts w:hint="eastAsia" w:ascii="宋体" w:hAnsi="宋体" w:cs="宋体"/>
          <w:szCs w:val="28"/>
        </w:rPr>
      </w:pPr>
      <w:r>
        <w:rPr>
          <w:rFonts w:hint="eastAsia"/>
        </w:rPr>
        <w:t>37、《凿岩机械与气动工具安全要求》（</w:t>
      </w:r>
      <w:r>
        <w:t>GB17957-2021</w:t>
      </w:r>
      <w:r>
        <w:rPr>
          <w:rFonts w:hint="eastAsia"/>
        </w:rPr>
        <w:t>）；</w:t>
      </w:r>
    </w:p>
    <w:p w14:paraId="3758D035">
      <w:pPr>
        <w:ind w:firstLine="560"/>
        <w:rPr>
          <w:rFonts w:hint="eastAsia" w:ascii="宋体" w:hAnsi="宋体" w:cs="宋体"/>
          <w:color w:val="000000"/>
          <w:szCs w:val="28"/>
        </w:rPr>
      </w:pPr>
      <w:r>
        <w:rPr>
          <w:rFonts w:hint="eastAsia" w:ascii="宋体" w:hAnsi="宋体" w:cs="宋体"/>
          <w:color w:val="000000"/>
          <w:szCs w:val="28"/>
        </w:rPr>
        <w:t>38、《生产过程危险和有害因素分类与代码》（GB/T13861-2022，2022年10月1日实施）；</w:t>
      </w:r>
    </w:p>
    <w:p w14:paraId="653854DF">
      <w:pPr>
        <w:ind w:firstLine="560"/>
        <w:rPr>
          <w:rFonts w:hint="eastAsia" w:ascii="宋体" w:hAnsi="宋体" w:cs="宋体"/>
          <w:color w:val="000000"/>
          <w:szCs w:val="28"/>
        </w:rPr>
      </w:pPr>
      <w:r>
        <w:rPr>
          <w:rFonts w:hint="eastAsia" w:ascii="宋体" w:hAnsi="宋体" w:cs="宋体"/>
          <w:color w:val="000000"/>
          <w:szCs w:val="28"/>
        </w:rPr>
        <w:t>39</w:t>
      </w:r>
      <w:r>
        <w:rPr>
          <w:rFonts w:hint="eastAsia"/>
        </w:rPr>
        <w:t>、</w:t>
      </w:r>
      <w:r>
        <w:t>《个体防护装备配备规范 第1部分：总则》（GB39800.1-2020，2022年01月01日实施）</w:t>
      </w:r>
      <w:r>
        <w:rPr>
          <w:rFonts w:hint="eastAsia"/>
        </w:rPr>
        <w:t>；</w:t>
      </w:r>
    </w:p>
    <w:p w14:paraId="3D1CE420">
      <w:pPr>
        <w:ind w:firstLine="560"/>
        <w:rPr>
          <w:color w:val="000000"/>
        </w:rPr>
      </w:pPr>
      <w:r>
        <w:rPr>
          <w:rFonts w:hint="eastAsia"/>
        </w:rPr>
        <w:t>40、</w:t>
      </w:r>
      <w:r>
        <w:t>《个体防护装备配备规范 第4部分：非煤矿山》（GB39800.4-2020，2022年01月01日</w:t>
      </w:r>
      <w:r>
        <w:rPr>
          <w:color w:val="000000"/>
        </w:rPr>
        <w:t>实施）</w:t>
      </w:r>
      <w:r>
        <w:rPr>
          <w:rFonts w:hint="eastAsia"/>
          <w:color w:val="000000"/>
        </w:rPr>
        <w:t>；</w:t>
      </w:r>
    </w:p>
    <w:p w14:paraId="186875CC">
      <w:pPr>
        <w:ind w:firstLine="560"/>
      </w:pPr>
      <w:r>
        <w:rPr>
          <w:rFonts w:hint="eastAsia"/>
        </w:rPr>
        <w:t>41、《个体防护装备安全管理规范》（AQ6111-2023，2025年1月1日实施）。</w:t>
      </w:r>
    </w:p>
    <w:p w14:paraId="7A7BC23C">
      <w:pPr>
        <w:pStyle w:val="17"/>
        <w:ind w:firstLine="560"/>
      </w:pPr>
      <w:r>
        <w:rPr>
          <w:rFonts w:hint="eastAsia"/>
        </w:rPr>
        <w:t>42、《企业安全生产标准化基本规范》（</w:t>
      </w:r>
      <w:r>
        <w:t>GB/T33000-2016</w:t>
      </w:r>
      <w:r>
        <w:rPr>
          <w:rFonts w:hint="eastAsia"/>
        </w:rPr>
        <w:t>）；</w:t>
      </w:r>
    </w:p>
    <w:p w14:paraId="78D781A9">
      <w:pPr>
        <w:pStyle w:val="17"/>
        <w:ind w:firstLine="560"/>
      </w:pPr>
      <w:r>
        <w:rPr>
          <w:rFonts w:hint="eastAsia"/>
        </w:rPr>
        <w:t>43、《金属非金属矿山安全标准化规范导则》（</w:t>
      </w:r>
      <w:r>
        <w:t>KA/T2050.1-2016</w:t>
      </w:r>
      <w:r>
        <w:rPr>
          <w:rFonts w:hint="eastAsia"/>
        </w:rPr>
        <w:t>）；</w:t>
      </w:r>
    </w:p>
    <w:p w14:paraId="7E9638FC">
      <w:pPr>
        <w:pStyle w:val="17"/>
        <w:ind w:firstLine="560"/>
      </w:pPr>
      <w:r>
        <w:rPr>
          <w:rFonts w:hint="eastAsia"/>
        </w:rPr>
        <w:t>44、《金属非金属矿山安全标准化规范露天矿山实施指南》（</w:t>
      </w:r>
      <w:r>
        <w:t>KA/T2050.3</w:t>
      </w:r>
      <w:r>
        <w:rPr>
          <w:rFonts w:hint="eastAsia"/>
        </w:rPr>
        <w:t xml:space="preserve"> </w:t>
      </w:r>
      <w:r>
        <w:t>-2016</w:t>
      </w:r>
      <w:r>
        <w:rPr>
          <w:rFonts w:hint="eastAsia"/>
        </w:rPr>
        <w:t>）；</w:t>
      </w:r>
    </w:p>
    <w:p w14:paraId="641520D8">
      <w:pPr>
        <w:pStyle w:val="17"/>
        <w:ind w:firstLine="560"/>
      </w:pPr>
      <w:r>
        <w:rPr>
          <w:rFonts w:hint="eastAsia"/>
        </w:rPr>
        <w:t>45、《金属非金属矿山在用设备设施安全检测检验目录》（</w:t>
      </w:r>
      <w:r>
        <w:t>KA/T2075</w:t>
      </w:r>
      <w:r>
        <w:rPr>
          <w:rFonts w:hint="eastAsia"/>
        </w:rPr>
        <w:t xml:space="preserve"> </w:t>
      </w:r>
      <w:r>
        <w:t>-2019</w:t>
      </w:r>
      <w:r>
        <w:rPr>
          <w:rFonts w:hint="eastAsia"/>
        </w:rPr>
        <w:t>）；</w:t>
      </w:r>
    </w:p>
    <w:p w14:paraId="1999DDB5">
      <w:pPr>
        <w:pStyle w:val="17"/>
        <w:ind w:firstLine="560"/>
      </w:pPr>
      <w:r>
        <w:rPr>
          <w:rFonts w:hint="eastAsia"/>
        </w:rPr>
        <w:t>46、《安全评价通则》（</w:t>
      </w:r>
      <w:r>
        <w:t>AQ8001-2007</w:t>
      </w:r>
      <w:r>
        <w:rPr>
          <w:rFonts w:hint="eastAsia"/>
        </w:rPr>
        <w:t>）；</w:t>
      </w:r>
    </w:p>
    <w:p w14:paraId="3EDB170F">
      <w:pPr>
        <w:pStyle w:val="17"/>
        <w:ind w:firstLine="560"/>
      </w:pPr>
      <w:r>
        <w:rPr>
          <w:rFonts w:hint="eastAsia"/>
        </w:rPr>
        <w:t>47、《安全预评价导则》（</w:t>
      </w:r>
      <w:r>
        <w:t>AQ8002-2007</w:t>
      </w:r>
      <w:r>
        <w:rPr>
          <w:rFonts w:hint="eastAsia"/>
        </w:rPr>
        <w:t>）。</w:t>
      </w:r>
    </w:p>
    <w:p w14:paraId="76107E07">
      <w:pPr>
        <w:pStyle w:val="1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48、</w:t>
      </w:r>
      <w:r>
        <w:rPr>
          <w:color w:val="000000" w:themeColor="text1"/>
          <w14:textFill>
            <w14:solidFill>
              <w14:schemeClr w14:val="tx1"/>
            </w14:solidFill>
          </w14:textFill>
        </w:rPr>
        <w:t>《选矿安全规程》</w:t>
      </w:r>
      <w:r>
        <w:rPr>
          <w:rFonts w:hint="eastAsia"/>
          <w:color w:val="000000" w:themeColor="text1"/>
          <w14:textFill>
            <w14:solidFill>
              <w14:schemeClr w14:val="tx1"/>
            </w14:solidFill>
          </w14:textFill>
        </w:rPr>
        <w:t>（GB/T 18152-2000）。</w:t>
      </w:r>
    </w:p>
    <w:p w14:paraId="71BFBBBD">
      <w:pPr>
        <w:pStyle w:val="5"/>
        <w:spacing w:after="120"/>
      </w:pPr>
      <w:bookmarkStart w:id="219" w:name="_Toc17065"/>
      <w:bookmarkStart w:id="220" w:name="_Toc21398"/>
      <w:bookmarkStart w:id="221" w:name="_Toc32737"/>
      <w:bookmarkStart w:id="222" w:name="_Toc12925"/>
      <w:bookmarkStart w:id="223" w:name="_Toc26833"/>
      <w:bookmarkStart w:id="224" w:name="_Toc16230"/>
      <w:bookmarkStart w:id="225" w:name="_Toc22241"/>
      <w:bookmarkStart w:id="226" w:name="_Toc215070136"/>
      <w:bookmarkStart w:id="227" w:name="_Toc18781"/>
      <w:r>
        <w:rPr>
          <w:rFonts w:hint="eastAsia"/>
        </w:rPr>
        <w:t>1.3.</w:t>
      </w:r>
      <w:bookmarkEnd w:id="156"/>
      <w:bookmarkEnd w:id="157"/>
      <w:r>
        <w:rPr>
          <w:rFonts w:hint="eastAsia"/>
        </w:rPr>
        <w:t>5建设项目合法证明文件</w:t>
      </w:r>
      <w:bookmarkEnd w:id="158"/>
      <w:bookmarkEnd w:id="159"/>
      <w:bookmarkEnd w:id="160"/>
      <w:bookmarkEnd w:id="161"/>
      <w:bookmarkEnd w:id="162"/>
      <w:bookmarkEnd w:id="219"/>
      <w:bookmarkEnd w:id="220"/>
      <w:bookmarkEnd w:id="221"/>
      <w:bookmarkEnd w:id="222"/>
      <w:bookmarkEnd w:id="223"/>
      <w:bookmarkEnd w:id="224"/>
      <w:bookmarkEnd w:id="225"/>
      <w:bookmarkEnd w:id="226"/>
      <w:bookmarkEnd w:id="227"/>
    </w:p>
    <w:p w14:paraId="639242C2">
      <w:pPr>
        <w:ind w:firstLine="560"/>
      </w:pPr>
      <w:r>
        <w:rPr>
          <w:rFonts w:hint="eastAsia"/>
        </w:rPr>
        <w:t>1、采矿许可证（副本）证号：</w:t>
      </w:r>
      <w:r>
        <w:rPr>
          <w:rFonts w:ascii="宋体" w:hAnsi="宋体"/>
          <w:szCs w:val="28"/>
        </w:rPr>
        <w:t>C326272023037230154872</w:t>
      </w:r>
      <w:r>
        <w:rPr>
          <w:rFonts w:hint="eastAsia"/>
        </w:rPr>
        <w:t>；</w:t>
      </w:r>
    </w:p>
    <w:p w14:paraId="7D180B7A">
      <w:pPr>
        <w:ind w:firstLine="560"/>
      </w:pPr>
      <w:r>
        <w:rPr>
          <w:rFonts w:hint="eastAsia"/>
        </w:rPr>
        <w:t>2、营业执照（副本）统一社会信用代码：</w:t>
      </w:r>
      <w:r>
        <w:rPr>
          <w:rFonts w:ascii="宋体" w:hAnsi="宋体"/>
          <w:szCs w:val="28"/>
        </w:rPr>
        <w:t>91532627MA6PTLLGOW</w:t>
      </w:r>
      <w:r>
        <w:rPr>
          <w:rFonts w:hint="eastAsia" w:ascii="宋体" w:hAnsi="宋体"/>
          <w:szCs w:val="28"/>
        </w:rPr>
        <w:t>；</w:t>
      </w:r>
    </w:p>
    <w:p w14:paraId="1E7D42F4">
      <w:pPr>
        <w:wordWrap w:val="0"/>
        <w:ind w:firstLine="560"/>
      </w:pPr>
      <w:r>
        <w:rPr>
          <w:rFonts w:hint="eastAsia"/>
        </w:rPr>
        <w:t>3、</w:t>
      </w:r>
      <w:r>
        <w:rPr>
          <w:rFonts w:hint="eastAsia" w:ascii="宋体" w:hAnsi="宋体" w:cs="宋体"/>
          <w:szCs w:val="28"/>
        </w:rPr>
        <w:t>云南省固定资产投资项目备案证：</w:t>
      </w:r>
      <w:r>
        <w:rPr>
          <w:rFonts w:hint="eastAsia"/>
          <w:snapToGrid w:val="0"/>
          <w:color w:val="000000"/>
          <w:kern w:val="0"/>
          <w:szCs w:val="28"/>
        </w:rPr>
        <w:t>备案号</w:t>
      </w:r>
      <w:r>
        <w:rPr>
          <w:rFonts w:hint="eastAsia" w:ascii="宋体" w:hAnsi="宋体" w:cs="宋体"/>
          <w:snapToGrid w:val="0"/>
          <w:color w:val="000000"/>
          <w:kern w:val="0"/>
          <w:szCs w:val="28"/>
        </w:rPr>
        <w:t>[项目代码]</w:t>
      </w:r>
      <w:r>
        <w:rPr>
          <w:rFonts w:hint="eastAsia"/>
          <w:snapToGrid w:val="0"/>
          <w:color w:val="000000"/>
          <w:kern w:val="0"/>
          <w:szCs w:val="28"/>
        </w:rPr>
        <w:t>：</w:t>
      </w:r>
      <w:r>
        <w:rPr>
          <w:bCs/>
          <w:snapToGrid w:val="0"/>
          <w:color w:val="000000"/>
          <w:kern w:val="0"/>
          <w:szCs w:val="28"/>
        </w:rPr>
        <w:t>2302-532627-04-05-191623</w:t>
      </w:r>
      <w:r>
        <w:rPr>
          <w:rFonts w:hint="eastAsia"/>
          <w:bCs/>
          <w:snapToGrid w:val="0"/>
          <w:color w:val="000000"/>
          <w:kern w:val="0"/>
          <w:szCs w:val="28"/>
        </w:rPr>
        <w:t>。</w:t>
      </w:r>
    </w:p>
    <w:p w14:paraId="467E5964">
      <w:pPr>
        <w:pStyle w:val="5"/>
        <w:spacing w:after="120"/>
      </w:pPr>
      <w:bookmarkStart w:id="228" w:name="_Toc26216"/>
      <w:bookmarkStart w:id="229" w:name="_Toc18561"/>
      <w:bookmarkStart w:id="230" w:name="_Toc14423"/>
      <w:bookmarkStart w:id="231" w:name="_Toc19483"/>
      <w:bookmarkStart w:id="232" w:name="_Toc24436"/>
      <w:bookmarkStart w:id="233" w:name="_Toc23363"/>
      <w:bookmarkStart w:id="234" w:name="_Toc7427"/>
      <w:bookmarkStart w:id="235" w:name="_Toc18430"/>
      <w:bookmarkStart w:id="236" w:name="_Toc30008"/>
      <w:bookmarkStart w:id="237" w:name="_Toc1629"/>
      <w:bookmarkStart w:id="238" w:name="_Toc13710"/>
      <w:bookmarkStart w:id="239" w:name="_Toc23630"/>
      <w:bookmarkStart w:id="240" w:name="_Toc215070137"/>
      <w:bookmarkStart w:id="241" w:name="_Toc6075"/>
      <w:bookmarkStart w:id="242" w:name="_Toc392680654"/>
      <w:r>
        <w:rPr>
          <w:rFonts w:hint="eastAsia"/>
        </w:rPr>
        <w:t>1.3.6建设项目技术资料</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838277E">
      <w:pPr>
        <w:tabs>
          <w:tab w:val="left" w:pos="540"/>
        </w:tabs>
        <w:ind w:firstLine="560"/>
        <w:jc w:val="both"/>
        <w:rPr>
          <w:szCs w:val="28"/>
        </w:rPr>
      </w:pPr>
      <w:r>
        <w:rPr>
          <w:rFonts w:hint="eastAsia"/>
        </w:rPr>
        <w:t>1、</w:t>
      </w:r>
      <w:r>
        <w:rPr>
          <w:szCs w:val="28"/>
        </w:rPr>
        <w:t>《云南省</w:t>
      </w:r>
      <w:r>
        <w:rPr>
          <w:rFonts w:hint="eastAsia"/>
          <w:szCs w:val="28"/>
        </w:rPr>
        <w:t>广南县旧莫小格达普通建筑石料用灰岩矿资源储量核实报告（</w:t>
      </w:r>
      <w:r>
        <w:rPr>
          <w:szCs w:val="28"/>
        </w:rPr>
        <w:t>20</w:t>
      </w:r>
      <w:r>
        <w:rPr>
          <w:rFonts w:hint="eastAsia"/>
          <w:szCs w:val="28"/>
        </w:rPr>
        <w:t>23</w:t>
      </w:r>
      <w:r>
        <w:rPr>
          <w:szCs w:val="28"/>
        </w:rPr>
        <w:t>年</w:t>
      </w:r>
      <w:r>
        <w:rPr>
          <w:rFonts w:hint="eastAsia"/>
          <w:szCs w:val="28"/>
        </w:rPr>
        <w:t>）</w:t>
      </w:r>
      <w:r>
        <w:rPr>
          <w:szCs w:val="28"/>
        </w:rPr>
        <w:t>》</w:t>
      </w:r>
      <w:r>
        <w:rPr>
          <w:rFonts w:hint="eastAsia"/>
          <w:szCs w:val="28"/>
        </w:rPr>
        <w:t>广南县自然资源局</w:t>
      </w:r>
      <w:r>
        <w:rPr>
          <w:szCs w:val="28"/>
        </w:rPr>
        <w:t>，20</w:t>
      </w:r>
      <w:r>
        <w:rPr>
          <w:rFonts w:hint="eastAsia"/>
          <w:szCs w:val="28"/>
        </w:rPr>
        <w:t>23</w:t>
      </w:r>
      <w:r>
        <w:rPr>
          <w:szCs w:val="28"/>
        </w:rPr>
        <w:t>年</w:t>
      </w:r>
      <w:r>
        <w:rPr>
          <w:rFonts w:hint="eastAsia"/>
          <w:szCs w:val="28"/>
        </w:rPr>
        <w:t>11</w:t>
      </w:r>
      <w:r>
        <w:rPr>
          <w:szCs w:val="28"/>
        </w:rPr>
        <w:t>月。</w:t>
      </w:r>
    </w:p>
    <w:p w14:paraId="1D5008A2">
      <w:pPr>
        <w:ind w:firstLine="560"/>
      </w:pPr>
    </w:p>
    <w:p w14:paraId="2267EC12">
      <w:pPr>
        <w:ind w:firstLine="560"/>
      </w:pPr>
      <w:r>
        <w:rPr>
          <w:rFonts w:hint="eastAsia"/>
        </w:rPr>
        <w:t>2、</w:t>
      </w:r>
      <w:r>
        <w:rPr>
          <w:szCs w:val="28"/>
        </w:rPr>
        <w:t>《云南省</w:t>
      </w:r>
      <w:r>
        <w:rPr>
          <w:rFonts w:hint="eastAsia"/>
          <w:szCs w:val="28"/>
        </w:rPr>
        <w:t>广南县旧莫小格达普通建筑石料用灰岩矿资源储量核实报告（</w:t>
      </w:r>
      <w:r>
        <w:rPr>
          <w:szCs w:val="28"/>
        </w:rPr>
        <w:t>20</w:t>
      </w:r>
      <w:r>
        <w:rPr>
          <w:rFonts w:hint="eastAsia"/>
          <w:szCs w:val="28"/>
        </w:rPr>
        <w:t>23</w:t>
      </w:r>
      <w:r>
        <w:rPr>
          <w:szCs w:val="28"/>
        </w:rPr>
        <w:t>年</w:t>
      </w:r>
      <w:r>
        <w:rPr>
          <w:rFonts w:hint="eastAsia"/>
          <w:szCs w:val="28"/>
        </w:rPr>
        <w:t>）</w:t>
      </w:r>
      <w:r>
        <w:rPr>
          <w:szCs w:val="28"/>
        </w:rPr>
        <w:t>》评审意见书</w:t>
      </w:r>
      <w:r>
        <w:rPr>
          <w:rFonts w:hint="eastAsia"/>
          <w:szCs w:val="28"/>
        </w:rPr>
        <w:t>，云金涌道矿评储字〔2024〕4号</w:t>
      </w:r>
      <w:r>
        <w:rPr>
          <w:rFonts w:hint="eastAsia"/>
        </w:rPr>
        <w:t>；</w:t>
      </w:r>
    </w:p>
    <w:p w14:paraId="07D83161">
      <w:pPr>
        <w:ind w:firstLine="560"/>
      </w:pPr>
      <w:r>
        <w:rPr>
          <w:rFonts w:hint="eastAsia"/>
        </w:rPr>
        <w:t>3、《</w:t>
      </w:r>
      <w:bookmarkStart w:id="243" w:name="_Hlk205198535"/>
      <w:r>
        <w:rPr>
          <w:rFonts w:hint="eastAsia"/>
          <w:szCs w:val="28"/>
        </w:rPr>
        <w:t>广南县旧莫小格达普通建筑石料用灰岩矿</w:t>
      </w:r>
      <w:r>
        <w:rPr>
          <w:szCs w:val="28"/>
        </w:rPr>
        <w:t>50万t/a露天采矿工程</w:t>
      </w:r>
      <w:bookmarkEnd w:id="243"/>
      <w:r>
        <w:t>可行性研究报告》</w:t>
      </w:r>
      <w:r>
        <w:rPr>
          <w:rFonts w:hint="eastAsia"/>
        </w:rPr>
        <w:t>（</w:t>
      </w:r>
      <w:r>
        <w:rPr>
          <w:lang w:val="sq-AL"/>
        </w:rPr>
        <w:t>云南增股工程勘察设计有限公司</w:t>
      </w:r>
      <w:r>
        <w:rPr>
          <w:rFonts w:hint="eastAsia"/>
          <w:lang w:val="sq-AL"/>
        </w:rPr>
        <w:t>，</w:t>
      </w:r>
      <w:r>
        <w:rPr>
          <w:rFonts w:hint="eastAsia"/>
        </w:rPr>
        <w:t>2025年5月）；</w:t>
      </w:r>
    </w:p>
    <w:p w14:paraId="0BEB0A9E">
      <w:pPr>
        <w:ind w:firstLine="560"/>
      </w:pPr>
      <w:r>
        <w:rPr>
          <w:rFonts w:hint="eastAsia"/>
        </w:rPr>
        <w:t>4、现场踏勘收集资料及企业提供的相关证照、图纸、技术资料等。</w:t>
      </w:r>
    </w:p>
    <w:p w14:paraId="53030199">
      <w:pPr>
        <w:pStyle w:val="5"/>
        <w:adjustRightInd w:val="0"/>
        <w:snapToGrid w:val="0"/>
        <w:spacing w:beforeAutospacing="0" w:after="120" w:line="500" w:lineRule="exact"/>
        <w:rPr>
          <w:rFonts w:hint="eastAsia" w:ascii="宋体" w:hAnsi="宋体" w:cs="宋体"/>
          <w:szCs w:val="28"/>
        </w:rPr>
      </w:pPr>
      <w:bookmarkStart w:id="244" w:name="_Toc7491"/>
      <w:bookmarkStart w:id="245" w:name="_Toc12635"/>
      <w:bookmarkStart w:id="246" w:name="_Toc28351"/>
      <w:bookmarkStart w:id="247" w:name="_Toc9771"/>
      <w:bookmarkStart w:id="248" w:name="_Toc10597"/>
      <w:bookmarkStart w:id="249" w:name="_Toc30868"/>
      <w:bookmarkStart w:id="250" w:name="_Toc392680655"/>
      <w:bookmarkStart w:id="251" w:name="_Toc390"/>
      <w:bookmarkStart w:id="252" w:name="_Toc17492"/>
      <w:bookmarkStart w:id="253" w:name="_Toc26705"/>
      <w:bookmarkStart w:id="254" w:name="_Toc26462"/>
      <w:bookmarkStart w:id="255" w:name="_Toc9298"/>
      <w:bookmarkStart w:id="256" w:name="_Toc5183"/>
      <w:bookmarkStart w:id="257" w:name="_Toc23666"/>
      <w:bookmarkStart w:id="258" w:name="_Toc215070138"/>
      <w:r>
        <w:rPr>
          <w:rFonts w:hint="eastAsia" w:ascii="宋体" w:hAnsi="宋体" w:cs="宋体"/>
          <w:szCs w:val="28"/>
        </w:rPr>
        <w:t>1.3.7其</w:t>
      </w:r>
      <w:bookmarkEnd w:id="149"/>
      <w:bookmarkEnd w:id="150"/>
      <w:bookmarkEnd w:id="151"/>
      <w:bookmarkEnd w:id="152"/>
      <w:bookmarkEnd w:id="153"/>
      <w:bookmarkEnd w:id="154"/>
      <w:bookmarkEnd w:id="155"/>
      <w:r>
        <w:rPr>
          <w:rFonts w:hint="eastAsia" w:ascii="宋体" w:hAnsi="宋体" w:cs="宋体"/>
          <w:szCs w:val="28"/>
        </w:rPr>
        <w:t>他评价依据</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5613F3F">
      <w:pPr>
        <w:ind w:firstLine="560"/>
      </w:pPr>
      <w:r>
        <w:rPr>
          <w:rFonts w:hint="eastAsia"/>
        </w:rPr>
        <w:t>1、《采矿手册》（冶金工业出版社，1991）；</w:t>
      </w:r>
    </w:p>
    <w:p w14:paraId="6EC4269B">
      <w:pPr>
        <w:ind w:firstLine="560"/>
      </w:pPr>
      <w:r>
        <w:rPr>
          <w:rFonts w:hint="eastAsia"/>
        </w:rPr>
        <w:t>2、《采矿设计手册》（中国建筑工业出版社，1987）；</w:t>
      </w:r>
    </w:p>
    <w:p w14:paraId="7609F686">
      <w:pPr>
        <w:ind w:firstLine="560"/>
      </w:pPr>
      <w:r>
        <w:rPr>
          <w:rFonts w:hint="eastAsia"/>
        </w:rPr>
        <w:t>3、《露天采矿设计手册》（煤炭工业出版社，1987）；</w:t>
      </w:r>
    </w:p>
    <w:p w14:paraId="77437A5F">
      <w:pPr>
        <w:ind w:firstLine="560"/>
      </w:pPr>
      <w:r>
        <w:rPr>
          <w:rFonts w:hint="eastAsia"/>
        </w:rPr>
        <w:t>4、《矿山安全性评价与安全事故的预防及处理实务全书》（中国商业出版社，2001）；</w:t>
      </w:r>
    </w:p>
    <w:p w14:paraId="72BA8CEA">
      <w:pPr>
        <w:ind w:firstLine="560"/>
      </w:pPr>
      <w:r>
        <w:rPr>
          <w:rFonts w:hint="eastAsia"/>
        </w:rPr>
        <w:t>5、《金属非金属矿开采安全》（中国劳动出版社，1992）；</w:t>
      </w:r>
    </w:p>
    <w:p w14:paraId="79BCD754">
      <w:pPr>
        <w:ind w:firstLine="560"/>
      </w:pPr>
      <w:r>
        <w:rPr>
          <w:rFonts w:hint="eastAsia"/>
        </w:rPr>
        <w:t>6、《矿山安全监察手册》（劳动人事出版社，1990）；</w:t>
      </w:r>
    </w:p>
    <w:p w14:paraId="5C9DA820">
      <w:pPr>
        <w:ind w:firstLine="560"/>
      </w:pPr>
      <w:r>
        <w:rPr>
          <w:rFonts w:hint="eastAsia"/>
        </w:rPr>
        <w:t>7、《矿山生产与安全技术》（云南科技出版社，2005年1月1日出版）；</w:t>
      </w:r>
    </w:p>
    <w:p w14:paraId="2747C225">
      <w:pPr>
        <w:ind w:firstLine="560"/>
      </w:pPr>
      <w:r>
        <w:rPr>
          <w:rFonts w:hint="eastAsia"/>
        </w:rPr>
        <w:t>8、《露天采矿技术》（冶金工业出版社，2010年9月1日出版）；</w:t>
      </w:r>
    </w:p>
    <w:p w14:paraId="06EFDC36">
      <w:pPr>
        <w:ind w:firstLine="560"/>
      </w:pPr>
      <w:r>
        <w:rPr>
          <w:rFonts w:hint="eastAsia"/>
        </w:rPr>
        <w:t>9、</w:t>
      </w:r>
      <w:r>
        <w:t>《安全预评价委托书》</w:t>
      </w:r>
      <w:r>
        <w:rPr>
          <w:rFonts w:hint="eastAsia"/>
        </w:rPr>
        <w:t>；</w:t>
      </w:r>
    </w:p>
    <w:p w14:paraId="3ADFC422">
      <w:pPr>
        <w:ind w:firstLine="560"/>
      </w:pPr>
      <w:r>
        <w:rPr>
          <w:rFonts w:hint="eastAsia"/>
        </w:rPr>
        <w:t>10、</w:t>
      </w:r>
      <w:r>
        <w:t>《安全预评价合同书》</w:t>
      </w:r>
      <w:r>
        <w:rPr>
          <w:rFonts w:hint="eastAsia"/>
        </w:rPr>
        <w:t>。</w:t>
      </w:r>
    </w:p>
    <w:p w14:paraId="35740EE4">
      <w:pPr>
        <w:pStyle w:val="5"/>
        <w:spacing w:after="120"/>
      </w:pPr>
      <w:bookmarkStart w:id="259" w:name="_Toc30943"/>
      <w:bookmarkStart w:id="260" w:name="_Toc7331"/>
      <w:bookmarkStart w:id="261" w:name="_Toc215070139"/>
      <w:bookmarkStart w:id="262" w:name="_Toc9806"/>
      <w:bookmarkStart w:id="263" w:name="_Toc8843"/>
      <w:bookmarkStart w:id="264" w:name="_Toc28922"/>
      <w:bookmarkStart w:id="265" w:name="_Toc1157"/>
      <w:bookmarkStart w:id="266" w:name="_Toc23304"/>
      <w:bookmarkStart w:id="267" w:name="_Toc636"/>
      <w:bookmarkStart w:id="268" w:name="_Toc19512"/>
      <w:bookmarkStart w:id="269" w:name="_Toc27865"/>
      <w:bookmarkStart w:id="270" w:name="_Toc31868"/>
      <w:bookmarkStart w:id="271" w:name="_Toc21098"/>
      <w:bookmarkStart w:id="272" w:name="_Toc105675476"/>
      <w:bookmarkStart w:id="273" w:name="_Toc105675956"/>
      <w:bookmarkStart w:id="274" w:name="_Toc29055"/>
      <w:bookmarkStart w:id="275" w:name="_Toc317240374"/>
      <w:bookmarkStart w:id="276" w:name="_Toc105674758"/>
      <w:bookmarkStart w:id="277" w:name="_Toc105730321"/>
      <w:bookmarkStart w:id="278" w:name="_Toc23799"/>
      <w:bookmarkStart w:id="279" w:name="_Toc392680656"/>
      <w:r>
        <w:rPr>
          <w:rFonts w:hint="eastAsia"/>
        </w:rPr>
        <w:t>1.3.8评价基准日</w:t>
      </w:r>
      <w:bookmarkEnd w:id="259"/>
      <w:bookmarkEnd w:id="260"/>
      <w:bookmarkEnd w:id="261"/>
      <w:bookmarkEnd w:id="262"/>
      <w:bookmarkEnd w:id="263"/>
      <w:bookmarkEnd w:id="264"/>
      <w:bookmarkEnd w:id="265"/>
      <w:bookmarkEnd w:id="266"/>
      <w:bookmarkEnd w:id="267"/>
      <w:bookmarkEnd w:id="268"/>
      <w:bookmarkEnd w:id="269"/>
    </w:p>
    <w:p w14:paraId="406BFFB1">
      <w:pPr>
        <w:adjustRightInd w:val="0"/>
        <w:snapToGrid w:val="0"/>
        <w:spacing w:line="500" w:lineRule="exact"/>
        <w:ind w:firstLine="560"/>
        <w:rPr>
          <w:rFonts w:hint="eastAsia" w:ascii="宋体" w:hAnsi="宋体" w:cs="宋体"/>
          <w:szCs w:val="28"/>
        </w:rPr>
      </w:pPr>
      <w:r>
        <w:rPr>
          <w:rFonts w:hint="eastAsia" w:ascii="宋体" w:hAnsi="宋体" w:cs="宋体"/>
          <w:szCs w:val="28"/>
        </w:rPr>
        <w:t>本次安全预评价基准日为2025年7月28日。</w:t>
      </w:r>
    </w:p>
    <w:p w14:paraId="0A3D125B">
      <w:pPr>
        <w:pStyle w:val="3"/>
        <w:spacing w:before="480" w:after="240"/>
        <w:rPr>
          <w:rFonts w:hint="default"/>
        </w:rPr>
      </w:pPr>
      <w:r>
        <w:rPr>
          <w:rFonts w:cs="宋体"/>
          <w:szCs w:val="28"/>
        </w:rPr>
        <w:br w:type="page"/>
      </w:r>
      <w:bookmarkEnd w:id="270"/>
      <w:bookmarkEnd w:id="271"/>
      <w:bookmarkEnd w:id="272"/>
      <w:bookmarkEnd w:id="273"/>
      <w:bookmarkEnd w:id="274"/>
      <w:bookmarkEnd w:id="275"/>
      <w:bookmarkEnd w:id="276"/>
      <w:bookmarkEnd w:id="277"/>
      <w:bookmarkEnd w:id="278"/>
      <w:bookmarkEnd w:id="279"/>
      <w:bookmarkStart w:id="280" w:name="_Toc317240378"/>
      <w:bookmarkStart w:id="281" w:name="_Toc105730325"/>
      <w:bookmarkStart w:id="282" w:name="_Toc137793149"/>
      <w:bookmarkStart w:id="283" w:name="_Toc105675480"/>
      <w:bookmarkStart w:id="284" w:name="_Toc140123911"/>
      <w:bookmarkStart w:id="285" w:name="_Toc105675960"/>
      <w:bookmarkStart w:id="286" w:name="_Toc105674762"/>
      <w:bookmarkStart w:id="287" w:name="_Toc23978"/>
      <w:bookmarkStart w:id="288" w:name="_Toc14950"/>
      <w:bookmarkStart w:id="289" w:name="_Toc6274"/>
      <w:bookmarkStart w:id="290" w:name="_Toc41"/>
      <w:bookmarkStart w:id="291" w:name="_Toc4913"/>
      <w:bookmarkStart w:id="292" w:name="_Toc215070140"/>
      <w:bookmarkStart w:id="293" w:name="_Toc16935"/>
      <w:bookmarkStart w:id="294" w:name="_Toc31446"/>
      <w:bookmarkStart w:id="295" w:name="_Toc14000"/>
      <w:bookmarkStart w:id="296" w:name="_Toc392680657"/>
      <w:bookmarkStart w:id="297" w:name="_Toc198"/>
      <w:bookmarkStart w:id="298" w:name="_Toc16387"/>
      <w:bookmarkStart w:id="299" w:name="_Toc25149"/>
      <w:bookmarkStart w:id="300" w:name="_Toc21233"/>
      <w:bookmarkStart w:id="301" w:name="_Toc16302"/>
      <w:bookmarkStart w:id="302" w:name="_Toc6803"/>
      <w:bookmarkStart w:id="303" w:name="_Toc10805"/>
      <w:r>
        <w:t>2.建设</w:t>
      </w:r>
      <w:bookmarkEnd w:id="280"/>
      <w:bookmarkEnd w:id="281"/>
      <w:bookmarkEnd w:id="282"/>
      <w:bookmarkEnd w:id="283"/>
      <w:bookmarkEnd w:id="284"/>
      <w:bookmarkEnd w:id="285"/>
      <w:bookmarkEnd w:id="286"/>
      <w:r>
        <w:t>项目概述</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63F5D37F">
      <w:pPr>
        <w:pStyle w:val="4"/>
        <w:spacing w:before="240" w:after="120"/>
      </w:pPr>
      <w:bookmarkStart w:id="304" w:name="_Toc140123912"/>
      <w:bookmarkStart w:id="305" w:name="_Toc7584"/>
      <w:bookmarkStart w:id="306" w:name="_Toc31628"/>
      <w:bookmarkStart w:id="307" w:name="_Toc690"/>
      <w:bookmarkStart w:id="308" w:name="_Toc29859"/>
      <w:bookmarkStart w:id="309" w:name="_Toc8514"/>
      <w:bookmarkStart w:id="310" w:name="_Toc392680658"/>
      <w:bookmarkStart w:id="311" w:name="_Toc12873"/>
      <w:bookmarkStart w:id="312" w:name="_Toc7412"/>
      <w:bookmarkStart w:id="313" w:name="_Toc21552"/>
      <w:bookmarkStart w:id="314" w:name="_Toc19205"/>
      <w:bookmarkStart w:id="315" w:name="_Toc24504"/>
      <w:bookmarkStart w:id="316" w:name="_Toc13869"/>
      <w:bookmarkStart w:id="317" w:name="_Toc25422"/>
      <w:bookmarkStart w:id="318" w:name="_Toc13850"/>
      <w:bookmarkStart w:id="319" w:name="_Toc215070141"/>
      <w:bookmarkStart w:id="320" w:name="_Toc317240379"/>
      <w:bookmarkStart w:id="321" w:name="_Toc24438"/>
      <w:r>
        <w:rPr>
          <w:rFonts w:hint="eastAsia"/>
        </w:rPr>
        <w:t>2.1建设单位</w:t>
      </w:r>
      <w:bookmarkEnd w:id="96"/>
      <w:bookmarkEnd w:id="97"/>
      <w:bookmarkEnd w:id="98"/>
      <w:bookmarkEnd w:id="99"/>
      <w:bookmarkEnd w:id="304"/>
      <w:r>
        <w:rPr>
          <w:rFonts w:hint="eastAsia"/>
        </w:rPr>
        <w:t>概况</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8BF8FF1">
      <w:pPr>
        <w:pStyle w:val="5"/>
        <w:spacing w:after="120"/>
      </w:pPr>
      <w:bookmarkStart w:id="322" w:name="_Toc137793150"/>
      <w:bookmarkStart w:id="323" w:name="_Toc105675482"/>
      <w:bookmarkStart w:id="324" w:name="_Toc105675962"/>
      <w:bookmarkStart w:id="325" w:name="_Toc105730327"/>
      <w:bookmarkStart w:id="326" w:name="_Toc105674764"/>
      <w:bookmarkStart w:id="327" w:name="_Toc140123913"/>
      <w:bookmarkStart w:id="328" w:name="_Toc21839"/>
      <w:bookmarkStart w:id="329" w:name="_Toc17894"/>
      <w:bookmarkStart w:id="330" w:name="_Toc10235"/>
      <w:bookmarkStart w:id="331" w:name="_Toc32407"/>
      <w:bookmarkStart w:id="332" w:name="_Toc22549"/>
      <w:bookmarkStart w:id="333" w:name="_Toc496"/>
      <w:bookmarkStart w:id="334" w:name="_Toc6898"/>
      <w:bookmarkStart w:id="335" w:name="_Toc10624"/>
      <w:bookmarkStart w:id="336" w:name="_Toc392680659"/>
      <w:bookmarkStart w:id="337" w:name="_Toc13191"/>
      <w:bookmarkStart w:id="338" w:name="_Toc5564"/>
      <w:bookmarkStart w:id="339" w:name="_Toc29790"/>
      <w:bookmarkStart w:id="340" w:name="_Toc317240380"/>
      <w:bookmarkStart w:id="341" w:name="_Toc16348"/>
      <w:bookmarkStart w:id="342" w:name="_Toc18079"/>
      <w:bookmarkStart w:id="343" w:name="_Toc215070142"/>
      <w:r>
        <w:rPr>
          <w:rFonts w:hint="eastAsia"/>
        </w:rPr>
        <w:t>2.1.1</w:t>
      </w:r>
      <w:bookmarkEnd w:id="322"/>
      <w:bookmarkEnd w:id="323"/>
      <w:bookmarkEnd w:id="324"/>
      <w:bookmarkEnd w:id="325"/>
      <w:bookmarkEnd w:id="326"/>
      <w:bookmarkEnd w:id="327"/>
      <w:r>
        <w:rPr>
          <w:rFonts w:hint="eastAsia"/>
        </w:rPr>
        <w:t>建设单位</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rPr>
        <w:t>基本情况</w:t>
      </w:r>
      <w:bookmarkEnd w:id="343"/>
    </w:p>
    <w:p w14:paraId="18020478">
      <w:pPr>
        <w:jc w:val="both"/>
        <w:rPr>
          <w:rFonts w:hint="eastAsia" w:ascii="宋体" w:hAnsi="宋体"/>
          <w:b/>
          <w:bCs/>
          <w:szCs w:val="28"/>
        </w:rPr>
      </w:pPr>
      <w:r>
        <w:rPr>
          <w:rFonts w:hint="eastAsia" w:ascii="宋体" w:hAnsi="宋体"/>
          <w:b/>
          <w:bCs/>
          <w:szCs w:val="28"/>
        </w:rPr>
        <w:t>一、建设单位简介</w:t>
      </w:r>
    </w:p>
    <w:p w14:paraId="207222FF">
      <w:pPr>
        <w:ind w:firstLine="560"/>
        <w:jc w:val="both"/>
        <w:rPr>
          <w:rFonts w:hint="eastAsia" w:ascii="宋体" w:hAnsi="宋体"/>
          <w:szCs w:val="28"/>
        </w:rPr>
      </w:pPr>
      <w:r>
        <w:rPr>
          <w:rFonts w:ascii="宋体" w:hAnsi="宋体"/>
          <w:szCs w:val="28"/>
        </w:rPr>
        <w:t>广南同邦工贸有限公司成立于2020年09月30日，注册地位于云南省文山壮族苗族自治州广南县旧莫乡昔板小格达村小组，法定代表人为余昌奎</w:t>
      </w:r>
      <w:r>
        <w:rPr>
          <w:rFonts w:hint="eastAsia" w:ascii="宋体" w:hAnsi="宋体"/>
          <w:szCs w:val="28"/>
        </w:rPr>
        <w:t>。</w:t>
      </w:r>
      <w:r>
        <w:rPr>
          <w:rFonts w:ascii="宋体" w:hAnsi="宋体"/>
          <w:szCs w:val="28"/>
        </w:rPr>
        <w:t>经营范围包括许可项目：</w:t>
      </w:r>
      <w:r>
        <w:rPr>
          <w:rFonts w:hint="eastAsia" w:ascii="宋体" w:hAnsi="宋体"/>
          <w:szCs w:val="28"/>
        </w:rPr>
        <w:t>建材销售;石灰若开采;石灰、砂石料的生产、销售;水泥制品生产、销售;矿山土石方剥离、搬运。(依法须经批准的项目，经相关部门批准后方可开展经营活动)</w:t>
      </w:r>
    </w:p>
    <w:p w14:paraId="55B55B57">
      <w:pPr>
        <w:ind w:firstLine="560"/>
      </w:pPr>
      <w:r>
        <w:rPr>
          <w:rFonts w:hint="eastAsia"/>
        </w:rPr>
        <w:t>建设项目主要证照如下：</w:t>
      </w:r>
    </w:p>
    <w:p w14:paraId="297DF61E">
      <w:pPr>
        <w:ind w:firstLine="560"/>
      </w:pPr>
      <w:bookmarkStart w:id="344" w:name="_Toc20789"/>
      <w:bookmarkStart w:id="345" w:name="_Toc26248"/>
      <w:r>
        <w:rPr>
          <w:rFonts w:hint="eastAsia"/>
        </w:rPr>
        <w:t>1、营业执照（副本）</w:t>
      </w:r>
      <w:bookmarkEnd w:id="344"/>
      <w:bookmarkEnd w:id="345"/>
    </w:p>
    <w:p w14:paraId="6057AABF">
      <w:pPr>
        <w:ind w:firstLine="560"/>
      </w:pPr>
      <w:r>
        <w:rPr>
          <w:rFonts w:hint="eastAsia"/>
        </w:rPr>
        <w:t xml:space="preserve">统一社会信用代码 </w:t>
      </w:r>
      <w:r>
        <w:rPr>
          <w:szCs w:val="28"/>
        </w:rPr>
        <w:t>91532627MA6PTLLG0W</w:t>
      </w:r>
      <w:r>
        <w:rPr>
          <w:rFonts w:hint="eastAsia"/>
        </w:rPr>
        <w:t>；</w:t>
      </w:r>
    </w:p>
    <w:p w14:paraId="1E3E5707">
      <w:pPr>
        <w:ind w:firstLine="560"/>
      </w:pPr>
      <w:r>
        <w:rPr>
          <w:rFonts w:hint="eastAsia"/>
        </w:rPr>
        <w:t>名    称：</w:t>
      </w:r>
      <w:bookmarkStart w:id="346" w:name="OLE_LINK4"/>
      <w:r>
        <w:rPr>
          <w:rFonts w:ascii="宋体" w:hAnsi="宋体"/>
          <w:szCs w:val="28"/>
        </w:rPr>
        <w:t>广南同邦工贸有限公司</w:t>
      </w:r>
      <w:bookmarkEnd w:id="346"/>
      <w:r>
        <w:rPr>
          <w:rFonts w:hint="eastAsia"/>
        </w:rPr>
        <w:t>；</w:t>
      </w:r>
    </w:p>
    <w:p w14:paraId="589D61C3">
      <w:pPr>
        <w:ind w:firstLine="560"/>
      </w:pPr>
      <w:r>
        <w:rPr>
          <w:rFonts w:hint="eastAsia"/>
        </w:rPr>
        <w:t>类    型：</w:t>
      </w:r>
      <w:r>
        <w:rPr>
          <w:szCs w:val="28"/>
        </w:rPr>
        <w:t>有限责任公司（自然人投资或控股）</w:t>
      </w:r>
      <w:r>
        <w:rPr>
          <w:rFonts w:hint="eastAsia"/>
        </w:rPr>
        <w:t>；</w:t>
      </w:r>
    </w:p>
    <w:p w14:paraId="28BC54DA">
      <w:pPr>
        <w:ind w:firstLine="560"/>
      </w:pPr>
      <w:r>
        <w:rPr>
          <w:rFonts w:hint="eastAsia"/>
        </w:rPr>
        <w:t>主要经营场所：</w:t>
      </w:r>
      <w:bookmarkStart w:id="347" w:name="OLE_LINK6"/>
      <w:r>
        <w:rPr>
          <w:rFonts w:ascii="宋体" w:hAnsi="宋体"/>
          <w:szCs w:val="28"/>
        </w:rPr>
        <w:t>云南省文山壮族苗族自治州广南县旧莫乡昔板小格达村小组</w:t>
      </w:r>
      <w:bookmarkEnd w:id="347"/>
      <w:r>
        <w:rPr>
          <w:rFonts w:hint="eastAsia"/>
        </w:rPr>
        <w:t>；</w:t>
      </w:r>
    </w:p>
    <w:p w14:paraId="5C0FEEF5">
      <w:pPr>
        <w:ind w:firstLine="560"/>
      </w:pPr>
      <w:r>
        <w:rPr>
          <w:rFonts w:hint="eastAsia"/>
        </w:rPr>
        <w:t>执行事务合伙人：余昌奎，</w:t>
      </w:r>
      <w:r>
        <w:rPr>
          <w:rFonts w:ascii="宋体" w:hAnsi="宋体"/>
          <w:szCs w:val="28"/>
        </w:rPr>
        <w:t>广南同邦工贸有限公司</w:t>
      </w:r>
      <w:r>
        <w:rPr>
          <w:rFonts w:hint="eastAsia"/>
        </w:rPr>
        <w:t xml:space="preserve"> (委派代表:余昌奎)；</w:t>
      </w:r>
    </w:p>
    <w:p w14:paraId="6A4F1CF2">
      <w:pPr>
        <w:ind w:firstLine="560"/>
      </w:pPr>
      <w:r>
        <w:rPr>
          <w:rFonts w:hint="eastAsia"/>
        </w:rPr>
        <w:t>成立日期：2020年09月30日；</w:t>
      </w:r>
    </w:p>
    <w:p w14:paraId="781657FD">
      <w:pPr>
        <w:ind w:firstLine="560"/>
      </w:pPr>
      <w:r>
        <w:rPr>
          <w:rFonts w:hint="eastAsia"/>
        </w:rPr>
        <w:t>营业期限：2020年09月30日至2050年12月31日；</w:t>
      </w:r>
    </w:p>
    <w:p w14:paraId="0C3A6A37">
      <w:pPr>
        <w:ind w:firstLine="560"/>
        <w:jc w:val="both"/>
        <w:rPr>
          <w:rFonts w:hint="eastAsia" w:ascii="宋体" w:hAnsi="宋体"/>
          <w:szCs w:val="28"/>
        </w:rPr>
      </w:pPr>
      <w:r>
        <w:rPr>
          <w:rFonts w:hint="eastAsia"/>
        </w:rPr>
        <w:t>经营范围：</w:t>
      </w:r>
      <w:r>
        <w:rPr>
          <w:rFonts w:hint="eastAsia" w:ascii="宋体" w:hAnsi="宋体"/>
          <w:szCs w:val="28"/>
        </w:rPr>
        <w:t>建材销售;石灰若开采;石灰、砂石料的生产、销售;水泥制品生产、销售;矿山土石方剥离、搬运。(依法须经批准的项目，经相关部门批准后方可开展经营活动)</w:t>
      </w:r>
      <w:r>
        <w:rPr>
          <w:rFonts w:hint="eastAsia"/>
        </w:rPr>
        <w:t>。</w:t>
      </w:r>
    </w:p>
    <w:p w14:paraId="380989A3">
      <w:pPr>
        <w:ind w:firstLine="560"/>
      </w:pPr>
      <w:bookmarkStart w:id="348" w:name="_Toc678"/>
      <w:bookmarkStart w:id="349" w:name="_Toc15060"/>
      <w:r>
        <w:rPr>
          <w:rFonts w:hint="eastAsia"/>
        </w:rPr>
        <w:t>2.采矿许可证（副本）</w:t>
      </w:r>
      <w:bookmarkEnd w:id="348"/>
      <w:bookmarkEnd w:id="349"/>
    </w:p>
    <w:p w14:paraId="60F1FAE5">
      <w:pPr>
        <w:ind w:firstLine="560"/>
      </w:pPr>
      <w:r>
        <w:rPr>
          <w:rFonts w:hint="eastAsia"/>
        </w:rPr>
        <w:t>证    号：</w:t>
      </w:r>
      <w:r>
        <w:rPr>
          <w:rFonts w:ascii="宋体" w:hAnsi="宋体"/>
          <w:szCs w:val="28"/>
        </w:rPr>
        <w:t>C326272023037230154872</w:t>
      </w:r>
      <w:r>
        <w:rPr>
          <w:rFonts w:hint="eastAsia"/>
        </w:rPr>
        <w:t>；</w:t>
      </w:r>
    </w:p>
    <w:p w14:paraId="3E330460">
      <w:pPr>
        <w:adjustRightInd w:val="0"/>
        <w:snapToGrid w:val="0"/>
        <w:spacing w:line="500" w:lineRule="exact"/>
        <w:ind w:firstLine="560"/>
        <w:rPr>
          <w:rFonts w:hint="eastAsia" w:ascii="宋体" w:hAnsi="宋体" w:cs="宋体"/>
          <w:szCs w:val="28"/>
        </w:rPr>
      </w:pPr>
      <w:r>
        <w:rPr>
          <w:rFonts w:hint="eastAsia" w:ascii="宋体" w:hAnsi="宋体" w:cs="宋体"/>
          <w:szCs w:val="28"/>
        </w:rPr>
        <w:t>采矿权人：</w:t>
      </w:r>
      <w:r>
        <w:rPr>
          <w:rFonts w:ascii="宋体" w:hAnsi="宋体"/>
          <w:szCs w:val="28"/>
        </w:rPr>
        <w:t>广南同邦工贸有限公司</w:t>
      </w:r>
      <w:r>
        <w:rPr>
          <w:rFonts w:hint="eastAsia" w:ascii="宋体" w:hAnsi="宋体" w:cs="宋体"/>
          <w:szCs w:val="28"/>
        </w:rPr>
        <w:t>；</w:t>
      </w:r>
    </w:p>
    <w:p w14:paraId="463BA0E7">
      <w:pPr>
        <w:adjustRightInd w:val="0"/>
        <w:snapToGrid w:val="0"/>
        <w:spacing w:line="500" w:lineRule="exact"/>
        <w:ind w:firstLine="560"/>
        <w:rPr>
          <w:rFonts w:hint="eastAsia" w:ascii="宋体" w:hAnsi="宋体" w:cs="宋体"/>
          <w:szCs w:val="28"/>
        </w:rPr>
      </w:pPr>
      <w:r>
        <w:rPr>
          <w:rFonts w:hint="eastAsia" w:ascii="宋体" w:hAnsi="宋体" w:cs="宋体"/>
          <w:szCs w:val="28"/>
        </w:rPr>
        <w:t>地    址：</w:t>
      </w:r>
      <w:r>
        <w:rPr>
          <w:rFonts w:ascii="宋体" w:hAnsi="宋体"/>
          <w:szCs w:val="28"/>
        </w:rPr>
        <w:t>云南省文山壮族苗族自治州广南县旧莫乡昔板小格达村小组</w:t>
      </w:r>
      <w:r>
        <w:rPr>
          <w:rFonts w:hint="eastAsia" w:ascii="宋体" w:hAnsi="宋体" w:cs="宋体"/>
          <w:szCs w:val="28"/>
        </w:rPr>
        <w:t>；</w:t>
      </w:r>
    </w:p>
    <w:p w14:paraId="7898A970">
      <w:pPr>
        <w:adjustRightInd w:val="0"/>
        <w:snapToGrid w:val="0"/>
        <w:spacing w:line="500" w:lineRule="exact"/>
        <w:ind w:firstLine="560"/>
        <w:rPr>
          <w:rFonts w:hint="eastAsia" w:ascii="宋体" w:hAnsi="宋体" w:cs="宋体"/>
          <w:szCs w:val="28"/>
        </w:rPr>
      </w:pPr>
      <w:r>
        <w:rPr>
          <w:rFonts w:hint="eastAsia" w:ascii="宋体" w:hAnsi="宋体" w:cs="宋体"/>
          <w:szCs w:val="28"/>
        </w:rPr>
        <w:t>矿山名称：广南县旧莫小格达普通建筑石料用灰岩矿；</w:t>
      </w:r>
    </w:p>
    <w:p w14:paraId="13A920A1">
      <w:pPr>
        <w:adjustRightInd w:val="0"/>
        <w:snapToGrid w:val="0"/>
        <w:spacing w:line="500" w:lineRule="exact"/>
        <w:ind w:firstLine="560"/>
        <w:rPr>
          <w:rFonts w:hint="eastAsia" w:ascii="宋体" w:hAnsi="宋体" w:cs="宋体"/>
          <w:szCs w:val="28"/>
        </w:rPr>
      </w:pPr>
      <w:r>
        <w:rPr>
          <w:rFonts w:hint="eastAsia" w:ascii="宋体" w:hAnsi="宋体" w:cs="宋体"/>
          <w:szCs w:val="28"/>
        </w:rPr>
        <w:t>经济类型：</w:t>
      </w:r>
      <w:r>
        <w:rPr>
          <w:szCs w:val="28"/>
        </w:rPr>
        <w:t>有限责任公司</w:t>
      </w:r>
      <w:r>
        <w:rPr>
          <w:rFonts w:hint="eastAsia" w:ascii="宋体" w:hAnsi="宋体" w:cs="宋体"/>
          <w:szCs w:val="28"/>
        </w:rPr>
        <w:t xml:space="preserve">； </w:t>
      </w:r>
    </w:p>
    <w:p w14:paraId="5A558C8A">
      <w:pPr>
        <w:adjustRightInd w:val="0"/>
        <w:snapToGrid w:val="0"/>
        <w:spacing w:line="500" w:lineRule="exact"/>
        <w:ind w:firstLine="560"/>
        <w:rPr>
          <w:rFonts w:hint="eastAsia" w:ascii="宋体" w:hAnsi="宋体" w:cs="宋体"/>
          <w:szCs w:val="28"/>
        </w:rPr>
      </w:pPr>
      <w:r>
        <w:rPr>
          <w:rFonts w:hint="eastAsia" w:ascii="宋体" w:hAnsi="宋体" w:cs="宋体"/>
          <w:szCs w:val="28"/>
        </w:rPr>
        <w:t>开采矿种：建筑石料用灰岩；</w:t>
      </w:r>
    </w:p>
    <w:p w14:paraId="1EFD71FC">
      <w:pPr>
        <w:adjustRightInd w:val="0"/>
        <w:snapToGrid w:val="0"/>
        <w:spacing w:line="500" w:lineRule="exact"/>
        <w:ind w:firstLine="560"/>
        <w:rPr>
          <w:rFonts w:hint="eastAsia" w:ascii="宋体" w:hAnsi="宋体" w:cs="宋体"/>
          <w:szCs w:val="28"/>
        </w:rPr>
      </w:pPr>
      <w:r>
        <w:rPr>
          <w:rFonts w:hint="eastAsia" w:ascii="宋体" w:hAnsi="宋体" w:cs="宋体"/>
          <w:szCs w:val="28"/>
        </w:rPr>
        <w:t>开采方式：露天开采；</w:t>
      </w:r>
    </w:p>
    <w:p w14:paraId="7C0AA0F1">
      <w:pPr>
        <w:adjustRightInd w:val="0"/>
        <w:snapToGrid w:val="0"/>
        <w:spacing w:line="500" w:lineRule="exact"/>
        <w:ind w:firstLine="560"/>
        <w:rPr>
          <w:rFonts w:hint="eastAsia" w:ascii="宋体" w:hAnsi="宋体" w:cs="宋体"/>
          <w:szCs w:val="28"/>
        </w:rPr>
      </w:pPr>
      <w:r>
        <w:rPr>
          <w:rFonts w:hint="eastAsia" w:ascii="宋体" w:hAnsi="宋体" w:cs="宋体"/>
          <w:szCs w:val="28"/>
        </w:rPr>
        <w:t>生产规模：30.00万吨/年；</w:t>
      </w:r>
    </w:p>
    <w:p w14:paraId="3ECD39EF">
      <w:pPr>
        <w:adjustRightInd w:val="0"/>
        <w:snapToGrid w:val="0"/>
        <w:spacing w:line="500" w:lineRule="exact"/>
        <w:ind w:firstLine="560"/>
        <w:rPr>
          <w:rFonts w:hint="eastAsia" w:ascii="宋体" w:hAnsi="宋体" w:cs="宋体"/>
          <w:szCs w:val="28"/>
        </w:rPr>
      </w:pPr>
      <w:r>
        <w:rPr>
          <w:rFonts w:hint="eastAsia" w:ascii="宋体" w:hAnsi="宋体" w:cs="宋体"/>
          <w:szCs w:val="28"/>
        </w:rPr>
        <w:t>矿区面积：0.1048平方公里；</w:t>
      </w:r>
    </w:p>
    <w:p w14:paraId="62344D61">
      <w:pPr>
        <w:adjustRightInd w:val="0"/>
        <w:snapToGrid w:val="0"/>
        <w:spacing w:line="500" w:lineRule="exact"/>
        <w:ind w:firstLine="560"/>
        <w:rPr>
          <w:rFonts w:hint="eastAsia" w:ascii="宋体" w:hAnsi="宋体" w:cs="宋体"/>
          <w:szCs w:val="28"/>
        </w:rPr>
      </w:pPr>
      <w:r>
        <w:rPr>
          <w:rFonts w:hint="eastAsia" w:ascii="宋体" w:hAnsi="宋体" w:cs="宋体"/>
          <w:szCs w:val="28"/>
        </w:rPr>
        <w:t>有效期限：伍年  自2023年3月24日至2028年3月24日；</w:t>
      </w:r>
    </w:p>
    <w:p w14:paraId="0B896DFD">
      <w:pPr>
        <w:adjustRightInd w:val="0"/>
        <w:snapToGrid w:val="0"/>
        <w:spacing w:line="500" w:lineRule="exact"/>
        <w:ind w:firstLine="560"/>
        <w:rPr>
          <w:rFonts w:hint="eastAsia" w:ascii="宋体" w:hAnsi="宋体" w:cs="宋体"/>
          <w:szCs w:val="28"/>
        </w:rPr>
      </w:pPr>
      <w:r>
        <w:rPr>
          <w:rFonts w:hint="eastAsia" w:ascii="宋体" w:hAnsi="宋体" w:cs="宋体"/>
          <w:szCs w:val="28"/>
        </w:rPr>
        <w:t>发证机关：广南县自然资源局；</w:t>
      </w:r>
    </w:p>
    <w:p w14:paraId="324D3E08">
      <w:pPr>
        <w:adjustRightInd w:val="0"/>
        <w:snapToGrid w:val="0"/>
        <w:spacing w:line="500" w:lineRule="exact"/>
        <w:ind w:firstLine="560"/>
        <w:rPr>
          <w:rFonts w:hint="eastAsia" w:ascii="宋体" w:hAnsi="宋体" w:cs="宋体"/>
          <w:szCs w:val="28"/>
        </w:rPr>
      </w:pPr>
      <w:r>
        <w:rPr>
          <w:rFonts w:hint="eastAsia" w:ascii="宋体" w:hAnsi="宋体" w:cs="宋体"/>
          <w:szCs w:val="28"/>
        </w:rPr>
        <w:t>发证日期：2023年3月24日。</w:t>
      </w:r>
      <w:bookmarkStart w:id="350" w:name="_Toc107"/>
      <w:bookmarkStart w:id="351" w:name="_Toc16185"/>
      <w:bookmarkStart w:id="352" w:name="_Toc392680660"/>
      <w:bookmarkStart w:id="353" w:name="_Toc7730"/>
      <w:bookmarkStart w:id="354" w:name="_Toc27180"/>
      <w:bookmarkStart w:id="355" w:name="_Toc8615"/>
      <w:bookmarkStart w:id="356" w:name="_Toc11383"/>
      <w:bookmarkStart w:id="357" w:name="_Toc6963"/>
      <w:bookmarkStart w:id="358" w:name="_Toc27266"/>
      <w:bookmarkStart w:id="359" w:name="_Toc1716"/>
      <w:bookmarkStart w:id="360" w:name="_Toc13731"/>
      <w:bookmarkStart w:id="361" w:name="_Toc658"/>
      <w:bookmarkStart w:id="362" w:name="_Toc4153"/>
      <w:bookmarkStart w:id="363" w:name="_Toc11444"/>
      <w:bookmarkStart w:id="364" w:name="_Toc23254"/>
    </w:p>
    <w:p w14:paraId="58517872">
      <w:pPr>
        <w:adjustRightInd w:val="0"/>
        <w:snapToGrid w:val="0"/>
        <w:spacing w:line="500" w:lineRule="exact"/>
        <w:rPr>
          <w:rFonts w:hint="eastAsia" w:ascii="宋体" w:hAnsi="宋体" w:cs="宋体"/>
          <w:b/>
          <w:bCs/>
          <w:szCs w:val="28"/>
        </w:rPr>
      </w:pPr>
      <w:r>
        <w:rPr>
          <w:rFonts w:hint="eastAsia" w:ascii="宋体" w:hAnsi="宋体" w:cs="宋体"/>
          <w:b/>
          <w:bCs/>
          <w:szCs w:val="28"/>
        </w:rPr>
        <w:t>二、</w:t>
      </w:r>
      <w:r>
        <w:rPr>
          <w:rFonts w:hint="eastAsia"/>
          <w:b/>
          <w:bCs/>
        </w:rPr>
        <w:t>建设项目背景及立项情况</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48868874">
      <w:pPr>
        <w:jc w:val="both"/>
        <w:rPr>
          <w:rFonts w:hint="eastAsia" w:ascii="宋体" w:hAnsi="宋体"/>
          <w:szCs w:val="28"/>
        </w:rPr>
      </w:pPr>
      <w:r>
        <w:rPr>
          <w:rFonts w:hint="eastAsia" w:ascii="宋体" w:hAnsi="宋体" w:cs="宋体"/>
          <w:b/>
          <w:bCs/>
          <w:szCs w:val="28"/>
        </w:rPr>
        <w:t>1、隶属关系</w:t>
      </w:r>
    </w:p>
    <w:p w14:paraId="6C2D9837">
      <w:pPr>
        <w:ind w:firstLine="560"/>
        <w:jc w:val="both"/>
        <w:rPr>
          <w:rFonts w:hint="eastAsia" w:ascii="宋体" w:hAnsi="宋体"/>
          <w:szCs w:val="28"/>
        </w:rPr>
      </w:pPr>
      <w:r>
        <w:rPr>
          <w:rFonts w:hint="eastAsia" w:ascii="宋体" w:hAnsi="宋体" w:cs="宋体"/>
          <w:szCs w:val="28"/>
        </w:rPr>
        <w:t>广南县旧莫小格达普通建筑石料用灰岩矿采矿权人即为广南同邦工贸有限公司（统一社会信用代码：91532627MA6PTLLG0W）。</w:t>
      </w:r>
    </w:p>
    <w:p w14:paraId="2C355A29">
      <w:pPr>
        <w:jc w:val="both"/>
        <w:rPr>
          <w:rFonts w:hint="eastAsia" w:ascii="宋体" w:hAnsi="宋体" w:cs="宋体"/>
          <w:b/>
          <w:bCs/>
          <w:szCs w:val="28"/>
        </w:rPr>
      </w:pPr>
      <w:r>
        <w:rPr>
          <w:rFonts w:hint="eastAsia" w:ascii="宋体" w:hAnsi="宋体" w:cs="宋体"/>
          <w:b/>
          <w:bCs/>
          <w:szCs w:val="28"/>
        </w:rPr>
        <w:t>2、历史沿革</w:t>
      </w:r>
    </w:p>
    <w:p w14:paraId="15D0AB31">
      <w:pPr>
        <w:ind w:firstLine="560"/>
        <w:jc w:val="both"/>
        <w:rPr>
          <w:rFonts w:hint="eastAsia" w:ascii="宋体" w:hAnsi="宋体" w:cs="宋体"/>
          <w:szCs w:val="28"/>
        </w:rPr>
      </w:pPr>
      <w:r>
        <w:rPr>
          <w:rFonts w:hint="eastAsia" w:ascii="宋体" w:hAnsi="宋体" w:cs="宋体"/>
          <w:szCs w:val="28"/>
        </w:rPr>
        <w:t>广南县旧莫小格达石灰岩矿于2014年6月12日首次取得采矿许可证。采矿权人：文山州隆兴矿业有限公司；矿山名称：文山州隆兴矿业有限公司广南县旧莫小格达石灰岩矿；采矿许可证号：C5326272010067130068436；经济类型：有限责任公司；开采矿种：石灰岩；开采方式：露天开采；生产规模:6.27万t/a；矿区面积0.054km</w:t>
      </w:r>
      <w:r>
        <w:rPr>
          <w:rFonts w:hint="eastAsia" w:ascii="宋体" w:hAnsi="宋体" w:cs="宋体"/>
          <w:szCs w:val="28"/>
          <w:vertAlign w:val="superscript"/>
        </w:rPr>
        <w:t>2</w:t>
      </w:r>
      <w:r>
        <w:rPr>
          <w:rFonts w:hint="eastAsia" w:ascii="宋体" w:hAnsi="宋体" w:cs="宋体"/>
          <w:szCs w:val="28"/>
        </w:rPr>
        <w:t>；开采深度:1324m—1376m；有效期限：自2015年6月25日—2018年6月25日；该采矿许可证属广南县国土资源局发证，矿山规模为小型。</w:t>
      </w:r>
    </w:p>
    <w:p w14:paraId="0144378B">
      <w:pPr>
        <w:ind w:firstLine="560"/>
        <w:jc w:val="both"/>
        <w:rPr>
          <w:rFonts w:hint="eastAsia" w:ascii="宋体" w:hAnsi="宋体" w:cs="宋体"/>
          <w:szCs w:val="28"/>
        </w:rPr>
      </w:pPr>
      <w:r>
        <w:rPr>
          <w:rFonts w:hint="eastAsia" w:ascii="宋体" w:hAnsi="宋体" w:cs="宋体"/>
          <w:szCs w:val="28"/>
        </w:rPr>
        <w:t>2018年6月25日采矿权到期后，矿权人申请采矿权延续变更，采矿权人：文山州隆兴矿业有限公司；矿山名称：文山州隆兴矿业有限公司广南县旧莫小格达石灰岩矿；采矿许可证号：C5326272010067130068436；经济类型：有限责任公司；开采矿种：石灰岩；开采方式：露天开采；生产规模:10万t/a；矿区面积0.054km</w:t>
      </w:r>
      <w:r>
        <w:rPr>
          <w:rFonts w:hint="eastAsia" w:ascii="宋体" w:hAnsi="宋体" w:cs="宋体"/>
          <w:szCs w:val="28"/>
          <w:vertAlign w:val="superscript"/>
        </w:rPr>
        <w:t>2</w:t>
      </w:r>
      <w:r>
        <w:rPr>
          <w:rFonts w:hint="eastAsia" w:ascii="宋体" w:hAnsi="宋体" w:cs="宋体"/>
          <w:szCs w:val="28"/>
        </w:rPr>
        <w:t>，开采深度:1324m—1376m；有效期限：自2020年8月7日—2022年8月7日。</w:t>
      </w:r>
    </w:p>
    <w:p w14:paraId="31138093">
      <w:pPr>
        <w:adjustRightInd w:val="0"/>
        <w:snapToGrid w:val="0"/>
        <w:ind w:firstLine="560"/>
        <w:jc w:val="both"/>
        <w:rPr>
          <w:rFonts w:hint="eastAsia" w:ascii="宋体" w:hAnsi="宋体"/>
          <w:kern w:val="0"/>
          <w:szCs w:val="28"/>
        </w:rPr>
      </w:pPr>
      <w:r>
        <w:rPr>
          <w:rFonts w:ascii="宋体" w:hAnsi="宋体"/>
          <w:kern w:val="0"/>
          <w:szCs w:val="28"/>
        </w:rPr>
        <w:t>采矿权到期后，</w:t>
      </w:r>
      <w:r>
        <w:rPr>
          <w:rFonts w:hint="eastAsia" w:ascii="宋体" w:hAnsi="宋体"/>
          <w:kern w:val="0"/>
          <w:szCs w:val="28"/>
        </w:rPr>
        <w:t>矿山重新办理采矿证，</w:t>
      </w:r>
      <w:r>
        <w:rPr>
          <w:rFonts w:ascii="宋体" w:hAnsi="宋体"/>
          <w:kern w:val="0"/>
          <w:szCs w:val="28"/>
        </w:rPr>
        <w:t>于202</w:t>
      </w:r>
      <w:r>
        <w:rPr>
          <w:rFonts w:hint="eastAsia" w:ascii="宋体" w:hAnsi="宋体"/>
          <w:kern w:val="0"/>
          <w:szCs w:val="28"/>
        </w:rPr>
        <w:t>3</w:t>
      </w:r>
      <w:r>
        <w:rPr>
          <w:rFonts w:ascii="宋体" w:hAnsi="宋体"/>
          <w:kern w:val="0"/>
          <w:szCs w:val="28"/>
        </w:rPr>
        <w:t>年</w:t>
      </w:r>
      <w:r>
        <w:rPr>
          <w:rFonts w:hint="eastAsia" w:ascii="宋体" w:hAnsi="宋体"/>
          <w:kern w:val="0"/>
          <w:szCs w:val="28"/>
        </w:rPr>
        <w:t>3</w:t>
      </w:r>
      <w:r>
        <w:rPr>
          <w:rFonts w:ascii="宋体" w:hAnsi="宋体"/>
          <w:kern w:val="0"/>
          <w:szCs w:val="28"/>
        </w:rPr>
        <w:t>月</w:t>
      </w:r>
      <w:r>
        <w:rPr>
          <w:rFonts w:hint="eastAsia" w:ascii="宋体" w:hAnsi="宋体"/>
          <w:kern w:val="0"/>
          <w:szCs w:val="28"/>
        </w:rPr>
        <w:t>2</w:t>
      </w:r>
      <w:r>
        <w:rPr>
          <w:rFonts w:ascii="宋体" w:hAnsi="宋体"/>
          <w:kern w:val="0"/>
          <w:szCs w:val="28"/>
        </w:rPr>
        <w:t>4日取得了</w:t>
      </w:r>
      <w:r>
        <w:rPr>
          <w:rFonts w:hint="eastAsia" w:ascii="宋体" w:hAnsi="宋体"/>
          <w:kern w:val="0"/>
          <w:szCs w:val="28"/>
        </w:rPr>
        <w:t>广南县</w:t>
      </w:r>
      <w:r>
        <w:rPr>
          <w:rFonts w:ascii="宋体" w:hAnsi="宋体"/>
          <w:kern w:val="0"/>
          <w:szCs w:val="28"/>
        </w:rPr>
        <w:t>自然资源局颁发的采矿证，矿山名称：广南县旧莫小格达</w:t>
      </w:r>
      <w:r>
        <w:rPr>
          <w:rFonts w:hint="eastAsia" w:ascii="宋体" w:hAnsi="宋体"/>
          <w:kern w:val="0"/>
          <w:szCs w:val="28"/>
        </w:rPr>
        <w:t>普通建筑石料用</w:t>
      </w:r>
      <w:r>
        <w:rPr>
          <w:rFonts w:ascii="宋体" w:hAnsi="宋体"/>
          <w:szCs w:val="28"/>
        </w:rPr>
        <w:t>灰岩矿，采矿权人：广南同邦工贸有限公司</w:t>
      </w:r>
      <w:r>
        <w:rPr>
          <w:rFonts w:hint="eastAsia" w:ascii="宋体" w:hAnsi="宋体"/>
          <w:szCs w:val="28"/>
        </w:rPr>
        <w:t>，经济类型：</w:t>
      </w:r>
      <w:r>
        <w:rPr>
          <w:rFonts w:ascii="宋体" w:hAnsi="宋体"/>
          <w:szCs w:val="28"/>
        </w:rPr>
        <w:t>有限责任公司</w:t>
      </w:r>
      <w:r>
        <w:rPr>
          <w:rFonts w:hint="eastAsia" w:ascii="宋体" w:hAnsi="宋体"/>
          <w:szCs w:val="28"/>
        </w:rPr>
        <w:t>，</w:t>
      </w:r>
      <w:r>
        <w:rPr>
          <w:rFonts w:ascii="宋体" w:hAnsi="宋体"/>
          <w:szCs w:val="28"/>
        </w:rPr>
        <w:t>采矿证号：C326272023037230154872，生产规模：</w:t>
      </w:r>
      <w:r>
        <w:rPr>
          <w:rFonts w:hint="eastAsia" w:ascii="宋体" w:hAnsi="宋体"/>
          <w:szCs w:val="28"/>
        </w:rPr>
        <w:t>30</w:t>
      </w:r>
      <w:r>
        <w:rPr>
          <w:rFonts w:ascii="宋体" w:hAnsi="宋体"/>
          <w:szCs w:val="28"/>
        </w:rPr>
        <w:t>万</w:t>
      </w:r>
      <w:r>
        <w:rPr>
          <w:rFonts w:hint="eastAsia" w:ascii="宋体" w:hAnsi="宋体"/>
          <w:szCs w:val="28"/>
        </w:rPr>
        <w:t>吨</w:t>
      </w:r>
      <w:r>
        <w:rPr>
          <w:rFonts w:ascii="宋体" w:hAnsi="宋体"/>
          <w:szCs w:val="28"/>
        </w:rPr>
        <w:t>/年</w:t>
      </w:r>
      <w:r>
        <w:rPr>
          <w:rFonts w:hint="eastAsia" w:ascii="宋体" w:hAnsi="宋体"/>
          <w:szCs w:val="28"/>
        </w:rPr>
        <w:t>，矿区</w:t>
      </w:r>
      <w:r>
        <w:rPr>
          <w:rFonts w:ascii="宋体" w:hAnsi="宋体"/>
          <w:szCs w:val="28"/>
        </w:rPr>
        <w:t>面积0.</w:t>
      </w:r>
      <w:r>
        <w:rPr>
          <w:rFonts w:hint="eastAsia" w:ascii="宋体" w:hAnsi="宋体"/>
          <w:szCs w:val="28"/>
        </w:rPr>
        <w:t>1048</w:t>
      </w:r>
      <w:r>
        <w:rPr>
          <w:rFonts w:ascii="宋体" w:hAnsi="宋体"/>
          <w:szCs w:val="28"/>
        </w:rPr>
        <w:t>km</w:t>
      </w:r>
      <w:r>
        <w:rPr>
          <w:rFonts w:ascii="宋体" w:hAnsi="宋体"/>
          <w:szCs w:val="28"/>
          <w:vertAlign w:val="superscript"/>
        </w:rPr>
        <w:t>2</w:t>
      </w:r>
      <w:r>
        <w:rPr>
          <w:rFonts w:hint="eastAsia" w:ascii="宋体" w:hAnsi="宋体"/>
          <w:szCs w:val="28"/>
        </w:rPr>
        <w:t>，</w:t>
      </w:r>
      <w:r>
        <w:rPr>
          <w:rFonts w:ascii="宋体" w:hAnsi="宋体"/>
          <w:szCs w:val="28"/>
        </w:rPr>
        <w:t>开采方式：露天开采，开采矿种：建筑石料</w:t>
      </w:r>
      <w:r>
        <w:rPr>
          <w:rFonts w:ascii="宋体" w:hAnsi="宋体"/>
          <w:kern w:val="0"/>
          <w:szCs w:val="28"/>
        </w:rPr>
        <w:t>用灰岩，有效期：202</w:t>
      </w:r>
      <w:r>
        <w:rPr>
          <w:rFonts w:hint="eastAsia" w:ascii="宋体" w:hAnsi="宋体"/>
          <w:kern w:val="0"/>
          <w:szCs w:val="28"/>
        </w:rPr>
        <w:t>3</w:t>
      </w:r>
      <w:r>
        <w:rPr>
          <w:rFonts w:ascii="宋体" w:hAnsi="宋体"/>
          <w:kern w:val="0"/>
          <w:szCs w:val="28"/>
        </w:rPr>
        <w:t>年</w:t>
      </w:r>
      <w:r>
        <w:rPr>
          <w:rFonts w:hint="eastAsia" w:ascii="宋体" w:hAnsi="宋体"/>
          <w:kern w:val="0"/>
          <w:szCs w:val="28"/>
        </w:rPr>
        <w:t>03</w:t>
      </w:r>
      <w:r>
        <w:rPr>
          <w:rFonts w:ascii="宋体" w:hAnsi="宋体"/>
          <w:kern w:val="0"/>
          <w:szCs w:val="28"/>
        </w:rPr>
        <w:t>月</w:t>
      </w:r>
      <w:r>
        <w:rPr>
          <w:rFonts w:hint="eastAsia" w:ascii="宋体" w:hAnsi="宋体"/>
          <w:kern w:val="0"/>
          <w:szCs w:val="28"/>
        </w:rPr>
        <w:t>24</w:t>
      </w:r>
      <w:r>
        <w:rPr>
          <w:rFonts w:ascii="宋体" w:hAnsi="宋体"/>
          <w:kern w:val="0"/>
          <w:szCs w:val="28"/>
        </w:rPr>
        <w:t>日至20</w:t>
      </w:r>
      <w:r>
        <w:rPr>
          <w:rFonts w:hint="eastAsia" w:ascii="宋体" w:hAnsi="宋体"/>
          <w:kern w:val="0"/>
          <w:szCs w:val="28"/>
        </w:rPr>
        <w:t>28</w:t>
      </w:r>
      <w:r>
        <w:rPr>
          <w:rFonts w:ascii="宋体" w:hAnsi="宋体"/>
          <w:kern w:val="0"/>
          <w:szCs w:val="28"/>
        </w:rPr>
        <w:t>年</w:t>
      </w:r>
      <w:r>
        <w:rPr>
          <w:rFonts w:hint="eastAsia" w:ascii="宋体" w:hAnsi="宋体"/>
          <w:kern w:val="0"/>
          <w:szCs w:val="28"/>
        </w:rPr>
        <w:t>03</w:t>
      </w:r>
      <w:r>
        <w:rPr>
          <w:rFonts w:ascii="宋体" w:hAnsi="宋体"/>
          <w:kern w:val="0"/>
          <w:szCs w:val="28"/>
        </w:rPr>
        <w:t>月</w:t>
      </w:r>
      <w:r>
        <w:rPr>
          <w:rFonts w:hint="eastAsia" w:ascii="宋体" w:hAnsi="宋体"/>
          <w:kern w:val="0"/>
          <w:szCs w:val="28"/>
        </w:rPr>
        <w:t>24</w:t>
      </w:r>
      <w:r>
        <w:rPr>
          <w:rFonts w:ascii="宋体" w:hAnsi="宋体"/>
          <w:kern w:val="0"/>
          <w:szCs w:val="28"/>
        </w:rPr>
        <w:t>日。</w:t>
      </w:r>
    </w:p>
    <w:p w14:paraId="54386044">
      <w:pPr>
        <w:widowControl/>
        <w:adjustRightInd w:val="0"/>
        <w:snapToGrid w:val="0"/>
        <w:ind w:firstLine="560"/>
        <w:jc w:val="both"/>
        <w:rPr>
          <w:rFonts w:hint="eastAsia" w:ascii="宋体" w:hAnsi="宋体"/>
          <w:szCs w:val="28"/>
        </w:rPr>
      </w:pPr>
      <w:r>
        <w:rPr>
          <w:rFonts w:ascii="宋体" w:hAnsi="宋体"/>
          <w:szCs w:val="28"/>
        </w:rPr>
        <w:t>根据《企业投资项目核准和备案管理条例》（中华人民共和国国务院令第673号，自2017年2月1日起施行）、《云南省全面加强非煤矿山安全生产工作若干措施》（云政办发〔2024〕44号）等相关法律、法规、文件要求</w:t>
      </w:r>
      <w:r>
        <w:rPr>
          <w:rFonts w:hint="eastAsia" w:ascii="宋体" w:hAnsi="宋体"/>
          <w:szCs w:val="28"/>
        </w:rPr>
        <w:t>，广南县旧莫小格达普通建筑石料用灰岩矿</w:t>
      </w:r>
      <w:r>
        <w:rPr>
          <w:rFonts w:ascii="宋体" w:hAnsi="宋体"/>
          <w:szCs w:val="28"/>
        </w:rPr>
        <w:t>申请项目立项，</w:t>
      </w:r>
      <w:r>
        <w:rPr>
          <w:rFonts w:hint="eastAsia" w:ascii="宋体" w:hAnsi="宋体"/>
          <w:szCs w:val="28"/>
        </w:rPr>
        <w:t>拟将生产规模</w:t>
      </w:r>
      <w:r>
        <w:rPr>
          <w:rFonts w:ascii="宋体" w:hAnsi="宋体"/>
          <w:szCs w:val="28"/>
        </w:rPr>
        <w:t>从</w:t>
      </w:r>
      <w:r>
        <w:rPr>
          <w:rFonts w:hint="eastAsia" w:ascii="宋体" w:hAnsi="宋体"/>
          <w:szCs w:val="28"/>
        </w:rPr>
        <w:t>30</w:t>
      </w:r>
      <w:r>
        <w:rPr>
          <w:rFonts w:ascii="宋体" w:hAnsi="宋体"/>
          <w:szCs w:val="28"/>
        </w:rPr>
        <w:t>万t/a提升至</w:t>
      </w:r>
      <w:r>
        <w:rPr>
          <w:rFonts w:hint="eastAsia" w:ascii="宋体" w:hAnsi="宋体"/>
          <w:szCs w:val="28"/>
        </w:rPr>
        <w:t>5</w:t>
      </w:r>
      <w:r>
        <w:rPr>
          <w:rFonts w:ascii="宋体" w:hAnsi="宋体"/>
          <w:szCs w:val="28"/>
        </w:rPr>
        <w:t>0万t/a。</w:t>
      </w:r>
      <w:r>
        <w:rPr>
          <w:rFonts w:hint="eastAsia" w:ascii="宋体" w:hAnsi="宋体"/>
          <w:szCs w:val="28"/>
        </w:rPr>
        <w:t>企业</w:t>
      </w:r>
      <w:r>
        <w:rPr>
          <w:rFonts w:ascii="宋体" w:hAnsi="宋体"/>
          <w:szCs w:val="28"/>
        </w:rPr>
        <w:t>委托</w:t>
      </w:r>
      <w:r>
        <w:rPr>
          <w:rFonts w:hint="eastAsia" w:ascii="宋体" w:hAnsi="宋体"/>
          <w:szCs w:val="28"/>
        </w:rPr>
        <w:t>云南增股工程勘察设计有限公司</w:t>
      </w:r>
      <w:r>
        <w:rPr>
          <w:rFonts w:ascii="宋体" w:hAnsi="宋体"/>
          <w:szCs w:val="28"/>
        </w:rPr>
        <w:t>对扩建石场矿山进行可行性研究工作，编制和提交</w:t>
      </w:r>
      <w:r>
        <w:rPr>
          <w:rFonts w:hint="eastAsia" w:ascii="宋体" w:hAnsi="宋体"/>
          <w:szCs w:val="28"/>
        </w:rPr>
        <w:t>了</w:t>
      </w:r>
      <w:r>
        <w:rPr>
          <w:rFonts w:ascii="宋体" w:hAnsi="宋体"/>
          <w:szCs w:val="28"/>
        </w:rPr>
        <w:t>《</w:t>
      </w:r>
      <w:r>
        <w:rPr>
          <w:rFonts w:hint="eastAsia" w:ascii="宋体" w:hAnsi="宋体"/>
          <w:szCs w:val="28"/>
        </w:rPr>
        <w:t>广南县旧莫小格达普通建筑石料用灰岩矿</w:t>
      </w:r>
      <w:r>
        <w:rPr>
          <w:rFonts w:ascii="宋体" w:hAnsi="宋体"/>
          <w:szCs w:val="28"/>
        </w:rPr>
        <w:t>50万t/a露天采矿工程可行性研究报告</w:t>
      </w:r>
      <w:r>
        <w:rPr>
          <w:rFonts w:ascii="宋体" w:hAnsi="宋体"/>
          <w:snapToGrid w:val="0"/>
          <w:kern w:val="0"/>
          <w:szCs w:val="28"/>
        </w:rPr>
        <w:t>》</w:t>
      </w:r>
      <w:r>
        <w:rPr>
          <w:rFonts w:hint="eastAsia" w:ascii="宋体" w:hAnsi="宋体"/>
          <w:snapToGrid w:val="0"/>
          <w:kern w:val="0"/>
          <w:szCs w:val="28"/>
        </w:rPr>
        <w:t>，</w:t>
      </w:r>
      <w:r>
        <w:rPr>
          <w:rFonts w:hint="eastAsia" w:ascii="宋体" w:hAnsi="宋体" w:cs="宋体"/>
          <w:snapToGrid w:val="0"/>
          <w:kern w:val="0"/>
          <w:szCs w:val="28"/>
          <w:lang w:bidi="ar"/>
        </w:rPr>
        <w:t>2025年6月6日《</w:t>
      </w:r>
      <w:r>
        <w:rPr>
          <w:rFonts w:hint="eastAsia" w:ascii="宋体" w:hAnsi="宋体"/>
          <w:snapToGrid w:val="0"/>
          <w:kern w:val="0"/>
          <w:szCs w:val="28"/>
        </w:rPr>
        <w:t>云南省固定资产投资项目备案证</w:t>
      </w:r>
      <w:r>
        <w:rPr>
          <w:rFonts w:hint="eastAsia" w:ascii="宋体" w:hAnsi="宋体" w:cs="宋体"/>
          <w:snapToGrid w:val="0"/>
          <w:kern w:val="0"/>
          <w:szCs w:val="28"/>
          <w:lang w:bidi="ar"/>
        </w:rPr>
        <w:t>》</w:t>
      </w:r>
      <w:r>
        <w:rPr>
          <w:rFonts w:hint="eastAsia" w:ascii="宋体" w:hAnsi="宋体"/>
          <w:snapToGrid w:val="0"/>
          <w:kern w:val="0"/>
          <w:szCs w:val="28"/>
        </w:rPr>
        <w:t>（备案号</w:t>
      </w:r>
      <w:r>
        <w:rPr>
          <w:rFonts w:hint="eastAsia" w:ascii="宋体" w:hAnsi="宋体" w:cs="宋体"/>
          <w:snapToGrid w:val="0"/>
          <w:kern w:val="0"/>
          <w:szCs w:val="28"/>
        </w:rPr>
        <w:t>[项目代码]</w:t>
      </w:r>
      <w:r>
        <w:rPr>
          <w:rFonts w:hint="eastAsia" w:ascii="宋体" w:hAnsi="宋体"/>
          <w:snapToGrid w:val="0"/>
          <w:kern w:val="0"/>
          <w:szCs w:val="28"/>
        </w:rPr>
        <w:t>：</w:t>
      </w:r>
      <w:r>
        <w:rPr>
          <w:rFonts w:ascii="宋体" w:hAnsi="宋体"/>
          <w:bCs/>
          <w:snapToGrid w:val="0"/>
          <w:kern w:val="0"/>
          <w:szCs w:val="28"/>
        </w:rPr>
        <w:t>2302-532627-04-05-191623</w:t>
      </w:r>
      <w:r>
        <w:rPr>
          <w:rFonts w:hint="eastAsia" w:ascii="宋体" w:hAnsi="宋体"/>
          <w:snapToGrid w:val="0"/>
          <w:kern w:val="0"/>
          <w:szCs w:val="28"/>
        </w:rPr>
        <w:t>）进行了变更。</w:t>
      </w:r>
    </w:p>
    <w:p w14:paraId="11D20662">
      <w:pPr>
        <w:ind w:firstLine="560"/>
        <w:jc w:val="both"/>
        <w:rPr>
          <w:rFonts w:hint="eastAsia" w:ascii="宋体" w:hAnsi="宋体" w:cs="宋体"/>
          <w:szCs w:val="28"/>
        </w:rPr>
      </w:pPr>
      <w:r>
        <w:rPr>
          <w:rFonts w:ascii="宋体" w:hAnsi="宋体"/>
          <w:szCs w:val="28"/>
        </w:rPr>
        <w:t>根据《中华人民共和国安全生产法》（中华人民共和国主席令第</w:t>
      </w:r>
      <w:r>
        <w:rPr>
          <w:rFonts w:hint="eastAsia" w:ascii="宋体" w:hAnsi="宋体"/>
          <w:szCs w:val="28"/>
        </w:rPr>
        <w:t>八十八</w:t>
      </w:r>
      <w:r>
        <w:rPr>
          <w:rFonts w:ascii="宋体" w:hAnsi="宋体"/>
          <w:szCs w:val="28"/>
        </w:rPr>
        <w:t>号修订）、《建设项目安全设施“三同时”监督管理办法》（</w:t>
      </w:r>
      <w:r>
        <w:rPr>
          <w:rFonts w:hint="eastAsia" w:ascii="宋体" w:hAnsi="宋体"/>
          <w:szCs w:val="28"/>
        </w:rPr>
        <w:t>原</w:t>
      </w:r>
      <w:r>
        <w:rPr>
          <w:rFonts w:ascii="宋体" w:hAnsi="宋体"/>
          <w:szCs w:val="28"/>
        </w:rPr>
        <w:t>国家安全生产监督管理总局令第36号</w:t>
      </w:r>
      <w:r>
        <w:rPr>
          <w:rFonts w:hint="eastAsia" w:ascii="宋体" w:hAnsi="宋体"/>
          <w:szCs w:val="28"/>
        </w:rPr>
        <w:t>，原</w:t>
      </w:r>
      <w:r>
        <w:rPr>
          <w:rFonts w:ascii="宋体" w:hAnsi="宋体"/>
          <w:szCs w:val="28"/>
        </w:rPr>
        <w:t>国家安监总局令第77号令修订）等国家有关安全生产法律法规和标准规范的要求</w:t>
      </w:r>
      <w:r>
        <w:rPr>
          <w:rFonts w:hint="eastAsia" w:ascii="宋体" w:hAnsi="宋体"/>
          <w:szCs w:val="28"/>
        </w:rPr>
        <w:t>，</w:t>
      </w:r>
      <w:r>
        <w:rPr>
          <w:rFonts w:ascii="宋体" w:hAnsi="宋体"/>
          <w:szCs w:val="28"/>
        </w:rPr>
        <w:t>为了履行建设项目安全设施“三同时”手续</w:t>
      </w:r>
      <w:r>
        <w:rPr>
          <w:rFonts w:hint="eastAsia" w:ascii="宋体" w:hAnsi="宋体"/>
          <w:szCs w:val="28"/>
        </w:rPr>
        <w:t>，2025年7月28日</w:t>
      </w:r>
      <w:r>
        <w:rPr>
          <w:rFonts w:hint="eastAsia" w:ascii="宋体" w:hAnsi="宋体" w:cs="宋体"/>
          <w:szCs w:val="28"/>
        </w:rPr>
        <w:t>委托江西赣安安全生产科学技术咨询服务中心承担</w:t>
      </w:r>
      <w:r>
        <w:rPr>
          <w:rFonts w:hint="eastAsia" w:ascii="宋体" w:hAnsi="宋体"/>
          <w:szCs w:val="28"/>
        </w:rPr>
        <w:t>广南县旧莫小格达普通建筑石料用灰岩矿</w:t>
      </w:r>
      <w:r>
        <w:rPr>
          <w:rFonts w:ascii="宋体" w:hAnsi="宋体"/>
          <w:szCs w:val="28"/>
        </w:rPr>
        <w:t>50万t/a露天采矿工程</w:t>
      </w:r>
      <w:r>
        <w:rPr>
          <w:rFonts w:hint="eastAsia" w:ascii="宋体" w:hAnsi="宋体" w:cs="宋体"/>
          <w:szCs w:val="28"/>
        </w:rPr>
        <w:t>安全预评价工作。</w:t>
      </w:r>
    </w:p>
    <w:bookmarkEnd w:id="55"/>
    <w:bookmarkEnd w:id="56"/>
    <w:bookmarkEnd w:id="57"/>
    <w:p w14:paraId="414B8829">
      <w:pPr>
        <w:pStyle w:val="5"/>
        <w:spacing w:after="120"/>
      </w:pPr>
      <w:bookmarkStart w:id="365" w:name="_Toc19116"/>
      <w:bookmarkStart w:id="366" w:name="_Toc6124"/>
      <w:bookmarkStart w:id="367" w:name="_Toc8973"/>
      <w:bookmarkStart w:id="368" w:name="_Toc17888"/>
      <w:bookmarkStart w:id="369" w:name="_Toc25254"/>
      <w:bookmarkStart w:id="370" w:name="_Toc8762"/>
      <w:bookmarkStart w:id="371" w:name="_Toc31729"/>
      <w:bookmarkStart w:id="372" w:name="_Toc8949"/>
      <w:bookmarkStart w:id="373" w:name="_Toc6411"/>
      <w:bookmarkStart w:id="374" w:name="_Toc11660"/>
      <w:bookmarkStart w:id="375" w:name="_Toc5056"/>
      <w:bookmarkStart w:id="376" w:name="_Toc215070143"/>
      <w:bookmarkStart w:id="377" w:name="_Toc20194"/>
      <w:bookmarkStart w:id="378" w:name="_Toc15879"/>
      <w:bookmarkStart w:id="379" w:name="_Toc27591"/>
      <w:bookmarkStart w:id="380" w:name="_Toc392680661"/>
      <w:r>
        <w:rPr>
          <w:rFonts w:hint="eastAsia"/>
        </w:rPr>
        <w:t>2.1.2建设项目行政区划、地理位置及交通</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9B36D55">
      <w:pPr>
        <w:pStyle w:val="6"/>
        <w:spacing w:before="120" w:after="120"/>
      </w:pPr>
      <w:bookmarkStart w:id="381" w:name="_Toc12888"/>
      <w:bookmarkStart w:id="382" w:name="_Toc31642"/>
      <w:bookmarkStart w:id="383" w:name="_Toc28877"/>
      <w:bookmarkStart w:id="384" w:name="_Toc28570"/>
      <w:bookmarkStart w:id="385" w:name="_Toc13363"/>
      <w:bookmarkStart w:id="386" w:name="_Toc19884"/>
      <w:bookmarkStart w:id="387" w:name="_Toc14776"/>
      <w:bookmarkStart w:id="388" w:name="_Toc30262"/>
      <w:bookmarkStart w:id="389" w:name="_Toc215070144"/>
      <w:r>
        <w:rPr>
          <w:rFonts w:hint="eastAsia"/>
        </w:rPr>
        <w:t>2.</w:t>
      </w:r>
      <w:r>
        <w:t>1.</w:t>
      </w:r>
      <w:r>
        <w:rPr>
          <w:rFonts w:hint="eastAsia"/>
        </w:rPr>
        <w:t>2</w:t>
      </w:r>
      <w:r>
        <w:t>.1矿区位置</w:t>
      </w:r>
      <w:bookmarkEnd w:id="381"/>
      <w:bookmarkEnd w:id="382"/>
      <w:bookmarkEnd w:id="383"/>
      <w:bookmarkEnd w:id="384"/>
      <w:bookmarkEnd w:id="385"/>
      <w:bookmarkEnd w:id="386"/>
      <w:bookmarkEnd w:id="387"/>
      <w:bookmarkEnd w:id="388"/>
      <w:bookmarkEnd w:id="389"/>
      <w:bookmarkStart w:id="390" w:name="_Toc17146"/>
      <w:bookmarkStart w:id="391" w:name="_Toc22283"/>
      <w:bookmarkStart w:id="392" w:name="_Toc20426"/>
      <w:bookmarkStart w:id="393" w:name="_Toc18671"/>
      <w:bookmarkStart w:id="394" w:name="_Toc12410"/>
      <w:bookmarkStart w:id="395" w:name="_Toc8799"/>
      <w:bookmarkStart w:id="396" w:name="_Toc18882"/>
      <w:bookmarkStart w:id="397" w:name="_Toc17325"/>
    </w:p>
    <w:p w14:paraId="43760097">
      <w:pPr>
        <w:pStyle w:val="113"/>
        <w:ind w:firstLine="560"/>
        <w:rPr>
          <w:rFonts w:hint="eastAsia" w:ascii="宋体" w:hAnsi="宋体"/>
          <w:b/>
          <w:color w:val="000000" w:themeColor="text1"/>
          <w:szCs w:val="28"/>
          <w14:textFill>
            <w14:solidFill>
              <w14:schemeClr w14:val="tx1"/>
            </w14:solidFill>
          </w14:textFill>
        </w:rPr>
      </w:pPr>
      <w:r>
        <w:rPr>
          <w:rFonts w:hint="eastAsia" w:ascii="宋体" w:hAnsi="宋体"/>
          <w:szCs w:val="28"/>
        </w:rPr>
        <w:t>广南县旧莫小格达普通建筑石料用灰岩矿位于</w:t>
      </w:r>
      <w:r>
        <w:rPr>
          <w:rFonts w:hint="eastAsia" w:ascii="宋体" w:hAnsi="宋体"/>
          <w:color w:val="000000" w:themeColor="text1"/>
          <w:szCs w:val="28"/>
          <w14:textFill>
            <w14:solidFill>
              <w14:schemeClr w14:val="tx1"/>
            </w14:solidFill>
          </w14:textFill>
        </w:rPr>
        <w:t>广南县城225°方向，距约4km处，地处广南县旧莫乡昔板村民委员会境内。地理坐标(2000国家大地坐标系)：东经104°59′32″～104°59′44″，北纬23°58′43″～23°59′02″。</w:t>
      </w:r>
    </w:p>
    <w:p w14:paraId="210168DD">
      <w:pPr>
        <w:pStyle w:val="6"/>
        <w:spacing w:before="120" w:after="120"/>
        <w:rPr>
          <w:color w:val="000000" w:themeColor="text1"/>
          <w14:textFill>
            <w14:solidFill>
              <w14:schemeClr w14:val="tx1"/>
            </w14:solidFill>
          </w14:textFill>
        </w:rPr>
      </w:pPr>
      <w:bookmarkStart w:id="398" w:name="_Toc215070145"/>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.2矿区交通</w:t>
      </w:r>
      <w:bookmarkEnd w:id="390"/>
      <w:bookmarkEnd w:id="391"/>
      <w:bookmarkEnd w:id="392"/>
      <w:bookmarkEnd w:id="393"/>
      <w:bookmarkEnd w:id="394"/>
      <w:bookmarkEnd w:id="395"/>
      <w:bookmarkEnd w:id="396"/>
      <w:bookmarkEnd w:id="397"/>
      <w:bookmarkEnd w:id="398"/>
    </w:p>
    <w:p w14:paraId="4E20AF1D">
      <w:pPr>
        <w:ind w:firstLine="544"/>
        <w:rPr>
          <w:rFonts w:hint="eastAsia" w:ascii="宋体" w:hAnsi="宋体"/>
          <w:bCs/>
          <w:color w:val="000000"/>
          <w:szCs w:val="28"/>
        </w:rPr>
      </w:pPr>
      <w:r>
        <w:rPr>
          <w:rFonts w:hint="eastAsia" w:ascii="宋体" w:hAnsi="宋体" w:cs="宋体"/>
          <w:color w:val="000000" w:themeColor="text1"/>
          <w:spacing w:val="-4"/>
          <w:szCs w:val="28"/>
          <w14:textFill>
            <w14:solidFill>
              <w14:schemeClr w14:val="tx1"/>
            </w14:solidFill>
          </w14:textFill>
        </w:rPr>
        <w:t>矿区位于208省道东侧，矿区内有简易公路与珠(街)-西(林</w:t>
      </w:r>
      <w:r>
        <w:rPr>
          <w:rFonts w:hint="eastAsia" w:ascii="宋体" w:hAnsi="宋体" w:cs="宋体"/>
          <w:color w:val="000000"/>
          <w:spacing w:val="-4"/>
          <w:szCs w:val="28"/>
        </w:rPr>
        <w:t>)公路相通，至旧莫小格达昔板委会里程约4.4km，至广南县公路里程为12km，至文山州府公路里程为153.6km，至省府昆明公路里程为468.1km，矿区交通条件较为便利（见图</w:t>
      </w:r>
      <w:r>
        <w:rPr>
          <w:rFonts w:hint="eastAsia" w:ascii="宋体" w:hAnsi="宋体"/>
          <w:szCs w:val="28"/>
        </w:rPr>
        <w:t>2.</w:t>
      </w:r>
      <w:r>
        <w:rPr>
          <w:rFonts w:ascii="宋体" w:hAnsi="宋体"/>
          <w:szCs w:val="28"/>
        </w:rPr>
        <w:t>1-1</w:t>
      </w:r>
      <w:r>
        <w:rPr>
          <w:rFonts w:hint="eastAsia" w:ascii="宋体" w:hAnsi="宋体" w:cs="宋体"/>
          <w:color w:val="000000"/>
          <w:spacing w:val="-4"/>
          <w:szCs w:val="28"/>
        </w:rPr>
        <w:t>）。</w:t>
      </w:r>
    </w:p>
    <w:p w14:paraId="56EADAA7">
      <w:pPr>
        <w:pStyle w:val="18"/>
        <w:spacing w:after="0" w:line="240" w:lineRule="auto"/>
        <w:ind w:firstLine="0" w:firstLineChars="0"/>
        <w:jc w:val="center"/>
      </w:pPr>
      <w:r>
        <w:drawing>
          <wp:anchor distT="0" distB="0" distL="114300" distR="114300" simplePos="0" relativeHeight="251661312" behindDoc="0" locked="0" layoutInCell="1" allowOverlap="1">
            <wp:simplePos x="0" y="0"/>
            <wp:positionH relativeFrom="column">
              <wp:posOffset>-139700</wp:posOffset>
            </wp:positionH>
            <wp:positionV relativeFrom="paragraph">
              <wp:posOffset>106045</wp:posOffset>
            </wp:positionV>
            <wp:extent cx="6073140" cy="4827270"/>
            <wp:effectExtent l="0" t="0" r="0" b="0"/>
            <wp:wrapTopAndBottom/>
            <wp:docPr id="159" name="图片 105" descr="jtt文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05" descr="jtt文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73140" cy="4827270"/>
                    </a:xfrm>
                    <a:prstGeom prst="rect">
                      <a:avLst/>
                    </a:prstGeom>
                    <a:noFill/>
                    <a:ln>
                      <a:noFill/>
                    </a:ln>
                  </pic:spPr>
                </pic:pic>
              </a:graphicData>
            </a:graphic>
          </wp:anchor>
        </w:drawing>
      </w:r>
      <w:r>
        <w:t>图</w:t>
      </w:r>
      <w:r>
        <w:rPr>
          <w:rFonts w:hint="eastAsia"/>
        </w:rPr>
        <w:t>2.</w:t>
      </w:r>
      <w:r>
        <w:t>1-1</w:t>
      </w:r>
      <w:r>
        <w:rPr>
          <w:rFonts w:hint="eastAsia"/>
        </w:rPr>
        <w:t>矿区交通位置图</w:t>
      </w:r>
    </w:p>
    <w:p w14:paraId="0AD320D2">
      <w:pPr>
        <w:pStyle w:val="5"/>
        <w:spacing w:after="120"/>
      </w:pPr>
      <w:bookmarkStart w:id="399" w:name="_Toc11767"/>
      <w:bookmarkStart w:id="400" w:name="_Toc16376"/>
      <w:bookmarkStart w:id="401" w:name="_Toc14303"/>
      <w:bookmarkStart w:id="402" w:name="_Toc128"/>
      <w:bookmarkStart w:id="403" w:name="_Toc16682"/>
      <w:bookmarkStart w:id="404" w:name="_Toc16038"/>
      <w:bookmarkStart w:id="405" w:name="_Toc18857"/>
      <w:bookmarkStart w:id="406" w:name="_Toc25184"/>
      <w:bookmarkStart w:id="407" w:name="_Toc15492"/>
      <w:bookmarkStart w:id="408" w:name="_Toc19140"/>
      <w:bookmarkStart w:id="409" w:name="_Toc1413"/>
      <w:bookmarkStart w:id="410" w:name="_Toc215070146"/>
      <w:bookmarkStart w:id="411" w:name="_Toc13409"/>
      <w:r>
        <w:rPr>
          <w:rFonts w:hint="eastAsia"/>
        </w:rPr>
        <w:t>2.</w:t>
      </w:r>
      <w:r>
        <w:t>1.</w:t>
      </w:r>
      <w:r>
        <w:rPr>
          <w:rFonts w:hint="eastAsia"/>
        </w:rPr>
        <w:t>3</w:t>
      </w:r>
      <w:r>
        <w:t>矿业权设置</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609EDE32">
      <w:pPr>
        <w:pStyle w:val="19"/>
        <w:ind w:left="560" w:firstLine="560"/>
        <w:jc w:val="both"/>
        <w:rPr>
          <w:rFonts w:hint="eastAsia" w:ascii="宋体" w:hAnsi="宋体" w:cs="宋体"/>
          <w:szCs w:val="28"/>
        </w:rPr>
      </w:pPr>
      <w:bookmarkStart w:id="412" w:name="OLE_LINK7"/>
      <w:bookmarkStart w:id="413" w:name="_Hlk205200233"/>
      <w:bookmarkStart w:id="414" w:name="_Toc11060"/>
      <w:bookmarkStart w:id="415" w:name="_Toc17960"/>
      <w:r>
        <w:rPr>
          <w:rFonts w:hint="eastAsia" w:ascii="宋体" w:hAnsi="宋体" w:cs="宋体"/>
          <w:szCs w:val="28"/>
        </w:rPr>
        <w:t>广南县旧莫小格达石灰岩矿</w:t>
      </w:r>
      <w:bookmarkEnd w:id="412"/>
      <w:r>
        <w:rPr>
          <w:rFonts w:hint="eastAsia" w:ascii="宋体" w:hAnsi="宋体" w:cs="宋体"/>
          <w:szCs w:val="28"/>
        </w:rPr>
        <w:t>于2014年6月12日首次取得采矿许可证。2018年6月25日采矿权到期后，矿权人申请采矿权延续变更。</w:t>
      </w:r>
    </w:p>
    <w:bookmarkEnd w:id="413"/>
    <w:p w14:paraId="49BF100F">
      <w:pPr>
        <w:pStyle w:val="19"/>
        <w:ind w:left="560" w:firstLine="560"/>
        <w:jc w:val="both"/>
        <w:rPr>
          <w:rFonts w:hint="eastAsia" w:ascii="宋体" w:hAnsi="宋体" w:cs="宋体"/>
          <w:szCs w:val="28"/>
        </w:rPr>
      </w:pPr>
      <w:r>
        <w:rPr>
          <w:rFonts w:hint="eastAsia" w:ascii="宋体" w:hAnsi="宋体" w:cs="宋体"/>
          <w:szCs w:val="28"/>
        </w:rPr>
        <w:t>变更后矿区范围由7个拐点坐标圈定，拐点坐标如下（表</w:t>
      </w:r>
      <w:r>
        <w:rPr>
          <w:rFonts w:hint="eastAsia"/>
        </w:rPr>
        <w:t>2.1</w:t>
      </w:r>
      <w:r>
        <w:t>-1</w:t>
      </w:r>
      <w:r>
        <w:rPr>
          <w:rFonts w:hint="eastAsia" w:ascii="宋体" w:hAnsi="宋体" w:cs="宋体"/>
          <w:szCs w:val="28"/>
        </w:rPr>
        <w:t>），</w:t>
      </w:r>
      <w:r>
        <w:rPr>
          <w:rFonts w:hint="eastAsia" w:ascii="宋体" w:hAnsi="宋体" w:cs="宋体"/>
          <w:color w:val="000000"/>
          <w:spacing w:val="-6"/>
          <w:szCs w:val="28"/>
        </w:rPr>
        <w:t>矿区面积由0.054km</w:t>
      </w:r>
      <w:r>
        <w:rPr>
          <w:rFonts w:hint="eastAsia" w:ascii="宋体" w:hAnsi="宋体" w:cs="宋体"/>
          <w:color w:val="000000"/>
          <w:spacing w:val="-6"/>
          <w:szCs w:val="28"/>
          <w:vertAlign w:val="superscript"/>
        </w:rPr>
        <w:t>2</w:t>
      </w:r>
      <w:r>
        <w:rPr>
          <w:rFonts w:hint="eastAsia" w:ascii="宋体" w:hAnsi="宋体" w:cs="宋体"/>
          <w:color w:val="000000"/>
          <w:spacing w:val="-6"/>
          <w:szCs w:val="28"/>
        </w:rPr>
        <w:t>变更为</w:t>
      </w:r>
      <w:bookmarkStart w:id="416" w:name="_Hlk204270066"/>
      <w:r>
        <w:rPr>
          <w:rFonts w:hint="eastAsia" w:ascii="宋体" w:hAnsi="宋体" w:cs="宋体"/>
          <w:color w:val="000000"/>
          <w:spacing w:val="-6"/>
          <w:szCs w:val="28"/>
        </w:rPr>
        <w:t>0.1048km</w:t>
      </w:r>
      <w:r>
        <w:rPr>
          <w:rFonts w:hint="eastAsia" w:ascii="宋体" w:hAnsi="宋体" w:cs="宋体"/>
          <w:color w:val="000000"/>
          <w:spacing w:val="-6"/>
          <w:szCs w:val="28"/>
          <w:vertAlign w:val="superscript"/>
        </w:rPr>
        <w:t>2</w:t>
      </w:r>
      <w:bookmarkEnd w:id="416"/>
      <w:r>
        <w:rPr>
          <w:rFonts w:hint="eastAsia" w:ascii="宋体" w:hAnsi="宋体" w:cs="宋体"/>
          <w:color w:val="000000"/>
          <w:spacing w:val="-6"/>
          <w:szCs w:val="28"/>
        </w:rPr>
        <w:t>，标高由</w:t>
      </w:r>
      <w:bookmarkStart w:id="417" w:name="_Hlk204270112"/>
      <w:r>
        <w:rPr>
          <w:rFonts w:hint="eastAsia" w:ascii="宋体" w:hAnsi="宋体" w:cs="宋体"/>
          <w:color w:val="000000"/>
          <w:spacing w:val="-6"/>
          <w:szCs w:val="28"/>
        </w:rPr>
        <w:t>1376m</w:t>
      </w:r>
      <w:bookmarkEnd w:id="417"/>
      <w:r>
        <w:rPr>
          <w:rFonts w:hint="eastAsia" w:ascii="宋体" w:hAnsi="宋体" w:cs="宋体"/>
          <w:color w:val="000000"/>
          <w:spacing w:val="-6"/>
          <w:szCs w:val="28"/>
        </w:rPr>
        <w:t>至1324m变更为</w:t>
      </w:r>
      <w:bookmarkStart w:id="418" w:name="_Hlk204270143"/>
      <w:r>
        <w:rPr>
          <w:rFonts w:hint="eastAsia" w:ascii="宋体" w:hAnsi="宋体" w:cs="宋体"/>
          <w:color w:val="000000"/>
          <w:spacing w:val="-6"/>
          <w:szCs w:val="28"/>
        </w:rPr>
        <w:t>1430m</w:t>
      </w:r>
      <w:bookmarkEnd w:id="418"/>
      <w:r>
        <w:rPr>
          <w:rFonts w:hint="eastAsia" w:ascii="宋体" w:hAnsi="宋体" w:cs="宋体"/>
          <w:color w:val="000000"/>
          <w:spacing w:val="-6"/>
          <w:szCs w:val="28"/>
        </w:rPr>
        <w:t>至1300m。</w:t>
      </w:r>
      <w:r>
        <w:rPr>
          <w:szCs w:val="28"/>
        </w:rPr>
        <w:t>经初步查询和实地调查，矿区范围未涉及保护区、生态红线、矿业权交叉重叠等。</w:t>
      </w:r>
    </w:p>
    <w:p w14:paraId="41D7FEDE">
      <w:pPr>
        <w:numPr>
          <w:ilvl w:val="0"/>
          <w:numId w:val="4"/>
        </w:numPr>
        <w:ind w:firstLineChars="0"/>
        <w:rPr>
          <w:szCs w:val="28"/>
        </w:rPr>
      </w:pPr>
      <w:r>
        <w:rPr>
          <w:szCs w:val="28"/>
        </w:rPr>
        <w:t>矿区范围由</w:t>
      </w:r>
      <w:r>
        <w:rPr>
          <w:rFonts w:hint="eastAsia"/>
          <w:szCs w:val="28"/>
        </w:rPr>
        <w:t>7</w:t>
      </w:r>
      <w:r>
        <w:rPr>
          <w:szCs w:val="28"/>
        </w:rPr>
        <w:t>个拐点圈定（表</w:t>
      </w:r>
      <w:bookmarkStart w:id="419" w:name="OLE_LINK8"/>
      <w:r>
        <w:rPr>
          <w:rFonts w:hint="eastAsia"/>
        </w:rPr>
        <w:t>2.1</w:t>
      </w:r>
      <w:r>
        <w:t>-1</w:t>
      </w:r>
      <w:bookmarkEnd w:id="419"/>
      <w:r>
        <w:rPr>
          <w:szCs w:val="28"/>
        </w:rPr>
        <w:t>）</w:t>
      </w:r>
      <w:r>
        <w:rPr>
          <w:rFonts w:hint="eastAsia"/>
          <w:szCs w:val="28"/>
        </w:rPr>
        <w:tab/>
      </w:r>
    </w:p>
    <w:p w14:paraId="16596850">
      <w:pPr>
        <w:widowControl/>
        <w:spacing w:line="240" w:lineRule="auto"/>
        <w:ind w:firstLine="0" w:firstLineChars="0"/>
        <w:rPr>
          <w:rFonts w:hint="eastAsia" w:ascii="宋体" w:hAnsi="宋体" w:cs="宋体"/>
          <w:b/>
          <w:bCs/>
        </w:rPr>
      </w:pPr>
      <w:r>
        <w:rPr>
          <w:rFonts w:hint="eastAsia" w:ascii="宋体" w:hAnsi="宋体" w:cs="宋体"/>
          <w:b/>
          <w:bCs/>
        </w:rPr>
        <w:br w:type="page"/>
      </w:r>
    </w:p>
    <w:p w14:paraId="7F037A7C">
      <w:pPr>
        <w:adjustRightInd w:val="0"/>
        <w:snapToGrid w:val="0"/>
        <w:spacing w:line="240" w:lineRule="auto"/>
        <w:ind w:firstLine="0" w:firstLineChars="0"/>
        <w:jc w:val="center"/>
        <w:rPr>
          <w:rFonts w:hint="eastAsia" w:ascii="宋体" w:hAnsi="宋体" w:cs="宋体"/>
          <w:b/>
          <w:bCs/>
        </w:rPr>
      </w:pPr>
      <w:r>
        <w:rPr>
          <w:rFonts w:hint="eastAsia" w:ascii="宋体" w:hAnsi="宋体" w:cs="宋体"/>
          <w:b/>
          <w:bCs/>
        </w:rPr>
        <w:t>表</w:t>
      </w:r>
      <w:r>
        <w:rPr>
          <w:rFonts w:hint="eastAsia"/>
        </w:rPr>
        <w:t>2.1</w:t>
      </w:r>
      <w:r>
        <w:t>-1</w:t>
      </w:r>
      <w:r>
        <w:rPr>
          <w:rFonts w:hint="eastAsia" w:ascii="宋体" w:hAnsi="宋体" w:cs="宋体"/>
          <w:b/>
          <w:bCs/>
        </w:rPr>
        <w:t xml:space="preserve">  矿区范围拐点坐标表</w:t>
      </w:r>
    </w:p>
    <w:bookmarkEnd w:id="414"/>
    <w:bookmarkEnd w:id="415"/>
    <w:tbl>
      <w:tblPr>
        <w:tblStyle w:val="44"/>
        <w:tblW w:w="5353" w:type="pct"/>
        <w:tblInd w:w="-176" w:type="dxa"/>
        <w:tblLayout w:type="fixed"/>
        <w:tblCellMar>
          <w:top w:w="0" w:type="dxa"/>
          <w:left w:w="108" w:type="dxa"/>
          <w:bottom w:w="0" w:type="dxa"/>
          <w:right w:w="108" w:type="dxa"/>
        </w:tblCellMar>
      </w:tblPr>
      <w:tblGrid>
        <w:gridCol w:w="1419"/>
        <w:gridCol w:w="2271"/>
        <w:gridCol w:w="1985"/>
        <w:gridCol w:w="2265"/>
        <w:gridCol w:w="2125"/>
      </w:tblGrid>
      <w:tr w14:paraId="2EE88B92">
        <w:tblPrEx>
          <w:tblCellMar>
            <w:top w:w="0" w:type="dxa"/>
            <w:left w:w="108" w:type="dxa"/>
            <w:bottom w:w="0" w:type="dxa"/>
            <w:right w:w="108" w:type="dxa"/>
          </w:tblCellMar>
        </w:tblPrEx>
        <w:trPr>
          <w:trHeight w:val="369" w:hRule="exact"/>
        </w:trPr>
        <w:tc>
          <w:tcPr>
            <w:tcW w:w="705" w:type="pct"/>
            <w:tcBorders>
              <w:top w:val="single" w:color="000000" w:sz="8" w:space="0"/>
              <w:left w:val="single" w:color="000000" w:sz="8" w:space="0"/>
              <w:bottom w:val="nil"/>
              <w:right w:val="single" w:color="000000" w:sz="8" w:space="0"/>
            </w:tcBorders>
          </w:tcPr>
          <w:p w14:paraId="437ED471">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拐点</w:t>
            </w:r>
          </w:p>
        </w:tc>
        <w:tc>
          <w:tcPr>
            <w:tcW w:w="4295" w:type="pct"/>
            <w:gridSpan w:val="4"/>
            <w:tcBorders>
              <w:top w:val="single" w:color="000000" w:sz="8" w:space="0"/>
              <w:left w:val="nil"/>
              <w:bottom w:val="single" w:color="000000" w:sz="8" w:space="0"/>
              <w:right w:val="single" w:color="000000" w:sz="8" w:space="0"/>
            </w:tcBorders>
          </w:tcPr>
          <w:p w14:paraId="73A8D461">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2000国家大地坐标系</w:t>
            </w:r>
          </w:p>
        </w:tc>
      </w:tr>
      <w:tr w14:paraId="46EF6A3B">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2A3F1D1B">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编号</w:t>
            </w:r>
          </w:p>
        </w:tc>
        <w:tc>
          <w:tcPr>
            <w:tcW w:w="1128" w:type="pct"/>
            <w:tcBorders>
              <w:top w:val="nil"/>
              <w:left w:val="nil"/>
              <w:bottom w:val="single" w:color="000000" w:sz="8" w:space="0"/>
              <w:right w:val="single" w:color="000000" w:sz="8" w:space="0"/>
            </w:tcBorders>
          </w:tcPr>
          <w:p w14:paraId="524C7012">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X</w:t>
            </w:r>
          </w:p>
        </w:tc>
        <w:tc>
          <w:tcPr>
            <w:tcW w:w="986" w:type="pct"/>
            <w:tcBorders>
              <w:top w:val="single" w:color="000000" w:sz="8" w:space="0"/>
              <w:left w:val="nil"/>
              <w:bottom w:val="single" w:color="000000" w:sz="8" w:space="0"/>
              <w:right w:val="single" w:color="000000" w:sz="8" w:space="0"/>
            </w:tcBorders>
          </w:tcPr>
          <w:p w14:paraId="59744585">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Y</w:t>
            </w:r>
          </w:p>
        </w:tc>
        <w:tc>
          <w:tcPr>
            <w:tcW w:w="1125" w:type="pct"/>
            <w:tcBorders>
              <w:top w:val="single" w:color="000000" w:sz="8" w:space="0"/>
              <w:left w:val="nil"/>
              <w:bottom w:val="single" w:color="000000" w:sz="8" w:space="0"/>
              <w:right w:val="single" w:color="000000" w:sz="8" w:space="0"/>
            </w:tcBorders>
          </w:tcPr>
          <w:p w14:paraId="5C9BD722">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东经</w:t>
            </w:r>
          </w:p>
        </w:tc>
        <w:tc>
          <w:tcPr>
            <w:tcW w:w="1056" w:type="pct"/>
            <w:tcBorders>
              <w:top w:val="single" w:color="000000" w:sz="8" w:space="0"/>
              <w:left w:val="nil"/>
              <w:bottom w:val="single" w:color="000000" w:sz="8" w:space="0"/>
              <w:right w:val="single" w:color="000000" w:sz="8" w:space="0"/>
            </w:tcBorders>
          </w:tcPr>
          <w:p w14:paraId="619908B1">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北纬</w:t>
            </w:r>
          </w:p>
        </w:tc>
      </w:tr>
      <w:tr w14:paraId="7063DA09">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69CB43E8">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矿1</w:t>
            </w:r>
          </w:p>
        </w:tc>
        <w:tc>
          <w:tcPr>
            <w:tcW w:w="1128" w:type="pct"/>
            <w:tcBorders>
              <w:top w:val="nil"/>
              <w:left w:val="nil"/>
              <w:bottom w:val="single" w:color="000000" w:sz="8" w:space="0"/>
              <w:right w:val="single" w:color="000000" w:sz="8" w:space="0"/>
            </w:tcBorders>
          </w:tcPr>
          <w:p w14:paraId="35F8F964">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2653352.47</w:t>
            </w:r>
          </w:p>
        </w:tc>
        <w:tc>
          <w:tcPr>
            <w:tcW w:w="986" w:type="pct"/>
            <w:tcBorders>
              <w:top w:val="nil"/>
              <w:left w:val="nil"/>
              <w:bottom w:val="single" w:color="000000" w:sz="8" w:space="0"/>
              <w:right w:val="single" w:color="000000" w:sz="8" w:space="0"/>
            </w:tcBorders>
          </w:tcPr>
          <w:p w14:paraId="2B845090">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35499230.11</w:t>
            </w:r>
          </w:p>
        </w:tc>
        <w:tc>
          <w:tcPr>
            <w:tcW w:w="1125" w:type="pct"/>
            <w:tcBorders>
              <w:top w:val="nil"/>
              <w:left w:val="nil"/>
              <w:bottom w:val="single" w:color="000000" w:sz="8" w:space="0"/>
              <w:right w:val="single" w:color="000000" w:sz="8" w:space="0"/>
            </w:tcBorders>
          </w:tcPr>
          <w:p w14:paraId="0E1378FC">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104°59′32.77″</w:t>
            </w:r>
          </w:p>
        </w:tc>
        <w:tc>
          <w:tcPr>
            <w:tcW w:w="1056" w:type="pct"/>
            <w:tcBorders>
              <w:top w:val="nil"/>
              <w:left w:val="nil"/>
              <w:bottom w:val="single" w:color="000000" w:sz="8" w:space="0"/>
              <w:right w:val="single" w:color="000000" w:sz="8" w:space="0"/>
            </w:tcBorders>
          </w:tcPr>
          <w:p w14:paraId="1C1518C4">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23°58′55.53″</w:t>
            </w:r>
          </w:p>
        </w:tc>
      </w:tr>
      <w:tr w14:paraId="44E3EA45">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41B08C5F">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矿2</w:t>
            </w:r>
          </w:p>
        </w:tc>
        <w:tc>
          <w:tcPr>
            <w:tcW w:w="1128" w:type="pct"/>
            <w:tcBorders>
              <w:top w:val="nil"/>
              <w:left w:val="nil"/>
              <w:bottom w:val="single" w:color="000000" w:sz="8" w:space="0"/>
              <w:right w:val="single" w:color="000000" w:sz="8" w:space="0"/>
            </w:tcBorders>
          </w:tcPr>
          <w:p w14:paraId="2D05F127">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2653560.47</w:t>
            </w:r>
          </w:p>
        </w:tc>
        <w:tc>
          <w:tcPr>
            <w:tcW w:w="986" w:type="pct"/>
            <w:tcBorders>
              <w:top w:val="nil"/>
              <w:left w:val="nil"/>
              <w:bottom w:val="single" w:color="000000" w:sz="8" w:space="0"/>
              <w:right w:val="single" w:color="000000" w:sz="8" w:space="0"/>
            </w:tcBorders>
          </w:tcPr>
          <w:p w14:paraId="58013A6F">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35499309.10</w:t>
            </w:r>
          </w:p>
        </w:tc>
        <w:tc>
          <w:tcPr>
            <w:tcW w:w="1125" w:type="pct"/>
            <w:tcBorders>
              <w:top w:val="nil"/>
              <w:left w:val="nil"/>
              <w:bottom w:val="single" w:color="000000" w:sz="8" w:space="0"/>
              <w:right w:val="single" w:color="000000" w:sz="8" w:space="0"/>
            </w:tcBorders>
          </w:tcPr>
          <w:p w14:paraId="422BA94A">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104°59′35.56″</w:t>
            </w:r>
          </w:p>
        </w:tc>
        <w:tc>
          <w:tcPr>
            <w:tcW w:w="1056" w:type="pct"/>
            <w:tcBorders>
              <w:top w:val="nil"/>
              <w:left w:val="nil"/>
              <w:bottom w:val="single" w:color="000000" w:sz="8" w:space="0"/>
              <w:right w:val="single" w:color="000000" w:sz="8" w:space="0"/>
            </w:tcBorders>
          </w:tcPr>
          <w:p w14:paraId="200A441E">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23°59′02.29″</w:t>
            </w:r>
          </w:p>
        </w:tc>
      </w:tr>
      <w:tr w14:paraId="44A5DFDB">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769F3BD2">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矿3</w:t>
            </w:r>
          </w:p>
        </w:tc>
        <w:tc>
          <w:tcPr>
            <w:tcW w:w="1128" w:type="pct"/>
            <w:tcBorders>
              <w:top w:val="nil"/>
              <w:left w:val="nil"/>
              <w:bottom w:val="single" w:color="000000" w:sz="8" w:space="0"/>
              <w:right w:val="single" w:color="000000" w:sz="8" w:space="0"/>
            </w:tcBorders>
          </w:tcPr>
          <w:p w14:paraId="55C6D090">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2653456.47</w:t>
            </w:r>
          </w:p>
        </w:tc>
        <w:tc>
          <w:tcPr>
            <w:tcW w:w="986" w:type="pct"/>
            <w:tcBorders>
              <w:top w:val="nil"/>
              <w:left w:val="nil"/>
              <w:bottom w:val="single" w:color="000000" w:sz="8" w:space="0"/>
              <w:right w:val="single" w:color="000000" w:sz="8" w:space="0"/>
            </w:tcBorders>
          </w:tcPr>
          <w:p w14:paraId="473C0618">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35499470.10</w:t>
            </w:r>
          </w:p>
        </w:tc>
        <w:tc>
          <w:tcPr>
            <w:tcW w:w="1125" w:type="pct"/>
            <w:tcBorders>
              <w:top w:val="nil"/>
              <w:left w:val="nil"/>
              <w:bottom w:val="single" w:color="000000" w:sz="8" w:space="0"/>
              <w:right w:val="single" w:color="000000" w:sz="8" w:space="0"/>
            </w:tcBorders>
          </w:tcPr>
          <w:p w14:paraId="64C2A221">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104°59′41.25″</w:t>
            </w:r>
          </w:p>
        </w:tc>
        <w:tc>
          <w:tcPr>
            <w:tcW w:w="1056" w:type="pct"/>
            <w:tcBorders>
              <w:top w:val="nil"/>
              <w:left w:val="nil"/>
              <w:bottom w:val="single" w:color="000000" w:sz="8" w:space="0"/>
              <w:right w:val="single" w:color="000000" w:sz="8" w:space="0"/>
            </w:tcBorders>
          </w:tcPr>
          <w:p w14:paraId="19D2BCE8">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23°58′58.91″</w:t>
            </w:r>
          </w:p>
        </w:tc>
      </w:tr>
      <w:tr w14:paraId="148989E0">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2A89AAA7">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矿4</w:t>
            </w:r>
          </w:p>
        </w:tc>
        <w:tc>
          <w:tcPr>
            <w:tcW w:w="1128" w:type="pct"/>
            <w:tcBorders>
              <w:top w:val="nil"/>
              <w:left w:val="nil"/>
              <w:bottom w:val="single" w:color="000000" w:sz="8" w:space="0"/>
              <w:right w:val="single" w:color="000000" w:sz="8" w:space="0"/>
            </w:tcBorders>
          </w:tcPr>
          <w:p w14:paraId="7E649730">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2653285.06</w:t>
            </w:r>
          </w:p>
        </w:tc>
        <w:tc>
          <w:tcPr>
            <w:tcW w:w="986" w:type="pct"/>
            <w:tcBorders>
              <w:top w:val="nil"/>
              <w:left w:val="nil"/>
              <w:bottom w:val="single" w:color="000000" w:sz="8" w:space="0"/>
              <w:right w:val="single" w:color="000000" w:sz="8" w:space="0"/>
            </w:tcBorders>
          </w:tcPr>
          <w:p w14:paraId="74091A6C">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35499533.38</w:t>
            </w:r>
          </w:p>
        </w:tc>
        <w:tc>
          <w:tcPr>
            <w:tcW w:w="1125" w:type="pct"/>
            <w:tcBorders>
              <w:top w:val="nil"/>
              <w:left w:val="nil"/>
              <w:bottom w:val="single" w:color="000000" w:sz="8" w:space="0"/>
              <w:right w:val="single" w:color="000000" w:sz="8" w:space="0"/>
            </w:tcBorders>
          </w:tcPr>
          <w:p w14:paraId="1C47A988">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104°59′43.49″</w:t>
            </w:r>
          </w:p>
        </w:tc>
        <w:tc>
          <w:tcPr>
            <w:tcW w:w="1056" w:type="pct"/>
            <w:tcBorders>
              <w:top w:val="nil"/>
              <w:left w:val="nil"/>
              <w:bottom w:val="single" w:color="000000" w:sz="8" w:space="0"/>
              <w:right w:val="single" w:color="000000" w:sz="8" w:space="0"/>
            </w:tcBorders>
          </w:tcPr>
          <w:p w14:paraId="043F8979">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23°58′53.34″</w:t>
            </w:r>
          </w:p>
        </w:tc>
      </w:tr>
      <w:tr w14:paraId="697E6B06">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7B7B2293">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矿5</w:t>
            </w:r>
          </w:p>
        </w:tc>
        <w:tc>
          <w:tcPr>
            <w:tcW w:w="1128" w:type="pct"/>
            <w:tcBorders>
              <w:top w:val="nil"/>
              <w:left w:val="nil"/>
              <w:bottom w:val="single" w:color="000000" w:sz="8" w:space="0"/>
              <w:right w:val="single" w:color="000000" w:sz="8" w:space="0"/>
            </w:tcBorders>
          </w:tcPr>
          <w:p w14:paraId="3DEA5731">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2652985.06</w:t>
            </w:r>
          </w:p>
        </w:tc>
        <w:tc>
          <w:tcPr>
            <w:tcW w:w="986" w:type="pct"/>
            <w:tcBorders>
              <w:top w:val="nil"/>
              <w:left w:val="nil"/>
              <w:bottom w:val="single" w:color="000000" w:sz="8" w:space="0"/>
              <w:right w:val="single" w:color="000000" w:sz="8" w:space="0"/>
            </w:tcBorders>
          </w:tcPr>
          <w:p w14:paraId="621FBAF4">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35499533.38</w:t>
            </w:r>
          </w:p>
        </w:tc>
        <w:tc>
          <w:tcPr>
            <w:tcW w:w="1125" w:type="pct"/>
            <w:tcBorders>
              <w:top w:val="nil"/>
              <w:left w:val="nil"/>
              <w:bottom w:val="single" w:color="000000" w:sz="8" w:space="0"/>
              <w:right w:val="single" w:color="000000" w:sz="8" w:space="0"/>
            </w:tcBorders>
          </w:tcPr>
          <w:p w14:paraId="76541FC5">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104°59′43.49″</w:t>
            </w:r>
          </w:p>
        </w:tc>
        <w:tc>
          <w:tcPr>
            <w:tcW w:w="1056" w:type="pct"/>
            <w:tcBorders>
              <w:top w:val="nil"/>
              <w:left w:val="nil"/>
              <w:bottom w:val="single" w:color="000000" w:sz="8" w:space="0"/>
              <w:right w:val="single" w:color="000000" w:sz="8" w:space="0"/>
            </w:tcBorders>
          </w:tcPr>
          <w:p w14:paraId="1453AF72">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23°58′43.59″</w:t>
            </w:r>
          </w:p>
        </w:tc>
      </w:tr>
      <w:tr w14:paraId="0C33B47F">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31DCB161">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矿6</w:t>
            </w:r>
          </w:p>
        </w:tc>
        <w:tc>
          <w:tcPr>
            <w:tcW w:w="1128" w:type="pct"/>
            <w:tcBorders>
              <w:top w:val="nil"/>
              <w:left w:val="nil"/>
              <w:bottom w:val="single" w:color="000000" w:sz="8" w:space="0"/>
              <w:right w:val="single" w:color="000000" w:sz="8" w:space="0"/>
            </w:tcBorders>
          </w:tcPr>
          <w:p w14:paraId="7A8D94CD">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2652985.06</w:t>
            </w:r>
          </w:p>
        </w:tc>
        <w:tc>
          <w:tcPr>
            <w:tcW w:w="986" w:type="pct"/>
            <w:tcBorders>
              <w:top w:val="nil"/>
              <w:left w:val="nil"/>
              <w:bottom w:val="single" w:color="000000" w:sz="8" w:space="0"/>
              <w:right w:val="single" w:color="000000" w:sz="8" w:space="0"/>
            </w:tcBorders>
          </w:tcPr>
          <w:p w14:paraId="24927004">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35499353.38</w:t>
            </w:r>
          </w:p>
        </w:tc>
        <w:tc>
          <w:tcPr>
            <w:tcW w:w="1125" w:type="pct"/>
            <w:tcBorders>
              <w:top w:val="nil"/>
              <w:left w:val="nil"/>
              <w:bottom w:val="single" w:color="000000" w:sz="8" w:space="0"/>
              <w:right w:val="single" w:color="000000" w:sz="8" w:space="0"/>
            </w:tcBorders>
          </w:tcPr>
          <w:p w14:paraId="20E00087">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104°59′37.13″</w:t>
            </w:r>
          </w:p>
        </w:tc>
        <w:tc>
          <w:tcPr>
            <w:tcW w:w="1056" w:type="pct"/>
            <w:tcBorders>
              <w:top w:val="nil"/>
              <w:left w:val="nil"/>
              <w:bottom w:val="single" w:color="000000" w:sz="8" w:space="0"/>
              <w:right w:val="single" w:color="000000" w:sz="8" w:space="0"/>
            </w:tcBorders>
          </w:tcPr>
          <w:p w14:paraId="4C8101ED">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23°58′43.59″</w:t>
            </w:r>
          </w:p>
        </w:tc>
      </w:tr>
      <w:tr w14:paraId="6A7ABC66">
        <w:tblPrEx>
          <w:tblCellMar>
            <w:top w:w="0" w:type="dxa"/>
            <w:left w:w="108" w:type="dxa"/>
            <w:bottom w:w="0" w:type="dxa"/>
            <w:right w:w="108" w:type="dxa"/>
          </w:tblCellMar>
        </w:tblPrEx>
        <w:trPr>
          <w:trHeight w:val="369" w:hRule="exact"/>
        </w:trPr>
        <w:tc>
          <w:tcPr>
            <w:tcW w:w="705" w:type="pct"/>
            <w:tcBorders>
              <w:top w:val="nil"/>
              <w:left w:val="single" w:color="000000" w:sz="8" w:space="0"/>
              <w:bottom w:val="single" w:color="000000" w:sz="8" w:space="0"/>
              <w:right w:val="single" w:color="000000" w:sz="8" w:space="0"/>
            </w:tcBorders>
          </w:tcPr>
          <w:p w14:paraId="36A025FB">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矿7</w:t>
            </w:r>
          </w:p>
        </w:tc>
        <w:tc>
          <w:tcPr>
            <w:tcW w:w="1128" w:type="pct"/>
            <w:tcBorders>
              <w:top w:val="nil"/>
              <w:left w:val="nil"/>
              <w:bottom w:val="single" w:color="000000" w:sz="8" w:space="0"/>
              <w:right w:val="single" w:color="000000" w:sz="8" w:space="0"/>
            </w:tcBorders>
          </w:tcPr>
          <w:p w14:paraId="38DDF0B7">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2653285.06</w:t>
            </w:r>
          </w:p>
        </w:tc>
        <w:tc>
          <w:tcPr>
            <w:tcW w:w="986" w:type="pct"/>
            <w:tcBorders>
              <w:top w:val="nil"/>
              <w:left w:val="nil"/>
              <w:bottom w:val="single" w:color="000000" w:sz="8" w:space="0"/>
              <w:right w:val="single" w:color="000000" w:sz="8" w:space="0"/>
            </w:tcBorders>
          </w:tcPr>
          <w:p w14:paraId="356870DA">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35499353.38</w:t>
            </w:r>
          </w:p>
        </w:tc>
        <w:tc>
          <w:tcPr>
            <w:tcW w:w="1125" w:type="pct"/>
            <w:tcBorders>
              <w:top w:val="nil"/>
              <w:left w:val="nil"/>
              <w:bottom w:val="single" w:color="000000" w:sz="8" w:space="0"/>
              <w:right w:val="single" w:color="000000" w:sz="8" w:space="0"/>
            </w:tcBorders>
          </w:tcPr>
          <w:p w14:paraId="02BE22E8">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104°59′37.13″</w:t>
            </w:r>
          </w:p>
        </w:tc>
        <w:tc>
          <w:tcPr>
            <w:tcW w:w="1056" w:type="pct"/>
            <w:tcBorders>
              <w:top w:val="nil"/>
              <w:left w:val="nil"/>
              <w:bottom w:val="single" w:color="000000" w:sz="8" w:space="0"/>
              <w:right w:val="single" w:color="000000" w:sz="8" w:space="0"/>
            </w:tcBorders>
          </w:tcPr>
          <w:p w14:paraId="534DCB3D">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23°58′53.34″</w:t>
            </w:r>
          </w:p>
        </w:tc>
      </w:tr>
      <w:tr w14:paraId="3949676A">
        <w:tblPrEx>
          <w:tblCellMar>
            <w:top w:w="0" w:type="dxa"/>
            <w:left w:w="108" w:type="dxa"/>
            <w:bottom w:w="0" w:type="dxa"/>
            <w:right w:w="108" w:type="dxa"/>
          </w:tblCellMar>
        </w:tblPrEx>
        <w:trPr>
          <w:trHeight w:val="369" w:hRule="exact"/>
        </w:trPr>
        <w:tc>
          <w:tcPr>
            <w:tcW w:w="1833" w:type="pct"/>
            <w:gridSpan w:val="2"/>
            <w:tcBorders>
              <w:top w:val="nil"/>
              <w:left w:val="single" w:color="000000" w:sz="8" w:space="0"/>
              <w:bottom w:val="single" w:color="000000" w:sz="8" w:space="0"/>
              <w:right w:val="single" w:color="000000" w:sz="8" w:space="0"/>
            </w:tcBorders>
          </w:tcPr>
          <w:p w14:paraId="019A92B7">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矿区面积</w:t>
            </w:r>
          </w:p>
        </w:tc>
        <w:tc>
          <w:tcPr>
            <w:tcW w:w="3167" w:type="pct"/>
            <w:gridSpan w:val="3"/>
            <w:tcBorders>
              <w:top w:val="nil"/>
              <w:left w:val="nil"/>
              <w:bottom w:val="single" w:color="000000" w:sz="8" w:space="0"/>
              <w:right w:val="single" w:color="000000" w:sz="8" w:space="0"/>
            </w:tcBorders>
          </w:tcPr>
          <w:p w14:paraId="21FB1B0C">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EE0000"/>
                <w:kern w:val="0"/>
                <w:sz w:val="20"/>
                <w:szCs w:val="20"/>
                <w:lang w:bidi="ar"/>
              </w:rPr>
              <w:t>0.1048Km</w:t>
            </w:r>
            <w:r>
              <w:rPr>
                <w:rStyle w:val="141"/>
                <w:rFonts w:hint="eastAsia" w:ascii="等线" w:hAnsi="等线" w:eastAsia="等线" w:cs="等线"/>
                <w:color w:val="EE0000"/>
                <w:vertAlign w:val="superscript"/>
                <w:lang w:bidi="ar"/>
              </w:rPr>
              <w:t>2</w:t>
            </w:r>
          </w:p>
        </w:tc>
      </w:tr>
      <w:tr w14:paraId="1592C692">
        <w:tblPrEx>
          <w:tblCellMar>
            <w:top w:w="0" w:type="dxa"/>
            <w:left w:w="108" w:type="dxa"/>
            <w:bottom w:w="0" w:type="dxa"/>
            <w:right w:w="108" w:type="dxa"/>
          </w:tblCellMar>
        </w:tblPrEx>
        <w:trPr>
          <w:trHeight w:val="369" w:hRule="exact"/>
        </w:trPr>
        <w:tc>
          <w:tcPr>
            <w:tcW w:w="1833" w:type="pct"/>
            <w:gridSpan w:val="2"/>
            <w:tcBorders>
              <w:top w:val="nil"/>
              <w:left w:val="single" w:color="000000" w:sz="8" w:space="0"/>
              <w:bottom w:val="single" w:color="000000" w:sz="8" w:space="0"/>
              <w:right w:val="single" w:color="000000" w:sz="8" w:space="0"/>
            </w:tcBorders>
          </w:tcPr>
          <w:p w14:paraId="50111A7F">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开采标高</w:t>
            </w:r>
          </w:p>
        </w:tc>
        <w:tc>
          <w:tcPr>
            <w:tcW w:w="3167" w:type="pct"/>
            <w:gridSpan w:val="3"/>
            <w:tcBorders>
              <w:top w:val="nil"/>
              <w:left w:val="nil"/>
              <w:bottom w:val="single" w:color="000000" w:sz="8" w:space="0"/>
              <w:right w:val="single" w:color="000000" w:sz="8" w:space="0"/>
            </w:tcBorders>
          </w:tcPr>
          <w:p w14:paraId="3B325925">
            <w:pPr>
              <w:widowControl/>
              <w:ind w:firstLine="400"/>
              <w:jc w:val="center"/>
              <w:textAlignment w:val="top"/>
              <w:rPr>
                <w:rFonts w:hint="eastAsia" w:ascii="等线" w:hAnsi="等线" w:eastAsia="等线" w:cs="等线"/>
                <w:color w:val="000000"/>
                <w:sz w:val="20"/>
              </w:rPr>
            </w:pPr>
            <w:r>
              <w:rPr>
                <w:rFonts w:hint="eastAsia" w:ascii="等线" w:hAnsi="等线" w:eastAsia="等线" w:cs="等线"/>
                <w:color w:val="000000"/>
                <w:kern w:val="0"/>
                <w:sz w:val="20"/>
                <w:szCs w:val="20"/>
                <w:lang w:bidi="ar"/>
              </w:rPr>
              <w:t>1430m—1300m</w:t>
            </w:r>
          </w:p>
        </w:tc>
      </w:tr>
    </w:tbl>
    <w:p w14:paraId="3AD8989F">
      <w:pPr>
        <w:adjustRightInd w:val="0"/>
        <w:snapToGrid w:val="0"/>
        <w:spacing w:line="240" w:lineRule="auto"/>
        <w:ind w:firstLine="0" w:firstLineChars="0"/>
        <w:rPr>
          <w:b/>
          <w:bCs/>
        </w:rPr>
      </w:pPr>
    </w:p>
    <w:p w14:paraId="2263CD7A">
      <w:pPr>
        <w:ind w:firstLine="560"/>
      </w:pPr>
      <w:bookmarkStart w:id="420" w:name="_Toc10851"/>
      <w:bookmarkStart w:id="421" w:name="_Toc6021"/>
      <w:r>
        <w:rPr>
          <w:rFonts w:hint="eastAsia"/>
        </w:rPr>
        <w:br w:type="page"/>
      </w:r>
      <w:r>
        <w:rPr>
          <w:rFonts w:hint="eastAsia"/>
        </w:rPr>
        <w:t>2、矿业权关系（见图2.1-2）。</w:t>
      </w:r>
      <w:bookmarkEnd w:id="420"/>
      <w:bookmarkEnd w:id="421"/>
    </w:p>
    <w:p w14:paraId="69CE8042">
      <w:pPr>
        <w:ind w:firstLine="560"/>
      </w:pPr>
      <w:r>
        <w:drawing>
          <wp:inline distT="0" distB="0" distL="0" distR="0">
            <wp:extent cx="4541520" cy="7543800"/>
            <wp:effectExtent l="0" t="0" r="0" b="0"/>
            <wp:docPr id="112" name="图片 1" descr="微信图片_2025050819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微信图片_202505081900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41520" cy="7543800"/>
                    </a:xfrm>
                    <a:prstGeom prst="rect">
                      <a:avLst/>
                    </a:prstGeom>
                    <a:noFill/>
                    <a:ln>
                      <a:noFill/>
                    </a:ln>
                  </pic:spPr>
                </pic:pic>
              </a:graphicData>
            </a:graphic>
          </wp:inline>
        </w:drawing>
      </w:r>
    </w:p>
    <w:p w14:paraId="321B53FF">
      <w:pPr>
        <w:pStyle w:val="64"/>
        <w:spacing w:before="120" w:after="120"/>
      </w:pPr>
      <w:r>
        <w:t>图</w:t>
      </w:r>
      <w:r>
        <w:rPr>
          <w:rFonts w:hint="eastAsia"/>
        </w:rPr>
        <w:t>2.</w:t>
      </w:r>
      <w:r>
        <w:t>1-2矿业权关系示意图</w:t>
      </w:r>
    </w:p>
    <w:p w14:paraId="5D722651">
      <w:pPr>
        <w:pStyle w:val="5"/>
        <w:spacing w:after="120"/>
      </w:pPr>
      <w:bookmarkStart w:id="422" w:name="_Toc1268"/>
      <w:bookmarkStart w:id="423" w:name="_Toc27322"/>
      <w:bookmarkStart w:id="424" w:name="_Toc17120"/>
      <w:bookmarkStart w:id="425" w:name="_Toc3125"/>
      <w:bookmarkStart w:id="426" w:name="_Toc1628"/>
      <w:bookmarkStart w:id="427" w:name="_Toc7708"/>
      <w:bookmarkStart w:id="428" w:name="_Toc9000"/>
      <w:bookmarkStart w:id="429" w:name="_Toc392680662"/>
      <w:bookmarkStart w:id="430" w:name="_Toc31865"/>
      <w:bookmarkStart w:id="431" w:name="_Toc10365"/>
      <w:bookmarkStart w:id="432" w:name="_Toc215070147"/>
      <w:bookmarkStart w:id="433" w:name="_Toc7310"/>
      <w:bookmarkStart w:id="434" w:name="_Toc20218"/>
      <w:bookmarkStart w:id="435" w:name="_Toc2302"/>
      <w:bookmarkStart w:id="436" w:name="_Toc8459"/>
      <w:bookmarkStart w:id="437" w:name="_Toc15462"/>
      <w:r>
        <w:rPr>
          <w:rFonts w:hint="eastAsia"/>
        </w:rPr>
        <w:t>2.1.4周边环境</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Start w:id="438" w:name="_Toc105674772"/>
      <w:bookmarkStart w:id="439" w:name="_Toc105730335"/>
      <w:bookmarkStart w:id="440" w:name="_Toc140123916"/>
      <w:bookmarkStart w:id="441" w:name="_Toc105675490"/>
      <w:bookmarkStart w:id="442" w:name="_Toc105675970"/>
    </w:p>
    <w:p w14:paraId="7F34D29B">
      <w:pPr>
        <w:adjustRightInd w:val="0"/>
        <w:snapToGrid w:val="0"/>
        <w:spacing w:line="500" w:lineRule="exact"/>
        <w:ind w:firstLine="560"/>
        <w:rPr>
          <w:rFonts w:hint="eastAsia" w:ascii="宋体" w:hAnsi="宋体" w:cs="宋体"/>
          <w:szCs w:val="28"/>
        </w:rPr>
      </w:pPr>
      <w:bookmarkStart w:id="443" w:name="_Toc17751"/>
      <w:bookmarkStart w:id="444" w:name="_Toc3066"/>
      <w:bookmarkStart w:id="445" w:name="_Toc20485"/>
      <w:bookmarkStart w:id="446" w:name="_Toc392680663"/>
      <w:bookmarkStart w:id="447" w:name="_Toc22507"/>
      <w:bookmarkStart w:id="448" w:name="_Toc27625"/>
      <w:r>
        <w:rPr>
          <w:rFonts w:hint="eastAsia" w:ascii="宋体" w:hAnsi="宋体" w:cs="宋体"/>
          <w:szCs w:val="28"/>
        </w:rPr>
        <w:t>矿区周边环境较为简单，具体如下：</w:t>
      </w:r>
    </w:p>
    <w:p w14:paraId="288074B4">
      <w:pPr>
        <w:adjustRightInd w:val="0"/>
        <w:snapToGrid w:val="0"/>
        <w:spacing w:line="500" w:lineRule="exact"/>
        <w:ind w:firstLine="560"/>
        <w:rPr>
          <w:rFonts w:hint="eastAsia" w:ascii="宋体" w:hAnsi="宋体" w:cs="宋体"/>
          <w:szCs w:val="28"/>
        </w:rPr>
      </w:pPr>
      <w:r>
        <w:rPr>
          <w:rFonts w:hint="eastAsia" w:ascii="宋体" w:hAnsi="宋体" w:cs="宋体"/>
          <w:szCs w:val="28"/>
        </w:rPr>
        <w:t>1、矿区西北侧：矿区西北侧有珠西公路（G246）从旁经过，其距矿界最短平面距离为115m；G246在爆破警戒线内，全长500m。爆破时，于爆破警戒线与G246交点两端设置警戒标识，派专人进行警戒，对过往车辆行人进行疏导；</w:t>
      </w:r>
    </w:p>
    <w:p w14:paraId="6309E28C">
      <w:pPr>
        <w:adjustRightInd w:val="0"/>
        <w:snapToGrid w:val="0"/>
        <w:spacing w:line="500" w:lineRule="exact"/>
        <w:ind w:firstLine="560"/>
        <w:rPr>
          <w:rFonts w:hint="eastAsia" w:ascii="宋体" w:hAnsi="宋体" w:cs="宋体"/>
          <w:szCs w:val="28"/>
        </w:rPr>
      </w:pPr>
      <w:r>
        <w:rPr>
          <w:rFonts w:hint="eastAsia" w:ascii="宋体" w:hAnsi="宋体" w:cs="宋体"/>
          <w:szCs w:val="28"/>
        </w:rPr>
        <w:t>2、矿区西侧：矿区西侧最短平面距离926m处有一搅拌站，相互影响较小；</w:t>
      </w:r>
    </w:p>
    <w:p w14:paraId="0D4507CE">
      <w:pPr>
        <w:adjustRightInd w:val="0"/>
        <w:snapToGrid w:val="0"/>
        <w:spacing w:line="500" w:lineRule="exact"/>
        <w:ind w:firstLine="560"/>
        <w:rPr>
          <w:rFonts w:hint="eastAsia" w:ascii="宋体" w:hAnsi="宋体" w:cs="宋体"/>
          <w:szCs w:val="28"/>
        </w:rPr>
      </w:pPr>
      <w:r>
        <w:rPr>
          <w:rFonts w:hint="eastAsia" w:ascii="宋体" w:hAnsi="宋体" w:cs="宋体"/>
          <w:szCs w:val="28"/>
        </w:rPr>
        <w:t>3、矿区东南侧：矿区东南侧为董湖村，该村距矿界最短平面距离为820m，相互影响较小；</w:t>
      </w:r>
    </w:p>
    <w:p w14:paraId="2C490F60">
      <w:pPr>
        <w:adjustRightInd w:val="0"/>
        <w:snapToGrid w:val="0"/>
        <w:spacing w:line="500" w:lineRule="exact"/>
        <w:ind w:firstLine="560"/>
        <w:rPr>
          <w:rFonts w:hint="eastAsia" w:ascii="宋体" w:hAnsi="宋体" w:cs="宋体"/>
          <w:szCs w:val="28"/>
        </w:rPr>
      </w:pPr>
      <w:r>
        <w:rPr>
          <w:rFonts w:hint="eastAsia" w:ascii="宋体" w:hAnsi="宋体" w:cs="宋体"/>
          <w:szCs w:val="28"/>
        </w:rPr>
        <w:t>4、矿区西南侧：矿区西南侧有一中国石化加油站，该加油站距矿界最短平面距离为875m，相互影响较小；</w:t>
      </w:r>
    </w:p>
    <w:p w14:paraId="09DFAFCB">
      <w:pPr>
        <w:adjustRightInd w:val="0"/>
        <w:snapToGrid w:val="0"/>
        <w:spacing w:line="500" w:lineRule="exact"/>
        <w:ind w:firstLine="560"/>
        <w:rPr>
          <w:rFonts w:hint="eastAsia" w:ascii="宋体" w:hAnsi="宋体" w:cs="宋体"/>
          <w:szCs w:val="28"/>
        </w:rPr>
      </w:pPr>
      <w:r>
        <w:rPr>
          <w:rFonts w:hint="eastAsia" w:ascii="宋体" w:hAnsi="宋体" w:cs="宋体"/>
          <w:szCs w:val="28"/>
        </w:rPr>
        <w:t>5、矿区东侧：矿区东侧为西洋江，其距矿界最短平面距离为810m，相互影响较小；</w:t>
      </w:r>
    </w:p>
    <w:p w14:paraId="6567B105">
      <w:pPr>
        <w:adjustRightInd w:val="0"/>
        <w:snapToGrid w:val="0"/>
        <w:spacing w:line="500" w:lineRule="exact"/>
        <w:ind w:firstLine="560"/>
        <w:rPr>
          <w:rFonts w:hint="eastAsia" w:ascii="宋体" w:hAnsi="宋体" w:cs="宋体"/>
          <w:szCs w:val="28"/>
        </w:rPr>
      </w:pPr>
      <w:r>
        <w:rPr>
          <w:rFonts w:hint="eastAsia" w:ascii="宋体" w:hAnsi="宋体" w:cs="宋体"/>
          <w:szCs w:val="28"/>
        </w:rPr>
        <w:t>6、另外，在本矿区西北侧630m处有“移动专线”的高压线经过，相互影响较小。</w:t>
      </w:r>
    </w:p>
    <w:p w14:paraId="55FF0872">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7、矿山临时办公室在爆破警戒线范围内，爆破时派专人通知，临时办公室人员撤离到安全区域。</w:t>
      </w:r>
    </w:p>
    <w:p w14:paraId="33F3F261">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8、云南拓维新型材料有限公司项目土地红线距离矿区矿权边界最短直线距离约为310m,在爆破警戒线范围外，爆破时派专人通知该企业，同时做好相关安全防护和警示巡查工作。</w:t>
      </w:r>
    </w:p>
    <w:p w14:paraId="30A63B78">
      <w:pPr>
        <w:adjustRightInd w:val="0"/>
        <w:snapToGrid w:val="0"/>
        <w:spacing w:line="500" w:lineRule="exact"/>
        <w:ind w:firstLine="560"/>
        <w:rPr>
          <w:rFonts w:hint="eastAsia" w:ascii="宋体" w:hAnsi="宋体" w:cs="宋体"/>
          <w:szCs w:val="28"/>
        </w:rPr>
      </w:pPr>
      <w:r>
        <w:rPr>
          <w:rFonts w:hint="eastAsia" w:ascii="宋体" w:hAnsi="宋体" w:cs="宋体"/>
          <w:color w:val="000000" w:themeColor="text1"/>
          <w:szCs w:val="28"/>
          <w14:textFill>
            <w14:solidFill>
              <w14:schemeClr w14:val="tx1"/>
            </w14:solidFill>
          </w14:textFill>
        </w:rPr>
        <w:t>9、除上述设施外，该矿周边50m范围</w:t>
      </w:r>
      <w:r>
        <w:rPr>
          <w:rFonts w:hint="eastAsia" w:ascii="宋体" w:hAnsi="宋体" w:cs="宋体"/>
          <w:szCs w:val="28"/>
        </w:rPr>
        <w:t>内无其他乡村道路经过，100m范围内无其他县道、省道、国道以及高速公路通过，300m范围内无其他生产生活设施以及在生产矿山，500m范围内无其他电力设施，1000m范围内无铁路。矿山周边环境见图</w:t>
      </w:r>
      <w:r>
        <w:rPr>
          <w:rFonts w:hint="eastAsia" w:ascii="宋体" w:hAnsi="宋体"/>
          <w:szCs w:val="28"/>
        </w:rPr>
        <w:t>2.1-3</w:t>
      </w:r>
      <w:r>
        <w:rPr>
          <w:rFonts w:hint="eastAsia" w:ascii="宋体" w:hAnsi="宋体" w:cs="宋体"/>
          <w:szCs w:val="28"/>
        </w:rPr>
        <w:t>。</w:t>
      </w:r>
    </w:p>
    <w:p w14:paraId="74444854">
      <w:pPr>
        <w:adjustRightInd w:val="0"/>
        <w:snapToGrid w:val="0"/>
        <w:spacing w:line="240" w:lineRule="auto"/>
        <w:ind w:firstLine="0" w:firstLineChars="0"/>
        <w:rPr>
          <w:rFonts w:hint="eastAsia" w:ascii="宋体" w:hAnsi="宋体" w:cs="宋体"/>
          <w:sz w:val="24"/>
          <w:highlight w:val="yellow"/>
        </w:rPr>
      </w:pPr>
      <w:r>
        <w:rPr>
          <w:rFonts w:ascii="宋体" w:hAnsi="宋体" w:cs="宋体"/>
          <w:sz w:val="24"/>
        </w:rPr>
        <w:drawing>
          <wp:inline distT="0" distB="0" distL="0" distR="0">
            <wp:extent cx="5832475" cy="5114925"/>
            <wp:effectExtent l="0" t="0" r="0" b="9525"/>
            <wp:docPr id="10116313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31393"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32475" cy="5114925"/>
                    </a:xfrm>
                    <a:prstGeom prst="rect">
                      <a:avLst/>
                    </a:prstGeom>
                    <a:noFill/>
                    <a:ln>
                      <a:noFill/>
                    </a:ln>
                  </pic:spPr>
                </pic:pic>
              </a:graphicData>
            </a:graphic>
          </wp:inline>
        </w:drawing>
      </w:r>
      <w:r>
        <mc:AlternateContent>
          <mc:Choice Requires="wps">
            <w:drawing>
              <wp:anchor distT="0" distB="0" distL="114300" distR="114300" simplePos="0" relativeHeight="251663360" behindDoc="0" locked="0" layoutInCell="1" allowOverlap="1">
                <wp:simplePos x="0" y="0"/>
                <wp:positionH relativeFrom="column">
                  <wp:posOffset>1143635</wp:posOffset>
                </wp:positionH>
                <wp:positionV relativeFrom="paragraph">
                  <wp:posOffset>3529965</wp:posOffset>
                </wp:positionV>
                <wp:extent cx="775970" cy="266700"/>
                <wp:effectExtent l="8255" t="343535" r="206375" b="8890"/>
                <wp:wrapNone/>
                <wp:docPr id="679651376" name="自选图形 1104"/>
                <wp:cNvGraphicFramePr/>
                <a:graphic xmlns:a="http://schemas.openxmlformats.org/drawingml/2006/main">
                  <a:graphicData uri="http://schemas.microsoft.com/office/word/2010/wordprocessingShape">
                    <wps:wsp>
                      <wps:cNvSpPr>
                        <a:spLocks noChangeArrowheads="1"/>
                      </wps:cNvSpPr>
                      <wps:spPr bwMode="auto">
                        <a:xfrm>
                          <a:off x="0" y="0"/>
                          <a:ext cx="775970" cy="266700"/>
                        </a:xfrm>
                        <a:prstGeom prst="wedgeRoundRectCallout">
                          <a:avLst>
                            <a:gd name="adj1" fmla="val 72014"/>
                            <a:gd name="adj2" fmla="val -167139"/>
                            <a:gd name="adj3" fmla="val 16667"/>
                          </a:avLst>
                        </a:prstGeom>
                        <a:solidFill>
                          <a:srgbClr val="FFFFFF"/>
                        </a:solidFill>
                        <a:ln w="9525">
                          <a:solidFill>
                            <a:srgbClr val="FF0000"/>
                          </a:solidFill>
                          <a:miter lim="800000"/>
                        </a:ln>
                      </wps:spPr>
                      <wps:txbx>
                        <w:txbxContent>
                          <w:p w14:paraId="2F3C38CA">
                            <w:pPr>
                              <w:spacing w:line="240" w:lineRule="auto"/>
                              <w:ind w:firstLine="0" w:firstLineChars="0"/>
                              <w:jc w:val="center"/>
                              <w:rPr>
                                <w:rFonts w:eastAsia="仿宋"/>
                                <w:sz w:val="21"/>
                                <w:szCs w:val="20"/>
                              </w:rPr>
                            </w:pPr>
                            <w:r>
                              <w:rPr>
                                <w:rFonts w:hint="eastAsia"/>
                                <w:sz w:val="21"/>
                                <w:szCs w:val="20"/>
                              </w:rPr>
                              <w:t>矿区范围</w:t>
                            </w:r>
                          </w:p>
                        </w:txbxContent>
                      </wps:txbx>
                      <wps:bodyPr rot="0" vert="horz" wrap="square" lIns="91440" tIns="45720" rIns="91440" bIns="45720" anchor="t" anchorCtr="0" upright="1">
                        <a:noAutofit/>
                      </wps:bodyPr>
                    </wps:wsp>
                  </a:graphicData>
                </a:graphic>
              </wp:anchor>
            </w:drawing>
          </mc:Choice>
          <mc:Fallback>
            <w:pict>
              <v:shape id="自选图形 1104" o:spid="_x0000_s1026" o:spt="62" type="#_x0000_t62" style="position:absolute;left:0pt;margin-left:90.05pt;margin-top:277.95pt;height:21pt;width:61.1pt;z-index:251663360;mso-width-relative:page;mso-height-relative:page;" fillcolor="#FFFFFF" filled="t" stroked="t" coordsize="21600,21600" o:gfxdata="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hWkonYAAAACwEAAA8A&#10;AAAAAAAAAQAgAAAAIgAAAGRycy9kb3ducmV2LnhtbFBLAQIUABQAAAAIAIdO4kBcgI9hiQIAABIF&#10;AAAOAAAAAAAAAAEAIAAAACcBAABkcnMvZTJvRG9jLnhtbFBLBQYAAAAABgAGAFkBAAAiBgAAAAA=&#10;" adj="26355,-25302,14400">
                <v:fill on="t" focussize="0,0"/>
                <v:stroke color="#FF0000" miterlimit="8" joinstyle="miter"/>
                <v:imagedata o:title=""/>
                <o:lock v:ext="edit" aspectratio="f"/>
                <v:textbox>
                  <w:txbxContent>
                    <w:p w14:paraId="2F3C38CA">
                      <w:pPr>
                        <w:spacing w:line="240" w:lineRule="auto"/>
                        <w:ind w:firstLine="0" w:firstLineChars="0"/>
                        <w:jc w:val="center"/>
                        <w:rPr>
                          <w:rFonts w:eastAsia="仿宋"/>
                          <w:sz w:val="21"/>
                          <w:szCs w:val="20"/>
                        </w:rPr>
                      </w:pPr>
                      <w:r>
                        <w:rPr>
                          <w:rFonts w:hint="eastAsia"/>
                          <w:sz w:val="21"/>
                          <w:szCs w:val="20"/>
                        </w:rPr>
                        <w:t>矿区范围</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2098040</wp:posOffset>
                </wp:positionH>
                <wp:positionV relativeFrom="paragraph">
                  <wp:posOffset>2836545</wp:posOffset>
                </wp:positionV>
                <wp:extent cx="374650" cy="412750"/>
                <wp:effectExtent l="57785" t="40640" r="43815" b="41910"/>
                <wp:wrapNone/>
                <wp:docPr id="1032703423" name="任意多边形 78"/>
                <wp:cNvGraphicFramePr/>
                <a:graphic xmlns:a="http://schemas.openxmlformats.org/drawingml/2006/main">
                  <a:graphicData uri="http://schemas.microsoft.com/office/word/2010/wordprocessingShape">
                    <wps:wsp>
                      <wps:cNvSpPr>
                        <a:spLocks noChangeArrowheads="1"/>
                      </wps:cNvSpPr>
                      <wps:spPr bwMode="auto">
                        <a:xfrm>
                          <a:off x="0" y="0"/>
                          <a:ext cx="374650" cy="412750"/>
                        </a:xfrm>
                        <a:custGeom>
                          <a:avLst/>
                          <a:gdLst>
                            <a:gd name="T0" fmla="*/ 410 w 590"/>
                            <a:gd name="T1" fmla="*/ 0 h 650"/>
                            <a:gd name="T2" fmla="*/ 590 w 590"/>
                            <a:gd name="T3" fmla="*/ 10 h 650"/>
                            <a:gd name="T4" fmla="*/ 570 w 590"/>
                            <a:gd name="T5" fmla="*/ 650 h 650"/>
                            <a:gd name="T6" fmla="*/ 0 w 590"/>
                            <a:gd name="T7" fmla="*/ 580 h 650"/>
                            <a:gd name="T8" fmla="*/ 410 w 590"/>
                            <a:gd name="T9" fmla="*/ 0 h 650"/>
                          </a:gdLst>
                          <a:ahLst/>
                          <a:cxnLst>
                            <a:cxn ang="0">
                              <a:pos x="T0" y="T1"/>
                            </a:cxn>
                            <a:cxn ang="0">
                              <a:pos x="T2" y="T3"/>
                            </a:cxn>
                            <a:cxn ang="0">
                              <a:pos x="T4" y="T5"/>
                            </a:cxn>
                            <a:cxn ang="0">
                              <a:pos x="T6" y="T7"/>
                            </a:cxn>
                            <a:cxn ang="0">
                              <a:pos x="T8" y="T9"/>
                            </a:cxn>
                          </a:cxnLst>
                          <a:rect l="0" t="0" r="r" b="b"/>
                          <a:pathLst>
                            <a:path w="590" h="650">
                              <a:moveTo>
                                <a:pt x="410" y="0"/>
                              </a:moveTo>
                              <a:lnTo>
                                <a:pt x="590" y="10"/>
                              </a:lnTo>
                              <a:lnTo>
                                <a:pt x="570" y="650"/>
                              </a:lnTo>
                              <a:lnTo>
                                <a:pt x="0" y="580"/>
                              </a:lnTo>
                              <a:lnTo>
                                <a:pt x="410" y="0"/>
                              </a:lnTo>
                              <a:close/>
                            </a:path>
                          </a:pathLst>
                        </a:custGeom>
                        <a:noFill/>
                        <a:ln w="38100"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78" o:spid="_x0000_s1026" o:spt="100" style="position:absolute;left:0pt;margin-left:165.2pt;margin-top:223.35pt;height:32.5pt;width:29.5pt;z-index:251662336;mso-width-relative:page;mso-height-relative:page;" filled="f" stroked="t" coordsize="590,650" o:gfxdata="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8hAMzbAAAACwEAAA8AAAAAAAAAAQAgAAAAIgAAAGRycy9kb3ducmV2LnhtbFBLAQIU&#10;ABQAAAAIAIdO4kCyYzsuRgMAAPEHAAAOAAAAAAAAAAEAIAAAACoBAABkcnMvZTJvRG9jLnhtbFBL&#10;BQYAAAAABgAGAFkBAADiBgAAAAA=&#10;" path="m410,0l590,10,570,650,0,580,410,0xe">
                <v:path o:connectlocs="260350,0;374650,6350;361950,412750;0,368300;260350,0" o:connectangles="0,0,0,0,0"/>
                <v:fill on="f" focussize="0,0"/>
                <v:stroke weight="3pt" color="#FF0000" joinstyle="round"/>
                <v:imagedata o:title=""/>
                <o:lock v:ext="edit" aspectratio="f"/>
              </v:shape>
            </w:pict>
          </mc:Fallback>
        </mc:AlternateContent>
      </w:r>
    </w:p>
    <w:p w14:paraId="7A97A145">
      <w:pPr>
        <w:ind w:firstLine="482"/>
        <w:jc w:val="center"/>
        <w:rPr>
          <w:rStyle w:val="65"/>
          <w:color w:val="FF0000"/>
        </w:rPr>
      </w:pPr>
      <w:r>
        <w:rPr>
          <w:rStyle w:val="65"/>
          <w:rFonts w:hint="eastAsia"/>
          <w:color w:val="FF0000"/>
        </w:rPr>
        <w:t>图2.1-3矿区周边环境图</w:t>
      </w:r>
    </w:p>
    <w:p w14:paraId="2612BD7E">
      <w:pPr>
        <w:pStyle w:val="4"/>
        <w:spacing w:before="240" w:after="120"/>
      </w:pPr>
      <w:bookmarkStart w:id="449" w:name="_Toc29886"/>
      <w:bookmarkStart w:id="450" w:name="_Toc17686"/>
      <w:bookmarkStart w:id="451" w:name="_Toc12336"/>
      <w:bookmarkStart w:id="452" w:name="_Toc19366"/>
      <w:bookmarkStart w:id="453" w:name="_Toc5137"/>
      <w:bookmarkStart w:id="454" w:name="_Toc17150"/>
      <w:bookmarkStart w:id="455" w:name="_Toc25585"/>
      <w:bookmarkStart w:id="456" w:name="_Toc12559"/>
      <w:bookmarkStart w:id="457" w:name="_Toc14502"/>
      <w:bookmarkStart w:id="458" w:name="_Toc215070148"/>
      <w:r>
        <w:rPr>
          <w:rFonts w:hint="eastAsia"/>
        </w:rPr>
        <w:t>2.2</w:t>
      </w:r>
      <w:bookmarkEnd w:id="438"/>
      <w:bookmarkEnd w:id="439"/>
      <w:bookmarkEnd w:id="440"/>
      <w:bookmarkEnd w:id="441"/>
      <w:bookmarkEnd w:id="442"/>
      <w:r>
        <w:rPr>
          <w:rFonts w:hint="eastAsia"/>
        </w:rPr>
        <w:t>自然环境概况</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37FC5421">
      <w:pPr>
        <w:ind w:firstLine="560"/>
        <w:rPr>
          <w:rFonts w:hint="eastAsia" w:ascii="宋体" w:hAnsi="宋体"/>
          <w:szCs w:val="28"/>
        </w:rPr>
      </w:pPr>
      <w:bookmarkStart w:id="459" w:name="_Toc29654"/>
      <w:bookmarkStart w:id="460" w:name="_Toc17176"/>
      <w:bookmarkStart w:id="461" w:name="_Toc11976"/>
      <w:bookmarkStart w:id="462" w:name="_Toc30025"/>
      <w:bookmarkStart w:id="463" w:name="_Toc31651"/>
      <w:bookmarkStart w:id="464" w:name="_Toc105730340"/>
      <w:bookmarkStart w:id="465" w:name="_Toc5843"/>
      <w:bookmarkStart w:id="466" w:name="_Toc105675495"/>
      <w:bookmarkStart w:id="467" w:name="_Toc392680664"/>
      <w:bookmarkStart w:id="468" w:name="_Toc105674777"/>
      <w:bookmarkStart w:id="469" w:name="_Toc105675975"/>
      <w:bookmarkStart w:id="470" w:name="_Toc140123918"/>
      <w:bookmarkStart w:id="471" w:name="_Toc21194"/>
      <w:r>
        <w:rPr>
          <w:rFonts w:ascii="宋体" w:hAnsi="宋体"/>
          <w:szCs w:val="28"/>
        </w:rPr>
        <w:t>1、地形地貌</w:t>
      </w:r>
      <w:bookmarkEnd w:id="459"/>
      <w:bookmarkEnd w:id="460"/>
    </w:p>
    <w:p w14:paraId="66344928">
      <w:pPr>
        <w:ind w:left="20" w:leftChars="7" w:firstLine="560"/>
        <w:rPr>
          <w:rFonts w:hint="eastAsia" w:ascii="宋体" w:hAnsi="宋体"/>
          <w:szCs w:val="28"/>
        </w:rPr>
      </w:pPr>
      <w:bookmarkStart w:id="472" w:name="_Toc14597"/>
      <w:bookmarkStart w:id="473" w:name="_Toc9215"/>
      <w:r>
        <w:rPr>
          <w:rFonts w:hint="eastAsia" w:ascii="宋体" w:hAnsi="宋体"/>
          <w:szCs w:val="28"/>
        </w:rPr>
        <w:t>广南县内地形地貌属滇东南岩溶山区，地形复杂，喀斯特岩溶地貌突出，总体地势由西南向东北呈阶梯状倾斜，南北走向，山岭互相切割，形成山区、半山区、丘陵、平坝、峰林交错的地貌。县境平均海拔1280m，最高海拔为珠街镇大麦地山2035m，最低海拔为板蚌乡安跃村420m。</w:t>
      </w:r>
    </w:p>
    <w:p w14:paraId="7EE77532">
      <w:pPr>
        <w:ind w:left="20" w:leftChars="7" w:firstLine="560"/>
        <w:rPr>
          <w:rFonts w:hint="eastAsia" w:ascii="宋体" w:hAnsi="宋体"/>
          <w:color w:val="000000" w:themeColor="text1"/>
          <w:szCs w:val="28"/>
          <w14:textFill>
            <w14:solidFill>
              <w14:schemeClr w14:val="tx1"/>
            </w14:solidFill>
          </w14:textFill>
        </w:rPr>
      </w:pPr>
      <w:r>
        <w:rPr>
          <w:rFonts w:hint="eastAsia" w:ascii="宋体" w:hAnsi="宋体"/>
          <w:szCs w:val="28"/>
        </w:rPr>
        <w:t>矿区属构造剥蚀—溶蚀低中山地貌区，微地貌形态为溶蚀沟谷地貌。总体地形东高西低，最高为矿区北东部矿3附近，标高1430m，最低为矿1附近，标高129</w:t>
      </w:r>
      <w:r>
        <w:rPr>
          <w:rFonts w:hint="eastAsia" w:ascii="宋体" w:hAnsi="宋体"/>
          <w:color w:val="000000" w:themeColor="text1"/>
          <w:szCs w:val="28"/>
          <w14:textFill>
            <w14:solidFill>
              <w14:schemeClr w14:val="tx1"/>
            </w14:solidFill>
          </w14:textFill>
        </w:rPr>
        <w:t>4m，最大相对高差136m。地形坡度一般20°—35°，局部为陡崖，地势较陡，地形复杂程度为中等类型。</w:t>
      </w:r>
    </w:p>
    <w:p w14:paraId="1087EE10">
      <w:pPr>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2、气象</w:t>
      </w:r>
      <w:bookmarkEnd w:id="472"/>
      <w:bookmarkEnd w:id="473"/>
    </w:p>
    <w:p w14:paraId="49C488B2">
      <w:pPr>
        <w:pStyle w:val="19"/>
        <w:ind w:left="560" w:firstLine="560"/>
        <w:rPr>
          <w:rFonts w:hint="eastAsia" w:ascii="宋体" w:hAnsi="宋体" w:cs="宋体"/>
          <w:bCs/>
          <w:color w:val="000000" w:themeColor="text1"/>
          <w:szCs w:val="28"/>
          <w14:textFill>
            <w14:solidFill>
              <w14:schemeClr w14:val="tx1"/>
            </w14:solidFill>
          </w14:textFill>
        </w:rPr>
      </w:pPr>
      <w:bookmarkStart w:id="474" w:name="_Toc5442"/>
      <w:bookmarkStart w:id="475" w:name="_Toc22660"/>
      <w:r>
        <w:rPr>
          <w:rFonts w:hint="eastAsia" w:ascii="宋体" w:hAnsi="宋体" w:cs="宋体"/>
          <w:bCs/>
          <w:color w:val="000000" w:themeColor="text1"/>
          <w:szCs w:val="28"/>
          <w14:textFill>
            <w14:solidFill>
              <w14:schemeClr w14:val="tx1"/>
            </w14:solidFill>
          </w14:textFill>
        </w:rPr>
        <w:t>矿区地处滇东喀斯特高原山区东部，地形高差较大，气候垂直分带明显，有山顶凉，河谷热的立体气候特点。年均日照1875.7小时（78.2天），年平均气温20.8℃，年日极端最高气温37.5℃（7月9日），年日极端最低气温0.2℃（1月24日）。无霜期305天，年均降雨量1056.5mm，5月至10月为雨季；11月至次年4月为旱季，实际雨季为151天左右。冬无严寒、夏无酷暑，雨旱分明，雨热同季，年蒸发量1400—1796mm,年均相对湿度为70%～80%。广南县全年多为西南风，占全年风向的39%，夏季主导风向SSW或S，各占全年风向的10%，冬季主导风向SW，占全年风向的26%，年最多雾日9天，年最多雹日数6天，冬季日照率57%。矿区灾害性气候频繁，主要灾害有霜冻、干旱、低温等。</w:t>
      </w:r>
    </w:p>
    <w:p w14:paraId="13BCE6F0">
      <w:pPr>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3、植被</w:t>
      </w:r>
      <w:bookmarkEnd w:id="474"/>
      <w:bookmarkEnd w:id="475"/>
    </w:p>
    <w:p w14:paraId="50F44999">
      <w:pPr>
        <w:ind w:firstLine="540"/>
        <w:rPr>
          <w:rFonts w:hint="eastAsia" w:ascii="宋体" w:hAnsi="宋体"/>
          <w:color w:val="000000" w:themeColor="text1"/>
          <w:spacing w:val="-5"/>
          <w:szCs w:val="28"/>
          <w14:textFill>
            <w14:solidFill>
              <w14:schemeClr w14:val="tx1"/>
            </w14:solidFill>
          </w14:textFill>
        </w:rPr>
      </w:pPr>
      <w:bookmarkStart w:id="476" w:name="_Toc1921"/>
      <w:bookmarkStart w:id="477" w:name="_Toc3728"/>
      <w:r>
        <w:rPr>
          <w:rFonts w:hint="eastAsia" w:ascii="宋体" w:hAnsi="宋体"/>
          <w:color w:val="000000" w:themeColor="text1"/>
          <w:spacing w:val="-5"/>
          <w:szCs w:val="28"/>
          <w14:textFill>
            <w14:solidFill>
              <w14:schemeClr w14:val="tx1"/>
            </w14:solidFill>
          </w14:textFill>
        </w:rPr>
        <w:t>区内地形平缓地带多已开垦为坡耕地，较陡处均为荒山，植被较少，岩石大多裸露地表，无天然保护林和可用经济林，山坡和地坎零星分布有少量次生小灌木和杂草，植被覆盖率约10%。</w:t>
      </w:r>
    </w:p>
    <w:p w14:paraId="46B84634">
      <w:pPr>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4、水文</w:t>
      </w:r>
      <w:bookmarkEnd w:id="476"/>
      <w:bookmarkEnd w:id="477"/>
    </w:p>
    <w:p w14:paraId="266A07A4">
      <w:pPr>
        <w:ind w:firstLine="560"/>
        <w:jc w:val="both"/>
        <w:rPr>
          <w:rFonts w:hint="eastAsia" w:ascii="宋体" w:hAnsi="宋体" w:cs="宋体"/>
          <w:color w:val="000000" w:themeColor="text1"/>
          <w:szCs w:val="28"/>
          <w14:textFill>
            <w14:solidFill>
              <w14:schemeClr w14:val="tx1"/>
            </w14:solidFill>
          </w14:textFill>
        </w:rPr>
      </w:pPr>
      <w:bookmarkStart w:id="478" w:name="_Toc15265"/>
      <w:bookmarkStart w:id="479" w:name="_Toc30061"/>
      <w:bookmarkStart w:id="480" w:name="_Toc18878"/>
      <w:bookmarkStart w:id="481" w:name="_Toc16184"/>
      <w:bookmarkStart w:id="482" w:name="_Toc6363"/>
      <w:r>
        <w:rPr>
          <w:rFonts w:hint="eastAsia" w:ascii="宋体" w:hAnsi="宋体" w:cs="宋体"/>
          <w:color w:val="000000" w:themeColor="text1"/>
          <w:szCs w:val="28"/>
          <w14:textFill>
            <w14:solidFill>
              <w14:schemeClr w14:val="tx1"/>
            </w14:solidFill>
          </w14:textFill>
        </w:rPr>
        <w:t>广南县境内16条大小河流属珠江水系和红河水系。珠江流域主要干流有西洋江、驮娘江、清水江，红河流域干流为南利河。矿区水系属珠江流域西洋江支流夕板河。</w:t>
      </w:r>
    </w:p>
    <w:p w14:paraId="4CB3F4BF">
      <w:pPr>
        <w:ind w:firstLine="560"/>
        <w:jc w:val="both"/>
        <w:rPr>
          <w:rFonts w:hint="eastAsia" w:ascii="宋体" w:hAnsi="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矿区地表水系不发育，无溪流及泉水出露。地表降水总体向矿区西侧沿地形向低洼处自然排泄。</w:t>
      </w:r>
    </w:p>
    <w:p w14:paraId="2EC118E2">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5、</w:t>
      </w:r>
      <w:r>
        <w:rPr>
          <w:rFonts w:ascii="宋体" w:hAnsi="宋体"/>
          <w:color w:val="000000" w:themeColor="text1"/>
          <w:szCs w:val="28"/>
          <w14:textFill>
            <w14:solidFill>
              <w14:schemeClr w14:val="tx1"/>
            </w14:solidFill>
          </w14:textFill>
        </w:rPr>
        <w:t>经济</w:t>
      </w:r>
      <w:bookmarkEnd w:id="478"/>
      <w:bookmarkEnd w:id="479"/>
      <w:r>
        <w:rPr>
          <w:rFonts w:hint="eastAsia" w:ascii="宋体" w:hAnsi="宋体"/>
          <w:color w:val="000000" w:themeColor="text1"/>
          <w:szCs w:val="28"/>
          <w14:textFill>
            <w14:solidFill>
              <w14:schemeClr w14:val="tx1"/>
            </w14:solidFill>
          </w14:textFill>
        </w:rPr>
        <w:t>地理</w:t>
      </w:r>
      <w:bookmarkEnd w:id="480"/>
      <w:bookmarkEnd w:id="481"/>
      <w:bookmarkEnd w:id="482"/>
    </w:p>
    <w:p w14:paraId="40E4533E">
      <w:pPr>
        <w:tabs>
          <w:tab w:val="left" w:pos="3660"/>
        </w:tabs>
        <w:ind w:firstLine="560"/>
        <w:jc w:val="both"/>
        <w:rPr>
          <w:rFonts w:hint="eastAsia" w:ascii="宋体" w:hAnsi="宋体" w:cs="宋体"/>
          <w:color w:val="000000" w:themeColor="text1"/>
          <w:szCs w:val="28"/>
          <w14:textFill>
            <w14:solidFill>
              <w14:schemeClr w14:val="tx1"/>
            </w14:solidFill>
          </w14:textFill>
        </w:rPr>
      </w:pPr>
      <w:bookmarkStart w:id="483" w:name="_Toc3565"/>
      <w:bookmarkStart w:id="484" w:name="_Toc22808"/>
      <w:bookmarkStart w:id="485" w:name="_Toc3631"/>
      <w:bookmarkStart w:id="486" w:name="_Toc30392"/>
      <w:bookmarkStart w:id="487" w:name="_Toc1647"/>
      <w:bookmarkStart w:id="488" w:name="_Toc11027"/>
      <w:bookmarkStart w:id="489" w:name="_Toc11997"/>
      <w:bookmarkStart w:id="490" w:name="_Toc17531"/>
      <w:bookmarkStart w:id="491" w:name="_Toc20117"/>
      <w:r>
        <w:rPr>
          <w:rFonts w:hint="eastAsia" w:ascii="宋体" w:hAnsi="宋体" w:cs="宋体"/>
          <w:color w:val="000000" w:themeColor="text1"/>
          <w:szCs w:val="28"/>
          <w14:textFill>
            <w14:solidFill>
              <w14:schemeClr w14:val="tx1"/>
            </w14:solidFill>
          </w14:textFill>
        </w:rPr>
        <w:t>（1）行政区划</w:t>
      </w:r>
    </w:p>
    <w:p w14:paraId="125A53C2">
      <w:pPr>
        <w:tabs>
          <w:tab w:val="left" w:pos="3660"/>
        </w:tabs>
        <w:ind w:firstLine="560"/>
        <w:jc w:val="both"/>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广南县国土面积7810km</w:t>
      </w:r>
      <w:r>
        <w:rPr>
          <w:rFonts w:hint="eastAsia" w:ascii="宋体" w:hAnsi="宋体" w:cs="宋体"/>
          <w:color w:val="000000" w:themeColor="text1"/>
          <w:szCs w:val="28"/>
          <w:vertAlign w:val="superscript"/>
          <w14:textFill>
            <w14:solidFill>
              <w14:schemeClr w14:val="tx1"/>
            </w14:solidFill>
          </w14:textFill>
        </w:rPr>
        <w:t>2</w:t>
      </w:r>
      <w:r>
        <w:rPr>
          <w:rFonts w:hint="eastAsia" w:ascii="宋体" w:hAnsi="宋体" w:cs="宋体"/>
          <w:color w:val="000000" w:themeColor="text1"/>
          <w:szCs w:val="28"/>
          <w14:textFill>
            <w14:solidFill>
              <w14:schemeClr w14:val="tx1"/>
            </w14:solidFill>
          </w14:textFill>
        </w:rPr>
        <w:t>，居全省第三位，下辖11乡7镇2个国有农场，分别为：莲城镇、八宝镇、南屏镇、珠街镇、那洒镇、珠琳镇、坝美镇，董堡乡、旧莫乡、杨柳井乡、板蚌乡、曙光乡、黑支果乡、篆角乡、五珠乡、者兔乡、者太乡、底圩乡，堂上农场，石山农场；共有167个村（居）委会、9个社区、2698个自然村、3078个村（居）民小组。</w:t>
      </w:r>
    </w:p>
    <w:p w14:paraId="2E4BF1F9">
      <w:pPr>
        <w:tabs>
          <w:tab w:val="left" w:pos="3660"/>
        </w:tabs>
        <w:ind w:firstLine="560"/>
        <w:jc w:val="both"/>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（2）人口概况</w:t>
      </w:r>
    </w:p>
    <w:p w14:paraId="328EB5A6">
      <w:pPr>
        <w:tabs>
          <w:tab w:val="left" w:pos="3660"/>
        </w:tabs>
        <w:ind w:firstLine="560"/>
        <w:jc w:val="both"/>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广南县境内有汉、壮、苗、瑶、彝、蒙古、仡佬、白、回等11种民族。2023 年末，广南县常住人口 74.44 万人。2024 年末 2025 年初，常住人口 74.63 万人。</w:t>
      </w:r>
    </w:p>
    <w:p w14:paraId="27DB7321">
      <w:pPr>
        <w:numPr>
          <w:ilvl w:val="0"/>
          <w:numId w:val="5"/>
        </w:numPr>
        <w:tabs>
          <w:tab w:val="left" w:pos="3660"/>
        </w:tabs>
        <w:ind w:firstLine="560"/>
        <w:jc w:val="both"/>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社会经济</w:t>
      </w:r>
    </w:p>
    <w:p w14:paraId="28DC79F4">
      <w:pPr>
        <w:tabs>
          <w:tab w:val="left" w:pos="3660"/>
        </w:tabs>
        <w:ind w:firstLine="560"/>
        <w:jc w:val="both"/>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2024 年，全县地区生产总值 207.3 亿元，同比增长 7%。其中，第一产业增加值 50.71 亿元，增长 2.8%；第二产业增加值 53.72 亿元，增长 20.2%；第三产业增加值 102.88 亿元，增长 3%。</w:t>
      </w:r>
    </w:p>
    <w:p w14:paraId="2D3F4BA0">
      <w:pPr>
        <w:tabs>
          <w:tab w:val="left" w:pos="3660"/>
        </w:tabs>
        <w:ind w:firstLine="560"/>
        <w:jc w:val="both"/>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矿区行政区划隶属于云南省文山壮族苗族自治州广南县旧莫乡。农业是旧莫乡的重要产业。2022年，全乡整合涉农资金种植杂交水稻、杂交玉m等农作物 17.31万亩，地膜覆盖栽培2.57万亩，植保工程5.1万亩，农作物套种播种面积42403亩，积极推动蔬菜产业发展，建成安勒、昔板、板榔、西洛蔬菜基地共2700亩，通过土地流转给企业，农民实现“土地流转和务工”双增收。</w:t>
      </w:r>
      <w:r>
        <w:rPr>
          <w:rFonts w:ascii="宋体" w:hAnsi="宋体" w:cs="Segoe UI"/>
          <w:color w:val="000000" w:themeColor="text1"/>
          <w:szCs w:val="28"/>
          <w:shd w:val="clear" w:color="auto" w:fill="FFFFFF"/>
          <w14:textFill>
            <w14:solidFill>
              <w14:schemeClr w14:val="tx1"/>
            </w14:solidFill>
          </w14:textFill>
        </w:rPr>
        <w:t>旧莫乡的劳动资源丰富，</w:t>
      </w:r>
      <w:r>
        <w:rPr>
          <w:rFonts w:hint="eastAsia" w:ascii="宋体" w:hAnsi="宋体" w:cs="Segoe UI"/>
          <w:color w:val="000000" w:themeColor="text1"/>
          <w:szCs w:val="28"/>
          <w:shd w:val="clear" w:color="auto" w:fill="FFFFFF"/>
          <w14:textFill>
            <w14:solidFill>
              <w14:schemeClr w14:val="tx1"/>
            </w14:solidFill>
          </w14:textFill>
        </w:rPr>
        <w:t>能为项目提供充足的劳动力。</w:t>
      </w:r>
    </w:p>
    <w:p w14:paraId="704505A0">
      <w:pPr>
        <w:pStyle w:val="4"/>
        <w:spacing w:before="240" w:after="120"/>
        <w:rPr>
          <w:color w:val="000000" w:themeColor="text1"/>
          <w14:textFill>
            <w14:solidFill>
              <w14:schemeClr w14:val="tx1"/>
            </w14:solidFill>
          </w14:textFill>
        </w:rPr>
      </w:pPr>
      <w:bookmarkStart w:id="492" w:name="_Toc215070149"/>
      <w:r>
        <w:rPr>
          <w:rFonts w:hint="eastAsia"/>
          <w:color w:val="000000" w:themeColor="text1"/>
          <w14:textFill>
            <w14:solidFill>
              <w14:schemeClr w14:val="tx1"/>
            </w14:solidFill>
          </w14:textFill>
        </w:rPr>
        <w:t>2.3</w:t>
      </w:r>
      <w:bookmarkEnd w:id="461"/>
      <w:bookmarkEnd w:id="462"/>
      <w:bookmarkEnd w:id="463"/>
      <w:bookmarkEnd w:id="464"/>
      <w:bookmarkEnd w:id="465"/>
      <w:bookmarkEnd w:id="466"/>
      <w:bookmarkEnd w:id="467"/>
      <w:bookmarkEnd w:id="468"/>
      <w:bookmarkEnd w:id="469"/>
      <w:bookmarkEnd w:id="470"/>
      <w:r>
        <w:rPr>
          <w:rFonts w:hint="eastAsia"/>
          <w:color w:val="000000" w:themeColor="text1"/>
          <w14:textFill>
            <w14:solidFill>
              <w14:schemeClr w14:val="tx1"/>
            </w14:solidFill>
          </w14:textFill>
        </w:rPr>
        <w:t>建设项目地质概况</w:t>
      </w:r>
      <w:bookmarkEnd w:id="471"/>
      <w:bookmarkEnd w:id="483"/>
      <w:bookmarkEnd w:id="484"/>
      <w:bookmarkEnd w:id="485"/>
      <w:bookmarkEnd w:id="486"/>
      <w:bookmarkEnd w:id="487"/>
      <w:bookmarkEnd w:id="488"/>
      <w:bookmarkEnd w:id="489"/>
      <w:bookmarkEnd w:id="490"/>
      <w:bookmarkEnd w:id="491"/>
      <w:bookmarkEnd w:id="492"/>
    </w:p>
    <w:p w14:paraId="22F5B66D">
      <w:pPr>
        <w:pStyle w:val="18"/>
        <w:ind w:firstLine="560"/>
        <w:jc w:val="both"/>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项目地质资料来源于</w:t>
      </w:r>
      <w:r>
        <w:rPr>
          <w:rFonts w:ascii="宋体" w:hAnsi="宋体"/>
          <w:color w:val="000000" w:themeColor="text1"/>
          <w:szCs w:val="28"/>
          <w14:textFill>
            <w14:solidFill>
              <w14:schemeClr w14:val="tx1"/>
            </w14:solidFill>
          </w14:textFill>
        </w:rPr>
        <w:t>广</w:t>
      </w:r>
      <w:r>
        <w:rPr>
          <w:rFonts w:hint="eastAsia" w:ascii="宋体" w:hAnsi="宋体"/>
          <w:color w:val="000000" w:themeColor="text1"/>
          <w:szCs w:val="28"/>
          <w14:textFill>
            <w14:solidFill>
              <w14:schemeClr w14:val="tx1"/>
            </w14:solidFill>
          </w14:textFill>
        </w:rPr>
        <w:t>南</w:t>
      </w:r>
      <w:r>
        <w:rPr>
          <w:rFonts w:ascii="宋体" w:hAnsi="宋体"/>
          <w:color w:val="000000" w:themeColor="text1"/>
          <w:szCs w:val="28"/>
          <w14:textFill>
            <w14:solidFill>
              <w14:schemeClr w14:val="tx1"/>
            </w14:solidFill>
          </w14:textFill>
        </w:rPr>
        <w:t>自然资储备字〔2021〕4号《云南省广南县旧莫小格达普通建筑材料用石灰岩矿资源储量核实报告》(2021年)</w:t>
      </w:r>
      <w:r>
        <w:rPr>
          <w:rFonts w:hint="eastAsia" w:ascii="宋体" w:hAnsi="宋体"/>
          <w:color w:val="000000" w:themeColor="text1"/>
          <w:szCs w:val="28"/>
          <w14:textFill>
            <w14:solidFill>
              <w14:schemeClr w14:val="tx1"/>
            </w14:solidFill>
          </w14:textFill>
        </w:rPr>
        <w:t>。</w:t>
      </w:r>
    </w:p>
    <w:p w14:paraId="47642B45">
      <w:pPr>
        <w:pStyle w:val="5"/>
        <w:spacing w:after="120"/>
        <w:rPr>
          <w:color w:val="000000" w:themeColor="text1"/>
          <w14:textFill>
            <w14:solidFill>
              <w14:schemeClr w14:val="tx1"/>
            </w14:solidFill>
          </w14:textFill>
        </w:rPr>
      </w:pPr>
      <w:bookmarkStart w:id="493" w:name="_Toc31486"/>
      <w:bookmarkStart w:id="494" w:name="_Toc7577"/>
      <w:bookmarkStart w:id="495" w:name="_Toc28785"/>
      <w:bookmarkStart w:id="496" w:name="_Toc215070150"/>
      <w:bookmarkStart w:id="497" w:name="_Toc13254"/>
      <w:bookmarkStart w:id="498" w:name="_Toc19676"/>
      <w:bookmarkStart w:id="499" w:name="_Toc9539"/>
      <w:bookmarkStart w:id="500" w:name="_Toc29628"/>
      <w:bookmarkStart w:id="501" w:name="_Toc585"/>
      <w:bookmarkStart w:id="502" w:name="_Toc16974"/>
      <w:r>
        <w:rPr>
          <w:rFonts w:hint="eastAsia"/>
          <w:color w:val="000000" w:themeColor="text1"/>
          <w14:textFill>
            <w14:solidFill>
              <w14:schemeClr w14:val="tx1"/>
            </w14:solidFill>
          </w14:textFill>
        </w:rPr>
        <w:t>2.</w:t>
      </w:r>
      <w:r>
        <w:rPr>
          <w:color w:val="000000" w:themeColor="text1"/>
          <w14:textFill>
            <w14:solidFill>
              <w14:schemeClr w14:val="tx1"/>
            </w14:solidFill>
          </w14:textFill>
        </w:rPr>
        <w:t>3.1区域地质</w:t>
      </w:r>
      <w:bookmarkEnd w:id="493"/>
      <w:bookmarkEnd w:id="494"/>
      <w:bookmarkEnd w:id="495"/>
      <w:bookmarkEnd w:id="496"/>
      <w:bookmarkEnd w:id="497"/>
      <w:bookmarkEnd w:id="498"/>
      <w:bookmarkEnd w:id="499"/>
      <w:bookmarkEnd w:id="500"/>
      <w:bookmarkEnd w:id="501"/>
      <w:bookmarkEnd w:id="502"/>
    </w:p>
    <w:p w14:paraId="68DCCE54">
      <w:pPr>
        <w:rPr>
          <w:rFonts w:hint="eastAsia" w:ascii="宋体" w:hAnsi="宋体" w:cs="宋体"/>
          <w:b/>
          <w:bCs/>
          <w:color w:val="000000" w:themeColor="text1"/>
          <w:szCs w:val="28"/>
          <w14:textFill>
            <w14:solidFill>
              <w14:schemeClr w14:val="tx1"/>
            </w14:solidFill>
          </w14:textFill>
        </w:rPr>
      </w:pPr>
      <w:bookmarkStart w:id="503" w:name="_Toc16401"/>
      <w:bookmarkStart w:id="504" w:name="_Toc11028"/>
      <w:bookmarkStart w:id="505" w:name="_Toc10759"/>
      <w:bookmarkStart w:id="506" w:name="_Toc6277"/>
      <w:bookmarkStart w:id="507" w:name="_Toc2241"/>
      <w:bookmarkStart w:id="508" w:name="_Toc6317"/>
      <w:bookmarkStart w:id="509" w:name="_Toc13240"/>
      <w:bookmarkStart w:id="510" w:name="_Toc32279"/>
      <w:bookmarkStart w:id="511" w:name="_Toc15988"/>
      <w:r>
        <w:rPr>
          <w:rFonts w:hint="eastAsia" w:ascii="宋体" w:hAnsi="宋体" w:cs="宋体"/>
          <w:b/>
          <w:bCs/>
          <w:color w:val="000000" w:themeColor="text1"/>
          <w:szCs w:val="28"/>
          <w14:textFill>
            <w14:solidFill>
              <w14:schemeClr w14:val="tx1"/>
            </w14:solidFill>
          </w14:textFill>
        </w:rPr>
        <w:t>一、区域地层</w:t>
      </w:r>
    </w:p>
    <w:p w14:paraId="79E46BAA">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大地构造属于华南褶皱系、滇东南褶皱带、丘北—广南褶皱束中部，受分区大断裂南盘江断裂和富宁—蒙自断裂夹持，主图构造线呈北西—南东向展布(见图2.3-1)。属藏滇“歹”字型构造中段的分支构造，基底破碎。出露地层主要为三叠系、二叠系、石炭系、泥盆系地层(详见表2.3-1)。区域内无断层通过，岩层褶皱不明显，地质构造简单。</w:t>
      </w:r>
    </w:p>
    <w:p w14:paraId="4B036253">
      <w:pPr>
        <w:jc w:val="center"/>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表2.3-1  区域地质地层简表</w:t>
      </w:r>
    </w:p>
    <w:tbl>
      <w:tblPr>
        <w:tblStyle w:val="44"/>
        <w:tblW w:w="52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7"/>
        <w:gridCol w:w="446"/>
        <w:gridCol w:w="446"/>
        <w:gridCol w:w="1609"/>
        <w:gridCol w:w="824"/>
        <w:gridCol w:w="1685"/>
        <w:gridCol w:w="4321"/>
      </w:tblGrid>
      <w:tr w14:paraId="0B177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28" w:type="pct"/>
            <w:vMerge w:val="restart"/>
            <w:vAlign w:val="center"/>
          </w:tcPr>
          <w:p w14:paraId="5BDFF6DF">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界</w:t>
            </w:r>
          </w:p>
        </w:tc>
        <w:tc>
          <w:tcPr>
            <w:tcW w:w="228" w:type="pct"/>
            <w:vMerge w:val="restart"/>
            <w:noWrap/>
            <w:vAlign w:val="center"/>
          </w:tcPr>
          <w:p w14:paraId="3A0EB85B">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系</w:t>
            </w:r>
          </w:p>
        </w:tc>
        <w:tc>
          <w:tcPr>
            <w:tcW w:w="228" w:type="pct"/>
            <w:vMerge w:val="restart"/>
            <w:noWrap/>
            <w:vAlign w:val="center"/>
          </w:tcPr>
          <w:p w14:paraId="61C351C0">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统</w:t>
            </w:r>
          </w:p>
        </w:tc>
        <w:tc>
          <w:tcPr>
            <w:tcW w:w="823" w:type="pct"/>
            <w:vMerge w:val="restart"/>
            <w:noWrap/>
            <w:vAlign w:val="center"/>
          </w:tcPr>
          <w:p w14:paraId="1D2412A9">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组</w:t>
            </w:r>
          </w:p>
        </w:tc>
        <w:tc>
          <w:tcPr>
            <w:tcW w:w="421" w:type="pct"/>
            <w:vMerge w:val="restart"/>
            <w:noWrap/>
            <w:vAlign w:val="center"/>
          </w:tcPr>
          <w:p w14:paraId="0BECA40E">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代号</w:t>
            </w:r>
          </w:p>
        </w:tc>
        <w:tc>
          <w:tcPr>
            <w:tcW w:w="862" w:type="pct"/>
            <w:vMerge w:val="restart"/>
            <w:vAlign w:val="center"/>
          </w:tcPr>
          <w:p w14:paraId="105E6B94">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厚度（m）</w:t>
            </w:r>
          </w:p>
        </w:tc>
        <w:tc>
          <w:tcPr>
            <w:tcW w:w="2210" w:type="pct"/>
            <w:vMerge w:val="restart"/>
            <w:vAlign w:val="center"/>
          </w:tcPr>
          <w:p w14:paraId="1151D2FA">
            <w:pPr>
              <w:widowControl/>
              <w:spacing w:line="240" w:lineRule="auto"/>
              <w:ind w:firstLine="0" w:firstLineChars="0"/>
              <w:jc w:val="center"/>
              <w:rPr>
                <w:rFonts w:hint="eastAsia"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岩 性 简 述</w:t>
            </w:r>
          </w:p>
        </w:tc>
      </w:tr>
      <w:tr w14:paraId="70FDB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28" w:type="pct"/>
            <w:vMerge w:val="continue"/>
            <w:vAlign w:val="center"/>
          </w:tcPr>
          <w:p w14:paraId="1EF7AC39">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c>
          <w:tcPr>
            <w:tcW w:w="228" w:type="pct"/>
            <w:vMerge w:val="continue"/>
            <w:vAlign w:val="center"/>
          </w:tcPr>
          <w:p w14:paraId="1E96BF81">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c>
          <w:tcPr>
            <w:tcW w:w="228" w:type="pct"/>
            <w:vMerge w:val="continue"/>
            <w:vAlign w:val="center"/>
          </w:tcPr>
          <w:p w14:paraId="183D8591">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c>
          <w:tcPr>
            <w:tcW w:w="823" w:type="pct"/>
            <w:vMerge w:val="continue"/>
            <w:vAlign w:val="center"/>
          </w:tcPr>
          <w:p w14:paraId="0B39CD04">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c>
          <w:tcPr>
            <w:tcW w:w="421" w:type="pct"/>
            <w:vMerge w:val="continue"/>
            <w:vAlign w:val="center"/>
          </w:tcPr>
          <w:p w14:paraId="437AD4EA">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c>
          <w:tcPr>
            <w:tcW w:w="862" w:type="pct"/>
            <w:vMerge w:val="continue"/>
            <w:vAlign w:val="center"/>
          </w:tcPr>
          <w:p w14:paraId="5A46F344">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c>
          <w:tcPr>
            <w:tcW w:w="2210" w:type="pct"/>
            <w:vMerge w:val="continue"/>
            <w:vAlign w:val="center"/>
          </w:tcPr>
          <w:p w14:paraId="6EEF64DF">
            <w:pPr>
              <w:widowControl/>
              <w:spacing w:line="240" w:lineRule="auto"/>
              <w:ind w:firstLine="0" w:firstLineChars="0"/>
              <w:rPr>
                <w:rFonts w:hint="eastAsia" w:ascii="宋体" w:hAnsi="宋体" w:cs="宋体"/>
                <w:b/>
                <w:bCs/>
                <w:color w:val="000000" w:themeColor="text1"/>
                <w:kern w:val="0"/>
                <w14:textFill>
                  <w14:solidFill>
                    <w14:schemeClr w14:val="tx1"/>
                  </w14:solidFill>
                </w14:textFill>
              </w:rPr>
            </w:pPr>
          </w:p>
        </w:tc>
      </w:tr>
      <w:tr w14:paraId="2C358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restart"/>
            <w:vAlign w:val="center"/>
          </w:tcPr>
          <w:p w14:paraId="4F9AE9CD">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中生界</w:t>
            </w:r>
          </w:p>
        </w:tc>
        <w:tc>
          <w:tcPr>
            <w:tcW w:w="228" w:type="pct"/>
            <w:vMerge w:val="restart"/>
            <w:vAlign w:val="center"/>
          </w:tcPr>
          <w:p w14:paraId="05083FB5">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三叠系</w:t>
            </w:r>
          </w:p>
        </w:tc>
        <w:tc>
          <w:tcPr>
            <w:tcW w:w="228" w:type="pct"/>
            <w:vMerge w:val="restart"/>
            <w:vAlign w:val="center"/>
          </w:tcPr>
          <w:p w14:paraId="2880BB40">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中统</w:t>
            </w:r>
          </w:p>
        </w:tc>
        <w:tc>
          <w:tcPr>
            <w:tcW w:w="823" w:type="pct"/>
            <w:noWrap/>
            <w:vAlign w:val="center"/>
          </w:tcPr>
          <w:p w14:paraId="6D9C5E70">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法郎组</w:t>
            </w:r>
          </w:p>
        </w:tc>
        <w:tc>
          <w:tcPr>
            <w:tcW w:w="421" w:type="pct"/>
            <w:noWrap/>
            <w:vAlign w:val="center"/>
          </w:tcPr>
          <w:p w14:paraId="22DFE6E0">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T</w:t>
            </w:r>
            <w:r>
              <w:rPr>
                <w:color w:val="000000" w:themeColor="text1"/>
                <w:kern w:val="0"/>
                <w:szCs w:val="28"/>
                <w:vertAlign w:val="subscript"/>
                <w14:textFill>
                  <w14:solidFill>
                    <w14:schemeClr w14:val="tx1"/>
                  </w14:solidFill>
                </w14:textFill>
              </w:rPr>
              <w:t>2</w:t>
            </w:r>
            <w:r>
              <w:rPr>
                <w:color w:val="000000" w:themeColor="text1"/>
                <w:kern w:val="0"/>
                <w:szCs w:val="28"/>
                <w14:textFill>
                  <w14:solidFill>
                    <w14:schemeClr w14:val="tx1"/>
                  </w14:solidFill>
                </w14:textFill>
              </w:rPr>
              <w:t>f</w:t>
            </w:r>
          </w:p>
        </w:tc>
        <w:tc>
          <w:tcPr>
            <w:tcW w:w="862" w:type="pct"/>
            <w:noWrap/>
            <w:vAlign w:val="center"/>
          </w:tcPr>
          <w:p w14:paraId="02A8E058">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436.5-562.1</w:t>
            </w:r>
          </w:p>
        </w:tc>
        <w:tc>
          <w:tcPr>
            <w:tcW w:w="2210" w:type="pct"/>
            <w:noWrap/>
            <w:vAlign w:val="center"/>
          </w:tcPr>
          <w:p w14:paraId="23B32F97">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泥岩、砂岩夹泥灰岩透镜体。</w:t>
            </w:r>
          </w:p>
        </w:tc>
      </w:tr>
      <w:tr w14:paraId="4F5DA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continue"/>
            <w:vAlign w:val="center"/>
          </w:tcPr>
          <w:p w14:paraId="1B8A255D">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1DC80F65">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1F03486C">
            <w:pPr>
              <w:widowControl/>
              <w:spacing w:line="240" w:lineRule="auto"/>
              <w:ind w:firstLine="0" w:firstLineChars="0"/>
              <w:rPr>
                <w:color w:val="000000" w:themeColor="text1"/>
                <w:kern w:val="0"/>
                <w:szCs w:val="28"/>
                <w14:textFill>
                  <w14:solidFill>
                    <w14:schemeClr w14:val="tx1"/>
                  </w14:solidFill>
                </w14:textFill>
              </w:rPr>
            </w:pPr>
          </w:p>
        </w:tc>
        <w:tc>
          <w:tcPr>
            <w:tcW w:w="823" w:type="pct"/>
            <w:noWrap/>
            <w:vAlign w:val="center"/>
          </w:tcPr>
          <w:p w14:paraId="5BFE0996">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个旧组二段</w:t>
            </w:r>
          </w:p>
        </w:tc>
        <w:tc>
          <w:tcPr>
            <w:tcW w:w="421" w:type="pct"/>
            <w:noWrap/>
            <w:vAlign w:val="center"/>
          </w:tcPr>
          <w:p w14:paraId="3BC29BBB">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T</w:t>
            </w:r>
            <w:r>
              <w:rPr>
                <w:color w:val="000000" w:themeColor="text1"/>
                <w:kern w:val="0"/>
                <w:szCs w:val="28"/>
                <w:vertAlign w:val="subscript"/>
                <w14:textFill>
                  <w14:solidFill>
                    <w14:schemeClr w14:val="tx1"/>
                  </w14:solidFill>
                </w14:textFill>
              </w:rPr>
              <w:t>2</w:t>
            </w:r>
            <w:r>
              <w:rPr>
                <w:color w:val="000000" w:themeColor="text1"/>
                <w:kern w:val="0"/>
                <w:szCs w:val="28"/>
                <w14:textFill>
                  <w14:solidFill>
                    <w14:schemeClr w14:val="tx1"/>
                  </w14:solidFill>
                </w14:textFill>
              </w:rPr>
              <w:t>g</w:t>
            </w:r>
            <w:r>
              <w:rPr>
                <w:color w:val="000000" w:themeColor="text1"/>
                <w:kern w:val="0"/>
                <w:szCs w:val="28"/>
                <w:vertAlign w:val="superscript"/>
                <w14:textFill>
                  <w14:solidFill>
                    <w14:schemeClr w14:val="tx1"/>
                  </w14:solidFill>
                </w14:textFill>
              </w:rPr>
              <w:t>b</w:t>
            </w:r>
          </w:p>
        </w:tc>
        <w:tc>
          <w:tcPr>
            <w:tcW w:w="862" w:type="pct"/>
            <w:vMerge w:val="restart"/>
            <w:noWrap/>
            <w:vAlign w:val="center"/>
          </w:tcPr>
          <w:p w14:paraId="33DD1F6A">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555.5-1308.1</w:t>
            </w:r>
          </w:p>
        </w:tc>
        <w:tc>
          <w:tcPr>
            <w:tcW w:w="2210" w:type="pct"/>
            <w:noWrap/>
            <w:vAlign w:val="center"/>
          </w:tcPr>
          <w:p w14:paraId="450AEE1D">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灰白色灰岩。</w:t>
            </w:r>
          </w:p>
        </w:tc>
      </w:tr>
      <w:tr w14:paraId="07D3F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continue"/>
            <w:vAlign w:val="center"/>
          </w:tcPr>
          <w:p w14:paraId="571F9BE6">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72ACB1B3">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662A167D">
            <w:pPr>
              <w:widowControl/>
              <w:spacing w:line="240" w:lineRule="auto"/>
              <w:ind w:firstLine="0" w:firstLineChars="0"/>
              <w:rPr>
                <w:color w:val="000000" w:themeColor="text1"/>
                <w:kern w:val="0"/>
                <w:szCs w:val="28"/>
                <w14:textFill>
                  <w14:solidFill>
                    <w14:schemeClr w14:val="tx1"/>
                  </w14:solidFill>
                </w14:textFill>
              </w:rPr>
            </w:pPr>
          </w:p>
        </w:tc>
        <w:tc>
          <w:tcPr>
            <w:tcW w:w="823" w:type="pct"/>
            <w:noWrap/>
            <w:vAlign w:val="center"/>
          </w:tcPr>
          <w:p w14:paraId="77AD99FD">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个旧组一段</w:t>
            </w:r>
          </w:p>
        </w:tc>
        <w:tc>
          <w:tcPr>
            <w:tcW w:w="421" w:type="pct"/>
            <w:noWrap/>
            <w:vAlign w:val="center"/>
          </w:tcPr>
          <w:p w14:paraId="59F98448">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T</w:t>
            </w:r>
            <w:r>
              <w:rPr>
                <w:color w:val="000000" w:themeColor="text1"/>
                <w:kern w:val="0"/>
                <w:szCs w:val="28"/>
                <w:vertAlign w:val="subscript"/>
                <w14:textFill>
                  <w14:solidFill>
                    <w14:schemeClr w14:val="tx1"/>
                  </w14:solidFill>
                </w14:textFill>
              </w:rPr>
              <w:t>2</w:t>
            </w:r>
            <w:r>
              <w:rPr>
                <w:color w:val="000000" w:themeColor="text1"/>
                <w:kern w:val="0"/>
                <w:szCs w:val="28"/>
                <w14:textFill>
                  <w14:solidFill>
                    <w14:schemeClr w14:val="tx1"/>
                  </w14:solidFill>
                </w14:textFill>
              </w:rPr>
              <w:t>g</w:t>
            </w:r>
            <w:r>
              <w:rPr>
                <w:color w:val="000000" w:themeColor="text1"/>
                <w:kern w:val="0"/>
                <w:szCs w:val="28"/>
                <w:vertAlign w:val="superscript"/>
                <w14:textFill>
                  <w14:solidFill>
                    <w14:schemeClr w14:val="tx1"/>
                  </w14:solidFill>
                </w14:textFill>
              </w:rPr>
              <w:t>a</w:t>
            </w:r>
          </w:p>
        </w:tc>
        <w:tc>
          <w:tcPr>
            <w:tcW w:w="862" w:type="pct"/>
            <w:vMerge w:val="continue"/>
            <w:vAlign w:val="center"/>
          </w:tcPr>
          <w:p w14:paraId="5454A448">
            <w:pPr>
              <w:widowControl/>
              <w:spacing w:line="240" w:lineRule="auto"/>
              <w:ind w:firstLine="0" w:firstLineChars="0"/>
              <w:rPr>
                <w:color w:val="000000" w:themeColor="text1"/>
                <w:kern w:val="0"/>
                <w:szCs w:val="28"/>
                <w14:textFill>
                  <w14:solidFill>
                    <w14:schemeClr w14:val="tx1"/>
                  </w14:solidFill>
                </w14:textFill>
              </w:rPr>
            </w:pPr>
          </w:p>
        </w:tc>
        <w:tc>
          <w:tcPr>
            <w:tcW w:w="2210" w:type="pct"/>
            <w:noWrap/>
            <w:vAlign w:val="center"/>
          </w:tcPr>
          <w:p w14:paraId="4E2F4E19">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灰白、肉红色白云岩。</w:t>
            </w:r>
          </w:p>
        </w:tc>
      </w:tr>
      <w:tr w14:paraId="68360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continue"/>
            <w:vAlign w:val="center"/>
          </w:tcPr>
          <w:p w14:paraId="6AA3CCD5">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28F5F766">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restart"/>
            <w:vAlign w:val="center"/>
          </w:tcPr>
          <w:p w14:paraId="7F20CCBB">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下统</w:t>
            </w:r>
          </w:p>
        </w:tc>
        <w:tc>
          <w:tcPr>
            <w:tcW w:w="823" w:type="pct"/>
            <w:noWrap/>
            <w:vAlign w:val="center"/>
          </w:tcPr>
          <w:p w14:paraId="285B297B">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永宁镇组</w:t>
            </w:r>
          </w:p>
        </w:tc>
        <w:tc>
          <w:tcPr>
            <w:tcW w:w="421" w:type="pct"/>
            <w:noWrap/>
            <w:vAlign w:val="center"/>
          </w:tcPr>
          <w:p w14:paraId="4C531DCA">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T</w:t>
            </w:r>
            <w:r>
              <w:rPr>
                <w:color w:val="000000" w:themeColor="text1"/>
                <w:kern w:val="0"/>
                <w:szCs w:val="28"/>
                <w:vertAlign w:val="subscript"/>
                <w14:textFill>
                  <w14:solidFill>
                    <w14:schemeClr w14:val="tx1"/>
                  </w14:solidFill>
                </w14:textFill>
              </w:rPr>
              <w:t>1</w:t>
            </w:r>
            <w:r>
              <w:rPr>
                <w:color w:val="000000" w:themeColor="text1"/>
                <w:kern w:val="0"/>
                <w:szCs w:val="28"/>
                <w14:textFill>
                  <w14:solidFill>
                    <w14:schemeClr w14:val="tx1"/>
                  </w14:solidFill>
                </w14:textFill>
              </w:rPr>
              <w:t>y</w:t>
            </w:r>
          </w:p>
        </w:tc>
        <w:tc>
          <w:tcPr>
            <w:tcW w:w="862" w:type="pct"/>
            <w:noWrap/>
            <w:vAlign w:val="center"/>
          </w:tcPr>
          <w:p w14:paraId="2BAA9A83">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43-472.2</w:t>
            </w:r>
          </w:p>
        </w:tc>
        <w:tc>
          <w:tcPr>
            <w:tcW w:w="2210" w:type="pct"/>
            <w:noWrap/>
            <w:vAlign w:val="center"/>
          </w:tcPr>
          <w:p w14:paraId="4AF65C0C">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灰绿色薄层状泥灰岩。</w:t>
            </w:r>
          </w:p>
        </w:tc>
      </w:tr>
      <w:tr w14:paraId="4CBA2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continue"/>
            <w:vAlign w:val="center"/>
          </w:tcPr>
          <w:p w14:paraId="7B5CB79B">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2EFC9FB5">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2C87B9E6">
            <w:pPr>
              <w:widowControl/>
              <w:spacing w:line="240" w:lineRule="auto"/>
              <w:ind w:firstLine="0" w:firstLineChars="0"/>
              <w:rPr>
                <w:color w:val="000000" w:themeColor="text1"/>
                <w:kern w:val="0"/>
                <w:szCs w:val="28"/>
                <w14:textFill>
                  <w14:solidFill>
                    <w14:schemeClr w14:val="tx1"/>
                  </w14:solidFill>
                </w14:textFill>
              </w:rPr>
            </w:pPr>
          </w:p>
        </w:tc>
        <w:tc>
          <w:tcPr>
            <w:tcW w:w="823" w:type="pct"/>
            <w:noWrap/>
            <w:vAlign w:val="center"/>
          </w:tcPr>
          <w:p w14:paraId="6DF3698B">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洗马塘组</w:t>
            </w:r>
          </w:p>
        </w:tc>
        <w:tc>
          <w:tcPr>
            <w:tcW w:w="421" w:type="pct"/>
            <w:noWrap/>
            <w:vAlign w:val="center"/>
          </w:tcPr>
          <w:p w14:paraId="2E24F428">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T</w:t>
            </w:r>
            <w:r>
              <w:rPr>
                <w:color w:val="000000" w:themeColor="text1"/>
                <w:kern w:val="0"/>
                <w:szCs w:val="28"/>
                <w:vertAlign w:val="subscript"/>
                <w14:textFill>
                  <w14:solidFill>
                    <w14:schemeClr w14:val="tx1"/>
                  </w14:solidFill>
                </w14:textFill>
              </w:rPr>
              <w:t>1</w:t>
            </w:r>
            <w:r>
              <w:rPr>
                <w:color w:val="000000" w:themeColor="text1"/>
                <w:kern w:val="0"/>
                <w:szCs w:val="28"/>
                <w14:textFill>
                  <w14:solidFill>
                    <w14:schemeClr w14:val="tx1"/>
                  </w14:solidFill>
                </w14:textFill>
              </w:rPr>
              <w:t>x</w:t>
            </w:r>
          </w:p>
        </w:tc>
        <w:tc>
          <w:tcPr>
            <w:tcW w:w="862" w:type="pct"/>
            <w:noWrap/>
            <w:vAlign w:val="center"/>
          </w:tcPr>
          <w:p w14:paraId="5AB76358">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23.5-247.7</w:t>
            </w:r>
          </w:p>
        </w:tc>
        <w:tc>
          <w:tcPr>
            <w:tcW w:w="2210" w:type="pct"/>
            <w:noWrap/>
            <w:vAlign w:val="center"/>
          </w:tcPr>
          <w:p w14:paraId="486B0561">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黄色泥岩、泥灰岩。</w:t>
            </w:r>
          </w:p>
        </w:tc>
      </w:tr>
      <w:tr w14:paraId="51F94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restart"/>
            <w:vAlign w:val="center"/>
          </w:tcPr>
          <w:p w14:paraId="1DA93DBC">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古生界</w:t>
            </w:r>
          </w:p>
        </w:tc>
        <w:tc>
          <w:tcPr>
            <w:tcW w:w="228" w:type="pct"/>
            <w:vMerge w:val="restart"/>
            <w:vAlign w:val="center"/>
          </w:tcPr>
          <w:p w14:paraId="00B2140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二叠系</w:t>
            </w:r>
          </w:p>
        </w:tc>
        <w:tc>
          <w:tcPr>
            <w:tcW w:w="228" w:type="pct"/>
            <w:vMerge w:val="restart"/>
            <w:vAlign w:val="center"/>
          </w:tcPr>
          <w:p w14:paraId="4AB6923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上统</w:t>
            </w:r>
          </w:p>
        </w:tc>
        <w:tc>
          <w:tcPr>
            <w:tcW w:w="823" w:type="pct"/>
            <w:noWrap/>
            <w:vAlign w:val="center"/>
          </w:tcPr>
          <w:p w14:paraId="5913A9EF">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长兴组</w:t>
            </w:r>
          </w:p>
        </w:tc>
        <w:tc>
          <w:tcPr>
            <w:tcW w:w="421" w:type="pct"/>
            <w:noWrap/>
            <w:vAlign w:val="center"/>
          </w:tcPr>
          <w:p w14:paraId="626B2158">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P</w:t>
            </w:r>
            <w:r>
              <w:rPr>
                <w:color w:val="000000" w:themeColor="text1"/>
                <w:kern w:val="0"/>
                <w:szCs w:val="28"/>
                <w:vertAlign w:val="subscript"/>
                <w14:textFill>
                  <w14:solidFill>
                    <w14:schemeClr w14:val="tx1"/>
                  </w14:solidFill>
                </w14:textFill>
              </w:rPr>
              <w:t>2</w:t>
            </w:r>
            <w:r>
              <w:rPr>
                <w:color w:val="000000" w:themeColor="text1"/>
                <w:kern w:val="0"/>
                <w:szCs w:val="28"/>
                <w14:textFill>
                  <w14:solidFill>
                    <w14:schemeClr w14:val="tx1"/>
                  </w14:solidFill>
                </w14:textFill>
              </w:rPr>
              <w:t>c</w:t>
            </w:r>
          </w:p>
        </w:tc>
        <w:tc>
          <w:tcPr>
            <w:tcW w:w="862" w:type="pct"/>
            <w:noWrap/>
            <w:vAlign w:val="center"/>
          </w:tcPr>
          <w:p w14:paraId="42EB1FE9">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0-57.2</w:t>
            </w:r>
          </w:p>
        </w:tc>
        <w:tc>
          <w:tcPr>
            <w:tcW w:w="2210" w:type="pct"/>
            <w:noWrap/>
            <w:vAlign w:val="center"/>
          </w:tcPr>
          <w:p w14:paraId="5133F98C">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灰色灰岩、硅质灰岩。</w:t>
            </w:r>
          </w:p>
        </w:tc>
      </w:tr>
      <w:tr w14:paraId="36990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jc w:val="center"/>
        </w:trPr>
        <w:tc>
          <w:tcPr>
            <w:tcW w:w="228" w:type="pct"/>
            <w:vMerge w:val="continue"/>
            <w:vAlign w:val="center"/>
          </w:tcPr>
          <w:p w14:paraId="63900991">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27CBFB4F">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5774D44C">
            <w:pPr>
              <w:widowControl/>
              <w:spacing w:line="240" w:lineRule="auto"/>
              <w:ind w:firstLine="0" w:firstLineChars="0"/>
              <w:rPr>
                <w:color w:val="000000" w:themeColor="text1"/>
                <w:kern w:val="0"/>
                <w:szCs w:val="28"/>
                <w14:textFill>
                  <w14:solidFill>
                    <w14:schemeClr w14:val="tx1"/>
                  </w14:solidFill>
                </w14:textFill>
              </w:rPr>
            </w:pPr>
          </w:p>
        </w:tc>
        <w:tc>
          <w:tcPr>
            <w:tcW w:w="823" w:type="pct"/>
            <w:noWrap/>
            <w:vAlign w:val="center"/>
          </w:tcPr>
          <w:p w14:paraId="3801563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吴家坪组</w:t>
            </w:r>
          </w:p>
        </w:tc>
        <w:tc>
          <w:tcPr>
            <w:tcW w:w="421" w:type="pct"/>
            <w:noWrap/>
            <w:vAlign w:val="center"/>
          </w:tcPr>
          <w:p w14:paraId="2654E6A1">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P</w:t>
            </w:r>
            <w:r>
              <w:rPr>
                <w:color w:val="000000" w:themeColor="text1"/>
                <w:kern w:val="0"/>
                <w:szCs w:val="28"/>
                <w:vertAlign w:val="subscript"/>
                <w14:textFill>
                  <w14:solidFill>
                    <w14:schemeClr w14:val="tx1"/>
                  </w14:solidFill>
                </w14:textFill>
              </w:rPr>
              <w:t>2</w:t>
            </w:r>
            <w:r>
              <w:rPr>
                <w:color w:val="000000" w:themeColor="text1"/>
                <w:kern w:val="0"/>
                <w:szCs w:val="28"/>
                <w14:textFill>
                  <w14:solidFill>
                    <w14:schemeClr w14:val="tx1"/>
                  </w14:solidFill>
                </w14:textFill>
              </w:rPr>
              <w:t>w</w:t>
            </w:r>
          </w:p>
        </w:tc>
        <w:tc>
          <w:tcPr>
            <w:tcW w:w="862" w:type="pct"/>
            <w:noWrap/>
            <w:vAlign w:val="center"/>
          </w:tcPr>
          <w:p w14:paraId="22206AE2">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118-266.1</w:t>
            </w:r>
          </w:p>
        </w:tc>
        <w:tc>
          <w:tcPr>
            <w:tcW w:w="2210" w:type="pct"/>
            <w:noWrap/>
            <w:vAlign w:val="center"/>
          </w:tcPr>
          <w:p w14:paraId="50B12303">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灰岩夹白云岩及硅质岩。</w:t>
            </w:r>
          </w:p>
        </w:tc>
      </w:tr>
      <w:tr w14:paraId="14102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228" w:type="pct"/>
            <w:vMerge w:val="continue"/>
            <w:vAlign w:val="center"/>
          </w:tcPr>
          <w:p w14:paraId="2866658E">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restart"/>
            <w:vAlign w:val="center"/>
          </w:tcPr>
          <w:p w14:paraId="7B52C742">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石炭系</w:t>
            </w:r>
          </w:p>
        </w:tc>
        <w:tc>
          <w:tcPr>
            <w:tcW w:w="228" w:type="pct"/>
            <w:vAlign w:val="center"/>
          </w:tcPr>
          <w:p w14:paraId="31B3248A">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上统</w:t>
            </w:r>
          </w:p>
        </w:tc>
        <w:tc>
          <w:tcPr>
            <w:tcW w:w="823" w:type="pct"/>
            <w:noWrap/>
            <w:vAlign w:val="center"/>
          </w:tcPr>
          <w:p w14:paraId="408D9BD3">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马平组</w:t>
            </w:r>
          </w:p>
        </w:tc>
        <w:tc>
          <w:tcPr>
            <w:tcW w:w="421" w:type="pct"/>
            <w:noWrap/>
            <w:vAlign w:val="center"/>
          </w:tcPr>
          <w:p w14:paraId="139FB16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3</w:t>
            </w:r>
            <w:r>
              <w:rPr>
                <w:color w:val="000000" w:themeColor="text1"/>
                <w:kern w:val="0"/>
                <w:szCs w:val="28"/>
                <w14:textFill>
                  <w14:solidFill>
                    <w14:schemeClr w14:val="tx1"/>
                  </w14:solidFill>
                </w14:textFill>
              </w:rPr>
              <w:t>m</w:t>
            </w:r>
          </w:p>
        </w:tc>
        <w:tc>
          <w:tcPr>
            <w:tcW w:w="862" w:type="pct"/>
            <w:noWrap/>
            <w:vAlign w:val="center"/>
          </w:tcPr>
          <w:p w14:paraId="70650498">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41.8-198.2</w:t>
            </w:r>
          </w:p>
        </w:tc>
        <w:tc>
          <w:tcPr>
            <w:tcW w:w="2210" w:type="pct"/>
            <w:noWrap/>
            <w:vAlign w:val="center"/>
          </w:tcPr>
          <w:p w14:paraId="6E6E2F0E">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灰岩、生物碎屑灰岩。</w:t>
            </w:r>
          </w:p>
        </w:tc>
      </w:tr>
      <w:tr w14:paraId="16FC2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6" w:hRule="exact"/>
          <w:jc w:val="center"/>
        </w:trPr>
        <w:tc>
          <w:tcPr>
            <w:tcW w:w="228" w:type="pct"/>
            <w:vMerge w:val="continue"/>
            <w:vAlign w:val="center"/>
          </w:tcPr>
          <w:p w14:paraId="4A777087">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6324C6E7">
            <w:pPr>
              <w:widowControl/>
              <w:spacing w:line="240" w:lineRule="auto"/>
              <w:ind w:firstLine="0" w:firstLineChars="0"/>
              <w:rPr>
                <w:color w:val="000000" w:themeColor="text1"/>
                <w:kern w:val="0"/>
                <w:szCs w:val="28"/>
                <w14:textFill>
                  <w14:solidFill>
                    <w14:schemeClr w14:val="tx1"/>
                  </w14:solidFill>
                </w14:textFill>
              </w:rPr>
            </w:pPr>
          </w:p>
        </w:tc>
        <w:tc>
          <w:tcPr>
            <w:tcW w:w="228" w:type="pct"/>
            <w:vAlign w:val="center"/>
          </w:tcPr>
          <w:p w14:paraId="14EF8049">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中统</w:t>
            </w:r>
          </w:p>
        </w:tc>
        <w:tc>
          <w:tcPr>
            <w:tcW w:w="823" w:type="pct"/>
            <w:noWrap/>
            <w:vAlign w:val="center"/>
          </w:tcPr>
          <w:p w14:paraId="4319275E">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威宁组</w:t>
            </w:r>
          </w:p>
        </w:tc>
        <w:tc>
          <w:tcPr>
            <w:tcW w:w="421" w:type="pct"/>
            <w:noWrap/>
            <w:vAlign w:val="center"/>
          </w:tcPr>
          <w:p w14:paraId="3708197D">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2</w:t>
            </w:r>
            <w:r>
              <w:rPr>
                <w:color w:val="000000" w:themeColor="text1"/>
                <w:kern w:val="0"/>
                <w:szCs w:val="28"/>
                <w14:textFill>
                  <w14:solidFill>
                    <w14:schemeClr w14:val="tx1"/>
                  </w14:solidFill>
                </w14:textFill>
              </w:rPr>
              <w:t>w</w:t>
            </w:r>
          </w:p>
        </w:tc>
        <w:tc>
          <w:tcPr>
            <w:tcW w:w="862" w:type="pct"/>
            <w:noWrap/>
            <w:vAlign w:val="center"/>
          </w:tcPr>
          <w:p w14:paraId="4CC6B02B">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121.2-168.6</w:t>
            </w:r>
          </w:p>
        </w:tc>
        <w:tc>
          <w:tcPr>
            <w:tcW w:w="2210" w:type="pct"/>
            <w:noWrap/>
            <w:vAlign w:val="center"/>
          </w:tcPr>
          <w:p w14:paraId="7D6140B4">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灰岩、生物碎屑灰岩，局部夹白云岩及硅质灰岩。</w:t>
            </w:r>
          </w:p>
        </w:tc>
      </w:tr>
      <w:tr w14:paraId="5C981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6" w:hRule="exact"/>
          <w:jc w:val="center"/>
        </w:trPr>
        <w:tc>
          <w:tcPr>
            <w:tcW w:w="228" w:type="pct"/>
            <w:vMerge w:val="continue"/>
            <w:vAlign w:val="center"/>
          </w:tcPr>
          <w:p w14:paraId="625D4EDE">
            <w:pPr>
              <w:widowControl/>
              <w:spacing w:line="240" w:lineRule="auto"/>
              <w:ind w:firstLine="0" w:firstLineChars="0"/>
              <w:rPr>
                <w:color w:val="000000" w:themeColor="text1"/>
                <w:kern w:val="0"/>
                <w:szCs w:val="28"/>
                <w14:textFill>
                  <w14:solidFill>
                    <w14:schemeClr w14:val="tx1"/>
                  </w14:solidFill>
                </w14:textFill>
              </w:rPr>
            </w:pPr>
          </w:p>
        </w:tc>
        <w:tc>
          <w:tcPr>
            <w:tcW w:w="228" w:type="pct"/>
            <w:vMerge w:val="continue"/>
            <w:vAlign w:val="center"/>
          </w:tcPr>
          <w:p w14:paraId="30A7831A">
            <w:pPr>
              <w:widowControl/>
              <w:spacing w:line="240" w:lineRule="auto"/>
              <w:ind w:firstLine="0" w:firstLineChars="0"/>
              <w:rPr>
                <w:color w:val="000000" w:themeColor="text1"/>
                <w:kern w:val="0"/>
                <w:szCs w:val="28"/>
                <w14:textFill>
                  <w14:solidFill>
                    <w14:schemeClr w14:val="tx1"/>
                  </w14:solidFill>
                </w14:textFill>
              </w:rPr>
            </w:pPr>
          </w:p>
        </w:tc>
        <w:tc>
          <w:tcPr>
            <w:tcW w:w="228" w:type="pct"/>
            <w:vAlign w:val="center"/>
          </w:tcPr>
          <w:p w14:paraId="255D37DE">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下统</w:t>
            </w:r>
          </w:p>
        </w:tc>
        <w:tc>
          <w:tcPr>
            <w:tcW w:w="823" w:type="pct"/>
            <w:noWrap/>
            <w:vAlign w:val="center"/>
          </w:tcPr>
          <w:p w14:paraId="0434F4B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大塘组</w:t>
            </w:r>
          </w:p>
        </w:tc>
        <w:tc>
          <w:tcPr>
            <w:tcW w:w="421" w:type="pct"/>
            <w:noWrap/>
            <w:vAlign w:val="center"/>
          </w:tcPr>
          <w:p w14:paraId="7E9C419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C</w:t>
            </w:r>
            <w:r>
              <w:rPr>
                <w:color w:val="000000" w:themeColor="text1"/>
                <w:kern w:val="0"/>
                <w:szCs w:val="28"/>
                <w:vertAlign w:val="subscript"/>
                <w14:textFill>
                  <w14:solidFill>
                    <w14:schemeClr w14:val="tx1"/>
                  </w14:solidFill>
                </w14:textFill>
              </w:rPr>
              <w:t>1</w:t>
            </w:r>
            <w:r>
              <w:rPr>
                <w:color w:val="000000" w:themeColor="text1"/>
                <w:kern w:val="0"/>
                <w:szCs w:val="28"/>
                <w14:textFill>
                  <w14:solidFill>
                    <w14:schemeClr w14:val="tx1"/>
                  </w14:solidFill>
                </w14:textFill>
              </w:rPr>
              <w:t>d</w:t>
            </w:r>
          </w:p>
        </w:tc>
        <w:tc>
          <w:tcPr>
            <w:tcW w:w="862" w:type="pct"/>
            <w:noWrap/>
            <w:vAlign w:val="center"/>
          </w:tcPr>
          <w:p w14:paraId="4B8CC0B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27-325.9</w:t>
            </w:r>
          </w:p>
        </w:tc>
        <w:tc>
          <w:tcPr>
            <w:tcW w:w="2210" w:type="pct"/>
            <w:noWrap/>
            <w:vAlign w:val="center"/>
          </w:tcPr>
          <w:p w14:paraId="71C98FA1">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灰岩、生物碎屑灰岩，夹白云岩、铝土质页岩、硅质岩。</w:t>
            </w:r>
          </w:p>
        </w:tc>
      </w:tr>
      <w:tr w14:paraId="2CA84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9" w:hRule="atLeast"/>
          <w:jc w:val="center"/>
        </w:trPr>
        <w:tc>
          <w:tcPr>
            <w:tcW w:w="228" w:type="pct"/>
            <w:vMerge w:val="continue"/>
            <w:vAlign w:val="center"/>
          </w:tcPr>
          <w:p w14:paraId="519CDA98">
            <w:pPr>
              <w:widowControl/>
              <w:spacing w:line="240" w:lineRule="auto"/>
              <w:ind w:firstLine="0" w:firstLineChars="0"/>
              <w:rPr>
                <w:color w:val="000000" w:themeColor="text1"/>
                <w:kern w:val="0"/>
                <w:szCs w:val="28"/>
                <w14:textFill>
                  <w14:solidFill>
                    <w14:schemeClr w14:val="tx1"/>
                  </w14:solidFill>
                </w14:textFill>
              </w:rPr>
            </w:pPr>
          </w:p>
        </w:tc>
        <w:tc>
          <w:tcPr>
            <w:tcW w:w="228" w:type="pct"/>
            <w:vAlign w:val="center"/>
          </w:tcPr>
          <w:p w14:paraId="097AE9C4">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泥盆系</w:t>
            </w:r>
          </w:p>
        </w:tc>
        <w:tc>
          <w:tcPr>
            <w:tcW w:w="228" w:type="pct"/>
            <w:vAlign w:val="center"/>
          </w:tcPr>
          <w:p w14:paraId="4B66B0EF">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下统</w:t>
            </w:r>
          </w:p>
        </w:tc>
        <w:tc>
          <w:tcPr>
            <w:tcW w:w="823" w:type="pct"/>
            <w:noWrap/>
            <w:vAlign w:val="center"/>
          </w:tcPr>
          <w:p w14:paraId="3D9EAB86">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芭蕉箐组</w:t>
            </w:r>
          </w:p>
        </w:tc>
        <w:tc>
          <w:tcPr>
            <w:tcW w:w="421" w:type="pct"/>
            <w:noWrap/>
            <w:vAlign w:val="center"/>
          </w:tcPr>
          <w:p w14:paraId="0B270056">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D</w:t>
            </w:r>
            <w:r>
              <w:rPr>
                <w:color w:val="000000" w:themeColor="text1"/>
                <w:kern w:val="0"/>
                <w:szCs w:val="28"/>
                <w:vertAlign w:val="subscript"/>
                <w14:textFill>
                  <w14:solidFill>
                    <w14:schemeClr w14:val="tx1"/>
                  </w14:solidFill>
                </w14:textFill>
              </w:rPr>
              <w:t>1</w:t>
            </w:r>
            <w:r>
              <w:rPr>
                <w:color w:val="000000" w:themeColor="text1"/>
                <w:kern w:val="0"/>
                <w:szCs w:val="28"/>
                <w14:textFill>
                  <w14:solidFill>
                    <w14:schemeClr w14:val="tx1"/>
                  </w14:solidFill>
                </w14:textFill>
              </w:rPr>
              <w:t>b</w:t>
            </w:r>
          </w:p>
        </w:tc>
        <w:tc>
          <w:tcPr>
            <w:tcW w:w="862" w:type="pct"/>
            <w:noWrap/>
            <w:vAlign w:val="center"/>
          </w:tcPr>
          <w:p w14:paraId="72448FBF">
            <w:pPr>
              <w:widowControl/>
              <w:spacing w:line="240" w:lineRule="auto"/>
              <w:ind w:firstLine="0" w:firstLineChars="0"/>
              <w:jc w:val="center"/>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49.6-161.1</w:t>
            </w:r>
          </w:p>
        </w:tc>
        <w:tc>
          <w:tcPr>
            <w:tcW w:w="2210" w:type="pct"/>
            <w:noWrap/>
            <w:vAlign w:val="center"/>
          </w:tcPr>
          <w:p w14:paraId="4B4B8E8B">
            <w:pPr>
              <w:widowControl/>
              <w:spacing w:line="240" w:lineRule="auto"/>
              <w:ind w:firstLine="0" w:firstLineChars="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泥灰岩夹灰质白云岩。</w:t>
            </w:r>
          </w:p>
        </w:tc>
      </w:tr>
    </w:tbl>
    <w:p w14:paraId="4E35AA35">
      <w:pPr>
        <w:ind w:firstLine="560"/>
        <w:rPr>
          <w:rFonts w:hint="eastAsia" w:ascii="宋体" w:hAnsi="宋体" w:cs="宋体"/>
          <w:color w:val="000000" w:themeColor="text1"/>
          <w:szCs w:val="28"/>
          <w14:textFill>
            <w14:solidFill>
              <w14:schemeClr w14:val="tx1"/>
            </w14:solidFill>
          </w14:textFill>
        </w:rPr>
      </w:pPr>
    </w:p>
    <w:p w14:paraId="7BCF8F7D">
      <w:pPr>
        <w:adjustRightInd w:val="0"/>
        <w:snapToGrid w:val="0"/>
        <w:ind w:firstLine="560"/>
        <w:jc w:val="both"/>
        <w:rPr>
          <w:color w:val="000000" w:themeColor="text1"/>
          <w:szCs w:val="28"/>
          <w14:textFill>
            <w14:solidFill>
              <w14:schemeClr w14:val="tx1"/>
            </w14:solidFill>
          </w14:textFill>
        </w:rPr>
      </w:pPr>
    </w:p>
    <w:p w14:paraId="64C09F40">
      <w:pPr>
        <w:ind w:firstLine="0" w:firstLineChars="0"/>
        <w:jc w:val="both"/>
        <w:rPr>
          <w:rFonts w:hint="eastAsia" w:ascii="宋体" w:hAnsi="宋体" w:cs="宋体"/>
          <w:color w:val="000000" w:themeColor="text1"/>
          <w:szCs w:val="28"/>
          <w14:textFill>
            <w14:solidFill>
              <w14:schemeClr w14:val="tx1"/>
            </w14:solidFill>
          </w14:textFill>
        </w:rPr>
      </w:pPr>
    </w:p>
    <w:p w14:paraId="4CAA495E">
      <w:pPr>
        <w:ind w:firstLine="560"/>
        <w:jc w:val="center"/>
        <w:rPr>
          <w:rFonts w:hint="eastAsia" w:ascii="宋体" w:hAnsi="宋体" w:cs="宋体"/>
          <w:b/>
          <w:bCs/>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-152400</wp:posOffset>
            </wp:positionH>
            <wp:positionV relativeFrom="paragraph">
              <wp:posOffset>40640</wp:posOffset>
            </wp:positionV>
            <wp:extent cx="5683250" cy="6218555"/>
            <wp:effectExtent l="0" t="0" r="0" b="0"/>
            <wp:wrapSquare wrapText="bothSides"/>
            <wp:docPr id="164" name="图片 4" descr="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descr="区域"/>
                    <pic:cNvPicPr>
                      <a:picLocks noChangeAspect="1" noChangeArrowheads="1"/>
                    </pic:cNvPicPr>
                  </pic:nvPicPr>
                  <pic:blipFill>
                    <a:blip r:embed="rId27">
                      <a:extLst>
                        <a:ext uri="{28A0092B-C50C-407E-A947-70E740481C1C}">
                          <a14:useLocalDpi xmlns:a14="http://schemas.microsoft.com/office/drawing/2010/main" val="0"/>
                        </a:ext>
                      </a:extLst>
                    </a:blip>
                    <a:srcRect r="10306" b="4253"/>
                    <a:stretch>
                      <a:fillRect/>
                    </a:stretch>
                  </pic:blipFill>
                  <pic:spPr>
                    <a:xfrm>
                      <a:off x="0" y="0"/>
                      <a:ext cx="5683250" cy="6218555"/>
                    </a:xfrm>
                    <a:prstGeom prst="rect">
                      <a:avLst/>
                    </a:prstGeom>
                    <a:noFill/>
                    <a:ln>
                      <a:noFill/>
                    </a:ln>
                  </pic:spPr>
                </pic:pic>
              </a:graphicData>
            </a:graphic>
          </wp:anchor>
        </w:drawing>
      </w:r>
      <w:r>
        <w:rPr>
          <w:rFonts w:hint="eastAsia" w:ascii="宋体" w:hAnsi="宋体" w:cs="宋体"/>
          <w:b/>
          <w:bCs/>
          <w:color w:val="000000" w:themeColor="text1"/>
          <w14:textFill>
            <w14:solidFill>
              <w14:schemeClr w14:val="tx1"/>
            </w14:solidFill>
          </w14:textFill>
        </w:rPr>
        <w:t>图2.3-1      区域地质简图</w:t>
      </w:r>
    </w:p>
    <w:p w14:paraId="3BCD834D">
      <w:pPr>
        <w:adjustRightInd w:val="0"/>
        <w:snapToGrid w:val="0"/>
        <w:rPr>
          <w:rFonts w:hint="eastAsia" w:ascii="宋体" w:hAnsi="宋体" w:cs="宋体"/>
          <w:b/>
          <w:bCs/>
          <w:snapToGrid w:val="0"/>
          <w:color w:val="000000" w:themeColor="text1"/>
          <w:szCs w:val="21"/>
          <w14:textFill>
            <w14:solidFill>
              <w14:schemeClr w14:val="tx1"/>
            </w14:solidFill>
          </w14:textFill>
        </w:rPr>
      </w:pPr>
      <w:r>
        <w:rPr>
          <w:rFonts w:hint="eastAsia" w:ascii="宋体" w:hAnsi="宋体" w:cs="宋体"/>
          <w:b/>
          <w:bCs/>
          <w:snapToGrid w:val="0"/>
          <w:color w:val="000000" w:themeColor="text1"/>
          <w:szCs w:val="21"/>
          <w14:textFill>
            <w14:solidFill>
              <w14:schemeClr w14:val="tx1"/>
            </w14:solidFill>
          </w14:textFill>
        </w:rPr>
        <w:t>二、构造</w:t>
      </w:r>
    </w:p>
    <w:p w14:paraId="5632E6E1">
      <w:pPr>
        <w:ind w:firstLine="560"/>
        <w:rPr>
          <w:color w:val="000000" w:themeColor="text1"/>
          <w:szCs w:val="28"/>
          <w14:textFill>
            <w14:solidFill>
              <w14:schemeClr w14:val="tx1"/>
            </w14:solidFill>
          </w14:textFill>
        </w:rPr>
      </w:pPr>
      <w:bookmarkStart w:id="512" w:name="_Hlk205909180"/>
      <w:r>
        <w:rPr>
          <w:rFonts w:hint="eastAsia"/>
          <w:color w:val="000000" w:themeColor="text1"/>
          <w14:textFill>
            <w14:solidFill>
              <w14:schemeClr w14:val="tx1"/>
            </w14:solidFill>
          </w14:textFill>
        </w:rPr>
        <w:t>矿区地层呈单斜层状产出，分布稳定，形态简单，区内断层不发育，无褶皱构造。</w:t>
      </w:r>
      <w:bookmarkEnd w:id="503"/>
      <w:bookmarkEnd w:id="504"/>
      <w:bookmarkEnd w:id="505"/>
      <w:bookmarkEnd w:id="506"/>
      <w:bookmarkEnd w:id="507"/>
      <w:bookmarkEnd w:id="508"/>
      <w:bookmarkEnd w:id="509"/>
      <w:bookmarkEnd w:id="510"/>
      <w:bookmarkEnd w:id="511"/>
      <w:bookmarkEnd w:id="512"/>
    </w:p>
    <w:p w14:paraId="79D031A2">
      <w:pPr>
        <w:ind w:left="560" w:firstLine="0" w:firstLineChars="0"/>
        <w:rPr>
          <w:b/>
          <w:bCs/>
          <w:color w:val="000000" w:themeColor="text1"/>
          <w14:textFill>
            <w14:solidFill>
              <w14:schemeClr w14:val="tx1"/>
            </w14:solidFill>
          </w14:textFill>
        </w:rPr>
      </w:pPr>
      <w:bookmarkStart w:id="513" w:name="_Toc17972"/>
      <w:bookmarkStart w:id="514" w:name="_Toc21571"/>
      <w:bookmarkStart w:id="515" w:name="_Toc9548"/>
      <w:bookmarkStart w:id="516" w:name="_Toc12558"/>
      <w:bookmarkStart w:id="517" w:name="_Toc29778"/>
      <w:bookmarkStart w:id="518" w:name="_Toc25140"/>
      <w:bookmarkStart w:id="519" w:name="_Toc2831"/>
      <w:bookmarkStart w:id="520" w:name="_Toc1104"/>
      <w:bookmarkStart w:id="521" w:name="_Toc22209"/>
      <w:r>
        <w:rPr>
          <w:rFonts w:hint="eastAsia"/>
          <w:b/>
          <w:bCs/>
          <w:color w:val="000000" w:themeColor="text1"/>
          <w14:textFill>
            <w14:solidFill>
              <w14:schemeClr w14:val="tx1"/>
            </w14:solidFill>
          </w14:textFill>
        </w:rPr>
        <w:t>三、</w:t>
      </w:r>
      <w:r>
        <w:rPr>
          <w:b/>
          <w:bCs/>
          <w:color w:val="000000" w:themeColor="text1"/>
          <w14:textFill>
            <w14:solidFill>
              <w14:schemeClr w14:val="tx1"/>
            </w14:solidFill>
          </w14:textFill>
        </w:rPr>
        <w:t>区域岩浆岩</w:t>
      </w:r>
      <w:bookmarkEnd w:id="513"/>
      <w:bookmarkEnd w:id="514"/>
      <w:bookmarkEnd w:id="515"/>
      <w:bookmarkEnd w:id="516"/>
      <w:bookmarkEnd w:id="517"/>
      <w:bookmarkEnd w:id="518"/>
      <w:bookmarkEnd w:id="519"/>
      <w:bookmarkEnd w:id="520"/>
      <w:bookmarkEnd w:id="521"/>
    </w:p>
    <w:p w14:paraId="430D0345">
      <w:pPr>
        <w:ind w:left="20" w:leftChars="7" w:firstLine="560"/>
        <w:rPr>
          <w:color w:val="000000" w:themeColor="text1"/>
          <w:szCs w:val="28"/>
          <w14:textFill>
            <w14:solidFill>
              <w14:schemeClr w14:val="tx1"/>
            </w14:solidFill>
          </w14:textFill>
        </w:rPr>
      </w:pPr>
      <w:bookmarkStart w:id="522" w:name="_Toc30515"/>
      <w:bookmarkStart w:id="523" w:name="_Toc1470"/>
      <w:bookmarkStart w:id="524" w:name="_Toc4426"/>
      <w:bookmarkStart w:id="525" w:name="_Toc4548"/>
      <w:bookmarkStart w:id="526" w:name="_Toc30824"/>
      <w:bookmarkStart w:id="527" w:name="_Toc25465"/>
      <w:bookmarkStart w:id="528" w:name="_Toc31024"/>
      <w:bookmarkStart w:id="529" w:name="_Toc25517"/>
      <w:bookmarkStart w:id="530" w:name="_Toc2940"/>
      <w:r>
        <w:rPr>
          <w:color w:val="000000" w:themeColor="text1"/>
          <w:szCs w:val="28"/>
          <w14:textFill>
            <w14:solidFill>
              <w14:schemeClr w14:val="tx1"/>
            </w14:solidFill>
          </w14:textFill>
        </w:rPr>
        <w:t>矿区区域未见岩浆岩出露。</w:t>
      </w:r>
    </w:p>
    <w:p w14:paraId="65434BCD">
      <w:pPr>
        <w:ind w:left="560"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w:t>
      </w:r>
      <w:r>
        <w:rPr>
          <w:b/>
          <w:bCs/>
          <w:color w:val="000000" w:themeColor="text1"/>
          <w14:textFill>
            <w14:solidFill>
              <w14:schemeClr w14:val="tx1"/>
            </w14:solidFill>
          </w14:textFill>
        </w:rPr>
        <w:t>区域矿产</w:t>
      </w:r>
      <w:bookmarkEnd w:id="522"/>
      <w:bookmarkEnd w:id="523"/>
      <w:bookmarkEnd w:id="524"/>
      <w:bookmarkEnd w:id="525"/>
      <w:bookmarkEnd w:id="526"/>
      <w:bookmarkEnd w:id="527"/>
      <w:bookmarkEnd w:id="528"/>
      <w:bookmarkEnd w:id="529"/>
      <w:bookmarkEnd w:id="530"/>
    </w:p>
    <w:p w14:paraId="61BFDA3A">
      <w:pPr>
        <w:ind w:left="20" w:leftChars="7" w:firstLine="560"/>
        <w:rPr>
          <w:color w:val="000000" w:themeColor="text1"/>
          <w:szCs w:val="28"/>
          <w14:textFill>
            <w14:solidFill>
              <w14:schemeClr w14:val="tx1"/>
            </w14:solidFill>
          </w14:textFill>
        </w:rPr>
      </w:pPr>
      <w:bookmarkStart w:id="531" w:name="_Toc29406"/>
      <w:bookmarkStart w:id="532" w:name="_Toc25543"/>
      <w:bookmarkStart w:id="533" w:name="_Toc1720"/>
      <w:bookmarkStart w:id="534" w:name="_Toc2818"/>
      <w:bookmarkStart w:id="535" w:name="_Toc18291"/>
      <w:bookmarkStart w:id="536" w:name="_Toc11358"/>
      <w:bookmarkStart w:id="537" w:name="_Toc27420"/>
      <w:bookmarkStart w:id="538" w:name="_Toc18787"/>
      <w:bookmarkStart w:id="539" w:name="_Toc13251"/>
      <w:bookmarkStart w:id="540" w:name="_Toc28218"/>
      <w:r>
        <w:rPr>
          <w:rFonts w:hint="eastAsia" w:ascii="宋体" w:hAnsi="宋体" w:cs="宋体"/>
          <w:color w:val="000000" w:themeColor="text1"/>
          <w:szCs w:val="28"/>
          <w14:textFill>
            <w14:solidFill>
              <w14:schemeClr w14:val="tx1"/>
            </w14:solidFill>
          </w14:textFill>
        </w:rPr>
        <w:t>区内矿产资源比较丰富，具有开发价值矿种有煤、铜、铁、锰、金、硅、锑、铅、铝、滑石、天然瓷土、建筑用灰岩等，矿产开发已成为发展地方经济的重要产业</w:t>
      </w:r>
      <w:r>
        <w:rPr>
          <w:color w:val="000000" w:themeColor="text1"/>
          <w:szCs w:val="28"/>
          <w14:textFill>
            <w14:solidFill>
              <w14:schemeClr w14:val="tx1"/>
            </w14:solidFill>
          </w14:textFill>
        </w:rPr>
        <w:t>。</w:t>
      </w:r>
    </w:p>
    <w:p w14:paraId="1823CC59">
      <w:pPr>
        <w:pStyle w:val="5"/>
        <w:spacing w:after="120"/>
        <w:rPr>
          <w:color w:val="000000" w:themeColor="text1"/>
          <w14:textFill>
            <w14:solidFill>
              <w14:schemeClr w14:val="tx1"/>
            </w14:solidFill>
          </w14:textFill>
        </w:rPr>
      </w:pPr>
      <w:bookmarkStart w:id="541" w:name="_Toc215070151"/>
      <w:r>
        <w:rPr>
          <w:rFonts w:hint="eastAsia"/>
          <w:color w:val="000000" w:themeColor="text1"/>
          <w14:textFill>
            <w14:solidFill>
              <w14:schemeClr w14:val="tx1"/>
            </w14:solidFill>
          </w14:textFill>
        </w:rPr>
        <w:t>2.</w:t>
      </w:r>
      <w:r>
        <w:rPr>
          <w:color w:val="000000" w:themeColor="text1"/>
          <w14:textFill>
            <w14:solidFill>
              <w14:schemeClr w14:val="tx1"/>
            </w14:solidFill>
          </w14:textFill>
        </w:rPr>
        <w:t>3.2矿区地质</w:t>
      </w:r>
      <w:bookmarkEnd w:id="531"/>
      <w:bookmarkEnd w:id="532"/>
      <w:bookmarkEnd w:id="533"/>
      <w:bookmarkEnd w:id="534"/>
      <w:bookmarkEnd w:id="535"/>
      <w:bookmarkEnd w:id="536"/>
      <w:bookmarkEnd w:id="537"/>
      <w:bookmarkEnd w:id="538"/>
      <w:bookmarkEnd w:id="539"/>
      <w:bookmarkEnd w:id="540"/>
      <w:bookmarkEnd w:id="541"/>
    </w:p>
    <w:p w14:paraId="30632DAD">
      <w:pPr>
        <w:pStyle w:val="6"/>
        <w:spacing w:before="120" w:after="120"/>
        <w:rPr>
          <w:color w:val="000000" w:themeColor="text1"/>
          <w14:textFill>
            <w14:solidFill>
              <w14:schemeClr w14:val="tx1"/>
            </w14:solidFill>
          </w14:textFill>
        </w:rPr>
      </w:pPr>
      <w:bookmarkStart w:id="542" w:name="_Toc10842"/>
      <w:bookmarkStart w:id="543" w:name="_Toc14598"/>
      <w:bookmarkStart w:id="544" w:name="_Toc28480"/>
      <w:bookmarkStart w:id="545" w:name="_Toc5422"/>
      <w:bookmarkStart w:id="546" w:name="_Toc25451"/>
      <w:bookmarkStart w:id="547" w:name="_Toc6256"/>
      <w:bookmarkStart w:id="548" w:name="_Toc6029"/>
      <w:bookmarkStart w:id="549" w:name="_Toc19255"/>
      <w:bookmarkStart w:id="550" w:name="_Toc30767"/>
      <w:bookmarkStart w:id="551" w:name="_Toc215070152"/>
      <w:r>
        <w:rPr>
          <w:rFonts w:hint="eastAsia"/>
          <w:color w:val="000000" w:themeColor="text1"/>
          <w14:textFill>
            <w14:solidFill>
              <w14:schemeClr w14:val="tx1"/>
            </w14:solidFill>
          </w14:textFill>
        </w:rPr>
        <w:t>2.</w:t>
      </w:r>
      <w:r>
        <w:rPr>
          <w:color w:val="000000" w:themeColor="text1"/>
          <w14:textFill>
            <w14:solidFill>
              <w14:schemeClr w14:val="tx1"/>
            </w14:solidFill>
          </w14:textFill>
        </w:rPr>
        <w:t>3.2.1地层</w:t>
      </w:r>
      <w:bookmarkEnd w:id="542"/>
      <w:bookmarkEnd w:id="543"/>
      <w:bookmarkEnd w:id="544"/>
      <w:bookmarkEnd w:id="545"/>
      <w:bookmarkEnd w:id="546"/>
      <w:bookmarkEnd w:id="547"/>
      <w:bookmarkEnd w:id="548"/>
      <w:bookmarkEnd w:id="549"/>
      <w:bookmarkEnd w:id="550"/>
      <w:bookmarkEnd w:id="551"/>
    </w:p>
    <w:p w14:paraId="67DC1A4A">
      <w:pPr>
        <w:pStyle w:val="43"/>
        <w:snapToGrid w:val="0"/>
        <w:spacing w:after="0" w:line="360" w:lineRule="auto"/>
        <w:ind w:firstLine="280"/>
        <w:rPr>
          <w:color w:val="000000" w:themeColor="text1"/>
          <w:sz w:val="28"/>
          <w:szCs w:val="28"/>
          <w14:textFill>
            <w14:solidFill>
              <w14:schemeClr w14:val="tx1"/>
            </w14:solidFill>
          </w14:textFill>
        </w:rPr>
      </w:pPr>
      <w:bookmarkStart w:id="552" w:name="_Toc7631"/>
      <w:bookmarkStart w:id="553" w:name="_Toc14513"/>
      <w:bookmarkStart w:id="554" w:name="_Toc17763"/>
      <w:bookmarkStart w:id="555" w:name="_Toc26378"/>
      <w:bookmarkStart w:id="556" w:name="_Toc2671"/>
      <w:bookmarkStart w:id="557" w:name="_Toc12175"/>
      <w:bookmarkStart w:id="558" w:name="_Toc7736"/>
      <w:bookmarkStart w:id="559" w:name="_Toc17833"/>
      <w:bookmarkStart w:id="560" w:name="_Toc14872"/>
      <w:r>
        <w:rPr>
          <w:color w:val="000000" w:themeColor="text1"/>
          <w:sz w:val="28"/>
          <w:szCs w:val="28"/>
          <w14:textFill>
            <w14:solidFill>
              <w14:schemeClr w14:val="tx1"/>
            </w14:solidFill>
          </w14:textFill>
        </w:rPr>
        <w:t>矿区范围内地层出露地层简单，构造条件简单，无断层通过，无岩浆岩出露，无变质作用矿区地层简单，主要为二叠系上统吴家坪组地层（P</w:t>
      </w:r>
      <w:r>
        <w:rPr>
          <w:color w:val="000000" w:themeColor="text1"/>
          <w:sz w:val="28"/>
          <w:szCs w:val="28"/>
          <w:vertAlign w:val="subscript"/>
          <w14:textFill>
            <w14:solidFill>
              <w14:schemeClr w14:val="tx1"/>
            </w14:solidFill>
          </w14:textFill>
        </w:rPr>
        <w:t>2</w:t>
      </w:r>
      <w:r>
        <w:rPr>
          <w:color w:val="000000" w:themeColor="text1"/>
          <w:sz w:val="28"/>
          <w:szCs w:val="28"/>
          <w14:textFill>
            <w14:solidFill>
              <w14:schemeClr w14:val="tx1"/>
            </w14:solidFill>
          </w14:textFill>
        </w:rPr>
        <w:t>w），但除在陡坡上或地形较低处出露外，大部分地段被第四系坡残积层（Q</w:t>
      </w:r>
      <w:r>
        <w:rPr>
          <w:color w:val="000000" w:themeColor="text1"/>
          <w:sz w:val="28"/>
          <w:szCs w:val="28"/>
          <w:vertAlign w:val="superscript"/>
          <w14:textFill>
            <w14:solidFill>
              <w14:schemeClr w14:val="tx1"/>
            </w14:solidFill>
          </w14:textFill>
        </w:rPr>
        <w:t>el+dl</w:t>
      </w:r>
      <w:r>
        <w:rPr>
          <w:color w:val="000000" w:themeColor="text1"/>
          <w:sz w:val="28"/>
          <w:szCs w:val="28"/>
          <w14:textFill>
            <w14:solidFill>
              <w14:schemeClr w14:val="tx1"/>
            </w14:solidFill>
          </w14:textFill>
        </w:rPr>
        <w:t>）覆盖，从新至老描述如下：</w:t>
      </w:r>
    </w:p>
    <w:p w14:paraId="01E97DED">
      <w:pPr>
        <w:pStyle w:val="43"/>
        <w:snapToGrid w:val="0"/>
        <w:spacing w:after="0" w:line="360" w:lineRule="auto"/>
        <w:ind w:firstLine="2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（1）第四系坡残积层（Q</w:t>
      </w:r>
      <w:r>
        <w:rPr>
          <w:color w:val="000000" w:themeColor="text1"/>
          <w:sz w:val="28"/>
          <w:szCs w:val="28"/>
          <w:vertAlign w:val="superscript"/>
          <w14:textFill>
            <w14:solidFill>
              <w14:schemeClr w14:val="tx1"/>
            </w14:solidFill>
          </w14:textFill>
        </w:rPr>
        <w:t>el+dl</w:t>
      </w:r>
      <w:r>
        <w:rPr>
          <w:color w:val="000000" w:themeColor="text1"/>
          <w:sz w:val="28"/>
          <w:szCs w:val="28"/>
          <w14:textFill>
            <w14:solidFill>
              <w14:schemeClr w14:val="tx1"/>
            </w14:solidFill>
          </w14:textFill>
        </w:rPr>
        <w:t>）</w:t>
      </w:r>
    </w:p>
    <w:p w14:paraId="759095EE">
      <w:pPr>
        <w:pStyle w:val="43"/>
        <w:snapToGrid w:val="0"/>
        <w:spacing w:after="0" w:line="360" w:lineRule="auto"/>
        <w:ind w:firstLine="2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第四系坡残积层（Q</w:t>
      </w:r>
      <w:r>
        <w:rPr>
          <w:color w:val="000000" w:themeColor="text1"/>
          <w:sz w:val="28"/>
          <w:szCs w:val="28"/>
          <w:vertAlign w:val="superscript"/>
          <w14:textFill>
            <w14:solidFill>
              <w14:schemeClr w14:val="tx1"/>
            </w14:solidFill>
          </w14:textFill>
        </w:rPr>
        <w:t>el+dl</w:t>
      </w:r>
      <w:r>
        <w:rPr>
          <w:color w:val="000000" w:themeColor="text1"/>
          <w:sz w:val="28"/>
          <w:szCs w:val="28"/>
          <w14:textFill>
            <w14:solidFill>
              <w14:schemeClr w14:val="tx1"/>
            </w14:solidFill>
          </w14:textFill>
        </w:rPr>
        <w:t>）：褐红色、红褐色粘土，可塑～硬塑状态，矿区一带普遍分布，直接覆盖在矿层之上，平均厚度为2m。与二叠系上统吴家坪组（P</w:t>
      </w:r>
      <w:r>
        <w:rPr>
          <w:color w:val="000000" w:themeColor="text1"/>
          <w:sz w:val="28"/>
          <w:szCs w:val="28"/>
          <w:vertAlign w:val="subscript"/>
          <w14:textFill>
            <w14:solidFill>
              <w14:schemeClr w14:val="tx1"/>
            </w14:solidFill>
          </w14:textFill>
        </w:rPr>
        <w:t>2</w:t>
      </w:r>
      <w:r>
        <w:rPr>
          <w:color w:val="000000" w:themeColor="text1"/>
          <w:sz w:val="28"/>
          <w:szCs w:val="28"/>
          <w14:textFill>
            <w14:solidFill>
              <w14:schemeClr w14:val="tx1"/>
            </w14:solidFill>
          </w14:textFill>
        </w:rPr>
        <w:t>w）地层呈不整合接触。</w:t>
      </w:r>
    </w:p>
    <w:p w14:paraId="46D4CB71">
      <w:pPr>
        <w:pStyle w:val="43"/>
        <w:snapToGrid w:val="0"/>
        <w:spacing w:after="0" w:line="360" w:lineRule="auto"/>
        <w:ind w:firstLine="2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（2）二叠系上统吴家坪组（P</w:t>
      </w:r>
      <w:r>
        <w:rPr>
          <w:color w:val="000000" w:themeColor="text1"/>
          <w:sz w:val="28"/>
          <w:szCs w:val="28"/>
          <w:vertAlign w:val="subscript"/>
          <w14:textFill>
            <w14:solidFill>
              <w14:schemeClr w14:val="tx1"/>
            </w14:solidFill>
          </w14:textFill>
        </w:rPr>
        <w:t>2</w:t>
      </w:r>
      <w:r>
        <w:rPr>
          <w:color w:val="000000" w:themeColor="text1"/>
          <w:sz w:val="28"/>
          <w:szCs w:val="28"/>
          <w14:textFill>
            <w14:solidFill>
              <w14:schemeClr w14:val="tx1"/>
            </w14:solidFill>
          </w14:textFill>
        </w:rPr>
        <w:t>w）</w:t>
      </w:r>
    </w:p>
    <w:p w14:paraId="6C8D81E5">
      <w:pPr>
        <w:pStyle w:val="43"/>
        <w:snapToGrid w:val="0"/>
        <w:spacing w:after="0" w:line="360" w:lineRule="auto"/>
        <w:ind w:firstLine="2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二叠系上统玄吴家坪组（P</w:t>
      </w:r>
      <w:r>
        <w:rPr>
          <w:color w:val="000000" w:themeColor="text1"/>
          <w:sz w:val="28"/>
          <w:szCs w:val="28"/>
          <w:vertAlign w:val="subscript"/>
          <w14:textFill>
            <w14:solidFill>
              <w14:schemeClr w14:val="tx1"/>
            </w14:solidFill>
          </w14:textFill>
        </w:rPr>
        <w:t>2</w:t>
      </w:r>
      <w:r>
        <w:rPr>
          <w:color w:val="000000" w:themeColor="text1"/>
          <w:sz w:val="28"/>
          <w:szCs w:val="28"/>
          <w14:textFill>
            <w14:solidFill>
              <w14:schemeClr w14:val="tx1"/>
            </w14:solidFill>
          </w14:textFill>
        </w:rPr>
        <w:t>w）：灰色厚层—块状灰岩，岩石块状致密坚硬，平均厚度一般118～266.1m，可见厚度大于130m。地层产状175°∠36°本层为矿区赋矿层，是较好的普通建筑用石料，为矿山开采对象。</w:t>
      </w:r>
    </w:p>
    <w:p w14:paraId="0BBD11D9">
      <w:pPr>
        <w:pStyle w:val="6"/>
        <w:spacing w:before="120" w:after="120"/>
        <w:rPr>
          <w:color w:val="000000" w:themeColor="text1"/>
          <w14:textFill>
            <w14:solidFill>
              <w14:schemeClr w14:val="tx1"/>
            </w14:solidFill>
          </w14:textFill>
        </w:rPr>
      </w:pPr>
      <w:bookmarkStart w:id="561" w:name="_Toc215070153"/>
      <w:r>
        <w:rPr>
          <w:rFonts w:hint="eastAsia"/>
          <w:color w:val="000000" w:themeColor="text1"/>
          <w14:textFill>
            <w14:solidFill>
              <w14:schemeClr w14:val="tx1"/>
            </w14:solidFill>
          </w14:textFill>
        </w:rPr>
        <w:t>2.</w:t>
      </w:r>
      <w:r>
        <w:rPr>
          <w:color w:val="000000" w:themeColor="text1"/>
          <w14:textFill>
            <w14:solidFill>
              <w14:schemeClr w14:val="tx1"/>
            </w14:solidFill>
          </w14:textFill>
        </w:rPr>
        <w:t>3.2.2构造</w:t>
      </w:r>
      <w:bookmarkEnd w:id="552"/>
      <w:bookmarkEnd w:id="553"/>
      <w:bookmarkEnd w:id="554"/>
      <w:bookmarkEnd w:id="555"/>
      <w:bookmarkEnd w:id="556"/>
      <w:bookmarkEnd w:id="557"/>
      <w:bookmarkEnd w:id="558"/>
      <w:bookmarkEnd w:id="559"/>
      <w:bookmarkEnd w:id="560"/>
      <w:bookmarkEnd w:id="561"/>
    </w:p>
    <w:p w14:paraId="6F627BC9">
      <w:pPr>
        <w:snapToGrid w:val="0"/>
        <w:ind w:firstLine="560"/>
        <w:jc w:val="both"/>
        <w:rPr>
          <w:color w:val="000000" w:themeColor="text1"/>
          <w:szCs w:val="28"/>
          <w14:textFill>
            <w14:solidFill>
              <w14:schemeClr w14:val="tx1"/>
            </w14:solidFill>
          </w14:textFill>
        </w:rPr>
      </w:pPr>
      <w:bookmarkStart w:id="562" w:name="_Toc13699"/>
      <w:bookmarkStart w:id="563" w:name="_Toc23871"/>
      <w:bookmarkStart w:id="564" w:name="_Toc12260"/>
      <w:bookmarkStart w:id="565" w:name="_Toc13094"/>
      <w:bookmarkStart w:id="566" w:name="_Toc14883"/>
      <w:bookmarkStart w:id="567" w:name="_Toc20211"/>
      <w:bookmarkStart w:id="568" w:name="_Toc22267"/>
      <w:bookmarkStart w:id="569" w:name="_Toc285"/>
      <w:bookmarkStart w:id="570" w:name="_Toc23713"/>
      <w:bookmarkStart w:id="571" w:name="_Toc7402"/>
      <w:r>
        <w:rPr>
          <w:color w:val="000000" w:themeColor="text1"/>
          <w:szCs w:val="28"/>
          <w14:textFill>
            <w14:solidFill>
              <w14:schemeClr w14:val="tx1"/>
            </w14:solidFill>
          </w14:textFill>
        </w:rPr>
        <w:t>矿区地层呈单斜层状产出，分布稳定，形态简单，区内断层不发育，无褶皱构造。</w:t>
      </w:r>
    </w:p>
    <w:p w14:paraId="3033B293">
      <w:pPr>
        <w:pStyle w:val="5"/>
        <w:spacing w:after="120"/>
        <w:rPr>
          <w:color w:val="000000" w:themeColor="text1"/>
          <w14:textFill>
            <w14:solidFill>
              <w14:schemeClr w14:val="tx1"/>
            </w14:solidFill>
          </w14:textFill>
        </w:rPr>
      </w:pPr>
      <w:bookmarkStart w:id="572" w:name="_Toc215070154"/>
      <w:r>
        <w:rPr>
          <w:rFonts w:hint="eastAsia"/>
          <w:color w:val="000000" w:themeColor="text1"/>
          <w14:textFill>
            <w14:solidFill>
              <w14:schemeClr w14:val="tx1"/>
            </w14:solidFill>
          </w14:textFill>
        </w:rPr>
        <w:t>2.</w:t>
      </w:r>
      <w:r>
        <w:rPr>
          <w:color w:val="000000" w:themeColor="text1"/>
          <w14:textFill>
            <w14:solidFill>
              <w14:schemeClr w14:val="tx1"/>
            </w14:solidFill>
          </w14:textFill>
        </w:rPr>
        <w:t>3.3矿体（层）地质</w:t>
      </w:r>
      <w:bookmarkEnd w:id="562"/>
      <w:bookmarkEnd w:id="563"/>
      <w:bookmarkEnd w:id="564"/>
      <w:bookmarkEnd w:id="565"/>
      <w:bookmarkEnd w:id="566"/>
      <w:bookmarkEnd w:id="567"/>
      <w:bookmarkEnd w:id="568"/>
      <w:bookmarkEnd w:id="569"/>
      <w:bookmarkEnd w:id="570"/>
      <w:bookmarkEnd w:id="571"/>
      <w:bookmarkEnd w:id="572"/>
    </w:p>
    <w:p w14:paraId="4A568240">
      <w:pPr>
        <w:pStyle w:val="6"/>
        <w:spacing w:before="120" w:after="120"/>
        <w:rPr>
          <w:color w:val="000000" w:themeColor="text1"/>
          <w14:textFill>
            <w14:solidFill>
              <w14:schemeClr w14:val="tx1"/>
            </w14:solidFill>
          </w14:textFill>
        </w:rPr>
      </w:pPr>
      <w:bookmarkStart w:id="573" w:name="_Toc26567"/>
      <w:bookmarkStart w:id="574" w:name="_Toc1596"/>
      <w:bookmarkStart w:id="575" w:name="_Toc12875"/>
      <w:bookmarkStart w:id="576" w:name="_Toc23587"/>
      <w:bookmarkStart w:id="577" w:name="_Toc26980"/>
      <w:bookmarkStart w:id="578" w:name="_Toc28430"/>
      <w:bookmarkStart w:id="579" w:name="_Toc17712"/>
      <w:bookmarkStart w:id="580" w:name="_Toc16881"/>
      <w:bookmarkStart w:id="581" w:name="_Toc215070155"/>
      <w:r>
        <w:rPr>
          <w:rFonts w:hint="eastAsia"/>
          <w:color w:val="000000" w:themeColor="text1"/>
          <w14:textFill>
            <w14:solidFill>
              <w14:schemeClr w14:val="tx1"/>
            </w14:solidFill>
          </w14:textFill>
        </w:rPr>
        <w:t>2.</w:t>
      </w:r>
      <w:r>
        <w:rPr>
          <w:color w:val="000000" w:themeColor="text1"/>
          <w14:textFill>
            <w14:solidFill>
              <w14:schemeClr w14:val="tx1"/>
            </w14:solidFill>
          </w14:textFill>
        </w:rPr>
        <w:t>3.3.1矿体（层）特征</w:t>
      </w:r>
      <w:bookmarkEnd w:id="573"/>
      <w:bookmarkEnd w:id="574"/>
      <w:bookmarkEnd w:id="575"/>
      <w:bookmarkEnd w:id="576"/>
      <w:bookmarkEnd w:id="577"/>
      <w:bookmarkEnd w:id="578"/>
      <w:bookmarkEnd w:id="579"/>
      <w:bookmarkEnd w:id="580"/>
      <w:bookmarkEnd w:id="581"/>
    </w:p>
    <w:p w14:paraId="73CFAAB6">
      <w:pPr>
        <w:snapToGrid w:val="0"/>
        <w:ind w:firstLine="560"/>
        <w:jc w:val="both"/>
        <w:rPr>
          <w:color w:val="000000" w:themeColor="text1"/>
          <w:szCs w:val="28"/>
          <w14:textFill>
            <w14:solidFill>
              <w14:schemeClr w14:val="tx1"/>
            </w14:solidFill>
          </w14:textFill>
        </w:rPr>
      </w:pPr>
      <w:bookmarkStart w:id="582" w:name="_Hlk178250279"/>
      <w:bookmarkStart w:id="583" w:name="_Hlk178253650"/>
      <w:bookmarkStart w:id="584" w:name="_Toc14754"/>
      <w:bookmarkStart w:id="585" w:name="_Toc17374"/>
      <w:bookmarkStart w:id="586" w:name="_Toc24722"/>
      <w:bookmarkStart w:id="587" w:name="_Toc23099"/>
      <w:bookmarkStart w:id="588" w:name="_Toc3764"/>
      <w:bookmarkStart w:id="589" w:name="_Toc69"/>
      <w:bookmarkStart w:id="590" w:name="_Toc23838"/>
      <w:r>
        <w:rPr>
          <w:color w:val="000000" w:themeColor="text1"/>
          <w:szCs w:val="28"/>
          <w14:textFill>
            <w14:solidFill>
              <w14:schemeClr w14:val="tx1"/>
            </w14:solidFill>
          </w14:textFill>
        </w:rPr>
        <w:t>矿体赋存于二叠系上统吴家坪组（P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地层中，呈单斜层状产出，产状175°∠36°，矿区及附近出露长度大于700m，宽度大于300m，厚度大于50m，产出较为稳定。矿床规模属小型。矿体直接出露于地表，露头良好，表面风化强；矿层之上有少量零星第四系残坡积粘土、粉砂质粘土分布，矿体下部未能完全控制。</w:t>
      </w:r>
    </w:p>
    <w:bookmarkEnd w:id="582"/>
    <w:bookmarkEnd w:id="583"/>
    <w:p w14:paraId="00D503AE">
      <w:pPr>
        <w:pStyle w:val="6"/>
        <w:spacing w:before="120" w:after="120"/>
        <w:rPr>
          <w:color w:val="000000" w:themeColor="text1"/>
          <w14:textFill>
            <w14:solidFill>
              <w14:schemeClr w14:val="tx1"/>
            </w14:solidFill>
          </w14:textFill>
        </w:rPr>
      </w:pPr>
      <w:bookmarkStart w:id="591" w:name="_Toc215070156"/>
      <w:r>
        <w:rPr>
          <w:rFonts w:hint="eastAsia"/>
          <w:color w:val="000000" w:themeColor="text1"/>
          <w14:textFill>
            <w14:solidFill>
              <w14:schemeClr w14:val="tx1"/>
            </w14:solidFill>
          </w14:textFill>
        </w:rPr>
        <w:t>2.</w:t>
      </w:r>
      <w:r>
        <w:rPr>
          <w:color w:val="000000" w:themeColor="text1"/>
          <w14:textFill>
            <w14:solidFill>
              <w14:schemeClr w14:val="tx1"/>
            </w14:solidFill>
          </w14:textFill>
        </w:rPr>
        <w:t>3.3.2矿石质量</w:t>
      </w:r>
      <w:bookmarkEnd w:id="584"/>
      <w:bookmarkEnd w:id="585"/>
      <w:bookmarkEnd w:id="586"/>
      <w:bookmarkEnd w:id="587"/>
      <w:bookmarkEnd w:id="588"/>
      <w:bookmarkEnd w:id="589"/>
      <w:bookmarkEnd w:id="590"/>
      <w:bookmarkEnd w:id="591"/>
    </w:p>
    <w:p w14:paraId="06FACB8F">
      <w:pPr>
        <w:ind w:firstLine="560"/>
        <w:rPr>
          <w:rFonts w:hint="eastAsia" w:ascii="宋体" w:hAnsi="宋体"/>
          <w:color w:val="000000" w:themeColor="text1"/>
          <w:szCs w:val="28"/>
          <w14:textFill>
            <w14:solidFill>
              <w14:schemeClr w14:val="tx1"/>
            </w14:solidFill>
          </w14:textFill>
        </w:rPr>
      </w:pPr>
      <w:bookmarkStart w:id="592" w:name="_Toc19294"/>
      <w:bookmarkStart w:id="593" w:name="_Toc1002"/>
      <w:bookmarkStart w:id="594" w:name="_Toc10068"/>
      <w:bookmarkStart w:id="595" w:name="_Toc11311"/>
      <w:bookmarkStart w:id="596" w:name="_Toc8644"/>
      <w:r>
        <w:rPr>
          <w:rFonts w:hint="eastAsia" w:ascii="宋体" w:hAnsi="宋体"/>
          <w:color w:val="000000" w:themeColor="text1"/>
          <w:szCs w:val="28"/>
          <w14:textFill>
            <w14:solidFill>
              <w14:schemeClr w14:val="tx1"/>
            </w14:solidFill>
          </w14:textFill>
        </w:rPr>
        <w:t>1、</w:t>
      </w:r>
      <w:r>
        <w:rPr>
          <w:rFonts w:ascii="宋体" w:hAnsi="宋体"/>
          <w:color w:val="000000" w:themeColor="text1"/>
          <w:szCs w:val="28"/>
          <w14:textFill>
            <w14:solidFill>
              <w14:schemeClr w14:val="tx1"/>
            </w14:solidFill>
          </w14:textFill>
        </w:rPr>
        <w:t>矿石矿物组成</w:t>
      </w:r>
      <w:bookmarkEnd w:id="592"/>
      <w:bookmarkEnd w:id="593"/>
      <w:bookmarkEnd w:id="594"/>
      <w:bookmarkEnd w:id="595"/>
      <w:bookmarkEnd w:id="596"/>
    </w:p>
    <w:p w14:paraId="5E5FD9E8">
      <w:pPr>
        <w:ind w:left="560" w:firstLine="0" w:firstLineChars="0"/>
        <w:rPr>
          <w:rFonts w:hint="eastAsia" w:ascii="宋体" w:hAnsi="宋体"/>
          <w:bCs/>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该矿床为碳酸盐岩沉积矿床，主要矿石成分以方解石为主，含少量白云石及微量生物碎屑等。是良好的建筑材料。</w:t>
      </w:r>
    </w:p>
    <w:p w14:paraId="1E377E06">
      <w:pPr>
        <w:ind w:firstLine="560"/>
        <w:rPr>
          <w:rFonts w:hint="eastAsia" w:ascii="宋体" w:hAnsi="宋体"/>
          <w:color w:val="000000" w:themeColor="text1"/>
          <w:szCs w:val="28"/>
          <w14:textFill>
            <w14:solidFill>
              <w14:schemeClr w14:val="tx1"/>
            </w14:solidFill>
          </w14:textFill>
        </w:rPr>
      </w:pPr>
      <w:bookmarkStart w:id="597" w:name="_Toc16887"/>
      <w:bookmarkStart w:id="598" w:name="_Toc10690"/>
      <w:bookmarkStart w:id="599" w:name="_Toc22751"/>
      <w:bookmarkStart w:id="600" w:name="_Toc29240"/>
      <w:bookmarkStart w:id="601" w:name="_Toc4684"/>
      <w:r>
        <w:rPr>
          <w:rFonts w:hint="eastAsia" w:ascii="宋体" w:hAnsi="宋体"/>
          <w:color w:val="000000" w:themeColor="text1"/>
          <w:szCs w:val="28"/>
          <w14:textFill>
            <w14:solidFill>
              <w14:schemeClr w14:val="tx1"/>
            </w14:solidFill>
          </w14:textFill>
        </w:rPr>
        <w:t>2、</w:t>
      </w:r>
      <w:r>
        <w:rPr>
          <w:rFonts w:ascii="宋体" w:hAnsi="宋体"/>
          <w:color w:val="000000" w:themeColor="text1"/>
          <w:szCs w:val="28"/>
          <w14:textFill>
            <w14:solidFill>
              <w14:schemeClr w14:val="tx1"/>
            </w14:solidFill>
          </w14:textFill>
        </w:rPr>
        <w:t>矿石结构构造</w:t>
      </w:r>
      <w:bookmarkEnd w:id="597"/>
      <w:bookmarkEnd w:id="598"/>
      <w:bookmarkEnd w:id="599"/>
      <w:bookmarkEnd w:id="600"/>
      <w:bookmarkEnd w:id="601"/>
    </w:p>
    <w:p w14:paraId="51EA7B27">
      <w:pPr>
        <w:ind w:left="560" w:firstLine="0" w:firstLineChars="0"/>
        <w:rPr>
          <w:rFonts w:hint="eastAsia" w:ascii="宋体" w:hAnsi="宋体"/>
          <w:b/>
          <w:bCs/>
          <w:color w:val="000000" w:themeColor="text1"/>
          <w:szCs w:val="28"/>
          <w14:textFill>
            <w14:solidFill>
              <w14:schemeClr w14:val="tx1"/>
            </w14:solidFill>
          </w14:textFill>
        </w:rPr>
      </w:pPr>
      <w:bookmarkStart w:id="602" w:name="_Toc13074"/>
      <w:bookmarkStart w:id="603" w:name="_Toc28794"/>
      <w:bookmarkStart w:id="604" w:name="_Toc14389"/>
      <w:bookmarkStart w:id="605" w:name="_Toc7323"/>
      <w:r>
        <w:rPr>
          <w:rFonts w:ascii="宋体" w:hAnsi="宋体"/>
          <w:color w:val="000000" w:themeColor="text1"/>
          <w:szCs w:val="28"/>
          <w14:textFill>
            <w14:solidFill>
              <w14:schemeClr w14:val="tx1"/>
            </w14:solidFill>
          </w14:textFill>
        </w:rPr>
        <w:t>矿石中方解石及石灰石矿石具微晶-细晶结构，厚层构造。</w:t>
      </w:r>
    </w:p>
    <w:p w14:paraId="2B83723E">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3、</w:t>
      </w:r>
      <w:r>
        <w:rPr>
          <w:rFonts w:ascii="宋体" w:hAnsi="宋体"/>
          <w:color w:val="000000" w:themeColor="text1"/>
          <w:szCs w:val="28"/>
          <w14:textFill>
            <w14:solidFill>
              <w14:schemeClr w14:val="tx1"/>
            </w14:solidFill>
          </w14:textFill>
        </w:rPr>
        <w:t>矿石化学成分</w:t>
      </w:r>
      <w:bookmarkEnd w:id="602"/>
      <w:bookmarkEnd w:id="603"/>
      <w:bookmarkEnd w:id="604"/>
      <w:bookmarkEnd w:id="605"/>
    </w:p>
    <w:p w14:paraId="6CC27DA7">
      <w:pPr>
        <w:snapToGrid w:val="0"/>
        <w:ind w:firstLine="560"/>
        <w:jc w:val="both"/>
        <w:rPr>
          <w:rFonts w:hint="eastAsia" w:ascii="宋体" w:hAnsi="宋体"/>
          <w:color w:val="000000" w:themeColor="text1"/>
          <w:szCs w:val="28"/>
          <w14:textFill>
            <w14:solidFill>
              <w14:schemeClr w14:val="tx1"/>
            </w14:solidFill>
          </w14:textFill>
        </w:rPr>
      </w:pPr>
      <w:bookmarkStart w:id="606" w:name="_Hlk178250403"/>
      <w:bookmarkStart w:id="607" w:name="_Toc24609"/>
      <w:bookmarkStart w:id="608" w:name="_Toc17236"/>
      <w:bookmarkStart w:id="609" w:name="_Toc3487"/>
      <w:bookmarkStart w:id="610" w:name="_Toc31415"/>
      <w:bookmarkStart w:id="611" w:name="_Toc746"/>
      <w:r>
        <w:rPr>
          <w:rFonts w:ascii="宋体" w:hAnsi="宋体"/>
          <w:color w:val="000000" w:themeColor="text1"/>
          <w:szCs w:val="28"/>
          <w14:textFill>
            <w14:solidFill>
              <w14:schemeClr w14:val="tx1"/>
            </w14:solidFill>
          </w14:textFill>
        </w:rPr>
        <w:t>未</w:t>
      </w:r>
      <w:r>
        <w:rPr>
          <w:rFonts w:hint="eastAsia" w:ascii="宋体" w:hAnsi="宋体"/>
          <w:color w:val="000000" w:themeColor="text1"/>
          <w:szCs w:val="28"/>
          <w14:textFill>
            <w14:solidFill>
              <w14:schemeClr w14:val="tx1"/>
            </w14:solidFill>
          </w14:textFill>
        </w:rPr>
        <w:t>专门</w:t>
      </w:r>
      <w:r>
        <w:rPr>
          <w:rFonts w:ascii="宋体" w:hAnsi="宋体"/>
          <w:color w:val="000000" w:themeColor="text1"/>
          <w:szCs w:val="28"/>
          <w14:textFill>
            <w14:solidFill>
              <w14:schemeClr w14:val="tx1"/>
            </w14:solidFill>
          </w14:textFill>
        </w:rPr>
        <w:t>进行岩石化学分析试验，引用</w:t>
      </w:r>
      <w:r>
        <w:rPr>
          <w:rFonts w:hint="eastAsia" w:ascii="宋体" w:hAnsi="宋体"/>
          <w:color w:val="000000" w:themeColor="text1"/>
          <w:szCs w:val="28"/>
          <w14:textFill>
            <w14:solidFill>
              <w14:schemeClr w14:val="tx1"/>
            </w14:solidFill>
          </w14:textFill>
        </w:rPr>
        <w:t>矿山30万t/a露天采矿工程扩建项目初步设计中的资料</w:t>
      </w:r>
      <w:bookmarkEnd w:id="606"/>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化学成分为CaCO</w:t>
      </w:r>
      <w:r>
        <w:rPr>
          <w:rFonts w:ascii="宋体" w:hAnsi="宋体"/>
          <w:color w:val="000000" w:themeColor="text1"/>
          <w:szCs w:val="28"/>
          <w:vertAlign w:val="subscript"/>
          <w14:textFill>
            <w14:solidFill>
              <w14:schemeClr w14:val="tx1"/>
            </w14:solidFill>
          </w14:textFill>
        </w:rPr>
        <w:t>3</w:t>
      </w:r>
      <w:r>
        <w:rPr>
          <w:rFonts w:ascii="宋体" w:hAnsi="宋体"/>
          <w:color w:val="000000" w:themeColor="text1"/>
          <w:szCs w:val="28"/>
          <w14:textFill>
            <w14:solidFill>
              <w14:schemeClr w14:val="tx1"/>
            </w14:solidFill>
          </w14:textFill>
        </w:rPr>
        <w:t>，含量约94%，其次矿石MaO含量3%，SiO</w:t>
      </w:r>
      <w:r>
        <w:rPr>
          <w:rFonts w:ascii="宋体" w:hAnsi="宋体"/>
          <w:color w:val="000000" w:themeColor="text1"/>
          <w:szCs w:val="28"/>
          <w:vertAlign w:val="subscript"/>
          <w14:textFill>
            <w14:solidFill>
              <w14:schemeClr w14:val="tx1"/>
            </w14:solidFill>
          </w14:textFill>
        </w:rPr>
        <w:t>2</w:t>
      </w:r>
      <w:r>
        <w:rPr>
          <w:rFonts w:ascii="宋体" w:hAnsi="宋体"/>
          <w:color w:val="000000" w:themeColor="text1"/>
          <w:szCs w:val="28"/>
          <w14:textFill>
            <w14:solidFill>
              <w14:schemeClr w14:val="tx1"/>
            </w14:solidFill>
          </w14:textFill>
        </w:rPr>
        <w:t>含量2%，Fe</w:t>
      </w:r>
      <w:r>
        <w:rPr>
          <w:rFonts w:ascii="宋体" w:hAnsi="宋体"/>
          <w:color w:val="000000" w:themeColor="text1"/>
          <w:szCs w:val="28"/>
          <w:vertAlign w:val="subscript"/>
          <w14:textFill>
            <w14:solidFill>
              <w14:schemeClr w14:val="tx1"/>
            </w14:solidFill>
          </w14:textFill>
        </w:rPr>
        <w:t>2</w:t>
      </w:r>
      <w:r>
        <w:rPr>
          <w:rFonts w:ascii="宋体" w:hAnsi="宋体"/>
          <w:color w:val="000000" w:themeColor="text1"/>
          <w:szCs w:val="28"/>
          <w14:textFill>
            <w14:solidFill>
              <w14:schemeClr w14:val="tx1"/>
            </w14:solidFill>
          </w14:textFill>
        </w:rPr>
        <w:t>O</w:t>
      </w:r>
      <w:r>
        <w:rPr>
          <w:rFonts w:ascii="宋体" w:hAnsi="宋体"/>
          <w:color w:val="000000" w:themeColor="text1"/>
          <w:szCs w:val="28"/>
          <w:vertAlign w:val="subscript"/>
          <w14:textFill>
            <w14:solidFill>
              <w14:schemeClr w14:val="tx1"/>
            </w14:solidFill>
          </w14:textFill>
        </w:rPr>
        <w:t>3</w:t>
      </w:r>
      <w:r>
        <w:rPr>
          <w:rFonts w:ascii="宋体" w:hAnsi="宋体"/>
          <w:color w:val="000000" w:themeColor="text1"/>
          <w:szCs w:val="28"/>
          <w14:textFill>
            <w14:solidFill>
              <w14:schemeClr w14:val="tx1"/>
            </w14:solidFill>
          </w14:textFill>
        </w:rPr>
        <w:t>含量1%；矿石化学成</w:t>
      </w:r>
      <w:r>
        <w:rPr>
          <w:rFonts w:hint="eastAsia" w:ascii="宋体" w:hAnsi="宋体"/>
          <w:color w:val="000000" w:themeColor="text1"/>
          <w:szCs w:val="28"/>
          <w14:textFill>
            <w14:solidFill>
              <w14:schemeClr w14:val="tx1"/>
            </w14:solidFill>
          </w14:textFill>
        </w:rPr>
        <w:t>分</w:t>
      </w:r>
      <w:r>
        <w:rPr>
          <w:rFonts w:ascii="宋体" w:hAnsi="宋体"/>
          <w:color w:val="000000" w:themeColor="text1"/>
          <w:szCs w:val="28"/>
          <w14:textFill>
            <w14:solidFill>
              <w14:schemeClr w14:val="tx1"/>
            </w14:solidFill>
          </w14:textFill>
        </w:rPr>
        <w:t>稳定，岩石力学性质较好</w:t>
      </w:r>
    </w:p>
    <w:p w14:paraId="7C5B544B">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4、</w:t>
      </w:r>
      <w:r>
        <w:rPr>
          <w:rFonts w:ascii="宋体" w:hAnsi="宋体"/>
          <w:color w:val="000000" w:themeColor="text1"/>
          <w:szCs w:val="28"/>
          <w14:textFill>
            <w14:solidFill>
              <w14:schemeClr w14:val="tx1"/>
            </w14:solidFill>
          </w14:textFill>
        </w:rPr>
        <w:t>矿石物理力学性质</w:t>
      </w:r>
      <w:bookmarkEnd w:id="607"/>
      <w:bookmarkEnd w:id="608"/>
      <w:bookmarkEnd w:id="609"/>
      <w:bookmarkEnd w:id="610"/>
      <w:bookmarkEnd w:id="611"/>
    </w:p>
    <w:p w14:paraId="56BDBF59">
      <w:pPr>
        <w:snapToGrid w:val="0"/>
        <w:ind w:firstLine="560"/>
        <w:jc w:val="both"/>
        <w:rPr>
          <w:rFonts w:hint="eastAsia" w:ascii="宋体" w:hAnsi="宋体"/>
          <w:color w:val="000000" w:themeColor="text1"/>
          <w:szCs w:val="28"/>
          <w14:textFill>
            <w14:solidFill>
              <w14:schemeClr w14:val="tx1"/>
            </w14:solidFill>
          </w14:textFill>
        </w:rPr>
      </w:pPr>
      <w:bookmarkStart w:id="612" w:name="_Toc18910"/>
      <w:bookmarkStart w:id="613" w:name="_Toc19373"/>
      <w:bookmarkStart w:id="614" w:name="_Toc6372"/>
      <w:bookmarkStart w:id="615" w:name="_Toc7282"/>
      <w:bookmarkStart w:id="616" w:name="_Toc27163"/>
      <w:bookmarkStart w:id="617" w:name="_Toc16685"/>
      <w:bookmarkStart w:id="618" w:name="_Toc31139"/>
      <w:bookmarkStart w:id="619" w:name="_Toc27368"/>
      <w:bookmarkStart w:id="620" w:name="_Toc31510"/>
      <w:r>
        <w:rPr>
          <w:rFonts w:ascii="宋体" w:hAnsi="宋体"/>
          <w:color w:val="000000" w:themeColor="text1"/>
          <w:szCs w:val="28"/>
          <w14:textFill>
            <w14:solidFill>
              <w14:schemeClr w14:val="tx1"/>
            </w14:solidFill>
          </w14:textFill>
        </w:rPr>
        <w:t>参照开采同类矿体的邻近矿山资料，饱和单轴抗压强度80-120兆帕（660</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690</w:t>
      </w:r>
      <w:r>
        <w:rPr>
          <w:rFonts w:hint="eastAsia" w:ascii="宋体" w:hAnsi="宋体"/>
          <w:color w:val="000000" w:themeColor="text1"/>
          <w:szCs w:val="28"/>
          <w14:textFill>
            <w14:solidFill>
              <w14:schemeClr w14:val="tx1"/>
            </w14:solidFill>
          </w14:textFill>
        </w:rPr>
        <w:t>kg</w:t>
      </w:r>
      <w:r>
        <w:rPr>
          <w:rFonts w:ascii="宋体" w:hAnsi="宋体"/>
          <w:color w:val="000000" w:themeColor="text1"/>
          <w:szCs w:val="28"/>
          <w14:textFill>
            <w14:solidFill>
              <w14:schemeClr w14:val="tx1"/>
            </w14:solidFill>
          </w14:textFill>
        </w:rPr>
        <w:t>/cm），属坚硬岩。同时，各项指标基本符合建筑石料的相关要求。</w:t>
      </w:r>
    </w:p>
    <w:p w14:paraId="4862AE25">
      <w:pPr>
        <w:snapToGrid w:val="0"/>
        <w:ind w:firstLine="560"/>
        <w:jc w:val="both"/>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矿石容重2.52t/m</w:t>
      </w:r>
      <w:r>
        <w:rPr>
          <w:rFonts w:hint="eastAsia" w:ascii="宋体" w:hAnsi="宋体"/>
          <w:color w:val="000000" w:themeColor="text1"/>
          <w:szCs w:val="28"/>
          <w:vertAlign w:val="superscript"/>
          <w14:textFill>
            <w14:solidFill>
              <w14:schemeClr w14:val="tx1"/>
            </w14:solidFill>
          </w14:textFill>
        </w:rPr>
        <w:t>3</w:t>
      </w:r>
      <w:r>
        <w:rPr>
          <w:rFonts w:ascii="宋体" w:hAnsi="宋体"/>
          <w:color w:val="000000" w:themeColor="text1"/>
          <w:szCs w:val="28"/>
          <w14:textFill>
            <w14:solidFill>
              <w14:schemeClr w14:val="tx1"/>
            </w14:solidFill>
          </w14:textFill>
        </w:rPr>
        <w:t>，硬度系数f=6-8，松散系数K=1.6-2，抗压强度80-120兆帕（660-690</w:t>
      </w:r>
      <w:r>
        <w:rPr>
          <w:rFonts w:hint="eastAsia" w:ascii="宋体" w:hAnsi="宋体"/>
          <w:color w:val="000000" w:themeColor="text1"/>
          <w:szCs w:val="28"/>
          <w14:textFill>
            <w14:solidFill>
              <w14:schemeClr w14:val="tx1"/>
            </w14:solidFill>
          </w14:textFill>
        </w:rPr>
        <w:t>kg</w:t>
      </w:r>
      <w:r>
        <w:rPr>
          <w:rFonts w:ascii="宋体" w:hAnsi="宋体"/>
          <w:color w:val="000000" w:themeColor="text1"/>
          <w:szCs w:val="28"/>
          <w14:textFill>
            <w14:solidFill>
              <w14:schemeClr w14:val="tx1"/>
            </w14:solidFill>
          </w14:textFill>
        </w:rPr>
        <w:t>/cm），抗拉强度为抗压强度的1/12，抗剪强度为抗压强度的1/10，韧度为0.2kg.m/cm。</w:t>
      </w:r>
    </w:p>
    <w:p w14:paraId="0CBFA21A">
      <w:pPr>
        <w:snapToGrid w:val="0"/>
        <w:ind w:firstLine="560"/>
        <w:jc w:val="both"/>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根据矿石的化学成分及物理特性，矿石基本符合建筑材料的相关要求，是较理想的建筑用砂石料。</w:t>
      </w:r>
    </w:p>
    <w:p w14:paraId="2EBA7F10">
      <w:pPr>
        <w:pStyle w:val="6"/>
        <w:spacing w:before="120" w:after="120"/>
        <w:rPr>
          <w:color w:val="000000" w:themeColor="text1"/>
          <w14:textFill>
            <w14:solidFill>
              <w14:schemeClr w14:val="tx1"/>
            </w14:solidFill>
          </w14:textFill>
        </w:rPr>
      </w:pPr>
      <w:bookmarkStart w:id="621" w:name="_Toc215070157"/>
      <w:r>
        <w:rPr>
          <w:rFonts w:hint="eastAsia"/>
          <w:color w:val="000000" w:themeColor="text1"/>
          <w14:textFill>
            <w14:solidFill>
              <w14:schemeClr w14:val="tx1"/>
            </w14:solidFill>
          </w14:textFill>
        </w:rPr>
        <w:t>2.</w:t>
      </w:r>
      <w:r>
        <w:rPr>
          <w:color w:val="000000" w:themeColor="text1"/>
          <w14:textFill>
            <w14:solidFill>
              <w14:schemeClr w14:val="tx1"/>
            </w14:solidFill>
          </w14:textFill>
        </w:rPr>
        <w:t>3.3.3矿体围岩及夹石</w:t>
      </w:r>
      <w:bookmarkEnd w:id="612"/>
      <w:bookmarkEnd w:id="613"/>
      <w:bookmarkEnd w:id="614"/>
      <w:bookmarkEnd w:id="615"/>
      <w:bookmarkEnd w:id="616"/>
      <w:bookmarkEnd w:id="617"/>
      <w:bookmarkEnd w:id="618"/>
      <w:bookmarkEnd w:id="619"/>
      <w:bookmarkEnd w:id="620"/>
      <w:bookmarkEnd w:id="621"/>
    </w:p>
    <w:p w14:paraId="43A94475">
      <w:pPr>
        <w:ind w:firstLine="560"/>
        <w:rPr>
          <w:color w:val="000000" w:themeColor="text1"/>
          <w:szCs w:val="28"/>
          <w14:textFill>
            <w14:solidFill>
              <w14:schemeClr w14:val="tx1"/>
            </w14:solidFill>
          </w14:textFill>
        </w:rPr>
      </w:pPr>
      <w:bookmarkStart w:id="622" w:name="_Toc23147"/>
      <w:bookmarkStart w:id="623" w:name="_Toc2551"/>
      <w:bookmarkStart w:id="624" w:name="_Toc31416"/>
      <w:bookmarkStart w:id="625" w:name="_Toc29714"/>
      <w:bookmarkStart w:id="626" w:name="_Toc432"/>
      <w:bookmarkStart w:id="627" w:name="_Toc27046"/>
      <w:bookmarkStart w:id="628" w:name="_Toc18284"/>
      <w:bookmarkStart w:id="629" w:name="_Toc18203"/>
      <w:bookmarkStart w:id="630" w:name="_Toc29832"/>
      <w:r>
        <w:rPr>
          <w:rFonts w:hint="eastAsia" w:ascii="宋体" w:hAnsi="宋体" w:cs="宋体"/>
          <w:color w:val="000000" w:themeColor="text1"/>
          <w:szCs w:val="28"/>
          <w14:textFill>
            <w14:solidFill>
              <w14:schemeClr w14:val="tx1"/>
            </w14:solidFill>
          </w14:textFill>
        </w:rPr>
        <w:t>矿区矿床类型为沉积型碳酸盐岩类矿床，矿体裸露于地表，原开采范围和拟扩大矿区范围内均属于微风化石灰岩矿，矿床岩体类型简单，岩性均一稳定，所以，矿区范围内矿体无围岩及夹石。</w:t>
      </w:r>
    </w:p>
    <w:p w14:paraId="4FB40675">
      <w:pPr>
        <w:pStyle w:val="6"/>
        <w:spacing w:before="120" w:after="120"/>
        <w:rPr>
          <w:color w:val="000000" w:themeColor="text1"/>
          <w14:textFill>
            <w14:solidFill>
              <w14:schemeClr w14:val="tx1"/>
            </w14:solidFill>
          </w14:textFill>
        </w:rPr>
      </w:pPr>
      <w:bookmarkStart w:id="631" w:name="_Toc215070158"/>
      <w:r>
        <w:rPr>
          <w:rFonts w:hint="eastAsia"/>
          <w:color w:val="000000" w:themeColor="text1"/>
          <w14:textFill>
            <w14:solidFill>
              <w14:schemeClr w14:val="tx1"/>
            </w14:solidFill>
          </w14:textFill>
        </w:rPr>
        <w:t>2.</w:t>
      </w:r>
      <w:r>
        <w:rPr>
          <w:color w:val="000000" w:themeColor="text1"/>
          <w14:textFill>
            <w14:solidFill>
              <w14:schemeClr w14:val="tx1"/>
            </w14:solidFill>
          </w14:textFill>
        </w:rPr>
        <w:t>3.3.4共（伴）生矿产</w:t>
      </w:r>
      <w:bookmarkEnd w:id="622"/>
      <w:bookmarkEnd w:id="623"/>
      <w:bookmarkEnd w:id="624"/>
      <w:bookmarkEnd w:id="625"/>
      <w:bookmarkEnd w:id="626"/>
      <w:bookmarkEnd w:id="627"/>
      <w:bookmarkEnd w:id="628"/>
      <w:bookmarkEnd w:id="629"/>
      <w:bookmarkEnd w:id="630"/>
      <w:bookmarkEnd w:id="631"/>
    </w:p>
    <w:p w14:paraId="48689B0F">
      <w:pPr>
        <w:ind w:firstLineChars="0"/>
        <w:rPr>
          <w:rFonts w:hint="eastAsia" w:ascii="宋体" w:hAnsi="宋体" w:cs="宋体"/>
          <w:b/>
          <w:bCs/>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在矿山对矿产勘查及开发利用过程中，矿区含矿层中未发现其他共(伴) 生矿产。</w:t>
      </w:r>
    </w:p>
    <w:p w14:paraId="70115F25">
      <w:pPr>
        <w:pStyle w:val="6"/>
        <w:spacing w:before="120" w:after="120"/>
        <w:rPr>
          <w:color w:val="000000" w:themeColor="text1"/>
          <w14:textFill>
            <w14:solidFill>
              <w14:schemeClr w14:val="tx1"/>
            </w14:solidFill>
          </w14:textFill>
        </w:rPr>
      </w:pPr>
      <w:bookmarkStart w:id="632" w:name="_Toc29234"/>
      <w:bookmarkStart w:id="633" w:name="_Toc215070159"/>
      <w:bookmarkStart w:id="634" w:name="_Toc7576"/>
      <w:bookmarkStart w:id="635" w:name="_Toc19336"/>
      <w:bookmarkStart w:id="636" w:name="_Toc10642"/>
      <w:bookmarkStart w:id="637" w:name="_Toc27758"/>
      <w:bookmarkStart w:id="638" w:name="_Toc14489"/>
      <w:bookmarkStart w:id="639" w:name="_Toc21377"/>
      <w:bookmarkStart w:id="640" w:name="_Toc19425"/>
      <w:bookmarkStart w:id="641" w:name="_Toc5830"/>
      <w:r>
        <w:rPr>
          <w:rFonts w:hint="eastAsia"/>
          <w:color w:val="000000" w:themeColor="text1"/>
          <w14:textFill>
            <w14:solidFill>
              <w14:schemeClr w14:val="tx1"/>
            </w14:solidFill>
          </w14:textFill>
        </w:rPr>
        <w:t>2.</w:t>
      </w:r>
      <w:r>
        <w:rPr>
          <w:color w:val="000000" w:themeColor="text1"/>
          <w14:textFill>
            <w14:solidFill>
              <w14:schemeClr w14:val="tx1"/>
            </w14:solidFill>
          </w14:textFill>
        </w:rPr>
        <w:t>3.3.5</w:t>
      </w:r>
      <w:bookmarkEnd w:id="632"/>
      <w:bookmarkStart w:id="642" w:name="_Toc6706"/>
      <w:r>
        <w:rPr>
          <w:color w:val="000000" w:themeColor="text1"/>
          <w14:textFill>
            <w14:solidFill>
              <w14:schemeClr w14:val="tx1"/>
            </w14:solidFill>
          </w14:textFill>
        </w:rPr>
        <w:t>风化和岩溶发育特征</w:t>
      </w:r>
      <w:bookmarkEnd w:id="633"/>
      <w:bookmarkEnd w:id="634"/>
      <w:bookmarkEnd w:id="635"/>
      <w:bookmarkEnd w:id="636"/>
      <w:bookmarkEnd w:id="637"/>
      <w:bookmarkEnd w:id="638"/>
      <w:bookmarkEnd w:id="639"/>
      <w:bookmarkEnd w:id="640"/>
      <w:bookmarkEnd w:id="641"/>
      <w:bookmarkEnd w:id="642"/>
    </w:p>
    <w:p w14:paraId="657C0055">
      <w:pPr>
        <w:adjustRightInd w:val="0"/>
        <w:snapToGrid w:val="0"/>
        <w:ind w:firstLine="560"/>
        <w:rPr>
          <w:rFonts w:hint="eastAsia" w:ascii="宋体" w:hAnsi="宋体" w:cs="宋体"/>
          <w:color w:val="000000" w:themeColor="text1"/>
          <w:szCs w:val="28"/>
          <w14:textFill>
            <w14:solidFill>
              <w14:schemeClr w14:val="tx1"/>
            </w14:solidFill>
          </w14:textFill>
        </w:rPr>
      </w:pPr>
      <w:bookmarkStart w:id="643" w:name="_Toc8494"/>
      <w:bookmarkStart w:id="644" w:name="_Toc8129"/>
      <w:bookmarkStart w:id="645" w:name="_Toc22680"/>
      <w:bookmarkStart w:id="646" w:name="_Toc4697"/>
      <w:bookmarkStart w:id="647" w:name="_Toc7027"/>
      <w:bookmarkStart w:id="648" w:name="_Toc9545"/>
      <w:bookmarkStart w:id="649" w:name="_Toc10237"/>
      <w:bookmarkStart w:id="650" w:name="_Toc28234"/>
      <w:bookmarkStart w:id="651" w:name="_Toc20099"/>
      <w:bookmarkStart w:id="652" w:name="_Toc392680667"/>
      <w:bookmarkStart w:id="653" w:name="_Toc24018"/>
      <w:bookmarkStart w:id="654" w:name="_Toc23990"/>
      <w:bookmarkStart w:id="655" w:name="_Toc28355"/>
      <w:bookmarkStart w:id="656" w:name="_Toc28911"/>
      <w:bookmarkStart w:id="657" w:name="_Toc392680666"/>
      <w:bookmarkStart w:id="658" w:name="_Toc137793165"/>
      <w:bookmarkStart w:id="659" w:name="_Toc25435"/>
      <w:bookmarkStart w:id="660" w:name="_Toc29898"/>
      <w:bookmarkStart w:id="661" w:name="_Toc22909"/>
      <w:bookmarkStart w:id="662" w:name="_Toc309072526"/>
      <w:bookmarkStart w:id="663" w:name="_Toc140123922"/>
      <w:bookmarkStart w:id="664" w:name="_Toc28557"/>
      <w:bookmarkStart w:id="665" w:name="_Toc105730355"/>
      <w:bookmarkStart w:id="666" w:name="_Toc105675510"/>
      <w:bookmarkStart w:id="667" w:name="_Toc105675990"/>
      <w:bookmarkStart w:id="668" w:name="_Toc105674792"/>
      <w:r>
        <w:rPr>
          <w:color w:val="000000" w:themeColor="text1"/>
          <w:szCs w:val="28"/>
          <w14:textFill>
            <w14:solidFill>
              <w14:schemeClr w14:val="tx1"/>
            </w14:solidFill>
          </w14:textFill>
        </w:rPr>
        <w:t>矿体直接出露于地表，露头良好，表面风化强</w:t>
      </w:r>
      <w:r>
        <w:rPr>
          <w:rFonts w:hint="eastAsia"/>
          <w:color w:val="000000" w:themeColor="text1"/>
          <w:szCs w:val="28"/>
          <w14:textFill>
            <w14:solidFill>
              <w14:schemeClr w14:val="tx1"/>
            </w14:solidFill>
          </w14:textFill>
        </w:rPr>
        <w:t>。</w:t>
      </w:r>
      <w:r>
        <w:rPr>
          <w:rFonts w:hint="eastAsia" w:ascii="宋体" w:hAnsi="宋体" w:cs="宋体"/>
          <w:color w:val="000000" w:themeColor="text1"/>
          <w:szCs w:val="28"/>
          <w14:textFill>
            <w14:solidFill>
              <w14:schemeClr w14:val="tx1"/>
            </w14:solidFill>
          </w14:textFill>
        </w:rPr>
        <w:t>采场边坡上部为散体结构松散软弱岩组，下部由微-中等风化较坚硬层状结构灰岩岩组构成，边坡稳定性一般。</w:t>
      </w:r>
    </w:p>
    <w:p w14:paraId="61259A50">
      <w:pPr>
        <w:adjustRightInd w:val="0"/>
        <w:snapToGrid w:val="0"/>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岩石节理裂隙较为发育，地表露头出露完整，多呈石芽、溶沟展布。矿区地质构造复杂程度属简单类型。</w:t>
      </w:r>
    </w:p>
    <w:p w14:paraId="7A9DDC4E">
      <w:pPr>
        <w:pStyle w:val="5"/>
        <w:spacing w:after="120"/>
        <w:rPr>
          <w:color w:val="000000" w:themeColor="text1"/>
          <w14:textFill>
            <w14:solidFill>
              <w14:schemeClr w14:val="tx1"/>
            </w14:solidFill>
          </w14:textFill>
        </w:rPr>
      </w:pPr>
      <w:bookmarkStart w:id="669" w:name="_Toc215070160"/>
      <w:r>
        <w:rPr>
          <w:rFonts w:hint="eastAsia"/>
          <w:color w:val="000000" w:themeColor="text1"/>
          <w14:textFill>
            <w14:solidFill>
              <w14:schemeClr w14:val="tx1"/>
            </w14:solidFill>
          </w14:textFill>
        </w:rPr>
        <w:t>2.3.4水文地质概况</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69"/>
    </w:p>
    <w:p w14:paraId="15199619">
      <w:pPr>
        <w:pStyle w:val="6"/>
        <w:spacing w:before="120" w:after="120"/>
        <w:rPr>
          <w:color w:val="000000" w:themeColor="text1"/>
          <w14:textFill>
            <w14:solidFill>
              <w14:schemeClr w14:val="tx1"/>
            </w14:solidFill>
          </w14:textFill>
        </w:rPr>
      </w:pPr>
      <w:bookmarkStart w:id="670" w:name="_Toc31196"/>
      <w:bookmarkStart w:id="671" w:name="_Toc7968"/>
      <w:bookmarkStart w:id="672" w:name="_Toc3162"/>
      <w:bookmarkStart w:id="673" w:name="_Toc28851"/>
      <w:bookmarkStart w:id="674" w:name="_Toc5171"/>
      <w:bookmarkStart w:id="675" w:name="_Toc31304"/>
      <w:bookmarkStart w:id="676" w:name="_Toc2096"/>
      <w:bookmarkStart w:id="677" w:name="_Toc14099"/>
      <w:bookmarkStart w:id="678" w:name="_Toc215070161"/>
      <w:bookmarkStart w:id="679" w:name="_Toc296333457"/>
      <w:bookmarkStart w:id="680" w:name="_Toc294004305"/>
      <w:r>
        <w:rPr>
          <w:rFonts w:hint="eastAsia"/>
          <w:color w:val="000000" w:themeColor="text1"/>
          <w14:textFill>
            <w14:solidFill>
              <w14:schemeClr w14:val="tx1"/>
            </w14:solidFill>
          </w14:textFill>
        </w:rPr>
        <w:t>2.3.4.1区域水文地质条件</w:t>
      </w:r>
      <w:bookmarkEnd w:id="670"/>
      <w:bookmarkEnd w:id="671"/>
      <w:bookmarkEnd w:id="672"/>
      <w:bookmarkEnd w:id="673"/>
      <w:bookmarkEnd w:id="674"/>
      <w:bookmarkEnd w:id="675"/>
      <w:bookmarkEnd w:id="676"/>
      <w:bookmarkEnd w:id="677"/>
      <w:bookmarkEnd w:id="678"/>
    </w:p>
    <w:p w14:paraId="119FF701">
      <w:pPr>
        <w:ind w:left="560" w:firstLine="0" w:firstLineChars="0"/>
        <w:rPr>
          <w:color w:val="000000" w:themeColor="text1"/>
          <w:spacing w:val="15"/>
          <w:szCs w:val="28"/>
          <w14:textFill>
            <w14:solidFill>
              <w14:schemeClr w14:val="tx1"/>
            </w14:solidFill>
          </w14:textFill>
        </w:rPr>
      </w:pPr>
      <w:bookmarkStart w:id="681" w:name="_Hlk178250498"/>
      <w:bookmarkStart w:id="682" w:name="_Toc27803"/>
      <w:r>
        <w:rPr>
          <w:rFonts w:hint="eastAsia"/>
          <w:color w:val="000000" w:themeColor="text1"/>
          <w:spacing w:val="15"/>
          <w:szCs w:val="28"/>
          <w14:textFill>
            <w14:solidFill>
              <w14:schemeClr w14:val="tx1"/>
            </w14:solidFill>
          </w14:textFill>
        </w:rPr>
        <w:t>一、</w:t>
      </w:r>
      <w:r>
        <w:rPr>
          <w:color w:val="000000" w:themeColor="text1"/>
          <w14:textFill>
            <w14:solidFill>
              <w14:schemeClr w14:val="tx1"/>
            </w14:solidFill>
          </w14:textFill>
        </w:rPr>
        <w:t>地形地貌</w:t>
      </w:r>
    </w:p>
    <w:p w14:paraId="40D3A480">
      <w:pPr>
        <w:ind w:left="560" w:firstLine="0" w:firstLineChars="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矿区属构造剥蚀—溶蚀低中山地貌区，微地貌形态为溶蚀沟谷地</w:t>
      </w:r>
    </w:p>
    <w:p w14:paraId="125A92C0">
      <w:pPr>
        <w:ind w:firstLine="0" w:firstLineChars="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貌。总体地形东高西低，最高为矿区北东部山峰，标高1430m，最低为矿区西部矿1，标高1294m，最大高差136m。地形坡度20°-35°，局部为陡崖，地形复杂程度为中等类型。矿区范围内植被较为发育，矿区地表水系不发育，无溪流及泉水出露。地表降水总体向矿区北西、北侧沿排水沟向公路水渠排泄。</w:t>
      </w:r>
    </w:p>
    <w:p w14:paraId="37BC97D5">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二、</w:t>
      </w:r>
      <w:r>
        <w:rPr>
          <w:color w:val="000000" w:themeColor="text1"/>
          <w:szCs w:val="28"/>
          <w14:textFill>
            <w14:solidFill>
              <w14:schemeClr w14:val="tx1"/>
            </w14:solidFill>
          </w14:textFill>
        </w:rPr>
        <w:t>气象</w:t>
      </w:r>
    </w:p>
    <w:p w14:paraId="5919962D">
      <w:pPr>
        <w:adjustRightInd w:val="0"/>
        <w:snapToGrid w:val="0"/>
        <w:ind w:firstLine="560"/>
        <w:rPr>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矿区地处滇东喀斯特高原山区东部，地形高差较大，气候垂直分带明显，有山顶凉，河谷热的立体气候特点。年均日照1875.7小时，年均日照1875.7小时（78.2天），年平均气温16.7℃，无霜期305天，年均降雨量1056.5mm，5月至10月为雨季；11月至次年4月为旱季，实际雨季为151天左右。冬无严寒、夏无酷暑，雨旱分明，</w:t>
      </w:r>
      <w:r>
        <w:rPr>
          <w:rFonts w:hint="eastAsia"/>
          <w:color w:val="000000" w:themeColor="text1"/>
          <w:szCs w:val="28"/>
          <w14:textFill>
            <w14:solidFill>
              <w14:schemeClr w14:val="tx1"/>
            </w14:solidFill>
          </w14:textFill>
        </w:rPr>
        <w:t>雨热同季，年蒸发量1</w:t>
      </w:r>
      <w:r>
        <w:rPr>
          <w:color w:val="000000" w:themeColor="text1"/>
          <w:szCs w:val="28"/>
          <w14:textFill>
            <w14:solidFill>
              <w14:schemeClr w14:val="tx1"/>
            </w14:solidFill>
          </w14:textFill>
        </w:rPr>
        <w:t>400</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1796mm,</w:t>
      </w:r>
      <w:r>
        <w:rPr>
          <w:rFonts w:hint="eastAsia"/>
          <w:color w:val="000000" w:themeColor="text1"/>
          <w:szCs w:val="28"/>
          <w14:textFill>
            <w14:solidFill>
              <w14:schemeClr w14:val="tx1"/>
            </w14:solidFill>
          </w14:textFill>
        </w:rPr>
        <w:t>年均相对湿度为70%～80%。广南县全年多为西南风，占全年风向的19%，夏季主导风向SSW或S，各占全年风向的10%，冬季主导风向SW，占全年风向的26%，年平均风速5.2m/s，最大风速24m/s。历年来最大积雪深度240mm，年最多雾日9天，年最多雹日数6天，冬季日照率57%。矿区灾害性气候频繁，主要灾害有霜冻、干旱、低温等。</w:t>
      </w:r>
    </w:p>
    <w:bookmarkEnd w:id="681"/>
    <w:p w14:paraId="45A32758">
      <w:pPr>
        <w:pStyle w:val="6"/>
        <w:spacing w:before="120" w:after="120"/>
        <w:rPr>
          <w:color w:val="000000" w:themeColor="text1"/>
          <w14:textFill>
            <w14:solidFill>
              <w14:schemeClr w14:val="tx1"/>
            </w14:solidFill>
          </w14:textFill>
        </w:rPr>
      </w:pPr>
      <w:bookmarkStart w:id="683" w:name="_Toc1355"/>
      <w:bookmarkStart w:id="684" w:name="_Toc18036"/>
      <w:bookmarkStart w:id="685" w:name="_Toc15189"/>
      <w:bookmarkStart w:id="686" w:name="_Toc2251"/>
      <w:bookmarkStart w:id="687" w:name="_Toc20769"/>
      <w:bookmarkStart w:id="688" w:name="_Toc21797"/>
      <w:bookmarkStart w:id="689" w:name="_Toc28383"/>
      <w:bookmarkStart w:id="690" w:name="_Toc4065"/>
      <w:bookmarkStart w:id="691" w:name="_Toc215070162"/>
      <w:r>
        <w:rPr>
          <w:rFonts w:hint="eastAsia"/>
          <w:color w:val="000000" w:themeColor="text1"/>
          <w14:textFill>
            <w14:solidFill>
              <w14:schemeClr w14:val="tx1"/>
            </w14:solidFill>
          </w14:textFill>
        </w:rPr>
        <w:t>2.3.4.2矿区含、隔水层</w:t>
      </w:r>
      <w:bookmarkEnd w:id="683"/>
      <w:bookmarkEnd w:id="684"/>
      <w:bookmarkEnd w:id="685"/>
      <w:bookmarkEnd w:id="686"/>
      <w:bookmarkEnd w:id="687"/>
      <w:bookmarkEnd w:id="688"/>
      <w:bookmarkEnd w:id="689"/>
      <w:bookmarkEnd w:id="690"/>
      <w:bookmarkEnd w:id="691"/>
    </w:p>
    <w:p w14:paraId="1F29437F">
      <w:pPr>
        <w:adjustRightInd w:val="0"/>
        <w:snapToGrid w:val="0"/>
        <w:ind w:firstLine="560"/>
        <w:jc w:val="both"/>
        <w:rPr>
          <w:bCs/>
          <w:snapToGrid w:val="0"/>
          <w:color w:val="000000" w:themeColor="text1"/>
          <w:kern w:val="0"/>
          <w:szCs w:val="28"/>
          <w14:textFill>
            <w14:solidFill>
              <w14:schemeClr w14:val="tx1"/>
            </w14:solidFill>
          </w14:textFill>
        </w:rPr>
      </w:pPr>
      <w:r>
        <w:rPr>
          <w:bCs/>
          <w:snapToGrid w:val="0"/>
          <w:color w:val="000000" w:themeColor="text1"/>
          <w:kern w:val="0"/>
          <w:szCs w:val="28"/>
          <w14:textFill>
            <w14:solidFill>
              <w14:schemeClr w14:val="tx1"/>
            </w14:solidFill>
          </w14:textFill>
        </w:rPr>
        <w:t>1、矿区含、隔水岩</w:t>
      </w:r>
      <w:r>
        <w:rPr>
          <w:rFonts w:hint="eastAsia"/>
          <w:bCs/>
          <w:snapToGrid w:val="0"/>
          <w:color w:val="000000" w:themeColor="text1"/>
          <w:kern w:val="0"/>
          <w:szCs w:val="28"/>
          <w14:textFill>
            <w14:solidFill>
              <w14:schemeClr w14:val="tx1"/>
            </w14:solidFill>
          </w14:textFill>
        </w:rPr>
        <w:t>（</w:t>
      </w:r>
      <w:r>
        <w:rPr>
          <w:bCs/>
          <w:snapToGrid w:val="0"/>
          <w:color w:val="000000" w:themeColor="text1"/>
          <w:kern w:val="0"/>
          <w:szCs w:val="28"/>
          <w14:textFill>
            <w14:solidFill>
              <w14:schemeClr w14:val="tx1"/>
            </w14:solidFill>
          </w14:textFill>
        </w:rPr>
        <w:t>组</w:t>
      </w:r>
      <w:r>
        <w:rPr>
          <w:rFonts w:hint="eastAsia"/>
          <w:bCs/>
          <w:snapToGrid w:val="0"/>
          <w:color w:val="000000" w:themeColor="text1"/>
          <w:kern w:val="0"/>
          <w:szCs w:val="28"/>
          <w14:textFill>
            <w14:solidFill>
              <w14:schemeClr w14:val="tx1"/>
            </w14:solidFill>
          </w14:textFill>
        </w:rPr>
        <w:t>）</w:t>
      </w:r>
      <w:r>
        <w:rPr>
          <w:bCs/>
          <w:snapToGrid w:val="0"/>
          <w:color w:val="000000" w:themeColor="text1"/>
          <w:kern w:val="0"/>
          <w:szCs w:val="28"/>
          <w14:textFill>
            <w14:solidFill>
              <w14:schemeClr w14:val="tx1"/>
            </w14:solidFill>
          </w14:textFill>
        </w:rPr>
        <w:t>特征</w:t>
      </w:r>
    </w:p>
    <w:p w14:paraId="0D0F2187">
      <w:pPr>
        <w:ind w:firstLine="560"/>
        <w:rPr>
          <w:rFonts w:hint="eastAsia" w:ascii="宋体" w:hAnsi="宋体" w:cs="宋体"/>
          <w:color w:val="000000" w:themeColor="text1"/>
          <w:szCs w:val="28"/>
          <w14:textFill>
            <w14:solidFill>
              <w14:schemeClr w14:val="tx1"/>
            </w14:solidFill>
          </w14:textFill>
        </w:rPr>
      </w:pPr>
      <w:bookmarkStart w:id="692" w:name="_Toc20103"/>
      <w:bookmarkStart w:id="693" w:name="_Toc18972"/>
      <w:bookmarkStart w:id="694" w:name="_Toc11735"/>
      <w:bookmarkStart w:id="695" w:name="_Toc1231"/>
      <w:bookmarkStart w:id="696" w:name="_Toc3639"/>
      <w:bookmarkStart w:id="697" w:name="_Toc10180"/>
      <w:bookmarkStart w:id="698" w:name="_Toc6034"/>
      <w:bookmarkStart w:id="699" w:name="_Toc23309"/>
      <w:r>
        <w:rPr>
          <w:rFonts w:hint="eastAsia" w:ascii="宋体" w:hAnsi="宋体" w:cs="宋体"/>
          <w:color w:val="000000" w:themeColor="text1"/>
          <w:szCs w:val="28"/>
          <w14:textFill>
            <w14:solidFill>
              <w14:schemeClr w14:val="tx1"/>
            </w14:solidFill>
          </w14:textFill>
        </w:rPr>
        <w:t>矿区地层简单，主要为二叠系上统吴家坪组灰岩地层（P</w:t>
      </w:r>
      <w:r>
        <w:rPr>
          <w:rFonts w:hint="eastAsia" w:ascii="宋体" w:hAnsi="宋体" w:cs="宋体"/>
          <w:color w:val="000000" w:themeColor="text1"/>
          <w:szCs w:val="28"/>
          <w:vertAlign w:val="subscript"/>
          <w14:textFill>
            <w14:solidFill>
              <w14:schemeClr w14:val="tx1"/>
            </w14:solidFill>
          </w14:textFill>
        </w:rPr>
        <w:t>2</w:t>
      </w:r>
      <w:r>
        <w:rPr>
          <w:rFonts w:hint="eastAsia" w:ascii="宋体" w:hAnsi="宋体" w:cs="宋体"/>
          <w:color w:val="000000" w:themeColor="text1"/>
          <w:szCs w:val="28"/>
          <w14:textFill>
            <w14:solidFill>
              <w14:schemeClr w14:val="tx1"/>
            </w14:solidFill>
          </w14:textFill>
        </w:rPr>
        <w:t>w），但除在陡坡上或地形较低处石灰岩出露外，部分地段被第四系坡残积层（Q</w:t>
      </w:r>
      <w:r>
        <w:rPr>
          <w:rFonts w:hint="eastAsia" w:ascii="宋体" w:hAnsi="宋体" w:cs="宋体"/>
          <w:color w:val="000000" w:themeColor="text1"/>
          <w:szCs w:val="28"/>
          <w:vertAlign w:val="superscript"/>
          <w14:textFill>
            <w14:solidFill>
              <w14:schemeClr w14:val="tx1"/>
            </w14:solidFill>
          </w14:textFill>
        </w:rPr>
        <w:t>el+dl</w:t>
      </w:r>
      <w:r>
        <w:rPr>
          <w:rFonts w:hint="eastAsia" w:ascii="宋体" w:hAnsi="宋体" w:cs="宋体"/>
          <w:color w:val="000000" w:themeColor="text1"/>
          <w:szCs w:val="28"/>
          <w14:textFill>
            <w14:solidFill>
              <w14:schemeClr w14:val="tx1"/>
            </w14:solidFill>
          </w14:textFill>
        </w:rPr>
        <w:t>）覆盖。主要有松散岩类孔隙弱含水层和岩溶裂隙含水层两种类型，各地层岩性含水层特征如下：</w:t>
      </w:r>
    </w:p>
    <w:p w14:paraId="1885E8F9">
      <w:pPr>
        <w:ind w:left="560" w:leftChars="200" w:firstLine="0" w:firstLineChars="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（1）</w:t>
      </w:r>
      <w:r>
        <w:rPr>
          <w:rFonts w:hint="eastAsia" w:ascii="宋体" w:hAnsi="宋体" w:cs="宋体"/>
          <w:color w:val="000000" w:themeColor="text1"/>
          <w:szCs w:val="28"/>
          <w14:textFill>
            <w14:solidFill>
              <w14:schemeClr w14:val="tx1"/>
            </w14:solidFill>
          </w14:textFill>
        </w:rPr>
        <w:t>松散岩类孔隙含水层（Q</w:t>
      </w:r>
      <w:r>
        <w:rPr>
          <w:rFonts w:hint="eastAsia" w:ascii="宋体" w:hAnsi="宋体" w:cs="宋体"/>
          <w:color w:val="000000" w:themeColor="text1"/>
          <w:szCs w:val="28"/>
          <w:vertAlign w:val="superscript"/>
          <w14:textFill>
            <w14:solidFill>
              <w14:schemeClr w14:val="tx1"/>
            </w14:solidFill>
          </w14:textFill>
        </w:rPr>
        <w:t>el+dl</w:t>
      </w:r>
      <w:r>
        <w:rPr>
          <w:rFonts w:hint="eastAsia" w:ascii="宋体" w:hAnsi="宋体" w:cs="宋体"/>
          <w:color w:val="000000" w:themeColor="text1"/>
          <w:szCs w:val="28"/>
          <w14:textFill>
            <w14:solidFill>
              <w14:schemeClr w14:val="tx1"/>
            </w14:solidFill>
          </w14:textFill>
        </w:rPr>
        <w:t>）</w:t>
      </w:r>
    </w:p>
    <w:p w14:paraId="64476362">
      <w:pPr>
        <w:ind w:firstLine="560"/>
        <w:rPr>
          <w:rFonts w:hint="eastAsia"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第四系坡残积层(Q</w:t>
      </w:r>
      <w:r>
        <w:rPr>
          <w:rFonts w:hint="eastAsia" w:ascii="宋体" w:hAnsi="宋体" w:cs="宋体"/>
          <w:color w:val="000000" w:themeColor="text1"/>
          <w:szCs w:val="28"/>
          <w:vertAlign w:val="superscript"/>
          <w14:textFill>
            <w14:solidFill>
              <w14:schemeClr w14:val="tx1"/>
            </w14:solidFill>
          </w14:textFill>
        </w:rPr>
        <w:t>el+dl</w:t>
      </w:r>
      <w:r>
        <w:rPr>
          <w:rFonts w:hint="eastAsia" w:ascii="宋体" w:hAnsi="宋体" w:cs="宋体"/>
          <w:color w:val="000000" w:themeColor="text1"/>
          <w:szCs w:val="28"/>
          <w14:textFill>
            <w14:solidFill>
              <w14:schemeClr w14:val="tx1"/>
            </w14:solidFill>
          </w14:textFill>
        </w:rPr>
        <w:t>)：广泛分布于地势低洼地带，含水层为第四系松散堆积层，由于矿区内的第四系少量松散堆积层为角砾砂质粘土，透水性强，富水性弱，补给来源为基岩裂隙水和大气降水。</w:t>
      </w:r>
    </w:p>
    <w:p w14:paraId="21BC9905">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（2）</w:t>
      </w:r>
      <w:r>
        <w:rPr>
          <w:rFonts w:hint="eastAsia" w:ascii="宋体" w:hAnsi="宋体"/>
          <w:color w:val="000000" w:themeColor="text1"/>
          <w:spacing w:val="-6"/>
          <w:szCs w:val="28"/>
          <w14:textFill>
            <w14:solidFill>
              <w14:schemeClr w14:val="tx1"/>
            </w14:solidFill>
          </w14:textFill>
        </w:rPr>
        <w:t>溶蚀裂隙岩溶含水层</w:t>
      </w:r>
      <w:r>
        <w:rPr>
          <w:rFonts w:hint="eastAsia" w:ascii="宋体" w:hAnsi="宋体" w:cs="宋体"/>
          <w:color w:val="000000" w:themeColor="text1"/>
          <w:szCs w:val="28"/>
          <w14:textFill>
            <w14:solidFill>
              <w14:schemeClr w14:val="tx1"/>
            </w14:solidFill>
          </w14:textFill>
        </w:rPr>
        <w:t>(</w:t>
      </w:r>
      <w:r>
        <w:rPr>
          <w:rFonts w:hint="eastAsia" w:ascii="宋体" w:hAnsi="宋体" w:cs="宋体"/>
          <w:bCs/>
          <w:color w:val="000000" w:themeColor="text1"/>
          <w:szCs w:val="28"/>
          <w14:textFill>
            <w14:solidFill>
              <w14:schemeClr w14:val="tx1"/>
            </w14:solidFill>
          </w14:textFill>
        </w:rPr>
        <w:t>P</w:t>
      </w:r>
      <w:r>
        <w:rPr>
          <w:rFonts w:hint="eastAsia" w:ascii="宋体" w:hAnsi="宋体" w:cs="宋体"/>
          <w:bCs/>
          <w:color w:val="000000" w:themeColor="text1"/>
          <w:szCs w:val="28"/>
          <w:vertAlign w:val="subscript"/>
          <w14:textFill>
            <w14:solidFill>
              <w14:schemeClr w14:val="tx1"/>
            </w14:solidFill>
          </w14:textFill>
        </w:rPr>
        <w:t>2</w:t>
      </w:r>
      <w:r>
        <w:rPr>
          <w:rFonts w:hint="eastAsia" w:ascii="宋体" w:hAnsi="宋体" w:cs="宋体"/>
          <w:bCs/>
          <w:color w:val="000000" w:themeColor="text1"/>
          <w:szCs w:val="28"/>
          <w14:textFill>
            <w14:solidFill>
              <w14:schemeClr w14:val="tx1"/>
            </w14:solidFill>
          </w14:textFill>
        </w:rPr>
        <w:t>w)</w:t>
      </w:r>
    </w:p>
    <w:p w14:paraId="5B47164D">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二叠系上统吴家坪组(</w:t>
      </w:r>
      <w:r>
        <w:rPr>
          <w:rFonts w:hint="eastAsia" w:ascii="宋体" w:hAnsi="宋体" w:cs="宋体"/>
          <w:bCs/>
          <w:color w:val="000000" w:themeColor="text1"/>
          <w:szCs w:val="28"/>
          <w14:textFill>
            <w14:solidFill>
              <w14:schemeClr w14:val="tx1"/>
            </w14:solidFill>
          </w14:textFill>
        </w:rPr>
        <w:t>P</w:t>
      </w:r>
      <w:r>
        <w:rPr>
          <w:rFonts w:hint="eastAsia" w:ascii="宋体" w:hAnsi="宋体" w:cs="宋体"/>
          <w:bCs/>
          <w:color w:val="000000" w:themeColor="text1"/>
          <w:szCs w:val="28"/>
          <w:vertAlign w:val="subscript"/>
          <w14:textFill>
            <w14:solidFill>
              <w14:schemeClr w14:val="tx1"/>
            </w14:solidFill>
          </w14:textFill>
        </w:rPr>
        <w:t>2</w:t>
      </w:r>
      <w:r>
        <w:rPr>
          <w:rFonts w:hint="eastAsia" w:ascii="宋体" w:hAnsi="宋体" w:cs="宋体"/>
          <w:bCs/>
          <w:color w:val="000000" w:themeColor="text1"/>
          <w:szCs w:val="28"/>
          <w14:textFill>
            <w14:solidFill>
              <w14:schemeClr w14:val="tx1"/>
            </w14:solidFill>
          </w14:textFill>
        </w:rPr>
        <w:t>w)</w:t>
      </w:r>
      <w:r>
        <w:rPr>
          <w:rFonts w:hint="eastAsia" w:ascii="宋体" w:hAnsi="宋体" w:cs="宋体"/>
          <w:color w:val="000000" w:themeColor="text1"/>
          <w:szCs w:val="28"/>
          <w14:textFill>
            <w14:solidFill>
              <w14:schemeClr w14:val="tx1"/>
            </w14:solidFill>
          </w14:textFill>
        </w:rPr>
        <w:t>：灰色厚层—块状灰岩，岩石块状致密坚硬，平均厚度一般118—266.1m，可见厚度大于130m，透水、富水性取决于节理裂隙的分布与联通情况，具各向异性，富水性中等。补给来源于大气降水及孔隙水下渗，沿节理裂隙运移，径流途径较长，水循环较缓慢。</w:t>
      </w:r>
    </w:p>
    <w:p w14:paraId="512F7EBC">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2、</w:t>
      </w:r>
      <w:r>
        <w:rPr>
          <w:rFonts w:hint="eastAsia" w:ascii="宋体" w:hAnsi="宋体" w:cs="宋体"/>
          <w:color w:val="000000" w:themeColor="text1"/>
          <w:szCs w:val="28"/>
          <w14:textFill>
            <w14:solidFill>
              <w14:schemeClr w14:val="tx1"/>
            </w14:solidFill>
          </w14:textFill>
        </w:rPr>
        <w:t>地下水及补、排关系</w:t>
      </w:r>
    </w:p>
    <w:p w14:paraId="261DC851">
      <w:pPr>
        <w:ind w:firstLine="560"/>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属构造侵蚀地中山地貌，开采范围内无地表水体分布，地下水埋藏较深，地下水补给主要来源于大气降雨下渗，沿岩石中的节理裂隙径流。矿区采空区布置呈斜坡状，倾向与山坡一致，利于降雨自然排泄，矿区附近地形较陡，有利于地下水的径流和排泄。矿区内矿体高于当地最低侵蚀基准面高程1220m，可视为当地地下水最低排泄基准面，矿区地形利于大气降水排泄。</w:t>
      </w:r>
    </w:p>
    <w:p w14:paraId="5F9A92FB">
      <w:pPr>
        <w:adjustRightInd w:val="0"/>
        <w:snapToGrid w:val="0"/>
        <w:ind w:firstLine="560"/>
        <w:jc w:val="both"/>
        <w:rPr>
          <w:bCs/>
          <w:snapToGrid w:val="0"/>
          <w:color w:val="000000" w:themeColor="text1"/>
          <w:kern w:val="0"/>
          <w:szCs w:val="28"/>
          <w14:textFill>
            <w14:solidFill>
              <w14:schemeClr w14:val="tx1"/>
            </w14:solidFill>
          </w14:textFill>
        </w:rPr>
      </w:pPr>
      <w:r>
        <w:rPr>
          <w:bCs/>
          <w:snapToGrid w:val="0"/>
          <w:color w:val="000000" w:themeColor="text1"/>
          <w:kern w:val="0"/>
          <w:szCs w:val="28"/>
          <w14:textFill>
            <w14:solidFill>
              <w14:schemeClr w14:val="tx1"/>
            </w14:solidFill>
          </w14:textFill>
        </w:rPr>
        <w:t>3、矿床充水因素</w:t>
      </w:r>
    </w:p>
    <w:p w14:paraId="480592EE">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矿床充水方式为直接充水，即矿层所含裂隙岩溶水、降落于矿坑中的雨水。开采采用露天开采方式，矿层底盘开采标高高于当地最低侵蚀基准面，有利于自然排水。</w:t>
      </w:r>
    </w:p>
    <w:p w14:paraId="18E295F2">
      <w:pPr>
        <w:pStyle w:val="6"/>
        <w:spacing w:before="120" w:after="120"/>
        <w:rPr>
          <w:color w:val="000000" w:themeColor="text1"/>
          <w14:textFill>
            <w14:solidFill>
              <w14:schemeClr w14:val="tx1"/>
            </w14:solidFill>
          </w14:textFill>
        </w:rPr>
      </w:pPr>
      <w:bookmarkStart w:id="700" w:name="_Toc215070163"/>
      <w:r>
        <w:rPr>
          <w:rFonts w:hint="eastAsia"/>
          <w:color w:val="000000" w:themeColor="text1"/>
          <w14:textFill>
            <w14:solidFill>
              <w14:schemeClr w14:val="tx1"/>
            </w14:solidFill>
          </w14:textFill>
        </w:rPr>
        <w:t>2.3.4.3</w:t>
      </w:r>
      <w:r>
        <w:rPr>
          <w:color w:val="000000" w:themeColor="text1"/>
          <w14:textFill>
            <w14:solidFill>
              <w14:schemeClr w14:val="tx1"/>
            </w14:solidFill>
          </w14:textFill>
        </w:rPr>
        <w:t>矿</w:t>
      </w:r>
      <w:r>
        <w:rPr>
          <w:rFonts w:hint="eastAsia"/>
          <w:color w:val="000000" w:themeColor="text1"/>
          <w14:textFill>
            <w14:solidFill>
              <w14:schemeClr w14:val="tx1"/>
            </w14:solidFill>
          </w14:textFill>
        </w:rPr>
        <w:t>坑涌水量分析</w:t>
      </w:r>
      <w:bookmarkEnd w:id="692"/>
      <w:bookmarkEnd w:id="693"/>
      <w:bookmarkEnd w:id="694"/>
      <w:bookmarkEnd w:id="695"/>
      <w:bookmarkEnd w:id="696"/>
      <w:bookmarkEnd w:id="697"/>
      <w:bookmarkEnd w:id="698"/>
      <w:bookmarkEnd w:id="699"/>
      <w:bookmarkEnd w:id="700"/>
    </w:p>
    <w:p w14:paraId="479F2474">
      <w:pPr>
        <w:ind w:firstLine="568"/>
        <w:jc w:val="both"/>
        <w:rPr>
          <w:color w:val="000000" w:themeColor="text1"/>
          <w:szCs w:val="28"/>
          <w14:textFill>
            <w14:solidFill>
              <w14:schemeClr w14:val="tx1"/>
            </w14:solidFill>
          </w14:textFill>
        </w:rPr>
      </w:pPr>
      <w:bookmarkStart w:id="701" w:name="_Hlk178250551"/>
      <w:r>
        <w:rPr>
          <w:color w:val="000000" w:themeColor="text1"/>
          <w:spacing w:val="2"/>
          <w:szCs w:val="28"/>
          <w14:textFill>
            <w14:solidFill>
              <w14:schemeClr w14:val="tx1"/>
            </w14:solidFill>
          </w14:textFill>
        </w:rPr>
        <w:t>矿区开采方式为露天开采，最低开采标高</w:t>
      </w:r>
      <w:r>
        <w:rPr>
          <w:rFonts w:hint="eastAsia" w:ascii="宋体" w:hAnsi="宋体" w:cs="宋体"/>
          <w:color w:val="000000" w:themeColor="text1"/>
          <w14:textFill>
            <w14:solidFill>
              <w14:schemeClr w14:val="tx1"/>
            </w14:solidFill>
          </w14:textFill>
        </w:rPr>
        <w:t>1294m</w:t>
      </w:r>
      <w:r>
        <w:rPr>
          <w:color w:val="000000" w:themeColor="text1"/>
          <w:spacing w:val="1"/>
          <w:szCs w:val="28"/>
          <w14:textFill>
            <w14:solidFill>
              <w14:schemeClr w14:val="tx1"/>
            </w14:solidFill>
          </w14:textFill>
        </w:rPr>
        <w:t>，高于当地侵蚀</w:t>
      </w:r>
      <w:r>
        <w:rPr>
          <w:color w:val="000000" w:themeColor="text1"/>
          <w:spacing w:val="5"/>
          <w:szCs w:val="28"/>
          <w14:textFill>
            <w14:solidFill>
              <w14:schemeClr w14:val="tx1"/>
            </w14:solidFill>
          </w14:textFill>
        </w:rPr>
        <w:t>基准面</w:t>
      </w:r>
      <w:r>
        <w:rPr>
          <w:color w:val="000000" w:themeColor="text1"/>
          <w:spacing w:val="-20"/>
          <w:szCs w:val="28"/>
          <w14:textFill>
            <w14:solidFill>
              <w14:schemeClr w14:val="tx1"/>
            </w14:solidFill>
          </w14:textFill>
        </w:rPr>
        <w:t>，</w:t>
      </w:r>
      <w:r>
        <w:rPr>
          <w:color w:val="000000" w:themeColor="text1"/>
          <w:spacing w:val="5"/>
          <w:szCs w:val="28"/>
          <w14:textFill>
            <w14:solidFill>
              <w14:schemeClr w14:val="tx1"/>
            </w14:solidFill>
          </w14:textFill>
        </w:rPr>
        <w:t>矿坑主要充水水源为大气降水和通过矿体的地</w:t>
      </w:r>
      <w:r>
        <w:rPr>
          <w:color w:val="000000" w:themeColor="text1"/>
          <w:szCs w:val="28"/>
          <w14:textFill>
            <w14:solidFill>
              <w14:schemeClr w14:val="tx1"/>
            </w14:solidFill>
          </w14:textFill>
        </w:rPr>
        <w:t>表水。由于地形有利于自然疏干排水，开采设计时只要注意排水方向，</w:t>
      </w:r>
      <w:r>
        <w:rPr>
          <w:color w:val="000000" w:themeColor="text1"/>
          <w:spacing w:val="2"/>
          <w:szCs w:val="28"/>
          <w14:textFill>
            <w14:solidFill>
              <w14:schemeClr w14:val="tx1"/>
            </w14:solidFill>
          </w14:textFill>
        </w:rPr>
        <w:t>通过排水沟将充水水源排除坑外，对矿体开采影响小。开采过程中合</w:t>
      </w:r>
      <w:r>
        <w:rPr>
          <w:color w:val="000000" w:themeColor="text1"/>
          <w:spacing w:val="5"/>
          <w:szCs w:val="28"/>
          <w14:textFill>
            <w14:solidFill>
              <w14:schemeClr w14:val="tx1"/>
            </w14:solidFill>
          </w14:textFill>
        </w:rPr>
        <w:t>理布置开采断面，使充水水源利用自然疏干排</w:t>
      </w:r>
      <w:r>
        <w:rPr>
          <w:color w:val="000000" w:themeColor="text1"/>
          <w:spacing w:val="4"/>
          <w:szCs w:val="28"/>
          <w14:textFill>
            <w14:solidFill>
              <w14:schemeClr w14:val="tx1"/>
            </w14:solidFill>
          </w14:textFill>
        </w:rPr>
        <w:t>水，则不会造成矿坑涌</w:t>
      </w:r>
      <w:r>
        <w:rPr>
          <w:color w:val="000000" w:themeColor="text1"/>
          <w:szCs w:val="28"/>
          <w14:textFill>
            <w14:solidFill>
              <w14:schemeClr w14:val="tx1"/>
            </w14:solidFill>
          </w14:textFill>
        </w:rPr>
        <w:t>水而影响生产。</w:t>
      </w:r>
    </w:p>
    <w:bookmarkEnd w:id="701"/>
    <w:p w14:paraId="3F46512E">
      <w:pPr>
        <w:pStyle w:val="6"/>
        <w:spacing w:before="120" w:after="120"/>
        <w:rPr>
          <w:color w:val="000000" w:themeColor="text1"/>
          <w14:textFill>
            <w14:solidFill>
              <w14:schemeClr w14:val="tx1"/>
            </w14:solidFill>
          </w14:textFill>
        </w:rPr>
      </w:pPr>
      <w:bookmarkStart w:id="702" w:name="_Toc29834"/>
      <w:bookmarkStart w:id="703" w:name="_Toc11343"/>
      <w:bookmarkStart w:id="704" w:name="_Toc215070164"/>
      <w:bookmarkStart w:id="705" w:name="_Toc11659"/>
      <w:bookmarkStart w:id="706" w:name="_Toc21583"/>
      <w:bookmarkStart w:id="707" w:name="_Toc7334"/>
      <w:bookmarkStart w:id="708" w:name="_Toc19593"/>
      <w:bookmarkStart w:id="709" w:name="_Toc4517"/>
      <w:bookmarkStart w:id="710" w:name="_Toc1802"/>
      <w:r>
        <w:rPr>
          <w:rFonts w:hint="eastAsia"/>
          <w:color w:val="000000" w:themeColor="text1"/>
          <w14:textFill>
            <w14:solidFill>
              <w14:schemeClr w14:val="tx1"/>
            </w14:solidFill>
          </w14:textFill>
        </w:rPr>
        <w:t>2.3.4.4矿区供水水源</w:t>
      </w:r>
      <w:bookmarkEnd w:id="702"/>
      <w:bookmarkEnd w:id="703"/>
      <w:bookmarkEnd w:id="704"/>
      <w:bookmarkEnd w:id="705"/>
      <w:bookmarkEnd w:id="706"/>
      <w:bookmarkEnd w:id="707"/>
      <w:bookmarkEnd w:id="708"/>
      <w:bookmarkEnd w:id="709"/>
      <w:bookmarkEnd w:id="710"/>
    </w:p>
    <w:p w14:paraId="07A51FCA">
      <w:pPr>
        <w:spacing w:line="560" w:lineRule="exact"/>
        <w:ind w:firstLine="560"/>
        <w:rPr>
          <w:rFonts w:hint="eastAsia" w:ascii="宋体" w:hAnsi="宋体" w:cs="宋体"/>
          <w:color w:val="000000" w:themeColor="text1"/>
          <w:szCs w:val="28"/>
          <w14:textFill>
            <w14:solidFill>
              <w14:schemeClr w14:val="tx1"/>
            </w14:solidFill>
          </w14:textFill>
        </w:rPr>
      </w:pPr>
      <w:bookmarkStart w:id="711" w:name="_Toc30779"/>
      <w:bookmarkStart w:id="712" w:name="_Toc10566"/>
      <w:bookmarkStart w:id="713" w:name="_Toc1166"/>
      <w:bookmarkStart w:id="714" w:name="_Toc32447"/>
      <w:bookmarkStart w:id="715" w:name="_Toc32692"/>
      <w:bookmarkStart w:id="716" w:name="_Toc12168"/>
      <w:bookmarkStart w:id="717" w:name="_Toc5814"/>
      <w:bookmarkStart w:id="718" w:name="_Toc29070"/>
      <w:r>
        <w:rPr>
          <w:rFonts w:hint="eastAsia" w:ascii="宋体" w:hAnsi="宋体" w:cs="宋体"/>
          <w:color w:val="000000" w:themeColor="text1"/>
          <w:szCs w:val="28"/>
          <w14:textFill>
            <w14:solidFill>
              <w14:schemeClr w14:val="tx1"/>
            </w14:solidFill>
          </w14:textFill>
        </w:rPr>
        <w:t>矿山生产生活用水主要取自矿区南侧的夕板村，该村距矿区约1km，引水管道已架设运营多年，供水正常，用水箱进行储存。根据矿区附近有大量居民长期居住饮用，无水质因素引发地方病的情</w:t>
      </w:r>
      <w:r>
        <w:rPr>
          <w:rFonts w:hint="eastAsia" w:ascii="宋体" w:hAnsi="宋体"/>
          <w:color w:val="000000" w:themeColor="text1"/>
          <w:spacing w:val="-6"/>
          <w:szCs w:val="28"/>
          <w14:textFill>
            <w14:solidFill>
              <w14:schemeClr w14:val="tx1"/>
            </w14:solidFill>
          </w14:textFill>
        </w:rPr>
        <w:t>况分析，</w:t>
      </w:r>
      <w:r>
        <w:rPr>
          <w:rFonts w:hint="eastAsia" w:ascii="宋体" w:hAnsi="宋体" w:cs="宋体"/>
          <w:color w:val="000000" w:themeColor="text1"/>
          <w:szCs w:val="28"/>
          <w14:textFill>
            <w14:solidFill>
              <w14:schemeClr w14:val="tx1"/>
            </w14:solidFill>
          </w14:textFill>
        </w:rPr>
        <w:t>水质清澈透明，水质较好，</w:t>
      </w:r>
      <w:r>
        <w:rPr>
          <w:rFonts w:hint="eastAsia" w:ascii="宋体" w:hAnsi="宋体"/>
          <w:color w:val="000000" w:themeColor="text1"/>
          <w:spacing w:val="-6"/>
          <w:szCs w:val="28"/>
          <w14:textFill>
            <w14:solidFill>
              <w14:schemeClr w14:val="tx1"/>
            </w14:solidFill>
          </w14:textFill>
        </w:rPr>
        <w:t>水质符合饮用标准。矿区供水条件良好，</w:t>
      </w:r>
      <w:r>
        <w:rPr>
          <w:rFonts w:hint="eastAsia" w:ascii="宋体" w:hAnsi="宋体" w:cs="宋体"/>
          <w:color w:val="000000" w:themeColor="text1"/>
          <w:szCs w:val="28"/>
          <w14:textFill>
            <w14:solidFill>
              <w14:schemeClr w14:val="tx1"/>
            </w14:solidFill>
          </w14:textFill>
        </w:rPr>
        <w:t>可满足矿山生产生活需要。</w:t>
      </w:r>
    </w:p>
    <w:p w14:paraId="64C14632">
      <w:pPr>
        <w:pStyle w:val="6"/>
        <w:spacing w:before="120" w:after="120"/>
        <w:rPr>
          <w:color w:val="000000" w:themeColor="text1"/>
          <w14:textFill>
            <w14:solidFill>
              <w14:schemeClr w14:val="tx1"/>
            </w14:solidFill>
          </w14:textFill>
        </w:rPr>
      </w:pPr>
      <w:bookmarkStart w:id="719" w:name="_Toc215070165"/>
      <w:r>
        <w:rPr>
          <w:rFonts w:hint="eastAsia"/>
          <w:color w:val="000000" w:themeColor="text1"/>
          <w14:textFill>
            <w14:solidFill>
              <w14:schemeClr w14:val="tx1"/>
            </w14:solidFill>
          </w14:textFill>
        </w:rPr>
        <w:t>2.3.4.5矿区水文地质条件小结</w:t>
      </w:r>
      <w:bookmarkEnd w:id="711"/>
      <w:bookmarkEnd w:id="712"/>
      <w:bookmarkEnd w:id="713"/>
      <w:bookmarkEnd w:id="714"/>
      <w:bookmarkEnd w:id="715"/>
      <w:bookmarkEnd w:id="716"/>
      <w:bookmarkEnd w:id="717"/>
      <w:bookmarkEnd w:id="718"/>
      <w:bookmarkEnd w:id="719"/>
    </w:p>
    <w:bookmarkEnd w:id="682"/>
    <w:p w14:paraId="65AEE6BF">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选用露天开采，大气降雨为矿坑充水主要水源，地形有利于矿坑自然排水。地下水埋藏较深，地下水对矿床开采无较大充水影响；矿床充水主要为季节性大气降雨的下渗，开采范围内裂隙水可通过采场边坡及斜坡自然排泄。因此，地表水及地下水对采矿活动无较大影响。矿区水文地质条件属以大气降雨直接充水为主的简单类型。</w:t>
      </w:r>
    </w:p>
    <w:p w14:paraId="01D70D86">
      <w:pPr>
        <w:pStyle w:val="5"/>
        <w:spacing w:after="120"/>
        <w:rPr>
          <w:color w:val="000000" w:themeColor="text1"/>
          <w14:textFill>
            <w14:solidFill>
              <w14:schemeClr w14:val="tx1"/>
            </w14:solidFill>
          </w14:textFill>
        </w:rPr>
      </w:pPr>
      <w:bookmarkStart w:id="720" w:name="_Toc10050"/>
      <w:bookmarkStart w:id="721" w:name="_Toc2938"/>
      <w:bookmarkStart w:id="722" w:name="_Toc27858"/>
      <w:bookmarkStart w:id="723" w:name="_Toc215070166"/>
      <w:bookmarkStart w:id="724" w:name="_Toc16183"/>
      <w:bookmarkStart w:id="725" w:name="_Toc16429"/>
      <w:bookmarkStart w:id="726" w:name="_Toc16413"/>
      <w:bookmarkStart w:id="727" w:name="_Toc6662"/>
      <w:bookmarkStart w:id="728" w:name="_Toc22810"/>
      <w:bookmarkStart w:id="729" w:name="_Toc392680668"/>
      <w:bookmarkStart w:id="730" w:name="_Toc1064"/>
      <w:bookmarkStart w:id="731" w:name="_Toc29235"/>
      <w:bookmarkStart w:id="732" w:name="_Toc6846"/>
      <w:bookmarkStart w:id="733" w:name="_Toc27793"/>
      <w:bookmarkStart w:id="734" w:name="_Toc477"/>
      <w:r>
        <w:rPr>
          <w:rFonts w:hint="eastAsia"/>
          <w:color w:val="000000" w:themeColor="text1"/>
          <w14:textFill>
            <w14:solidFill>
              <w14:schemeClr w14:val="tx1"/>
            </w14:solidFill>
          </w14:textFill>
        </w:rPr>
        <w:t>2.3.5工程地质</w:t>
      </w:r>
      <w:bookmarkEnd w:id="679"/>
      <w:bookmarkEnd w:id="680"/>
      <w:r>
        <w:rPr>
          <w:rFonts w:hint="eastAsia"/>
          <w:color w:val="000000" w:themeColor="text1"/>
          <w14:textFill>
            <w14:solidFill>
              <w14:schemeClr w14:val="tx1"/>
            </w14:solidFill>
          </w14:textFill>
        </w:rPr>
        <w:t>概况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322E82E1">
      <w:pPr>
        <w:pStyle w:val="6"/>
        <w:spacing w:before="120" w:after="120"/>
        <w:rPr>
          <w:color w:val="000000" w:themeColor="text1"/>
          <w14:textFill>
            <w14:solidFill>
              <w14:schemeClr w14:val="tx1"/>
            </w14:solidFill>
          </w14:textFill>
        </w:rPr>
      </w:pPr>
      <w:bookmarkStart w:id="735" w:name="_Toc11781"/>
      <w:bookmarkStart w:id="736" w:name="_Toc7240"/>
      <w:bookmarkStart w:id="737" w:name="_Toc18962"/>
      <w:bookmarkStart w:id="738" w:name="_Toc27750"/>
      <w:bookmarkStart w:id="739" w:name="_Toc6343"/>
      <w:bookmarkStart w:id="740" w:name="_Toc29495"/>
      <w:bookmarkStart w:id="741" w:name="_Toc29584"/>
      <w:bookmarkStart w:id="742" w:name="_Toc215070167"/>
      <w:bookmarkStart w:id="743" w:name="_Toc22731"/>
      <w:bookmarkStart w:id="744" w:name="_Toc20001"/>
      <w:bookmarkStart w:id="745" w:name="_Toc296333459"/>
      <w:bookmarkStart w:id="746" w:name="_Toc294004308"/>
      <w:r>
        <w:rPr>
          <w:rFonts w:hint="eastAsia"/>
          <w:color w:val="000000" w:themeColor="text1"/>
          <w14:textFill>
            <w14:solidFill>
              <w14:schemeClr w14:val="tx1"/>
            </w14:solidFill>
          </w14:textFill>
        </w:rPr>
        <w:t>2.</w:t>
      </w:r>
      <w:r>
        <w:rPr>
          <w:color w:val="000000" w:themeColor="text1"/>
          <w14:textFill>
            <w14:solidFill>
              <w14:schemeClr w14:val="tx1"/>
            </w14:solidFill>
          </w14:textFill>
        </w:rPr>
        <w:t>3.5.</w:t>
      </w:r>
      <w:bookmarkEnd w:id="735"/>
      <w:bookmarkStart w:id="747" w:name="_Hlk178250627"/>
      <w:r>
        <w:rPr>
          <w:rFonts w:hint="eastAsia"/>
          <w:color w:val="000000" w:themeColor="text1"/>
          <w14:textFill>
            <w14:solidFill>
              <w14:schemeClr w14:val="tx1"/>
            </w14:solidFill>
          </w14:textFill>
        </w:rPr>
        <w:t>1工程地质</w:t>
      </w:r>
      <w:bookmarkEnd w:id="736"/>
      <w:bookmarkEnd w:id="737"/>
      <w:bookmarkEnd w:id="738"/>
      <w:bookmarkEnd w:id="739"/>
      <w:bookmarkEnd w:id="740"/>
      <w:bookmarkEnd w:id="741"/>
      <w:bookmarkEnd w:id="742"/>
      <w:bookmarkEnd w:id="743"/>
      <w:bookmarkEnd w:id="744"/>
      <w:bookmarkEnd w:id="747"/>
      <w:bookmarkStart w:id="748" w:name="_Toc15512"/>
      <w:bookmarkStart w:id="749" w:name="_Toc13290"/>
      <w:bookmarkStart w:id="750" w:name="_Toc2611"/>
      <w:bookmarkStart w:id="751" w:name="_Toc29334"/>
      <w:bookmarkStart w:id="752" w:name="_Toc24973"/>
      <w:bookmarkStart w:id="753" w:name="_Toc26039"/>
      <w:bookmarkStart w:id="754" w:name="_Toc25424"/>
      <w:bookmarkStart w:id="755" w:name="_Toc12144"/>
      <w:bookmarkStart w:id="756" w:name="_Toc25178"/>
      <w:bookmarkStart w:id="757" w:name="_Hlk178250644"/>
    </w:p>
    <w:p w14:paraId="3D5FCA3B">
      <w:pPr>
        <w:ind w:left="560" w:firstLine="0" w:firstLineChars="0"/>
        <w:rPr>
          <w:rFonts w:hint="eastAsia" w:ascii="宋体" w:hAnsi="宋体" w:cs="宋体"/>
          <w:b/>
          <w:snapToGrid w:val="0"/>
          <w:color w:val="000000" w:themeColor="text1"/>
          <w:kern w:val="0"/>
          <w:szCs w:val="28"/>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cs="宋体"/>
          <w:b/>
          <w:snapToGrid w:val="0"/>
          <w:color w:val="000000" w:themeColor="text1"/>
          <w:kern w:val="0"/>
          <w:szCs w:val="28"/>
          <w14:textFill>
            <w14:solidFill>
              <w14:schemeClr w14:val="tx1"/>
            </w14:solidFill>
          </w14:textFill>
        </w:rPr>
        <w:t>岩土体类型及特征</w:t>
      </w:r>
    </w:p>
    <w:p w14:paraId="1EDE17C5">
      <w:pPr>
        <w:ind w:firstLine="560"/>
        <w:rPr>
          <w:rFonts w:hint="eastAsia" w:ascii="宋体" w:hAnsi="宋体" w:cs="宋体"/>
          <w:color w:val="000000" w:themeColor="text1"/>
          <w:spacing w:val="-6"/>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矿区除在地形较低处分布少量第四系坡残积层（Q</w:t>
      </w:r>
      <w:r>
        <w:rPr>
          <w:rFonts w:hint="eastAsia" w:ascii="宋体" w:hAnsi="宋体" w:cs="宋体"/>
          <w:color w:val="000000" w:themeColor="text1"/>
          <w:szCs w:val="28"/>
          <w:vertAlign w:val="superscript"/>
          <w14:textFill>
            <w14:solidFill>
              <w14:schemeClr w14:val="tx1"/>
            </w14:solidFill>
          </w14:textFill>
        </w:rPr>
        <w:t>el+dl</w:t>
      </w:r>
      <w:r>
        <w:rPr>
          <w:rFonts w:hint="eastAsia" w:ascii="宋体" w:hAnsi="宋体" w:cs="宋体"/>
          <w:color w:val="000000" w:themeColor="text1"/>
          <w:szCs w:val="28"/>
          <w14:textFill>
            <w14:solidFill>
              <w14:schemeClr w14:val="tx1"/>
            </w14:solidFill>
          </w14:textFill>
        </w:rPr>
        <w:t>）外，广泛出露的是二叠系上统吴家坪组（P</w:t>
      </w:r>
      <w:r>
        <w:rPr>
          <w:rFonts w:hint="eastAsia" w:ascii="宋体" w:hAnsi="宋体" w:cs="宋体"/>
          <w:color w:val="000000" w:themeColor="text1"/>
          <w:szCs w:val="28"/>
          <w:vertAlign w:val="subscript"/>
          <w14:textFill>
            <w14:solidFill>
              <w14:schemeClr w14:val="tx1"/>
            </w14:solidFill>
          </w14:textFill>
        </w:rPr>
        <w:t>2</w:t>
      </w:r>
      <w:r>
        <w:rPr>
          <w:rFonts w:hint="eastAsia" w:ascii="宋体" w:hAnsi="宋体" w:cs="宋体"/>
          <w:color w:val="000000" w:themeColor="text1"/>
          <w:szCs w:val="28"/>
          <w14:textFill>
            <w14:solidFill>
              <w14:schemeClr w14:val="tx1"/>
            </w14:solidFill>
          </w14:textFill>
        </w:rPr>
        <w:t>w）地层</w:t>
      </w:r>
      <w:r>
        <w:rPr>
          <w:rFonts w:hint="eastAsia" w:ascii="宋体" w:hAnsi="宋体" w:cs="宋体"/>
          <w:color w:val="000000" w:themeColor="text1"/>
          <w:spacing w:val="-6"/>
          <w:szCs w:val="28"/>
          <w14:textFill>
            <w14:solidFill>
              <w14:schemeClr w14:val="tx1"/>
            </w14:solidFill>
          </w14:textFill>
        </w:rPr>
        <w:t>，根据地层岩土物理力学性质特征，将其分为</w:t>
      </w:r>
      <w:r>
        <w:rPr>
          <w:rFonts w:hint="eastAsia" w:ascii="宋体" w:hAnsi="宋体" w:cs="宋体"/>
          <w:color w:val="000000" w:themeColor="text1"/>
          <w:szCs w:val="28"/>
          <w14:textFill>
            <w14:solidFill>
              <w14:schemeClr w14:val="tx1"/>
            </w14:solidFill>
          </w14:textFill>
        </w:rPr>
        <w:t>松散软弱岩组</w:t>
      </w:r>
      <w:r>
        <w:rPr>
          <w:rFonts w:hint="eastAsia" w:ascii="宋体" w:hAnsi="宋体" w:cs="宋体"/>
          <w:color w:val="000000" w:themeColor="text1"/>
          <w:spacing w:val="-6"/>
          <w:szCs w:val="28"/>
          <w14:textFill>
            <w14:solidFill>
              <w14:schemeClr w14:val="tx1"/>
            </w14:solidFill>
          </w14:textFill>
        </w:rPr>
        <w:t xml:space="preserve">(I)、坚硬厚层块状中等岩溶化石灰岩岩组（Ⅱ）： </w:t>
      </w:r>
    </w:p>
    <w:p w14:paraId="4942AE57">
      <w:pPr>
        <w:spacing w:line="560" w:lineRule="exact"/>
        <w:ind w:firstLine="560"/>
        <w:rPr>
          <w:rFonts w:hint="eastAsia" w:ascii="宋体" w:hAnsi="宋体" w:cs="宋体"/>
          <w:color w:val="000000" w:themeColor="text1"/>
          <w:spacing w:val="-6"/>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松散软弱岩组</w:t>
      </w:r>
      <w:r>
        <w:rPr>
          <w:rFonts w:hint="eastAsia" w:ascii="宋体" w:hAnsi="宋体" w:cs="宋体"/>
          <w:color w:val="000000" w:themeColor="text1"/>
          <w:spacing w:val="-6"/>
          <w:szCs w:val="28"/>
          <w14:textFill>
            <w14:solidFill>
              <w14:schemeClr w14:val="tx1"/>
            </w14:solidFill>
          </w14:textFill>
        </w:rPr>
        <w:t>(I)</w:t>
      </w:r>
      <w:r>
        <w:rPr>
          <w:rFonts w:hint="eastAsia" w:ascii="宋体" w:hAnsi="宋体" w:cs="宋体"/>
          <w:b/>
          <w:color w:val="000000" w:themeColor="text1"/>
          <w:spacing w:val="-6"/>
          <w:szCs w:val="28"/>
          <w14:textFill>
            <w14:solidFill>
              <w14:schemeClr w14:val="tx1"/>
            </w14:solidFill>
          </w14:textFill>
        </w:rPr>
        <w:t>：</w:t>
      </w:r>
      <w:r>
        <w:rPr>
          <w:rFonts w:hint="eastAsia" w:ascii="宋体" w:hAnsi="宋体" w:cs="宋体"/>
          <w:color w:val="000000" w:themeColor="text1"/>
          <w:spacing w:val="-6"/>
          <w:szCs w:val="28"/>
          <w14:textFill>
            <w14:solidFill>
              <w14:schemeClr w14:val="tx1"/>
            </w14:solidFill>
          </w14:textFill>
        </w:rPr>
        <w:t>次生红粘土：褐红色、红褐色，可塑～硬塑状态，厚度0～12m，含5%～10%灰岩角砾，块径0.2—10cm，腐殖质含量&lt;5%。稍湿，厚度极不均匀，易受季节性降水冲蚀，强度低，因其在矿区内厚度极小，主要分布于矿区外围，对采场边坡稳定性影响小。</w:t>
      </w:r>
    </w:p>
    <w:p w14:paraId="1E272E47">
      <w:pPr>
        <w:tabs>
          <w:tab w:val="left" w:pos="5415"/>
        </w:tabs>
        <w:ind w:firstLine="536"/>
        <w:rPr>
          <w:rFonts w:hint="eastAsia" w:ascii="宋体" w:hAnsi="宋体" w:cs="宋体"/>
          <w:color w:val="000000" w:themeColor="text1"/>
          <w:spacing w:val="-6"/>
          <w:szCs w:val="28"/>
          <w14:textFill>
            <w14:solidFill>
              <w14:schemeClr w14:val="tx1"/>
            </w14:solidFill>
          </w14:textFill>
        </w:rPr>
      </w:pPr>
      <w:r>
        <w:rPr>
          <w:rFonts w:hint="eastAsia" w:ascii="宋体" w:hAnsi="宋体" w:cs="宋体"/>
          <w:color w:val="000000" w:themeColor="text1"/>
          <w:spacing w:val="-6"/>
          <w:szCs w:val="28"/>
          <w14:textFill>
            <w14:solidFill>
              <w14:schemeClr w14:val="tx1"/>
            </w14:solidFill>
          </w14:textFill>
        </w:rPr>
        <w:t>坚硬厚层块状中等岩溶化石灰岩岩组（Ⅱ）</w:t>
      </w:r>
      <w:r>
        <w:rPr>
          <w:rFonts w:hint="eastAsia" w:ascii="宋体" w:hAnsi="宋体" w:cs="宋体"/>
          <w:bCs/>
          <w:color w:val="000000" w:themeColor="text1"/>
          <w:spacing w:val="-6"/>
          <w:szCs w:val="28"/>
          <w14:textFill>
            <w14:solidFill>
              <w14:schemeClr w14:val="tx1"/>
            </w14:solidFill>
          </w14:textFill>
        </w:rPr>
        <w:t>：为灰色、灰白色厚—块状灰岩，中等风化，岩石坚硬，矿区内可见厚度130m，溶隙、溶穴发育，地表露头出露完整，多呈石芽、溶沟展布。岩层产状：175°∠36°。岩石节理裂隙较发育，主要节理有两组：</w:t>
      </w:r>
      <w:r>
        <w:rPr>
          <w:rFonts w:hint="eastAsia" w:ascii="宋体" w:hAnsi="宋体" w:cs="宋体"/>
          <w:bCs/>
          <w:color w:val="000000" w:themeColor="text1"/>
          <w:szCs w:val="28"/>
          <w14:textFill>
            <w14:solidFill>
              <w14:schemeClr w14:val="tx1"/>
            </w14:solidFill>
          </w14:textFill>
        </w:rPr>
        <w:t>J</w:t>
      </w:r>
      <w:r>
        <w:rPr>
          <w:rFonts w:hint="eastAsia" w:ascii="宋体" w:hAnsi="宋体" w:cs="宋体"/>
          <w:bCs/>
          <w:color w:val="000000" w:themeColor="text1"/>
          <w:szCs w:val="28"/>
          <w:vertAlign w:val="subscript"/>
          <w14:textFill>
            <w14:solidFill>
              <w14:schemeClr w14:val="tx1"/>
            </w14:solidFill>
          </w14:textFill>
        </w:rPr>
        <w:t>1</w:t>
      </w:r>
      <w:r>
        <w:rPr>
          <w:rFonts w:hint="eastAsia" w:ascii="宋体" w:hAnsi="宋体" w:cs="宋体"/>
          <w:bCs/>
          <w:color w:val="000000" w:themeColor="text1"/>
          <w:szCs w:val="28"/>
          <w14:textFill>
            <w14:solidFill>
              <w14:schemeClr w14:val="tx1"/>
            </w14:solidFill>
          </w14:textFill>
        </w:rPr>
        <w:t>:49°∠65°，延伸长度1</w:t>
      </w:r>
      <w:r>
        <w:rPr>
          <w:rFonts w:hint="eastAsia" w:ascii="宋体" w:hAnsi="宋体" w:cs="宋体"/>
          <w:color w:val="000000" w:themeColor="text1"/>
          <w:szCs w:val="28"/>
          <w14:textFill>
            <w14:solidFill>
              <w14:schemeClr w14:val="tx1"/>
            </w14:solidFill>
          </w14:textFill>
        </w:rPr>
        <w:t>～</w:t>
      </w:r>
      <w:r>
        <w:rPr>
          <w:rFonts w:hint="eastAsia" w:ascii="宋体" w:hAnsi="宋体" w:cs="宋体"/>
          <w:bCs/>
          <w:color w:val="000000" w:themeColor="text1"/>
          <w:szCs w:val="28"/>
          <w14:textFill>
            <w14:solidFill>
              <w14:schemeClr w14:val="tx1"/>
            </w14:solidFill>
          </w14:textFill>
        </w:rPr>
        <w:t>4m，裂隙宽约0.5</w:t>
      </w:r>
      <w:r>
        <w:rPr>
          <w:rFonts w:hint="eastAsia" w:ascii="宋体" w:hAnsi="宋体" w:cs="宋体"/>
          <w:color w:val="000000" w:themeColor="text1"/>
          <w:szCs w:val="28"/>
          <w14:textFill>
            <w14:solidFill>
              <w14:schemeClr w14:val="tx1"/>
            </w14:solidFill>
          </w14:textFill>
        </w:rPr>
        <w:t>～</w:t>
      </w:r>
      <w:r>
        <w:rPr>
          <w:rFonts w:hint="eastAsia" w:ascii="宋体" w:hAnsi="宋体" w:cs="宋体"/>
          <w:bCs/>
          <w:color w:val="000000" w:themeColor="text1"/>
          <w:szCs w:val="28"/>
          <w14:textFill>
            <w14:solidFill>
              <w14:schemeClr w14:val="tx1"/>
            </w14:solidFill>
          </w14:textFill>
        </w:rPr>
        <w:t>1mm，密度为4</w:t>
      </w:r>
      <w:r>
        <w:rPr>
          <w:rFonts w:hint="eastAsia" w:ascii="宋体" w:hAnsi="宋体" w:cs="宋体"/>
          <w:color w:val="000000" w:themeColor="text1"/>
          <w:szCs w:val="28"/>
          <w14:textFill>
            <w14:solidFill>
              <w14:schemeClr w14:val="tx1"/>
            </w14:solidFill>
          </w14:textFill>
        </w:rPr>
        <w:t>～</w:t>
      </w:r>
      <w:r>
        <w:rPr>
          <w:rFonts w:hint="eastAsia" w:ascii="宋体" w:hAnsi="宋体" w:cs="宋体"/>
          <w:bCs/>
          <w:color w:val="000000" w:themeColor="text1"/>
          <w:szCs w:val="28"/>
          <w14:textFill>
            <w14:solidFill>
              <w14:schemeClr w14:val="tx1"/>
            </w14:solidFill>
          </w14:textFill>
        </w:rPr>
        <w:t>5条/m；J</w:t>
      </w:r>
      <w:r>
        <w:rPr>
          <w:rFonts w:hint="eastAsia" w:ascii="宋体" w:hAnsi="宋体" w:cs="宋体"/>
          <w:bCs/>
          <w:color w:val="000000" w:themeColor="text1"/>
          <w:szCs w:val="28"/>
          <w:vertAlign w:val="subscript"/>
          <w14:textFill>
            <w14:solidFill>
              <w14:schemeClr w14:val="tx1"/>
            </w14:solidFill>
          </w14:textFill>
        </w:rPr>
        <w:t>2</w:t>
      </w:r>
      <w:r>
        <w:rPr>
          <w:rFonts w:hint="eastAsia" w:ascii="宋体" w:hAnsi="宋体" w:cs="宋体"/>
          <w:bCs/>
          <w:color w:val="000000" w:themeColor="text1"/>
          <w:szCs w:val="28"/>
          <w14:textFill>
            <w14:solidFill>
              <w14:schemeClr w14:val="tx1"/>
            </w14:solidFill>
          </w14:textFill>
        </w:rPr>
        <w:t>:225°∠74°，延伸长度＜50cm，裂隙宽约1</w:t>
      </w:r>
      <w:r>
        <w:rPr>
          <w:rFonts w:hint="eastAsia" w:ascii="宋体" w:hAnsi="宋体" w:cs="宋体"/>
          <w:color w:val="000000" w:themeColor="text1"/>
          <w:szCs w:val="28"/>
          <w14:textFill>
            <w14:solidFill>
              <w14:schemeClr w14:val="tx1"/>
            </w14:solidFill>
          </w14:textFill>
        </w:rPr>
        <w:t>～</w:t>
      </w:r>
      <w:r>
        <w:rPr>
          <w:rFonts w:hint="eastAsia" w:ascii="宋体" w:hAnsi="宋体" w:cs="宋体"/>
          <w:bCs/>
          <w:color w:val="000000" w:themeColor="text1"/>
          <w:szCs w:val="28"/>
          <w14:textFill>
            <w14:solidFill>
              <w14:schemeClr w14:val="tx1"/>
            </w14:solidFill>
          </w14:textFill>
        </w:rPr>
        <w:t>5mm，密度为2</w:t>
      </w:r>
      <w:r>
        <w:rPr>
          <w:rFonts w:hint="eastAsia" w:ascii="宋体" w:hAnsi="宋体" w:cs="宋体"/>
          <w:color w:val="000000" w:themeColor="text1"/>
          <w:szCs w:val="28"/>
          <w14:textFill>
            <w14:solidFill>
              <w14:schemeClr w14:val="tx1"/>
            </w14:solidFill>
          </w14:textFill>
        </w:rPr>
        <w:t>～</w:t>
      </w:r>
      <w:r>
        <w:rPr>
          <w:rFonts w:hint="eastAsia" w:ascii="宋体" w:hAnsi="宋体" w:cs="宋体"/>
          <w:bCs/>
          <w:color w:val="000000" w:themeColor="text1"/>
          <w:szCs w:val="28"/>
          <w14:textFill>
            <w14:solidFill>
              <w14:schemeClr w14:val="tx1"/>
            </w14:solidFill>
          </w14:textFill>
        </w:rPr>
        <w:t>3条/m。</w:t>
      </w:r>
      <w:r>
        <w:rPr>
          <w:rFonts w:hint="eastAsia" w:ascii="宋体" w:hAnsi="宋体" w:cs="宋体"/>
          <w:color w:val="000000" w:themeColor="text1"/>
          <w:spacing w:val="-6"/>
          <w:szCs w:val="28"/>
          <w14:textFill>
            <w14:solidFill>
              <w14:schemeClr w14:val="tx1"/>
            </w14:solidFill>
          </w14:textFill>
        </w:rPr>
        <w:t>采矿过程中边坡较大时，可能会形成小规模的坍塌，崩塌等地质灾害。</w:t>
      </w:r>
    </w:p>
    <w:p w14:paraId="60271822">
      <w:pPr>
        <w:rPr>
          <w:rFonts w:hint="eastAsia" w:ascii="宋体" w:hAnsi="宋体" w:cs="宋体"/>
          <w:b/>
          <w:snapToGrid w:val="0"/>
          <w:color w:val="000000" w:themeColor="text1"/>
          <w:kern w:val="0"/>
          <w:szCs w:val="28"/>
          <w14:textFill>
            <w14:solidFill>
              <w14:schemeClr w14:val="tx1"/>
            </w14:solidFill>
          </w14:textFill>
        </w:rPr>
      </w:pPr>
      <w:r>
        <w:rPr>
          <w:rFonts w:hint="eastAsia" w:ascii="宋体" w:hAnsi="宋体" w:cs="宋体"/>
          <w:b/>
          <w:snapToGrid w:val="0"/>
          <w:color w:val="000000" w:themeColor="text1"/>
          <w:kern w:val="0"/>
          <w:szCs w:val="28"/>
          <w14:textFill>
            <w14:solidFill>
              <w14:schemeClr w14:val="tx1"/>
            </w14:solidFill>
          </w14:textFill>
        </w:rPr>
        <w:t>2. 矿石物理力学性质</w:t>
      </w:r>
    </w:p>
    <w:p w14:paraId="56D5AEFC">
      <w:pPr>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区内石灰岩矿体产状稳定，层面发育。根据前述矿石物理力学性质试验结果，矿石抗压强度60～120MPa、抗拉强度为抗压强度的1/12，内摩擦角39°，矿石体重为2.6t/m</w:t>
      </w:r>
      <w:r>
        <w:rPr>
          <w:rFonts w:hint="eastAsia" w:ascii="宋体" w:hAnsi="宋体" w:cs="宋体"/>
          <w:color w:val="000000" w:themeColor="text1"/>
          <w:szCs w:val="28"/>
          <w:vertAlign w:val="superscript"/>
          <w14:textFill>
            <w14:solidFill>
              <w14:schemeClr w14:val="tx1"/>
            </w14:solidFill>
          </w14:textFill>
        </w:rPr>
        <w:t>3</w:t>
      </w:r>
      <w:r>
        <w:rPr>
          <w:rFonts w:hint="eastAsia" w:ascii="宋体" w:hAnsi="宋体" w:cs="宋体"/>
          <w:color w:val="000000" w:themeColor="text1"/>
          <w:szCs w:val="28"/>
          <w14:textFill>
            <w14:solidFill>
              <w14:schemeClr w14:val="tx1"/>
            </w14:solidFill>
          </w14:textFill>
        </w:rPr>
        <w:t>，莫氏硬度3.2，矿石为半坚硬</w:t>
      </w:r>
      <w:r>
        <w:rPr>
          <w:rFonts w:hint="eastAsia" w:ascii="宋体" w:hAnsi="宋体" w:cs="宋体"/>
          <w:bCs/>
          <w:color w:val="000000" w:themeColor="text1"/>
          <w:spacing w:val="-6"/>
          <w:szCs w:val="28"/>
          <w14:textFill>
            <w14:solidFill>
              <w14:schemeClr w14:val="tx1"/>
            </w14:solidFill>
          </w14:textFill>
        </w:rPr>
        <w:t>—</w:t>
      </w:r>
      <w:r>
        <w:rPr>
          <w:rFonts w:hint="eastAsia" w:ascii="宋体" w:hAnsi="宋体" w:cs="宋体"/>
          <w:color w:val="000000" w:themeColor="text1"/>
          <w:szCs w:val="28"/>
          <w14:textFill>
            <w14:solidFill>
              <w14:schemeClr w14:val="tx1"/>
            </w14:solidFill>
          </w14:textFill>
        </w:rPr>
        <w:t>坚硬岩石，岩石稳固性较强。</w:t>
      </w:r>
    </w:p>
    <w:p w14:paraId="5EA6E332">
      <w:pPr>
        <w:pStyle w:val="6"/>
        <w:spacing w:before="120" w:after="120"/>
        <w:rPr>
          <w:color w:val="000000" w:themeColor="text1"/>
          <w14:textFill>
            <w14:solidFill>
              <w14:schemeClr w14:val="tx1"/>
            </w14:solidFill>
          </w14:textFill>
        </w:rPr>
      </w:pPr>
      <w:bookmarkStart w:id="758" w:name="_Toc215070168"/>
      <w:r>
        <w:rPr>
          <w:rFonts w:hint="eastAsia"/>
          <w:color w:val="000000" w:themeColor="text1"/>
          <w14:textFill>
            <w14:solidFill>
              <w14:schemeClr w14:val="tx1"/>
            </w14:solidFill>
          </w14:textFill>
        </w:rPr>
        <w:t>2.</w:t>
      </w:r>
      <w:r>
        <w:rPr>
          <w:color w:val="000000" w:themeColor="text1"/>
          <w14:textFill>
            <w14:solidFill>
              <w14:schemeClr w14:val="tx1"/>
            </w14:solidFill>
          </w14:textFill>
        </w:rPr>
        <w:t>3.5.</w:t>
      </w:r>
      <w:r>
        <w:rPr>
          <w:rFonts w:hint="eastAsia"/>
          <w:color w:val="000000" w:themeColor="text1"/>
          <w14:textFill>
            <w14:solidFill>
              <w14:schemeClr w14:val="tx1"/>
            </w14:solidFill>
          </w14:textFill>
        </w:rPr>
        <w:t>2</w:t>
      </w:r>
      <w:bookmarkEnd w:id="748"/>
      <w:r>
        <w:rPr>
          <w:rFonts w:hint="eastAsia"/>
          <w:color w:val="000000" w:themeColor="text1"/>
          <w14:textFill>
            <w14:solidFill>
              <w14:schemeClr w14:val="tx1"/>
            </w14:solidFill>
          </w14:textFill>
        </w:rPr>
        <w:t>矿床顶底板及露采边坡稳定性分析</w:t>
      </w:r>
      <w:bookmarkEnd w:id="749"/>
      <w:bookmarkEnd w:id="750"/>
      <w:bookmarkEnd w:id="751"/>
      <w:bookmarkEnd w:id="752"/>
      <w:bookmarkEnd w:id="753"/>
      <w:bookmarkEnd w:id="754"/>
      <w:bookmarkEnd w:id="755"/>
      <w:bookmarkEnd w:id="756"/>
      <w:bookmarkEnd w:id="758"/>
    </w:p>
    <w:bookmarkEnd w:id="757"/>
    <w:p w14:paraId="4366D359">
      <w:pPr>
        <w:autoSpaceDE w:val="0"/>
        <w:autoSpaceDN w:val="0"/>
        <w:ind w:firstLine="560"/>
        <w:jc w:val="both"/>
        <w:rPr>
          <w:rFonts w:hint="eastAsia" w:ascii="宋体" w:hAnsi="宋体"/>
          <w:color w:val="000000" w:themeColor="text1"/>
          <w:kern w:val="0"/>
          <w:szCs w:val="28"/>
          <w14:textFill>
            <w14:solidFill>
              <w14:schemeClr w14:val="tx1"/>
            </w14:solidFill>
          </w14:textFill>
        </w:rPr>
      </w:pPr>
      <w:bookmarkStart w:id="759" w:name="_Toc10850"/>
      <w:bookmarkStart w:id="760" w:name="_Toc19570"/>
      <w:bookmarkStart w:id="761" w:name="_Toc27080"/>
      <w:bookmarkStart w:id="762" w:name="_Toc24131"/>
      <w:bookmarkStart w:id="763" w:name="_Toc12633"/>
      <w:bookmarkStart w:id="764" w:name="_Toc14938"/>
      <w:bookmarkStart w:id="765" w:name="_Toc29318"/>
      <w:bookmarkStart w:id="766" w:name="_Toc29526"/>
      <w:r>
        <w:rPr>
          <w:rFonts w:ascii="宋体" w:hAnsi="宋体"/>
          <w:color w:val="000000" w:themeColor="text1"/>
          <w:kern w:val="0"/>
          <w:szCs w:val="28"/>
          <w14:textFill>
            <w14:solidFill>
              <w14:schemeClr w14:val="tx1"/>
            </w14:solidFill>
          </w14:textFill>
        </w:rPr>
        <w:t>矿山开采为台阶式露天开采，最低开采标高均在地下水位以上，不存在边坡面上的侧向静水压力，矿体和围岩均由石灰岩构成。属坚硬岩石，边坡稳定、有利于矿山开采。根据矿区附近采场的现状调查，台阶坡面角65°左右时大致稳定，坡脚处坍塌、滑坡落石较少。台阶坡面角超过70°时，坡脚处有小型崩塌、滑坡现象，落石多，边坡稳定性较差。根据矿区岩石性质，建议矿山建设时采场台阶坡面角不大于65°。露天边坡属较稳定型边坡，露天采场属中等稳定型边坡。</w:t>
      </w:r>
    </w:p>
    <w:p w14:paraId="5AC6E388">
      <w:pPr>
        <w:autoSpaceDE w:val="0"/>
        <w:autoSpaceDN w:val="0"/>
        <w:ind w:firstLine="560"/>
        <w:jc w:val="both"/>
        <w:rPr>
          <w:rFonts w:hint="eastAsia" w:ascii="宋体" w:hAnsi="宋体"/>
          <w:color w:val="000000" w:themeColor="text1"/>
          <w:kern w:val="0"/>
          <w:szCs w:val="28"/>
          <w14:textFill>
            <w14:solidFill>
              <w14:schemeClr w14:val="tx1"/>
            </w14:solidFill>
          </w14:textFill>
        </w:rPr>
      </w:pPr>
      <w:r>
        <w:rPr>
          <w:rFonts w:ascii="宋体" w:hAnsi="宋体"/>
          <w:color w:val="000000" w:themeColor="text1"/>
          <w:kern w:val="0"/>
          <w:szCs w:val="28"/>
          <w14:textFill>
            <w14:solidFill>
              <w14:schemeClr w14:val="tx1"/>
            </w14:solidFill>
          </w14:textFill>
        </w:rPr>
        <w:t>采场开采中，必须严格执行设计台阶参数，坚持由上往下分台阶开采，禁止不分台阶、淘底式和扩壶式开采，同时还需做好采场边坡的护坡固坡、排水工作，确保采矿作业安全。</w:t>
      </w:r>
    </w:p>
    <w:p w14:paraId="1B13CF52">
      <w:pPr>
        <w:pStyle w:val="6"/>
        <w:spacing w:before="120" w:after="120"/>
        <w:rPr>
          <w:color w:val="000000" w:themeColor="text1"/>
          <w14:textFill>
            <w14:solidFill>
              <w14:schemeClr w14:val="tx1"/>
            </w14:solidFill>
          </w14:textFill>
        </w:rPr>
      </w:pPr>
      <w:bookmarkStart w:id="767" w:name="_Toc215070169"/>
      <w:r>
        <w:rPr>
          <w:rFonts w:hint="eastAsia"/>
          <w:color w:val="000000" w:themeColor="text1"/>
          <w14:textFill>
            <w14:solidFill>
              <w14:schemeClr w14:val="tx1"/>
            </w14:solidFill>
          </w14:textFill>
        </w:rPr>
        <w:t>2.3.5.3矿区工程地质条件小结</w:t>
      </w:r>
      <w:bookmarkEnd w:id="759"/>
      <w:bookmarkEnd w:id="760"/>
      <w:bookmarkEnd w:id="761"/>
      <w:bookmarkEnd w:id="762"/>
      <w:bookmarkEnd w:id="763"/>
      <w:bookmarkEnd w:id="764"/>
      <w:bookmarkEnd w:id="765"/>
      <w:bookmarkEnd w:id="766"/>
      <w:bookmarkEnd w:id="767"/>
    </w:p>
    <w:bookmarkEnd w:id="745"/>
    <w:bookmarkEnd w:id="746"/>
    <w:p w14:paraId="62053A61">
      <w:pPr>
        <w:adjustRightInd w:val="0"/>
        <w:snapToGrid w:val="0"/>
        <w:ind w:firstLine="560"/>
        <w:rPr>
          <w:rFonts w:hint="eastAsia" w:ascii="宋体" w:hAnsi="宋体" w:cs="宋体"/>
          <w:color w:val="000000" w:themeColor="text1"/>
          <w:szCs w:val="28"/>
          <w14:textFill>
            <w14:solidFill>
              <w14:schemeClr w14:val="tx1"/>
            </w14:solidFill>
          </w14:textFill>
        </w:rPr>
      </w:pPr>
      <w:bookmarkStart w:id="768" w:name="_Toc6711"/>
      <w:bookmarkStart w:id="769" w:name="_Toc8811"/>
      <w:bookmarkStart w:id="770" w:name="_Toc30830"/>
      <w:bookmarkStart w:id="771" w:name="_Toc19033"/>
      <w:bookmarkStart w:id="772" w:name="_Toc31336"/>
      <w:bookmarkStart w:id="773" w:name="_Toc8045"/>
      <w:bookmarkStart w:id="774" w:name="_Toc4282"/>
      <w:bookmarkStart w:id="775" w:name="_Toc5247"/>
      <w:bookmarkStart w:id="776" w:name="_Toc18091"/>
      <w:r>
        <w:rPr>
          <w:rFonts w:ascii="宋体" w:hAnsi="宋体" w:cs="宋体"/>
          <w:color w:val="000000" w:themeColor="text1"/>
          <w:szCs w:val="28"/>
          <w14:textFill>
            <w14:solidFill>
              <w14:schemeClr w14:val="tx1"/>
            </w14:solidFill>
          </w14:textFill>
        </w:rPr>
        <w:t>1.矿山开采过程中可能诱发的工程地质问题</w:t>
      </w:r>
    </w:p>
    <w:p w14:paraId="7D9D80EA">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由于采场边坡由松散软弱岩组和坚硬厚层块状中等岩溶化石灰岩岩组构成，岩土物理力学性质相对一般，当边坡角过大或不利组合结构面时，可能产生小规模滑坡、崩塌灾害。</w:t>
      </w:r>
    </w:p>
    <w:p w14:paraId="1E677D82">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2.建议采取的防治措施</w:t>
      </w:r>
    </w:p>
    <w:p w14:paraId="0346984E">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a.建议矿山建设时采场边坡角不大于65°。严格分台阶从上到下开采，台阶高度不大于15m，每三个台阶留一个安全平台，最终形成台阶式边坡。</w:t>
      </w:r>
    </w:p>
    <w:p w14:paraId="464DA507">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b.选择合适的场地修建废石、弃渣堆放场，防止造成（渣）泥石流，威胁山下安全。</w:t>
      </w:r>
    </w:p>
    <w:p w14:paraId="2BC0DC55">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c.由于岩（矿）层节理裂隙（隐伏）较发育，局部岩（矿）石破碎，当采矿后形成边坡，地应力释放，边坡高处岩矿石易产生卸荷裂隙，因此必须加强边坡监测，随时清除危石，发现边坡异常及时治理。</w:t>
      </w:r>
    </w:p>
    <w:p w14:paraId="20D16ABE">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d.各边坡上方松散岩类必须及时清除，并修筑排水引流工程，严防坡水冲刷边坡，流入采场，威胁边坡稳定和采场安全。</w:t>
      </w:r>
    </w:p>
    <w:p w14:paraId="1CF8C7E7">
      <w:pPr>
        <w:adjustRightInd w:val="0"/>
        <w:snapToGrid w:val="0"/>
        <w:ind w:firstLine="560"/>
        <w:rPr>
          <w:rFonts w:hint="eastAsia"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综上所述，矿区和采矿活动有关的地层为松散软弱岩组和坚硬厚层块状中等岩溶化石灰岩岩组，岩土物理力学性质一般，当边坡角过大或不利组合结构面时，可能产生小规模滑坡、崩塌灾害，故矿区工程地质勘查类型属坚硬厚层块状中等岩溶化石灰岩岩组为主的中等类型。</w:t>
      </w:r>
    </w:p>
    <w:p w14:paraId="0F19AA55">
      <w:pPr>
        <w:pStyle w:val="5"/>
        <w:spacing w:after="120"/>
        <w:rPr>
          <w:color w:val="000000" w:themeColor="text1"/>
          <w14:textFill>
            <w14:solidFill>
              <w14:schemeClr w14:val="tx1"/>
            </w14:solidFill>
          </w14:textFill>
        </w:rPr>
      </w:pPr>
      <w:bookmarkStart w:id="777" w:name="_Toc215070170"/>
      <w:r>
        <w:rPr>
          <w:rFonts w:hint="eastAsia"/>
          <w:color w:val="000000" w:themeColor="text1"/>
          <w14:textFill>
            <w14:solidFill>
              <w14:schemeClr w14:val="tx1"/>
            </w14:solidFill>
          </w14:textFill>
        </w:rPr>
        <w:t>2.3.6环境地质</w:t>
      </w:r>
      <w:bookmarkEnd w:id="768"/>
      <w:bookmarkEnd w:id="769"/>
      <w:bookmarkEnd w:id="770"/>
      <w:bookmarkEnd w:id="771"/>
      <w:bookmarkEnd w:id="772"/>
      <w:bookmarkEnd w:id="773"/>
      <w:bookmarkEnd w:id="774"/>
      <w:bookmarkEnd w:id="775"/>
      <w:bookmarkEnd w:id="776"/>
      <w:bookmarkEnd w:id="777"/>
    </w:p>
    <w:p w14:paraId="66A8484E">
      <w:pPr>
        <w:pStyle w:val="6"/>
        <w:spacing w:before="120" w:after="120"/>
        <w:rPr>
          <w:color w:val="000000" w:themeColor="text1"/>
          <w14:textFill>
            <w14:solidFill>
              <w14:schemeClr w14:val="tx1"/>
            </w14:solidFill>
          </w14:textFill>
        </w:rPr>
      </w:pPr>
      <w:bookmarkStart w:id="778" w:name="_Toc29322"/>
      <w:bookmarkStart w:id="779" w:name="_Toc215070171"/>
      <w:bookmarkStart w:id="780" w:name="_Toc7856"/>
      <w:bookmarkStart w:id="781" w:name="_Toc16750"/>
      <w:bookmarkStart w:id="782" w:name="_Toc21898"/>
      <w:bookmarkStart w:id="783" w:name="_Toc3137"/>
      <w:bookmarkStart w:id="784" w:name="_Toc25854"/>
      <w:bookmarkStart w:id="785" w:name="_Toc16903"/>
      <w:bookmarkStart w:id="786" w:name="_Toc28786"/>
      <w:bookmarkStart w:id="787" w:name="_Toc28269"/>
      <w:bookmarkStart w:id="788" w:name="_Toc123165089"/>
      <w:r>
        <w:rPr>
          <w:rFonts w:hint="eastAsia"/>
          <w:color w:val="000000" w:themeColor="text1"/>
          <w14:textFill>
            <w14:solidFill>
              <w14:schemeClr w14:val="tx1"/>
            </w14:solidFill>
          </w14:textFill>
        </w:rPr>
        <w:t>2.3.6.1</w:t>
      </w:r>
      <w:bookmarkEnd w:id="778"/>
      <w:r>
        <w:rPr>
          <w:rFonts w:hint="eastAsia"/>
          <w:color w:val="000000" w:themeColor="text1"/>
          <w14:textFill>
            <w14:solidFill>
              <w14:schemeClr w14:val="tx1"/>
            </w14:solidFill>
          </w14:textFill>
        </w:rPr>
        <w:t>矿区环境地质现状评价</w:t>
      </w:r>
      <w:bookmarkEnd w:id="779"/>
      <w:bookmarkEnd w:id="780"/>
      <w:bookmarkEnd w:id="781"/>
      <w:bookmarkEnd w:id="782"/>
      <w:bookmarkEnd w:id="783"/>
      <w:bookmarkEnd w:id="784"/>
      <w:bookmarkEnd w:id="785"/>
      <w:bookmarkEnd w:id="786"/>
      <w:bookmarkEnd w:id="787"/>
    </w:p>
    <w:p w14:paraId="60EAD8D6">
      <w:pPr>
        <w:ind w:firstLine="560"/>
        <w:rPr>
          <w:rFonts w:hint="eastAsia" w:ascii="宋体" w:hAnsi="宋体"/>
          <w:color w:val="000000" w:themeColor="text1"/>
          <w:szCs w:val="28"/>
          <w14:textFill>
            <w14:solidFill>
              <w14:schemeClr w14:val="tx1"/>
            </w14:solidFill>
          </w14:textFill>
        </w:rPr>
      </w:pPr>
      <w:bookmarkStart w:id="789" w:name="_Hlk178250737"/>
      <w:bookmarkStart w:id="790" w:name="_Toc15693"/>
      <w:bookmarkStart w:id="791" w:name="_Toc24221"/>
      <w:bookmarkStart w:id="792" w:name="_Toc23866"/>
      <w:bookmarkStart w:id="793" w:name="_Toc1080"/>
      <w:bookmarkStart w:id="794" w:name="_Toc19708"/>
      <w:bookmarkStart w:id="795" w:name="_Toc11435"/>
      <w:bookmarkStart w:id="796" w:name="_Toc24935"/>
      <w:bookmarkStart w:id="797" w:name="_Toc13205"/>
      <w:bookmarkStart w:id="798" w:name="_Toc29577"/>
      <w:r>
        <w:rPr>
          <w:rFonts w:ascii="宋体" w:hAnsi="宋体"/>
          <w:color w:val="000000" w:themeColor="text1"/>
          <w:szCs w:val="28"/>
          <w14:textFill>
            <w14:solidFill>
              <w14:schemeClr w14:val="tx1"/>
            </w14:solidFill>
          </w14:textFill>
        </w:rPr>
        <w:t>1、地震及区域地壳稳定性</w:t>
      </w:r>
    </w:p>
    <w:bookmarkEnd w:id="789"/>
    <w:p w14:paraId="2C8D774A">
      <w:pPr>
        <w:adjustRightInd w:val="0"/>
        <w:snapToGrid w:val="0"/>
        <w:ind w:firstLine="560"/>
        <w:rPr>
          <w:rFonts w:hint="eastAsia" w:ascii="宋体" w:hAnsi="宋体" w:cs="宋体"/>
          <w:color w:val="000000" w:themeColor="text1"/>
          <w:szCs w:val="28"/>
          <w14:textFill>
            <w14:solidFill>
              <w14:schemeClr w14:val="tx1"/>
            </w14:solidFill>
          </w14:textFill>
        </w:rPr>
      </w:pPr>
      <w:bookmarkStart w:id="799" w:name="_Hlk178250747"/>
      <w:r>
        <w:rPr>
          <w:rFonts w:hint="eastAsia" w:ascii="宋体" w:hAnsi="宋体" w:cs="宋体"/>
          <w:color w:val="000000" w:themeColor="text1"/>
          <w:szCs w:val="28"/>
          <w14:textFill>
            <w14:solidFill>
              <w14:schemeClr w14:val="tx1"/>
            </w14:solidFill>
          </w14:textFill>
        </w:rPr>
        <w:t>根据云南省地震目录记载，从公元886年到现在，广南县没有发生过破坏性地震，但从20世纪60年代以来，文山—麻栗坡断裂带活动频繁，导致小地震多发，仅1985年1～5月就发生1.1～2.4级地震达21次之多，广南县有不同程度的震感。根据《中国地震动参数区划图》(GB18306-2015)划分，矿区所在的广南县地震动峰值加速度为</w:t>
      </w:r>
      <w:r>
        <w:rPr>
          <w:rFonts w:ascii="宋体" w:hAnsi="宋体" w:cs="宋体"/>
          <w:color w:val="000000" w:themeColor="text1"/>
          <w:szCs w:val="28"/>
          <w14:textFill>
            <w14:solidFill>
              <w14:schemeClr w14:val="tx1"/>
            </w14:solidFill>
          </w14:textFill>
        </w:rPr>
        <w:t>0.05</w:t>
      </w:r>
      <w:r>
        <w:rPr>
          <w:rFonts w:hint="eastAsia" w:ascii="宋体" w:hAnsi="宋体" w:cs="宋体"/>
          <w:color w:val="000000" w:themeColor="text1"/>
          <w:szCs w:val="28"/>
          <w14:textFill>
            <w14:solidFill>
              <w14:schemeClr w14:val="tx1"/>
            </w14:solidFill>
          </w14:textFill>
        </w:rPr>
        <w:t>g</w:t>
      </w:r>
      <w:r>
        <w:rPr>
          <w:rFonts w:ascii="宋体" w:hAnsi="宋体" w:cs="宋体"/>
          <w:color w:val="000000" w:themeColor="text1"/>
          <w:szCs w:val="28"/>
          <w14:textFill>
            <w14:solidFill>
              <w14:schemeClr w14:val="tx1"/>
            </w14:solidFill>
          </w14:textFill>
        </w:rPr>
        <w:t>，地震动反应谱特征周期为0.</w:t>
      </w:r>
      <w:r>
        <w:rPr>
          <w:rFonts w:hint="eastAsia" w:ascii="宋体" w:hAnsi="宋体" w:cs="宋体"/>
          <w:color w:val="000000" w:themeColor="text1"/>
          <w:szCs w:val="28"/>
          <w14:textFill>
            <w14:solidFill>
              <w14:schemeClr w14:val="tx1"/>
            </w14:solidFill>
          </w14:textFill>
        </w:rPr>
        <w:t>40s,根据《建筑抗震设计标准》(GB/T 50011-</w:t>
      </w:r>
      <w:r>
        <w:rPr>
          <w:rFonts w:hint="eastAsia" w:ascii="宋体" w:hAnsi="宋体"/>
          <w:color w:val="000000" w:themeColor="text1"/>
          <w:szCs w:val="28"/>
          <w14:textFill>
            <w14:solidFill>
              <w14:schemeClr w14:val="tx1"/>
            </w14:solidFill>
          </w14:textFill>
        </w:rPr>
        <w:t>2010[2024年版])</w:t>
      </w:r>
      <w:r>
        <w:rPr>
          <w:rFonts w:hint="eastAsia" w:ascii="宋体" w:hAnsi="宋体" w:cs="宋体"/>
          <w:color w:val="000000" w:themeColor="text1"/>
          <w:szCs w:val="28"/>
          <w14:textFill>
            <w14:solidFill>
              <w14:schemeClr w14:val="tx1"/>
            </w14:solidFill>
          </w14:textFill>
        </w:rPr>
        <w:t>附录A.0.22划分，矿区所在的旧莫乡抗震设防烈度为6度，设计基本地震加速度值为0.05g，所属设计地震分组为第二组。因此，矿山建设和开采均应按大于为6度设防。</w:t>
      </w:r>
    </w:p>
    <w:p w14:paraId="4A261ACA">
      <w:pPr>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2、地质灾害及不良地质现象</w:t>
      </w:r>
    </w:p>
    <w:bookmarkEnd w:id="799"/>
    <w:p w14:paraId="32DE871C">
      <w:pPr>
        <w:adjustRightInd w:val="0"/>
        <w:snapToGrid w:val="0"/>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矿区内目前无崩塌、滑坡、泥石流等地质灾害；矿区开采矿体位于潜水面之上，矿山建设不会引起当地地下水位下降而诱发地表变形产生地裂缝、塌陷等自然灾害；采场边坡为散体结构松散软弱岩组和</w:t>
      </w:r>
      <w:r>
        <w:rPr>
          <w:rFonts w:hint="eastAsia" w:ascii="宋体" w:hAnsi="宋体" w:cs="宋体"/>
          <w:color w:val="000000" w:themeColor="text1"/>
          <w:spacing w:val="-6"/>
          <w:szCs w:val="28"/>
          <w14:textFill>
            <w14:solidFill>
              <w14:schemeClr w14:val="tx1"/>
            </w14:solidFill>
          </w14:textFill>
        </w:rPr>
        <w:t>较坚硬层状结构中等岩溶化灰岩岩组</w:t>
      </w:r>
      <w:r>
        <w:rPr>
          <w:rFonts w:hint="eastAsia" w:ascii="宋体" w:hAnsi="宋体" w:cs="宋体"/>
          <w:color w:val="000000" w:themeColor="text1"/>
          <w:szCs w:val="28"/>
          <w14:textFill>
            <w14:solidFill>
              <w14:schemeClr w14:val="tx1"/>
            </w14:solidFill>
          </w14:textFill>
        </w:rPr>
        <w:t>构成的边坡稳定性一般，当边坡角过大或不利组合结构面时，可能产生小规模坍塌，崩塌灾害；因此，露采时，必须将采场边坡角控制在合理范围内，其次还须做好采场周边系统的地表截、排水和必要的边坡防护工作。</w:t>
      </w:r>
    </w:p>
    <w:p w14:paraId="1DF1FAD7">
      <w:pPr>
        <w:pStyle w:val="6"/>
        <w:spacing w:before="120" w:after="120"/>
        <w:rPr>
          <w:color w:val="000000" w:themeColor="text1"/>
          <w14:textFill>
            <w14:solidFill>
              <w14:schemeClr w14:val="tx1"/>
            </w14:solidFill>
          </w14:textFill>
        </w:rPr>
      </w:pPr>
      <w:bookmarkStart w:id="800" w:name="_Toc215070172"/>
      <w:r>
        <w:rPr>
          <w:rFonts w:hint="eastAsia"/>
          <w:color w:val="000000" w:themeColor="text1"/>
          <w14:textFill>
            <w14:solidFill>
              <w14:schemeClr w14:val="tx1"/>
            </w14:solidFill>
          </w14:textFill>
        </w:rPr>
        <w:t>2.3.6.2</w:t>
      </w:r>
      <w:r>
        <w:rPr>
          <w:color w:val="000000" w:themeColor="text1"/>
          <w14:textFill>
            <w14:solidFill>
              <w14:schemeClr w14:val="tx1"/>
            </w14:solidFill>
          </w14:textFill>
        </w:rPr>
        <w:t>矿区地质环境预测分析</w:t>
      </w:r>
      <w:bookmarkEnd w:id="790"/>
      <w:bookmarkEnd w:id="791"/>
      <w:bookmarkEnd w:id="792"/>
      <w:bookmarkEnd w:id="793"/>
      <w:bookmarkEnd w:id="794"/>
      <w:bookmarkEnd w:id="795"/>
      <w:bookmarkEnd w:id="796"/>
      <w:bookmarkEnd w:id="797"/>
      <w:bookmarkEnd w:id="798"/>
      <w:bookmarkEnd w:id="800"/>
    </w:p>
    <w:p w14:paraId="6730D063">
      <w:pPr>
        <w:ind w:firstLine="560"/>
        <w:rPr>
          <w:rFonts w:hint="eastAsia" w:ascii="宋体" w:hAnsi="宋体"/>
          <w:color w:val="000000" w:themeColor="text1"/>
          <w:szCs w:val="28"/>
          <w14:textFill>
            <w14:solidFill>
              <w14:schemeClr w14:val="tx1"/>
            </w14:solidFill>
          </w14:textFill>
        </w:rPr>
      </w:pPr>
      <w:bookmarkStart w:id="801" w:name="_Toc25578"/>
      <w:bookmarkStart w:id="802" w:name="_Toc3905"/>
      <w:bookmarkStart w:id="803" w:name="_Toc10267"/>
      <w:bookmarkStart w:id="804" w:name="_Toc10721"/>
      <w:bookmarkStart w:id="805" w:name="_Toc29770"/>
      <w:bookmarkStart w:id="806" w:name="_Toc6517"/>
      <w:bookmarkStart w:id="807" w:name="_Toc20364"/>
      <w:bookmarkStart w:id="808" w:name="_Toc2467"/>
      <w:bookmarkStart w:id="809" w:name="_Hlk178250789"/>
      <w:r>
        <w:rPr>
          <w:rFonts w:hint="eastAsia" w:ascii="宋体" w:hAnsi="宋体"/>
          <w:color w:val="000000" w:themeColor="text1"/>
          <w:szCs w:val="28"/>
          <w14:textFill>
            <w14:solidFill>
              <w14:schemeClr w14:val="tx1"/>
            </w14:solidFill>
          </w14:textFill>
        </w:rPr>
        <w:t>目前矿山开采已形成了一个面积约为58697m</w:t>
      </w:r>
      <w:r>
        <w:rPr>
          <w:rFonts w:hint="eastAsia" w:ascii="宋体" w:hAnsi="宋体"/>
          <w:color w:val="000000" w:themeColor="text1"/>
          <w:szCs w:val="28"/>
          <w:vertAlign w:val="superscript"/>
          <w14:textFill>
            <w14:solidFill>
              <w14:schemeClr w14:val="tx1"/>
            </w14:solidFill>
          </w14:textFill>
        </w:rPr>
        <w:t>2</w:t>
      </w:r>
      <w:r>
        <w:rPr>
          <w:rFonts w:hint="eastAsia" w:ascii="宋体" w:hAnsi="宋体"/>
          <w:color w:val="000000" w:themeColor="text1"/>
          <w:szCs w:val="28"/>
          <w14:textFill>
            <w14:solidFill>
              <w14:schemeClr w14:val="tx1"/>
            </w14:solidFill>
          </w14:textFill>
        </w:rPr>
        <w:t>近似“长方形”的采场，矿山开采方式为露天开采，未及时进行复垦，对矿区地表植被造成严重破坏。</w:t>
      </w:r>
    </w:p>
    <w:p w14:paraId="56B74E57">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总之，矿区周边无崩塌、滑坡、泥石流等地质灾害。含矿地层及周围地层中化学组分稳定，没有影响人体健康的有害元素、放射性元素、有害气体。开采过程中亦不会对水源造成污染。由于采场边坡由散体结构松散软弱岩组和较坚硬层状结构中等岩溶化灰岩岩组构成，岩土物理力学性质相对一般，当边坡角过大或不利组合结构面时，可能产生小规模滑坡、崩塌灾害；由于矿山开采已形成一个面积约为58697m</w:t>
      </w:r>
      <w:r>
        <w:rPr>
          <w:rFonts w:hint="eastAsia" w:ascii="宋体" w:hAnsi="宋体"/>
          <w:color w:val="000000" w:themeColor="text1"/>
          <w:szCs w:val="28"/>
          <w:vertAlign w:val="superscript"/>
          <w14:textFill>
            <w14:solidFill>
              <w14:schemeClr w14:val="tx1"/>
            </w14:solidFill>
          </w14:textFill>
        </w:rPr>
        <w:t>2</w:t>
      </w:r>
      <w:r>
        <w:rPr>
          <w:rFonts w:hint="eastAsia" w:ascii="宋体" w:hAnsi="宋体"/>
          <w:color w:val="000000" w:themeColor="text1"/>
          <w:szCs w:val="28"/>
          <w14:textFill>
            <w14:solidFill>
              <w14:schemeClr w14:val="tx1"/>
            </w14:solidFill>
          </w14:textFill>
        </w:rPr>
        <w:t>近似“长方形”的露天采场，未及时进行复垦，对矿区地表植被造成严重破坏。</w:t>
      </w:r>
    </w:p>
    <w:p w14:paraId="51453A6B">
      <w:pPr>
        <w:adjustRightInd w:val="0"/>
        <w:snapToGrid w:val="0"/>
        <w:ind w:firstLine="560"/>
        <w:rPr>
          <w:rFonts w:hint="eastAsia" w:ascii="宋体" w:hAnsi="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综上所述，矿区地质环境质量中等。</w:t>
      </w:r>
    </w:p>
    <w:p w14:paraId="67DEFA67">
      <w:pPr>
        <w:pStyle w:val="6"/>
        <w:spacing w:before="120" w:after="120"/>
        <w:rPr>
          <w:color w:val="000000" w:themeColor="text1"/>
          <w14:textFill>
            <w14:solidFill>
              <w14:schemeClr w14:val="tx1"/>
            </w14:solidFill>
          </w14:textFill>
        </w:rPr>
      </w:pPr>
      <w:bookmarkStart w:id="810" w:name="_Toc215070173"/>
      <w:r>
        <w:rPr>
          <w:rFonts w:hint="eastAsia"/>
          <w:color w:val="000000" w:themeColor="text1"/>
          <w14:textFill>
            <w14:solidFill>
              <w14:schemeClr w14:val="tx1"/>
            </w14:solidFill>
          </w14:textFill>
        </w:rPr>
        <w:t>2.3.6.3地质灾害防治措施及建议</w:t>
      </w:r>
      <w:bookmarkEnd w:id="801"/>
      <w:bookmarkEnd w:id="802"/>
      <w:bookmarkEnd w:id="803"/>
      <w:bookmarkEnd w:id="804"/>
      <w:bookmarkEnd w:id="805"/>
      <w:bookmarkEnd w:id="806"/>
      <w:bookmarkEnd w:id="807"/>
      <w:bookmarkEnd w:id="808"/>
      <w:bookmarkEnd w:id="810"/>
    </w:p>
    <w:p w14:paraId="703931F5">
      <w:pPr>
        <w:ind w:firstLine="584"/>
        <w:jc w:val="both"/>
        <w:rPr>
          <w:rFonts w:hint="eastAsia" w:ascii="宋体" w:hAnsi="宋体"/>
          <w:color w:val="000000" w:themeColor="text1"/>
          <w:spacing w:val="6"/>
          <w:szCs w:val="28"/>
          <w14:textFill>
            <w14:solidFill>
              <w14:schemeClr w14:val="tx1"/>
            </w14:solidFill>
          </w14:textFill>
        </w:rPr>
      </w:pPr>
      <w:r>
        <w:rPr>
          <w:rFonts w:hint="eastAsia" w:ascii="宋体" w:hAnsi="宋体"/>
          <w:color w:val="000000" w:themeColor="text1"/>
          <w:spacing w:val="6"/>
          <w:szCs w:val="28"/>
          <w14:textFill>
            <w14:solidFill>
              <w14:schemeClr w14:val="tx1"/>
            </w14:solidFill>
          </w14:textFill>
        </w:rPr>
        <w:t>1、</w:t>
      </w:r>
      <w:r>
        <w:rPr>
          <w:rFonts w:ascii="宋体" w:hAnsi="宋体"/>
          <w:color w:val="000000" w:themeColor="text1"/>
          <w:spacing w:val="6"/>
          <w:szCs w:val="28"/>
          <w14:textFill>
            <w14:solidFill>
              <w14:schemeClr w14:val="tx1"/>
            </w14:solidFill>
          </w14:textFill>
        </w:rPr>
        <w:t>建立地质灾害监测网络，分析和掌握地质灾害发展趋势，作出预警预报，视其规模及危害，及时采取必要的工程处治措施。</w:t>
      </w:r>
    </w:p>
    <w:p w14:paraId="5D3E7D76">
      <w:pPr>
        <w:ind w:firstLine="584"/>
        <w:jc w:val="both"/>
        <w:rPr>
          <w:rFonts w:hint="eastAsia" w:ascii="宋体" w:hAnsi="宋体"/>
          <w:color w:val="000000" w:themeColor="text1"/>
          <w:spacing w:val="6"/>
          <w:szCs w:val="28"/>
          <w14:textFill>
            <w14:solidFill>
              <w14:schemeClr w14:val="tx1"/>
            </w14:solidFill>
          </w14:textFill>
        </w:rPr>
      </w:pPr>
      <w:r>
        <w:rPr>
          <w:rFonts w:hint="eastAsia" w:ascii="宋体" w:hAnsi="宋体"/>
          <w:color w:val="000000" w:themeColor="text1"/>
          <w:spacing w:val="6"/>
          <w:szCs w:val="28"/>
          <w14:textFill>
            <w14:solidFill>
              <w14:schemeClr w14:val="tx1"/>
            </w14:solidFill>
          </w14:textFill>
        </w:rPr>
        <w:t>2、</w:t>
      </w:r>
      <w:r>
        <w:rPr>
          <w:rFonts w:ascii="宋体" w:hAnsi="宋体"/>
          <w:color w:val="000000" w:themeColor="text1"/>
          <w:spacing w:val="6"/>
          <w:szCs w:val="28"/>
          <w14:textFill>
            <w14:solidFill>
              <w14:schemeClr w14:val="tx1"/>
            </w14:solidFill>
          </w14:textFill>
        </w:rPr>
        <w:t>加强环保意识，严密规划，有序生产。</w:t>
      </w:r>
    </w:p>
    <w:p w14:paraId="416002A4">
      <w:pPr>
        <w:ind w:firstLine="584"/>
        <w:jc w:val="both"/>
        <w:rPr>
          <w:rFonts w:hint="eastAsia" w:ascii="宋体" w:hAnsi="宋体"/>
          <w:color w:val="000000" w:themeColor="text1"/>
          <w:spacing w:val="6"/>
          <w:szCs w:val="28"/>
          <w14:textFill>
            <w14:solidFill>
              <w14:schemeClr w14:val="tx1"/>
            </w14:solidFill>
          </w14:textFill>
        </w:rPr>
      </w:pPr>
      <w:r>
        <w:rPr>
          <w:rFonts w:hint="eastAsia" w:ascii="宋体" w:hAnsi="宋体"/>
          <w:color w:val="000000" w:themeColor="text1"/>
          <w:spacing w:val="6"/>
          <w:szCs w:val="28"/>
          <w14:textFill>
            <w14:solidFill>
              <w14:schemeClr w14:val="tx1"/>
            </w14:solidFill>
          </w14:textFill>
        </w:rPr>
        <w:t>3、</w:t>
      </w:r>
      <w:r>
        <w:rPr>
          <w:rFonts w:ascii="宋体" w:hAnsi="宋体"/>
          <w:color w:val="000000" w:themeColor="text1"/>
          <w:spacing w:val="6"/>
          <w:szCs w:val="28"/>
          <w14:textFill>
            <w14:solidFill>
              <w14:schemeClr w14:val="tx1"/>
            </w14:solidFill>
          </w14:textFill>
        </w:rPr>
        <w:t>矿山采矿过程中注意边坡的稳定性，并对边坡进行监测</w:t>
      </w:r>
      <w:bookmarkEnd w:id="809"/>
      <w:bookmarkStart w:id="811" w:name="_Hlk178250817"/>
      <w:r>
        <w:rPr>
          <w:rFonts w:hint="eastAsia" w:ascii="宋体" w:hAnsi="宋体"/>
          <w:color w:val="000000" w:themeColor="text1"/>
          <w:spacing w:val="6"/>
          <w:szCs w:val="28"/>
          <w14:textFill>
            <w14:solidFill>
              <w14:schemeClr w14:val="tx1"/>
            </w14:solidFill>
          </w14:textFill>
        </w:rPr>
        <w:t>。</w:t>
      </w:r>
    </w:p>
    <w:p w14:paraId="1B522133">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4、露采时，必须将采场边坡角控制在合理范围内，严格分台阶从上到下开采，禁止掏底式和括弧式开采。</w:t>
      </w:r>
    </w:p>
    <w:p w14:paraId="38D07047">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5、须做好采场周边系统的地表截、排水和必要的边坡防护工作。</w:t>
      </w:r>
    </w:p>
    <w:p w14:paraId="2F7029F6">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6、开采中做好降尘防范措施，保证工作人员健康，减少粉尘污染，及时对采空区进行治理，恢复矿山的生态功能。</w:t>
      </w:r>
    </w:p>
    <w:bookmarkEnd w:id="657"/>
    <w:bookmarkEnd w:id="658"/>
    <w:bookmarkEnd w:id="659"/>
    <w:bookmarkEnd w:id="660"/>
    <w:bookmarkEnd w:id="661"/>
    <w:bookmarkEnd w:id="662"/>
    <w:bookmarkEnd w:id="663"/>
    <w:bookmarkEnd w:id="664"/>
    <w:bookmarkEnd w:id="788"/>
    <w:bookmarkEnd w:id="811"/>
    <w:p w14:paraId="7D0697DB">
      <w:pPr>
        <w:pStyle w:val="5"/>
        <w:spacing w:after="120"/>
        <w:rPr>
          <w:color w:val="000000" w:themeColor="text1"/>
          <w14:textFill>
            <w14:solidFill>
              <w14:schemeClr w14:val="tx1"/>
            </w14:solidFill>
          </w14:textFill>
        </w:rPr>
      </w:pPr>
      <w:bookmarkStart w:id="812" w:name="_Toc30420"/>
      <w:bookmarkStart w:id="813" w:name="_Toc28106"/>
      <w:bookmarkStart w:id="814" w:name="_Toc24700"/>
      <w:bookmarkStart w:id="815" w:name="_Toc22828"/>
      <w:bookmarkStart w:id="816" w:name="_Toc31854"/>
      <w:bookmarkStart w:id="817" w:name="_Toc215070174"/>
      <w:bookmarkStart w:id="818" w:name="_Toc17754"/>
      <w:bookmarkStart w:id="819" w:name="_Toc17291"/>
      <w:bookmarkStart w:id="820" w:name="_Toc9614"/>
      <w:bookmarkStart w:id="821" w:name="_Toc17604"/>
      <w:bookmarkStart w:id="822" w:name="_Toc294004295"/>
      <w:bookmarkStart w:id="823" w:name="_Toc296333454"/>
      <w:bookmarkStart w:id="824" w:name="_Toc140123923"/>
      <w:r>
        <w:rPr>
          <w:rFonts w:hint="eastAsia"/>
          <w:color w:val="000000" w:themeColor="text1"/>
          <w14:textFill>
            <w14:solidFill>
              <w14:schemeClr w14:val="tx1"/>
            </w14:solidFill>
          </w14:textFill>
        </w:rPr>
        <w:t>2.3.7矿山开采技术条件小结</w:t>
      </w:r>
      <w:bookmarkEnd w:id="812"/>
      <w:bookmarkEnd w:id="813"/>
      <w:bookmarkEnd w:id="814"/>
      <w:bookmarkEnd w:id="815"/>
      <w:bookmarkEnd w:id="816"/>
      <w:bookmarkEnd w:id="817"/>
      <w:bookmarkEnd w:id="818"/>
      <w:bookmarkEnd w:id="819"/>
      <w:bookmarkEnd w:id="820"/>
      <w:bookmarkEnd w:id="821"/>
    </w:p>
    <w:p w14:paraId="00FCB66E">
      <w:pPr>
        <w:pStyle w:val="6"/>
        <w:spacing w:before="120" w:after="120"/>
        <w:rPr>
          <w:color w:val="000000" w:themeColor="text1"/>
          <w14:textFill>
            <w14:solidFill>
              <w14:schemeClr w14:val="tx1"/>
            </w14:solidFill>
          </w14:textFill>
        </w:rPr>
      </w:pPr>
      <w:bookmarkStart w:id="825" w:name="_Toc126"/>
      <w:bookmarkStart w:id="826" w:name="_Toc11173"/>
      <w:bookmarkStart w:id="827" w:name="_Toc7858"/>
      <w:bookmarkStart w:id="828" w:name="_Toc28056"/>
      <w:bookmarkStart w:id="829" w:name="_Toc4100"/>
      <w:bookmarkStart w:id="830" w:name="_Toc14503"/>
      <w:bookmarkStart w:id="831" w:name="_Toc9590"/>
      <w:bookmarkStart w:id="832" w:name="_Toc2654"/>
      <w:bookmarkStart w:id="833" w:name="_Toc215070175"/>
      <w:bookmarkStart w:id="834" w:name="_Toc366442660"/>
      <w:r>
        <w:rPr>
          <w:rFonts w:hint="eastAsia"/>
          <w:color w:val="000000" w:themeColor="text1"/>
          <w14:textFill>
            <w14:solidFill>
              <w14:schemeClr w14:val="tx1"/>
            </w14:solidFill>
          </w14:textFill>
        </w:rPr>
        <w:t>2.3.7.1</w:t>
      </w:r>
      <w:r>
        <w:rPr>
          <w:color w:val="000000" w:themeColor="text1"/>
          <w14:textFill>
            <w14:solidFill>
              <w14:schemeClr w14:val="tx1"/>
            </w14:solidFill>
          </w14:textFill>
        </w:rPr>
        <w:t>开采技术条件</w:t>
      </w:r>
      <w:bookmarkEnd w:id="825"/>
      <w:bookmarkEnd w:id="826"/>
      <w:bookmarkEnd w:id="827"/>
      <w:bookmarkEnd w:id="828"/>
      <w:bookmarkEnd w:id="829"/>
      <w:bookmarkEnd w:id="830"/>
      <w:bookmarkEnd w:id="831"/>
      <w:bookmarkEnd w:id="832"/>
      <w:bookmarkEnd w:id="833"/>
    </w:p>
    <w:p w14:paraId="79EF55D3">
      <w:pPr>
        <w:adjustRightInd w:val="0"/>
        <w:snapToGrid w:val="0"/>
        <w:ind w:firstLine="568"/>
        <w:rPr>
          <w:rFonts w:hint="eastAsia" w:ascii="宋体" w:hAnsi="宋体" w:cs="宋体"/>
          <w:color w:val="000000" w:themeColor="text1"/>
          <w:szCs w:val="28"/>
          <w14:textFill>
            <w14:solidFill>
              <w14:schemeClr w14:val="tx1"/>
            </w14:solidFill>
          </w14:textFill>
        </w:rPr>
      </w:pPr>
      <w:r>
        <w:rPr>
          <w:rFonts w:hint="eastAsia"/>
          <w:color w:val="000000" w:themeColor="text1"/>
          <w:spacing w:val="2"/>
          <w:szCs w:val="28"/>
          <w14:textFill>
            <w14:solidFill>
              <w14:schemeClr w14:val="tx1"/>
            </w14:solidFill>
          </w14:textFill>
        </w:rPr>
        <w:t>1、</w:t>
      </w:r>
      <w:r>
        <w:rPr>
          <w:color w:val="000000" w:themeColor="text1"/>
          <w:spacing w:val="7"/>
          <w:szCs w:val="28"/>
          <w14:textFill>
            <w14:solidFill>
              <w14:schemeClr w14:val="tx1"/>
            </w14:solidFill>
          </w14:textFill>
        </w:rPr>
        <w:t>水文地质条件</w:t>
      </w:r>
      <w:r>
        <w:rPr>
          <w:rFonts w:hint="eastAsia"/>
          <w:color w:val="000000" w:themeColor="text1"/>
          <w:spacing w:val="7"/>
          <w:szCs w:val="28"/>
          <w14:textFill>
            <w14:solidFill>
              <w14:schemeClr w14:val="tx1"/>
            </w14:solidFill>
          </w14:textFill>
        </w:rPr>
        <w:t>。</w:t>
      </w:r>
      <w:r>
        <w:rPr>
          <w:rFonts w:hint="eastAsia" w:ascii="宋体" w:hAnsi="宋体" w:cs="宋体"/>
          <w:color w:val="000000" w:themeColor="text1"/>
          <w:szCs w:val="28"/>
          <w14:textFill>
            <w14:solidFill>
              <w14:schemeClr w14:val="tx1"/>
            </w14:solidFill>
          </w14:textFill>
        </w:rPr>
        <w:t>矿区水文地质勘查类型条件属简单类型。矿区采场沿坡布置呈斜坡状，矿体倾向与山坡斜交，主要水源补给为大气降雨，矿区内地形利于大气降水排泄。矿区内开采矿体全部位于潜水面之上，且矿区及周围未见地表水体及地下水出露，地下水对矿体基本无影响。</w:t>
      </w:r>
    </w:p>
    <w:p w14:paraId="6DBC84E0">
      <w:pPr>
        <w:adjustRightInd w:val="0"/>
        <w:snapToGrid w:val="0"/>
        <w:ind w:firstLine="556"/>
        <w:rPr>
          <w:rFonts w:hint="eastAsia" w:ascii="宋体" w:hAnsi="宋体" w:cs="宋体"/>
          <w:color w:val="000000" w:themeColor="text1"/>
          <w:szCs w:val="28"/>
          <w14:textFill>
            <w14:solidFill>
              <w14:schemeClr w14:val="tx1"/>
            </w14:solidFill>
          </w14:textFill>
        </w:rPr>
      </w:pPr>
      <w:r>
        <w:rPr>
          <w:rFonts w:hint="eastAsia"/>
          <w:color w:val="000000" w:themeColor="text1"/>
          <w:spacing w:val="-1"/>
          <w:szCs w:val="28"/>
          <w14:textFill>
            <w14:solidFill>
              <w14:schemeClr w14:val="tx1"/>
            </w14:solidFill>
          </w14:textFill>
        </w:rPr>
        <w:t>2、</w:t>
      </w:r>
      <w:r>
        <w:rPr>
          <w:color w:val="000000" w:themeColor="text1"/>
          <w:spacing w:val="7"/>
          <w:szCs w:val="28"/>
          <w14:textFill>
            <w14:solidFill>
              <w14:schemeClr w14:val="tx1"/>
            </w14:solidFill>
          </w14:textFill>
        </w:rPr>
        <w:t>工程地质条件</w:t>
      </w:r>
      <w:r>
        <w:rPr>
          <w:rFonts w:hint="eastAsia" w:ascii="宋体" w:hAnsi="宋体"/>
          <w:color w:val="000000" w:themeColor="text1"/>
          <w:spacing w:val="7"/>
          <w:szCs w:val="28"/>
          <w14:textFill>
            <w14:solidFill>
              <w14:schemeClr w14:val="tx1"/>
            </w14:solidFill>
          </w14:textFill>
        </w:rPr>
        <w:t>。</w:t>
      </w:r>
      <w:r>
        <w:rPr>
          <w:rFonts w:hint="eastAsia" w:ascii="宋体" w:hAnsi="宋体" w:cs="宋体"/>
          <w:color w:val="000000" w:themeColor="text1"/>
          <w:szCs w:val="28"/>
          <w14:textFill>
            <w14:solidFill>
              <w14:schemeClr w14:val="tx1"/>
            </w14:solidFill>
          </w14:textFill>
        </w:rPr>
        <w:t>矿区和采矿活动有关的地层为松散软弱岩组和</w:t>
      </w:r>
      <w:r>
        <w:rPr>
          <w:rFonts w:hint="eastAsia" w:ascii="宋体" w:hAnsi="宋体" w:cs="宋体"/>
          <w:color w:val="000000" w:themeColor="text1"/>
          <w:spacing w:val="-6"/>
          <w:szCs w:val="28"/>
          <w14:textFill>
            <w14:solidFill>
              <w14:schemeClr w14:val="tx1"/>
            </w14:solidFill>
          </w14:textFill>
        </w:rPr>
        <w:t>坚硬厚层块状中等岩溶化石灰岩岩组</w:t>
      </w:r>
      <w:r>
        <w:rPr>
          <w:rFonts w:hint="eastAsia" w:ascii="宋体" w:hAnsi="宋体" w:cs="宋体"/>
          <w:color w:val="000000" w:themeColor="text1"/>
          <w:szCs w:val="28"/>
          <w14:textFill>
            <w14:solidFill>
              <w14:schemeClr w14:val="tx1"/>
            </w14:solidFill>
          </w14:textFill>
        </w:rPr>
        <w:t>，岩土物理力学性质一般，当边坡角过大或不利组合结构面时，可能产生小规模滑坡、崩塌灾害，矿区工程地质勘察类型属</w:t>
      </w:r>
      <w:r>
        <w:rPr>
          <w:rFonts w:hint="eastAsia" w:ascii="宋体" w:hAnsi="宋体" w:cs="宋体"/>
          <w:color w:val="000000" w:themeColor="text1"/>
          <w:spacing w:val="-6"/>
          <w:szCs w:val="28"/>
          <w14:textFill>
            <w14:solidFill>
              <w14:schemeClr w14:val="tx1"/>
            </w14:solidFill>
          </w14:textFill>
        </w:rPr>
        <w:t>坚硬厚层块状中等岩溶化石灰岩岩组</w:t>
      </w:r>
      <w:r>
        <w:rPr>
          <w:rFonts w:hint="eastAsia" w:ascii="宋体" w:hAnsi="宋体" w:cs="宋体"/>
          <w:color w:val="000000" w:themeColor="text1"/>
          <w:szCs w:val="28"/>
          <w14:textFill>
            <w14:solidFill>
              <w14:schemeClr w14:val="tx1"/>
            </w14:solidFill>
          </w14:textFill>
        </w:rPr>
        <w:t xml:space="preserve">为主的中等类型。 </w:t>
      </w:r>
    </w:p>
    <w:p w14:paraId="7442691A">
      <w:pPr>
        <w:adjustRightInd w:val="0"/>
        <w:snapToGrid w:val="0"/>
        <w:ind w:firstLine="604"/>
        <w:rPr>
          <w:rFonts w:hint="eastAsia" w:ascii="宋体" w:hAnsi="宋体" w:cs="宋体"/>
          <w:color w:val="000000" w:themeColor="text1"/>
          <w:szCs w:val="28"/>
          <w14:textFill>
            <w14:solidFill>
              <w14:schemeClr w14:val="tx1"/>
            </w14:solidFill>
          </w14:textFill>
        </w:rPr>
      </w:pPr>
      <w:r>
        <w:rPr>
          <w:rFonts w:hint="eastAsia"/>
          <w:color w:val="000000" w:themeColor="text1"/>
          <w:spacing w:val="11"/>
          <w:szCs w:val="28"/>
          <w14:textFill>
            <w14:solidFill>
              <w14:schemeClr w14:val="tx1"/>
            </w14:solidFill>
          </w14:textFill>
        </w:rPr>
        <w:t>3、</w:t>
      </w:r>
      <w:r>
        <w:rPr>
          <w:rFonts w:ascii="宋体" w:hAnsi="宋体"/>
          <w:color w:val="000000" w:themeColor="text1"/>
          <w:szCs w:val="28"/>
          <w14:textFill>
            <w14:solidFill>
              <w14:schemeClr w14:val="tx1"/>
            </w14:solidFill>
          </w14:textFill>
        </w:rPr>
        <w:t>环境</w:t>
      </w:r>
      <w:r>
        <w:rPr>
          <w:rFonts w:ascii="宋体" w:hAnsi="宋体"/>
          <w:color w:val="000000" w:themeColor="text1"/>
          <w:spacing w:val="-1"/>
          <w:szCs w:val="28"/>
          <w14:textFill>
            <w14:solidFill>
              <w14:schemeClr w14:val="tx1"/>
            </w14:solidFill>
          </w14:textFill>
        </w:rPr>
        <w:t>地质条件</w:t>
      </w:r>
      <w:r>
        <w:rPr>
          <w:rFonts w:hint="eastAsia" w:ascii="宋体" w:hAnsi="宋体"/>
          <w:color w:val="000000" w:themeColor="text1"/>
          <w:spacing w:val="-1"/>
          <w:szCs w:val="28"/>
          <w14:textFill>
            <w14:solidFill>
              <w14:schemeClr w14:val="tx1"/>
            </w14:solidFill>
          </w14:textFill>
        </w:rPr>
        <w:t>。</w:t>
      </w:r>
      <w:bookmarkEnd w:id="834"/>
      <w:bookmarkStart w:id="835" w:name="_Toc366442661"/>
      <w:bookmarkStart w:id="836" w:name="_Toc20933"/>
      <w:bookmarkStart w:id="837" w:name="_Toc26262"/>
      <w:bookmarkStart w:id="838" w:name="_Toc9473"/>
      <w:bookmarkStart w:id="839" w:name="_Toc16166"/>
      <w:bookmarkStart w:id="840" w:name="_Toc18874"/>
      <w:bookmarkStart w:id="841" w:name="_Toc26885"/>
      <w:bookmarkStart w:id="842" w:name="_Toc9059"/>
      <w:bookmarkStart w:id="843" w:name="_Toc18889"/>
      <w:r>
        <w:rPr>
          <w:rFonts w:hint="eastAsia" w:ascii="宋体" w:hAnsi="宋体" w:cs="宋体"/>
          <w:color w:val="000000" w:themeColor="text1"/>
          <w:szCs w:val="28"/>
          <w14:textFill>
            <w14:solidFill>
              <w14:schemeClr w14:val="tx1"/>
            </w14:solidFill>
          </w14:textFill>
        </w:rPr>
        <w:t>矿区周边无崩塌、滑坡、泥石流等地质灾害。含矿地层及周围地层中化学组分稳定，没有影响人体健康的有害元素、放射性元素、有害气体。开采过程中亦不会对水源造成污染。由于采场边坡由松散软弱岩组和</w:t>
      </w:r>
      <w:r>
        <w:rPr>
          <w:rFonts w:hint="eastAsia" w:ascii="宋体" w:hAnsi="宋体" w:cs="宋体"/>
          <w:color w:val="000000" w:themeColor="text1"/>
          <w:spacing w:val="-6"/>
          <w:szCs w:val="28"/>
          <w14:textFill>
            <w14:solidFill>
              <w14:schemeClr w14:val="tx1"/>
            </w14:solidFill>
          </w14:textFill>
        </w:rPr>
        <w:t>坚硬厚层块状中等岩溶化石灰岩岩组</w:t>
      </w:r>
      <w:r>
        <w:rPr>
          <w:rFonts w:hint="eastAsia" w:ascii="宋体" w:hAnsi="宋体" w:cs="宋体"/>
          <w:color w:val="000000" w:themeColor="text1"/>
          <w:szCs w:val="28"/>
          <w14:textFill>
            <w14:solidFill>
              <w14:schemeClr w14:val="tx1"/>
            </w14:solidFill>
          </w14:textFill>
        </w:rPr>
        <w:t>构成，岩土物理力学性质相对一般，当边坡角过大或不利组合结构面时，可能产生小规模滑坡、崩塌灾害；矿山目前开采已形成一个近似“长方形”的采场，矿山开采方式为露天开采，未及时进行复垦，对矿区地表植被造成严重破坏。</w:t>
      </w:r>
    </w:p>
    <w:p w14:paraId="32C701A8">
      <w:pPr>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.2</w:t>
      </w:r>
      <w:bookmarkEnd w:id="835"/>
      <w:r>
        <w:rPr>
          <w:rFonts w:hint="eastAsia"/>
          <w:color w:val="000000" w:themeColor="text1"/>
          <w14:textFill>
            <w14:solidFill>
              <w14:schemeClr w14:val="tx1"/>
            </w14:solidFill>
          </w14:textFill>
        </w:rPr>
        <w:t>小结</w:t>
      </w:r>
      <w:bookmarkEnd w:id="836"/>
      <w:bookmarkEnd w:id="837"/>
      <w:bookmarkEnd w:id="838"/>
      <w:bookmarkEnd w:id="839"/>
      <w:bookmarkEnd w:id="840"/>
      <w:bookmarkEnd w:id="841"/>
      <w:bookmarkEnd w:id="842"/>
      <w:bookmarkEnd w:id="843"/>
    </w:p>
    <w:p w14:paraId="17976393">
      <w:pPr>
        <w:adjustRightInd w:val="0"/>
        <w:snapToGrid w:val="0"/>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矿区水文地质勘查类型条件属简单类，矿区工程地质勘察类型属</w:t>
      </w:r>
      <w:r>
        <w:rPr>
          <w:rFonts w:hint="eastAsia" w:ascii="宋体" w:hAnsi="宋体" w:cs="宋体"/>
          <w:color w:val="000000" w:themeColor="text1"/>
          <w:spacing w:val="-6"/>
          <w:szCs w:val="28"/>
          <w14:textFill>
            <w14:solidFill>
              <w14:schemeClr w14:val="tx1"/>
            </w14:solidFill>
          </w14:textFill>
        </w:rPr>
        <w:t>坚硬厚层块状中等岩溶化石灰岩岩组</w:t>
      </w:r>
      <w:r>
        <w:rPr>
          <w:rFonts w:hint="eastAsia" w:ascii="宋体" w:hAnsi="宋体" w:cs="宋体"/>
          <w:color w:val="000000" w:themeColor="text1"/>
          <w:szCs w:val="28"/>
          <w14:textFill>
            <w14:solidFill>
              <w14:schemeClr w14:val="tx1"/>
            </w14:solidFill>
          </w14:textFill>
        </w:rPr>
        <w:t>为主的中等类型，矿区地质环境质量中等。</w:t>
      </w:r>
    </w:p>
    <w:p w14:paraId="25D3B434">
      <w:pPr>
        <w:adjustRightInd w:val="0"/>
        <w:snapToGrid w:val="0"/>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综上所述，矿区开采技术条件属以工程地质与环境地质复合问题为主的矿床（Ⅱ-4）。</w:t>
      </w:r>
    </w:p>
    <w:bookmarkEnd w:id="822"/>
    <w:bookmarkEnd w:id="823"/>
    <w:p w14:paraId="45B4F267">
      <w:pPr>
        <w:pStyle w:val="4"/>
        <w:spacing w:before="240" w:after="120"/>
        <w:rPr>
          <w:color w:val="000000" w:themeColor="text1"/>
          <w14:textFill>
            <w14:solidFill>
              <w14:schemeClr w14:val="tx1"/>
            </w14:solidFill>
          </w14:textFill>
        </w:rPr>
      </w:pPr>
      <w:bookmarkStart w:id="844" w:name="_Toc26274"/>
      <w:bookmarkStart w:id="845" w:name="_Toc13412"/>
      <w:bookmarkStart w:id="846" w:name="_Toc15296"/>
      <w:bookmarkStart w:id="847" w:name="_Toc14931"/>
      <w:bookmarkStart w:id="848" w:name="_Toc13093"/>
      <w:bookmarkStart w:id="849" w:name="_Toc13128"/>
      <w:bookmarkStart w:id="850" w:name="_Toc11278"/>
      <w:bookmarkStart w:id="851" w:name="_Toc32003"/>
      <w:bookmarkStart w:id="852" w:name="_Toc19860"/>
      <w:bookmarkStart w:id="853" w:name="_Toc30730"/>
      <w:bookmarkStart w:id="854" w:name="_Toc392680670"/>
      <w:bookmarkStart w:id="855" w:name="_Toc21662"/>
      <w:bookmarkStart w:id="856" w:name="_Toc19948"/>
      <w:bookmarkStart w:id="857" w:name="_Toc215070176"/>
      <w:bookmarkStart w:id="858" w:name="_Toc30918"/>
      <w:bookmarkStart w:id="859" w:name="_Toc3391"/>
      <w:r>
        <w:rPr>
          <w:rFonts w:hint="eastAsia"/>
          <w:color w:val="000000" w:themeColor="text1"/>
          <w14:textFill>
            <w14:solidFill>
              <w14:schemeClr w14:val="tx1"/>
            </w14:solidFill>
          </w14:textFill>
        </w:rPr>
        <w:t>2.4工程建设方案</w:t>
      </w:r>
      <w:bookmarkEnd w:id="665"/>
      <w:bookmarkEnd w:id="666"/>
      <w:bookmarkEnd w:id="667"/>
      <w:bookmarkEnd w:id="668"/>
      <w:bookmarkEnd w:id="824"/>
      <w:r>
        <w:rPr>
          <w:rFonts w:hint="eastAsia"/>
          <w:color w:val="000000" w:themeColor="text1"/>
          <w14:textFill>
            <w14:solidFill>
              <w14:schemeClr w14:val="tx1"/>
            </w14:solidFill>
          </w14:textFill>
        </w:rPr>
        <w:t>概况</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49C42625">
      <w:pPr>
        <w:pStyle w:val="5"/>
        <w:spacing w:after="120"/>
        <w:rPr>
          <w:color w:val="000000" w:themeColor="text1"/>
          <w14:textFill>
            <w14:solidFill>
              <w14:schemeClr w14:val="tx1"/>
            </w14:solidFill>
          </w14:textFill>
        </w:rPr>
      </w:pPr>
      <w:bookmarkStart w:id="860" w:name="_Toc26859"/>
      <w:bookmarkStart w:id="861" w:name="_Toc18954"/>
      <w:bookmarkStart w:id="862" w:name="_Toc16937"/>
      <w:bookmarkStart w:id="863" w:name="_Toc21729"/>
      <w:bookmarkStart w:id="864" w:name="_Toc5957"/>
      <w:bookmarkStart w:id="865" w:name="_Toc16878"/>
      <w:bookmarkStart w:id="866" w:name="_Toc14326"/>
      <w:bookmarkStart w:id="867" w:name="_Toc20224"/>
      <w:bookmarkStart w:id="868" w:name="_Toc392680671"/>
      <w:bookmarkStart w:id="869" w:name="_Toc4589"/>
      <w:bookmarkStart w:id="870" w:name="_Toc28758"/>
      <w:bookmarkStart w:id="871" w:name="_Toc18834"/>
      <w:bookmarkStart w:id="872" w:name="_Toc7191"/>
      <w:bookmarkStart w:id="873" w:name="_Toc215070177"/>
      <w:bookmarkStart w:id="874" w:name="_Toc24132"/>
      <w:bookmarkStart w:id="875" w:name="_Toc105675511"/>
      <w:bookmarkStart w:id="876" w:name="_Toc140123924"/>
      <w:bookmarkStart w:id="877" w:name="_Toc105674793"/>
      <w:bookmarkStart w:id="878" w:name="_Toc105730356"/>
      <w:bookmarkStart w:id="879" w:name="_Toc105675991"/>
      <w:r>
        <w:rPr>
          <w:rFonts w:hint="eastAsia"/>
          <w:color w:val="000000" w:themeColor="text1"/>
          <w14:textFill>
            <w14:solidFill>
              <w14:schemeClr w14:val="tx1"/>
            </w14:solidFill>
          </w14:textFill>
        </w:rPr>
        <w:t>2.4.1矿山开采现状</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bookmarkEnd w:id="875"/>
    <w:bookmarkEnd w:id="876"/>
    <w:bookmarkEnd w:id="877"/>
    <w:bookmarkEnd w:id="878"/>
    <w:bookmarkEnd w:id="879"/>
    <w:p w14:paraId="04F83349">
      <w:pPr>
        <w:ind w:firstLine="560"/>
        <w:rPr>
          <w:color w:val="000000" w:themeColor="text1"/>
          <w14:textFill>
            <w14:solidFill>
              <w14:schemeClr w14:val="tx1"/>
            </w14:solidFill>
          </w14:textFill>
        </w:rPr>
      </w:pPr>
      <w:bookmarkStart w:id="880" w:name="_Toc28504"/>
      <w:bookmarkStart w:id="881" w:name="_Toc7103"/>
      <w:bookmarkStart w:id="882" w:name="_Toc392680672"/>
      <w:bookmarkStart w:id="883" w:name="_Toc17471"/>
      <w:bookmarkStart w:id="884" w:name="_Toc26369"/>
      <w:bookmarkStart w:id="885" w:name="_Toc16466"/>
      <w:r>
        <w:rPr>
          <w:color w:val="000000" w:themeColor="text1"/>
          <w14:textFill>
            <w14:solidFill>
              <w14:schemeClr w14:val="tx1"/>
            </w14:solidFill>
          </w14:textFill>
        </w:rPr>
        <w:drawing>
          <wp:anchor distT="0" distB="0" distL="114300" distR="114300" simplePos="0" relativeHeight="251665408" behindDoc="1" locked="0" layoutInCell="1" allowOverlap="1">
            <wp:simplePos x="0" y="0"/>
            <wp:positionH relativeFrom="column">
              <wp:posOffset>356870</wp:posOffset>
            </wp:positionH>
            <wp:positionV relativeFrom="paragraph">
              <wp:posOffset>433705</wp:posOffset>
            </wp:positionV>
            <wp:extent cx="5407025" cy="3041015"/>
            <wp:effectExtent l="0" t="0" r="3175" b="6985"/>
            <wp:wrapTight wrapText="bothSides">
              <wp:wrapPolygon>
                <wp:start x="0" y="0"/>
                <wp:lineTo x="0" y="21514"/>
                <wp:lineTo x="21537" y="21514"/>
                <wp:lineTo x="21537" y="0"/>
                <wp:lineTo x="0" y="0"/>
              </wp:wrapPolygon>
            </wp:wrapTight>
            <wp:docPr id="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07025" cy="3041015"/>
                    </a:xfrm>
                    <a:prstGeom prst="rect">
                      <a:avLst/>
                    </a:prstGeom>
                    <a:noFill/>
                    <a:ln>
                      <a:noFill/>
                    </a:ln>
                  </pic:spPr>
                </pic:pic>
              </a:graphicData>
            </a:graphic>
          </wp:anchor>
        </w:drawing>
      </w: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矿山开采现状</w:t>
      </w:r>
      <w:r>
        <w:rPr>
          <w:rFonts w:hint="eastAsia"/>
          <w:color w:val="000000" w:themeColor="text1"/>
          <w:szCs w:val="28"/>
          <w14:textFill>
            <w14:solidFill>
              <w14:schemeClr w14:val="tx1"/>
            </w14:solidFill>
          </w14:textFill>
        </w:rPr>
        <w:t>图见</w:t>
      </w:r>
      <w:r>
        <w:rPr>
          <w:color w:val="000000" w:themeColor="text1"/>
          <w:szCs w:val="28"/>
          <w14:textFill>
            <w14:solidFill>
              <w14:schemeClr w14:val="tx1"/>
            </w14:solidFill>
          </w14:textFill>
        </w:rPr>
        <w:t>图</w:t>
      </w:r>
      <w:r>
        <w:rPr>
          <w:rFonts w:hint="eastAsia"/>
          <w:color w:val="000000" w:themeColor="text1"/>
          <w:szCs w:val="28"/>
          <w14:textFill>
            <w14:solidFill>
              <w14:schemeClr w14:val="tx1"/>
            </w14:solidFill>
          </w14:textFill>
        </w:rPr>
        <w:t>2.4-1、</w:t>
      </w:r>
      <w:r>
        <w:rPr>
          <w:color w:val="000000" w:themeColor="text1"/>
          <w:szCs w:val="28"/>
          <w14:textFill>
            <w14:solidFill>
              <w14:schemeClr w14:val="tx1"/>
            </w14:solidFill>
          </w14:textFill>
        </w:rPr>
        <w:t>图</w:t>
      </w:r>
      <w:r>
        <w:rPr>
          <w:rFonts w:hint="eastAsia"/>
          <w:color w:val="000000" w:themeColor="text1"/>
          <w:szCs w:val="28"/>
          <w14:textFill>
            <w14:solidFill>
              <w14:schemeClr w14:val="tx1"/>
            </w14:solidFill>
          </w14:textFill>
        </w:rPr>
        <w:t>2.4-2、2.4-3、2.4-4</w:t>
      </w:r>
    </w:p>
    <w:p w14:paraId="40D422D4">
      <w:pPr>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2.4-1</w:t>
      </w:r>
      <w:r>
        <w:rPr>
          <w:b/>
          <w:bCs/>
          <w:color w:val="000000" w:themeColor="text1"/>
          <w:sz w:val="24"/>
          <w14:textFill>
            <w14:solidFill>
              <w14:schemeClr w14:val="tx1"/>
            </w14:solidFill>
          </w14:textFill>
        </w:rPr>
        <w:t xml:space="preserve"> 矿山开采现状</w:t>
      </w:r>
      <w:r>
        <w:rPr>
          <w:rFonts w:hint="eastAsia"/>
          <w:b/>
          <w:bCs/>
          <w:color w:val="000000" w:themeColor="text1"/>
          <w:sz w:val="24"/>
          <w14:textFill>
            <w14:solidFill>
              <w14:schemeClr w14:val="tx1"/>
            </w14:solidFill>
          </w14:textFill>
        </w:rPr>
        <w:t>（一）</w:t>
      </w:r>
    </w:p>
    <w:p w14:paraId="2548F868">
      <w:pPr>
        <w:ind w:firstLine="0" w:firstLineChars="0"/>
        <w:jc w:val="both"/>
        <w:rPr>
          <w:color w:val="000000" w:themeColor="text1"/>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1" locked="0" layoutInCell="1" allowOverlap="1">
            <wp:simplePos x="0" y="0"/>
            <wp:positionH relativeFrom="column">
              <wp:posOffset>356235</wp:posOffset>
            </wp:positionH>
            <wp:positionV relativeFrom="paragraph">
              <wp:posOffset>6985</wp:posOffset>
            </wp:positionV>
            <wp:extent cx="5343525" cy="4023360"/>
            <wp:effectExtent l="0" t="0" r="0" b="0"/>
            <wp:wrapTight wrapText="bothSides">
              <wp:wrapPolygon>
                <wp:start x="0" y="0"/>
                <wp:lineTo x="0" y="21477"/>
                <wp:lineTo x="21561" y="21477"/>
                <wp:lineTo x="21561" y="0"/>
                <wp:lineTo x="0" y="0"/>
              </wp:wrapPolygon>
            </wp:wrapTight>
            <wp:docPr id="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43525" cy="4023360"/>
                    </a:xfrm>
                    <a:prstGeom prst="rect">
                      <a:avLst/>
                    </a:prstGeom>
                    <a:noFill/>
                    <a:ln>
                      <a:noFill/>
                    </a:ln>
                  </pic:spPr>
                </pic:pic>
              </a:graphicData>
            </a:graphic>
          </wp:anchor>
        </w:drawing>
      </w:r>
    </w:p>
    <w:p w14:paraId="7B6E7C01">
      <w:pPr>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2.4-2</w:t>
      </w:r>
      <w:r>
        <w:rPr>
          <w:b/>
          <w:bCs/>
          <w:color w:val="000000" w:themeColor="text1"/>
          <w:sz w:val="24"/>
          <w14:textFill>
            <w14:solidFill>
              <w14:schemeClr w14:val="tx1"/>
            </w14:solidFill>
          </w14:textFill>
        </w:rPr>
        <w:t xml:space="preserve"> 矿山开采现状</w:t>
      </w:r>
      <w:r>
        <w:rPr>
          <w:rFonts w:hint="eastAsia"/>
          <w:b/>
          <w:bCs/>
          <w:color w:val="000000" w:themeColor="text1"/>
          <w:sz w:val="24"/>
          <w14:textFill>
            <w14:solidFill>
              <w14:schemeClr w14:val="tx1"/>
            </w14:solidFill>
          </w14:textFill>
        </w:rPr>
        <w:t>图（二）</w:t>
      </w:r>
    </w:p>
    <w:p w14:paraId="5898247A">
      <w:pPr>
        <w:ind w:firstLine="560"/>
        <w:rPr>
          <w:color w:val="000000" w:themeColor="text1"/>
          <w:szCs w:val="28"/>
          <w14:textFill>
            <w14:solidFill>
              <w14:schemeClr w14:val="tx1"/>
            </w14:solidFill>
          </w14:textFill>
        </w:rPr>
      </w:pPr>
      <w:bookmarkStart w:id="886" w:name="_Toc30269"/>
      <w:bookmarkStart w:id="887" w:name="_Toc2055"/>
      <w:bookmarkStart w:id="888" w:name="_Toc31846"/>
      <w:bookmarkStart w:id="889" w:name="_Toc9097"/>
      <w:bookmarkStart w:id="890" w:name="_Toc7298"/>
      <w:bookmarkStart w:id="891" w:name="_Toc30352"/>
      <w:bookmarkStart w:id="892" w:name="_Toc10434"/>
      <w:bookmarkStart w:id="893" w:name="_Toc17341"/>
      <w:r>
        <w:rPr>
          <w:color w:val="000000" w:themeColor="text1"/>
          <w:szCs w:val="28"/>
          <w14:textFill>
            <w14:solidFill>
              <w14:schemeClr w14:val="tx1"/>
            </w14:solidFill>
          </w14:textFill>
        </w:rPr>
        <w:drawing>
          <wp:inline distT="0" distB="0" distL="0" distR="0">
            <wp:extent cx="5244465" cy="3934460"/>
            <wp:effectExtent l="0" t="0" r="0" b="8890"/>
            <wp:docPr id="6877856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8567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46963" cy="3936507"/>
                    </a:xfrm>
                    <a:prstGeom prst="rect">
                      <a:avLst/>
                    </a:prstGeom>
                  </pic:spPr>
                </pic:pic>
              </a:graphicData>
            </a:graphic>
          </wp:inline>
        </w:drawing>
      </w:r>
    </w:p>
    <w:p w14:paraId="5FBC4EBC">
      <w:pPr>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2.4-3</w:t>
      </w:r>
      <w:r>
        <w:rPr>
          <w:b/>
          <w:bCs/>
          <w:color w:val="000000" w:themeColor="text1"/>
          <w:sz w:val="24"/>
          <w14:textFill>
            <w14:solidFill>
              <w14:schemeClr w14:val="tx1"/>
            </w14:solidFill>
          </w14:textFill>
        </w:rPr>
        <w:t xml:space="preserve"> 矿山开采现状</w:t>
      </w:r>
      <w:r>
        <w:rPr>
          <w:rFonts w:hint="eastAsia"/>
          <w:b/>
          <w:bCs/>
          <w:color w:val="000000" w:themeColor="text1"/>
          <w:sz w:val="24"/>
          <w14:textFill>
            <w14:solidFill>
              <w14:schemeClr w14:val="tx1"/>
            </w14:solidFill>
          </w14:textFill>
        </w:rPr>
        <w:t>图（三）</w:t>
      </w:r>
    </w:p>
    <w:p w14:paraId="56256A2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832475" cy="4375785"/>
            <wp:effectExtent l="0" t="0" r="0" b="5715"/>
            <wp:docPr id="17729061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06150"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2475" cy="4375785"/>
                    </a:xfrm>
                    <a:prstGeom prst="rect">
                      <a:avLst/>
                    </a:prstGeom>
                  </pic:spPr>
                </pic:pic>
              </a:graphicData>
            </a:graphic>
          </wp:inline>
        </w:drawing>
      </w:r>
    </w:p>
    <w:p w14:paraId="74660433">
      <w:pPr>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 xml:space="preserve">2.4-4      </w:t>
      </w:r>
      <w:r>
        <w:rPr>
          <w:b/>
          <w:bCs/>
          <w:color w:val="000000" w:themeColor="text1"/>
          <w:sz w:val="24"/>
          <w14:textFill>
            <w14:solidFill>
              <w14:schemeClr w14:val="tx1"/>
            </w14:solidFill>
          </w14:textFill>
        </w:rPr>
        <w:t>矿山开采现状</w:t>
      </w:r>
      <w:r>
        <w:rPr>
          <w:rFonts w:hint="eastAsia"/>
          <w:b/>
          <w:bCs/>
          <w:color w:val="000000" w:themeColor="text1"/>
          <w:sz w:val="24"/>
          <w14:textFill>
            <w14:solidFill>
              <w14:schemeClr w14:val="tx1"/>
            </w14:solidFill>
          </w14:textFill>
        </w:rPr>
        <w:t>图（四）</w:t>
      </w:r>
    </w:p>
    <w:p w14:paraId="08BC14E9">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该</w:t>
      </w:r>
      <w:r>
        <w:rPr>
          <w:rFonts w:hint="eastAsia"/>
          <w:color w:val="000000" w:themeColor="text1"/>
          <w:szCs w:val="28"/>
          <w14:textFill>
            <w14:solidFill>
              <w14:schemeClr w14:val="tx1"/>
            </w14:solidFill>
          </w14:textFill>
        </w:rPr>
        <w:t>项目属于扩建项目，</w:t>
      </w:r>
      <w:r>
        <w:rPr>
          <w:color w:val="000000" w:themeColor="text1"/>
          <w:szCs w:val="28"/>
          <w14:textFill>
            <w14:solidFill>
              <w14:schemeClr w14:val="tx1"/>
            </w14:solidFill>
          </w14:textFill>
        </w:rPr>
        <w:t>矿山为</w:t>
      </w:r>
      <w:r>
        <w:rPr>
          <w:rFonts w:hint="eastAsia"/>
          <w:color w:val="000000" w:themeColor="text1"/>
          <w:szCs w:val="28"/>
          <w14:textFill>
            <w14:solidFill>
              <w14:schemeClr w14:val="tx1"/>
            </w14:solidFill>
          </w14:textFill>
        </w:rPr>
        <w:t>扩建矿山。</w:t>
      </w:r>
      <w:r>
        <w:rPr>
          <w:color w:val="000000" w:themeColor="text1"/>
          <w:szCs w:val="28"/>
          <w14:textFill>
            <w14:solidFill>
              <w14:schemeClr w14:val="tx1"/>
            </w14:solidFill>
          </w14:textFill>
        </w:rPr>
        <w:t>矿山自2014年开始开采，开采方式为露天开采，采矿方法为自下而上开采。采空区主要分布于矿区南东部，采空量较大</w:t>
      </w:r>
      <w:r>
        <w:rPr>
          <w:rFonts w:hint="eastAsia"/>
          <w:color w:val="000000" w:themeColor="text1"/>
          <w:szCs w:val="28"/>
          <w14:textFill>
            <w14:solidFill>
              <w14:schemeClr w14:val="tx1"/>
            </w14:solidFill>
          </w14:textFill>
        </w:rPr>
        <w:t>。目前在矿权范围内形成一个露天采场，</w:t>
      </w:r>
      <w:r>
        <w:rPr>
          <w:color w:val="000000" w:themeColor="text1"/>
          <w:szCs w:val="28"/>
          <w14:textFill>
            <w14:solidFill>
              <w14:schemeClr w14:val="tx1"/>
            </w14:solidFill>
          </w14:textFill>
        </w:rPr>
        <w:t>矿区</w:t>
      </w:r>
      <w:r>
        <w:rPr>
          <w:rFonts w:hint="eastAsia"/>
          <w:color w:val="000000" w:themeColor="text1"/>
          <w:szCs w:val="28"/>
          <w14:textFill>
            <w14:solidFill>
              <w14:schemeClr w14:val="tx1"/>
            </w14:solidFill>
          </w14:textFill>
        </w:rPr>
        <w:t>西</w:t>
      </w:r>
      <w:r>
        <w:rPr>
          <w:color w:val="000000" w:themeColor="text1"/>
          <w:szCs w:val="28"/>
          <w14:textFill>
            <w14:solidFill>
              <w14:schemeClr w14:val="tx1"/>
            </w14:solidFill>
          </w14:textFill>
        </w:rPr>
        <w:t>北部形成</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个不规则平台，标高自上而下分别为：</w:t>
      </w:r>
      <w:r>
        <w:rPr>
          <w:rFonts w:hint="eastAsia"/>
          <w:color w:val="000000" w:themeColor="text1"/>
          <w:szCs w:val="28"/>
          <w14:textFill>
            <w14:solidFill>
              <w14:schemeClr w14:val="tx1"/>
            </w14:solidFill>
          </w14:textFill>
        </w:rPr>
        <w:t>1430</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421</w:t>
      </w:r>
      <w:r>
        <w:rPr>
          <w:color w:val="000000" w:themeColor="text1"/>
          <w:szCs w:val="28"/>
          <w14:textFill>
            <w14:solidFill>
              <w14:schemeClr w14:val="tx1"/>
            </w14:solidFill>
          </w14:textFill>
        </w:rPr>
        <w:t>m台阶，台阶高</w:t>
      </w:r>
      <w:r>
        <w:rPr>
          <w:rFonts w:hint="eastAsia"/>
          <w:color w:val="000000" w:themeColor="text1"/>
          <w:szCs w:val="28"/>
          <w14:textFill>
            <w14:solidFill>
              <w14:schemeClr w14:val="tx1"/>
            </w14:solidFill>
          </w14:textFill>
        </w:rPr>
        <w:t>度9</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安全平台宽5～6m</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421</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1410</w:t>
      </w:r>
      <w:r>
        <w:rPr>
          <w:color w:val="000000" w:themeColor="text1"/>
          <w:szCs w:val="28"/>
          <w14:textFill>
            <w14:solidFill>
              <w14:schemeClr w14:val="tx1"/>
            </w14:solidFill>
          </w14:textFill>
        </w:rPr>
        <w:t>m台阶，台阶高</w:t>
      </w:r>
      <w:r>
        <w:rPr>
          <w:rFonts w:hint="eastAsia"/>
          <w:color w:val="000000" w:themeColor="text1"/>
          <w:szCs w:val="28"/>
          <w14:textFill>
            <w14:solidFill>
              <w14:schemeClr w14:val="tx1"/>
            </w14:solidFill>
          </w14:textFill>
        </w:rPr>
        <w:t>度10</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安全平台宽</w:t>
      </w: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；1410～1393m台阶，台阶高度7m，安全平台宽12～30m；1393～1379m台阶，台阶高度4m，安全平台宽度12～20m； 1379～1360m台阶，</w:t>
      </w:r>
      <w:r>
        <w:rPr>
          <w:color w:val="000000" w:themeColor="text1"/>
          <w:szCs w:val="28"/>
          <w14:textFill>
            <w14:solidFill>
              <w14:schemeClr w14:val="tx1"/>
            </w14:solidFill>
          </w14:textFill>
        </w:rPr>
        <w:t>台阶高</w:t>
      </w:r>
      <w:r>
        <w:rPr>
          <w:rFonts w:hint="eastAsia"/>
          <w:color w:val="000000" w:themeColor="text1"/>
          <w:szCs w:val="28"/>
          <w14:textFill>
            <w14:solidFill>
              <w14:schemeClr w14:val="tx1"/>
            </w14:solidFill>
          </w14:textFill>
        </w:rPr>
        <w:t>19m。另在矿界外形成一边坡，属历史遗留采区，长约190m，高约30～50mm。</w:t>
      </w:r>
      <w:r>
        <w:rPr>
          <w:color w:val="000000" w:themeColor="text1"/>
          <w14:textFill>
            <w14:solidFill>
              <w14:schemeClr w14:val="tx1"/>
            </w14:solidFill>
          </w14:textFill>
        </w:rPr>
        <w:t>经现场勘查</w:t>
      </w:r>
      <w:r>
        <w:rPr>
          <w:rFonts w:hint="eastAsia"/>
          <w:color w:val="000000" w:themeColor="text1"/>
          <w14:textFill>
            <w14:solidFill>
              <w14:schemeClr w14:val="tx1"/>
            </w14:solidFill>
          </w14:textFill>
        </w:rPr>
        <w:t>及边坡稳定性分析</w:t>
      </w:r>
      <w:r>
        <w:rPr>
          <w:color w:val="000000" w:themeColor="text1"/>
          <w14:textFill>
            <w14:solidFill>
              <w14:schemeClr w14:val="tx1"/>
            </w14:solidFill>
          </w14:textFill>
        </w:rPr>
        <w:t>，形成的台阶</w:t>
      </w:r>
      <w:r>
        <w:rPr>
          <w:rFonts w:hint="eastAsia"/>
          <w:color w:val="000000" w:themeColor="text1"/>
          <w14:textFill>
            <w14:solidFill>
              <w14:schemeClr w14:val="tx1"/>
            </w14:solidFill>
          </w14:textFill>
        </w:rPr>
        <w:t>、边坡</w:t>
      </w:r>
      <w:r>
        <w:rPr>
          <w:color w:val="000000" w:themeColor="text1"/>
          <w14:textFill>
            <w14:solidFill>
              <w14:schemeClr w14:val="tx1"/>
            </w14:solidFill>
          </w14:textFill>
        </w:rPr>
        <w:t>较稳定，矿区范围内目前未发生崩塌、滑坡、泥石流等地质</w:t>
      </w:r>
      <w:r>
        <w:rPr>
          <w:rFonts w:hint="eastAsia"/>
          <w:color w:val="000000" w:themeColor="text1"/>
          <w14:textFill>
            <w14:solidFill>
              <w14:schemeClr w14:val="tx1"/>
            </w14:solidFill>
          </w14:textFill>
        </w:rPr>
        <w:t>灾害</w:t>
      </w:r>
      <w:r>
        <w:rPr>
          <w:color w:val="000000" w:themeColor="text1"/>
          <w14:textFill>
            <w14:solidFill>
              <w14:schemeClr w14:val="tx1"/>
            </w14:solidFill>
          </w14:textFill>
        </w:rPr>
        <w:t>。</w:t>
      </w:r>
    </w:p>
    <w:p w14:paraId="327AF634">
      <w:pPr>
        <w:ind w:firstLine="560"/>
        <w:rPr>
          <w:color w:val="000000" w:themeColor="text1"/>
          <w14:textFill>
            <w14:solidFill>
              <w14:schemeClr w14:val="tx1"/>
            </w14:solidFill>
          </w14:textFill>
        </w:rPr>
      </w:pPr>
      <w:bookmarkStart w:id="894" w:name="_Toc9165"/>
      <w:bookmarkStart w:id="895" w:name="_Toc240135144"/>
      <w:r>
        <w:rPr>
          <w:rFonts w:hint="eastAsia"/>
          <w:color w:val="000000" w:themeColor="text1"/>
          <w14:textFill>
            <w14:solidFill>
              <w14:schemeClr w14:val="tx1"/>
            </w14:solidFill>
          </w14:textFill>
        </w:rPr>
        <w:t>2、</w:t>
      </w:r>
      <w:r>
        <w:rPr>
          <w:color w:val="000000" w:themeColor="text1"/>
          <w14:textFill>
            <w14:solidFill>
              <w14:schemeClr w14:val="tx1"/>
            </w14:solidFill>
          </w14:textFill>
        </w:rPr>
        <w:t>现状存在的问题</w:t>
      </w:r>
      <w:bookmarkEnd w:id="894"/>
    </w:p>
    <w:bookmarkEnd w:id="895"/>
    <w:p w14:paraId="3243EE46">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1.矿区西北部形成5个不规则平台，标高自上而下分别为：1430～1421m台阶，台阶高度9m，安全平台宽5～6m；1421～1410m台阶，台阶高度10m，安全平台宽6～8m；1410～1393m台阶，台阶高度7m，安全平台宽12～30m；1393～1379m台阶，台阶高度4m，安全平台宽度12～20m； 1379～1360m台阶，台阶高19m，形成高陡边坡，容易发生落石、滑坡等伤害。</w:t>
      </w:r>
    </w:p>
    <w:p w14:paraId="7318D4E9">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2.矿区每年6—10月降水集中，矿山存在暴雨、泥石流、山洪等自然灾害危险，因此矿山要加强汛期间防汛及演练工作，重点加强边坡专项安全检查，如采场靠帮边坡、运输道路旁边坡及破碎站处边坡等重要部位的隐患排查，发现隐患及时采取加固治理措施。</w:t>
      </w:r>
    </w:p>
    <w:p w14:paraId="1AACD48D">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3.矿区北西侧有珠西公路（G246）从旁经过，其距矿界最短平面距离为115m，G246在爆破警戒线内，全长500m，矿山爆破作业时可能会对路过人员及车辆造成伤害。</w:t>
      </w:r>
    </w:p>
    <w:p w14:paraId="7362D9E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3、矿山利旧情况</w:t>
      </w:r>
    </w:p>
    <w:p w14:paraId="324E1AA2">
      <w:pPr>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rFonts w:hint="eastAsia"/>
          <w:color w:val="000000" w:themeColor="text1"/>
          <w14:textFill>
            <w14:solidFill>
              <w14:schemeClr w14:val="tx1"/>
            </w14:solidFill>
          </w14:textFill>
        </w:rPr>
        <w:t>部分运输道路利旧，</w:t>
      </w:r>
      <w:r>
        <w:rPr>
          <w:bCs/>
          <w:iCs/>
          <w:color w:val="000000" w:themeColor="text1"/>
          <w:szCs w:val="28"/>
          <w14:textFill>
            <w14:solidFill>
              <w14:schemeClr w14:val="tx1"/>
            </w14:solidFill>
          </w14:textFill>
        </w:rPr>
        <w:t>修整现有道路，</w:t>
      </w:r>
      <w:r>
        <w:rPr>
          <w:rFonts w:hint="eastAsia"/>
          <w:bCs/>
          <w:iCs/>
          <w:color w:val="000000" w:themeColor="text1"/>
          <w:szCs w:val="28"/>
          <w14:textFill>
            <w14:solidFill>
              <w14:schemeClr w14:val="tx1"/>
            </w14:solidFill>
          </w14:textFill>
        </w:rPr>
        <w:t>从堆料区（+1300m标高）出发经</w:t>
      </w:r>
      <w:r>
        <w:rPr>
          <w:bCs/>
          <w:iCs/>
          <w:color w:val="000000" w:themeColor="text1"/>
          <w:szCs w:val="28"/>
          <w14:textFill>
            <w14:solidFill>
              <w14:schemeClr w14:val="tx1"/>
            </w14:solidFill>
          </w14:textFill>
        </w:rPr>
        <w:t>现有</w:t>
      </w:r>
      <w:r>
        <w:rPr>
          <w:rFonts w:hint="eastAsia"/>
          <w:bCs/>
          <w:iCs/>
          <w:color w:val="000000" w:themeColor="text1"/>
          <w:szCs w:val="28"/>
          <w14:textFill>
            <w14:solidFill>
              <w14:schemeClr w14:val="tx1"/>
            </w14:solidFill>
          </w14:textFill>
        </w:rPr>
        <w:t>两条分岔道路通往采区，道路1向北</w:t>
      </w:r>
      <w:r>
        <w:rPr>
          <w:bCs/>
          <w:iCs/>
          <w:color w:val="000000" w:themeColor="text1"/>
          <w:szCs w:val="28"/>
          <w14:textFill>
            <w14:solidFill>
              <w14:schemeClr w14:val="tx1"/>
            </w14:solidFill>
          </w14:textFill>
        </w:rPr>
        <w:t>至矿区东侧（+1</w:t>
      </w:r>
      <w:r>
        <w:rPr>
          <w:rFonts w:hint="eastAsia"/>
          <w:bCs/>
          <w:iCs/>
          <w:color w:val="000000" w:themeColor="text1"/>
          <w:szCs w:val="28"/>
          <w14:textFill>
            <w14:solidFill>
              <w14:schemeClr w14:val="tx1"/>
            </w14:solidFill>
          </w14:textFill>
        </w:rPr>
        <w:t>400</w:t>
      </w:r>
      <w:r>
        <w:rPr>
          <w:bCs/>
          <w:iCs/>
          <w:color w:val="000000" w:themeColor="text1"/>
          <w:szCs w:val="28"/>
          <w14:textFill>
            <w14:solidFill>
              <w14:schemeClr w14:val="tx1"/>
            </w14:solidFill>
          </w14:textFill>
        </w:rPr>
        <w:t>m标高）</w:t>
      </w:r>
      <w:r>
        <w:rPr>
          <w:rFonts w:hint="eastAsia"/>
          <w:bCs/>
          <w:iCs/>
          <w:color w:val="000000" w:themeColor="text1"/>
          <w:szCs w:val="28"/>
          <w14:textFill>
            <w14:solidFill>
              <w14:schemeClr w14:val="tx1"/>
            </w14:solidFill>
          </w14:textFill>
        </w:rPr>
        <w:t>，基建期可以延用</w:t>
      </w:r>
      <w:r>
        <w:rPr>
          <w:bCs/>
          <w:iCs/>
          <w:color w:val="000000" w:themeColor="text1"/>
          <w:szCs w:val="28"/>
          <w14:textFill>
            <w14:solidFill>
              <w14:schemeClr w14:val="tx1"/>
            </w14:solidFill>
          </w14:textFill>
        </w:rPr>
        <w:t>；</w:t>
      </w:r>
      <w:r>
        <w:rPr>
          <w:rFonts w:hint="eastAsia"/>
          <w:bCs/>
          <w:iCs/>
          <w:color w:val="000000" w:themeColor="text1"/>
          <w:szCs w:val="28"/>
          <w14:textFill>
            <w14:solidFill>
              <w14:schemeClr w14:val="tx1"/>
            </w14:solidFill>
          </w14:textFill>
        </w:rPr>
        <w:t>道路2向西至矿区南侧（+1350标高），在道路2基础上</w:t>
      </w:r>
      <w:r>
        <w:rPr>
          <w:bCs/>
          <w:iCs/>
          <w:color w:val="000000" w:themeColor="text1"/>
          <w:szCs w:val="28"/>
          <w14:textFill>
            <w14:solidFill>
              <w14:schemeClr w14:val="tx1"/>
            </w14:solidFill>
          </w14:textFill>
        </w:rPr>
        <w:t>修筑开拓运输道路</w:t>
      </w:r>
      <w:r>
        <w:rPr>
          <w:rFonts w:hint="eastAsia"/>
          <w:bCs/>
          <w:iCs/>
          <w:color w:val="000000" w:themeColor="text1"/>
          <w:szCs w:val="28"/>
          <w14:textFill>
            <w14:solidFill>
              <w14:schemeClr w14:val="tx1"/>
            </w14:solidFill>
          </w14:textFill>
        </w:rPr>
        <w:t>，</w:t>
      </w:r>
      <w:r>
        <w:rPr>
          <w:color w:val="000000" w:themeColor="text1"/>
          <w:kern w:val="0"/>
          <w:szCs w:val="28"/>
          <w14:textFill>
            <w14:solidFill>
              <w14:schemeClr w14:val="tx1"/>
            </w14:solidFill>
          </w14:textFill>
        </w:rPr>
        <w:t>运输道路修建至1375m平台，</w:t>
      </w:r>
      <w:r>
        <w:rPr>
          <w:rFonts w:hint="eastAsia"/>
          <w:color w:val="000000" w:themeColor="text1"/>
          <w:kern w:val="0"/>
          <w:szCs w:val="28"/>
          <w14:textFill>
            <w14:solidFill>
              <w14:schemeClr w14:val="tx1"/>
            </w14:solidFill>
          </w14:textFill>
        </w:rPr>
        <w:t>1375m平台为装载平台，1390m平台</w:t>
      </w:r>
      <w:r>
        <w:rPr>
          <w:color w:val="000000" w:themeColor="text1"/>
          <w:kern w:val="0"/>
          <w:szCs w:val="28"/>
          <w14:textFill>
            <w14:solidFill>
              <w14:schemeClr w14:val="tx1"/>
            </w14:solidFill>
          </w14:textFill>
        </w:rPr>
        <w:t>为凿岩平台。1390m</w:t>
      </w:r>
      <w:r>
        <w:rPr>
          <w:rFonts w:hint="eastAsia"/>
          <w:color w:val="000000" w:themeColor="text1"/>
          <w:kern w:val="0"/>
          <w:szCs w:val="28"/>
          <w14:textFill>
            <w14:solidFill>
              <w14:schemeClr w14:val="tx1"/>
            </w14:solidFill>
          </w14:textFill>
        </w:rPr>
        <w:t>以上矿岩装载设备通道转运至</w:t>
      </w:r>
      <w:r>
        <w:rPr>
          <w:color w:val="000000" w:themeColor="text1"/>
          <w:kern w:val="0"/>
          <w:szCs w:val="28"/>
          <w14:textFill>
            <w14:solidFill>
              <w14:schemeClr w14:val="tx1"/>
            </w14:solidFill>
          </w14:textFill>
        </w:rPr>
        <w:t>1375m运输平台运输。</w:t>
      </w:r>
      <w:r>
        <w:rPr>
          <w:bCs/>
          <w:iCs/>
          <w:color w:val="000000" w:themeColor="text1"/>
          <w:szCs w:val="28"/>
          <w14:textFill>
            <w14:solidFill>
              <w14:schemeClr w14:val="tx1"/>
            </w14:solidFill>
          </w14:textFill>
        </w:rPr>
        <w:t>详见总平面布置与开拓系统运输图</w:t>
      </w:r>
      <w:r>
        <w:rPr>
          <w:color w:val="000000" w:themeColor="text1"/>
          <w:szCs w:val="28"/>
          <w14:textFill>
            <w14:solidFill>
              <w14:schemeClr w14:val="tx1"/>
            </w14:solidFill>
          </w14:textFill>
        </w:rPr>
        <w:t>。</w:t>
      </w:r>
    </w:p>
    <w:p w14:paraId="796076D0">
      <w:pPr>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（2）现有供配电设施，矿山现有配电室利旧，</w:t>
      </w:r>
      <w:r>
        <w:rPr>
          <w:rFonts w:hint="eastAsia" w:ascii="宋体" w:hAnsi="宋体" w:cs="宋体"/>
          <w:color w:val="000000" w:themeColor="text1"/>
          <w:szCs w:val="21"/>
          <w14:textFill>
            <w14:solidFill>
              <w14:schemeClr w14:val="tx1"/>
            </w14:solidFill>
          </w14:textFill>
        </w:rPr>
        <w:t>矿山电源从附近的10kV电网引入，矿山现有S11-1250/10、SCB11-800两台变压器利旧</w:t>
      </w:r>
      <w:r>
        <w:rPr>
          <w:rFonts w:hint="eastAsia"/>
          <w:color w:val="000000" w:themeColor="text1"/>
          <w14:textFill>
            <w14:solidFill>
              <w14:schemeClr w14:val="tx1"/>
            </w14:solidFill>
          </w14:textFill>
        </w:rPr>
        <w:t>。10kV电源经变压器降压后以380V电压向工业场地供电，以220V为生活供电。</w:t>
      </w:r>
    </w:p>
    <w:p w14:paraId="04BB1216">
      <w:pPr>
        <w:adjustRightInd w:val="0"/>
        <w:snapToGrid w:val="0"/>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w:t>
      </w:r>
      <w:r>
        <w:rPr>
          <w:rFonts w:hint="eastAsia"/>
          <w:color w:val="000000" w:themeColor="text1"/>
          <w14:textFill>
            <w14:solidFill>
              <w14:schemeClr w14:val="tx1"/>
            </w14:solidFill>
          </w14:textFill>
        </w:rPr>
        <w:t>工程机械。包括</w:t>
      </w:r>
      <w:r>
        <w:rPr>
          <w:color w:val="000000" w:themeColor="text1"/>
          <w:lang w:val="zh-TW" w:eastAsia="zh-TW"/>
          <w14:textFill>
            <w14:solidFill>
              <w14:schemeClr w14:val="tx1"/>
            </w14:solidFill>
          </w14:textFill>
        </w:rPr>
        <w:t>穿孔设备</w:t>
      </w:r>
      <w:r>
        <w:rPr>
          <w:rFonts w:hint="eastAsia"/>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ZG415-1潜孔钻机）</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采装设备</w:t>
      </w:r>
      <w:r>
        <w:rPr>
          <w:rFonts w:hint="eastAsia"/>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szCs w:val="28"/>
          <w14:textFill>
            <w14:solidFill>
              <w14:schemeClr w14:val="tx1"/>
            </w14:solidFill>
          </w14:textFill>
        </w:rPr>
        <w:t>台沃尔沃EC460BLC挖掘机、</w:t>
      </w:r>
      <w:r>
        <w:rPr>
          <w:rFonts w:hint="eastAsia"/>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运输设备（</w:t>
      </w:r>
      <w:r>
        <w:rPr>
          <w:rFonts w:hint="eastAsia"/>
          <w:color w:val="000000" w:themeColor="text1"/>
          <w:szCs w:val="28"/>
          <w14:textFill>
            <w14:solidFill>
              <w14:schemeClr w14:val="tx1"/>
            </w14:solidFill>
          </w14:textFill>
        </w:rPr>
        <w:t>自卸</w:t>
      </w:r>
      <w:r>
        <w:rPr>
          <w:color w:val="000000" w:themeColor="text1"/>
          <w:szCs w:val="28"/>
          <w14:textFill>
            <w14:solidFill>
              <w14:schemeClr w14:val="tx1"/>
            </w14:solidFill>
          </w14:textFill>
        </w:rPr>
        <w:t>汽车8台</w:t>
      </w:r>
      <w:r>
        <w:rPr>
          <w:rFonts w:hint="eastAsia"/>
          <w:color w:val="000000" w:themeColor="text1"/>
          <w:szCs w:val="28"/>
          <w14:textFill>
            <w14:solidFill>
              <w14:schemeClr w14:val="tx1"/>
            </w14:solidFill>
          </w14:textFill>
        </w:rPr>
        <w:t>进行运输</w:t>
      </w:r>
      <w:r>
        <w:rPr>
          <w:color w:val="000000" w:themeColor="text1"/>
          <w:szCs w:val="28"/>
          <w14:textFill>
            <w14:solidFill>
              <w14:schemeClr w14:val="tx1"/>
            </w14:solidFill>
          </w14:textFill>
        </w:rPr>
        <w:t>，车斗规格5.4m，宽2.35m，高1.6m</w:t>
      </w:r>
      <w:r>
        <w:rPr>
          <w:rFonts w:hint="eastAsia"/>
          <w:color w:val="000000" w:themeColor="text1"/>
          <w:szCs w:val="28"/>
          <w14:textFill>
            <w14:solidFill>
              <w14:schemeClr w14:val="tx1"/>
            </w14:solidFill>
          </w14:textFill>
        </w:rPr>
        <w:t>，额定载重10t）</w:t>
      </w:r>
      <w:r>
        <w:rPr>
          <w:rFonts w:hint="eastAsia"/>
          <w:color w:val="000000" w:themeColor="text1"/>
          <w14:textFill>
            <w14:solidFill>
              <w14:schemeClr w14:val="tx1"/>
            </w14:solidFill>
          </w14:textFill>
        </w:rPr>
        <w:t>，</w:t>
      </w:r>
      <w:r>
        <w:rPr>
          <w:color w:val="000000" w:themeColor="text1"/>
          <w:lang w:val="zh-TW"/>
          <w14:textFill>
            <w14:solidFill>
              <w14:schemeClr w14:val="tx1"/>
            </w14:solidFill>
          </w14:textFill>
        </w:rPr>
        <w:t>破碎设备</w:t>
      </w:r>
      <w:r>
        <w:rPr>
          <w:rFonts w:hint="eastAsia"/>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破碎机）等；</w:t>
      </w:r>
    </w:p>
    <w:p w14:paraId="17B187AC">
      <w:pPr>
        <w:ind w:firstLine="56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（4）</w:t>
      </w:r>
      <w:r>
        <w:rPr>
          <w:color w:val="000000" w:themeColor="text1"/>
          <w14:textFill>
            <w14:solidFill>
              <w14:schemeClr w14:val="tx1"/>
            </w14:solidFill>
          </w14:textFill>
        </w:rPr>
        <w:t>办公生活</w:t>
      </w:r>
      <w:r>
        <w:rPr>
          <w:rFonts w:hint="eastAsia"/>
          <w:color w:val="000000" w:themeColor="text1"/>
          <w14:textFill>
            <w14:solidFill>
              <w14:schemeClr w14:val="tx1"/>
            </w14:solidFill>
          </w14:textFill>
        </w:rPr>
        <w:t>场地及设施，临时</w:t>
      </w:r>
      <w:r>
        <w:rPr>
          <w:color w:val="000000" w:themeColor="text1"/>
          <w14:textFill>
            <w14:solidFill>
              <w14:schemeClr w14:val="tx1"/>
            </w14:solidFill>
          </w14:textFill>
        </w:rPr>
        <w:t>办公</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生活区</w:t>
      </w:r>
      <w:r>
        <w:rPr>
          <w:color w:val="000000" w:themeColor="text1"/>
          <w:lang w:val="zh-TW" w:eastAsia="zh-TW"/>
          <w14:textFill>
            <w14:solidFill>
              <w14:schemeClr w14:val="tx1"/>
            </w14:solidFill>
          </w14:textFill>
        </w:rPr>
        <w:t>设有浴室、休息室、食堂、厕所等生活与卫生设施</w:t>
      </w:r>
      <w:r>
        <w:rPr>
          <w:rFonts w:hint="eastAsia"/>
          <w:color w:val="000000" w:themeColor="text1"/>
          <w:lang w:val="zh-TW" w:eastAsia="zh-TW"/>
          <w14:textFill>
            <w14:solidFill>
              <w14:schemeClr w14:val="tx1"/>
            </w14:solidFill>
          </w14:textFill>
        </w:rPr>
        <w:t>利旧，矿山办公室在</w:t>
      </w:r>
      <w:r>
        <w:rPr>
          <w:rFonts w:hint="eastAsia"/>
          <w:color w:val="000000" w:themeColor="text1"/>
          <w:lang w:val="zh-TW"/>
          <w14:textFill>
            <w14:solidFill>
              <w14:schemeClr w14:val="tx1"/>
            </w14:solidFill>
          </w14:textFill>
        </w:rPr>
        <w:t>200m爆破警戒线范围内</w:t>
      </w:r>
      <w:r>
        <w:rPr>
          <w:rFonts w:hint="eastAsia"/>
          <w:color w:val="000000" w:themeColor="text1"/>
          <w:lang w:val="zh-TW" w:eastAsia="zh-TW"/>
          <w14:textFill>
            <w14:solidFill>
              <w14:schemeClr w14:val="tx1"/>
            </w14:solidFill>
          </w14:textFill>
        </w:rPr>
        <w:t>。</w:t>
      </w:r>
    </w:p>
    <w:p w14:paraId="10AE955F">
      <w:pPr>
        <w:ind w:firstLine="56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（5）</w:t>
      </w:r>
      <w:r>
        <w:rPr>
          <w:rFonts w:hint="eastAsia"/>
          <w:color w:val="000000" w:themeColor="text1"/>
          <w14:textFill>
            <w14:solidFill>
              <w14:schemeClr w14:val="tx1"/>
            </w14:solidFill>
          </w14:textFill>
        </w:rPr>
        <w:t>维修场地及工具。</w:t>
      </w:r>
    </w:p>
    <w:p w14:paraId="14A526B8">
      <w:pPr>
        <w:pStyle w:val="5"/>
        <w:spacing w:after="120"/>
        <w:rPr>
          <w:color w:val="000000" w:themeColor="text1"/>
          <w14:textFill>
            <w14:solidFill>
              <w14:schemeClr w14:val="tx1"/>
            </w14:solidFill>
          </w14:textFill>
        </w:rPr>
      </w:pPr>
      <w:bookmarkStart w:id="896" w:name="_Toc215070178"/>
      <w:r>
        <w:rPr>
          <w:rFonts w:hint="eastAsia"/>
          <w:color w:val="000000" w:themeColor="text1"/>
          <w14:textFill>
            <w14:solidFill>
              <w14:schemeClr w14:val="tx1"/>
            </w14:solidFill>
          </w14:textFill>
        </w:rPr>
        <w:t>2.4.2建设规模、工作制度</w:t>
      </w:r>
      <w:bookmarkEnd w:id="880"/>
      <w:bookmarkEnd w:id="881"/>
      <w:bookmarkEnd w:id="882"/>
      <w:bookmarkEnd w:id="883"/>
      <w:bookmarkEnd w:id="884"/>
      <w:r>
        <w:rPr>
          <w:rFonts w:hint="eastAsia"/>
          <w:color w:val="000000" w:themeColor="text1"/>
          <w14:textFill>
            <w14:solidFill>
              <w14:schemeClr w14:val="tx1"/>
            </w14:solidFill>
          </w14:textFill>
        </w:rPr>
        <w:t>及产品方案</w:t>
      </w:r>
      <w:bookmarkEnd w:id="885"/>
      <w:bookmarkEnd w:id="886"/>
      <w:bookmarkEnd w:id="887"/>
      <w:bookmarkEnd w:id="888"/>
      <w:bookmarkEnd w:id="889"/>
      <w:bookmarkEnd w:id="890"/>
      <w:bookmarkEnd w:id="891"/>
      <w:bookmarkEnd w:id="892"/>
      <w:bookmarkEnd w:id="893"/>
      <w:bookmarkEnd w:id="896"/>
    </w:p>
    <w:p w14:paraId="1ECB2614">
      <w:pPr>
        <w:pStyle w:val="6"/>
        <w:spacing w:before="120" w:after="120"/>
        <w:rPr>
          <w:color w:val="000000" w:themeColor="text1"/>
          <w14:textFill>
            <w14:solidFill>
              <w14:schemeClr w14:val="tx1"/>
            </w14:solidFill>
          </w14:textFill>
        </w:rPr>
      </w:pPr>
      <w:bookmarkStart w:id="897" w:name="_Toc17527"/>
      <w:bookmarkStart w:id="898" w:name="_Toc18363"/>
      <w:bookmarkStart w:id="899" w:name="_Toc621"/>
      <w:bookmarkStart w:id="900" w:name="_Toc26163"/>
      <w:bookmarkStart w:id="901" w:name="_Toc8550"/>
      <w:bookmarkStart w:id="902" w:name="_Toc7439"/>
      <w:bookmarkStart w:id="903" w:name="_Toc215070179"/>
      <w:bookmarkStart w:id="904" w:name="_Toc11540"/>
      <w:bookmarkStart w:id="905" w:name="_Toc29839"/>
      <w:bookmarkStart w:id="906" w:name="_Toc105730358"/>
      <w:bookmarkStart w:id="907" w:name="_Toc105675993"/>
      <w:bookmarkStart w:id="908" w:name="_Toc105674795"/>
      <w:bookmarkStart w:id="909" w:name="_Toc105675513"/>
      <w:r>
        <w:rPr>
          <w:rFonts w:hint="eastAsia"/>
          <w:color w:val="000000" w:themeColor="text1"/>
          <w14:textFill>
            <w14:solidFill>
              <w14:schemeClr w14:val="tx1"/>
            </w14:solidFill>
          </w14:textFill>
        </w:rPr>
        <w:t>2.4.2.1</w:t>
      </w:r>
      <w:r>
        <w:rPr>
          <w:color w:val="000000" w:themeColor="text1"/>
          <w14:textFill>
            <w14:solidFill>
              <w14:schemeClr w14:val="tx1"/>
            </w14:solidFill>
          </w14:textFill>
        </w:rPr>
        <w:t>建设规模</w:t>
      </w:r>
      <w:bookmarkEnd w:id="897"/>
      <w:bookmarkEnd w:id="898"/>
      <w:bookmarkEnd w:id="899"/>
      <w:bookmarkEnd w:id="900"/>
      <w:bookmarkEnd w:id="901"/>
      <w:bookmarkEnd w:id="902"/>
      <w:bookmarkEnd w:id="903"/>
      <w:bookmarkEnd w:id="904"/>
      <w:bookmarkEnd w:id="905"/>
    </w:p>
    <w:p w14:paraId="7280A0CF">
      <w:pPr>
        <w:ind w:firstLine="560"/>
        <w:rPr>
          <w:color w:val="000000" w:themeColor="text1"/>
          <w14:textFill>
            <w14:solidFill>
              <w14:schemeClr w14:val="tx1"/>
            </w14:solidFill>
          </w14:textFill>
        </w:rPr>
      </w:pPr>
      <w:bookmarkStart w:id="910" w:name="_Toc5073"/>
      <w:bookmarkStart w:id="911" w:name="_Toc26644"/>
      <w:bookmarkStart w:id="912" w:name="_Toc18676"/>
      <w:r>
        <w:rPr>
          <w:rFonts w:hint="eastAsia"/>
          <w:color w:val="000000" w:themeColor="text1"/>
          <w14:textFill>
            <w14:solidFill>
              <w14:schemeClr w14:val="tx1"/>
            </w14:solidFill>
          </w14:textFill>
        </w:rPr>
        <w:t>1、</w:t>
      </w:r>
      <w:r>
        <w:rPr>
          <w:color w:val="000000" w:themeColor="text1"/>
          <w14:textFill>
            <w14:solidFill>
              <w14:schemeClr w14:val="tx1"/>
            </w14:solidFill>
          </w14:textFill>
        </w:rPr>
        <w:t>建设规模</w:t>
      </w:r>
      <w:bookmarkEnd w:id="910"/>
      <w:bookmarkEnd w:id="911"/>
      <w:bookmarkEnd w:id="912"/>
    </w:p>
    <w:p w14:paraId="4BA61358">
      <w:pPr>
        <w:pStyle w:val="17"/>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根据矿体规模、矿床赋存条件及开采技术条件</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根据《云南省全面加强非煤矿山安全生产工作若干措施》（云政办发〔2024〕44号）要求</w:t>
      </w:r>
      <w:r>
        <w:rPr>
          <w:rFonts w:hint="eastAsia"/>
          <w:color w:val="000000" w:themeColor="text1"/>
          <w:szCs w:val="28"/>
          <w14:textFill>
            <w14:solidFill>
              <w14:schemeClr w14:val="tx1"/>
            </w14:solidFill>
          </w14:textFill>
        </w:rPr>
        <w:t>及</w:t>
      </w:r>
      <w:r>
        <w:rPr>
          <w:color w:val="000000" w:themeColor="text1"/>
          <w:szCs w:val="28"/>
          <w14:textFill>
            <w14:solidFill>
              <w14:schemeClr w14:val="tx1"/>
            </w14:solidFill>
          </w14:textFill>
        </w:rPr>
        <w:t>委托方</w:t>
      </w:r>
      <w:r>
        <w:rPr>
          <w:rFonts w:hint="eastAsia"/>
          <w:color w:val="000000" w:themeColor="text1"/>
          <w:szCs w:val="28"/>
          <w14:textFill>
            <w14:solidFill>
              <w14:schemeClr w14:val="tx1"/>
            </w14:solidFill>
          </w14:textFill>
        </w:rPr>
        <w:t>开发利用方案和可行性研究论证</w:t>
      </w:r>
      <w:r>
        <w:rPr>
          <w:color w:val="000000" w:themeColor="text1"/>
          <w:szCs w:val="28"/>
          <w14:textFill>
            <w14:solidFill>
              <w14:schemeClr w14:val="tx1"/>
            </w14:solidFill>
          </w14:textFill>
        </w:rPr>
        <w:t>，确定矿山建设规模为</w:t>
      </w:r>
      <w:r>
        <w:rPr>
          <w:rFonts w:hint="eastAsia"/>
          <w:color w:val="000000" w:themeColor="text1"/>
          <w:szCs w:val="28"/>
          <w14:textFill>
            <w14:solidFill>
              <w14:schemeClr w14:val="tx1"/>
            </w14:solidFill>
          </w14:textFill>
        </w:rPr>
        <w:t>50万</w:t>
      </w:r>
      <w:r>
        <w:rPr>
          <w:color w:val="000000" w:themeColor="text1"/>
          <w:szCs w:val="28"/>
          <w14:textFill>
            <w14:solidFill>
              <w14:schemeClr w14:val="tx1"/>
            </w14:solidFill>
          </w14:textFill>
        </w:rPr>
        <w:t>t/a，为中型</w:t>
      </w:r>
      <w:r>
        <w:rPr>
          <w:rFonts w:hint="eastAsia"/>
          <w:color w:val="000000" w:themeColor="text1"/>
          <w14:textFill>
            <w14:solidFill>
              <w14:schemeClr w14:val="tx1"/>
            </w14:solidFill>
          </w14:textFill>
        </w:rPr>
        <w:t>露天矿山</w:t>
      </w:r>
      <w:r>
        <w:rPr>
          <w:color w:val="000000" w:themeColor="text1"/>
          <w:szCs w:val="28"/>
          <w14:textFill>
            <w14:solidFill>
              <w14:schemeClr w14:val="tx1"/>
            </w14:solidFill>
          </w14:textFill>
        </w:rPr>
        <w:t>生产规模。</w:t>
      </w:r>
    </w:p>
    <w:p w14:paraId="3D40F168">
      <w:pPr>
        <w:pStyle w:val="18"/>
        <w:ind w:firstLine="560"/>
        <w:jc w:val="both"/>
        <w:rPr>
          <w:rFonts w:hint="eastAsia" w:ascii="宋体" w:hAnsi="宋体"/>
          <w:color w:val="000000" w:themeColor="text1"/>
          <w:szCs w:val="28"/>
          <w14:textFill>
            <w14:solidFill>
              <w14:schemeClr w14:val="tx1"/>
            </w14:solidFill>
          </w14:textFill>
        </w:rPr>
      </w:pPr>
      <w:bookmarkStart w:id="913" w:name="_Toc17656"/>
      <w:bookmarkStart w:id="914" w:name="_Toc5149"/>
      <w:bookmarkStart w:id="915" w:name="_Toc7115"/>
      <w:r>
        <w:rPr>
          <w:rFonts w:ascii="宋体" w:hAnsi="宋体"/>
          <w:color w:val="000000" w:themeColor="text1"/>
          <w:szCs w:val="28"/>
          <w14:textFill>
            <w14:solidFill>
              <w14:schemeClr w14:val="tx1"/>
            </w14:solidFill>
          </w14:textFill>
        </w:rPr>
        <w:t>根据广</w:t>
      </w:r>
      <w:r>
        <w:rPr>
          <w:rFonts w:hint="eastAsia" w:ascii="宋体" w:hAnsi="宋体"/>
          <w:color w:val="000000" w:themeColor="text1"/>
          <w:szCs w:val="28"/>
          <w14:textFill>
            <w14:solidFill>
              <w14:schemeClr w14:val="tx1"/>
            </w14:solidFill>
          </w14:textFill>
        </w:rPr>
        <w:t>南</w:t>
      </w:r>
      <w:r>
        <w:rPr>
          <w:rFonts w:ascii="宋体" w:hAnsi="宋体"/>
          <w:color w:val="000000" w:themeColor="text1"/>
          <w:szCs w:val="28"/>
          <w14:textFill>
            <w14:solidFill>
              <w14:schemeClr w14:val="tx1"/>
            </w14:solidFill>
          </w14:textFill>
        </w:rPr>
        <w:t>自然资储备字〔2021〕4号《云南省广南县旧莫小格达普通建筑材料用石灰岩矿资源储量核实报告》(2021年)</w:t>
      </w:r>
      <w:r>
        <w:rPr>
          <w:rFonts w:hint="eastAsia" w:ascii="宋体" w:hAnsi="宋体"/>
          <w:color w:val="000000" w:themeColor="text1"/>
          <w:szCs w:val="28"/>
          <w14:textFill>
            <w14:solidFill>
              <w14:schemeClr w14:val="tx1"/>
            </w14:solidFill>
          </w14:textFill>
        </w:rPr>
        <w:t>，截至</w:t>
      </w:r>
      <w:r>
        <w:rPr>
          <w:rFonts w:hint="eastAsia" w:ascii="宋体" w:hAnsi="宋体" w:cs="宋体"/>
          <w:color w:val="000000" w:themeColor="text1"/>
          <w:szCs w:val="28"/>
          <w14:textFill>
            <w14:solidFill>
              <w14:schemeClr w14:val="tx1"/>
            </w14:solidFill>
          </w14:textFill>
        </w:rPr>
        <w:t>2021年6月30日，在矿区范围内标高1430—1300m累计查明资源量465.30万m</w:t>
      </w:r>
      <w:r>
        <w:rPr>
          <w:rFonts w:hint="eastAsia" w:ascii="宋体" w:hAnsi="宋体" w:cs="宋体"/>
          <w:color w:val="000000" w:themeColor="text1"/>
          <w:szCs w:val="28"/>
          <w:vertAlign w:val="superscript"/>
          <w14:textFill>
            <w14:solidFill>
              <w14:schemeClr w14:val="tx1"/>
            </w14:solidFill>
          </w14:textFill>
        </w:rPr>
        <w:t>3</w:t>
      </w:r>
      <w:r>
        <w:rPr>
          <w:rFonts w:hint="eastAsia" w:ascii="宋体" w:hAnsi="宋体" w:cs="宋体"/>
          <w:color w:val="000000" w:themeColor="text1"/>
          <w:szCs w:val="28"/>
          <w14:textFill>
            <w14:solidFill>
              <w14:schemeClr w14:val="tx1"/>
            </w14:solidFill>
          </w14:textFill>
        </w:rPr>
        <w:t>（1209.79万t），保有（控制）资源量371.12万m</w:t>
      </w:r>
      <w:r>
        <w:rPr>
          <w:rFonts w:hint="eastAsia" w:ascii="宋体" w:hAnsi="宋体" w:cs="宋体"/>
          <w:color w:val="000000" w:themeColor="text1"/>
          <w:szCs w:val="28"/>
          <w:vertAlign w:val="superscript"/>
          <w14:textFill>
            <w14:solidFill>
              <w14:schemeClr w14:val="tx1"/>
            </w14:solidFill>
          </w14:textFill>
        </w:rPr>
        <w:t>3</w:t>
      </w:r>
      <w:r>
        <w:rPr>
          <w:rFonts w:hint="eastAsia" w:ascii="宋体" w:hAnsi="宋体" w:cs="宋体"/>
          <w:color w:val="000000" w:themeColor="text1"/>
          <w:szCs w:val="28"/>
          <w14:textFill>
            <w14:solidFill>
              <w14:schemeClr w14:val="tx1"/>
            </w14:solidFill>
          </w14:textFill>
        </w:rPr>
        <w:t>（964.92万t），动用（探明）资源量94.18万m</w:t>
      </w:r>
      <w:r>
        <w:rPr>
          <w:rFonts w:hint="eastAsia" w:ascii="宋体" w:hAnsi="宋体" w:cs="宋体"/>
          <w:color w:val="000000" w:themeColor="text1"/>
          <w:szCs w:val="28"/>
          <w:vertAlign w:val="superscript"/>
          <w14:textFill>
            <w14:solidFill>
              <w14:schemeClr w14:val="tx1"/>
            </w14:solidFill>
          </w14:textFill>
        </w:rPr>
        <w:t>3</w:t>
      </w:r>
      <w:r>
        <w:rPr>
          <w:rFonts w:hint="eastAsia" w:ascii="宋体" w:hAnsi="宋体" w:cs="宋体"/>
          <w:color w:val="000000" w:themeColor="text1"/>
          <w:szCs w:val="28"/>
          <w14:textFill>
            <w14:solidFill>
              <w14:schemeClr w14:val="tx1"/>
            </w14:solidFill>
          </w14:textFill>
        </w:rPr>
        <w:t>（244.87万t）。</w:t>
      </w:r>
    </w:p>
    <w:p w14:paraId="7F7A05D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服务年限</w:t>
      </w:r>
      <w:bookmarkEnd w:id="913"/>
      <w:bookmarkEnd w:id="914"/>
      <w:bookmarkEnd w:id="915"/>
    </w:p>
    <w:p w14:paraId="073EC188">
      <w:pPr>
        <w:pStyle w:val="18"/>
        <w:spacing w:after="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矿山开采的矿石主要用于当地基础设施建设，服务年限为</w:t>
      </w:r>
      <w:r>
        <w:rPr>
          <w:rFonts w:hint="eastAsia"/>
          <w:color w:val="000000" w:themeColor="text1"/>
          <w:szCs w:val="28"/>
          <w14:textFill>
            <w14:solidFill>
              <w14:schemeClr w14:val="tx1"/>
            </w14:solidFill>
          </w14:textFill>
        </w:rPr>
        <w:t>8.96</w:t>
      </w:r>
      <w:r>
        <w:rPr>
          <w:color w:val="000000" w:themeColor="text1"/>
          <w:szCs w:val="28"/>
          <w14:textFill>
            <w14:solidFill>
              <w14:schemeClr w14:val="tx1"/>
            </w14:solidFill>
          </w14:textFill>
        </w:rPr>
        <w:t>年（不含基建期</w:t>
      </w:r>
      <w:r>
        <w:rPr>
          <w:rFonts w:hint="eastAsia"/>
          <w:color w:val="000000" w:themeColor="text1"/>
          <w:szCs w:val="28"/>
          <w14:textFill>
            <w14:solidFill>
              <w14:schemeClr w14:val="tx1"/>
            </w14:solidFill>
          </w14:textFill>
        </w:rPr>
        <w:t>8个月</w:t>
      </w:r>
      <w:r>
        <w:rPr>
          <w:color w:val="000000" w:themeColor="text1"/>
          <w:szCs w:val="28"/>
          <w14:textFill>
            <w14:solidFill>
              <w14:schemeClr w14:val="tx1"/>
            </w14:solidFill>
          </w14:textFill>
        </w:rPr>
        <w:t>）。</w:t>
      </w:r>
    </w:p>
    <w:p w14:paraId="0D932958">
      <w:pPr>
        <w:ind w:firstLine="560"/>
        <w:rPr>
          <w:color w:val="000000" w:themeColor="text1"/>
          <w14:textFill>
            <w14:solidFill>
              <w14:schemeClr w14:val="tx1"/>
            </w14:solidFill>
          </w14:textFill>
        </w:rPr>
      </w:pPr>
      <w:bookmarkStart w:id="916" w:name="_Toc6957"/>
      <w:bookmarkStart w:id="917" w:name="_Toc9847"/>
      <w:bookmarkStart w:id="918" w:name="_Toc14573"/>
      <w:r>
        <w:rPr>
          <w:rFonts w:hint="eastAsia"/>
          <w:color w:val="000000" w:themeColor="text1"/>
          <w14:textFill>
            <w14:solidFill>
              <w14:schemeClr w14:val="tx1"/>
            </w14:solidFill>
          </w14:textFill>
        </w:rPr>
        <w:t>3、</w:t>
      </w:r>
      <w:r>
        <w:rPr>
          <w:color w:val="000000" w:themeColor="text1"/>
          <w14:textFill>
            <w14:solidFill>
              <w14:schemeClr w14:val="tx1"/>
            </w14:solidFill>
          </w14:textFill>
        </w:rPr>
        <w:t>矿山生产制度</w:t>
      </w:r>
      <w:bookmarkEnd w:id="916"/>
      <w:bookmarkEnd w:id="917"/>
      <w:bookmarkEnd w:id="918"/>
    </w:p>
    <w:p w14:paraId="61A5CB84">
      <w:pPr>
        <w:ind w:firstLine="420" w:firstLineChars="150"/>
        <w:rPr>
          <w:color w:val="000000" w:themeColor="text1"/>
          <w:szCs w:val="28"/>
          <w14:textFill>
            <w14:solidFill>
              <w14:schemeClr w14:val="tx1"/>
            </w14:solidFill>
          </w14:textFill>
        </w:rPr>
      </w:pPr>
      <w:r>
        <w:rPr>
          <w:color w:val="000000" w:themeColor="text1"/>
          <w14:textFill>
            <w14:solidFill>
              <w14:schemeClr w14:val="tx1"/>
            </w14:solidFill>
          </w14:textFill>
        </w:rPr>
        <w:t>根据本矿山的生产特点，实行年工作300天，每天</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班，每班8小时工作制度</w:t>
      </w:r>
      <w:r>
        <w:rPr>
          <w:rFonts w:hint="eastAsia"/>
          <w:color w:val="000000" w:themeColor="text1"/>
          <w14:textFill>
            <w14:solidFill>
              <w14:schemeClr w14:val="tx1"/>
            </w14:solidFill>
          </w14:textFill>
        </w:rPr>
        <w:t>，</w:t>
      </w:r>
      <w:r>
        <w:rPr>
          <w:color w:val="000000" w:themeColor="text1"/>
          <w:szCs w:val="28"/>
          <w:lang w:val="zh-TW" w:eastAsia="zh-TW"/>
          <w14:textFill>
            <w14:solidFill>
              <w14:schemeClr w14:val="tx1"/>
            </w14:solidFill>
          </w14:textFill>
        </w:rPr>
        <w:t>穿孔、采装及运输为两班制，爆破和维修工作在白班进行。</w:t>
      </w:r>
    </w:p>
    <w:p w14:paraId="307D69C9">
      <w:pPr>
        <w:pStyle w:val="6"/>
        <w:spacing w:before="120" w:after="120"/>
        <w:rPr>
          <w:color w:val="000000" w:themeColor="text1"/>
          <w14:textFill>
            <w14:solidFill>
              <w14:schemeClr w14:val="tx1"/>
            </w14:solidFill>
          </w14:textFill>
        </w:rPr>
      </w:pPr>
      <w:bookmarkStart w:id="919" w:name="_Toc215070180"/>
      <w:bookmarkStart w:id="920" w:name="_Toc21635"/>
      <w:bookmarkStart w:id="921" w:name="_Toc15374"/>
      <w:bookmarkStart w:id="922" w:name="_Toc13048"/>
      <w:bookmarkStart w:id="923" w:name="_Toc17858"/>
      <w:bookmarkStart w:id="924" w:name="_Toc22351"/>
      <w:bookmarkStart w:id="925" w:name="_Toc2170"/>
      <w:bookmarkStart w:id="926" w:name="_Toc2108"/>
      <w:bookmarkStart w:id="927" w:name="_Toc18343"/>
      <w:r>
        <w:rPr>
          <w:rFonts w:hint="eastAsia"/>
          <w:color w:val="000000" w:themeColor="text1"/>
          <w14:textFill>
            <w14:solidFill>
              <w14:schemeClr w14:val="tx1"/>
            </w14:solidFill>
          </w14:textFill>
        </w:rPr>
        <w:t>2.4.2.2</w:t>
      </w:r>
      <w:r>
        <w:rPr>
          <w:color w:val="000000" w:themeColor="text1"/>
          <w14:textFill>
            <w14:solidFill>
              <w14:schemeClr w14:val="tx1"/>
            </w14:solidFill>
          </w14:textFill>
        </w:rPr>
        <w:t>产品方案</w:t>
      </w:r>
      <w:bookmarkEnd w:id="919"/>
      <w:bookmarkEnd w:id="920"/>
      <w:bookmarkEnd w:id="921"/>
      <w:bookmarkEnd w:id="922"/>
      <w:bookmarkEnd w:id="923"/>
      <w:bookmarkEnd w:id="924"/>
      <w:bookmarkEnd w:id="925"/>
      <w:bookmarkEnd w:id="926"/>
      <w:bookmarkEnd w:id="927"/>
    </w:p>
    <w:p w14:paraId="56500DE6">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露天采场采出的矿石运输至破碎站，经破碎生产线根据需要进行破碎筛分后</w:t>
      </w:r>
      <w:r>
        <w:rPr>
          <w:rFonts w:hint="eastAsia"/>
          <w:color w:val="000000" w:themeColor="text1"/>
          <w:szCs w:val="28"/>
          <w14:textFill>
            <w14:solidFill>
              <w14:schemeClr w14:val="tx1"/>
            </w14:solidFill>
          </w14:textFill>
        </w:rPr>
        <w:t>分别得到公分石、瓜子石、石粉等</w:t>
      </w:r>
      <w:r>
        <w:rPr>
          <w:rFonts w:hint="eastAsia" w:ascii="宋体" w:hAnsi="宋体"/>
          <w:color w:val="000000" w:themeColor="text1"/>
          <w:szCs w:val="28"/>
          <w14:textFill>
            <w14:solidFill>
              <w14:schemeClr w14:val="tx1"/>
            </w14:solidFill>
          </w14:textFill>
        </w:rPr>
        <w:t>不同</w:t>
      </w:r>
      <w:r>
        <w:rPr>
          <w:rFonts w:hint="eastAsia"/>
          <w:color w:val="000000" w:themeColor="text1"/>
          <w:szCs w:val="28"/>
          <w14:textFill>
            <w14:solidFill>
              <w14:schemeClr w14:val="tx1"/>
            </w14:solidFill>
          </w14:textFill>
        </w:rPr>
        <w:t>规格</w:t>
      </w:r>
      <w:r>
        <w:rPr>
          <w:rFonts w:hint="eastAsia" w:ascii="宋体" w:hAnsi="宋体"/>
          <w:color w:val="000000" w:themeColor="text1"/>
          <w:szCs w:val="28"/>
          <w14:textFill>
            <w14:solidFill>
              <w14:schemeClr w14:val="tx1"/>
            </w14:solidFill>
          </w14:textFill>
        </w:rPr>
        <w:t>的建筑石料</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本</w:t>
      </w:r>
      <w:r>
        <w:rPr>
          <w:rFonts w:hint="eastAsia"/>
          <w:color w:val="000000" w:themeColor="text1"/>
          <w:szCs w:val="28"/>
          <w14:textFill>
            <w14:solidFill>
              <w14:schemeClr w14:val="tx1"/>
            </w14:solidFill>
          </w14:textFill>
        </w:rPr>
        <w:t>矿山</w:t>
      </w:r>
      <w:r>
        <w:rPr>
          <w:color w:val="000000" w:themeColor="text1"/>
          <w:szCs w:val="28"/>
          <w14:textFill>
            <w14:solidFill>
              <w14:schemeClr w14:val="tx1"/>
            </w14:solidFill>
          </w14:textFill>
        </w:rPr>
        <w:t>最终产品方案为</w:t>
      </w:r>
      <w:r>
        <w:rPr>
          <w:rFonts w:hint="eastAsia"/>
          <w:color w:val="000000" w:themeColor="text1"/>
          <w:szCs w:val="28"/>
          <w14:textFill>
            <w14:solidFill>
              <w14:schemeClr w14:val="tx1"/>
            </w14:solidFill>
          </w14:textFill>
        </w:rPr>
        <w:t>建筑用</w:t>
      </w:r>
      <w:r>
        <w:rPr>
          <w:color w:val="000000" w:themeColor="text1"/>
          <w:szCs w:val="28"/>
          <w14:textFill>
            <w14:solidFill>
              <w14:schemeClr w14:val="tx1"/>
            </w14:solidFill>
          </w14:textFill>
        </w:rPr>
        <w:t>公分石、瓜子石和石粉</w:t>
      </w:r>
      <w:r>
        <w:rPr>
          <w:rFonts w:hint="eastAsia"/>
          <w:color w:val="000000" w:themeColor="text1"/>
          <w:szCs w:val="28"/>
          <w14:textFill>
            <w14:solidFill>
              <w14:schemeClr w14:val="tx1"/>
            </w14:solidFill>
          </w14:textFill>
        </w:rPr>
        <w:t>等建筑石料</w:t>
      </w:r>
      <w:r>
        <w:rPr>
          <w:color w:val="000000" w:themeColor="text1"/>
          <w:szCs w:val="28"/>
          <w14:textFill>
            <w14:solidFill>
              <w14:schemeClr w14:val="tx1"/>
            </w14:solidFill>
          </w14:textFill>
        </w:rPr>
        <w:t>。</w:t>
      </w:r>
    </w:p>
    <w:bookmarkEnd w:id="906"/>
    <w:bookmarkEnd w:id="907"/>
    <w:bookmarkEnd w:id="908"/>
    <w:bookmarkEnd w:id="909"/>
    <w:p w14:paraId="58320E24">
      <w:pPr>
        <w:pStyle w:val="5"/>
        <w:spacing w:after="120"/>
        <w:rPr>
          <w:color w:val="000000" w:themeColor="text1"/>
          <w14:textFill>
            <w14:solidFill>
              <w14:schemeClr w14:val="tx1"/>
            </w14:solidFill>
          </w14:textFill>
        </w:rPr>
      </w:pPr>
      <w:bookmarkStart w:id="928" w:name="_Toc105675525"/>
      <w:bookmarkStart w:id="929" w:name="_Toc105674807"/>
      <w:bookmarkStart w:id="930" w:name="_Toc105730370"/>
      <w:bookmarkStart w:id="931" w:name="_Toc140123926"/>
      <w:bookmarkStart w:id="932" w:name="_Toc105676005"/>
      <w:bookmarkStart w:id="933" w:name="_Toc392680673"/>
      <w:bookmarkStart w:id="934" w:name="_Toc9914"/>
      <w:bookmarkStart w:id="935" w:name="_Toc9586"/>
      <w:bookmarkStart w:id="936" w:name="_Toc5939"/>
      <w:bookmarkStart w:id="937" w:name="_Toc11928"/>
      <w:bookmarkStart w:id="938" w:name="_Toc215070181"/>
      <w:bookmarkStart w:id="939" w:name="_Toc17493"/>
      <w:bookmarkStart w:id="940" w:name="_Toc29575"/>
      <w:bookmarkStart w:id="941" w:name="_Toc32748"/>
      <w:bookmarkStart w:id="942" w:name="_Toc28732"/>
      <w:bookmarkStart w:id="943" w:name="_Toc1455"/>
      <w:bookmarkStart w:id="944" w:name="_Toc23037"/>
      <w:bookmarkStart w:id="945" w:name="_Toc14218"/>
      <w:bookmarkStart w:id="946" w:name="_Toc25022"/>
      <w:bookmarkStart w:id="947" w:name="_Toc4283"/>
      <w:r>
        <w:rPr>
          <w:rFonts w:hint="eastAsia"/>
          <w:color w:val="000000" w:themeColor="text1"/>
          <w14:textFill>
            <w14:solidFill>
              <w14:schemeClr w14:val="tx1"/>
            </w14:solidFill>
          </w14:textFill>
        </w:rPr>
        <w:t>2.4.</w:t>
      </w:r>
      <w:bookmarkEnd w:id="928"/>
      <w:bookmarkEnd w:id="929"/>
      <w:bookmarkEnd w:id="930"/>
      <w:bookmarkEnd w:id="931"/>
      <w:bookmarkEnd w:id="932"/>
      <w:r>
        <w:rPr>
          <w:rFonts w:hint="eastAsia"/>
          <w:color w:val="000000" w:themeColor="text1"/>
          <w14:textFill>
            <w14:solidFill>
              <w14:schemeClr w14:val="tx1"/>
            </w14:solidFill>
          </w14:textFill>
        </w:rPr>
        <w:t>3总图运输</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3554FE6">
      <w:pPr>
        <w:pStyle w:val="6"/>
        <w:spacing w:before="120" w:after="120"/>
        <w:rPr>
          <w:color w:val="000000" w:themeColor="text1"/>
          <w14:textFill>
            <w14:solidFill>
              <w14:schemeClr w14:val="tx1"/>
            </w14:solidFill>
          </w14:textFill>
        </w:rPr>
      </w:pPr>
      <w:bookmarkStart w:id="948" w:name="_Toc5547"/>
      <w:bookmarkStart w:id="949" w:name="_Toc10337"/>
      <w:bookmarkStart w:id="950" w:name="_Toc32344"/>
      <w:bookmarkStart w:id="951" w:name="_Toc20267"/>
      <w:bookmarkStart w:id="952" w:name="_Toc17997"/>
      <w:bookmarkStart w:id="953" w:name="_Toc215070182"/>
      <w:bookmarkStart w:id="954" w:name="_Toc11942"/>
      <w:bookmarkStart w:id="955" w:name="_Toc17313"/>
      <w:bookmarkStart w:id="956" w:name="_Toc14305"/>
      <w:bookmarkStart w:id="957" w:name="_Toc439944207"/>
      <w:bookmarkStart w:id="958" w:name="_Toc9444"/>
      <w:bookmarkStart w:id="959" w:name="_Toc439944090"/>
      <w:bookmarkStart w:id="960" w:name="_Toc82"/>
      <w:bookmarkStart w:id="961" w:name="_Toc439942447"/>
      <w:r>
        <w:rPr>
          <w:rFonts w:hint="eastAsia"/>
          <w:color w:val="000000" w:themeColor="text1"/>
          <w14:textFill>
            <w14:solidFill>
              <w14:schemeClr w14:val="tx1"/>
            </w14:solidFill>
          </w14:textFill>
        </w:rPr>
        <w:t>2.4.3.1总图布置</w:t>
      </w:r>
      <w:bookmarkEnd w:id="948"/>
      <w:bookmarkEnd w:id="949"/>
      <w:bookmarkEnd w:id="950"/>
      <w:bookmarkEnd w:id="951"/>
      <w:bookmarkEnd w:id="952"/>
      <w:bookmarkEnd w:id="953"/>
      <w:bookmarkEnd w:id="954"/>
      <w:bookmarkEnd w:id="955"/>
      <w:bookmarkEnd w:id="956"/>
    </w:p>
    <w:bookmarkEnd w:id="957"/>
    <w:bookmarkEnd w:id="958"/>
    <w:bookmarkEnd w:id="959"/>
    <w:bookmarkEnd w:id="960"/>
    <w:bookmarkEnd w:id="961"/>
    <w:p w14:paraId="4AE6F5B5">
      <w:pPr>
        <w:ind w:firstLine="560"/>
        <w:rPr>
          <w:color w:val="000000" w:themeColor="text1"/>
          <w:szCs w:val="28"/>
          <w14:textFill>
            <w14:solidFill>
              <w14:schemeClr w14:val="tx1"/>
            </w14:solidFill>
          </w14:textFill>
        </w:rPr>
      </w:pPr>
      <w:bookmarkStart w:id="962" w:name="_Toc12123"/>
      <w:bookmarkStart w:id="963" w:name="_Toc10073"/>
      <w:bookmarkStart w:id="964" w:name="_Toc14918"/>
      <w:r>
        <w:rPr>
          <w:color w:val="000000" w:themeColor="text1"/>
          <w:szCs w:val="28"/>
          <w14:textFill>
            <w14:solidFill>
              <w14:schemeClr w14:val="tx1"/>
            </w14:solidFill>
          </w14:textFill>
        </w:rPr>
        <w:t>矿山总体布置主要由露天采场、运输道路、主要工业场地、办公生活区等组成。</w:t>
      </w:r>
    </w:p>
    <w:p w14:paraId="196D01B7">
      <w:pPr>
        <w:ind w:firstLine="56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露天采场</w:t>
      </w:r>
      <w:bookmarkEnd w:id="962"/>
      <w:bookmarkEnd w:id="963"/>
      <w:bookmarkEnd w:id="964"/>
    </w:p>
    <w:p w14:paraId="05E77E9C">
      <w:pPr>
        <w:ind w:firstLine="560"/>
        <w:rPr>
          <w:color w:val="000000" w:themeColor="text1"/>
          <w14:textFill>
            <w14:solidFill>
              <w14:schemeClr w14:val="tx1"/>
            </w14:solidFill>
          </w14:textFill>
        </w:rPr>
      </w:pPr>
      <w:r>
        <w:rPr>
          <w:color w:val="000000" w:themeColor="text1"/>
          <w14:textFill>
            <w14:solidFill>
              <w14:schemeClr w14:val="tx1"/>
            </w14:solidFill>
          </w14:textFill>
        </w:rPr>
        <w:t>根据矿体的赋存条件和矿山的地形地质条件，露天采场采用场内公路</w:t>
      </w:r>
      <w:r>
        <w:rPr>
          <w:rFonts w:hint="eastAsia"/>
          <w:color w:val="000000" w:themeColor="text1"/>
          <w14:textFill>
            <w14:solidFill>
              <w14:schemeClr w14:val="tx1"/>
            </w14:solidFill>
          </w14:textFill>
        </w:rPr>
        <w:t>开拓</w:t>
      </w:r>
      <w:r>
        <w:rPr>
          <w:color w:val="000000" w:themeColor="text1"/>
          <w14:textFill>
            <w14:solidFill>
              <w14:schemeClr w14:val="tx1"/>
            </w14:solidFill>
          </w14:textFill>
        </w:rPr>
        <w:t>汽车运输，具体采场位置见</w:t>
      </w:r>
      <w:r>
        <w:rPr>
          <w:rFonts w:hint="eastAsia"/>
          <w:color w:val="000000" w:themeColor="text1"/>
          <w14:textFill>
            <w14:solidFill>
              <w14:schemeClr w14:val="tx1"/>
            </w14:solidFill>
          </w14:textFill>
        </w:rPr>
        <w:t>“附图02——</w:t>
      </w:r>
      <w:r>
        <w:rPr>
          <w:color w:val="000000" w:themeColor="text1"/>
          <w14:textFill>
            <w14:solidFill>
              <w14:schemeClr w14:val="tx1"/>
            </w14:solidFill>
          </w14:textFill>
        </w:rPr>
        <w:t>总平面布置图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14:paraId="1CF0D1D5">
      <w:pPr>
        <w:ind w:firstLine="560"/>
        <w:rPr>
          <w:color w:val="000000" w:themeColor="text1"/>
          <w14:textFill>
            <w14:solidFill>
              <w14:schemeClr w14:val="tx1"/>
            </w14:solidFill>
          </w14:textFill>
        </w:rPr>
      </w:pPr>
      <w:bookmarkStart w:id="965" w:name="_Toc7277"/>
      <w:bookmarkStart w:id="966" w:name="_Toc4366"/>
      <w:bookmarkStart w:id="967" w:name="_Toc26156"/>
      <w:r>
        <w:rPr>
          <w:rFonts w:hint="eastAsia"/>
          <w:color w:val="000000" w:themeColor="text1"/>
          <w14:textFill>
            <w14:solidFill>
              <w14:schemeClr w14:val="tx1"/>
            </w14:solidFill>
          </w14:textFill>
        </w:rPr>
        <w:t>2、</w:t>
      </w:r>
      <w:r>
        <w:rPr>
          <w:color w:val="000000" w:themeColor="text1"/>
          <w14:textFill>
            <w14:solidFill>
              <w14:schemeClr w14:val="tx1"/>
            </w14:solidFill>
          </w14:textFill>
        </w:rPr>
        <w:t>主要工业场地</w:t>
      </w:r>
      <w:bookmarkEnd w:id="965"/>
      <w:bookmarkEnd w:id="966"/>
      <w:bookmarkEnd w:id="967"/>
    </w:p>
    <w:p w14:paraId="5DAEA3D5">
      <w:pPr>
        <w:ind w:firstLine="560"/>
        <w:rPr>
          <w:color w:val="000000" w:themeColor="text1"/>
          <w14:textFill>
            <w14:solidFill>
              <w14:schemeClr w14:val="tx1"/>
            </w14:solidFill>
          </w14:textFill>
        </w:rPr>
      </w:pPr>
      <w:r>
        <w:rPr>
          <w:color w:val="000000" w:themeColor="text1"/>
          <w:szCs w:val="28"/>
          <w14:textFill>
            <w14:solidFill>
              <w14:schemeClr w14:val="tx1"/>
            </w14:solidFill>
          </w14:textFill>
        </w:rPr>
        <w:t>该矿山为扩建矿山，施工条件较好，工业场地及建筑沿用矿山原有系统工程</w:t>
      </w:r>
      <w:r>
        <w:rPr>
          <w:color w:val="000000" w:themeColor="text1"/>
          <w14:textFill>
            <w14:solidFill>
              <w14:schemeClr w14:val="tx1"/>
            </w14:solidFill>
          </w14:textFill>
        </w:rPr>
        <w:t>，位于</w:t>
      </w:r>
      <w:r>
        <w:rPr>
          <w:color w:val="000000" w:themeColor="text1"/>
          <w:szCs w:val="28"/>
          <w14:textFill>
            <w14:solidFill>
              <w14:schemeClr w14:val="tx1"/>
            </w14:solidFill>
          </w14:textFill>
        </w:rPr>
        <w:t>矿区外南侧</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+1300m标高</w:t>
      </w:r>
      <w:r>
        <w:rPr>
          <w:color w:val="000000" w:themeColor="text1"/>
          <w14:textFill>
            <w14:solidFill>
              <w14:schemeClr w14:val="tx1"/>
            </w14:solidFill>
          </w14:textFill>
        </w:rPr>
        <w:t>。交通方便。工业场地内设破碎站、配电室、值班室等生产设施。</w:t>
      </w:r>
    </w:p>
    <w:p w14:paraId="0FCFF8D9">
      <w:pPr>
        <w:ind w:firstLine="560"/>
        <w:rPr>
          <w:rFonts w:hint="eastAsia" w:ascii="宋体" w:hAnsi="宋体"/>
          <w:color w:val="000000" w:themeColor="text1"/>
          <w:szCs w:val="28"/>
          <w14:textFill>
            <w14:solidFill>
              <w14:schemeClr w14:val="tx1"/>
            </w14:solidFill>
          </w14:textFill>
        </w:rPr>
      </w:pPr>
      <w:bookmarkStart w:id="968" w:name="_Toc232934028"/>
      <w:bookmarkStart w:id="969" w:name="_Toc16468"/>
      <w:bookmarkStart w:id="970" w:name="_Toc314346943"/>
      <w:r>
        <w:rPr>
          <w:rFonts w:hint="eastAsia"/>
          <w:color w:val="000000" w:themeColor="text1"/>
          <w14:textFill>
            <w14:solidFill>
              <w14:schemeClr w14:val="tx1"/>
            </w14:solidFill>
          </w14:textFill>
        </w:rPr>
        <w:t>（1）</w:t>
      </w:r>
      <w:r>
        <w:rPr>
          <w:rFonts w:ascii="宋体" w:hAnsi="宋体"/>
          <w:color w:val="000000" w:themeColor="text1"/>
          <w:szCs w:val="28"/>
          <w14:textFill>
            <w14:solidFill>
              <w14:schemeClr w14:val="tx1"/>
            </w14:solidFill>
          </w14:textFill>
        </w:rPr>
        <w:t>破碎系统：</w:t>
      </w:r>
      <w:r>
        <w:rPr>
          <w:rFonts w:hint="eastAsia" w:ascii="宋体" w:hAnsi="宋体"/>
          <w:color w:val="000000" w:themeColor="text1"/>
          <w:szCs w:val="28"/>
          <w14:textFill>
            <w14:solidFill>
              <w14:schemeClr w14:val="tx1"/>
            </w14:solidFill>
          </w14:textFill>
        </w:rPr>
        <w:t>矿区破碎站位于矿区外南侧</w:t>
      </w:r>
      <w:r>
        <w:rPr>
          <w:rFonts w:ascii="宋体" w:hAnsi="宋体"/>
          <w:color w:val="000000" w:themeColor="text1"/>
          <w:szCs w:val="28"/>
          <w14:textFill>
            <w14:solidFill>
              <w14:schemeClr w14:val="tx1"/>
            </w14:solidFill>
          </w14:textFill>
        </w:rPr>
        <w:t>，自东向</w:t>
      </w:r>
      <w:r>
        <w:rPr>
          <w:rFonts w:hint="eastAsia" w:ascii="宋体" w:hAnsi="宋体"/>
          <w:color w:val="000000" w:themeColor="text1"/>
          <w:szCs w:val="28"/>
          <w14:textFill>
            <w14:solidFill>
              <w14:schemeClr w14:val="tx1"/>
            </w14:solidFill>
          </w14:textFill>
        </w:rPr>
        <w:t>南</w:t>
      </w:r>
      <w:r>
        <w:rPr>
          <w:rFonts w:ascii="宋体" w:hAnsi="宋体"/>
          <w:color w:val="000000" w:themeColor="text1"/>
          <w:szCs w:val="28"/>
          <w14:textFill>
            <w14:solidFill>
              <w14:schemeClr w14:val="tx1"/>
            </w14:solidFill>
          </w14:textFill>
        </w:rPr>
        <w:t>布置。</w:t>
      </w:r>
    </w:p>
    <w:bookmarkEnd w:id="968"/>
    <w:bookmarkEnd w:id="969"/>
    <w:bookmarkEnd w:id="970"/>
    <w:p w14:paraId="388A67D6">
      <w:pPr>
        <w:tabs>
          <w:tab w:val="left" w:pos="540"/>
        </w:tabs>
        <w:ind w:firstLine="560"/>
        <w:jc w:val="both"/>
        <w:rPr>
          <w:rFonts w:hint="eastAsia" w:ascii="宋体" w:hAnsi="宋体"/>
          <w:color w:val="000000" w:themeColor="text1"/>
          <w:szCs w:val="28"/>
          <w14:textFill>
            <w14:solidFill>
              <w14:schemeClr w14:val="tx1"/>
            </w14:solidFill>
          </w14:textFill>
        </w:rPr>
      </w:pPr>
      <w:bookmarkStart w:id="971" w:name="_Toc314346944"/>
      <w:bookmarkStart w:id="972" w:name="_Toc259454389"/>
      <w:bookmarkStart w:id="973" w:name="_Toc6679"/>
      <w:bookmarkStart w:id="974" w:name="_Toc262521596"/>
      <w:r>
        <w:rPr>
          <w:rFonts w:hint="eastAsia" w:ascii="宋体" w:hAnsi="宋体"/>
          <w:color w:val="000000" w:themeColor="text1"/>
          <w:szCs w:val="28"/>
          <w14:textFill>
            <w14:solidFill>
              <w14:schemeClr w14:val="tx1"/>
            </w14:solidFill>
          </w14:textFill>
        </w:rPr>
        <w:t>（2）</w:t>
      </w:r>
      <w:bookmarkEnd w:id="971"/>
      <w:bookmarkEnd w:id="972"/>
      <w:bookmarkEnd w:id="973"/>
      <w:bookmarkEnd w:id="974"/>
      <w:bookmarkStart w:id="975" w:name="_Toc16186"/>
      <w:bookmarkStart w:id="976" w:name="_Toc23908"/>
      <w:bookmarkStart w:id="977" w:name="_Toc1506"/>
      <w:r>
        <w:rPr>
          <w:rFonts w:ascii="宋体" w:hAnsi="宋体"/>
          <w:color w:val="000000" w:themeColor="text1"/>
          <w:szCs w:val="28"/>
          <w14:textFill>
            <w14:solidFill>
              <w14:schemeClr w14:val="tx1"/>
            </w14:solidFill>
          </w14:textFill>
        </w:rPr>
        <w:t>矿山第四系覆土极薄，且由于是扩建矿山，矿区大部分已剥离表土，仅有矿区西北侧的林地未进行表土剥离。根据矿山以往开采经验，取平均厚度0.5m，</w:t>
      </w:r>
      <w:r>
        <w:rPr>
          <w:rFonts w:hint="eastAsia" w:ascii="宋体" w:hAnsi="宋体"/>
          <w:color w:val="000000" w:themeColor="text1"/>
          <w:szCs w:val="28"/>
          <w14:textFill>
            <w14:solidFill>
              <w14:schemeClr w14:val="tx1"/>
            </w14:solidFill>
          </w14:textFill>
        </w:rPr>
        <w:t>估算</w:t>
      </w:r>
      <w:r>
        <w:rPr>
          <w:rFonts w:ascii="宋体" w:hAnsi="宋体"/>
          <w:color w:val="000000" w:themeColor="text1"/>
          <w:szCs w:val="28"/>
          <w14:textFill>
            <w14:solidFill>
              <w14:schemeClr w14:val="tx1"/>
            </w14:solidFill>
          </w14:textFill>
        </w:rPr>
        <w:t>矿山表土需剥离面积</w:t>
      </w:r>
      <w:r>
        <w:rPr>
          <w:rFonts w:hint="eastAsia" w:ascii="宋体" w:hAnsi="宋体"/>
          <w:color w:val="000000" w:themeColor="text1"/>
          <w:szCs w:val="28"/>
          <w14:textFill>
            <w14:solidFill>
              <w14:schemeClr w14:val="tx1"/>
            </w14:solidFill>
          </w14:textFill>
        </w:rPr>
        <w:t>28167.57</w:t>
      </w:r>
      <w:r>
        <w:rPr>
          <w:rFonts w:ascii="宋体" w:hAnsi="宋体"/>
          <w:color w:val="000000" w:themeColor="text1"/>
          <w:szCs w:val="28"/>
          <w14:textFill>
            <w14:solidFill>
              <w14:schemeClr w14:val="tx1"/>
            </w14:solidFill>
          </w14:textFill>
        </w:rPr>
        <w:t>m</w:t>
      </w:r>
      <w:r>
        <w:rPr>
          <w:rFonts w:ascii="宋体" w:hAnsi="宋体"/>
          <w:color w:val="000000" w:themeColor="text1"/>
          <w:szCs w:val="28"/>
          <w:vertAlign w:val="superscript"/>
          <w14:textFill>
            <w14:solidFill>
              <w14:schemeClr w14:val="tx1"/>
            </w14:solidFill>
          </w14:textFill>
        </w:rPr>
        <w:t>2</w:t>
      </w:r>
      <w:r>
        <w:rPr>
          <w:rFonts w:ascii="宋体" w:hAnsi="宋体"/>
          <w:color w:val="000000" w:themeColor="text1"/>
          <w:szCs w:val="28"/>
          <w14:textFill>
            <w14:solidFill>
              <w14:schemeClr w14:val="tx1"/>
            </w14:solidFill>
          </w14:textFill>
        </w:rPr>
        <w:t>，需要剥离覆土</w:t>
      </w:r>
      <w:r>
        <w:rPr>
          <w:rFonts w:hint="eastAsia" w:ascii="宋体" w:hAnsi="宋体"/>
          <w:color w:val="000000" w:themeColor="text1"/>
          <w:szCs w:val="28"/>
          <w14:textFill>
            <w14:solidFill>
              <w14:schemeClr w14:val="tx1"/>
            </w14:solidFill>
          </w14:textFill>
        </w:rPr>
        <w:t>14083.78</w:t>
      </w:r>
      <w:r>
        <w:rPr>
          <w:rFonts w:ascii="宋体" w:hAnsi="宋体"/>
          <w:color w:val="000000" w:themeColor="text1"/>
          <w:szCs w:val="28"/>
          <w14:textFill>
            <w14:solidFill>
              <w14:schemeClr w14:val="tx1"/>
            </w14:solidFill>
          </w14:textFill>
        </w:rPr>
        <w:t>m</w:t>
      </w:r>
      <w:r>
        <w:rPr>
          <w:rFonts w:ascii="宋体" w:hAnsi="宋体"/>
          <w:color w:val="000000" w:themeColor="text1"/>
          <w:szCs w:val="28"/>
          <w:vertAlign w:val="superscript"/>
          <w14:textFill>
            <w14:solidFill>
              <w14:schemeClr w14:val="tx1"/>
            </w14:solidFill>
          </w14:textFill>
        </w:rPr>
        <w:t>3</w:t>
      </w:r>
      <w:r>
        <w:rPr>
          <w:rFonts w:ascii="宋体" w:hAnsi="宋体"/>
          <w:color w:val="000000" w:themeColor="text1"/>
          <w:szCs w:val="28"/>
          <w14:textFill>
            <w14:solidFill>
              <w14:schemeClr w14:val="tx1"/>
            </w14:solidFill>
          </w14:textFill>
        </w:rPr>
        <w:t>（</w:t>
      </w:r>
      <w:r>
        <w:rPr>
          <w:rFonts w:hint="eastAsia" w:ascii="宋体" w:hAnsi="宋体"/>
          <w:color w:val="000000" w:themeColor="text1"/>
          <w:szCs w:val="28"/>
          <w14:textFill>
            <w14:solidFill>
              <w14:schemeClr w14:val="tx1"/>
            </w14:solidFill>
          </w14:textFill>
        </w:rPr>
        <w:t>2.25万</w:t>
      </w:r>
      <w:r>
        <w:rPr>
          <w:rFonts w:ascii="宋体" w:hAnsi="宋体"/>
          <w:color w:val="000000" w:themeColor="text1"/>
          <w:szCs w:val="28"/>
          <w14:textFill>
            <w14:solidFill>
              <w14:schemeClr w14:val="tx1"/>
            </w14:solidFill>
          </w14:textFill>
        </w:rPr>
        <w:t>t）。在矿区北东侧采坑设置临时表土场，用于堆存采场剥离的废土，开采结束后废土作为复垦及恢复植被用。临时表土场顶部标高+13</w:t>
      </w:r>
      <w:r>
        <w:rPr>
          <w:rFonts w:hint="eastAsia" w:ascii="宋体" w:hAnsi="宋体"/>
          <w:color w:val="000000" w:themeColor="text1"/>
          <w:szCs w:val="28"/>
          <w14:textFill>
            <w14:solidFill>
              <w14:schemeClr w14:val="tx1"/>
            </w14:solidFill>
          </w14:textFill>
        </w:rPr>
        <w:t>05</w:t>
      </w:r>
      <w:r>
        <w:rPr>
          <w:rFonts w:ascii="宋体" w:hAnsi="宋体"/>
          <w:color w:val="000000" w:themeColor="text1"/>
          <w:szCs w:val="28"/>
          <w14:textFill>
            <w14:solidFill>
              <w14:schemeClr w14:val="tx1"/>
            </w14:solidFill>
          </w14:textFill>
        </w:rPr>
        <w:t>m，底部标高+1</w:t>
      </w:r>
      <w:r>
        <w:rPr>
          <w:rFonts w:hint="eastAsia" w:ascii="宋体" w:hAnsi="宋体"/>
          <w:color w:val="000000" w:themeColor="text1"/>
          <w:szCs w:val="28"/>
          <w14:textFill>
            <w14:solidFill>
              <w14:schemeClr w14:val="tx1"/>
            </w14:solidFill>
          </w14:textFill>
        </w:rPr>
        <w:t>295</w:t>
      </w:r>
      <w:r>
        <w:rPr>
          <w:rFonts w:ascii="宋体" w:hAnsi="宋体"/>
          <w:color w:val="000000" w:themeColor="text1"/>
          <w:szCs w:val="28"/>
          <w14:textFill>
            <w14:solidFill>
              <w14:schemeClr w14:val="tx1"/>
            </w14:solidFill>
          </w14:textFill>
        </w:rPr>
        <w:t>m，堆存高度</w:t>
      </w:r>
      <w:r>
        <w:rPr>
          <w:rFonts w:hint="eastAsia" w:ascii="宋体" w:hAnsi="宋体"/>
          <w:color w:val="000000" w:themeColor="text1"/>
          <w:szCs w:val="28"/>
          <w14:textFill>
            <w14:solidFill>
              <w14:schemeClr w14:val="tx1"/>
            </w14:solidFill>
          </w14:textFill>
        </w:rPr>
        <w:t>5</w:t>
      </w:r>
      <w:r>
        <w:rPr>
          <w:rFonts w:ascii="宋体" w:hAnsi="宋体"/>
          <w:color w:val="000000" w:themeColor="text1"/>
          <w:szCs w:val="28"/>
          <w14:textFill>
            <w14:solidFill>
              <w14:schemeClr w14:val="tx1"/>
            </w14:solidFill>
          </w14:textFill>
        </w:rPr>
        <w:t>m，</w:t>
      </w:r>
      <w:r>
        <w:rPr>
          <w:rFonts w:hint="eastAsia" w:ascii="宋体" w:hAnsi="宋体"/>
          <w:color w:val="000000" w:themeColor="text1"/>
          <w:szCs w:val="28"/>
          <w14:textFill>
            <w14:solidFill>
              <w14:schemeClr w14:val="tx1"/>
            </w14:solidFill>
          </w14:textFill>
        </w:rPr>
        <w:t>已将</w:t>
      </w:r>
      <w:r>
        <w:rPr>
          <w:rFonts w:ascii="宋体" w:hAnsi="宋体"/>
          <w:color w:val="000000" w:themeColor="text1"/>
          <w:szCs w:val="28"/>
          <w14:textFill>
            <w14:solidFill>
              <w14:schemeClr w14:val="tx1"/>
            </w14:solidFill>
          </w14:textFill>
        </w:rPr>
        <w:t>旧采坑填平至+13</w:t>
      </w:r>
      <w:r>
        <w:rPr>
          <w:rFonts w:hint="eastAsia" w:ascii="宋体" w:hAnsi="宋体"/>
          <w:color w:val="000000" w:themeColor="text1"/>
          <w:szCs w:val="28"/>
          <w14:textFill>
            <w14:solidFill>
              <w14:schemeClr w14:val="tx1"/>
            </w14:solidFill>
          </w14:textFill>
        </w:rPr>
        <w:t>00</w:t>
      </w:r>
      <w:r>
        <w:rPr>
          <w:rFonts w:ascii="宋体" w:hAnsi="宋体"/>
          <w:color w:val="000000" w:themeColor="text1"/>
          <w:szCs w:val="28"/>
          <w14:textFill>
            <w14:solidFill>
              <w14:schemeClr w14:val="tx1"/>
            </w14:solidFill>
          </w14:textFill>
        </w:rPr>
        <w:t>m。</w:t>
      </w:r>
      <w:r>
        <w:rPr>
          <w:rFonts w:hint="eastAsia" w:ascii="宋体" w:hAnsi="宋体"/>
          <w:color w:val="000000" w:themeColor="text1"/>
          <w:szCs w:val="28"/>
          <w14:textFill>
            <w14:solidFill>
              <w14:schemeClr w14:val="tx1"/>
            </w14:solidFill>
          </w14:textFill>
        </w:rPr>
        <w:t>可堆存1.5万</w:t>
      </w:r>
      <w:r>
        <w:rPr>
          <w:rFonts w:ascii="宋体" w:hAnsi="宋体"/>
          <w:color w:val="000000" w:themeColor="text1"/>
          <w:szCs w:val="28"/>
          <w14:textFill>
            <w14:solidFill>
              <w14:schemeClr w14:val="tx1"/>
            </w14:solidFill>
          </w14:textFill>
        </w:rPr>
        <w:t>m³</w:t>
      </w:r>
      <w:r>
        <w:rPr>
          <w:rFonts w:hint="eastAsia" w:ascii="宋体" w:hAnsi="宋体"/>
          <w:color w:val="000000" w:themeColor="text1"/>
          <w:szCs w:val="28"/>
          <w14:textFill>
            <w14:solidFill>
              <w14:schemeClr w14:val="tx1"/>
            </w14:solidFill>
          </w14:textFill>
        </w:rPr>
        <w:t>（2.4万</w:t>
      </w:r>
      <w:r>
        <w:rPr>
          <w:rFonts w:ascii="宋体" w:hAnsi="宋体"/>
          <w:color w:val="000000" w:themeColor="text1"/>
          <w:szCs w:val="28"/>
          <w14:textFill>
            <w14:solidFill>
              <w14:schemeClr w14:val="tx1"/>
            </w14:solidFill>
          </w14:textFill>
        </w:rPr>
        <w:t>t</w:t>
      </w:r>
      <w:r>
        <w:rPr>
          <w:rFonts w:hint="eastAsia" w:ascii="宋体" w:hAnsi="宋体"/>
          <w:color w:val="000000" w:themeColor="text1"/>
          <w:szCs w:val="28"/>
          <w14:textFill>
            <w14:solidFill>
              <w14:schemeClr w14:val="tx1"/>
            </w14:solidFill>
          </w14:textFill>
        </w:rPr>
        <w:t>），矿山表土剥离量为1.41万</w:t>
      </w:r>
      <w:r>
        <w:rPr>
          <w:rFonts w:ascii="宋体" w:hAnsi="宋体"/>
          <w:color w:val="000000" w:themeColor="text1"/>
          <w:szCs w:val="28"/>
          <w14:textFill>
            <w14:solidFill>
              <w14:schemeClr w14:val="tx1"/>
            </w14:solidFill>
          </w14:textFill>
        </w:rPr>
        <w:t>m³</w:t>
      </w:r>
      <w:r>
        <w:rPr>
          <w:rFonts w:hint="eastAsia" w:ascii="宋体" w:hAnsi="宋体"/>
          <w:color w:val="000000" w:themeColor="text1"/>
          <w:szCs w:val="28"/>
          <w14:textFill>
            <w14:solidFill>
              <w14:schemeClr w14:val="tx1"/>
            </w14:solidFill>
          </w14:textFill>
        </w:rPr>
        <w:t>（2.25万</w:t>
      </w:r>
      <w:r>
        <w:rPr>
          <w:rFonts w:ascii="宋体" w:hAnsi="宋体"/>
          <w:color w:val="000000" w:themeColor="text1"/>
          <w:szCs w:val="28"/>
          <w14:textFill>
            <w14:solidFill>
              <w14:schemeClr w14:val="tx1"/>
            </w14:solidFill>
          </w14:textFill>
        </w:rPr>
        <w:t>t</w:t>
      </w:r>
      <w:r>
        <w:rPr>
          <w:rFonts w:hint="eastAsia" w:ascii="宋体" w:hAnsi="宋体"/>
          <w:color w:val="000000" w:themeColor="text1"/>
          <w:szCs w:val="28"/>
          <w14:textFill>
            <w14:solidFill>
              <w14:schemeClr w14:val="tx1"/>
            </w14:solidFill>
          </w14:textFill>
        </w:rPr>
        <w:t>），能够满足堆存要</w:t>
      </w:r>
      <w:r>
        <w:rPr>
          <w:rFonts w:ascii="宋体" w:hAnsi="宋体"/>
          <w:color w:val="000000" w:themeColor="text1"/>
          <w:szCs w:val="28"/>
          <w14:textFill>
            <w14:solidFill>
              <w14:schemeClr w14:val="tx1"/>
            </w14:solidFill>
          </w14:textFill>
        </w:rPr>
        <w:t>求</w:t>
      </w:r>
      <w:r>
        <w:rPr>
          <w:rFonts w:hint="eastAsia" w:ascii="宋体" w:hAnsi="宋体"/>
          <w:color w:val="000000" w:themeColor="text1"/>
          <w:szCs w:val="28"/>
          <w14:textFill>
            <w14:solidFill>
              <w14:schemeClr w14:val="tx1"/>
            </w14:solidFill>
          </w14:textFill>
        </w:rPr>
        <w:t>。堆排废土后续用于矿山复垦。</w:t>
      </w:r>
    </w:p>
    <w:p w14:paraId="30BE4FC4">
      <w:pPr>
        <w:ind w:firstLine="560"/>
        <w:rPr>
          <w:color w:val="000000" w:themeColor="text1"/>
          <w14:textFill>
            <w14:solidFill>
              <w14:schemeClr w14:val="tx1"/>
            </w14:solidFill>
          </w14:textFill>
        </w:rPr>
      </w:pPr>
      <w:r>
        <w:rPr>
          <w:rFonts w:hint="eastAsia"/>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lang w:val="zh-TW"/>
          <w14:textFill>
            <w14:solidFill>
              <w14:schemeClr w14:val="tx1"/>
            </w14:solidFill>
          </w14:textFill>
        </w:rPr>
        <w:t>本次不涉及爆破器材库，爆破由民爆公司完成</w:t>
      </w:r>
      <w:r>
        <w:rPr>
          <w:color w:val="000000" w:themeColor="text1"/>
          <w14:textFill>
            <w14:solidFill>
              <w14:schemeClr w14:val="tx1"/>
            </w14:solidFill>
          </w14:textFill>
        </w:rPr>
        <w:t>。</w:t>
      </w:r>
      <w:bookmarkEnd w:id="975"/>
      <w:bookmarkEnd w:id="976"/>
      <w:bookmarkEnd w:id="977"/>
    </w:p>
    <w:p w14:paraId="1006CF93">
      <w:pPr>
        <w:ind w:firstLine="560"/>
        <w:rPr>
          <w:color w:val="000000" w:themeColor="text1"/>
          <w:lang w:val="zh-TW" w:eastAsia="zh-TW"/>
          <w14:textFill>
            <w14:solidFill>
              <w14:schemeClr w14:val="tx1"/>
            </w14:solidFill>
          </w14:textFill>
        </w:rPr>
      </w:pPr>
      <w:bookmarkStart w:id="978" w:name="_Toc21926"/>
      <w:bookmarkStart w:id="979" w:name="_Toc15704"/>
      <w:bookmarkStart w:id="980" w:name="_Toc262521597"/>
      <w:bookmarkStart w:id="981" w:name="_Toc13105"/>
      <w:bookmarkStart w:id="982" w:name="_Toc314346945"/>
      <w:bookmarkStart w:id="983" w:name="_Toc314"/>
      <w:bookmarkStart w:id="984" w:name="_Toc32226"/>
      <w:r>
        <w:rPr>
          <w:rFonts w:hint="eastAsia"/>
          <w:color w:val="000000" w:themeColor="text1"/>
          <w14:textFill>
            <w14:solidFill>
              <w14:schemeClr w14:val="tx1"/>
            </w14:solidFill>
          </w14:textFill>
        </w:rPr>
        <w:t>3、</w:t>
      </w:r>
      <w:r>
        <w:rPr>
          <w:color w:val="000000" w:themeColor="text1"/>
          <w:lang w:val="zh-TW"/>
          <w14:textFill>
            <w14:solidFill>
              <w14:schemeClr w14:val="tx1"/>
            </w14:solidFill>
          </w14:textFill>
        </w:rPr>
        <w:t>办公生活</w:t>
      </w:r>
      <w:r>
        <w:rPr>
          <w:color w:val="000000" w:themeColor="text1"/>
          <w:lang w:val="zh-TW" w:eastAsia="zh-TW"/>
          <w14:textFill>
            <w14:solidFill>
              <w14:schemeClr w14:val="tx1"/>
            </w14:solidFill>
          </w14:textFill>
        </w:rPr>
        <w:t>区布置</w:t>
      </w:r>
      <w:bookmarkEnd w:id="978"/>
      <w:bookmarkEnd w:id="979"/>
      <w:bookmarkEnd w:id="980"/>
      <w:bookmarkEnd w:id="981"/>
      <w:bookmarkEnd w:id="982"/>
      <w:bookmarkEnd w:id="983"/>
      <w:bookmarkEnd w:id="984"/>
    </w:p>
    <w:p w14:paraId="7055E4CF">
      <w:pPr>
        <w:ind w:firstLine="560"/>
        <w:rPr>
          <w:color w:val="000000" w:themeColor="text1"/>
          <w:szCs w:val="28"/>
          <w14:textFill>
            <w14:solidFill>
              <w14:schemeClr w14:val="tx1"/>
            </w14:solidFill>
          </w14:textFill>
        </w:rPr>
      </w:pPr>
      <w:r>
        <w:rPr>
          <w:color w:val="000000" w:themeColor="text1"/>
          <w14:textFill>
            <w14:solidFill>
              <w14:schemeClr w14:val="tx1"/>
            </w14:solidFill>
          </w14:textFill>
        </w:rPr>
        <w:t>现办公生活区位于矿区</w:t>
      </w:r>
      <w:r>
        <w:rPr>
          <w:rFonts w:hint="eastAsia"/>
          <w:color w:val="000000" w:themeColor="text1"/>
          <w14:textFill>
            <w14:solidFill>
              <w14:schemeClr w14:val="tx1"/>
            </w14:solidFill>
          </w14:textFill>
        </w:rPr>
        <w:t>西</w:t>
      </w:r>
      <w:r>
        <w:rPr>
          <w:color w:val="000000" w:themeColor="text1"/>
          <w14:textFill>
            <w14:solidFill>
              <w14:schemeClr w14:val="tx1"/>
            </w14:solidFill>
          </w14:textFill>
        </w:rPr>
        <w:t>南</w:t>
      </w:r>
      <w:r>
        <w:rPr>
          <w:rFonts w:hint="eastAsia"/>
          <w:color w:val="000000" w:themeColor="text1"/>
          <w14:textFill>
            <w14:solidFill>
              <w14:schemeClr w14:val="tx1"/>
            </w14:solidFill>
          </w14:textFill>
        </w:rPr>
        <w:t>部</w:t>
      </w:r>
      <w:r>
        <w:rPr>
          <w:color w:val="000000" w:themeColor="text1"/>
          <w:szCs w:val="28"/>
          <w14:textFill>
            <w14:solidFill>
              <w14:schemeClr w14:val="tx1"/>
            </w14:solidFill>
          </w14:textFill>
        </w:rPr>
        <w:t>，距离矿界最近点</w:t>
      </w:r>
      <w:r>
        <w:rPr>
          <w:rFonts w:hint="eastAsia"/>
          <w:color w:val="000000" w:themeColor="text1"/>
          <w:szCs w:val="28"/>
          <w14:textFill>
            <w14:solidFill>
              <w14:schemeClr w14:val="tx1"/>
            </w14:solidFill>
          </w14:textFill>
        </w:rPr>
        <w:t>70m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部分位于警戒范围内，但位于爆破区域外，</w:t>
      </w:r>
      <w:r>
        <w:rPr>
          <w:color w:val="000000" w:themeColor="text1"/>
          <w14:textFill>
            <w14:solidFill>
              <w14:schemeClr w14:val="tx1"/>
            </w14:solidFill>
          </w14:textFill>
        </w:rPr>
        <w:t>矿山进行爆破作业时，</w:t>
      </w:r>
      <w:r>
        <w:rPr>
          <w:rFonts w:hint="eastAsia"/>
          <w:color w:val="000000" w:themeColor="text1"/>
          <w14:textFill>
            <w14:solidFill>
              <w14:schemeClr w14:val="tx1"/>
            </w14:solidFill>
          </w14:textFill>
        </w:rPr>
        <w:t>临时</w:t>
      </w:r>
      <w:r>
        <w:rPr>
          <w:color w:val="000000" w:themeColor="text1"/>
          <w14:textFill>
            <w14:solidFill>
              <w14:schemeClr w14:val="tx1"/>
            </w14:solidFill>
          </w14:textFill>
        </w:rPr>
        <w:t>办公区人员撤离至</w:t>
      </w:r>
      <w:r>
        <w:rPr>
          <w:rFonts w:hint="eastAsia"/>
          <w:color w:val="000000" w:themeColor="text1"/>
          <w14:textFill>
            <w14:solidFill>
              <w14:schemeClr w14:val="tx1"/>
            </w14:solidFill>
          </w14:textFill>
        </w:rPr>
        <w:t>警戒范围外</w:t>
      </w:r>
      <w:r>
        <w:rPr>
          <w:color w:val="000000" w:themeColor="text1"/>
          <w:szCs w:val="28"/>
          <w14:textFill>
            <w14:solidFill>
              <w14:schemeClr w14:val="tx1"/>
            </w14:solidFill>
          </w14:textFill>
        </w:rPr>
        <w:t>。</w:t>
      </w:r>
    </w:p>
    <w:p w14:paraId="2A37D20F">
      <w:pPr>
        <w:ind w:firstLine="560"/>
        <w:rPr>
          <w:color w:val="000000" w:themeColor="text1"/>
          <w:lang w:val="zh-TW" w:eastAsia="zh-TW"/>
          <w14:textFill>
            <w14:solidFill>
              <w14:schemeClr w14:val="tx1"/>
            </w14:solidFill>
          </w14:textFill>
        </w:rPr>
      </w:pPr>
      <w:bookmarkStart w:id="985" w:name="_Toc232934029"/>
      <w:bookmarkStart w:id="986" w:name="_Toc26513"/>
      <w:bookmarkStart w:id="987" w:name="_Toc6342"/>
      <w:bookmarkStart w:id="988" w:name="_Toc23071"/>
      <w:bookmarkStart w:id="989" w:name="_Toc15146"/>
      <w:bookmarkStart w:id="990" w:name="_Toc26990"/>
      <w:bookmarkStart w:id="991" w:name="_Toc314346946"/>
      <w:r>
        <w:rPr>
          <w:rFonts w:hint="eastAsia"/>
          <w:color w:val="000000" w:themeColor="text1"/>
          <w14:textFill>
            <w14:solidFill>
              <w14:schemeClr w14:val="tx1"/>
            </w14:solidFill>
          </w14:textFill>
        </w:rPr>
        <w:t>4、</w:t>
      </w:r>
      <w:r>
        <w:rPr>
          <w:color w:val="000000" w:themeColor="text1"/>
          <w:lang w:val="zh-TW" w:eastAsia="zh-TW"/>
          <w14:textFill>
            <w14:solidFill>
              <w14:schemeClr w14:val="tx1"/>
            </w14:solidFill>
          </w14:textFill>
        </w:rPr>
        <w:t>绿化</w:t>
      </w:r>
      <w:bookmarkEnd w:id="985"/>
      <w:bookmarkEnd w:id="986"/>
      <w:bookmarkEnd w:id="987"/>
      <w:bookmarkEnd w:id="988"/>
      <w:bookmarkEnd w:id="989"/>
      <w:bookmarkEnd w:id="990"/>
      <w:bookmarkEnd w:id="991"/>
    </w:p>
    <w:p w14:paraId="3A8262D7">
      <w:pPr>
        <w:ind w:firstLine="560"/>
        <w:rPr>
          <w:color w:val="000000" w:themeColor="text1"/>
          <w14:textFill>
            <w14:solidFill>
              <w14:schemeClr w14:val="tx1"/>
            </w14:solidFill>
          </w14:textFill>
        </w:rPr>
      </w:pPr>
      <w:r>
        <w:rPr>
          <w:color w:val="000000" w:themeColor="text1"/>
          <w14:textFill>
            <w14:solidFill>
              <w14:schemeClr w14:val="tx1"/>
            </w14:solidFill>
          </w14:textFill>
        </w:rPr>
        <w:t>搞好绿化，具有净化空气，调节小气候，减少噪音，防风固沙，保持水土，分隔车间和美化环境的作用，同时可为职工提供较为舒适的工作环境和活动场所。在矿区公路两旁种植行道树，利用工业场地建筑周边空地种花、植树。对人员集散，主要建筑物，活动中心、采场生活区等地段，进行重点绿化，选用适合当地气候，能耐受、吸附粉尘的花草和树种，搞好现代新型企业的绿化美化工作，工业场地绿化率不低于20%。</w:t>
      </w:r>
    </w:p>
    <w:p w14:paraId="3716A055">
      <w:pPr>
        <w:pStyle w:val="6"/>
        <w:spacing w:before="120" w:after="120"/>
        <w:rPr>
          <w:color w:val="000000" w:themeColor="text1"/>
          <w14:textFill>
            <w14:solidFill>
              <w14:schemeClr w14:val="tx1"/>
            </w14:solidFill>
          </w14:textFill>
        </w:rPr>
      </w:pPr>
      <w:bookmarkStart w:id="992" w:name="_Toc22984"/>
      <w:bookmarkStart w:id="993" w:name="_Toc215070183"/>
      <w:bookmarkStart w:id="994" w:name="_Toc9829"/>
      <w:bookmarkStart w:id="995" w:name="_Toc22564"/>
      <w:bookmarkStart w:id="996" w:name="_Toc15763"/>
      <w:bookmarkStart w:id="997" w:name="_Toc30973"/>
      <w:bookmarkStart w:id="998" w:name="_Toc19651"/>
      <w:bookmarkStart w:id="999" w:name="_Toc31105"/>
      <w:bookmarkStart w:id="1000" w:name="_Toc5208"/>
      <w:r>
        <w:rPr>
          <w:rFonts w:hint="eastAsia"/>
          <w:color w:val="000000" w:themeColor="text1"/>
          <w14:textFill>
            <w14:solidFill>
              <w14:schemeClr w14:val="tx1"/>
            </w14:solidFill>
          </w14:textFill>
        </w:rPr>
        <w:t>2.4.3.2</w:t>
      </w:r>
      <w:r>
        <w:rPr>
          <w:color w:val="000000" w:themeColor="text1"/>
          <w14:textFill>
            <w14:solidFill>
              <w14:schemeClr w14:val="tx1"/>
            </w14:solidFill>
          </w14:textFill>
        </w:rPr>
        <w:t>矿山运输</w:t>
      </w:r>
      <w:bookmarkEnd w:id="992"/>
      <w:bookmarkEnd w:id="993"/>
      <w:bookmarkEnd w:id="994"/>
      <w:bookmarkEnd w:id="995"/>
      <w:bookmarkEnd w:id="996"/>
      <w:bookmarkEnd w:id="997"/>
      <w:bookmarkEnd w:id="998"/>
      <w:bookmarkEnd w:id="999"/>
      <w:bookmarkEnd w:id="1000"/>
    </w:p>
    <w:p w14:paraId="7A11A8A1">
      <w:pPr>
        <w:ind w:firstLine="560"/>
        <w:rPr>
          <w:color w:val="000000" w:themeColor="text1"/>
          <w14:textFill>
            <w14:solidFill>
              <w14:schemeClr w14:val="tx1"/>
            </w14:solidFill>
          </w14:textFill>
        </w:rPr>
      </w:pPr>
      <w:r>
        <w:rPr>
          <w:color w:val="000000" w:themeColor="text1"/>
          <w14:textFill>
            <w14:solidFill>
              <w14:schemeClr w14:val="tx1"/>
            </w14:solidFill>
          </w14:textFill>
        </w:rPr>
        <w:t>矿山运输方式采用汽车运输。</w:t>
      </w:r>
    </w:p>
    <w:p w14:paraId="127F1AD5">
      <w:pPr>
        <w:numPr>
          <w:ilvl w:val="0"/>
          <w:numId w:val="6"/>
        </w:num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内部运输</w:t>
      </w:r>
      <w:r>
        <w:rPr>
          <w:rFonts w:hint="eastAsia"/>
          <w:color w:val="000000" w:themeColor="text1"/>
          <w:szCs w:val="28"/>
          <w14:textFill>
            <w14:solidFill>
              <w14:schemeClr w14:val="tx1"/>
            </w14:solidFill>
          </w14:textFill>
        </w:rPr>
        <w:t>。内</w:t>
      </w:r>
      <w:r>
        <w:rPr>
          <w:color w:val="000000" w:themeColor="text1"/>
          <w:szCs w:val="28"/>
          <w14:textFill>
            <w14:solidFill>
              <w14:schemeClr w14:val="tx1"/>
            </w14:solidFill>
          </w14:textFill>
        </w:rPr>
        <w:t>部运输采用自卸汽车，主要用于岩石和矿石运输，特殊情况下也可作为辅助材料运输之用。</w:t>
      </w:r>
    </w:p>
    <w:p w14:paraId="3135180D">
      <w:pPr>
        <w:numPr>
          <w:ilvl w:val="0"/>
          <w:numId w:val="6"/>
        </w:num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外部运输</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外运输主要由汽车完成，外部运输主要是运输矿石，为配合外部运输，设计同时考虑配置了挖掘机等作为外部运输铲装、倒运的辅助设备。外部运输可以外委给当地运输单位承担。</w:t>
      </w:r>
    </w:p>
    <w:p w14:paraId="5CE866D0">
      <w:pPr>
        <w:pStyle w:val="5"/>
        <w:spacing w:after="120"/>
        <w:rPr>
          <w:color w:val="000000" w:themeColor="text1"/>
          <w14:textFill>
            <w14:solidFill>
              <w14:schemeClr w14:val="tx1"/>
            </w14:solidFill>
          </w14:textFill>
        </w:rPr>
      </w:pPr>
      <w:bookmarkStart w:id="1001" w:name="_Toc21532"/>
      <w:bookmarkStart w:id="1002" w:name="_Toc31878"/>
      <w:bookmarkStart w:id="1003" w:name="_Toc1259"/>
      <w:bookmarkStart w:id="1004" w:name="_Toc20448"/>
      <w:bookmarkStart w:id="1005" w:name="_Toc30512"/>
      <w:bookmarkStart w:id="1006" w:name="_Toc19615"/>
      <w:bookmarkStart w:id="1007" w:name="_Toc25581"/>
      <w:bookmarkStart w:id="1008" w:name="_Toc32013"/>
      <w:bookmarkStart w:id="1009" w:name="_Toc215070184"/>
      <w:r>
        <w:rPr>
          <w:rFonts w:hint="eastAsia"/>
          <w:color w:val="000000" w:themeColor="text1"/>
          <w14:textFill>
            <w14:solidFill>
              <w14:schemeClr w14:val="tx1"/>
            </w14:solidFill>
          </w14:textFill>
        </w:rPr>
        <w:t>2.4.4开采范围和</w:t>
      </w:r>
      <w:r>
        <w:rPr>
          <w:color w:val="000000" w:themeColor="text1"/>
          <w14:textFill>
            <w14:solidFill>
              <w14:schemeClr w14:val="tx1"/>
            </w14:solidFill>
          </w14:textFill>
        </w:rPr>
        <w:t>开采方式的选择</w:t>
      </w:r>
      <w:bookmarkEnd w:id="1001"/>
      <w:bookmarkEnd w:id="1002"/>
      <w:bookmarkEnd w:id="1003"/>
      <w:bookmarkEnd w:id="1004"/>
      <w:bookmarkEnd w:id="1005"/>
      <w:bookmarkEnd w:id="1006"/>
      <w:bookmarkEnd w:id="1007"/>
      <w:bookmarkEnd w:id="1008"/>
      <w:bookmarkEnd w:id="1009"/>
    </w:p>
    <w:p w14:paraId="5ABD2D53">
      <w:pPr>
        <w:pStyle w:val="6"/>
        <w:spacing w:before="120" w:after="120"/>
        <w:rPr>
          <w:color w:val="000000" w:themeColor="text1"/>
          <w14:textFill>
            <w14:solidFill>
              <w14:schemeClr w14:val="tx1"/>
            </w14:solidFill>
          </w14:textFill>
        </w:rPr>
      </w:pPr>
      <w:bookmarkStart w:id="1010" w:name="_Toc28593"/>
      <w:bookmarkStart w:id="1011" w:name="_Toc801"/>
      <w:bookmarkStart w:id="1012" w:name="_Toc31048"/>
      <w:bookmarkStart w:id="1013" w:name="_Toc4959"/>
      <w:bookmarkStart w:id="1014" w:name="_Toc215070185"/>
      <w:bookmarkStart w:id="1015" w:name="_Toc27319"/>
      <w:bookmarkStart w:id="1016" w:name="_Toc16765"/>
      <w:bookmarkStart w:id="1017" w:name="_Toc9283"/>
      <w:bookmarkStart w:id="1018" w:name="_Toc17808"/>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.1开采范围</w:t>
      </w:r>
      <w:bookmarkEnd w:id="1010"/>
      <w:bookmarkEnd w:id="1011"/>
      <w:bookmarkEnd w:id="1012"/>
      <w:bookmarkEnd w:id="1013"/>
      <w:bookmarkEnd w:id="1014"/>
      <w:bookmarkEnd w:id="1015"/>
      <w:bookmarkEnd w:id="1016"/>
      <w:bookmarkEnd w:id="1017"/>
      <w:bookmarkEnd w:id="1018"/>
    </w:p>
    <w:p w14:paraId="2680BB58">
      <w:pPr>
        <w:spacing w:line="348" w:lineRule="auto"/>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根据</w:t>
      </w:r>
      <w:r>
        <w:rPr>
          <w:rFonts w:ascii="宋体" w:hAnsi="宋体"/>
          <w:color w:val="000000" w:themeColor="text1"/>
          <w:szCs w:val="28"/>
          <w14:textFill>
            <w14:solidFill>
              <w14:schemeClr w14:val="tx1"/>
            </w14:solidFill>
          </w14:textFill>
        </w:rPr>
        <w:t>《云南省</w:t>
      </w:r>
      <w:r>
        <w:rPr>
          <w:rFonts w:hint="eastAsia" w:ascii="宋体" w:hAnsi="宋体"/>
          <w:color w:val="000000" w:themeColor="text1"/>
          <w:szCs w:val="28"/>
          <w14:textFill>
            <w14:solidFill>
              <w14:schemeClr w14:val="tx1"/>
            </w14:solidFill>
          </w14:textFill>
        </w:rPr>
        <w:t>广南县旧莫小格达普通建筑石料用灰岩矿</w:t>
      </w:r>
      <w:r>
        <w:rPr>
          <w:rFonts w:ascii="宋体" w:hAnsi="宋体"/>
          <w:color w:val="000000" w:themeColor="text1"/>
          <w:szCs w:val="28"/>
          <w14:textFill>
            <w14:solidFill>
              <w14:schemeClr w14:val="tx1"/>
            </w14:solidFill>
          </w14:textFill>
        </w:rPr>
        <w:t>资源储量核实报告》</w:t>
      </w:r>
      <w:r>
        <w:rPr>
          <w:rFonts w:hint="eastAsia" w:ascii="宋体" w:hAnsi="宋体"/>
          <w:color w:val="000000" w:themeColor="text1"/>
          <w:szCs w:val="28"/>
          <w14:textFill>
            <w14:solidFill>
              <w14:schemeClr w14:val="tx1"/>
            </w14:solidFill>
          </w14:textFill>
        </w:rPr>
        <w:t>（2021年）</w:t>
      </w:r>
      <w:r>
        <w:rPr>
          <w:rFonts w:ascii="宋体" w:hAnsi="宋体"/>
          <w:color w:val="000000" w:themeColor="text1"/>
          <w:szCs w:val="28"/>
          <w14:textFill>
            <w14:solidFill>
              <w14:schemeClr w14:val="tx1"/>
            </w14:solidFill>
          </w14:textFill>
        </w:rPr>
        <w:t>及最新实测资料和采矿许可证范围</w:t>
      </w:r>
      <w:r>
        <w:rPr>
          <w:rFonts w:hint="eastAsia" w:ascii="宋体" w:hAnsi="宋体"/>
          <w:color w:val="000000" w:themeColor="text1"/>
          <w:szCs w:val="28"/>
          <w14:textFill>
            <w14:solidFill>
              <w14:schemeClr w14:val="tx1"/>
            </w14:solidFill>
          </w14:textFill>
        </w:rPr>
        <w:t>确定</w:t>
      </w:r>
      <w:r>
        <w:rPr>
          <w:rFonts w:ascii="宋体" w:hAnsi="宋体"/>
          <w:color w:val="000000" w:themeColor="text1"/>
          <w:szCs w:val="28"/>
          <w14:textFill>
            <w14:solidFill>
              <w14:schemeClr w14:val="tx1"/>
            </w14:solidFill>
          </w14:textFill>
        </w:rPr>
        <w:t>矿山开采范围。</w:t>
      </w:r>
    </w:p>
    <w:p w14:paraId="339FF1EA">
      <w:pPr>
        <w:ind w:firstLine="560"/>
        <w:rPr>
          <w:color w:val="000000" w:themeColor="text1"/>
          <w:lang w:val="zh-TW"/>
          <w14:textFill>
            <w14:solidFill>
              <w14:schemeClr w14:val="tx1"/>
            </w14:solidFill>
          </w14:textFill>
        </w:rPr>
      </w:pPr>
      <w:r>
        <w:rPr>
          <w:rFonts w:hint="eastAsia" w:ascii="宋体" w:hAnsi="宋体"/>
          <w:color w:val="000000" w:themeColor="text1"/>
          <w:kern w:val="0"/>
          <w:szCs w:val="28"/>
          <w14:textFill>
            <w14:solidFill>
              <w14:schemeClr w14:val="tx1"/>
            </w14:solidFill>
          </w14:textFill>
        </w:rPr>
        <w:t>云南省广南县旧莫小格达普通建筑石料用灰岩矿</w:t>
      </w:r>
      <w:r>
        <w:rPr>
          <w:rFonts w:ascii="宋体" w:hAnsi="宋体"/>
          <w:color w:val="000000" w:themeColor="text1"/>
          <w:szCs w:val="28"/>
          <w14:textFill>
            <w14:solidFill>
              <w14:schemeClr w14:val="tx1"/>
            </w14:solidFill>
          </w14:textFill>
        </w:rPr>
        <w:t>矿区范围由</w:t>
      </w:r>
      <w:r>
        <w:rPr>
          <w:rFonts w:hint="eastAsia" w:ascii="宋体" w:hAnsi="宋体"/>
          <w:color w:val="000000" w:themeColor="text1"/>
          <w:szCs w:val="28"/>
          <w14:textFill>
            <w14:solidFill>
              <w14:schemeClr w14:val="tx1"/>
            </w14:solidFill>
          </w14:textFill>
        </w:rPr>
        <w:t>7</w:t>
      </w:r>
      <w:r>
        <w:rPr>
          <w:rFonts w:ascii="宋体" w:hAnsi="宋体"/>
          <w:color w:val="000000" w:themeColor="text1"/>
          <w:szCs w:val="28"/>
          <w14:textFill>
            <w14:solidFill>
              <w14:schemeClr w14:val="tx1"/>
            </w14:solidFill>
          </w14:textFill>
        </w:rPr>
        <w:t>个拐点圈定，矿区面积</w:t>
      </w:r>
      <w:r>
        <w:rPr>
          <w:rFonts w:ascii="宋体" w:hAnsi="宋体"/>
          <w:color w:val="000000" w:themeColor="text1"/>
          <w:kern w:val="0"/>
          <w:szCs w:val="28"/>
          <w14:textFill>
            <w14:solidFill>
              <w14:schemeClr w14:val="tx1"/>
            </w14:solidFill>
          </w14:textFill>
        </w:rPr>
        <w:t>0.</w:t>
      </w:r>
      <w:r>
        <w:rPr>
          <w:rFonts w:hint="eastAsia" w:ascii="宋体" w:hAnsi="宋体"/>
          <w:color w:val="000000" w:themeColor="text1"/>
          <w:kern w:val="0"/>
          <w:szCs w:val="28"/>
          <w14:textFill>
            <w14:solidFill>
              <w14:schemeClr w14:val="tx1"/>
            </w14:solidFill>
          </w14:textFill>
        </w:rPr>
        <w:t>1048</w:t>
      </w:r>
      <w:r>
        <w:rPr>
          <w:rFonts w:ascii="宋体" w:hAnsi="宋体"/>
          <w:color w:val="000000" w:themeColor="text1"/>
          <w:szCs w:val="28"/>
          <w14:textFill>
            <w14:solidFill>
              <w14:schemeClr w14:val="tx1"/>
            </w14:solidFill>
          </w14:textFill>
        </w:rPr>
        <w:t>km</w:t>
      </w:r>
      <w:r>
        <w:rPr>
          <w:rFonts w:ascii="宋体" w:hAnsi="宋体"/>
          <w:color w:val="000000" w:themeColor="text1"/>
          <w:szCs w:val="28"/>
          <w:vertAlign w:val="superscript"/>
          <w14:textFill>
            <w14:solidFill>
              <w14:schemeClr w14:val="tx1"/>
            </w14:solidFill>
          </w14:textFill>
        </w:rPr>
        <w:t>2</w:t>
      </w:r>
      <w:r>
        <w:rPr>
          <w:rFonts w:ascii="宋体" w:hAnsi="宋体"/>
          <w:color w:val="000000" w:themeColor="text1"/>
          <w:szCs w:val="28"/>
          <w14:textFill>
            <w14:solidFill>
              <w14:schemeClr w14:val="tx1"/>
            </w14:solidFill>
          </w14:textFill>
        </w:rPr>
        <w:t>，开采标高为</w:t>
      </w:r>
      <w:r>
        <w:rPr>
          <w:rFonts w:hint="eastAsia" w:ascii="宋体" w:hAnsi="宋体"/>
          <w:snapToGrid w:val="0"/>
          <w:color w:val="000000" w:themeColor="text1"/>
          <w:kern w:val="0"/>
          <w:szCs w:val="28"/>
          <w14:textFill>
            <w14:solidFill>
              <w14:schemeClr w14:val="tx1"/>
            </w14:solidFill>
          </w14:textFill>
        </w:rPr>
        <w:t>1430</w:t>
      </w:r>
      <w:r>
        <w:rPr>
          <w:rFonts w:ascii="宋体" w:hAnsi="宋体"/>
          <w:snapToGrid w:val="0"/>
          <w:color w:val="000000" w:themeColor="text1"/>
          <w:kern w:val="0"/>
          <w:szCs w:val="28"/>
          <w14:textFill>
            <w14:solidFill>
              <w14:schemeClr w14:val="tx1"/>
            </w14:solidFill>
          </w14:textFill>
        </w:rPr>
        <w:t>m～</w:t>
      </w:r>
      <w:r>
        <w:rPr>
          <w:rFonts w:hint="eastAsia" w:ascii="宋体" w:hAnsi="宋体"/>
          <w:snapToGrid w:val="0"/>
          <w:color w:val="000000" w:themeColor="text1"/>
          <w:kern w:val="0"/>
          <w:szCs w:val="28"/>
          <w14:textFill>
            <w14:solidFill>
              <w14:schemeClr w14:val="tx1"/>
            </w14:solidFill>
          </w14:textFill>
        </w:rPr>
        <w:t>1300</w:t>
      </w:r>
      <w:r>
        <w:rPr>
          <w:rFonts w:ascii="宋体" w:hAnsi="宋体"/>
          <w:snapToGrid w:val="0"/>
          <w:color w:val="000000" w:themeColor="text1"/>
          <w:kern w:val="0"/>
          <w:szCs w:val="28"/>
          <w14:textFill>
            <w14:solidFill>
              <w14:schemeClr w14:val="tx1"/>
            </w14:solidFill>
          </w14:textFill>
        </w:rPr>
        <w:t>m</w:t>
      </w:r>
      <w:r>
        <w:rPr>
          <w:rFonts w:hint="eastAsia" w:ascii="宋体" w:hAnsi="宋体"/>
          <w:snapToGrid w:val="0"/>
          <w:color w:val="000000" w:themeColor="text1"/>
          <w:kern w:val="0"/>
          <w:szCs w:val="28"/>
          <w14:textFill>
            <w14:solidFill>
              <w14:schemeClr w14:val="tx1"/>
            </w14:solidFill>
          </w14:textFill>
        </w:rPr>
        <w:t>，开采深度130m</w:t>
      </w:r>
      <w:r>
        <w:rPr>
          <w:rFonts w:ascii="宋体" w:hAnsi="宋体"/>
          <w:color w:val="000000" w:themeColor="text1"/>
          <w:szCs w:val="28"/>
          <w:lang w:val="zh-TW"/>
          <w14:textFill>
            <w14:solidFill>
              <w14:schemeClr w14:val="tx1"/>
            </w14:solidFill>
          </w14:textFill>
        </w:rPr>
        <w:t>。</w:t>
      </w:r>
      <w:r>
        <w:rPr>
          <w:color w:val="000000" w:themeColor="text1"/>
          <w:szCs w:val="28"/>
          <w14:textFill>
            <w14:solidFill>
              <w14:schemeClr w14:val="tx1"/>
            </w14:solidFill>
          </w14:textFill>
        </w:rPr>
        <w:t>开采范围内可采出资源量为</w:t>
      </w:r>
      <w:r>
        <w:rPr>
          <w:rFonts w:hint="eastAsia"/>
          <w:color w:val="000000" w:themeColor="text1"/>
          <w:szCs w:val="28"/>
          <w14:textFill>
            <w14:solidFill>
              <w14:schemeClr w14:val="tx1"/>
            </w14:solidFill>
          </w14:textFill>
        </w:rPr>
        <w:t>184.36</w:t>
      </w:r>
      <w:r>
        <w:rPr>
          <w:color w:val="000000" w:themeColor="text1"/>
          <w:szCs w:val="28"/>
          <w14:textFill>
            <w14:solidFill>
              <w14:schemeClr w14:val="tx1"/>
            </w14:solidFill>
          </w14:textFill>
        </w:rPr>
        <w:t>万m</w:t>
      </w:r>
      <w:r>
        <w:rPr>
          <w:color w:val="000000" w:themeColor="text1"/>
          <w:szCs w:val="28"/>
          <w:vertAlign w:val="superscript"/>
          <w14:textFill>
            <w14:solidFill>
              <w14:schemeClr w14:val="tx1"/>
            </w14:solidFill>
          </w14:textFill>
        </w:rPr>
        <w:t>3</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479.36</w:t>
      </w:r>
      <w:r>
        <w:rPr>
          <w:color w:val="000000" w:themeColor="text1"/>
          <w:szCs w:val="28"/>
          <w14:textFill>
            <w14:solidFill>
              <w14:schemeClr w14:val="tx1"/>
            </w14:solidFill>
          </w14:textFill>
        </w:rPr>
        <w:t>万t）</w:t>
      </w:r>
      <w:r>
        <w:rPr>
          <w:color w:val="000000" w:themeColor="text1"/>
          <w14:textFill>
            <w14:solidFill>
              <w14:schemeClr w14:val="tx1"/>
            </w14:solidFill>
          </w14:textFill>
        </w:rPr>
        <w:t>。</w:t>
      </w:r>
      <w:r>
        <w:rPr>
          <w:rFonts w:hint="eastAsia" w:ascii="宋体" w:hAnsi="宋体"/>
          <w:color w:val="000000" w:themeColor="text1"/>
          <w:szCs w:val="28"/>
          <w14:textFill>
            <w14:solidFill>
              <w14:schemeClr w14:val="tx1"/>
            </w14:solidFill>
          </w14:textFill>
        </w:rPr>
        <w:t>确定开采范围为采矿权核准范围内适合露天开采的资源，</w:t>
      </w:r>
      <w:r>
        <w:rPr>
          <w:rFonts w:ascii="宋体" w:hAnsi="宋体"/>
          <w:color w:val="000000" w:themeColor="text1"/>
          <w:szCs w:val="28"/>
          <w14:textFill>
            <w14:solidFill>
              <w14:schemeClr w14:val="tx1"/>
            </w14:solidFill>
          </w14:textFill>
        </w:rPr>
        <w:t>开采标高为</w:t>
      </w:r>
      <w:r>
        <w:rPr>
          <w:rFonts w:hint="eastAsia" w:ascii="宋体" w:hAnsi="宋体"/>
          <w:color w:val="000000" w:themeColor="text1"/>
          <w:szCs w:val="28"/>
          <w14:textFill>
            <w14:solidFill>
              <w14:schemeClr w14:val="tx1"/>
            </w14:solidFill>
          </w14:textFill>
        </w:rPr>
        <w:t>1430</w:t>
      </w:r>
      <w:r>
        <w:rPr>
          <w:rFonts w:ascii="宋体" w:hAnsi="宋体"/>
          <w:color w:val="000000" w:themeColor="text1"/>
          <w:szCs w:val="28"/>
          <w14:textFill>
            <w14:solidFill>
              <w14:schemeClr w14:val="tx1"/>
            </w14:solidFill>
          </w14:textFill>
        </w:rPr>
        <w:t>～</w:t>
      </w:r>
      <w:r>
        <w:rPr>
          <w:rFonts w:hint="eastAsia" w:ascii="宋体" w:hAnsi="宋体"/>
          <w:color w:val="000000" w:themeColor="text1"/>
          <w:szCs w:val="28"/>
          <w14:textFill>
            <w14:solidFill>
              <w14:schemeClr w14:val="tx1"/>
            </w14:solidFill>
          </w14:textFill>
        </w:rPr>
        <w:t>1300</w:t>
      </w:r>
      <w:r>
        <w:rPr>
          <w:rFonts w:ascii="宋体" w:hAnsi="宋体"/>
          <w:color w:val="000000" w:themeColor="text1"/>
          <w:szCs w:val="28"/>
          <w14:textFill>
            <w14:solidFill>
              <w14:schemeClr w14:val="tx1"/>
            </w14:solidFill>
          </w14:textFill>
        </w:rPr>
        <w:t>m，开采范围内保有（控制）资源量371.12万m</w:t>
      </w:r>
      <w:r>
        <w:rPr>
          <w:rFonts w:ascii="宋体" w:hAnsi="宋体"/>
          <w:color w:val="000000" w:themeColor="text1"/>
          <w:szCs w:val="28"/>
          <w:vertAlign w:val="superscript"/>
          <w14:textFill>
            <w14:solidFill>
              <w14:schemeClr w14:val="tx1"/>
            </w14:solidFill>
          </w14:textFill>
        </w:rPr>
        <w:t>3</w:t>
      </w:r>
      <w:r>
        <w:rPr>
          <w:rFonts w:ascii="宋体" w:hAnsi="宋体"/>
          <w:color w:val="000000" w:themeColor="text1"/>
          <w:szCs w:val="28"/>
          <w14:textFill>
            <w14:solidFill>
              <w14:schemeClr w14:val="tx1"/>
            </w14:solidFill>
          </w14:textFill>
        </w:rPr>
        <w:t>（964.92万t），动用（探明）资源量94.18万m</w:t>
      </w:r>
      <w:r>
        <w:rPr>
          <w:rFonts w:ascii="宋体" w:hAnsi="宋体"/>
          <w:color w:val="000000" w:themeColor="text1"/>
          <w:szCs w:val="28"/>
          <w:vertAlign w:val="superscript"/>
          <w14:textFill>
            <w14:solidFill>
              <w14:schemeClr w14:val="tx1"/>
            </w14:solidFill>
          </w14:textFill>
        </w:rPr>
        <w:t>3</w:t>
      </w:r>
      <w:r>
        <w:rPr>
          <w:rFonts w:ascii="宋体" w:hAnsi="宋体"/>
          <w:color w:val="000000" w:themeColor="text1"/>
          <w:szCs w:val="28"/>
          <w14:textFill>
            <w14:solidFill>
              <w14:schemeClr w14:val="tx1"/>
            </w14:solidFill>
          </w14:textFill>
        </w:rPr>
        <w:t>（244.87万t）</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lang w:bidi="ar"/>
          <w14:textFill>
            <w14:solidFill>
              <w14:schemeClr w14:val="tx1"/>
            </w14:solidFill>
          </w14:textFill>
        </w:rPr>
        <w:t>开采范围详见</w:t>
      </w:r>
      <w:r>
        <w:rPr>
          <w:rFonts w:hint="eastAsia"/>
          <w:color w:val="000000" w:themeColor="text1"/>
          <w:szCs w:val="28"/>
          <w:lang w:bidi="ar"/>
          <w14:textFill>
            <w14:solidFill>
              <w14:schemeClr w14:val="tx1"/>
            </w14:solidFill>
          </w14:textFill>
        </w:rPr>
        <w:t>“</w:t>
      </w:r>
      <w:r>
        <w:rPr>
          <w:color w:val="000000" w:themeColor="text1"/>
          <w:szCs w:val="28"/>
          <w:lang w:bidi="ar"/>
          <w14:textFill>
            <w14:solidFill>
              <w14:schemeClr w14:val="tx1"/>
            </w14:solidFill>
          </w14:textFill>
        </w:rPr>
        <w:t>附图</w:t>
      </w:r>
      <w:r>
        <w:rPr>
          <w:rFonts w:hint="eastAsia"/>
          <w:color w:val="000000" w:themeColor="text1"/>
          <w:szCs w:val="28"/>
          <w:lang w:bidi="ar"/>
          <w14:textFill>
            <w14:solidFill>
              <w14:schemeClr w14:val="tx1"/>
            </w14:solidFill>
          </w14:textFill>
        </w:rPr>
        <w:t>02——</w:t>
      </w:r>
      <w:r>
        <w:rPr>
          <w:color w:val="000000" w:themeColor="text1"/>
          <w:szCs w:val="28"/>
          <w:lang w:bidi="ar"/>
          <w14:textFill>
            <w14:solidFill>
              <w14:schemeClr w14:val="tx1"/>
            </w14:solidFill>
          </w14:textFill>
        </w:rPr>
        <w:t>总平面布置图</w:t>
      </w:r>
      <w:r>
        <w:rPr>
          <w:rFonts w:hint="eastAsia"/>
          <w:color w:val="000000" w:themeColor="text1"/>
          <w:szCs w:val="28"/>
          <w:lang w:bidi="ar"/>
          <w14:textFill>
            <w14:solidFill>
              <w14:schemeClr w14:val="tx1"/>
            </w14:solidFill>
          </w14:textFill>
        </w:rPr>
        <w:t>”</w:t>
      </w:r>
      <w:r>
        <w:rPr>
          <w:color w:val="000000" w:themeColor="text1"/>
          <w:szCs w:val="28"/>
          <w14:textFill>
            <w14:solidFill>
              <w14:schemeClr w14:val="tx1"/>
            </w14:solidFill>
          </w14:textFill>
        </w:rPr>
        <w:t>。</w:t>
      </w:r>
    </w:p>
    <w:p w14:paraId="1A107AC6">
      <w:pPr>
        <w:pStyle w:val="6"/>
        <w:spacing w:before="120" w:after="120"/>
        <w:rPr>
          <w:color w:val="000000" w:themeColor="text1"/>
          <w14:textFill>
            <w14:solidFill>
              <w14:schemeClr w14:val="tx1"/>
            </w14:solidFill>
          </w14:textFill>
        </w:rPr>
      </w:pPr>
      <w:bookmarkStart w:id="1019" w:name="_Toc4016"/>
      <w:bookmarkStart w:id="1020" w:name="_Toc30461"/>
      <w:bookmarkStart w:id="1021" w:name="_Toc24432"/>
      <w:bookmarkStart w:id="1022" w:name="_Toc4876"/>
      <w:bookmarkStart w:id="1023" w:name="_Toc27604"/>
      <w:bookmarkStart w:id="1024" w:name="_Toc21430"/>
      <w:bookmarkStart w:id="1025" w:name="_Toc21577"/>
      <w:bookmarkStart w:id="1026" w:name="_Toc2205"/>
      <w:bookmarkStart w:id="1027" w:name="_Toc215070186"/>
      <w:r>
        <w:rPr>
          <w:rFonts w:hint="eastAsia"/>
          <w:color w:val="000000" w:themeColor="text1"/>
          <w14:textFill>
            <w14:solidFill>
              <w14:schemeClr w14:val="tx1"/>
            </w14:solidFill>
          </w14:textFill>
        </w:rPr>
        <w:t>2.4.4.2开采方式</w:t>
      </w:r>
      <w:bookmarkEnd w:id="1019"/>
      <w:bookmarkEnd w:id="1020"/>
      <w:bookmarkEnd w:id="1021"/>
      <w:bookmarkEnd w:id="1022"/>
      <w:bookmarkEnd w:id="1023"/>
      <w:bookmarkEnd w:id="1024"/>
      <w:bookmarkEnd w:id="1025"/>
      <w:bookmarkEnd w:id="1026"/>
      <w:bookmarkEnd w:id="1027"/>
    </w:p>
    <w:p w14:paraId="0542AC77">
      <w:pPr>
        <w:tabs>
          <w:tab w:val="left" w:pos="8640"/>
        </w:tabs>
        <w:adjustRightInd w:val="0"/>
        <w:snapToGrid w:val="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矿体直接出露地表，根据</w:t>
      </w:r>
      <w:r>
        <w:rPr>
          <w:snapToGrid w:val="0"/>
          <w:color w:val="000000" w:themeColor="text1"/>
          <w:kern w:val="0"/>
          <w:szCs w:val="28"/>
          <w:lang w:val="zh-TW"/>
          <w14:textFill>
            <w14:solidFill>
              <w14:schemeClr w14:val="tx1"/>
            </w14:solidFill>
          </w14:textFill>
        </w:rPr>
        <w:t>《</w:t>
      </w:r>
      <w:r>
        <w:rPr>
          <w:rFonts w:hint="eastAsia"/>
          <w:color w:val="000000" w:themeColor="text1"/>
          <w:szCs w:val="28"/>
          <w14:textFill>
            <w14:solidFill>
              <w14:schemeClr w14:val="tx1"/>
            </w14:solidFill>
          </w14:textFill>
        </w:rPr>
        <w:t>广南县旧莫小格达普通建筑石料用灰岩矿</w:t>
      </w:r>
      <w:r>
        <w:rPr>
          <w:color w:val="000000" w:themeColor="text1"/>
          <w:szCs w:val="28"/>
          <w14:textFill>
            <w14:solidFill>
              <w14:schemeClr w14:val="tx1"/>
            </w14:solidFill>
          </w14:textFill>
        </w:rPr>
        <w:t>50万t/a露天采矿工程</w:t>
      </w:r>
      <w:r>
        <w:rPr>
          <w:rFonts w:hint="eastAsia"/>
          <w:snapToGrid w:val="0"/>
          <w:color w:val="000000" w:themeColor="text1"/>
          <w:kern w:val="0"/>
          <w:szCs w:val="28"/>
          <w14:textFill>
            <w14:solidFill>
              <w14:schemeClr w14:val="tx1"/>
            </w14:solidFill>
          </w14:textFill>
        </w:rPr>
        <w:t>可行性研究报告</w:t>
      </w:r>
      <w:r>
        <w:rPr>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lang w:val="zh-TW"/>
          <w14:textFill>
            <w14:solidFill>
              <w14:schemeClr w14:val="tx1"/>
            </w14:solidFill>
          </w14:textFill>
        </w:rPr>
        <w:t>，</w:t>
      </w:r>
      <w:r>
        <w:rPr>
          <w:color w:val="000000" w:themeColor="text1"/>
          <w:szCs w:val="28"/>
          <w14:textFill>
            <w14:solidFill>
              <w14:schemeClr w14:val="tx1"/>
            </w14:solidFill>
          </w14:textFill>
        </w:rPr>
        <w:t>开采方式为露天开采。</w:t>
      </w:r>
    </w:p>
    <w:p w14:paraId="69DEFCFD">
      <w:pPr>
        <w:tabs>
          <w:tab w:val="left" w:pos="8640"/>
        </w:tabs>
        <w:adjustRightInd w:val="0"/>
        <w:snapToGrid w:val="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依据矿山储量核实报告中矿岩赋存条件、矿体产状、埋深等特点，本次</w:t>
      </w:r>
      <w:r>
        <w:rPr>
          <w:rFonts w:hint="eastAsia"/>
          <w:color w:val="000000" w:themeColor="text1"/>
          <w:szCs w:val="28"/>
          <w14:textFill>
            <w14:solidFill>
              <w14:schemeClr w14:val="tx1"/>
            </w14:solidFill>
          </w14:textFill>
        </w:rPr>
        <w:t>确定</w:t>
      </w:r>
      <w:r>
        <w:rPr>
          <w:color w:val="000000" w:themeColor="text1"/>
          <w:szCs w:val="28"/>
          <w14:textFill>
            <w14:solidFill>
              <w14:schemeClr w14:val="tx1"/>
            </w14:solidFill>
          </w14:textFill>
        </w:rPr>
        <w:t>开采方式为自上而下露天开采方式</w:t>
      </w:r>
      <w:r>
        <w:rPr>
          <w:rFonts w:hint="eastAsia"/>
          <w:color w:val="000000" w:themeColor="text1"/>
          <w:szCs w:val="28"/>
          <w14:textFill>
            <w14:solidFill>
              <w14:schemeClr w14:val="tx1"/>
            </w14:solidFill>
          </w14:textFill>
        </w:rPr>
        <w:t>。</w:t>
      </w:r>
    </w:p>
    <w:p w14:paraId="2A9C52BF">
      <w:pPr>
        <w:pStyle w:val="6"/>
        <w:spacing w:before="120" w:after="120"/>
        <w:rPr>
          <w:color w:val="000000" w:themeColor="text1"/>
          <w14:textFill>
            <w14:solidFill>
              <w14:schemeClr w14:val="tx1"/>
            </w14:solidFill>
          </w14:textFill>
        </w:rPr>
      </w:pPr>
      <w:bookmarkStart w:id="1028" w:name="_Toc215070187"/>
      <w:bookmarkStart w:id="1029" w:name="_Toc1505"/>
      <w:bookmarkStart w:id="1030" w:name="_Toc23190"/>
      <w:bookmarkStart w:id="1031" w:name="_Toc8202"/>
      <w:bookmarkStart w:id="1032" w:name="_Toc22429"/>
      <w:bookmarkStart w:id="1033" w:name="_Toc4592"/>
      <w:bookmarkStart w:id="1034" w:name="_Toc9134"/>
      <w:bookmarkStart w:id="1035" w:name="_Toc15342"/>
      <w:bookmarkStart w:id="1036" w:name="_Toc31764"/>
      <w:bookmarkStart w:id="1037" w:name="_Toc137793183"/>
      <w:bookmarkStart w:id="1038" w:name="_Toc136657750"/>
      <w:bookmarkStart w:id="1039" w:name="_Toc105676009"/>
      <w:bookmarkStart w:id="1040" w:name="_Toc105674814"/>
      <w:bookmarkStart w:id="1041" w:name="_Toc105675529"/>
      <w:bookmarkStart w:id="1042" w:name="_Toc105730374"/>
      <w:r>
        <w:rPr>
          <w:rFonts w:hint="eastAsia"/>
          <w:color w:val="000000" w:themeColor="text1"/>
          <w14:textFill>
            <w14:solidFill>
              <w14:schemeClr w14:val="tx1"/>
            </w14:solidFill>
          </w14:textFill>
        </w:rPr>
        <w:t>2.4.4.3</w:t>
      </w:r>
      <w:r>
        <w:rPr>
          <w:color w:val="000000" w:themeColor="text1"/>
          <w:lang w:val="zh-TW" w:eastAsia="zh-TW"/>
          <w14:textFill>
            <w14:solidFill>
              <w14:schemeClr w14:val="tx1"/>
            </w14:solidFill>
          </w14:textFill>
        </w:rPr>
        <w:t>开采境界</w:t>
      </w:r>
      <w:r>
        <w:rPr>
          <w:color w:val="000000" w:themeColor="text1"/>
          <w14:textFill>
            <w14:solidFill>
              <w14:schemeClr w14:val="tx1"/>
            </w14:solidFill>
          </w14:textFill>
        </w:rPr>
        <w:t>圈定</w:t>
      </w:r>
      <w:bookmarkEnd w:id="1028"/>
      <w:bookmarkEnd w:id="1029"/>
      <w:bookmarkEnd w:id="1030"/>
      <w:bookmarkEnd w:id="1031"/>
      <w:bookmarkEnd w:id="1032"/>
      <w:bookmarkEnd w:id="1033"/>
      <w:bookmarkEnd w:id="1034"/>
      <w:bookmarkEnd w:id="1035"/>
      <w:bookmarkEnd w:id="1036"/>
    </w:p>
    <w:p w14:paraId="4A1F4540">
      <w:pPr>
        <w:ind w:firstLine="560"/>
        <w:rPr>
          <w:color w:val="000000" w:themeColor="text1"/>
          <w:lang w:val="zh-CN"/>
          <w14:textFill>
            <w14:solidFill>
              <w14:schemeClr w14:val="tx1"/>
            </w14:solidFill>
          </w14:textFill>
        </w:rPr>
      </w:pPr>
      <w:bookmarkStart w:id="1043" w:name="_Toc22285"/>
      <w:bookmarkStart w:id="1044" w:name="_Toc11869"/>
      <w:bookmarkStart w:id="1045" w:name="_Toc12258"/>
      <w:r>
        <w:rPr>
          <w:rFonts w:hint="eastAsia"/>
          <w:color w:val="000000" w:themeColor="text1"/>
          <w14:textFill>
            <w14:solidFill>
              <w14:schemeClr w14:val="tx1"/>
            </w14:solidFill>
          </w14:textFill>
        </w:rPr>
        <w:t>1、</w:t>
      </w:r>
      <w:r>
        <w:rPr>
          <w:color w:val="000000" w:themeColor="text1"/>
          <w:lang w:val="zh-CN"/>
          <w14:textFill>
            <w14:solidFill>
              <w14:schemeClr w14:val="tx1"/>
            </w14:solidFill>
          </w14:textFill>
        </w:rPr>
        <w:t>开采深度</w:t>
      </w:r>
      <w:bookmarkEnd w:id="1043"/>
      <w:bookmarkEnd w:id="1044"/>
      <w:bookmarkEnd w:id="1045"/>
    </w:p>
    <w:p w14:paraId="2CB07640">
      <w:pPr>
        <w:ind w:firstLine="560"/>
        <w:rPr>
          <w:color w:val="000000" w:themeColor="text1"/>
          <w:lang w:val="zh-CN"/>
          <w14:textFill>
            <w14:solidFill>
              <w14:schemeClr w14:val="tx1"/>
            </w14:solidFill>
          </w14:textFill>
        </w:rPr>
      </w:pPr>
      <w:r>
        <w:rPr>
          <w:rFonts w:ascii="宋体" w:hAnsi="宋体"/>
          <w:color w:val="000000" w:themeColor="text1"/>
          <w:szCs w:val="28"/>
          <w14:textFill>
            <w14:solidFill>
              <w14:schemeClr w14:val="tx1"/>
            </w14:solidFill>
          </w14:textFill>
        </w:rPr>
        <w:t>开采标高为</w:t>
      </w:r>
      <w:r>
        <w:rPr>
          <w:rFonts w:hint="eastAsia" w:ascii="宋体" w:hAnsi="宋体"/>
          <w:snapToGrid w:val="0"/>
          <w:color w:val="000000" w:themeColor="text1"/>
          <w:kern w:val="0"/>
          <w:szCs w:val="28"/>
          <w14:textFill>
            <w14:solidFill>
              <w14:schemeClr w14:val="tx1"/>
            </w14:solidFill>
          </w14:textFill>
        </w:rPr>
        <w:t>1430</w:t>
      </w:r>
      <w:r>
        <w:rPr>
          <w:rFonts w:ascii="宋体" w:hAnsi="宋体"/>
          <w:snapToGrid w:val="0"/>
          <w:color w:val="000000" w:themeColor="text1"/>
          <w:kern w:val="0"/>
          <w:szCs w:val="28"/>
          <w14:textFill>
            <w14:solidFill>
              <w14:schemeClr w14:val="tx1"/>
            </w14:solidFill>
          </w14:textFill>
        </w:rPr>
        <w:t>m～</w:t>
      </w:r>
      <w:r>
        <w:rPr>
          <w:rFonts w:hint="eastAsia" w:ascii="宋体" w:hAnsi="宋体"/>
          <w:snapToGrid w:val="0"/>
          <w:color w:val="000000" w:themeColor="text1"/>
          <w:kern w:val="0"/>
          <w:szCs w:val="28"/>
          <w14:textFill>
            <w14:solidFill>
              <w14:schemeClr w14:val="tx1"/>
            </w14:solidFill>
          </w14:textFill>
        </w:rPr>
        <w:t>1300</w:t>
      </w:r>
      <w:r>
        <w:rPr>
          <w:rFonts w:ascii="宋体" w:hAnsi="宋体"/>
          <w:snapToGrid w:val="0"/>
          <w:color w:val="000000" w:themeColor="text1"/>
          <w:kern w:val="0"/>
          <w:szCs w:val="28"/>
          <w14:textFill>
            <w14:solidFill>
              <w14:schemeClr w14:val="tx1"/>
            </w14:solidFill>
          </w14:textFill>
        </w:rPr>
        <w:t>m</w:t>
      </w:r>
      <w:r>
        <w:rPr>
          <w:rFonts w:hint="eastAsia" w:ascii="宋体" w:hAnsi="宋体"/>
          <w:snapToGrid w:val="0"/>
          <w:color w:val="000000" w:themeColor="text1"/>
          <w:kern w:val="0"/>
          <w:szCs w:val="28"/>
          <w14:textFill>
            <w14:solidFill>
              <w14:schemeClr w14:val="tx1"/>
            </w14:solidFill>
          </w14:textFill>
        </w:rPr>
        <w:t>，开采深度130m</w:t>
      </w:r>
      <w:r>
        <w:rPr>
          <w:color w:val="000000" w:themeColor="text1"/>
          <w14:textFill>
            <w14:solidFill>
              <w14:schemeClr w14:val="tx1"/>
            </w14:solidFill>
          </w14:textFill>
        </w:rPr>
        <w:t>。</w:t>
      </w:r>
    </w:p>
    <w:p w14:paraId="08B55277">
      <w:pPr>
        <w:ind w:firstLine="560"/>
        <w:rPr>
          <w:color w:val="000000" w:themeColor="text1"/>
          <w:lang w:val="zh-CN"/>
          <w14:textFill>
            <w14:solidFill>
              <w14:schemeClr w14:val="tx1"/>
            </w14:solidFill>
          </w14:textFill>
        </w:rPr>
      </w:pPr>
      <w:bookmarkStart w:id="1046" w:name="_Toc15356"/>
      <w:bookmarkStart w:id="1047" w:name="_Toc26748"/>
      <w:bookmarkStart w:id="1048" w:name="_Toc29392"/>
      <w:r>
        <w:rPr>
          <w:rFonts w:hint="eastAsia"/>
          <w:color w:val="000000" w:themeColor="text1"/>
          <w14:textFill>
            <w14:solidFill>
              <w14:schemeClr w14:val="tx1"/>
            </w14:solidFill>
          </w14:textFill>
        </w:rPr>
        <w:t>2、</w:t>
      </w:r>
      <w:r>
        <w:rPr>
          <w:color w:val="000000" w:themeColor="text1"/>
          <w:lang w:val="zh-CN"/>
          <w14:textFill>
            <w14:solidFill>
              <w14:schemeClr w14:val="tx1"/>
            </w14:solidFill>
          </w14:textFill>
        </w:rPr>
        <w:t>露天境界圈定</w:t>
      </w:r>
      <w:bookmarkEnd w:id="1046"/>
      <w:bookmarkEnd w:id="1047"/>
      <w:bookmarkEnd w:id="1048"/>
    </w:p>
    <w:p w14:paraId="2F295136">
      <w:pPr>
        <w:adjustRightInd w:val="0"/>
        <w:snapToGrid w:val="0"/>
        <w:ind w:firstLine="560"/>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矿山露天境界圈定结果详见表</w:t>
      </w:r>
      <w:r>
        <w:rPr>
          <w:rFonts w:hint="eastAsia"/>
          <w:color w:val="000000" w:themeColor="text1"/>
          <w14:textFill>
            <w14:solidFill>
              <w14:schemeClr w14:val="tx1"/>
            </w14:solidFill>
          </w14:textFill>
        </w:rPr>
        <w:t>2.4</w:t>
      </w:r>
      <w:r>
        <w:rPr>
          <w:color w:val="000000" w:themeColor="text1"/>
          <w:lang w:val="zh-CN"/>
          <w14:textFill>
            <w14:solidFill>
              <w14:schemeClr w14:val="tx1"/>
            </w14:solidFill>
          </w14:textFill>
        </w:rPr>
        <w:t>-</w:t>
      </w:r>
      <w:r>
        <w:rPr>
          <w:color w:val="000000" w:themeColor="text1"/>
          <w14:textFill>
            <w14:solidFill>
              <w14:schemeClr w14:val="tx1"/>
            </w14:solidFill>
          </w14:textFill>
        </w:rPr>
        <w:t>1</w:t>
      </w:r>
      <w:r>
        <w:rPr>
          <w:color w:val="000000" w:themeColor="text1"/>
          <w:lang w:val="zh-CN"/>
          <w14:textFill>
            <w14:solidFill>
              <w14:schemeClr w14:val="tx1"/>
            </w14:solidFill>
          </w14:textFill>
        </w:rPr>
        <w:t>。</w:t>
      </w:r>
    </w:p>
    <w:p w14:paraId="5F1D3E03">
      <w:pPr>
        <w:spacing w:line="240" w:lineRule="auto"/>
        <w:ind w:firstLine="0"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2.4</w:t>
      </w:r>
      <w:r>
        <w:rPr>
          <w:b/>
          <w:bCs/>
          <w:color w:val="000000" w:themeColor="text1"/>
          <w:sz w:val="24"/>
          <w14:textFill>
            <w14:solidFill>
              <w14:schemeClr w14:val="tx1"/>
            </w14:solidFill>
          </w14:textFill>
        </w:rPr>
        <w:t>-1  矿山露天开采境界圈定结果表</w:t>
      </w:r>
    </w:p>
    <w:tbl>
      <w:tblPr>
        <w:tblStyle w:val="4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175"/>
        <w:gridCol w:w="1376"/>
        <w:gridCol w:w="1648"/>
        <w:gridCol w:w="1511"/>
        <w:gridCol w:w="1512"/>
      </w:tblGrid>
      <w:tr w14:paraId="6166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7FE0D82C">
            <w:pPr>
              <w:widowControl/>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3551" w:type="dxa"/>
            <w:gridSpan w:val="2"/>
            <w:vAlign w:val="center"/>
          </w:tcPr>
          <w:p w14:paraId="6FD1FD14">
            <w:pPr>
              <w:widowControl/>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项目</w:t>
            </w:r>
          </w:p>
        </w:tc>
        <w:tc>
          <w:tcPr>
            <w:tcW w:w="1648" w:type="dxa"/>
            <w:vAlign w:val="center"/>
          </w:tcPr>
          <w:p w14:paraId="65E6D416">
            <w:pPr>
              <w:widowControl/>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单位</w:t>
            </w:r>
          </w:p>
        </w:tc>
        <w:tc>
          <w:tcPr>
            <w:tcW w:w="1511" w:type="dxa"/>
            <w:vAlign w:val="center"/>
          </w:tcPr>
          <w:p w14:paraId="63633884">
            <w:pPr>
              <w:widowControl/>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数值</w:t>
            </w:r>
          </w:p>
        </w:tc>
        <w:tc>
          <w:tcPr>
            <w:tcW w:w="1512" w:type="dxa"/>
            <w:vAlign w:val="center"/>
          </w:tcPr>
          <w:p w14:paraId="707C08B3">
            <w:pPr>
              <w:widowControl/>
              <w:adjustRightInd w:val="0"/>
              <w:snapToGrid w:val="0"/>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备注</w:t>
            </w:r>
          </w:p>
        </w:tc>
      </w:tr>
      <w:tr w14:paraId="6046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Merge w:val="restart"/>
            <w:vAlign w:val="center"/>
          </w:tcPr>
          <w:p w14:paraId="3CC7DC9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3551" w:type="dxa"/>
            <w:gridSpan w:val="2"/>
            <w:vAlign w:val="center"/>
          </w:tcPr>
          <w:p w14:paraId="5A65ECC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采场最高台阶标高</w:t>
            </w:r>
          </w:p>
        </w:tc>
        <w:tc>
          <w:tcPr>
            <w:tcW w:w="1648" w:type="dxa"/>
            <w:vAlign w:val="center"/>
          </w:tcPr>
          <w:p w14:paraId="1339BEC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m</w:t>
            </w:r>
          </w:p>
        </w:tc>
        <w:tc>
          <w:tcPr>
            <w:tcW w:w="1511" w:type="dxa"/>
            <w:vAlign w:val="center"/>
          </w:tcPr>
          <w:p w14:paraId="29579C86">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1430</w:t>
            </w:r>
          </w:p>
        </w:tc>
        <w:tc>
          <w:tcPr>
            <w:tcW w:w="1512" w:type="dxa"/>
            <w:vAlign w:val="center"/>
          </w:tcPr>
          <w:p w14:paraId="211C932E">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3877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Merge w:val="continue"/>
            <w:vAlign w:val="center"/>
          </w:tcPr>
          <w:p w14:paraId="1EA4870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3551" w:type="dxa"/>
            <w:gridSpan w:val="2"/>
            <w:vAlign w:val="center"/>
          </w:tcPr>
          <w:p w14:paraId="28DC745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采场最低台阶标高</w:t>
            </w:r>
          </w:p>
        </w:tc>
        <w:tc>
          <w:tcPr>
            <w:tcW w:w="1648" w:type="dxa"/>
            <w:vAlign w:val="center"/>
          </w:tcPr>
          <w:p w14:paraId="2C67861F">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m</w:t>
            </w:r>
          </w:p>
        </w:tc>
        <w:tc>
          <w:tcPr>
            <w:tcW w:w="1511" w:type="dxa"/>
            <w:vAlign w:val="center"/>
          </w:tcPr>
          <w:p w14:paraId="1A91114E">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1300</w:t>
            </w:r>
          </w:p>
        </w:tc>
        <w:tc>
          <w:tcPr>
            <w:tcW w:w="1512" w:type="dxa"/>
            <w:vAlign w:val="center"/>
          </w:tcPr>
          <w:p w14:paraId="4A51A01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26CF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631531E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3551" w:type="dxa"/>
            <w:gridSpan w:val="2"/>
            <w:vAlign w:val="center"/>
          </w:tcPr>
          <w:p w14:paraId="3F277907">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露天采场最大采深</w:t>
            </w:r>
          </w:p>
        </w:tc>
        <w:tc>
          <w:tcPr>
            <w:tcW w:w="1648" w:type="dxa"/>
            <w:vAlign w:val="center"/>
          </w:tcPr>
          <w:p w14:paraId="685AD7C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m</w:t>
            </w:r>
          </w:p>
        </w:tc>
        <w:tc>
          <w:tcPr>
            <w:tcW w:w="1511" w:type="dxa"/>
            <w:vAlign w:val="center"/>
          </w:tcPr>
          <w:p w14:paraId="0015167C">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130</w:t>
            </w:r>
          </w:p>
        </w:tc>
        <w:tc>
          <w:tcPr>
            <w:tcW w:w="1512" w:type="dxa"/>
            <w:vAlign w:val="center"/>
          </w:tcPr>
          <w:p w14:paraId="440C4C1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5F75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6FDD83A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2175" w:type="dxa"/>
            <w:vAlign w:val="center"/>
          </w:tcPr>
          <w:p w14:paraId="200FA3B0">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采出矿石量</w:t>
            </w:r>
          </w:p>
        </w:tc>
        <w:tc>
          <w:tcPr>
            <w:tcW w:w="1376" w:type="dxa"/>
            <w:vAlign w:val="center"/>
          </w:tcPr>
          <w:p w14:paraId="13075581">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石灰岩</w:t>
            </w:r>
          </w:p>
        </w:tc>
        <w:tc>
          <w:tcPr>
            <w:tcW w:w="1648" w:type="dxa"/>
            <w:vAlign w:val="center"/>
          </w:tcPr>
          <w:p w14:paraId="1B68030B">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万t</w:t>
            </w:r>
          </w:p>
        </w:tc>
        <w:tc>
          <w:tcPr>
            <w:tcW w:w="1511" w:type="dxa"/>
            <w:vAlign w:val="center"/>
          </w:tcPr>
          <w:p w14:paraId="004973EC">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479.36</w:t>
            </w:r>
          </w:p>
        </w:tc>
        <w:tc>
          <w:tcPr>
            <w:tcW w:w="1512" w:type="dxa"/>
            <w:vAlign w:val="center"/>
          </w:tcPr>
          <w:p w14:paraId="1CF0DDAF">
            <w:pPr>
              <w:widowControl/>
              <w:adjustRightInd w:val="0"/>
              <w:snapToGrid w:val="0"/>
              <w:spacing w:line="240" w:lineRule="auto"/>
              <w:ind w:firstLine="0" w:firstLineChars="0"/>
              <w:jc w:val="both"/>
              <w:rPr>
                <w:color w:val="000000" w:themeColor="text1"/>
                <w:kern w:val="0"/>
                <w:sz w:val="21"/>
                <w:szCs w:val="21"/>
                <w14:textFill>
                  <w14:solidFill>
                    <w14:schemeClr w14:val="tx1"/>
                  </w14:solidFill>
                </w14:textFill>
              </w:rPr>
            </w:pPr>
          </w:p>
        </w:tc>
      </w:tr>
      <w:tr w14:paraId="3D0A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Merge w:val="restart"/>
            <w:vAlign w:val="center"/>
          </w:tcPr>
          <w:p w14:paraId="2EEC6DAE">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2175" w:type="dxa"/>
            <w:vMerge w:val="restart"/>
            <w:vAlign w:val="center"/>
          </w:tcPr>
          <w:p w14:paraId="3F386AA0">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石灰岩矿</w:t>
            </w:r>
          </w:p>
        </w:tc>
        <w:tc>
          <w:tcPr>
            <w:tcW w:w="1376" w:type="dxa"/>
            <w:vAlign w:val="center"/>
          </w:tcPr>
          <w:p w14:paraId="725F61BA">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损失率</w:t>
            </w:r>
          </w:p>
        </w:tc>
        <w:tc>
          <w:tcPr>
            <w:tcW w:w="1648" w:type="dxa"/>
            <w:vAlign w:val="center"/>
          </w:tcPr>
          <w:p w14:paraId="5035021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1511" w:type="dxa"/>
            <w:vAlign w:val="center"/>
          </w:tcPr>
          <w:p w14:paraId="1C9E57B8">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512" w:type="dxa"/>
            <w:vAlign w:val="center"/>
          </w:tcPr>
          <w:p w14:paraId="0197F122">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31E0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Merge w:val="continue"/>
            <w:vAlign w:val="center"/>
          </w:tcPr>
          <w:p w14:paraId="51A54730">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175" w:type="dxa"/>
            <w:vMerge w:val="continue"/>
            <w:vAlign w:val="center"/>
          </w:tcPr>
          <w:p w14:paraId="4CA8D873">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376" w:type="dxa"/>
            <w:vAlign w:val="center"/>
          </w:tcPr>
          <w:p w14:paraId="04848FB8">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贫化率</w:t>
            </w:r>
          </w:p>
        </w:tc>
        <w:tc>
          <w:tcPr>
            <w:tcW w:w="1648" w:type="dxa"/>
            <w:vAlign w:val="center"/>
          </w:tcPr>
          <w:p w14:paraId="6C8A3472">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1511" w:type="dxa"/>
            <w:vAlign w:val="center"/>
          </w:tcPr>
          <w:p w14:paraId="0D0AF8DF">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p>
        </w:tc>
        <w:tc>
          <w:tcPr>
            <w:tcW w:w="1512" w:type="dxa"/>
            <w:vAlign w:val="center"/>
          </w:tcPr>
          <w:p w14:paraId="78FA356F">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25EB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1CECD38D">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3551" w:type="dxa"/>
            <w:gridSpan w:val="2"/>
            <w:vAlign w:val="center"/>
          </w:tcPr>
          <w:p w14:paraId="447C913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剥离表土量</w:t>
            </w:r>
          </w:p>
        </w:tc>
        <w:tc>
          <w:tcPr>
            <w:tcW w:w="1648" w:type="dxa"/>
            <w:vAlign w:val="center"/>
          </w:tcPr>
          <w:p w14:paraId="79DB4E9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万m</w:t>
            </w:r>
            <w:r>
              <w:rPr>
                <w:color w:val="000000" w:themeColor="text1"/>
                <w:kern w:val="0"/>
                <w:sz w:val="21"/>
                <w:szCs w:val="21"/>
                <w:vertAlign w:val="superscript"/>
                <w14:textFill>
                  <w14:solidFill>
                    <w14:schemeClr w14:val="tx1"/>
                  </w14:solidFill>
                </w14:textFill>
              </w:rPr>
              <w:t>3</w:t>
            </w:r>
          </w:p>
        </w:tc>
        <w:tc>
          <w:tcPr>
            <w:tcW w:w="1511" w:type="dxa"/>
            <w:vAlign w:val="center"/>
          </w:tcPr>
          <w:p w14:paraId="6D628A0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1.408</w:t>
            </w:r>
          </w:p>
        </w:tc>
        <w:tc>
          <w:tcPr>
            <w:tcW w:w="1512" w:type="dxa"/>
            <w:vAlign w:val="center"/>
          </w:tcPr>
          <w:p w14:paraId="7856684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3A70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60C3CFD0">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3551" w:type="dxa"/>
            <w:gridSpan w:val="2"/>
            <w:vAlign w:val="center"/>
          </w:tcPr>
          <w:p w14:paraId="530842D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设计采剥总量</w:t>
            </w:r>
          </w:p>
        </w:tc>
        <w:tc>
          <w:tcPr>
            <w:tcW w:w="1648" w:type="dxa"/>
            <w:vAlign w:val="center"/>
          </w:tcPr>
          <w:p w14:paraId="7EF8271C">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万m</w:t>
            </w:r>
            <w:r>
              <w:rPr>
                <w:color w:val="000000" w:themeColor="text1"/>
                <w:kern w:val="0"/>
                <w:sz w:val="21"/>
                <w:szCs w:val="21"/>
                <w:vertAlign w:val="superscript"/>
                <w14:textFill>
                  <w14:solidFill>
                    <w14:schemeClr w14:val="tx1"/>
                  </w14:solidFill>
                </w14:textFill>
              </w:rPr>
              <w:t>3</w:t>
            </w:r>
          </w:p>
        </w:tc>
        <w:tc>
          <w:tcPr>
            <w:tcW w:w="1511" w:type="dxa"/>
            <w:vAlign w:val="center"/>
          </w:tcPr>
          <w:p w14:paraId="11015F8D">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185.77</w:t>
            </w:r>
          </w:p>
        </w:tc>
        <w:tc>
          <w:tcPr>
            <w:tcW w:w="1512" w:type="dxa"/>
            <w:vAlign w:val="center"/>
          </w:tcPr>
          <w:p w14:paraId="7CBB59CB">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3062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11EC2482">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w:t>
            </w:r>
          </w:p>
        </w:tc>
        <w:tc>
          <w:tcPr>
            <w:tcW w:w="3551" w:type="dxa"/>
            <w:gridSpan w:val="2"/>
            <w:vAlign w:val="center"/>
          </w:tcPr>
          <w:p w14:paraId="2B414F8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平均剥采比</w:t>
            </w:r>
          </w:p>
        </w:tc>
        <w:tc>
          <w:tcPr>
            <w:tcW w:w="1648" w:type="dxa"/>
            <w:vAlign w:val="center"/>
          </w:tcPr>
          <w:p w14:paraId="03944EF4">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3</w:t>
            </w:r>
          </w:p>
        </w:tc>
        <w:tc>
          <w:tcPr>
            <w:tcW w:w="1511" w:type="dxa"/>
            <w:vAlign w:val="center"/>
          </w:tcPr>
          <w:p w14:paraId="6BA58B8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0.005</w:t>
            </w:r>
          </w:p>
        </w:tc>
        <w:tc>
          <w:tcPr>
            <w:tcW w:w="1512" w:type="dxa"/>
            <w:vAlign w:val="center"/>
          </w:tcPr>
          <w:p w14:paraId="48E5BBCA">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r w14:paraId="7DF9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vAlign w:val="center"/>
          </w:tcPr>
          <w:p w14:paraId="3C6C7685">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w:t>
            </w:r>
          </w:p>
        </w:tc>
        <w:tc>
          <w:tcPr>
            <w:tcW w:w="3551" w:type="dxa"/>
            <w:gridSpan w:val="2"/>
            <w:vAlign w:val="center"/>
          </w:tcPr>
          <w:p w14:paraId="280B9021">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最终边坡角</w:t>
            </w:r>
          </w:p>
        </w:tc>
        <w:tc>
          <w:tcPr>
            <w:tcW w:w="1648" w:type="dxa"/>
            <w:vAlign w:val="center"/>
          </w:tcPr>
          <w:p w14:paraId="5EA50439">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1511" w:type="dxa"/>
            <w:vAlign w:val="center"/>
          </w:tcPr>
          <w:p w14:paraId="7B9FEE6C">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51°</w:t>
            </w:r>
          </w:p>
        </w:tc>
        <w:tc>
          <w:tcPr>
            <w:tcW w:w="1512" w:type="dxa"/>
            <w:vAlign w:val="center"/>
          </w:tcPr>
          <w:p w14:paraId="418A9EC5">
            <w:pPr>
              <w:widowControl/>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r>
    </w:tbl>
    <w:p w14:paraId="6FEF1148">
      <w:pPr>
        <w:pStyle w:val="6"/>
        <w:spacing w:before="120" w:after="120"/>
        <w:rPr>
          <w:color w:val="000000" w:themeColor="text1"/>
          <w14:textFill>
            <w14:solidFill>
              <w14:schemeClr w14:val="tx1"/>
            </w14:solidFill>
          </w14:textFill>
        </w:rPr>
      </w:pPr>
      <w:bookmarkStart w:id="1049" w:name="OLE_LINK5"/>
      <w:bookmarkStart w:id="1050" w:name="_Toc3914"/>
      <w:bookmarkStart w:id="1051" w:name="_Toc30641"/>
      <w:bookmarkStart w:id="1052" w:name="_Toc5927"/>
      <w:bookmarkStart w:id="1053" w:name="_Toc12164"/>
      <w:bookmarkStart w:id="1054" w:name="_Toc17898"/>
      <w:bookmarkStart w:id="1055" w:name="_Toc2687"/>
      <w:bookmarkStart w:id="1056" w:name="_Toc26240"/>
      <w:bookmarkStart w:id="1057" w:name="_Toc4541"/>
      <w:bookmarkStart w:id="1058" w:name="_Toc215070188"/>
      <w:r>
        <w:rPr>
          <w:rFonts w:hint="eastAsia"/>
          <w:color w:val="000000" w:themeColor="text1"/>
          <w14:textFill>
            <w14:solidFill>
              <w14:schemeClr w14:val="tx1"/>
            </w14:solidFill>
          </w14:textFill>
        </w:rPr>
        <w:t>2.4.4.4</w:t>
      </w:r>
      <w:r>
        <w:rPr>
          <w:color w:val="000000" w:themeColor="text1"/>
          <w:lang w:val="zh-TW"/>
          <w14:textFill>
            <w14:solidFill>
              <w14:schemeClr w14:val="tx1"/>
            </w14:solidFill>
          </w14:textFill>
        </w:rPr>
        <w:t>开采</w:t>
      </w:r>
      <w:bookmarkEnd w:id="1049"/>
      <w:r>
        <w:rPr>
          <w:color w:val="000000" w:themeColor="text1"/>
          <w:lang w:val="zh-TW"/>
          <w14:textFill>
            <w14:solidFill>
              <w14:schemeClr w14:val="tx1"/>
            </w14:solidFill>
          </w14:textFill>
        </w:rPr>
        <w:t>境界</w:t>
      </w:r>
      <w:r>
        <w:rPr>
          <w:rFonts w:hint="eastAsia"/>
          <w:color w:val="000000" w:themeColor="text1"/>
          <w14:textFill>
            <w14:solidFill>
              <w14:schemeClr w14:val="tx1"/>
            </w14:solidFill>
          </w14:textFill>
        </w:rPr>
        <w:t>参数</w:t>
      </w:r>
      <w:bookmarkEnd w:id="1050"/>
      <w:bookmarkEnd w:id="1051"/>
      <w:bookmarkEnd w:id="1052"/>
      <w:bookmarkEnd w:id="1053"/>
      <w:bookmarkEnd w:id="1054"/>
      <w:bookmarkEnd w:id="1055"/>
      <w:bookmarkEnd w:id="1056"/>
      <w:bookmarkEnd w:id="1057"/>
      <w:bookmarkEnd w:id="1058"/>
    </w:p>
    <w:p w14:paraId="4176E8AC">
      <w:pPr>
        <w:ind w:firstLine="560"/>
        <w:rPr>
          <w:color w:val="000000" w:themeColor="text1"/>
          <w14:textFill>
            <w14:solidFill>
              <w14:schemeClr w14:val="tx1"/>
            </w14:solidFill>
          </w14:textFill>
        </w:rPr>
      </w:pPr>
      <w:bookmarkStart w:id="1059" w:name="_Toc26299"/>
      <w:bookmarkStart w:id="1060" w:name="_Toc19131"/>
      <w:bookmarkStart w:id="1061" w:name="_Toc3918"/>
      <w:r>
        <w:rPr>
          <w:rFonts w:hint="eastAsia"/>
          <w:color w:val="000000" w:themeColor="text1"/>
          <w14:textFill>
            <w14:solidFill>
              <w14:schemeClr w14:val="tx1"/>
            </w14:solidFill>
          </w14:textFill>
        </w:rPr>
        <w:t>1</w:t>
      </w:r>
      <w:r>
        <w:rPr>
          <w:color w:val="000000" w:themeColor="text1"/>
          <w14:textFill>
            <w14:solidFill>
              <w14:schemeClr w14:val="tx1"/>
            </w14:solidFill>
          </w14:textFill>
        </w:rPr>
        <w:t>、采场开采边坡参数</w:t>
      </w:r>
      <w:bookmarkEnd w:id="1059"/>
      <w:bookmarkEnd w:id="1060"/>
      <w:bookmarkEnd w:id="1061"/>
    </w:p>
    <w:p w14:paraId="09C8EF85">
      <w:pPr>
        <w:ind w:firstLine="560"/>
        <w:rPr>
          <w:color w:val="000000" w:themeColor="text1"/>
          <w14:textFill>
            <w14:solidFill>
              <w14:schemeClr w14:val="tx1"/>
            </w14:solidFill>
          </w14:textFill>
        </w:rPr>
      </w:pPr>
      <w:r>
        <w:rPr>
          <w:color w:val="000000" w:themeColor="text1"/>
          <w14:textFill>
            <w14:solidFill>
              <w14:schemeClr w14:val="tx1"/>
            </w14:solidFill>
          </w14:textFill>
        </w:rPr>
        <w:t>采场边坡参数的确定必须即时开展边坡稳定性研究工作，以合理确定露天采场的边坡参数值。在边坡研究工作尚未展开的情况下，本次仅根据开采地段矿岩的物理力学性质及矿岩的结构、构造，结合矿山矿区内露天采空区开采边坡稳定性等现状及参照同类矿山的实际经验，按类比法选取，确定的最终边坡参数如下：</w:t>
      </w:r>
    </w:p>
    <w:p w14:paraId="7C997D68">
      <w:pPr>
        <w:ind w:firstLine="560"/>
        <w:rPr>
          <w:color w:val="000000" w:themeColor="text1"/>
          <w14:textFill>
            <w14:solidFill>
              <w14:schemeClr w14:val="tx1"/>
            </w14:solidFill>
          </w14:textFill>
        </w:rPr>
      </w:pPr>
      <w:bookmarkStart w:id="1062" w:name="_Toc27153"/>
      <w:bookmarkStart w:id="1063" w:name="_Toc19976"/>
      <w:bookmarkStart w:id="1064" w:name="_Toc25547"/>
      <w:r>
        <w:rPr>
          <w:rFonts w:hint="eastAsia"/>
          <w:color w:val="000000" w:themeColor="text1"/>
          <w14:textFill>
            <w14:solidFill>
              <w14:schemeClr w14:val="tx1"/>
            </w14:solidFill>
          </w14:textFill>
        </w:rPr>
        <w:t>（1）</w:t>
      </w:r>
      <w:r>
        <w:rPr>
          <w:color w:val="000000" w:themeColor="text1"/>
          <w14:textFill>
            <w14:solidFill>
              <w14:schemeClr w14:val="tx1"/>
            </w14:solidFill>
          </w14:textFill>
        </w:rPr>
        <w:t>台阶高度</w:t>
      </w:r>
      <w:bookmarkEnd w:id="1062"/>
      <w:bookmarkEnd w:id="1063"/>
      <w:bookmarkEnd w:id="1064"/>
    </w:p>
    <w:p w14:paraId="276CF28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snapToGrid w:val="0"/>
          <w:color w:val="000000" w:themeColor="text1"/>
          <w:kern w:val="0"/>
          <w:szCs w:val="28"/>
          <w:lang w:val="zh-TW"/>
          <w14:textFill>
            <w14:solidFill>
              <w14:schemeClr w14:val="tx1"/>
            </w14:solidFill>
          </w14:textFill>
        </w:rPr>
        <w:t>《</w:t>
      </w:r>
      <w:r>
        <w:rPr>
          <w:rFonts w:hint="eastAsia" w:ascii="宋体" w:hAnsi="宋体"/>
          <w:color w:val="000000" w:themeColor="text1"/>
          <w:szCs w:val="28"/>
          <w14:textFill>
            <w14:solidFill>
              <w14:schemeClr w14:val="tx1"/>
            </w14:solidFill>
          </w14:textFill>
        </w:rPr>
        <w:t>广南县旧莫小格达普通建筑石料用灰岩矿</w:t>
      </w:r>
      <w:r>
        <w:rPr>
          <w:rFonts w:ascii="宋体" w:hAnsi="宋体"/>
          <w:color w:val="000000" w:themeColor="text1"/>
          <w:szCs w:val="28"/>
          <w14:textFill>
            <w14:solidFill>
              <w14:schemeClr w14:val="tx1"/>
            </w14:solidFill>
          </w14:textFill>
        </w:rPr>
        <w:t>50万t/a露天采矿工程</w:t>
      </w:r>
      <w:r>
        <w:rPr>
          <w:rFonts w:hint="eastAsia" w:ascii="宋体" w:hAnsi="宋体"/>
          <w:snapToGrid w:val="0"/>
          <w:color w:val="000000" w:themeColor="text1"/>
          <w:kern w:val="0"/>
          <w:szCs w:val="28"/>
          <w14:textFill>
            <w14:solidFill>
              <w14:schemeClr w14:val="tx1"/>
            </w14:solidFill>
          </w14:textFill>
        </w:rPr>
        <w:t>可行性研究报告</w:t>
      </w:r>
      <w:r>
        <w:rPr>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lang w:val="zh-TW"/>
          <w14:textFill>
            <w14:solidFill>
              <w14:schemeClr w14:val="tx1"/>
            </w14:solidFill>
          </w14:textFill>
        </w:rPr>
        <w:t>，</w:t>
      </w:r>
      <w:r>
        <w:rPr>
          <w:rFonts w:ascii="宋体" w:hAnsi="宋体"/>
          <w:color w:val="000000" w:themeColor="text1"/>
          <w:szCs w:val="28"/>
          <w14:textFill>
            <w14:solidFill>
              <w14:schemeClr w14:val="tx1"/>
            </w14:solidFill>
          </w14:textFill>
        </w:rPr>
        <w:t>矿山主要</w:t>
      </w:r>
      <w:r>
        <w:rPr>
          <w:rFonts w:hint="eastAsia" w:ascii="宋体" w:hAnsi="宋体"/>
          <w:color w:val="000000" w:themeColor="text1"/>
          <w:szCs w:val="28"/>
          <w14:textFill>
            <w14:solidFill>
              <w14:schemeClr w14:val="tx1"/>
            </w14:solidFill>
          </w14:textFill>
        </w:rPr>
        <w:t>铲装</w:t>
      </w:r>
      <w:r>
        <w:rPr>
          <w:rFonts w:ascii="宋体" w:hAnsi="宋体"/>
          <w:color w:val="000000" w:themeColor="text1"/>
          <w:szCs w:val="28"/>
          <w14:textFill>
            <w14:solidFill>
              <w14:schemeClr w14:val="tx1"/>
            </w14:solidFill>
          </w14:textFill>
        </w:rPr>
        <w:t>设备</w:t>
      </w:r>
      <w:r>
        <w:rPr>
          <w:rFonts w:hint="eastAsia" w:ascii="宋体" w:hAnsi="宋体"/>
          <w:color w:val="000000" w:themeColor="text1"/>
          <w:szCs w:val="28"/>
          <w14:textFill>
            <w14:solidFill>
              <w14:schemeClr w14:val="tx1"/>
            </w14:solidFill>
          </w14:textFill>
        </w:rPr>
        <w:t>为沃尔沃EC460BLC型挖掘机</w:t>
      </w:r>
      <w:r>
        <w:rPr>
          <w:rFonts w:ascii="宋体" w:hAnsi="宋体"/>
          <w:color w:val="000000" w:themeColor="text1"/>
          <w:szCs w:val="28"/>
          <w14:textFill>
            <w14:solidFill>
              <w14:schemeClr w14:val="tx1"/>
            </w14:solidFill>
          </w14:textFill>
        </w:rPr>
        <w:t>，最大挖掘高度为</w:t>
      </w:r>
      <w:r>
        <w:rPr>
          <w:rFonts w:hint="eastAsia" w:ascii="宋体" w:hAnsi="宋体"/>
          <w:color w:val="000000" w:themeColor="text1"/>
          <w:szCs w:val="28"/>
          <w14:textFill>
            <w14:solidFill>
              <w14:schemeClr w14:val="tx1"/>
            </w14:solidFill>
          </w14:textFill>
        </w:rPr>
        <w:t>12</w:t>
      </w:r>
      <w:r>
        <w:rPr>
          <w:rFonts w:ascii="宋体" w:hAnsi="宋体"/>
          <w:color w:val="000000" w:themeColor="text1"/>
          <w:szCs w:val="28"/>
          <w14:textFill>
            <w14:solidFill>
              <w14:schemeClr w14:val="tx1"/>
            </w14:solidFill>
          </w14:textFill>
        </w:rPr>
        <w:t>m</w:t>
      </w:r>
      <w:r>
        <w:rPr>
          <w:color w:val="000000" w:themeColor="text1"/>
          <w14:textFill>
            <w14:solidFill>
              <w14:schemeClr w14:val="tx1"/>
            </w14:solidFill>
          </w14:textFill>
        </w:rPr>
        <w:t>，根据《金属非金属矿山安全规程》（GB16423-2020）5.2.1.1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露天开采应遵循自上而下的开采顺序，分台阶开采。生产台阶高度应符合表表</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-2）的规定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露天开采台阶高度主要依据矿岩性质、采掘作业方式和采掘设备来确定。矿山开采是矿石为石灰岩，岩石硬度系数为</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，矿岩性质为坚硬稳固的矿岩，因此采掘作业方式为爆破后机械铲装，台阶高度满足不大于机械的最大挖掘高度的1.5倍的要求，台阶高度最大可达</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m，在结合矿山实际生产，工作台阶高度确定为</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m，现有设备满足要求。</w:t>
      </w:r>
    </w:p>
    <w:p w14:paraId="19A1B0C4">
      <w:pPr>
        <w:widowControl/>
        <w:spacing w:line="240" w:lineRule="auto"/>
        <w:ind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br w:type="page"/>
      </w:r>
    </w:p>
    <w:p w14:paraId="6B0702C0">
      <w:pPr>
        <w:pStyle w:val="18"/>
        <w:adjustRightInd w:val="0"/>
        <w:snapToGrid w:val="0"/>
        <w:spacing w:line="240" w:lineRule="auto"/>
        <w:ind w:firstLine="0" w:firstLineChars="0"/>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2.4</w:t>
      </w:r>
      <w:r>
        <w:rPr>
          <w:b/>
          <w:bCs/>
          <w:color w:val="000000" w:themeColor="text1"/>
          <w:sz w:val="24"/>
          <w14:textFill>
            <w14:solidFill>
              <w14:schemeClr w14:val="tx1"/>
            </w14:solidFill>
          </w14:textFill>
        </w:rPr>
        <w:t>-2  台阶高度的确定</w:t>
      </w:r>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1149"/>
        <w:gridCol w:w="923"/>
        <w:gridCol w:w="3902"/>
      </w:tblGrid>
      <w:tr w14:paraId="44C8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30" w:type="dxa"/>
            <w:vAlign w:val="center"/>
          </w:tcPr>
          <w:p w14:paraId="07017EC2">
            <w:pPr>
              <w:pStyle w:val="18"/>
              <w:adjustRightInd w:val="0"/>
              <w:snapToGrid w:val="0"/>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矿岩性质</w:t>
            </w:r>
          </w:p>
        </w:tc>
        <w:tc>
          <w:tcPr>
            <w:tcW w:w="2072" w:type="dxa"/>
            <w:gridSpan w:val="2"/>
            <w:vAlign w:val="center"/>
          </w:tcPr>
          <w:p w14:paraId="5F688774">
            <w:pPr>
              <w:pStyle w:val="18"/>
              <w:adjustRightInd w:val="0"/>
              <w:snapToGrid w:val="0"/>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采掘作业方式</w:t>
            </w:r>
          </w:p>
        </w:tc>
        <w:tc>
          <w:tcPr>
            <w:tcW w:w="0" w:type="auto"/>
            <w:vAlign w:val="center"/>
          </w:tcPr>
          <w:p w14:paraId="48216912">
            <w:pPr>
              <w:pStyle w:val="18"/>
              <w:adjustRightInd w:val="0"/>
              <w:snapToGrid w:val="0"/>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台阶高度</w:t>
            </w:r>
          </w:p>
        </w:tc>
      </w:tr>
      <w:tr w14:paraId="6707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30" w:type="dxa"/>
            <w:vAlign w:val="center"/>
          </w:tcPr>
          <w:p w14:paraId="64C7CB33">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松软的岩土、砂状矿岩</w:t>
            </w:r>
          </w:p>
        </w:tc>
        <w:tc>
          <w:tcPr>
            <w:tcW w:w="1149" w:type="dxa"/>
            <w:vMerge w:val="restart"/>
            <w:vAlign w:val="center"/>
          </w:tcPr>
          <w:p w14:paraId="5FCB42C2">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机械铲装</w:t>
            </w:r>
          </w:p>
        </w:tc>
        <w:tc>
          <w:tcPr>
            <w:tcW w:w="0" w:type="auto"/>
            <w:vAlign w:val="center"/>
          </w:tcPr>
          <w:p w14:paraId="13CD0783">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不爆破</w:t>
            </w:r>
          </w:p>
        </w:tc>
        <w:tc>
          <w:tcPr>
            <w:tcW w:w="0" w:type="auto"/>
            <w:vAlign w:val="center"/>
          </w:tcPr>
          <w:p w14:paraId="3BA5E9CF">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不大于机械的最大挖掘高度</w:t>
            </w:r>
          </w:p>
        </w:tc>
      </w:tr>
      <w:tr w14:paraId="3A72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30" w:type="dxa"/>
            <w:vAlign w:val="center"/>
          </w:tcPr>
          <w:p w14:paraId="22EECD03">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坚硬稳固的矿岩</w:t>
            </w:r>
          </w:p>
        </w:tc>
        <w:tc>
          <w:tcPr>
            <w:tcW w:w="1149" w:type="dxa"/>
            <w:vMerge w:val="continue"/>
            <w:vAlign w:val="center"/>
          </w:tcPr>
          <w:p w14:paraId="3E3B9E4B">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p>
        </w:tc>
        <w:tc>
          <w:tcPr>
            <w:tcW w:w="0" w:type="auto"/>
            <w:vAlign w:val="center"/>
          </w:tcPr>
          <w:p w14:paraId="1034718D">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爆破</w:t>
            </w:r>
          </w:p>
        </w:tc>
        <w:tc>
          <w:tcPr>
            <w:tcW w:w="0" w:type="auto"/>
            <w:vAlign w:val="center"/>
          </w:tcPr>
          <w:p w14:paraId="46F4DA95">
            <w:pPr>
              <w:pStyle w:val="18"/>
              <w:adjustRightInd w:val="0"/>
              <w:snapToGrid w:val="0"/>
              <w:spacing w:after="0"/>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不大于机械的最大挖掘高度的1.5倍</w:t>
            </w:r>
          </w:p>
        </w:tc>
      </w:tr>
    </w:tbl>
    <w:p w14:paraId="4E269DCE">
      <w:pPr>
        <w:ind w:firstLine="560"/>
        <w:rPr>
          <w:color w:val="000000" w:themeColor="text1"/>
          <w14:textFill>
            <w14:solidFill>
              <w14:schemeClr w14:val="tx1"/>
            </w14:solidFill>
          </w14:textFill>
        </w:rPr>
      </w:pPr>
      <w:bookmarkStart w:id="1065" w:name="_Toc12948"/>
      <w:bookmarkStart w:id="1066" w:name="_Toc26019"/>
      <w:bookmarkStart w:id="1067" w:name="_Toc12180"/>
      <w:r>
        <w:rPr>
          <w:rFonts w:hint="eastAsia"/>
          <w:color w:val="000000" w:themeColor="text1"/>
          <w14:textFill>
            <w14:solidFill>
              <w14:schemeClr w14:val="tx1"/>
            </w14:solidFill>
          </w14:textFill>
        </w:rPr>
        <w:t>（2）</w:t>
      </w:r>
      <w:r>
        <w:rPr>
          <w:color w:val="000000" w:themeColor="text1"/>
          <w14:textFill>
            <w14:solidFill>
              <w14:schemeClr w14:val="tx1"/>
            </w14:solidFill>
          </w14:textFill>
        </w:rPr>
        <w:t>台阶坡面角</w:t>
      </w:r>
      <w:bookmarkEnd w:id="1065"/>
      <w:bookmarkEnd w:id="1066"/>
      <w:bookmarkEnd w:id="1067"/>
    </w:p>
    <w:p w14:paraId="3A80B8D6">
      <w:pPr>
        <w:ind w:firstLine="560"/>
        <w:rPr>
          <w:color w:val="000000" w:themeColor="text1"/>
          <w:szCs w:val="28"/>
          <w14:textFill>
            <w14:solidFill>
              <w14:schemeClr w14:val="tx1"/>
            </w14:solidFill>
          </w14:textFill>
        </w:rPr>
      </w:pPr>
      <w:r>
        <w:rPr>
          <w:color w:val="000000" w:themeColor="text1"/>
          <w14:textFill>
            <w14:solidFill>
              <w14:schemeClr w14:val="tx1"/>
            </w14:solidFill>
          </w14:textFill>
        </w:rPr>
        <w:t>台阶坡面角主要与矿岩力学性质有关，本矿矿岩以灰岩为主，坚硬稳固，矿山开采是矿石为灰岩，岩石硬度系数</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。根据矿山多年生产经验，通过工程类比法再结合《采矿设计手册》及《金属非金属矿山安全</w:t>
      </w:r>
      <w:r>
        <w:rPr>
          <w:color w:val="000000" w:themeColor="text1"/>
          <w:szCs w:val="28"/>
          <w14:textFill>
            <w14:solidFill>
              <w14:schemeClr w14:val="tx1"/>
            </w14:solidFill>
          </w14:textFill>
        </w:rPr>
        <w:t>规程》的要求，确定工作台阶坡面角为</w:t>
      </w:r>
      <w:r>
        <w:rPr>
          <w:rFonts w:hint="eastAsia"/>
          <w:color w:val="000000" w:themeColor="text1"/>
          <w:szCs w:val="28"/>
          <w14:textFill>
            <w14:solidFill>
              <w14:schemeClr w14:val="tx1"/>
            </w14:solidFill>
          </w14:textFill>
        </w:rPr>
        <w:t>90</w:t>
      </w:r>
      <w:r>
        <w:rPr>
          <w:color w:val="000000" w:themeColor="text1"/>
          <w:szCs w:val="28"/>
          <w14:textFill>
            <w14:solidFill>
              <w14:schemeClr w14:val="tx1"/>
            </w14:solidFill>
          </w14:textFill>
        </w:rPr>
        <w:t>°，靠帮台阶坡面角为6</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°，《采矿设计手册》中台阶坡面角选取参考值见表</w:t>
      </w:r>
      <w:r>
        <w:rPr>
          <w:rFonts w:hint="eastAsia"/>
          <w:color w:val="000000" w:themeColor="text1"/>
          <w:szCs w:val="28"/>
          <w14:textFill>
            <w14:solidFill>
              <w14:schemeClr w14:val="tx1"/>
            </w14:solidFill>
          </w14:textFill>
        </w:rPr>
        <w:t>2.4</w:t>
      </w:r>
      <w:r>
        <w:rPr>
          <w:color w:val="000000" w:themeColor="text1"/>
          <w:szCs w:val="28"/>
          <w14:textFill>
            <w14:solidFill>
              <w14:schemeClr w14:val="tx1"/>
            </w14:solidFill>
          </w14:textFill>
        </w:rPr>
        <w:t>-3。</w:t>
      </w:r>
    </w:p>
    <w:p w14:paraId="773FAAC7">
      <w:pPr>
        <w:adjustRightInd w:val="0"/>
        <w:snapToGrid w:val="0"/>
        <w:spacing w:line="240" w:lineRule="auto"/>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2.4</w:t>
      </w:r>
      <w:r>
        <w:rPr>
          <w:b/>
          <w:color w:val="000000" w:themeColor="text1"/>
          <w:sz w:val="24"/>
          <w14:textFill>
            <w14:solidFill>
              <w14:schemeClr w14:val="tx1"/>
            </w14:solidFill>
          </w14:textFill>
        </w:rPr>
        <w:t>-3  《采矿设计手册》中台阶坡面角选取参考值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740"/>
        <w:gridCol w:w="1741"/>
        <w:gridCol w:w="1740"/>
        <w:gridCol w:w="1740"/>
      </w:tblGrid>
      <w:tr w14:paraId="5B2B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739" w:type="dxa"/>
            <w:vAlign w:val="center"/>
          </w:tcPr>
          <w:p w14:paraId="6087879B">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岩石硬度f</w:t>
            </w:r>
          </w:p>
        </w:tc>
        <w:tc>
          <w:tcPr>
            <w:tcW w:w="1740" w:type="dxa"/>
            <w:vAlign w:val="center"/>
          </w:tcPr>
          <w:p w14:paraId="4A6A3421">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15～20</w:t>
            </w:r>
          </w:p>
        </w:tc>
        <w:tc>
          <w:tcPr>
            <w:tcW w:w="1741" w:type="dxa"/>
            <w:vAlign w:val="center"/>
          </w:tcPr>
          <w:p w14:paraId="675EA243">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8～14</w:t>
            </w:r>
          </w:p>
        </w:tc>
        <w:tc>
          <w:tcPr>
            <w:tcW w:w="1740" w:type="dxa"/>
            <w:vAlign w:val="center"/>
          </w:tcPr>
          <w:p w14:paraId="3483E119">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3～7</w:t>
            </w:r>
          </w:p>
        </w:tc>
        <w:tc>
          <w:tcPr>
            <w:tcW w:w="1740" w:type="dxa"/>
            <w:vAlign w:val="center"/>
          </w:tcPr>
          <w:p w14:paraId="425F401E">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1～2</w:t>
            </w:r>
          </w:p>
        </w:tc>
      </w:tr>
      <w:tr w14:paraId="2677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739" w:type="dxa"/>
            <w:vAlign w:val="center"/>
          </w:tcPr>
          <w:p w14:paraId="3227E0FD">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台阶坡面角</w:t>
            </w:r>
          </w:p>
        </w:tc>
        <w:tc>
          <w:tcPr>
            <w:tcW w:w="1740" w:type="dxa"/>
            <w:vAlign w:val="center"/>
          </w:tcPr>
          <w:p w14:paraId="3EEF1E34">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75°～85°</w:t>
            </w:r>
          </w:p>
        </w:tc>
        <w:tc>
          <w:tcPr>
            <w:tcW w:w="1741" w:type="dxa"/>
            <w:vAlign w:val="center"/>
          </w:tcPr>
          <w:p w14:paraId="766697FD">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70°～75°</w:t>
            </w:r>
          </w:p>
        </w:tc>
        <w:tc>
          <w:tcPr>
            <w:tcW w:w="1740" w:type="dxa"/>
            <w:vAlign w:val="center"/>
          </w:tcPr>
          <w:p w14:paraId="58E1C2B7">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60°～65°</w:t>
            </w:r>
          </w:p>
        </w:tc>
        <w:tc>
          <w:tcPr>
            <w:tcW w:w="1740" w:type="dxa"/>
            <w:vAlign w:val="center"/>
          </w:tcPr>
          <w:p w14:paraId="67F7BF6B">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45°～60°</w:t>
            </w:r>
          </w:p>
        </w:tc>
      </w:tr>
    </w:tbl>
    <w:p w14:paraId="4C382091">
      <w:pPr>
        <w:ind w:firstLine="560"/>
        <w:rPr>
          <w:color w:val="000000" w:themeColor="text1"/>
          <w14:textFill>
            <w14:solidFill>
              <w14:schemeClr w14:val="tx1"/>
            </w14:solidFill>
          </w14:textFill>
        </w:rPr>
      </w:pPr>
      <w:bookmarkStart w:id="1068" w:name="_Toc11118"/>
      <w:bookmarkStart w:id="1069" w:name="_Toc20108"/>
      <w:bookmarkStart w:id="1070" w:name="_Toc11541"/>
      <w:r>
        <w:rPr>
          <w:rFonts w:hint="eastAsia"/>
          <w:color w:val="000000" w:themeColor="text1"/>
          <w14:textFill>
            <w14:solidFill>
              <w14:schemeClr w14:val="tx1"/>
            </w14:solidFill>
          </w14:textFill>
        </w:rPr>
        <w:t>（3）</w:t>
      </w:r>
      <w:r>
        <w:rPr>
          <w:color w:val="000000" w:themeColor="text1"/>
          <w14:textFill>
            <w14:solidFill>
              <w14:schemeClr w14:val="tx1"/>
            </w14:solidFill>
          </w14:textFill>
        </w:rPr>
        <w:t>最终帮坡角</w:t>
      </w:r>
      <w:bookmarkEnd w:id="1068"/>
      <w:bookmarkEnd w:id="1069"/>
      <w:bookmarkEnd w:id="1070"/>
    </w:p>
    <w:p w14:paraId="20464AC5">
      <w:pPr>
        <w:ind w:firstLine="560"/>
        <w:rPr>
          <w:color w:val="000000" w:themeColor="text1"/>
          <w14:textFill>
            <w14:solidFill>
              <w14:schemeClr w14:val="tx1"/>
            </w14:solidFill>
          </w14:textFill>
        </w:rPr>
      </w:pPr>
      <w:r>
        <w:rPr>
          <w:color w:val="000000" w:themeColor="text1"/>
          <w14:textFill>
            <w14:solidFill>
              <w14:schemeClr w14:val="tx1"/>
            </w14:solidFill>
          </w14:textFill>
        </w:rPr>
        <w:t>最终帮坡角：依据设计手册推荐的资料选择见下表：</w:t>
      </w:r>
    </w:p>
    <w:p w14:paraId="43AF3737">
      <w:pPr>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2.4</w:t>
      </w:r>
      <w:r>
        <w:rPr>
          <w:b/>
          <w:color w:val="000000" w:themeColor="text1"/>
          <w:sz w:val="24"/>
          <w14:textFill>
            <w14:solidFill>
              <w14:schemeClr w14:val="tx1"/>
            </w14:solidFill>
          </w14:textFill>
        </w:rPr>
        <w:t>-4  最终帮坡角选择参考值</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1583"/>
        <w:gridCol w:w="1847"/>
        <w:gridCol w:w="1709"/>
        <w:gridCol w:w="1710"/>
      </w:tblGrid>
      <w:tr w14:paraId="1BE02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30" w:type="dxa"/>
            <w:vMerge w:val="restart"/>
            <w:vAlign w:val="center"/>
          </w:tcPr>
          <w:p w14:paraId="33E6160B">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岩石硬度系数f</w:t>
            </w:r>
          </w:p>
        </w:tc>
        <w:tc>
          <w:tcPr>
            <w:tcW w:w="6849" w:type="dxa"/>
            <w:gridSpan w:val="4"/>
            <w:vAlign w:val="center"/>
          </w:tcPr>
          <w:p w14:paraId="1CE86E67">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采场深度（m）</w:t>
            </w:r>
          </w:p>
        </w:tc>
      </w:tr>
      <w:tr w14:paraId="6172E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30" w:type="dxa"/>
            <w:vMerge w:val="continue"/>
            <w:vAlign w:val="center"/>
          </w:tcPr>
          <w:p w14:paraId="0147226D">
            <w:pPr>
              <w:pStyle w:val="67"/>
              <w:rPr>
                <w:rFonts w:hint="default"/>
                <w:color w:val="000000" w:themeColor="text1"/>
                <w14:textFill>
                  <w14:solidFill>
                    <w14:schemeClr w14:val="tx1"/>
                  </w14:solidFill>
                </w14:textFill>
              </w:rPr>
            </w:pPr>
          </w:p>
        </w:tc>
        <w:tc>
          <w:tcPr>
            <w:tcW w:w="1583" w:type="dxa"/>
            <w:vAlign w:val="center"/>
          </w:tcPr>
          <w:p w14:paraId="21005703">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90m以内</w:t>
            </w:r>
          </w:p>
        </w:tc>
        <w:tc>
          <w:tcPr>
            <w:tcW w:w="1847" w:type="dxa"/>
            <w:vAlign w:val="center"/>
          </w:tcPr>
          <w:p w14:paraId="2516D666">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180m以内</w:t>
            </w:r>
          </w:p>
        </w:tc>
        <w:tc>
          <w:tcPr>
            <w:tcW w:w="1709" w:type="dxa"/>
            <w:vAlign w:val="center"/>
          </w:tcPr>
          <w:p w14:paraId="782BD0E5">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240m以内</w:t>
            </w:r>
          </w:p>
        </w:tc>
        <w:tc>
          <w:tcPr>
            <w:tcW w:w="1710" w:type="dxa"/>
            <w:vAlign w:val="center"/>
          </w:tcPr>
          <w:p w14:paraId="43F9CE79">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300m以内</w:t>
            </w:r>
          </w:p>
        </w:tc>
      </w:tr>
      <w:tr w14:paraId="5926E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30" w:type="dxa"/>
            <w:vAlign w:val="center"/>
          </w:tcPr>
          <w:p w14:paraId="0F59F497">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15-20</w:t>
            </w:r>
          </w:p>
        </w:tc>
        <w:tc>
          <w:tcPr>
            <w:tcW w:w="1583" w:type="dxa"/>
            <w:vAlign w:val="center"/>
          </w:tcPr>
          <w:p w14:paraId="09090E37">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60-63</w:t>
            </w:r>
          </w:p>
        </w:tc>
        <w:tc>
          <w:tcPr>
            <w:tcW w:w="1847" w:type="dxa"/>
            <w:vAlign w:val="center"/>
          </w:tcPr>
          <w:p w14:paraId="3B7300CA">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57-65</w:t>
            </w:r>
          </w:p>
        </w:tc>
        <w:tc>
          <w:tcPr>
            <w:tcW w:w="1709" w:type="dxa"/>
            <w:vAlign w:val="center"/>
          </w:tcPr>
          <w:p w14:paraId="45F210B0">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53-60</w:t>
            </w:r>
          </w:p>
        </w:tc>
        <w:tc>
          <w:tcPr>
            <w:tcW w:w="1710" w:type="dxa"/>
            <w:vAlign w:val="center"/>
          </w:tcPr>
          <w:p w14:paraId="7276F877">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48-54</w:t>
            </w:r>
          </w:p>
        </w:tc>
      </w:tr>
      <w:tr w14:paraId="37C00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30" w:type="dxa"/>
            <w:vAlign w:val="center"/>
          </w:tcPr>
          <w:p w14:paraId="44729874">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8-14</w:t>
            </w:r>
          </w:p>
        </w:tc>
        <w:tc>
          <w:tcPr>
            <w:tcW w:w="1583" w:type="dxa"/>
            <w:vAlign w:val="center"/>
          </w:tcPr>
          <w:p w14:paraId="7B4F6584">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50-60</w:t>
            </w:r>
          </w:p>
        </w:tc>
        <w:tc>
          <w:tcPr>
            <w:tcW w:w="1847" w:type="dxa"/>
            <w:vAlign w:val="center"/>
          </w:tcPr>
          <w:p w14:paraId="2FF66ED1">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48-57</w:t>
            </w:r>
          </w:p>
        </w:tc>
        <w:tc>
          <w:tcPr>
            <w:tcW w:w="1709" w:type="dxa"/>
            <w:vAlign w:val="center"/>
          </w:tcPr>
          <w:p w14:paraId="1C061721">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45-53 </w:t>
            </w:r>
          </w:p>
        </w:tc>
        <w:tc>
          <w:tcPr>
            <w:tcW w:w="1710" w:type="dxa"/>
            <w:vAlign w:val="center"/>
          </w:tcPr>
          <w:p w14:paraId="30B2003E">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42-48</w:t>
            </w:r>
          </w:p>
        </w:tc>
      </w:tr>
      <w:tr w14:paraId="2FFFE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30" w:type="dxa"/>
            <w:vAlign w:val="center"/>
          </w:tcPr>
          <w:p w14:paraId="5CE487A2">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3-7</w:t>
            </w:r>
          </w:p>
        </w:tc>
        <w:tc>
          <w:tcPr>
            <w:tcW w:w="1583" w:type="dxa"/>
            <w:vAlign w:val="center"/>
          </w:tcPr>
          <w:p w14:paraId="46344551">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40-50</w:t>
            </w:r>
          </w:p>
        </w:tc>
        <w:tc>
          <w:tcPr>
            <w:tcW w:w="1847" w:type="dxa"/>
            <w:vAlign w:val="center"/>
          </w:tcPr>
          <w:p w14:paraId="5E540ABE">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41-48</w:t>
            </w:r>
          </w:p>
        </w:tc>
        <w:tc>
          <w:tcPr>
            <w:tcW w:w="1709" w:type="dxa"/>
            <w:vAlign w:val="center"/>
          </w:tcPr>
          <w:p w14:paraId="592CFE74">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39-45</w:t>
            </w:r>
          </w:p>
        </w:tc>
        <w:tc>
          <w:tcPr>
            <w:tcW w:w="1710" w:type="dxa"/>
            <w:vAlign w:val="center"/>
          </w:tcPr>
          <w:p w14:paraId="2E2A8368">
            <w:pPr>
              <w:pStyle w:val="6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36-43</w:t>
            </w:r>
          </w:p>
        </w:tc>
      </w:tr>
    </w:tbl>
    <w:p w14:paraId="07A9C5E0">
      <w:pPr>
        <w:topLinePunct/>
        <w:spacing w:before="120" w:beforeLines="50"/>
        <w:ind w:firstLine="560"/>
        <w:rPr>
          <w:color w:val="000000" w:themeColor="text1"/>
          <w:szCs w:val="28"/>
          <w:lang w:bidi="ar"/>
          <w14:textFill>
            <w14:solidFill>
              <w14:schemeClr w14:val="tx1"/>
            </w14:solidFill>
          </w14:textFill>
        </w:rPr>
      </w:pPr>
      <w:r>
        <w:rPr>
          <w:color w:val="000000" w:themeColor="text1"/>
          <w:szCs w:val="28"/>
          <w14:textFill>
            <w14:solidFill>
              <w14:schemeClr w14:val="tx1"/>
            </w14:solidFill>
          </w14:textFill>
        </w:rPr>
        <w:t>矿山开采深度为</w:t>
      </w:r>
      <w:r>
        <w:rPr>
          <w:rFonts w:hint="eastAsia"/>
          <w:color w:val="000000" w:themeColor="text1"/>
          <w:szCs w:val="28"/>
          <w14:textFill>
            <w14:solidFill>
              <w14:schemeClr w14:val="tx1"/>
            </w14:solidFill>
          </w14:textFill>
        </w:rPr>
        <w:t>130m</w:t>
      </w:r>
      <w:r>
        <w:rPr>
          <w:color w:val="000000" w:themeColor="text1"/>
          <w:szCs w:val="28"/>
          <w14:textFill>
            <w14:solidFill>
              <w14:schemeClr w14:val="tx1"/>
            </w14:solidFill>
          </w14:textFill>
        </w:rPr>
        <w:t>，岩石硬度系数</w:t>
      </w: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，根据上表选取最终帮坡角在</w:t>
      </w:r>
      <w:r>
        <w:rPr>
          <w:rFonts w:hint="eastAsia"/>
          <w:color w:val="000000" w:themeColor="text1"/>
          <w:szCs w:val="28"/>
          <w14:textFill>
            <w14:solidFill>
              <w14:schemeClr w14:val="tx1"/>
            </w14:solidFill>
          </w14:textFill>
        </w:rPr>
        <w:t>48</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57</w:t>
      </w:r>
      <w:r>
        <w:rPr>
          <w:color w:val="000000" w:themeColor="text1"/>
          <w:szCs w:val="28"/>
          <w14:textFill>
            <w14:solidFill>
              <w14:schemeClr w14:val="tx1"/>
            </w14:solidFill>
          </w14:textFill>
        </w:rPr>
        <w:t>°之间。</w:t>
      </w:r>
      <w:r>
        <w:rPr>
          <w:rFonts w:hint="eastAsia"/>
          <w:color w:val="000000" w:themeColor="text1"/>
          <w:szCs w:val="28"/>
          <w14:textFill>
            <w14:solidFill>
              <w14:schemeClr w14:val="tx1"/>
            </w14:solidFill>
          </w14:textFill>
        </w:rPr>
        <w:t>根据开发利用方案和可行性研究报告</w:t>
      </w:r>
      <w:r>
        <w:rPr>
          <w:color w:val="000000" w:themeColor="text1"/>
          <w:szCs w:val="28"/>
          <w14:textFill>
            <w14:solidFill>
              <w14:schemeClr w14:val="tx1"/>
            </w14:solidFill>
          </w14:textFill>
        </w:rPr>
        <w:t>，最终帮坡角选取</w:t>
      </w:r>
      <w:r>
        <w:rPr>
          <w:rFonts w:hint="eastAsia"/>
          <w:color w:val="000000" w:themeColor="text1"/>
          <w:szCs w:val="28"/>
          <w14:textFill>
            <w14:solidFill>
              <w14:schemeClr w14:val="tx1"/>
            </w14:solidFill>
          </w14:textFill>
        </w:rPr>
        <w:t>51</w:t>
      </w:r>
      <w:r>
        <w:rPr>
          <w:color w:val="000000" w:themeColor="text1"/>
          <w:szCs w:val="28"/>
          <w14:textFill>
            <w14:solidFill>
              <w14:schemeClr w14:val="tx1"/>
            </w14:solidFill>
          </w14:textFill>
        </w:rPr>
        <w:t>°</w:t>
      </w:r>
      <w:r>
        <w:rPr>
          <w:color w:val="000000" w:themeColor="text1"/>
          <w:szCs w:val="28"/>
          <w:lang w:bidi="ar"/>
          <w14:textFill>
            <w14:solidFill>
              <w14:schemeClr w14:val="tx1"/>
            </w14:solidFill>
          </w14:textFill>
        </w:rPr>
        <w:t>。</w:t>
      </w:r>
    </w:p>
    <w:p w14:paraId="1718D15C">
      <w:pPr>
        <w:ind w:firstLine="560"/>
        <w:rPr>
          <w:color w:val="000000" w:themeColor="text1"/>
          <w14:textFill>
            <w14:solidFill>
              <w14:schemeClr w14:val="tx1"/>
            </w14:solidFill>
          </w14:textFill>
        </w:rPr>
      </w:pPr>
      <w:bookmarkStart w:id="1071" w:name="_Toc8391"/>
      <w:bookmarkStart w:id="1072" w:name="_Toc7209"/>
      <w:bookmarkStart w:id="1073" w:name="_Toc4864"/>
      <w:r>
        <w:rPr>
          <w:rFonts w:hint="eastAsia"/>
          <w:color w:val="000000" w:themeColor="text1"/>
          <w14:textFill>
            <w14:solidFill>
              <w14:schemeClr w14:val="tx1"/>
            </w14:solidFill>
          </w14:textFill>
        </w:rPr>
        <w:t>（4）</w:t>
      </w:r>
      <w:r>
        <w:rPr>
          <w:color w:val="000000" w:themeColor="text1"/>
          <w14:textFill>
            <w14:solidFill>
              <w14:schemeClr w14:val="tx1"/>
            </w14:solidFill>
          </w14:textFill>
        </w:rPr>
        <w:t>最小工作线长度</w:t>
      </w:r>
      <w:bookmarkEnd w:id="1071"/>
      <w:bookmarkEnd w:id="1072"/>
      <w:bookmarkEnd w:id="1073"/>
    </w:p>
    <w:p w14:paraId="2E2465A1">
      <w:pPr>
        <w:ind w:firstLine="560"/>
        <w:rPr>
          <w:color w:val="000000" w:themeColor="text1"/>
          <w14:textFill>
            <w14:solidFill>
              <w14:schemeClr w14:val="tx1"/>
            </w14:solidFill>
          </w14:textFill>
        </w:rPr>
      </w:pPr>
      <w:r>
        <w:rPr>
          <w:color w:val="000000" w:themeColor="text1"/>
          <w14:textFill>
            <w14:solidFill>
              <w14:schemeClr w14:val="tx1"/>
            </w14:solidFill>
          </w14:textFill>
        </w:rPr>
        <w:t>工作线长度因选用不同的采矿设备和不同的采矿工艺而又所不同。考虑到使用的汽车、挖掘机及装载机等设备需要掉头、装车等，最小工作线长度选取</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0m。</w:t>
      </w:r>
    </w:p>
    <w:p w14:paraId="455B9599">
      <w:pPr>
        <w:ind w:firstLine="560"/>
        <w:rPr>
          <w:color w:val="000000" w:themeColor="text1"/>
          <w14:textFill>
            <w14:solidFill>
              <w14:schemeClr w14:val="tx1"/>
            </w14:solidFill>
          </w14:textFill>
        </w:rPr>
      </w:pPr>
      <w:bookmarkStart w:id="1074" w:name="_Toc25370"/>
      <w:bookmarkStart w:id="1075" w:name="_Toc23803"/>
      <w:bookmarkStart w:id="1076" w:name="_Toc12929"/>
      <w:r>
        <w:rPr>
          <w:rFonts w:hint="eastAsia"/>
          <w:color w:val="000000" w:themeColor="text1"/>
          <w14:textFill>
            <w14:solidFill>
              <w14:schemeClr w14:val="tx1"/>
            </w14:solidFill>
          </w14:textFill>
        </w:rPr>
        <w:t>（5）</w:t>
      </w:r>
      <w:r>
        <w:rPr>
          <w:color w:val="000000" w:themeColor="text1"/>
          <w14:textFill>
            <w14:solidFill>
              <w14:schemeClr w14:val="tx1"/>
            </w14:solidFill>
          </w14:textFill>
        </w:rPr>
        <w:t>露天开采采场台阶参数选择如下:</w:t>
      </w:r>
      <w:bookmarkEnd w:id="1074"/>
      <w:bookmarkEnd w:id="1075"/>
      <w:bookmarkEnd w:id="1076"/>
    </w:p>
    <w:p w14:paraId="6586ECB1">
      <w:pPr>
        <w:ind w:firstLine="560"/>
        <w:rPr>
          <w:bCs/>
          <w:color w:val="000000" w:themeColor="text1"/>
          <w:szCs w:val="28"/>
          <w14:textFill>
            <w14:solidFill>
              <w14:schemeClr w14:val="tx1"/>
            </w14:solidFill>
          </w14:textFill>
        </w:rPr>
      </w:pPr>
      <w:r>
        <w:rPr>
          <w:bCs/>
          <w:color w:val="000000" w:themeColor="text1"/>
          <w:szCs w:val="28"/>
          <w:lang w:bidi="ar"/>
          <w14:textFill>
            <w14:solidFill>
              <w14:schemeClr w14:val="tx1"/>
            </w14:solidFill>
          </w14:textFill>
        </w:rPr>
        <w:t>生产台阶高度：</w:t>
      </w:r>
      <w:r>
        <w:rPr>
          <w:rFonts w:hint="eastAsia"/>
          <w:bCs/>
          <w:color w:val="000000" w:themeColor="text1"/>
          <w:szCs w:val="28"/>
          <w:lang w:bidi="ar"/>
          <w14:textFill>
            <w14:solidFill>
              <w14:schemeClr w14:val="tx1"/>
            </w14:solidFill>
          </w14:textFill>
        </w:rPr>
        <w:t>15</w:t>
      </w:r>
      <w:r>
        <w:rPr>
          <w:bCs/>
          <w:color w:val="000000" w:themeColor="text1"/>
          <w:szCs w:val="28"/>
          <w:lang w:bidi="ar"/>
          <w14:textFill>
            <w14:solidFill>
              <w14:schemeClr w14:val="tx1"/>
            </w14:solidFill>
          </w14:textFill>
        </w:rPr>
        <w:t>m；</w:t>
      </w:r>
    </w:p>
    <w:p w14:paraId="0433218A">
      <w:pPr>
        <w:ind w:firstLine="560"/>
        <w:rPr>
          <w:color w:val="000000" w:themeColor="text1"/>
          <w:szCs w:val="28"/>
          <w:lang w:bidi="ar"/>
          <w14:textFill>
            <w14:solidFill>
              <w14:schemeClr w14:val="tx1"/>
            </w14:solidFill>
          </w14:textFill>
        </w:rPr>
      </w:pPr>
      <w:r>
        <w:rPr>
          <w:color w:val="000000" w:themeColor="text1"/>
          <w:szCs w:val="28"/>
          <w:lang w:bidi="ar"/>
          <w14:textFill>
            <w14:solidFill>
              <w14:schemeClr w14:val="tx1"/>
            </w14:solidFill>
          </w14:textFill>
        </w:rPr>
        <w:t>靠帮台阶坡面角：6</w:t>
      </w:r>
      <w:r>
        <w:rPr>
          <w:rFonts w:hint="eastAsia"/>
          <w:color w:val="000000" w:themeColor="text1"/>
          <w:szCs w:val="28"/>
          <w:lang w:bidi="ar"/>
          <w14:textFill>
            <w14:solidFill>
              <w14:schemeClr w14:val="tx1"/>
            </w14:solidFill>
          </w14:textFill>
        </w:rPr>
        <w:t>5</w:t>
      </w:r>
      <w:r>
        <w:rPr>
          <w:color w:val="000000" w:themeColor="text1"/>
          <w:szCs w:val="28"/>
          <w:lang w:bidi="ar"/>
          <w14:textFill>
            <w14:solidFill>
              <w14:schemeClr w14:val="tx1"/>
            </w14:solidFill>
          </w14:textFill>
        </w:rPr>
        <w:t>°；</w:t>
      </w:r>
    </w:p>
    <w:p w14:paraId="389A5970">
      <w:pPr>
        <w:ind w:firstLine="560"/>
        <w:rPr>
          <w:color w:val="000000" w:themeColor="text1"/>
          <w:szCs w:val="28"/>
          <w14:textFill>
            <w14:solidFill>
              <w14:schemeClr w14:val="tx1"/>
            </w14:solidFill>
          </w14:textFill>
        </w:rPr>
      </w:pPr>
      <w:r>
        <w:rPr>
          <w:color w:val="000000" w:themeColor="text1"/>
          <w:szCs w:val="28"/>
          <w:lang w:bidi="ar"/>
          <w14:textFill>
            <w14:solidFill>
              <w14:schemeClr w14:val="tx1"/>
            </w14:solidFill>
          </w14:textFill>
        </w:rPr>
        <w:t>工作台阶坡面角：</w:t>
      </w:r>
      <w:r>
        <w:rPr>
          <w:rFonts w:hint="eastAsia"/>
          <w:color w:val="000000" w:themeColor="text1"/>
          <w:szCs w:val="28"/>
          <w:lang w:bidi="ar"/>
          <w14:textFill>
            <w14:solidFill>
              <w14:schemeClr w14:val="tx1"/>
            </w14:solidFill>
          </w14:textFill>
        </w:rPr>
        <w:t>90</w:t>
      </w:r>
      <w:r>
        <w:rPr>
          <w:color w:val="000000" w:themeColor="text1"/>
          <w:szCs w:val="28"/>
          <w:lang w:bidi="ar"/>
          <w14:textFill>
            <w14:solidFill>
              <w14:schemeClr w14:val="tx1"/>
            </w14:solidFill>
          </w14:textFill>
        </w:rPr>
        <w:t>°；</w:t>
      </w:r>
    </w:p>
    <w:p w14:paraId="14660145">
      <w:pPr>
        <w:ind w:firstLine="560"/>
        <w:rPr>
          <w:bCs/>
          <w:color w:val="000000" w:themeColor="text1"/>
          <w:szCs w:val="28"/>
          <w14:textFill>
            <w14:solidFill>
              <w14:schemeClr w14:val="tx1"/>
            </w14:solidFill>
          </w14:textFill>
        </w:rPr>
      </w:pPr>
      <w:r>
        <w:rPr>
          <w:color w:val="000000" w:themeColor="text1"/>
          <w:szCs w:val="28"/>
          <w:lang w:bidi="ar"/>
          <w14:textFill>
            <w14:solidFill>
              <w14:schemeClr w14:val="tx1"/>
            </w14:solidFill>
          </w14:textFill>
        </w:rPr>
        <w:t>最终帮坡角：</w:t>
      </w:r>
      <w:r>
        <w:rPr>
          <w:rFonts w:hint="eastAsia"/>
          <w:bCs/>
          <w:color w:val="000000" w:themeColor="text1"/>
          <w:szCs w:val="28"/>
          <w:lang w:bidi="ar"/>
          <w14:textFill>
            <w14:solidFill>
              <w14:schemeClr w14:val="tx1"/>
            </w14:solidFill>
          </w14:textFill>
        </w:rPr>
        <w:t>51°</w:t>
      </w:r>
      <w:r>
        <w:rPr>
          <w:bCs/>
          <w:color w:val="000000" w:themeColor="text1"/>
          <w:szCs w:val="28"/>
          <w:lang w:bidi="ar"/>
          <w14:textFill>
            <w14:solidFill>
              <w14:schemeClr w14:val="tx1"/>
            </w14:solidFill>
          </w14:textFill>
        </w:rPr>
        <w:t>；</w:t>
      </w:r>
    </w:p>
    <w:p w14:paraId="284B76E7">
      <w:pPr>
        <w:ind w:firstLine="560"/>
        <w:rPr>
          <w:bCs/>
          <w:color w:val="000000" w:themeColor="text1"/>
          <w:szCs w:val="28"/>
          <w14:textFill>
            <w14:solidFill>
              <w14:schemeClr w14:val="tx1"/>
            </w14:solidFill>
          </w14:textFill>
        </w:rPr>
      </w:pPr>
      <w:r>
        <w:rPr>
          <w:bCs/>
          <w:color w:val="000000" w:themeColor="text1"/>
          <w:szCs w:val="28"/>
          <w:lang w:bidi="ar"/>
          <w14:textFill>
            <w14:solidFill>
              <w14:schemeClr w14:val="tx1"/>
            </w14:solidFill>
          </w14:textFill>
        </w:rPr>
        <w:t>最小工作平台宽度：</w:t>
      </w:r>
      <w:r>
        <w:rPr>
          <w:rFonts w:hint="eastAsia"/>
          <w:bCs/>
          <w:color w:val="000000" w:themeColor="text1"/>
          <w:szCs w:val="28"/>
          <w:lang w:bidi="ar"/>
          <w14:textFill>
            <w14:solidFill>
              <w14:schemeClr w14:val="tx1"/>
            </w14:solidFill>
          </w14:textFill>
        </w:rPr>
        <w:t>30</w:t>
      </w:r>
      <w:r>
        <w:rPr>
          <w:bCs/>
          <w:color w:val="000000" w:themeColor="text1"/>
          <w:szCs w:val="28"/>
          <w:lang w:bidi="ar"/>
          <w14:textFill>
            <w14:solidFill>
              <w14:schemeClr w14:val="tx1"/>
            </w14:solidFill>
          </w14:textFill>
        </w:rPr>
        <w:t>m；</w:t>
      </w:r>
    </w:p>
    <w:p w14:paraId="721D56A7">
      <w:pPr>
        <w:ind w:firstLine="560"/>
        <w:rPr>
          <w:bCs/>
          <w:color w:val="000000" w:themeColor="text1"/>
          <w:szCs w:val="28"/>
          <w:lang w:bidi="ar"/>
          <w14:textFill>
            <w14:solidFill>
              <w14:schemeClr w14:val="tx1"/>
            </w14:solidFill>
          </w14:textFill>
        </w:rPr>
      </w:pPr>
      <w:r>
        <w:rPr>
          <w:bCs/>
          <w:color w:val="000000" w:themeColor="text1"/>
          <w:szCs w:val="28"/>
          <w:lang w:bidi="ar"/>
          <w14:textFill>
            <w14:solidFill>
              <w14:schemeClr w14:val="tx1"/>
            </w14:solidFill>
          </w14:textFill>
        </w:rPr>
        <w:t>最小工作线长度：</w:t>
      </w:r>
      <w:r>
        <w:rPr>
          <w:rFonts w:hint="eastAsia"/>
          <w:bCs/>
          <w:color w:val="000000" w:themeColor="text1"/>
          <w:szCs w:val="28"/>
          <w:lang w:bidi="ar"/>
          <w14:textFill>
            <w14:solidFill>
              <w14:schemeClr w14:val="tx1"/>
            </w14:solidFill>
          </w14:textFill>
        </w:rPr>
        <w:t>60</w:t>
      </w:r>
      <w:r>
        <w:rPr>
          <w:bCs/>
          <w:color w:val="000000" w:themeColor="text1"/>
          <w:szCs w:val="28"/>
          <w:lang w:bidi="ar"/>
          <w14:textFill>
            <w14:solidFill>
              <w14:schemeClr w14:val="tx1"/>
            </w14:solidFill>
          </w14:textFill>
        </w:rPr>
        <w:t>m；</w:t>
      </w:r>
    </w:p>
    <w:p w14:paraId="6A924398">
      <w:pPr>
        <w:topLinePunct/>
        <w:ind w:firstLine="560"/>
        <w:rPr>
          <w:color w:val="000000" w:themeColor="text1"/>
          <w:szCs w:val="28"/>
          <w:lang w:bidi="ar"/>
          <w14:textFill>
            <w14:solidFill>
              <w14:schemeClr w14:val="tx1"/>
            </w14:solidFill>
          </w14:textFill>
        </w:rPr>
      </w:pPr>
      <w:r>
        <w:rPr>
          <w:rFonts w:hint="eastAsia"/>
          <w:color w:val="000000" w:themeColor="text1"/>
          <w:szCs w:val="28"/>
          <w:lang w:bidi="ar"/>
          <w14:textFill>
            <w14:solidFill>
              <w14:schemeClr w14:val="tx1"/>
            </w14:solidFill>
          </w14:textFill>
        </w:rPr>
        <w:t>预留5m的安全</w:t>
      </w:r>
      <w:r>
        <w:rPr>
          <w:color w:val="000000" w:themeColor="text1"/>
          <w:szCs w:val="28"/>
          <w:lang w:bidi="ar"/>
          <w14:textFill>
            <w14:solidFill>
              <w14:schemeClr w14:val="tx1"/>
            </w14:solidFill>
          </w14:textFill>
        </w:rPr>
        <w:t>平台，</w:t>
      </w:r>
      <w:r>
        <w:rPr>
          <w:rFonts w:hint="eastAsia"/>
          <w:color w:val="000000" w:themeColor="text1"/>
          <w:szCs w:val="28"/>
          <w:lang w:bidi="ar"/>
          <w14:textFill>
            <w14:solidFill>
              <w14:schemeClr w14:val="tx1"/>
            </w14:solidFill>
          </w14:textFill>
        </w:rPr>
        <w:t>8m的清扫平台，两个安全平台之后设置一个</w:t>
      </w:r>
      <w:r>
        <w:rPr>
          <w:color w:val="000000" w:themeColor="text1"/>
          <w:szCs w:val="28"/>
          <w:lang w:bidi="ar"/>
          <w14:textFill>
            <w14:solidFill>
              <w14:schemeClr w14:val="tx1"/>
            </w14:solidFill>
          </w14:textFill>
        </w:rPr>
        <w:t>清扫平台</w:t>
      </w:r>
      <w:r>
        <w:rPr>
          <w:rFonts w:hint="eastAsia"/>
          <w:color w:val="000000" w:themeColor="text1"/>
          <w:szCs w:val="28"/>
          <w:lang w:bidi="ar"/>
          <w14:textFill>
            <w14:solidFill>
              <w14:schemeClr w14:val="tx1"/>
            </w14:solidFill>
          </w14:textFill>
        </w:rPr>
        <w:t>，采用机械清扫</w:t>
      </w:r>
      <w:r>
        <w:rPr>
          <w:color w:val="000000" w:themeColor="text1"/>
          <w:szCs w:val="28"/>
          <w:lang w:bidi="ar"/>
          <w14:textFill>
            <w14:solidFill>
              <w14:schemeClr w14:val="tx1"/>
            </w14:solidFill>
          </w14:textFill>
        </w:rPr>
        <w:t>。</w:t>
      </w:r>
    </w:p>
    <w:p w14:paraId="08381309">
      <w:pPr>
        <w:numPr>
          <w:ilvl w:val="0"/>
          <w:numId w:val="6"/>
        </w:numPr>
        <w:ind w:firstLine="560"/>
        <w:rPr>
          <w:color w:val="000000" w:themeColor="text1"/>
          <w14:textFill>
            <w14:solidFill>
              <w14:schemeClr w14:val="tx1"/>
            </w14:solidFill>
          </w14:textFill>
        </w:rPr>
      </w:pPr>
      <w:bookmarkStart w:id="1077" w:name="_Toc22450"/>
      <w:bookmarkStart w:id="1078" w:name="_Toc12524"/>
      <w:bookmarkStart w:id="1079" w:name="_Toc5682"/>
      <w:r>
        <w:rPr>
          <w:color w:val="000000" w:themeColor="text1"/>
          <w14:textFill>
            <w14:solidFill>
              <w14:schemeClr w14:val="tx1"/>
            </w14:solidFill>
          </w14:textFill>
        </w:rPr>
        <w:t>开采境界参数</w:t>
      </w:r>
      <w:bookmarkEnd w:id="1077"/>
      <w:bookmarkEnd w:id="1078"/>
      <w:bookmarkEnd w:id="1079"/>
    </w:p>
    <w:p w14:paraId="6A3EFA90">
      <w:pPr>
        <w:pStyle w:val="18"/>
        <w:ind w:left="56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t>开采境界参数</w:t>
      </w:r>
      <w:r>
        <w:rPr>
          <w:rFonts w:hint="eastAsia"/>
          <w:color w:val="000000" w:themeColor="text1"/>
          <w14:textFill>
            <w14:solidFill>
              <w14:schemeClr w14:val="tx1"/>
            </w14:solidFill>
          </w14:textFill>
        </w:rPr>
        <w:t>见表2.4.5。</w:t>
      </w:r>
    </w:p>
    <w:p w14:paraId="0D1F4C4B">
      <w:pPr>
        <w:ind w:firstLine="482"/>
        <w:jc w:val="center"/>
        <w:rPr>
          <w:b/>
          <w:bCs/>
          <w:color w:val="000000" w:themeColor="text1"/>
          <w:sz w:val="24"/>
          <w:lang w:val="zh-TW" w:eastAsia="zh-TW"/>
          <w14:textFill>
            <w14:solidFill>
              <w14:schemeClr w14:val="tx1"/>
            </w14:solidFill>
          </w14:textFill>
        </w:rPr>
      </w:pPr>
      <w:r>
        <w:rPr>
          <w:b/>
          <w:bCs/>
          <w:color w:val="000000" w:themeColor="text1"/>
          <w:sz w:val="24"/>
          <w:lang w:val="zh-TW" w:eastAsia="zh-TW"/>
          <w14:textFill>
            <w14:solidFill>
              <w14:schemeClr w14:val="tx1"/>
            </w14:solidFill>
          </w14:textFill>
        </w:rPr>
        <w:t>表</w:t>
      </w:r>
      <w:r>
        <w:rPr>
          <w:rFonts w:hint="eastAsia"/>
          <w:b/>
          <w:bCs/>
          <w:color w:val="000000" w:themeColor="text1"/>
          <w:sz w:val="24"/>
          <w14:textFill>
            <w14:solidFill>
              <w14:schemeClr w14:val="tx1"/>
            </w14:solidFill>
          </w14:textFill>
        </w:rPr>
        <w:t>2.4</w:t>
      </w:r>
      <w:r>
        <w:rPr>
          <w:b/>
          <w:bCs/>
          <w:color w:val="000000" w:themeColor="text1"/>
          <w:sz w:val="24"/>
          <w14:textFill>
            <w14:solidFill>
              <w14:schemeClr w14:val="tx1"/>
            </w14:solidFill>
          </w14:textFill>
        </w:rPr>
        <w:t xml:space="preserve">-5  </w:t>
      </w:r>
      <w:r>
        <w:rPr>
          <w:b/>
          <w:bCs/>
          <w:color w:val="000000" w:themeColor="text1"/>
          <w:sz w:val="24"/>
          <w:lang w:val="zh-TW" w:eastAsia="zh-TW"/>
          <w14:textFill>
            <w14:solidFill>
              <w14:schemeClr w14:val="tx1"/>
            </w14:solidFill>
          </w14:textFill>
        </w:rPr>
        <w:t>设计</w:t>
      </w:r>
      <w:r>
        <w:rPr>
          <w:b/>
          <w:bCs/>
          <w:color w:val="000000" w:themeColor="text1"/>
          <w:sz w:val="24"/>
          <w:lang w:val="zh-TW"/>
          <w14:textFill>
            <w14:solidFill>
              <w14:schemeClr w14:val="tx1"/>
            </w14:solidFill>
          </w14:textFill>
        </w:rPr>
        <w:t>开采境界</w:t>
      </w:r>
      <w:r>
        <w:rPr>
          <w:b/>
          <w:bCs/>
          <w:color w:val="000000" w:themeColor="text1"/>
          <w:sz w:val="24"/>
          <w:lang w:val="zh-TW" w:eastAsia="zh-TW"/>
          <w14:textFill>
            <w14:solidFill>
              <w14:schemeClr w14:val="tx1"/>
            </w14:solidFill>
          </w14:textFill>
        </w:rPr>
        <w:t>要素表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3856"/>
        <w:gridCol w:w="1101"/>
        <w:gridCol w:w="2609"/>
      </w:tblGrid>
      <w:tr w14:paraId="489F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40" w:type="dxa"/>
            <w:vAlign w:val="center"/>
          </w:tcPr>
          <w:p w14:paraId="04BE94E5">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 号</w:t>
            </w:r>
          </w:p>
        </w:tc>
        <w:tc>
          <w:tcPr>
            <w:tcW w:w="3856" w:type="dxa"/>
            <w:vAlign w:val="center"/>
          </w:tcPr>
          <w:p w14:paraId="1E62B8C9">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名 称</w:t>
            </w:r>
          </w:p>
        </w:tc>
        <w:tc>
          <w:tcPr>
            <w:tcW w:w="1101" w:type="dxa"/>
            <w:vAlign w:val="center"/>
          </w:tcPr>
          <w:p w14:paraId="4C57B536">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单 位</w:t>
            </w:r>
          </w:p>
        </w:tc>
        <w:tc>
          <w:tcPr>
            <w:tcW w:w="2609" w:type="dxa"/>
            <w:vAlign w:val="center"/>
          </w:tcPr>
          <w:p w14:paraId="5BCFA950">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数 值</w:t>
            </w:r>
          </w:p>
        </w:tc>
      </w:tr>
      <w:tr w14:paraId="2EFF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2364951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3856" w:type="dxa"/>
            <w:vAlign w:val="center"/>
          </w:tcPr>
          <w:p w14:paraId="64B7E725">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露天采场顶部标高</w:t>
            </w:r>
          </w:p>
        </w:tc>
        <w:tc>
          <w:tcPr>
            <w:tcW w:w="1101" w:type="dxa"/>
            <w:vAlign w:val="center"/>
          </w:tcPr>
          <w:p w14:paraId="7E2B7032">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637C34BC">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1430</w:t>
            </w:r>
          </w:p>
        </w:tc>
      </w:tr>
      <w:tr w14:paraId="2559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2C13836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3856" w:type="dxa"/>
            <w:vAlign w:val="center"/>
          </w:tcPr>
          <w:p w14:paraId="03A434AD">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露天采场底部标高</w:t>
            </w:r>
          </w:p>
        </w:tc>
        <w:tc>
          <w:tcPr>
            <w:tcW w:w="1101" w:type="dxa"/>
            <w:vAlign w:val="center"/>
          </w:tcPr>
          <w:p w14:paraId="4D857DCE">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15382114">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1300</w:t>
            </w:r>
          </w:p>
        </w:tc>
      </w:tr>
      <w:tr w14:paraId="5BE5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7EA3679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3856" w:type="dxa"/>
            <w:vAlign w:val="center"/>
          </w:tcPr>
          <w:p w14:paraId="5DC98A5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露天采场顶部台阶标高</w:t>
            </w:r>
          </w:p>
        </w:tc>
        <w:tc>
          <w:tcPr>
            <w:tcW w:w="1101" w:type="dxa"/>
            <w:vAlign w:val="center"/>
          </w:tcPr>
          <w:p w14:paraId="17CDACFD">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487216EA">
            <w:pPr>
              <w:pStyle w:val="71"/>
              <w:jc w:val="center"/>
              <w:rPr>
                <w:rFonts w:hint="default"/>
                <w:color w:val="000000" w:themeColor="text1"/>
                <w14:textFill>
                  <w14:solidFill>
                    <w14:schemeClr w14:val="tx1"/>
                  </w14:solidFill>
                </w14:textFill>
              </w:rPr>
            </w:pPr>
            <w:r>
              <w:rPr>
                <w:rFonts w:ascii="宋体" w:hAnsi="宋体" w:cs="宋体"/>
                <w:color w:val="000000" w:themeColor="text1"/>
                <w:sz w:val="20"/>
                <w14:textFill>
                  <w14:solidFill>
                    <w14:schemeClr w14:val="tx1"/>
                  </w14:solidFill>
                </w14:textFill>
              </w:rPr>
              <w:t>1420</w:t>
            </w:r>
          </w:p>
        </w:tc>
      </w:tr>
      <w:tr w14:paraId="2A5A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1CF1EC37">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3856" w:type="dxa"/>
            <w:vAlign w:val="center"/>
          </w:tcPr>
          <w:p w14:paraId="07FFBBD9">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露天采场终了最大开采高度</w:t>
            </w:r>
          </w:p>
        </w:tc>
        <w:tc>
          <w:tcPr>
            <w:tcW w:w="1101" w:type="dxa"/>
            <w:vAlign w:val="center"/>
          </w:tcPr>
          <w:p w14:paraId="78D61A58">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48BD89BF">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130</w:t>
            </w:r>
          </w:p>
        </w:tc>
      </w:tr>
      <w:tr w14:paraId="36F1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609F64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3856" w:type="dxa"/>
            <w:vAlign w:val="center"/>
          </w:tcPr>
          <w:p w14:paraId="5DF00E3F">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境界内保有资源量</w:t>
            </w:r>
          </w:p>
        </w:tc>
        <w:tc>
          <w:tcPr>
            <w:tcW w:w="1101" w:type="dxa"/>
            <w:vAlign w:val="center"/>
          </w:tcPr>
          <w:p w14:paraId="5D5F7687">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万m</w:t>
            </w:r>
            <w:r>
              <w:rPr>
                <w:rFonts w:hint="default"/>
                <w:color w:val="000000" w:themeColor="text1"/>
                <w:vertAlign w:val="superscript"/>
                <w14:textFill>
                  <w14:solidFill>
                    <w14:schemeClr w14:val="tx1"/>
                  </w14:solidFill>
                </w14:textFill>
              </w:rPr>
              <w:t>3</w:t>
            </w:r>
          </w:p>
        </w:tc>
        <w:tc>
          <w:tcPr>
            <w:tcW w:w="2609" w:type="dxa"/>
            <w:vAlign w:val="center"/>
          </w:tcPr>
          <w:p w14:paraId="32530B9C">
            <w:pPr>
              <w:pStyle w:val="71"/>
              <w:jc w:val="center"/>
              <w:rPr>
                <w:rFonts w:hint="default"/>
                <w:color w:val="000000" w:themeColor="text1"/>
                <w14:textFill>
                  <w14:solidFill>
                    <w14:schemeClr w14:val="tx1"/>
                  </w14:solidFill>
                </w14:textFill>
              </w:rPr>
            </w:pPr>
            <w:r>
              <w:rPr>
                <w:rFonts w:ascii="宋体" w:hAnsi="宋体" w:cs="宋体"/>
                <w:color w:val="000000" w:themeColor="text1"/>
                <w:sz w:val="20"/>
                <w14:textFill>
                  <w14:solidFill>
                    <w14:schemeClr w14:val="tx1"/>
                  </w14:solidFill>
                </w14:textFill>
              </w:rPr>
              <w:t>371.12</w:t>
            </w:r>
          </w:p>
        </w:tc>
      </w:tr>
      <w:tr w14:paraId="6B6E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5DA89A3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3856" w:type="dxa"/>
            <w:vAlign w:val="center"/>
          </w:tcPr>
          <w:p w14:paraId="2831ECE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类别</w:t>
            </w:r>
          </w:p>
        </w:tc>
        <w:tc>
          <w:tcPr>
            <w:tcW w:w="1101" w:type="dxa"/>
            <w:vAlign w:val="center"/>
          </w:tcPr>
          <w:p w14:paraId="1E5B26FA">
            <w:pPr>
              <w:pStyle w:val="71"/>
              <w:jc w:val="center"/>
              <w:rPr>
                <w:rFonts w:hint="default"/>
                <w:color w:val="000000" w:themeColor="text1"/>
                <w14:textFill>
                  <w14:solidFill>
                    <w14:schemeClr w14:val="tx1"/>
                  </w14:solidFill>
                </w14:textFill>
              </w:rPr>
            </w:pPr>
          </w:p>
        </w:tc>
        <w:tc>
          <w:tcPr>
            <w:tcW w:w="2609" w:type="dxa"/>
            <w:vAlign w:val="center"/>
          </w:tcPr>
          <w:p w14:paraId="29F3075C">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122b类</w:t>
            </w:r>
          </w:p>
        </w:tc>
      </w:tr>
      <w:tr w14:paraId="55F0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78E6C091">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w:t>
            </w:r>
          </w:p>
        </w:tc>
        <w:tc>
          <w:tcPr>
            <w:tcW w:w="3856" w:type="dxa"/>
            <w:vAlign w:val="center"/>
          </w:tcPr>
          <w:p w14:paraId="47766DF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资源利用系数</w:t>
            </w:r>
          </w:p>
        </w:tc>
        <w:tc>
          <w:tcPr>
            <w:tcW w:w="1101" w:type="dxa"/>
            <w:vAlign w:val="center"/>
          </w:tcPr>
          <w:p w14:paraId="256671BB">
            <w:pPr>
              <w:pStyle w:val="71"/>
              <w:jc w:val="center"/>
              <w:rPr>
                <w:rFonts w:hint="default"/>
                <w:color w:val="000000" w:themeColor="text1"/>
                <w14:textFill>
                  <w14:solidFill>
                    <w14:schemeClr w14:val="tx1"/>
                  </w14:solidFill>
                </w14:textFill>
              </w:rPr>
            </w:pPr>
          </w:p>
        </w:tc>
        <w:tc>
          <w:tcPr>
            <w:tcW w:w="2609" w:type="dxa"/>
            <w:vAlign w:val="center"/>
          </w:tcPr>
          <w:p w14:paraId="6625DF35">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w:t>
            </w:r>
          </w:p>
        </w:tc>
      </w:tr>
      <w:tr w14:paraId="3B1A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175AC421">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w:t>
            </w:r>
          </w:p>
        </w:tc>
        <w:tc>
          <w:tcPr>
            <w:tcW w:w="3856" w:type="dxa"/>
            <w:vAlign w:val="center"/>
          </w:tcPr>
          <w:p w14:paraId="1022D6C5">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开采境界内采出矿总量</w:t>
            </w:r>
          </w:p>
        </w:tc>
        <w:tc>
          <w:tcPr>
            <w:tcW w:w="1101" w:type="dxa"/>
            <w:vAlign w:val="center"/>
          </w:tcPr>
          <w:p w14:paraId="2396008F">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万m</w:t>
            </w:r>
            <w:r>
              <w:rPr>
                <w:rFonts w:hint="default"/>
                <w:color w:val="000000" w:themeColor="text1"/>
                <w:vertAlign w:val="superscript"/>
                <w14:textFill>
                  <w14:solidFill>
                    <w14:schemeClr w14:val="tx1"/>
                  </w14:solidFill>
                </w14:textFill>
              </w:rPr>
              <w:t>3</w:t>
            </w:r>
          </w:p>
        </w:tc>
        <w:tc>
          <w:tcPr>
            <w:tcW w:w="2609" w:type="dxa"/>
            <w:vAlign w:val="center"/>
          </w:tcPr>
          <w:p w14:paraId="4CA0423E">
            <w:pPr>
              <w:pStyle w:val="71"/>
              <w:jc w:val="center"/>
              <w:rPr>
                <w:rFonts w:hint="default"/>
                <w:color w:val="000000" w:themeColor="text1"/>
                <w14:textFill>
                  <w14:solidFill>
                    <w14:schemeClr w14:val="tx1"/>
                  </w14:solidFill>
                </w14:textFill>
              </w:rPr>
            </w:pPr>
            <w:r>
              <w:rPr>
                <w:rFonts w:ascii="宋体" w:hAnsi="宋体" w:cs="宋体"/>
                <w:color w:val="000000" w:themeColor="text1"/>
                <w:sz w:val="20"/>
                <w14:textFill>
                  <w14:solidFill>
                    <w14:schemeClr w14:val="tx1"/>
                  </w14:solidFill>
                </w14:textFill>
              </w:rPr>
              <w:t>184.37</w:t>
            </w:r>
          </w:p>
        </w:tc>
      </w:tr>
      <w:tr w14:paraId="6E4D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7608709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w:t>
            </w:r>
          </w:p>
        </w:tc>
        <w:tc>
          <w:tcPr>
            <w:tcW w:w="3856" w:type="dxa"/>
            <w:vAlign w:val="center"/>
          </w:tcPr>
          <w:p w14:paraId="3CD3438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采矿回收率</w:t>
            </w:r>
          </w:p>
        </w:tc>
        <w:tc>
          <w:tcPr>
            <w:tcW w:w="1101" w:type="dxa"/>
            <w:vAlign w:val="center"/>
          </w:tcPr>
          <w:p w14:paraId="0FD2EF76">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2609" w:type="dxa"/>
            <w:vAlign w:val="center"/>
          </w:tcPr>
          <w:p w14:paraId="2A392BAE">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95</w:t>
            </w:r>
          </w:p>
        </w:tc>
      </w:tr>
      <w:tr w14:paraId="1803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2C4E0B1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w:t>
            </w:r>
          </w:p>
        </w:tc>
        <w:tc>
          <w:tcPr>
            <w:tcW w:w="3856" w:type="dxa"/>
            <w:vAlign w:val="center"/>
          </w:tcPr>
          <w:p w14:paraId="490B9C29">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最终帮坡角</w:t>
            </w:r>
          </w:p>
        </w:tc>
        <w:tc>
          <w:tcPr>
            <w:tcW w:w="1101" w:type="dxa"/>
            <w:vAlign w:val="center"/>
          </w:tcPr>
          <w:p w14:paraId="5D72BCF1">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2609" w:type="dxa"/>
            <w:vAlign w:val="center"/>
          </w:tcPr>
          <w:p w14:paraId="15C7408C">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51</w:t>
            </w:r>
          </w:p>
        </w:tc>
      </w:tr>
      <w:tr w14:paraId="20E9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6931928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11</w:t>
            </w:r>
          </w:p>
        </w:tc>
        <w:tc>
          <w:tcPr>
            <w:tcW w:w="3856" w:type="dxa"/>
            <w:vAlign w:val="center"/>
          </w:tcPr>
          <w:p w14:paraId="2DCFC4D9">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工作台阶坡面角</w:t>
            </w:r>
          </w:p>
        </w:tc>
        <w:tc>
          <w:tcPr>
            <w:tcW w:w="1101" w:type="dxa"/>
            <w:vAlign w:val="center"/>
          </w:tcPr>
          <w:p w14:paraId="16BF9752">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2609" w:type="dxa"/>
            <w:vAlign w:val="center"/>
          </w:tcPr>
          <w:p w14:paraId="4F1CDA23">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90</w:t>
            </w:r>
          </w:p>
        </w:tc>
      </w:tr>
      <w:tr w14:paraId="65B6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32C0E588">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12</w:t>
            </w:r>
          </w:p>
        </w:tc>
        <w:tc>
          <w:tcPr>
            <w:tcW w:w="3856" w:type="dxa"/>
            <w:vAlign w:val="center"/>
          </w:tcPr>
          <w:p w14:paraId="2D326A0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靠帮台阶坡面角</w:t>
            </w:r>
          </w:p>
        </w:tc>
        <w:tc>
          <w:tcPr>
            <w:tcW w:w="1101" w:type="dxa"/>
            <w:vAlign w:val="center"/>
          </w:tcPr>
          <w:p w14:paraId="02194271">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2609" w:type="dxa"/>
            <w:vAlign w:val="center"/>
          </w:tcPr>
          <w:p w14:paraId="1E16A49F">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r>
              <w:rPr>
                <w:color w:val="000000" w:themeColor="text1"/>
                <w14:textFill>
                  <w14:solidFill>
                    <w14:schemeClr w14:val="tx1"/>
                  </w14:solidFill>
                </w14:textFill>
              </w:rPr>
              <w:t>5</w:t>
            </w:r>
          </w:p>
        </w:tc>
      </w:tr>
      <w:tr w14:paraId="40FC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1892E111">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13</w:t>
            </w:r>
          </w:p>
        </w:tc>
        <w:tc>
          <w:tcPr>
            <w:tcW w:w="3856" w:type="dxa"/>
            <w:vAlign w:val="center"/>
          </w:tcPr>
          <w:p w14:paraId="55D1106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工作台阶高度</w:t>
            </w:r>
          </w:p>
        </w:tc>
        <w:tc>
          <w:tcPr>
            <w:tcW w:w="1101" w:type="dxa"/>
            <w:vAlign w:val="center"/>
          </w:tcPr>
          <w:p w14:paraId="50704232">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7DA86A20">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15</w:t>
            </w:r>
          </w:p>
        </w:tc>
      </w:tr>
      <w:tr w14:paraId="6A82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2BD7DD7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14</w:t>
            </w:r>
          </w:p>
        </w:tc>
        <w:tc>
          <w:tcPr>
            <w:tcW w:w="3856" w:type="dxa"/>
            <w:vAlign w:val="center"/>
          </w:tcPr>
          <w:p w14:paraId="13577EEA">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安全平台宽度</w:t>
            </w:r>
          </w:p>
        </w:tc>
        <w:tc>
          <w:tcPr>
            <w:tcW w:w="1101" w:type="dxa"/>
            <w:vAlign w:val="center"/>
          </w:tcPr>
          <w:p w14:paraId="1EAC8D55">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5CB6C3CE">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r>
      <w:tr w14:paraId="5B27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2D44B7B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15</w:t>
            </w:r>
          </w:p>
        </w:tc>
        <w:tc>
          <w:tcPr>
            <w:tcW w:w="3856" w:type="dxa"/>
            <w:vAlign w:val="center"/>
          </w:tcPr>
          <w:p w14:paraId="404939F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清扫平台宽度</w:t>
            </w:r>
          </w:p>
        </w:tc>
        <w:tc>
          <w:tcPr>
            <w:tcW w:w="1101" w:type="dxa"/>
            <w:vAlign w:val="center"/>
          </w:tcPr>
          <w:p w14:paraId="5441283F">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w:t>
            </w:r>
          </w:p>
        </w:tc>
        <w:tc>
          <w:tcPr>
            <w:tcW w:w="2609" w:type="dxa"/>
            <w:vAlign w:val="center"/>
          </w:tcPr>
          <w:p w14:paraId="62B1D439">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r>
      <w:tr w14:paraId="1AA8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40" w:type="dxa"/>
            <w:vAlign w:val="center"/>
          </w:tcPr>
          <w:p w14:paraId="144C98B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16</w:t>
            </w:r>
          </w:p>
        </w:tc>
        <w:tc>
          <w:tcPr>
            <w:tcW w:w="3856" w:type="dxa"/>
            <w:vAlign w:val="center"/>
          </w:tcPr>
          <w:p w14:paraId="598BED49">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剥采比</w:t>
            </w:r>
          </w:p>
        </w:tc>
        <w:tc>
          <w:tcPr>
            <w:tcW w:w="1101" w:type="dxa"/>
            <w:vAlign w:val="center"/>
          </w:tcPr>
          <w:p w14:paraId="681B01ED">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t</w:t>
            </w:r>
            <w:r>
              <w:rPr>
                <w:rFonts w:hint="default"/>
                <w:color w:val="000000" w:themeColor="text1"/>
                <w14:textFill>
                  <w14:solidFill>
                    <w14:schemeClr w14:val="tx1"/>
                  </w14:solidFill>
                </w14:textFill>
              </w:rPr>
              <w:t>/</w:t>
            </w:r>
            <w:r>
              <w:rPr>
                <w:color w:val="000000" w:themeColor="text1"/>
                <w14:textFill>
                  <w14:solidFill>
                    <w14:schemeClr w14:val="tx1"/>
                  </w14:solidFill>
                </w14:textFill>
              </w:rPr>
              <w:t>t</w:t>
            </w:r>
          </w:p>
        </w:tc>
        <w:tc>
          <w:tcPr>
            <w:tcW w:w="2609" w:type="dxa"/>
            <w:vAlign w:val="center"/>
          </w:tcPr>
          <w:p w14:paraId="6F25DD54">
            <w:pPr>
              <w:pStyle w:val="71"/>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w:t>
            </w:r>
            <w:r>
              <w:rPr>
                <w:color w:val="000000" w:themeColor="text1"/>
                <w14:textFill>
                  <w14:solidFill>
                    <w14:schemeClr w14:val="tx1"/>
                  </w14:solidFill>
                </w14:textFill>
              </w:rPr>
              <w:t>.005</w:t>
            </w:r>
          </w:p>
        </w:tc>
      </w:tr>
    </w:tbl>
    <w:p w14:paraId="56C75F33">
      <w:pPr>
        <w:pStyle w:val="6"/>
        <w:spacing w:before="240" w:beforeLines="100" w:after="120"/>
        <w:rPr>
          <w:color w:val="000000" w:themeColor="text1"/>
          <w:lang w:val="zh-TW" w:eastAsia="zh-TW"/>
          <w14:textFill>
            <w14:solidFill>
              <w14:schemeClr w14:val="tx1"/>
            </w14:solidFill>
          </w14:textFill>
        </w:rPr>
      </w:pPr>
      <w:bookmarkStart w:id="1080" w:name="_Toc215070189"/>
      <w:bookmarkStart w:id="1081" w:name="_Toc16773"/>
      <w:bookmarkStart w:id="1082" w:name="_Toc5620"/>
      <w:bookmarkStart w:id="1083" w:name="_Toc501"/>
      <w:bookmarkStart w:id="1084" w:name="_Toc28305"/>
      <w:bookmarkStart w:id="1085" w:name="_Toc29779"/>
      <w:bookmarkStart w:id="1086" w:name="_Toc2190"/>
      <w:bookmarkStart w:id="1087" w:name="_Toc16560"/>
      <w:bookmarkStart w:id="1088" w:name="_Toc22461"/>
      <w:r>
        <w:rPr>
          <w:rFonts w:hint="eastAsia"/>
          <w:color w:val="000000" w:themeColor="text1"/>
          <w14:textFill>
            <w14:solidFill>
              <w14:schemeClr w14:val="tx1"/>
            </w14:solidFill>
          </w14:textFill>
        </w:rPr>
        <w:t>2.4.4.5</w:t>
      </w:r>
      <w:r>
        <w:rPr>
          <w:color w:val="000000" w:themeColor="text1"/>
          <w:lang w:val="zh-TW" w:eastAsia="zh-TW"/>
          <w14:textFill>
            <w14:solidFill>
              <w14:schemeClr w14:val="tx1"/>
            </w14:solidFill>
          </w14:textFill>
        </w:rPr>
        <w:t>设计圈定矿量</w:t>
      </w:r>
      <w:bookmarkEnd w:id="1080"/>
      <w:bookmarkEnd w:id="1081"/>
      <w:bookmarkEnd w:id="1082"/>
      <w:bookmarkEnd w:id="1083"/>
      <w:bookmarkEnd w:id="1084"/>
      <w:bookmarkEnd w:id="1085"/>
      <w:bookmarkEnd w:id="1086"/>
      <w:bookmarkEnd w:id="1087"/>
      <w:bookmarkEnd w:id="1088"/>
    </w:p>
    <w:p w14:paraId="399C0F3B">
      <w:pPr>
        <w:adjustRightInd w:val="0"/>
        <w:snapToGrid w:val="0"/>
        <w:ind w:firstLine="420" w:firstLineChars="150"/>
        <w:jc w:val="both"/>
        <w:rPr>
          <w:color w:val="000000" w:themeColor="text1"/>
          <w:szCs w:val="28"/>
          <w14:textFill>
            <w14:solidFill>
              <w14:schemeClr w14:val="tx1"/>
            </w14:solidFill>
          </w14:textFill>
        </w:rPr>
      </w:pPr>
      <w:r>
        <w:rPr>
          <w:color w:val="000000" w:themeColor="text1"/>
          <w14:textFill>
            <w14:solidFill>
              <w14:schemeClr w14:val="tx1"/>
            </w14:solidFill>
          </w14:textFill>
        </w:rPr>
        <w:t>对于原料矿山，圈定的可采矿理应全部采出，但考虑到在生产中的开采损失一般为</w:t>
      </w:r>
      <w:r>
        <w:rPr>
          <w:color w:val="000000" w:themeColor="text1"/>
          <w:lang w:val="zh-TW"/>
          <w14:textFill>
            <w14:solidFill>
              <w14:schemeClr w14:val="tx1"/>
            </w14:solidFill>
          </w14:textFill>
        </w:rPr>
        <w:t>1%～4</w:t>
      </w:r>
      <w:r>
        <w:rPr>
          <w:color w:val="000000" w:themeColor="text1"/>
          <w14:textFill>
            <w14:solidFill>
              <w14:schemeClr w14:val="tx1"/>
            </w14:solidFill>
          </w14:textFill>
        </w:rPr>
        <w:t>%，运输损失一般为0.5%</w:t>
      </w:r>
      <w:r>
        <w:rPr>
          <w:color w:val="000000" w:themeColor="text1"/>
          <w:lang w:val="zh-TW"/>
          <w14:textFill>
            <w14:solidFill>
              <w14:schemeClr w14:val="tx1"/>
            </w14:solidFill>
          </w14:textFill>
        </w:rPr>
        <w:t>～</w:t>
      </w:r>
      <w:r>
        <w:rPr>
          <w:color w:val="000000" w:themeColor="text1"/>
          <w14:textFill>
            <w14:solidFill>
              <w14:schemeClr w14:val="tx1"/>
            </w14:solidFill>
          </w14:textFill>
        </w:rPr>
        <w:t>3%。而这些损失的一部分还可以在矿山后续开采时间收利用。考虑矿体采矿方法的损失率2%，无贫化。采出矿石量</w:t>
      </w:r>
      <w:r>
        <w:rPr>
          <w:rFonts w:hint="eastAsia"/>
          <w:snapToGrid w:val="0"/>
          <w:color w:val="000000" w:themeColor="text1"/>
          <w:kern w:val="0"/>
          <w:szCs w:val="28"/>
          <w14:textFill>
            <w14:solidFill>
              <w14:schemeClr w14:val="tx1"/>
            </w14:solidFill>
          </w14:textFill>
        </w:rPr>
        <w:t>184.37万m</w:t>
      </w:r>
      <w:r>
        <w:rPr>
          <w:rFonts w:hint="eastAsia"/>
          <w:snapToGrid w:val="0"/>
          <w:color w:val="000000" w:themeColor="text1"/>
          <w:kern w:val="0"/>
          <w:szCs w:val="28"/>
          <w:vertAlign w:val="superscript"/>
          <w14:textFill>
            <w14:solidFill>
              <w14:schemeClr w14:val="tx1"/>
            </w14:solidFill>
          </w14:textFill>
        </w:rPr>
        <w:t>3</w:t>
      </w:r>
      <w:r>
        <w:rPr>
          <w:rFonts w:hint="eastAsia"/>
          <w:snapToGrid w:val="0"/>
          <w:color w:val="000000" w:themeColor="text1"/>
          <w:kern w:val="0"/>
          <w:szCs w:val="28"/>
          <w14:textFill>
            <w14:solidFill>
              <w14:schemeClr w14:val="tx1"/>
            </w14:solidFill>
          </w14:textFill>
        </w:rPr>
        <w:t>（479.36万t）</w:t>
      </w:r>
      <w:r>
        <w:rPr>
          <w:color w:val="000000" w:themeColor="text1"/>
          <w14:textFill>
            <w14:solidFill>
              <w14:schemeClr w14:val="tx1"/>
            </w14:solidFill>
          </w14:textFill>
        </w:rPr>
        <w:t>。</w:t>
      </w:r>
      <w:r>
        <w:rPr>
          <w:color w:val="000000" w:themeColor="text1"/>
          <w:szCs w:val="28"/>
          <w14:textFill>
            <w14:solidFill>
              <w14:schemeClr w14:val="tx1"/>
            </w14:solidFill>
          </w14:textFill>
        </w:rPr>
        <w:t>开采矿山剥采比为0</w:t>
      </w:r>
      <w:r>
        <w:rPr>
          <w:rFonts w:hint="eastAsia"/>
          <w:color w:val="000000" w:themeColor="text1"/>
          <w:szCs w:val="28"/>
          <w14:textFill>
            <w14:solidFill>
              <w14:schemeClr w14:val="tx1"/>
            </w14:solidFill>
          </w14:textFill>
        </w:rPr>
        <w:t>.005</w:t>
      </w:r>
      <w:r>
        <w:rPr>
          <w:color w:val="000000" w:themeColor="text1"/>
          <w:szCs w:val="28"/>
          <w14:textFill>
            <w14:solidFill>
              <w14:schemeClr w14:val="tx1"/>
            </w14:solidFill>
          </w14:textFill>
        </w:rPr>
        <w:t>（m³/m³），则矿山的总剥采量具体见下表。</w:t>
      </w:r>
    </w:p>
    <w:p w14:paraId="33010CE5">
      <w:pPr>
        <w:adjustRightInd w:val="0"/>
        <w:snapToGrid w:val="0"/>
        <w:spacing w:line="240" w:lineRule="auto"/>
        <w:ind w:firstLine="484" w:firstLineChars="201"/>
        <w:jc w:val="center"/>
        <w:rPr>
          <w:b/>
          <w:bCs/>
          <w:color w:val="000000" w:themeColor="text1"/>
          <w:sz w:val="24"/>
          <w:lang w:val="zh-TW" w:eastAsia="zh-TW"/>
          <w14:textFill>
            <w14:solidFill>
              <w14:schemeClr w14:val="tx1"/>
            </w14:solidFill>
          </w14:textFill>
        </w:rPr>
      </w:pPr>
      <w:r>
        <w:rPr>
          <w:b/>
          <w:bCs/>
          <w:color w:val="000000" w:themeColor="text1"/>
          <w:sz w:val="24"/>
          <w:lang w:val="zh-TW" w:eastAsia="zh-TW"/>
          <w14:textFill>
            <w14:solidFill>
              <w14:schemeClr w14:val="tx1"/>
            </w14:solidFill>
          </w14:textFill>
        </w:rPr>
        <w:t>表</w:t>
      </w:r>
      <w:r>
        <w:rPr>
          <w:rFonts w:hint="eastAsia"/>
          <w:b/>
          <w:bCs/>
          <w:color w:val="000000" w:themeColor="text1"/>
          <w:sz w:val="24"/>
          <w14:textFill>
            <w14:solidFill>
              <w14:schemeClr w14:val="tx1"/>
            </w14:solidFill>
          </w14:textFill>
        </w:rPr>
        <w:t>2.4</w:t>
      </w:r>
      <w:r>
        <w:rPr>
          <w:b/>
          <w:bCs/>
          <w:color w:val="000000" w:themeColor="text1"/>
          <w:sz w:val="24"/>
          <w14:textFill>
            <w14:solidFill>
              <w14:schemeClr w14:val="tx1"/>
            </w14:solidFill>
          </w14:textFill>
        </w:rPr>
        <w:t xml:space="preserve">-6  </w:t>
      </w:r>
      <w:r>
        <w:rPr>
          <w:b/>
          <w:bCs/>
          <w:color w:val="000000" w:themeColor="text1"/>
          <w:sz w:val="24"/>
          <w:lang w:val="zh-TW"/>
          <w14:textFill>
            <w14:solidFill>
              <w14:schemeClr w14:val="tx1"/>
            </w14:solidFill>
          </w14:textFill>
        </w:rPr>
        <w:t>开采</w:t>
      </w:r>
      <w:r>
        <w:rPr>
          <w:b/>
          <w:bCs/>
          <w:color w:val="000000" w:themeColor="text1"/>
          <w:sz w:val="24"/>
          <w:lang w:val="zh-TW" w:eastAsia="zh-TW"/>
          <w14:textFill>
            <w14:solidFill>
              <w14:schemeClr w14:val="tx1"/>
            </w14:solidFill>
          </w14:textFill>
        </w:rPr>
        <w:t>境界设计</w:t>
      </w:r>
      <w:r>
        <w:rPr>
          <w:b/>
          <w:bCs/>
          <w:color w:val="000000" w:themeColor="text1"/>
          <w:sz w:val="24"/>
          <w:lang w:val="zh-TW"/>
          <w14:textFill>
            <w14:solidFill>
              <w14:schemeClr w14:val="tx1"/>
            </w14:solidFill>
          </w14:textFill>
        </w:rPr>
        <w:t>采出</w:t>
      </w:r>
      <w:r>
        <w:rPr>
          <w:b/>
          <w:bCs/>
          <w:color w:val="000000" w:themeColor="text1"/>
          <w:sz w:val="24"/>
          <w:lang w:val="zh-TW" w:eastAsia="zh-TW"/>
          <w14:textFill>
            <w14:solidFill>
              <w14:schemeClr w14:val="tx1"/>
            </w14:solidFill>
          </w14:textFill>
        </w:rPr>
        <w:t>各台阶矿岩量</w:t>
      </w:r>
      <w:r>
        <w:rPr>
          <w:b/>
          <w:bCs/>
          <w:color w:val="000000" w:themeColor="text1"/>
          <w:sz w:val="24"/>
          <w:lang w:val="zh-TW"/>
          <w14:textFill>
            <w14:solidFill>
              <w14:schemeClr w14:val="tx1"/>
            </w14:solidFill>
          </w14:textFill>
        </w:rPr>
        <w:t>及剥离</w:t>
      </w:r>
      <w:r>
        <w:rPr>
          <w:b/>
          <w:bCs/>
          <w:color w:val="000000" w:themeColor="text1"/>
          <w:sz w:val="24"/>
          <w:lang w:val="zh-TW" w:eastAsia="zh-TW"/>
          <w14:textFill>
            <w14:solidFill>
              <w14:schemeClr w14:val="tx1"/>
            </w14:solidFill>
          </w14:textFill>
        </w:rPr>
        <w:t>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1638"/>
        <w:gridCol w:w="1445"/>
        <w:gridCol w:w="1276"/>
        <w:gridCol w:w="743"/>
        <w:gridCol w:w="583"/>
        <w:gridCol w:w="1146"/>
        <w:gridCol w:w="1146"/>
      </w:tblGrid>
      <w:tr w14:paraId="337C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05" w:type="dxa"/>
            <w:vMerge w:val="restart"/>
            <w:tcMar>
              <w:top w:w="12" w:type="dxa"/>
              <w:left w:w="12" w:type="dxa"/>
              <w:right w:w="12" w:type="dxa"/>
            </w:tcMar>
            <w:vAlign w:val="center"/>
          </w:tcPr>
          <w:p w14:paraId="4A588B73">
            <w:pPr>
              <w:widowControl/>
              <w:adjustRightInd w:val="0"/>
              <w:snapToGrid w:val="0"/>
              <w:spacing w:line="240" w:lineRule="auto"/>
              <w:ind w:firstLine="0" w:firstLineChars="0"/>
              <w:jc w:val="center"/>
              <w:textAlignment w:val="center"/>
              <w:rPr>
                <w:rFonts w:hint="eastAsia" w:ascii="宋体" w:hAnsi="宋体" w:cs="宋体"/>
                <w:b/>
                <w:bCs/>
                <w:color w:val="000000" w:themeColor="text1"/>
                <w:kern w:val="0"/>
                <w:sz w:val="20"/>
                <w:szCs w:val="20"/>
                <w:highlight w:val="yellow"/>
                <w:lang w:bidi="ar"/>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序号</w:t>
            </w:r>
          </w:p>
        </w:tc>
        <w:tc>
          <w:tcPr>
            <w:tcW w:w="1638" w:type="dxa"/>
            <w:vMerge w:val="restart"/>
            <w:tcMar>
              <w:top w:w="12" w:type="dxa"/>
              <w:left w:w="12" w:type="dxa"/>
              <w:right w:w="12" w:type="dxa"/>
            </w:tcMar>
            <w:vAlign w:val="center"/>
          </w:tcPr>
          <w:p w14:paraId="41EAA7F3">
            <w:pPr>
              <w:widowControl/>
              <w:adjustRightInd w:val="0"/>
              <w:snapToGrid w:val="0"/>
              <w:spacing w:line="240" w:lineRule="auto"/>
              <w:ind w:firstLine="0" w:firstLineChars="0"/>
              <w:jc w:val="center"/>
              <w:textAlignment w:val="center"/>
              <w:rPr>
                <w:rFonts w:hint="eastAsia" w:ascii="宋体" w:hAnsi="宋体" w:cs="宋体"/>
                <w:b/>
                <w:bCs/>
                <w:color w:val="000000" w:themeColor="text1"/>
                <w:sz w:val="20"/>
                <w:szCs w:val="20"/>
                <w:highlight w:val="yellow"/>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台阶标高（m）</w:t>
            </w:r>
          </w:p>
        </w:tc>
        <w:tc>
          <w:tcPr>
            <w:tcW w:w="2721" w:type="dxa"/>
            <w:gridSpan w:val="2"/>
            <w:tcMar>
              <w:top w:w="12" w:type="dxa"/>
              <w:left w:w="12" w:type="dxa"/>
              <w:right w:w="12" w:type="dxa"/>
            </w:tcMar>
            <w:vAlign w:val="center"/>
          </w:tcPr>
          <w:p w14:paraId="6239E1B4">
            <w:pPr>
              <w:widowControl/>
              <w:adjustRightInd w:val="0"/>
              <w:snapToGrid w:val="0"/>
              <w:spacing w:line="240" w:lineRule="auto"/>
              <w:ind w:firstLine="0" w:firstLineChars="0"/>
              <w:jc w:val="center"/>
              <w:textAlignment w:val="center"/>
              <w:rPr>
                <w:rFonts w:hint="eastAsia" w:ascii="宋体" w:hAnsi="宋体" w:cs="宋体"/>
                <w:b/>
                <w:bCs/>
                <w:color w:val="000000" w:themeColor="text1"/>
                <w:kern w:val="0"/>
                <w:sz w:val="20"/>
                <w:szCs w:val="20"/>
                <w:highlight w:val="yellow"/>
                <w:lang w:bidi="ar"/>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采出矿石量</w:t>
            </w:r>
          </w:p>
        </w:tc>
        <w:tc>
          <w:tcPr>
            <w:tcW w:w="1326" w:type="dxa"/>
            <w:gridSpan w:val="2"/>
            <w:tcMar>
              <w:top w:w="12" w:type="dxa"/>
              <w:left w:w="12" w:type="dxa"/>
              <w:right w:w="12" w:type="dxa"/>
            </w:tcMar>
            <w:vAlign w:val="center"/>
          </w:tcPr>
          <w:p w14:paraId="61949AB8">
            <w:pPr>
              <w:widowControl/>
              <w:adjustRightInd w:val="0"/>
              <w:snapToGrid w:val="0"/>
              <w:spacing w:line="240" w:lineRule="auto"/>
              <w:ind w:firstLine="0" w:firstLineChars="0"/>
              <w:jc w:val="center"/>
              <w:textAlignment w:val="center"/>
              <w:rPr>
                <w:rFonts w:hint="eastAsia" w:ascii="宋体" w:hAnsi="宋体" w:cs="宋体"/>
                <w:b/>
                <w:bCs/>
                <w:color w:val="000000" w:themeColor="text1"/>
                <w:sz w:val="20"/>
                <w:szCs w:val="20"/>
                <w:highlight w:val="yellow"/>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剥采比</w:t>
            </w:r>
          </w:p>
        </w:tc>
        <w:tc>
          <w:tcPr>
            <w:tcW w:w="2292" w:type="dxa"/>
            <w:gridSpan w:val="2"/>
            <w:tcMar>
              <w:top w:w="12" w:type="dxa"/>
              <w:left w:w="12" w:type="dxa"/>
              <w:right w:w="12" w:type="dxa"/>
            </w:tcMar>
            <w:vAlign w:val="center"/>
          </w:tcPr>
          <w:p w14:paraId="1D006701">
            <w:pPr>
              <w:widowControl/>
              <w:adjustRightInd w:val="0"/>
              <w:snapToGrid w:val="0"/>
              <w:spacing w:line="240" w:lineRule="auto"/>
              <w:ind w:firstLine="0" w:firstLineChars="0"/>
              <w:jc w:val="center"/>
              <w:textAlignment w:val="center"/>
              <w:rPr>
                <w:rFonts w:hint="eastAsia" w:ascii="宋体" w:hAnsi="宋体" w:cs="宋体"/>
                <w:b/>
                <w:bCs/>
                <w:color w:val="000000" w:themeColor="text1"/>
                <w:kern w:val="0"/>
                <w:sz w:val="20"/>
                <w:szCs w:val="20"/>
                <w:highlight w:val="yellow"/>
                <w:lang w:bidi="ar"/>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剥离量</w:t>
            </w:r>
          </w:p>
        </w:tc>
      </w:tr>
      <w:tr w14:paraId="2797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05" w:type="dxa"/>
            <w:vMerge w:val="continue"/>
            <w:tcMar>
              <w:top w:w="12" w:type="dxa"/>
              <w:left w:w="12" w:type="dxa"/>
              <w:right w:w="12" w:type="dxa"/>
            </w:tcMar>
            <w:vAlign w:val="center"/>
          </w:tcPr>
          <w:p w14:paraId="411F0124">
            <w:pPr>
              <w:adjustRightInd w:val="0"/>
              <w:snapToGrid w:val="0"/>
              <w:spacing w:line="240" w:lineRule="auto"/>
              <w:ind w:firstLine="0" w:firstLineChars="0"/>
              <w:jc w:val="center"/>
              <w:rPr>
                <w:rFonts w:hint="eastAsia" w:ascii="宋体" w:hAnsi="宋体" w:cs="宋体"/>
                <w:b/>
                <w:bCs/>
                <w:color w:val="000000" w:themeColor="text1"/>
                <w:sz w:val="20"/>
                <w:szCs w:val="20"/>
                <w:highlight w:val="yellow"/>
                <w14:textFill>
                  <w14:solidFill>
                    <w14:schemeClr w14:val="tx1"/>
                  </w14:solidFill>
                </w14:textFill>
              </w:rPr>
            </w:pPr>
          </w:p>
        </w:tc>
        <w:tc>
          <w:tcPr>
            <w:tcW w:w="1638" w:type="dxa"/>
            <w:vMerge w:val="continue"/>
            <w:tcMar>
              <w:top w:w="12" w:type="dxa"/>
              <w:left w:w="12" w:type="dxa"/>
              <w:right w:w="12" w:type="dxa"/>
            </w:tcMar>
            <w:vAlign w:val="center"/>
          </w:tcPr>
          <w:p w14:paraId="5D7B9386">
            <w:pPr>
              <w:adjustRightInd w:val="0"/>
              <w:snapToGrid w:val="0"/>
              <w:spacing w:line="240" w:lineRule="auto"/>
              <w:ind w:firstLine="0" w:firstLineChars="0"/>
              <w:jc w:val="center"/>
              <w:rPr>
                <w:rFonts w:hint="eastAsia" w:ascii="宋体" w:hAnsi="宋体" w:cs="宋体"/>
                <w:b/>
                <w:bCs/>
                <w:color w:val="000000" w:themeColor="text1"/>
                <w:sz w:val="20"/>
                <w:szCs w:val="20"/>
                <w:highlight w:val="yellow"/>
                <w14:textFill>
                  <w14:solidFill>
                    <w14:schemeClr w14:val="tx1"/>
                  </w14:solidFill>
                </w14:textFill>
              </w:rPr>
            </w:pPr>
          </w:p>
        </w:tc>
        <w:tc>
          <w:tcPr>
            <w:tcW w:w="1445" w:type="dxa"/>
            <w:tcMar>
              <w:top w:w="12" w:type="dxa"/>
              <w:left w:w="12" w:type="dxa"/>
              <w:right w:w="12" w:type="dxa"/>
            </w:tcMar>
            <w:vAlign w:val="center"/>
          </w:tcPr>
          <w:p w14:paraId="68D76686">
            <w:pPr>
              <w:widowControl/>
              <w:adjustRightInd w:val="0"/>
              <w:snapToGrid w:val="0"/>
              <w:spacing w:line="240" w:lineRule="auto"/>
              <w:ind w:firstLine="0" w:firstLineChars="0"/>
              <w:jc w:val="center"/>
              <w:textAlignment w:val="center"/>
              <w:rPr>
                <w:rFonts w:hint="eastAsia" w:ascii="宋体" w:hAnsi="宋体" w:cs="宋体"/>
                <w:b/>
                <w:bCs/>
                <w:color w:val="000000" w:themeColor="text1"/>
                <w:sz w:val="20"/>
                <w:szCs w:val="20"/>
                <w:highlight w:val="yellow"/>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（万t）</w:t>
            </w:r>
          </w:p>
        </w:tc>
        <w:tc>
          <w:tcPr>
            <w:tcW w:w="1276" w:type="dxa"/>
            <w:tcMar>
              <w:top w:w="12" w:type="dxa"/>
              <w:left w:w="12" w:type="dxa"/>
              <w:right w:w="12" w:type="dxa"/>
            </w:tcMar>
            <w:vAlign w:val="center"/>
          </w:tcPr>
          <w:p w14:paraId="2A8523A2">
            <w:pPr>
              <w:widowControl/>
              <w:adjustRightInd w:val="0"/>
              <w:snapToGrid w:val="0"/>
              <w:spacing w:line="240" w:lineRule="auto"/>
              <w:ind w:firstLine="0" w:firstLineChars="0"/>
              <w:jc w:val="center"/>
              <w:textAlignment w:val="center"/>
              <w:rPr>
                <w:rFonts w:hint="eastAsia" w:ascii="宋体" w:hAnsi="宋体" w:cs="宋体"/>
                <w:b/>
                <w:bCs/>
                <w:color w:val="000000" w:themeColor="text1"/>
                <w:kern w:val="0"/>
                <w:sz w:val="20"/>
                <w:szCs w:val="20"/>
                <w:highlight w:val="yellow"/>
                <w:lang w:bidi="ar"/>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（万m</w:t>
            </w:r>
            <w:r>
              <w:rPr>
                <w:rFonts w:hint="eastAsia" w:ascii="宋体" w:hAnsi="宋体" w:cs="宋体"/>
                <w:b/>
                <w:bCs/>
                <w:color w:val="000000" w:themeColor="text1"/>
                <w:kern w:val="0"/>
                <w:sz w:val="20"/>
                <w:szCs w:val="20"/>
                <w:vertAlign w:val="superscript"/>
                <w:lang w:bidi="ar"/>
                <w14:textFill>
                  <w14:solidFill>
                    <w14:schemeClr w14:val="tx1"/>
                  </w14:solidFill>
                </w14:textFill>
              </w:rPr>
              <w:t>3</w:t>
            </w:r>
            <w:r>
              <w:rPr>
                <w:rFonts w:hint="eastAsia" w:ascii="宋体" w:hAnsi="宋体" w:cs="宋体"/>
                <w:b/>
                <w:bCs/>
                <w:color w:val="000000" w:themeColor="text1"/>
                <w:kern w:val="0"/>
                <w:sz w:val="20"/>
                <w:szCs w:val="20"/>
                <w:lang w:bidi="ar"/>
                <w14:textFill>
                  <w14:solidFill>
                    <w14:schemeClr w14:val="tx1"/>
                  </w14:solidFill>
                </w14:textFill>
              </w:rPr>
              <w:t>）</w:t>
            </w:r>
          </w:p>
        </w:tc>
        <w:tc>
          <w:tcPr>
            <w:tcW w:w="743" w:type="dxa"/>
            <w:tcMar>
              <w:top w:w="12" w:type="dxa"/>
              <w:left w:w="12" w:type="dxa"/>
              <w:right w:w="12" w:type="dxa"/>
            </w:tcMar>
            <w:vAlign w:val="center"/>
          </w:tcPr>
          <w:p w14:paraId="50B4C87B">
            <w:pPr>
              <w:widowControl/>
              <w:adjustRightInd w:val="0"/>
              <w:snapToGrid w:val="0"/>
              <w:spacing w:line="240" w:lineRule="auto"/>
              <w:ind w:firstLine="0" w:firstLineChars="0"/>
              <w:jc w:val="center"/>
              <w:textAlignment w:val="center"/>
              <w:rPr>
                <w:rFonts w:hint="eastAsia" w:ascii="宋体" w:hAnsi="宋体" w:cs="宋体"/>
                <w:b/>
                <w:bCs/>
                <w:color w:val="000000" w:themeColor="text1"/>
                <w:sz w:val="20"/>
                <w:szCs w:val="20"/>
                <w:highlight w:val="yellow"/>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w:t>
            </w:r>
            <w:r>
              <w:rPr>
                <w:rFonts w:hint="eastAsia" w:ascii="宋体" w:hAnsi="宋体" w:cs="宋体"/>
                <w:color w:val="000000" w:themeColor="text1"/>
                <w:kern w:val="0"/>
                <w:sz w:val="20"/>
                <w:szCs w:val="20"/>
                <w:lang w:bidi="ar"/>
                <w14:textFill>
                  <w14:solidFill>
                    <w14:schemeClr w14:val="tx1"/>
                  </w14:solidFill>
                </w14:textFill>
              </w:rPr>
              <w:t>t/t)</w:t>
            </w:r>
          </w:p>
        </w:tc>
        <w:tc>
          <w:tcPr>
            <w:tcW w:w="1729" w:type="dxa"/>
            <w:gridSpan w:val="2"/>
            <w:tcMar>
              <w:top w:w="12" w:type="dxa"/>
              <w:left w:w="12" w:type="dxa"/>
              <w:right w:w="12" w:type="dxa"/>
            </w:tcMar>
            <w:vAlign w:val="center"/>
          </w:tcPr>
          <w:p w14:paraId="427BED3A">
            <w:pPr>
              <w:widowControl/>
              <w:adjustRightInd w:val="0"/>
              <w:snapToGrid w:val="0"/>
              <w:spacing w:line="240" w:lineRule="auto"/>
              <w:ind w:firstLine="0" w:firstLineChars="0"/>
              <w:jc w:val="center"/>
              <w:textAlignment w:val="center"/>
              <w:rPr>
                <w:rFonts w:hint="eastAsia" w:ascii="宋体" w:hAnsi="宋体" w:cs="宋体"/>
                <w:b/>
                <w:bCs/>
                <w:color w:val="000000" w:themeColor="text1"/>
                <w:kern w:val="0"/>
                <w:sz w:val="20"/>
                <w:szCs w:val="20"/>
                <w:highlight w:val="yellow"/>
                <w:lang w:bidi="ar"/>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（万t）</w:t>
            </w:r>
          </w:p>
        </w:tc>
        <w:tc>
          <w:tcPr>
            <w:tcW w:w="1145" w:type="dxa"/>
            <w:tcMar>
              <w:top w:w="12" w:type="dxa"/>
              <w:left w:w="12" w:type="dxa"/>
              <w:right w:w="12" w:type="dxa"/>
            </w:tcMar>
            <w:vAlign w:val="center"/>
          </w:tcPr>
          <w:p w14:paraId="27489C0B">
            <w:pPr>
              <w:widowControl/>
              <w:adjustRightInd w:val="0"/>
              <w:snapToGrid w:val="0"/>
              <w:spacing w:line="240" w:lineRule="auto"/>
              <w:ind w:firstLine="0" w:firstLineChars="0"/>
              <w:jc w:val="center"/>
              <w:textAlignment w:val="center"/>
              <w:rPr>
                <w:rFonts w:hint="eastAsia" w:ascii="宋体" w:hAnsi="宋体" w:cs="宋体"/>
                <w:b/>
                <w:bCs/>
                <w:color w:val="000000" w:themeColor="text1"/>
                <w:kern w:val="0"/>
                <w:sz w:val="20"/>
                <w:szCs w:val="20"/>
                <w:highlight w:val="yellow"/>
                <w:lang w:bidi="ar"/>
                <w14:textFill>
                  <w14:solidFill>
                    <w14:schemeClr w14:val="tx1"/>
                  </w14:solidFill>
                </w14:textFill>
              </w:rPr>
            </w:pPr>
            <w:r>
              <w:rPr>
                <w:rFonts w:hint="eastAsia" w:ascii="宋体" w:hAnsi="宋体" w:cs="宋体"/>
                <w:b/>
                <w:bCs/>
                <w:color w:val="000000" w:themeColor="text1"/>
                <w:kern w:val="0"/>
                <w:sz w:val="20"/>
                <w:szCs w:val="20"/>
                <w:lang w:bidi="ar"/>
                <w14:textFill>
                  <w14:solidFill>
                    <w14:schemeClr w14:val="tx1"/>
                  </w14:solidFill>
                </w14:textFill>
              </w:rPr>
              <w:t>（万m</w:t>
            </w:r>
            <w:r>
              <w:rPr>
                <w:rFonts w:hint="eastAsia" w:ascii="宋体" w:hAnsi="宋体" w:cs="宋体"/>
                <w:b/>
                <w:bCs/>
                <w:color w:val="000000" w:themeColor="text1"/>
                <w:kern w:val="0"/>
                <w:sz w:val="20"/>
                <w:szCs w:val="20"/>
                <w:vertAlign w:val="superscript"/>
                <w:lang w:bidi="ar"/>
                <w14:textFill>
                  <w14:solidFill>
                    <w14:schemeClr w14:val="tx1"/>
                  </w14:solidFill>
                </w14:textFill>
              </w:rPr>
              <w:t>3</w:t>
            </w:r>
            <w:r>
              <w:rPr>
                <w:rFonts w:hint="eastAsia" w:ascii="宋体" w:hAnsi="宋体" w:cs="宋体"/>
                <w:b/>
                <w:bCs/>
                <w:color w:val="000000" w:themeColor="text1"/>
                <w:kern w:val="0"/>
                <w:sz w:val="20"/>
                <w:szCs w:val="20"/>
                <w:lang w:bidi="ar"/>
                <w14:textFill>
                  <w14:solidFill>
                    <w14:schemeClr w14:val="tx1"/>
                  </w14:solidFill>
                </w14:textFill>
              </w:rPr>
              <w:t>）</w:t>
            </w:r>
          </w:p>
        </w:tc>
      </w:tr>
      <w:tr w14:paraId="60CA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6BD5D54B">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1</w:t>
            </w:r>
          </w:p>
        </w:tc>
        <w:tc>
          <w:tcPr>
            <w:tcW w:w="1638" w:type="dxa"/>
            <w:tcMar>
              <w:top w:w="12" w:type="dxa"/>
              <w:left w:w="12" w:type="dxa"/>
              <w:right w:w="12" w:type="dxa"/>
            </w:tcMar>
            <w:vAlign w:val="center"/>
          </w:tcPr>
          <w:p w14:paraId="056491DD">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1430~1420</w:t>
            </w:r>
          </w:p>
        </w:tc>
        <w:tc>
          <w:tcPr>
            <w:tcW w:w="1445" w:type="dxa"/>
            <w:tcMar>
              <w:top w:w="12" w:type="dxa"/>
              <w:left w:w="12" w:type="dxa"/>
              <w:right w:w="12" w:type="dxa"/>
            </w:tcMar>
            <w:vAlign w:val="center"/>
          </w:tcPr>
          <w:p w14:paraId="7E3C893F">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0.38 </w:t>
            </w:r>
          </w:p>
        </w:tc>
        <w:tc>
          <w:tcPr>
            <w:tcW w:w="1276" w:type="dxa"/>
            <w:tcMar>
              <w:top w:w="12" w:type="dxa"/>
              <w:left w:w="12" w:type="dxa"/>
              <w:right w:w="12" w:type="dxa"/>
            </w:tcMar>
            <w:vAlign w:val="center"/>
          </w:tcPr>
          <w:p w14:paraId="736A3E6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0.14 </w:t>
            </w:r>
          </w:p>
        </w:tc>
        <w:tc>
          <w:tcPr>
            <w:tcW w:w="743" w:type="dxa"/>
            <w:tcMar>
              <w:top w:w="12" w:type="dxa"/>
              <w:left w:w="12" w:type="dxa"/>
              <w:right w:w="12" w:type="dxa"/>
            </w:tcMar>
            <w:vAlign w:val="center"/>
          </w:tcPr>
          <w:p w14:paraId="4DE8F3D2">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7CDEA99C">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 </w:t>
            </w:r>
          </w:p>
        </w:tc>
        <w:tc>
          <w:tcPr>
            <w:tcW w:w="1145" w:type="dxa"/>
            <w:tcMar>
              <w:top w:w="12" w:type="dxa"/>
              <w:left w:w="12" w:type="dxa"/>
              <w:right w:w="12" w:type="dxa"/>
            </w:tcMar>
            <w:vAlign w:val="center"/>
          </w:tcPr>
          <w:p w14:paraId="051DBC36">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 </w:t>
            </w:r>
          </w:p>
        </w:tc>
      </w:tr>
      <w:tr w14:paraId="42BC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45F5AD98">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2</w:t>
            </w:r>
          </w:p>
        </w:tc>
        <w:tc>
          <w:tcPr>
            <w:tcW w:w="1638" w:type="dxa"/>
            <w:tcMar>
              <w:top w:w="12" w:type="dxa"/>
              <w:left w:w="12" w:type="dxa"/>
              <w:right w:w="12" w:type="dxa"/>
            </w:tcMar>
            <w:vAlign w:val="center"/>
          </w:tcPr>
          <w:p w14:paraId="7D118299">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1420~1405</w:t>
            </w:r>
          </w:p>
        </w:tc>
        <w:tc>
          <w:tcPr>
            <w:tcW w:w="1445" w:type="dxa"/>
            <w:tcMar>
              <w:top w:w="12" w:type="dxa"/>
              <w:left w:w="12" w:type="dxa"/>
              <w:right w:w="12" w:type="dxa"/>
            </w:tcMar>
            <w:vAlign w:val="center"/>
          </w:tcPr>
          <w:p w14:paraId="23CC1461">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4.72 </w:t>
            </w:r>
          </w:p>
        </w:tc>
        <w:tc>
          <w:tcPr>
            <w:tcW w:w="1276" w:type="dxa"/>
            <w:tcMar>
              <w:top w:w="12" w:type="dxa"/>
              <w:left w:w="12" w:type="dxa"/>
              <w:right w:w="12" w:type="dxa"/>
            </w:tcMar>
            <w:vAlign w:val="center"/>
          </w:tcPr>
          <w:p w14:paraId="67369D2F">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1.82 </w:t>
            </w:r>
          </w:p>
        </w:tc>
        <w:tc>
          <w:tcPr>
            <w:tcW w:w="743" w:type="dxa"/>
            <w:tcMar>
              <w:top w:w="12" w:type="dxa"/>
              <w:left w:w="12" w:type="dxa"/>
              <w:right w:w="12" w:type="dxa"/>
            </w:tcMar>
            <w:vAlign w:val="center"/>
          </w:tcPr>
          <w:p w14:paraId="35390D02">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68B4E602">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0.02 </w:t>
            </w:r>
          </w:p>
        </w:tc>
        <w:tc>
          <w:tcPr>
            <w:tcW w:w="1145" w:type="dxa"/>
            <w:tcMar>
              <w:top w:w="12" w:type="dxa"/>
              <w:left w:w="12" w:type="dxa"/>
              <w:right w:w="12" w:type="dxa"/>
            </w:tcMar>
            <w:vAlign w:val="center"/>
          </w:tcPr>
          <w:p w14:paraId="7EE8C439">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0.01 </w:t>
            </w:r>
          </w:p>
        </w:tc>
      </w:tr>
      <w:tr w14:paraId="6112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5C84D2F2">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3</w:t>
            </w:r>
          </w:p>
        </w:tc>
        <w:tc>
          <w:tcPr>
            <w:tcW w:w="1638" w:type="dxa"/>
            <w:tcMar>
              <w:top w:w="12" w:type="dxa"/>
              <w:left w:w="12" w:type="dxa"/>
              <w:right w:w="12" w:type="dxa"/>
            </w:tcMar>
            <w:vAlign w:val="center"/>
          </w:tcPr>
          <w:p w14:paraId="6E9D64AE">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1405~1390</w:t>
            </w:r>
          </w:p>
        </w:tc>
        <w:tc>
          <w:tcPr>
            <w:tcW w:w="1445" w:type="dxa"/>
            <w:tcMar>
              <w:top w:w="12" w:type="dxa"/>
              <w:left w:w="12" w:type="dxa"/>
              <w:right w:w="12" w:type="dxa"/>
            </w:tcMar>
            <w:vAlign w:val="center"/>
          </w:tcPr>
          <w:p w14:paraId="272C4E1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10.43 </w:t>
            </w:r>
          </w:p>
        </w:tc>
        <w:tc>
          <w:tcPr>
            <w:tcW w:w="1276" w:type="dxa"/>
            <w:tcMar>
              <w:top w:w="12" w:type="dxa"/>
              <w:left w:w="12" w:type="dxa"/>
              <w:right w:w="12" w:type="dxa"/>
            </w:tcMar>
            <w:vAlign w:val="center"/>
          </w:tcPr>
          <w:p w14:paraId="69BC8AF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4.01 </w:t>
            </w:r>
          </w:p>
        </w:tc>
        <w:tc>
          <w:tcPr>
            <w:tcW w:w="743" w:type="dxa"/>
            <w:tcMar>
              <w:top w:w="12" w:type="dxa"/>
              <w:left w:w="12" w:type="dxa"/>
              <w:right w:w="12" w:type="dxa"/>
            </w:tcMar>
            <w:vAlign w:val="center"/>
          </w:tcPr>
          <w:p w14:paraId="012C11EE">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12B8960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0.05 </w:t>
            </w:r>
          </w:p>
        </w:tc>
        <w:tc>
          <w:tcPr>
            <w:tcW w:w="1145" w:type="dxa"/>
            <w:tcMar>
              <w:top w:w="12" w:type="dxa"/>
              <w:left w:w="12" w:type="dxa"/>
              <w:right w:w="12" w:type="dxa"/>
            </w:tcMar>
            <w:vAlign w:val="center"/>
          </w:tcPr>
          <w:p w14:paraId="4E6057B8">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0.03 </w:t>
            </w:r>
          </w:p>
        </w:tc>
      </w:tr>
      <w:tr w14:paraId="7CE2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0DFB0C7D">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4</w:t>
            </w:r>
          </w:p>
        </w:tc>
        <w:tc>
          <w:tcPr>
            <w:tcW w:w="1638" w:type="dxa"/>
            <w:tcMar>
              <w:top w:w="12" w:type="dxa"/>
              <w:left w:w="12" w:type="dxa"/>
              <w:right w:w="12" w:type="dxa"/>
            </w:tcMar>
            <w:vAlign w:val="center"/>
          </w:tcPr>
          <w:p w14:paraId="731ABD65">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1390~1375</w:t>
            </w:r>
          </w:p>
        </w:tc>
        <w:tc>
          <w:tcPr>
            <w:tcW w:w="1445" w:type="dxa"/>
            <w:tcMar>
              <w:top w:w="12" w:type="dxa"/>
              <w:left w:w="12" w:type="dxa"/>
              <w:right w:w="12" w:type="dxa"/>
            </w:tcMar>
            <w:vAlign w:val="center"/>
          </w:tcPr>
          <w:p w14:paraId="63E0CF6A">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15.81 </w:t>
            </w:r>
          </w:p>
        </w:tc>
        <w:tc>
          <w:tcPr>
            <w:tcW w:w="1276" w:type="dxa"/>
            <w:tcMar>
              <w:top w:w="12" w:type="dxa"/>
              <w:left w:w="12" w:type="dxa"/>
              <w:right w:w="12" w:type="dxa"/>
            </w:tcMar>
            <w:vAlign w:val="center"/>
          </w:tcPr>
          <w:p w14:paraId="4281FBEF">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6.08 </w:t>
            </w:r>
          </w:p>
        </w:tc>
        <w:tc>
          <w:tcPr>
            <w:tcW w:w="743" w:type="dxa"/>
            <w:tcMar>
              <w:top w:w="12" w:type="dxa"/>
              <w:left w:w="12" w:type="dxa"/>
              <w:right w:w="12" w:type="dxa"/>
            </w:tcMar>
            <w:vAlign w:val="center"/>
          </w:tcPr>
          <w:p w14:paraId="0FAAE548">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2A2AAC63">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0.08 </w:t>
            </w:r>
          </w:p>
        </w:tc>
        <w:tc>
          <w:tcPr>
            <w:tcW w:w="1145" w:type="dxa"/>
            <w:tcMar>
              <w:top w:w="12" w:type="dxa"/>
              <w:left w:w="12" w:type="dxa"/>
              <w:right w:w="12" w:type="dxa"/>
            </w:tcMar>
            <w:vAlign w:val="center"/>
          </w:tcPr>
          <w:p w14:paraId="4224126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0.05 </w:t>
            </w:r>
          </w:p>
        </w:tc>
      </w:tr>
      <w:tr w14:paraId="0840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2605CEAF">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5</w:t>
            </w:r>
          </w:p>
        </w:tc>
        <w:tc>
          <w:tcPr>
            <w:tcW w:w="1638" w:type="dxa"/>
            <w:tcMar>
              <w:top w:w="12" w:type="dxa"/>
              <w:left w:w="12" w:type="dxa"/>
              <w:right w:w="12" w:type="dxa"/>
            </w:tcMar>
            <w:vAlign w:val="center"/>
          </w:tcPr>
          <w:p w14:paraId="47D6D209">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1375~1360</w:t>
            </w:r>
          </w:p>
        </w:tc>
        <w:tc>
          <w:tcPr>
            <w:tcW w:w="1445" w:type="dxa"/>
            <w:tcMar>
              <w:top w:w="12" w:type="dxa"/>
              <w:left w:w="12" w:type="dxa"/>
              <w:right w:w="12" w:type="dxa"/>
            </w:tcMar>
            <w:vAlign w:val="center"/>
          </w:tcPr>
          <w:p w14:paraId="17448188">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38.97 </w:t>
            </w:r>
          </w:p>
        </w:tc>
        <w:tc>
          <w:tcPr>
            <w:tcW w:w="1276" w:type="dxa"/>
            <w:tcMar>
              <w:top w:w="12" w:type="dxa"/>
              <w:left w:w="12" w:type="dxa"/>
              <w:right w:w="12" w:type="dxa"/>
            </w:tcMar>
            <w:vAlign w:val="center"/>
          </w:tcPr>
          <w:p w14:paraId="3A2A053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14.99 </w:t>
            </w:r>
          </w:p>
        </w:tc>
        <w:tc>
          <w:tcPr>
            <w:tcW w:w="743" w:type="dxa"/>
            <w:tcMar>
              <w:top w:w="12" w:type="dxa"/>
              <w:left w:w="12" w:type="dxa"/>
              <w:right w:w="12" w:type="dxa"/>
            </w:tcMar>
            <w:vAlign w:val="center"/>
          </w:tcPr>
          <w:p w14:paraId="7916DB6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7CEC091B">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0.19 </w:t>
            </w:r>
          </w:p>
        </w:tc>
        <w:tc>
          <w:tcPr>
            <w:tcW w:w="1145" w:type="dxa"/>
            <w:tcMar>
              <w:top w:w="12" w:type="dxa"/>
              <w:left w:w="12" w:type="dxa"/>
              <w:right w:w="12" w:type="dxa"/>
            </w:tcMar>
            <w:vAlign w:val="center"/>
          </w:tcPr>
          <w:p w14:paraId="06265968">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0.12 </w:t>
            </w:r>
          </w:p>
        </w:tc>
      </w:tr>
      <w:tr w14:paraId="1FD5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32C792DB">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6</w:t>
            </w:r>
          </w:p>
        </w:tc>
        <w:tc>
          <w:tcPr>
            <w:tcW w:w="1638" w:type="dxa"/>
            <w:tcMar>
              <w:top w:w="12" w:type="dxa"/>
              <w:left w:w="12" w:type="dxa"/>
              <w:right w:w="12" w:type="dxa"/>
            </w:tcMar>
            <w:vAlign w:val="center"/>
          </w:tcPr>
          <w:p w14:paraId="2D59A943">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1360~1345</w:t>
            </w:r>
          </w:p>
        </w:tc>
        <w:tc>
          <w:tcPr>
            <w:tcW w:w="1445" w:type="dxa"/>
            <w:tcMar>
              <w:top w:w="12" w:type="dxa"/>
              <w:left w:w="12" w:type="dxa"/>
              <w:right w:w="12" w:type="dxa"/>
            </w:tcMar>
            <w:vAlign w:val="center"/>
          </w:tcPr>
          <w:p w14:paraId="63BF30AD">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107.48 </w:t>
            </w:r>
          </w:p>
        </w:tc>
        <w:tc>
          <w:tcPr>
            <w:tcW w:w="1276" w:type="dxa"/>
            <w:tcMar>
              <w:top w:w="12" w:type="dxa"/>
              <w:left w:w="12" w:type="dxa"/>
              <w:right w:w="12" w:type="dxa"/>
            </w:tcMar>
            <w:vAlign w:val="center"/>
          </w:tcPr>
          <w:p w14:paraId="38BB45AC">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41.34 </w:t>
            </w:r>
          </w:p>
        </w:tc>
        <w:tc>
          <w:tcPr>
            <w:tcW w:w="743" w:type="dxa"/>
            <w:tcMar>
              <w:top w:w="12" w:type="dxa"/>
              <w:left w:w="12" w:type="dxa"/>
              <w:right w:w="12" w:type="dxa"/>
            </w:tcMar>
            <w:vAlign w:val="center"/>
          </w:tcPr>
          <w:p w14:paraId="036CB5C0">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7C852731">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0.51 </w:t>
            </w:r>
          </w:p>
        </w:tc>
        <w:tc>
          <w:tcPr>
            <w:tcW w:w="1145" w:type="dxa"/>
            <w:tcMar>
              <w:top w:w="12" w:type="dxa"/>
              <w:left w:w="12" w:type="dxa"/>
              <w:right w:w="12" w:type="dxa"/>
            </w:tcMar>
            <w:vAlign w:val="center"/>
          </w:tcPr>
          <w:p w14:paraId="1B3D7598">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0.32 </w:t>
            </w:r>
          </w:p>
        </w:tc>
      </w:tr>
      <w:tr w14:paraId="7A9D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4A5B1B3B">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7</w:t>
            </w:r>
          </w:p>
        </w:tc>
        <w:tc>
          <w:tcPr>
            <w:tcW w:w="1638" w:type="dxa"/>
            <w:tcMar>
              <w:top w:w="12" w:type="dxa"/>
              <w:left w:w="12" w:type="dxa"/>
              <w:right w:w="12" w:type="dxa"/>
            </w:tcMar>
            <w:vAlign w:val="center"/>
          </w:tcPr>
          <w:p w14:paraId="24307E54">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1345~1330</w:t>
            </w:r>
          </w:p>
        </w:tc>
        <w:tc>
          <w:tcPr>
            <w:tcW w:w="1445" w:type="dxa"/>
            <w:tcMar>
              <w:top w:w="12" w:type="dxa"/>
              <w:left w:w="12" w:type="dxa"/>
              <w:right w:w="12" w:type="dxa"/>
            </w:tcMar>
            <w:vAlign w:val="center"/>
          </w:tcPr>
          <w:p w14:paraId="736B1276">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127.74 </w:t>
            </w:r>
          </w:p>
        </w:tc>
        <w:tc>
          <w:tcPr>
            <w:tcW w:w="1276" w:type="dxa"/>
            <w:tcMar>
              <w:top w:w="12" w:type="dxa"/>
              <w:left w:w="12" w:type="dxa"/>
              <w:right w:w="12" w:type="dxa"/>
            </w:tcMar>
            <w:vAlign w:val="center"/>
          </w:tcPr>
          <w:p w14:paraId="6DB030AD">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49.13 </w:t>
            </w:r>
          </w:p>
        </w:tc>
        <w:tc>
          <w:tcPr>
            <w:tcW w:w="743" w:type="dxa"/>
            <w:tcMar>
              <w:top w:w="12" w:type="dxa"/>
              <w:left w:w="12" w:type="dxa"/>
              <w:right w:w="12" w:type="dxa"/>
            </w:tcMar>
            <w:vAlign w:val="center"/>
          </w:tcPr>
          <w:p w14:paraId="1B4847C6">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3EF63233">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0.52 </w:t>
            </w:r>
          </w:p>
        </w:tc>
        <w:tc>
          <w:tcPr>
            <w:tcW w:w="1145" w:type="dxa"/>
            <w:tcMar>
              <w:top w:w="12" w:type="dxa"/>
              <w:left w:w="12" w:type="dxa"/>
              <w:right w:w="12" w:type="dxa"/>
            </w:tcMar>
            <w:vAlign w:val="center"/>
          </w:tcPr>
          <w:p w14:paraId="05F09C02">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0.33 </w:t>
            </w:r>
          </w:p>
        </w:tc>
      </w:tr>
      <w:tr w14:paraId="4C77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0CD5E4B9">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8</w:t>
            </w:r>
          </w:p>
        </w:tc>
        <w:tc>
          <w:tcPr>
            <w:tcW w:w="1638" w:type="dxa"/>
            <w:tcMar>
              <w:top w:w="12" w:type="dxa"/>
              <w:left w:w="12" w:type="dxa"/>
              <w:right w:w="12" w:type="dxa"/>
            </w:tcMar>
            <w:vAlign w:val="center"/>
          </w:tcPr>
          <w:p w14:paraId="04B443FC">
            <w:pPr>
              <w:widowControl/>
              <w:adjustRightInd w:val="0"/>
              <w:snapToGrid w:val="0"/>
              <w:spacing w:line="240" w:lineRule="auto"/>
              <w:ind w:firstLine="0" w:firstLineChars="0"/>
              <w:jc w:val="center"/>
              <w:textAlignment w:val="center"/>
              <w:rPr>
                <w:color w:val="000000" w:themeColor="text1"/>
                <w:kern w:val="0"/>
                <w:sz w:val="20"/>
                <w:szCs w:val="20"/>
                <w:highlight w:val="yellow"/>
                <w14:textFill>
                  <w14:solidFill>
                    <w14:schemeClr w14:val="tx1"/>
                  </w14:solidFill>
                </w14:textFill>
              </w:rPr>
            </w:pPr>
            <w:r>
              <w:rPr>
                <w:color w:val="000000" w:themeColor="text1"/>
                <w:kern w:val="0"/>
                <w:sz w:val="20"/>
                <w:szCs w:val="20"/>
                <w:lang w:bidi="ar"/>
                <w14:textFill>
                  <w14:solidFill>
                    <w14:schemeClr w14:val="tx1"/>
                  </w14:solidFill>
                </w14:textFill>
              </w:rPr>
              <w:t>1330~1315</w:t>
            </w:r>
          </w:p>
        </w:tc>
        <w:tc>
          <w:tcPr>
            <w:tcW w:w="1445" w:type="dxa"/>
            <w:tcMar>
              <w:top w:w="12" w:type="dxa"/>
              <w:left w:w="12" w:type="dxa"/>
              <w:right w:w="12" w:type="dxa"/>
            </w:tcMar>
            <w:vAlign w:val="center"/>
          </w:tcPr>
          <w:p w14:paraId="12A0C58F">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94.04 </w:t>
            </w:r>
          </w:p>
        </w:tc>
        <w:tc>
          <w:tcPr>
            <w:tcW w:w="1276" w:type="dxa"/>
            <w:tcMar>
              <w:top w:w="12" w:type="dxa"/>
              <w:left w:w="12" w:type="dxa"/>
              <w:right w:w="12" w:type="dxa"/>
            </w:tcMar>
            <w:vAlign w:val="center"/>
          </w:tcPr>
          <w:p w14:paraId="3CC7BC7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36.17 </w:t>
            </w:r>
          </w:p>
        </w:tc>
        <w:tc>
          <w:tcPr>
            <w:tcW w:w="743" w:type="dxa"/>
            <w:tcMar>
              <w:top w:w="12" w:type="dxa"/>
              <w:left w:w="12" w:type="dxa"/>
              <w:right w:w="12" w:type="dxa"/>
            </w:tcMar>
            <w:vAlign w:val="center"/>
          </w:tcPr>
          <w:p w14:paraId="5595FFF0">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76888ACD">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0.47 </w:t>
            </w:r>
          </w:p>
        </w:tc>
        <w:tc>
          <w:tcPr>
            <w:tcW w:w="1145" w:type="dxa"/>
            <w:tcMar>
              <w:top w:w="12" w:type="dxa"/>
              <w:left w:w="12" w:type="dxa"/>
              <w:right w:w="12" w:type="dxa"/>
            </w:tcMar>
            <w:vAlign w:val="center"/>
          </w:tcPr>
          <w:p w14:paraId="6F41DAE6">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0.29 </w:t>
            </w:r>
          </w:p>
        </w:tc>
      </w:tr>
      <w:tr w14:paraId="6EA8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21E6F532">
            <w:pPr>
              <w:widowControl/>
              <w:adjustRightInd w:val="0"/>
              <w:snapToGrid w:val="0"/>
              <w:spacing w:line="240" w:lineRule="auto"/>
              <w:ind w:firstLine="0" w:firstLineChars="0"/>
              <w:jc w:val="center"/>
              <w:textAlignment w:val="center"/>
              <w:rPr>
                <w:rFonts w:hint="eastAsia" w:ascii="宋体" w:hAnsi="宋体" w:cs="宋体"/>
                <w:color w:val="000000" w:themeColor="text1"/>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9</w:t>
            </w:r>
          </w:p>
        </w:tc>
        <w:tc>
          <w:tcPr>
            <w:tcW w:w="1638" w:type="dxa"/>
            <w:tcMar>
              <w:top w:w="12" w:type="dxa"/>
              <w:left w:w="12" w:type="dxa"/>
              <w:right w:w="12" w:type="dxa"/>
            </w:tcMar>
            <w:vAlign w:val="center"/>
          </w:tcPr>
          <w:p w14:paraId="34594D3E">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lang w:bidi="ar"/>
                <w14:textFill>
                  <w14:solidFill>
                    <w14:schemeClr w14:val="tx1"/>
                  </w14:solidFill>
                </w14:textFill>
              </w:rPr>
            </w:pPr>
            <w:r>
              <w:rPr>
                <w:color w:val="000000" w:themeColor="text1"/>
                <w:kern w:val="0"/>
                <w:sz w:val="20"/>
                <w:szCs w:val="20"/>
                <w:lang w:bidi="ar"/>
                <w14:textFill>
                  <w14:solidFill>
                    <w14:schemeClr w14:val="tx1"/>
                  </w14:solidFill>
                </w14:textFill>
              </w:rPr>
              <w:t>1315~1300</w:t>
            </w:r>
          </w:p>
        </w:tc>
        <w:tc>
          <w:tcPr>
            <w:tcW w:w="1445" w:type="dxa"/>
            <w:tcMar>
              <w:top w:w="12" w:type="dxa"/>
              <w:left w:w="12" w:type="dxa"/>
              <w:right w:w="12" w:type="dxa"/>
            </w:tcMar>
            <w:vAlign w:val="center"/>
          </w:tcPr>
          <w:p w14:paraId="60F50156">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79.79 </w:t>
            </w:r>
          </w:p>
        </w:tc>
        <w:tc>
          <w:tcPr>
            <w:tcW w:w="1276" w:type="dxa"/>
            <w:tcMar>
              <w:top w:w="12" w:type="dxa"/>
              <w:left w:w="12" w:type="dxa"/>
              <w:right w:w="12" w:type="dxa"/>
            </w:tcMar>
            <w:vAlign w:val="center"/>
          </w:tcPr>
          <w:p w14:paraId="32413AD3">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30.69 </w:t>
            </w:r>
          </w:p>
        </w:tc>
        <w:tc>
          <w:tcPr>
            <w:tcW w:w="743" w:type="dxa"/>
            <w:tcMar>
              <w:top w:w="12" w:type="dxa"/>
              <w:left w:w="12" w:type="dxa"/>
              <w:right w:w="12" w:type="dxa"/>
            </w:tcMar>
            <w:vAlign w:val="center"/>
          </w:tcPr>
          <w:p w14:paraId="0B7A90CA">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78114A94">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0.40 </w:t>
            </w:r>
          </w:p>
        </w:tc>
        <w:tc>
          <w:tcPr>
            <w:tcW w:w="1145" w:type="dxa"/>
            <w:tcMar>
              <w:top w:w="12" w:type="dxa"/>
              <w:left w:w="12" w:type="dxa"/>
              <w:right w:w="12" w:type="dxa"/>
            </w:tcMar>
            <w:vAlign w:val="center"/>
          </w:tcPr>
          <w:p w14:paraId="4A670E9E">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0.25 </w:t>
            </w:r>
          </w:p>
        </w:tc>
      </w:tr>
      <w:tr w14:paraId="287C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5" w:type="dxa"/>
            <w:tcMar>
              <w:top w:w="12" w:type="dxa"/>
              <w:left w:w="12" w:type="dxa"/>
              <w:right w:w="12" w:type="dxa"/>
            </w:tcMar>
            <w:vAlign w:val="center"/>
          </w:tcPr>
          <w:p w14:paraId="58A19C6E">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10</w:t>
            </w:r>
          </w:p>
        </w:tc>
        <w:tc>
          <w:tcPr>
            <w:tcW w:w="1638" w:type="dxa"/>
            <w:tcMar>
              <w:top w:w="12" w:type="dxa"/>
              <w:left w:w="12" w:type="dxa"/>
              <w:right w:w="12" w:type="dxa"/>
            </w:tcMar>
            <w:vAlign w:val="center"/>
          </w:tcPr>
          <w:p w14:paraId="4AFB11AF">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合计</w:t>
            </w:r>
          </w:p>
        </w:tc>
        <w:tc>
          <w:tcPr>
            <w:tcW w:w="1445" w:type="dxa"/>
            <w:tcMar>
              <w:top w:w="12" w:type="dxa"/>
              <w:left w:w="12" w:type="dxa"/>
              <w:right w:w="12" w:type="dxa"/>
            </w:tcMar>
            <w:vAlign w:val="center"/>
          </w:tcPr>
          <w:p w14:paraId="1CE24BBB">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479.36 </w:t>
            </w:r>
          </w:p>
        </w:tc>
        <w:tc>
          <w:tcPr>
            <w:tcW w:w="1276" w:type="dxa"/>
            <w:tcMar>
              <w:top w:w="12" w:type="dxa"/>
              <w:left w:w="12" w:type="dxa"/>
              <w:right w:w="12" w:type="dxa"/>
            </w:tcMar>
            <w:vAlign w:val="center"/>
          </w:tcPr>
          <w:p w14:paraId="308000A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184.37 </w:t>
            </w:r>
          </w:p>
        </w:tc>
        <w:tc>
          <w:tcPr>
            <w:tcW w:w="743" w:type="dxa"/>
            <w:tcMar>
              <w:top w:w="12" w:type="dxa"/>
              <w:left w:w="12" w:type="dxa"/>
              <w:right w:w="12" w:type="dxa"/>
            </w:tcMar>
            <w:vAlign w:val="center"/>
          </w:tcPr>
          <w:p w14:paraId="39A5D797">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0.005 </w:t>
            </w:r>
          </w:p>
        </w:tc>
        <w:tc>
          <w:tcPr>
            <w:tcW w:w="1729" w:type="dxa"/>
            <w:gridSpan w:val="2"/>
            <w:tcMar>
              <w:top w:w="12" w:type="dxa"/>
              <w:left w:w="12" w:type="dxa"/>
              <w:right w:w="12" w:type="dxa"/>
            </w:tcMar>
            <w:vAlign w:val="center"/>
          </w:tcPr>
          <w:p w14:paraId="2A4C9C4A">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2.25 </w:t>
            </w:r>
          </w:p>
        </w:tc>
        <w:tc>
          <w:tcPr>
            <w:tcW w:w="1145" w:type="dxa"/>
            <w:tcMar>
              <w:top w:w="12" w:type="dxa"/>
              <w:left w:w="12" w:type="dxa"/>
              <w:right w:w="12" w:type="dxa"/>
            </w:tcMar>
            <w:vAlign w:val="center"/>
          </w:tcPr>
          <w:p w14:paraId="581493F4">
            <w:pPr>
              <w:widowControl/>
              <w:adjustRightInd w:val="0"/>
              <w:snapToGrid w:val="0"/>
              <w:spacing w:line="240" w:lineRule="auto"/>
              <w:ind w:firstLine="0" w:firstLineChars="0"/>
              <w:jc w:val="center"/>
              <w:textAlignment w:val="center"/>
              <w:rPr>
                <w:rFonts w:hint="eastAsia" w:ascii="宋体" w:hAnsi="宋体" w:cs="宋体"/>
                <w:color w:val="000000" w:themeColor="text1"/>
                <w:kern w:val="0"/>
                <w:sz w:val="20"/>
                <w:szCs w:val="20"/>
                <w:highlight w:val="yellow"/>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 xml:space="preserve">1.41 </w:t>
            </w:r>
          </w:p>
        </w:tc>
      </w:tr>
    </w:tbl>
    <w:p w14:paraId="5A90C9EB">
      <w:pPr>
        <w:spacing w:before="120" w:beforeLines="50"/>
        <w:ind w:firstLine="360" w:firstLineChars="150"/>
        <w:rPr>
          <w:color w:val="000000" w:themeColor="text1"/>
          <w:sz w:val="24"/>
          <w:lang w:val="zh-TW"/>
          <w14:textFill>
            <w14:solidFill>
              <w14:schemeClr w14:val="tx1"/>
            </w14:solidFill>
          </w14:textFill>
        </w:rPr>
      </w:pPr>
      <w:r>
        <w:rPr>
          <w:color w:val="000000" w:themeColor="text1"/>
          <w:sz w:val="24"/>
          <w:lang w:val="zh-TW" w:eastAsia="zh-TW"/>
          <w14:textFill>
            <w14:solidFill>
              <w14:schemeClr w14:val="tx1"/>
            </w14:solidFill>
          </w14:textFill>
        </w:rPr>
        <w:t>注：（1</w:t>
      </w:r>
      <w:r>
        <w:rPr>
          <w:color w:val="000000" w:themeColor="text1"/>
          <w:sz w:val="24"/>
          <w:lang w:val="zh-TW"/>
          <w14:textFill>
            <w14:solidFill>
              <w14:schemeClr w14:val="tx1"/>
            </w14:solidFill>
          </w14:textFill>
        </w:rPr>
        <w:t>）</w:t>
      </w:r>
      <w:r>
        <w:rPr>
          <w:color w:val="000000" w:themeColor="text1"/>
          <w:sz w:val="24"/>
          <w:lang w:val="zh-TW" w:eastAsia="zh-TW"/>
          <w14:textFill>
            <w14:solidFill>
              <w14:schemeClr w14:val="tx1"/>
            </w14:solidFill>
          </w14:textFill>
        </w:rPr>
        <w:t>矿山规模：</w:t>
      </w:r>
      <w:r>
        <w:rPr>
          <w:rFonts w:hint="eastAsia"/>
          <w:color w:val="000000" w:themeColor="text1"/>
          <w:sz w:val="24"/>
          <w14:textFill>
            <w14:solidFill>
              <w14:schemeClr w14:val="tx1"/>
            </w14:solidFill>
          </w14:textFill>
        </w:rPr>
        <w:t>50万</w:t>
      </w:r>
      <w:r>
        <w:rPr>
          <w:color w:val="000000" w:themeColor="text1"/>
          <w:sz w:val="24"/>
          <w14:textFill>
            <w14:solidFill>
              <w14:schemeClr w14:val="tx1"/>
            </w14:solidFill>
          </w14:textFill>
        </w:rPr>
        <w:t>t</w:t>
      </w:r>
      <w:r>
        <w:rPr>
          <w:color w:val="000000" w:themeColor="text1"/>
          <w:sz w:val="24"/>
          <w:lang w:val="zh-TW" w:eastAsia="zh-TW"/>
          <w14:textFill>
            <w14:solidFill>
              <w14:schemeClr w14:val="tx1"/>
            </w14:solidFill>
          </w14:textFill>
        </w:rPr>
        <w:t>/a</w:t>
      </w:r>
      <w:r>
        <w:rPr>
          <w:color w:val="000000" w:themeColor="text1"/>
          <w:sz w:val="24"/>
          <w:lang w:val="zh-TW"/>
          <w14:textFill>
            <w14:solidFill>
              <w14:schemeClr w14:val="tx1"/>
            </w14:solidFill>
          </w14:textFill>
        </w:rPr>
        <w:t>；（</w:t>
      </w:r>
      <w:r>
        <w:rPr>
          <w:color w:val="000000" w:themeColor="text1"/>
          <w:sz w:val="24"/>
          <w14:textFill>
            <w14:solidFill>
              <w14:schemeClr w14:val="tx1"/>
            </w14:solidFill>
          </w14:textFill>
        </w:rPr>
        <w:t>2）</w:t>
      </w:r>
      <w:r>
        <w:rPr>
          <w:color w:val="000000" w:themeColor="text1"/>
          <w:sz w:val="24"/>
          <w:lang w:val="zh-TW" w:eastAsia="zh-TW"/>
          <w14:textFill>
            <w14:solidFill>
              <w14:schemeClr w14:val="tx1"/>
            </w14:solidFill>
          </w14:textFill>
        </w:rPr>
        <w:t>矿石体重：2.</w:t>
      </w:r>
      <w:r>
        <w:rPr>
          <w:rFonts w:hint="eastAsia"/>
          <w:color w:val="000000" w:themeColor="text1"/>
          <w:sz w:val="24"/>
          <w14:textFill>
            <w14:solidFill>
              <w14:schemeClr w14:val="tx1"/>
            </w14:solidFill>
          </w14:textFill>
        </w:rPr>
        <w:t>6</w:t>
      </w:r>
      <w:r>
        <w:rPr>
          <w:color w:val="000000" w:themeColor="text1"/>
          <w:sz w:val="24"/>
          <w:lang w:val="zh-TW" w:eastAsia="zh-TW"/>
          <w14:textFill>
            <w14:solidFill>
              <w14:schemeClr w14:val="tx1"/>
            </w14:solidFill>
          </w14:textFill>
        </w:rPr>
        <w:t>t/</w:t>
      </w:r>
      <w:r>
        <w:rPr>
          <w:color w:val="000000" w:themeColor="text1"/>
          <w:sz w:val="24"/>
          <w14:textFill>
            <w14:solidFill>
              <w14:schemeClr w14:val="tx1"/>
            </w14:solidFill>
          </w14:textFill>
        </w:rPr>
        <w:t>m³。</w:t>
      </w:r>
    </w:p>
    <w:p w14:paraId="7F9F2B7C">
      <w:pPr>
        <w:pStyle w:val="6"/>
        <w:spacing w:before="120" w:after="120"/>
        <w:rPr>
          <w:color w:val="000000" w:themeColor="text1"/>
          <w14:textFill>
            <w14:solidFill>
              <w14:schemeClr w14:val="tx1"/>
            </w14:solidFill>
          </w14:textFill>
        </w:rPr>
      </w:pPr>
      <w:bookmarkStart w:id="1089" w:name="_Toc2650"/>
      <w:bookmarkStart w:id="1090" w:name="_Toc30175"/>
      <w:bookmarkStart w:id="1091" w:name="_Toc14351"/>
      <w:bookmarkStart w:id="1092" w:name="_Toc2645"/>
      <w:bookmarkStart w:id="1093" w:name="_Toc22937"/>
      <w:bookmarkStart w:id="1094" w:name="_Toc17611"/>
      <w:bookmarkStart w:id="1095" w:name="_Toc15251"/>
      <w:bookmarkStart w:id="1096" w:name="_Toc8868"/>
      <w:bookmarkStart w:id="1097" w:name="_Toc215070190"/>
      <w:r>
        <w:rPr>
          <w:rFonts w:hint="eastAsia"/>
          <w:color w:val="000000" w:themeColor="text1"/>
          <w14:textFill>
            <w14:solidFill>
              <w14:schemeClr w14:val="tx1"/>
            </w14:solidFill>
          </w14:textFill>
        </w:rPr>
        <w:t>2.4.4.6</w:t>
      </w:r>
      <w:r>
        <w:rPr>
          <w:color w:val="000000" w:themeColor="text1"/>
          <w14:textFill>
            <w14:solidFill>
              <w14:schemeClr w14:val="tx1"/>
            </w14:solidFill>
          </w14:textFill>
        </w:rPr>
        <w:t>开采</w:t>
      </w:r>
      <w:r>
        <w:rPr>
          <w:rFonts w:hint="eastAsia"/>
          <w:color w:val="000000" w:themeColor="text1"/>
          <w14:textFill>
            <w14:solidFill>
              <w14:schemeClr w14:val="tx1"/>
            </w14:solidFill>
          </w14:textFill>
        </w:rPr>
        <w:t>顺序</w:t>
      </w:r>
      <w:bookmarkEnd w:id="1089"/>
      <w:bookmarkEnd w:id="1090"/>
      <w:bookmarkEnd w:id="1091"/>
      <w:bookmarkEnd w:id="1092"/>
      <w:bookmarkEnd w:id="1093"/>
      <w:bookmarkEnd w:id="1094"/>
      <w:bookmarkEnd w:id="1095"/>
      <w:bookmarkEnd w:id="1096"/>
      <w:bookmarkEnd w:id="1097"/>
    </w:p>
    <w:p w14:paraId="18544290">
      <w:pPr>
        <w:ind w:firstLine="560"/>
        <w:rPr>
          <w:color w:val="000000" w:themeColor="text1"/>
          <w14:textFill>
            <w14:solidFill>
              <w14:schemeClr w14:val="tx1"/>
            </w14:solidFill>
          </w14:textFill>
        </w:rPr>
      </w:pPr>
      <w:bookmarkStart w:id="1098" w:name="_Toc8312"/>
      <w:bookmarkStart w:id="1099" w:name="_Toc20499"/>
      <w:bookmarkStart w:id="1100" w:name="_Toc22900"/>
      <w:bookmarkStart w:id="1101" w:name="_Toc97490095"/>
      <w:r>
        <w:rPr>
          <w:rFonts w:hint="eastAsia"/>
          <w:color w:val="000000" w:themeColor="text1"/>
          <w14:textFill>
            <w14:solidFill>
              <w14:schemeClr w14:val="tx1"/>
            </w14:solidFill>
          </w14:textFill>
        </w:rPr>
        <w:t>1、</w:t>
      </w:r>
      <w:r>
        <w:rPr>
          <w:color w:val="000000" w:themeColor="text1"/>
          <w14:textFill>
            <w14:solidFill>
              <w14:schemeClr w14:val="tx1"/>
            </w14:solidFill>
          </w14:textFill>
        </w:rPr>
        <w:t>工作线布置方式及工作面推进方向</w:t>
      </w:r>
      <w:bookmarkEnd w:id="1098"/>
      <w:bookmarkEnd w:id="1099"/>
      <w:bookmarkEnd w:id="1100"/>
    </w:p>
    <w:p w14:paraId="738A545E">
      <w:pPr>
        <w:ind w:firstLine="560"/>
        <w:rPr>
          <w:color w:val="000000" w:themeColor="text1"/>
          <w:szCs w:val="28"/>
          <w14:textFill>
            <w14:solidFill>
              <w14:schemeClr w14:val="tx1"/>
            </w14:solidFill>
          </w14:textFill>
        </w:rPr>
      </w:pPr>
      <w:bookmarkStart w:id="1102" w:name="_Hlk39618843"/>
      <w:bookmarkStart w:id="1103" w:name="_Toc16907"/>
      <w:bookmarkStart w:id="1104" w:name="_Toc30529"/>
      <w:bookmarkStart w:id="1105" w:name="_Toc485"/>
      <w:r>
        <w:rPr>
          <w:color w:val="000000" w:themeColor="text1"/>
          <w:szCs w:val="28"/>
          <w14:textFill>
            <w14:solidFill>
              <w14:schemeClr w14:val="tx1"/>
            </w14:solidFill>
          </w14:textFill>
        </w:rPr>
        <w:t>采用工作线纵向布置方式，即沿地形等高线南北向布置，垂直地形等高线由西向东移动，平行推进，采掘带宽度12m。</w:t>
      </w:r>
    </w:p>
    <w:bookmarkEnd w:id="1102"/>
    <w:p w14:paraId="1CD393FC">
      <w:pPr>
        <w:ind w:firstLine="560"/>
        <w:rPr>
          <w:color w:val="000000" w:themeColor="text1"/>
          <w:lang w:bidi="ar"/>
          <w14:textFill>
            <w14:solidFill>
              <w14:schemeClr w14:val="tx1"/>
            </w14:solidFill>
          </w14:textFill>
        </w:rPr>
      </w:pPr>
      <w:r>
        <w:rPr>
          <w:color w:val="000000" w:themeColor="text1"/>
          <w14:textFill>
            <w14:solidFill>
              <w14:schemeClr w14:val="tx1"/>
            </w14:solidFill>
          </w14:textFill>
        </w:rPr>
        <w:t>垂直矿体走向布置工作</w:t>
      </w:r>
      <w:r>
        <w:rPr>
          <w:bCs/>
          <w:color w:val="000000" w:themeColor="text1"/>
          <w:szCs w:val="32"/>
          <w14:textFill>
            <w14:solidFill>
              <w14:schemeClr w14:val="tx1"/>
            </w14:solidFill>
          </w14:textFill>
        </w:rPr>
        <w:t>面</w:t>
      </w:r>
      <w:r>
        <w:rPr>
          <w:color w:val="000000" w:themeColor="text1"/>
          <w14:textFill>
            <w14:solidFill>
              <w14:schemeClr w14:val="tx1"/>
            </w14:solidFill>
          </w14:textFill>
        </w:rPr>
        <w:t>，总体由</w:t>
      </w:r>
      <w:r>
        <w:rPr>
          <w:rFonts w:hint="eastAsia"/>
          <w:color w:val="000000" w:themeColor="text1"/>
          <w:lang w:bidi="ar"/>
          <w14:textFill>
            <w14:solidFill>
              <w14:schemeClr w14:val="tx1"/>
            </w14:solidFill>
          </w14:textFill>
        </w:rPr>
        <w:t>西南</w:t>
      </w:r>
      <w:r>
        <w:rPr>
          <w:color w:val="000000" w:themeColor="text1"/>
          <w:lang w:bidi="ar"/>
          <w14:textFill>
            <w14:solidFill>
              <w14:schemeClr w14:val="tx1"/>
            </w14:solidFill>
          </w14:textFill>
        </w:rPr>
        <w:t>向</w:t>
      </w:r>
      <w:r>
        <w:rPr>
          <w:rFonts w:hint="eastAsia"/>
          <w:color w:val="000000" w:themeColor="text1"/>
          <w:lang w:bidi="ar"/>
          <w14:textFill>
            <w14:solidFill>
              <w14:schemeClr w14:val="tx1"/>
            </w14:solidFill>
          </w14:textFill>
        </w:rPr>
        <w:t>东北</w:t>
      </w:r>
      <w:r>
        <w:rPr>
          <w:color w:val="000000" w:themeColor="text1"/>
          <w:lang w:bidi="ar"/>
          <w14:textFill>
            <w14:solidFill>
              <w14:schemeClr w14:val="tx1"/>
            </w14:solidFill>
          </w14:textFill>
        </w:rPr>
        <w:t>推进</w:t>
      </w:r>
    </w:p>
    <w:p w14:paraId="7BE0EB8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开采顺序</w:t>
      </w:r>
      <w:bookmarkEnd w:id="1103"/>
      <w:bookmarkEnd w:id="1104"/>
      <w:bookmarkEnd w:id="1105"/>
    </w:p>
    <w:bookmarkEnd w:id="1101"/>
    <w:p w14:paraId="7EB7C692">
      <w:pPr>
        <w:adjustRightInd w:val="0"/>
        <w:snapToGrid w:val="0"/>
        <w:ind w:firstLine="560"/>
        <w:rPr>
          <w:color w:val="000000" w:themeColor="text1"/>
          <w:szCs w:val="28"/>
          <w14:textFill>
            <w14:solidFill>
              <w14:schemeClr w14:val="tx1"/>
            </w14:solidFill>
          </w14:textFill>
        </w:rPr>
      </w:pPr>
      <w:bookmarkStart w:id="1106" w:name="_Toc19604"/>
      <w:bookmarkStart w:id="1107" w:name="_Toc20988"/>
      <w:bookmarkStart w:id="1108" w:name="_Toc29245"/>
      <w:bookmarkStart w:id="1109" w:name="_Toc20559"/>
      <w:bookmarkStart w:id="1110" w:name="_Toc31561"/>
      <w:bookmarkStart w:id="1111" w:name="_Toc14197"/>
      <w:bookmarkStart w:id="1112" w:name="_Toc15750"/>
      <w:bookmarkStart w:id="1113" w:name="_Toc2626"/>
      <w:r>
        <w:rPr>
          <w:color w:val="000000" w:themeColor="text1"/>
          <w:szCs w:val="28"/>
          <w14:textFill>
            <w14:solidFill>
              <w14:schemeClr w14:val="tx1"/>
            </w14:solidFill>
          </w14:textFill>
        </w:rPr>
        <w:t>开采顺序应该根据矿区地形地貌条件、开采技术条件、矿体的赋存特征、经济等特点。总体矿体开采顺序为：分台阶由上而下开采顺序，台阶开采顺序：</w:t>
      </w:r>
      <w:r>
        <w:rPr>
          <w:rFonts w:hint="eastAsia"/>
          <w:color w:val="000000" w:themeColor="text1"/>
          <w:szCs w:val="28"/>
          <w14:textFill>
            <w14:solidFill>
              <w14:schemeClr w14:val="tx1"/>
            </w14:solidFill>
          </w14:textFill>
        </w:rPr>
        <w:t>1420</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1405</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1390</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1375</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1360</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1345</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1330</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1315</w:t>
      </w:r>
      <w:r>
        <w:rPr>
          <w:color w:val="000000" w:themeColor="text1"/>
          <w:szCs w:val="28"/>
          <w14:textFill>
            <w14:solidFill>
              <w14:schemeClr w14:val="tx1"/>
            </w14:solidFill>
          </w14:textFill>
        </w:rPr>
        <w:t>m</w:t>
      </w:r>
      <w:r>
        <w:rPr>
          <w:rFonts w:hint="eastAsia" w:ascii="宋体" w:hAnsi="宋体" w:cs="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1300</w:t>
      </w:r>
      <w:r>
        <w:rPr>
          <w:color w:val="000000" w:themeColor="text1"/>
          <w:szCs w:val="28"/>
          <w14:textFill>
            <w14:solidFill>
              <w14:schemeClr w14:val="tx1"/>
            </w14:solidFill>
          </w14:textFill>
        </w:rPr>
        <w:t>m。新台阶的准备：当上一台阶开采即将结束时，提前准备好下一工作台阶，以保证采矿工作能连续正常进行和新水平的延伸。</w:t>
      </w:r>
    </w:p>
    <w:p w14:paraId="6B49C20D">
      <w:pPr>
        <w:pStyle w:val="6"/>
        <w:spacing w:before="120" w:after="120"/>
        <w:rPr>
          <w:color w:val="000000" w:themeColor="text1"/>
          <w14:textFill>
            <w14:solidFill>
              <w14:schemeClr w14:val="tx1"/>
            </w14:solidFill>
          </w14:textFill>
        </w:rPr>
      </w:pPr>
      <w:bookmarkStart w:id="1114" w:name="_Toc215070191"/>
      <w:r>
        <w:rPr>
          <w:rFonts w:hint="eastAsia"/>
          <w:color w:val="000000" w:themeColor="text1"/>
          <w14:textFill>
            <w14:solidFill>
              <w14:schemeClr w14:val="tx1"/>
            </w14:solidFill>
          </w14:textFill>
        </w:rPr>
        <w:t>2.4.4.7基建工程</w:t>
      </w:r>
      <w:bookmarkEnd w:id="1106"/>
      <w:bookmarkEnd w:id="1107"/>
      <w:bookmarkEnd w:id="1108"/>
      <w:bookmarkEnd w:id="1109"/>
      <w:bookmarkEnd w:id="1110"/>
      <w:bookmarkEnd w:id="1111"/>
      <w:bookmarkEnd w:id="1112"/>
      <w:bookmarkEnd w:id="1113"/>
      <w:bookmarkEnd w:id="1114"/>
    </w:p>
    <w:p w14:paraId="07A66609">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根据</w:t>
      </w:r>
      <w:r>
        <w:rPr>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14:textFill>
            <w14:solidFill>
              <w14:schemeClr w14:val="tx1"/>
            </w14:solidFill>
          </w14:textFill>
        </w:rPr>
        <w:t>广南县旧莫小格达普通建筑石料用岩矿50万t/a露天采矿工程</w:t>
      </w:r>
      <w:r>
        <w:rPr>
          <w:rFonts w:hint="eastAsia"/>
          <w:color w:val="000000" w:themeColor="text1"/>
          <w:szCs w:val="28"/>
          <w14:textFill>
            <w14:solidFill>
              <w14:schemeClr w14:val="tx1"/>
            </w14:solidFill>
          </w14:textFill>
        </w:rPr>
        <w:t>可行性研究报告</w:t>
      </w:r>
      <w:r>
        <w:rPr>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lang w:val="zh-TW"/>
          <w14:textFill>
            <w14:solidFill>
              <w14:schemeClr w14:val="tx1"/>
            </w14:solidFill>
          </w14:textFill>
        </w:rPr>
        <w:t>，</w:t>
      </w:r>
      <w:r>
        <w:rPr>
          <w:color w:val="000000" w:themeColor="text1"/>
          <w:lang w:val="zh-TW" w:eastAsia="zh-TW"/>
          <w14:textFill>
            <w14:solidFill>
              <w14:schemeClr w14:val="tx1"/>
            </w14:solidFill>
          </w14:textFill>
        </w:rPr>
        <w:t>矿山基建包括采准</w:t>
      </w:r>
      <w:r>
        <w:rPr>
          <w:color w:val="000000" w:themeColor="text1"/>
          <w:lang w:val="zh-TW"/>
          <w14:textFill>
            <w14:solidFill>
              <w14:schemeClr w14:val="tx1"/>
            </w14:solidFill>
          </w14:textFill>
        </w:rPr>
        <w:t>工程</w:t>
      </w:r>
      <w:r>
        <w:rPr>
          <w:color w:val="000000" w:themeColor="text1"/>
          <w:lang w:val="zh-TW" w:eastAsia="zh-TW"/>
          <w14:textFill>
            <w14:solidFill>
              <w14:schemeClr w14:val="tx1"/>
            </w14:solidFill>
          </w14:textFill>
        </w:rPr>
        <w:t>、</w:t>
      </w:r>
      <w:r>
        <w:rPr>
          <w:color w:val="000000" w:themeColor="text1"/>
          <w:lang w:val="zh-TW"/>
          <w14:textFill>
            <w14:solidFill>
              <w14:schemeClr w14:val="tx1"/>
            </w14:solidFill>
          </w14:textFill>
        </w:rPr>
        <w:t>开拓</w:t>
      </w:r>
      <w:r>
        <w:rPr>
          <w:rFonts w:hint="eastAsia"/>
          <w:color w:val="000000" w:themeColor="text1"/>
          <w14:textFill>
            <w14:solidFill>
              <w14:schemeClr w14:val="tx1"/>
            </w14:solidFill>
          </w14:textFill>
        </w:rPr>
        <w:t>公路建设、</w:t>
      </w:r>
      <w:r>
        <w:rPr>
          <w:color w:val="000000" w:themeColor="text1"/>
          <w:lang w:val="zh-TW"/>
          <w14:textFill>
            <w14:solidFill>
              <w14:schemeClr w14:val="tx1"/>
            </w14:solidFill>
          </w14:textFill>
        </w:rPr>
        <w:t>原有道</w:t>
      </w:r>
      <w:r>
        <w:rPr>
          <w:rFonts w:hint="eastAsia"/>
          <w:color w:val="000000" w:themeColor="text1"/>
          <w14:textFill>
            <w14:solidFill>
              <w14:schemeClr w14:val="tx1"/>
            </w14:solidFill>
          </w14:textFill>
        </w:rPr>
        <w:t>路</w:t>
      </w:r>
      <w:r>
        <w:rPr>
          <w:color w:val="000000" w:themeColor="text1"/>
          <w14:textFill>
            <w14:solidFill>
              <w14:schemeClr w14:val="tx1"/>
            </w14:solidFill>
          </w14:textFill>
        </w:rPr>
        <w:t>进行扩宽及降坡</w:t>
      </w:r>
      <w:r>
        <w:rPr>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挖掘机道路修建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基建平台建设、</w:t>
      </w:r>
      <w:r>
        <w:rPr>
          <w:color w:val="000000" w:themeColor="text1"/>
          <w14:textFill>
            <w14:solidFill>
              <w14:schemeClr w14:val="tx1"/>
            </w14:solidFill>
          </w14:textFill>
        </w:rPr>
        <w:t>原采空区</w:t>
      </w:r>
      <w:r>
        <w:rPr>
          <w:rFonts w:hint="eastAsia"/>
          <w:color w:val="000000" w:themeColor="text1"/>
          <w14:textFill>
            <w14:solidFill>
              <w14:schemeClr w14:val="tx1"/>
            </w14:solidFill>
          </w14:textFill>
        </w:rPr>
        <w:t>治理</w:t>
      </w:r>
      <w:r>
        <w:rPr>
          <w:color w:val="000000" w:themeColor="text1"/>
          <w14:textFill>
            <w14:solidFill>
              <w14:schemeClr w14:val="tx1"/>
            </w14:solidFill>
          </w14:textFill>
        </w:rPr>
        <w:t>等</w:t>
      </w:r>
      <w:r>
        <w:rPr>
          <w:color w:val="000000" w:themeColor="text1"/>
          <w:lang w:val="zh-TW"/>
          <w14:textFill>
            <w14:solidFill>
              <w14:schemeClr w14:val="tx1"/>
            </w14:solidFill>
          </w14:textFill>
        </w:rPr>
        <w:t>的</w:t>
      </w:r>
      <w:r>
        <w:rPr>
          <w:color w:val="000000" w:themeColor="text1"/>
          <w:lang w:val="zh-TW" w:eastAsia="zh-TW"/>
          <w14:textFill>
            <w14:solidFill>
              <w14:schemeClr w14:val="tx1"/>
            </w14:solidFill>
          </w14:textFill>
        </w:rPr>
        <w:t>建设。</w:t>
      </w:r>
    </w:p>
    <w:p w14:paraId="15A51DBF">
      <w:pPr>
        <w:ind w:firstLine="560"/>
        <w:rPr>
          <w:color w:val="000000" w:themeColor="text1"/>
          <w:lang w:val="zh-TW" w:eastAsia="zh-TW"/>
          <w14:textFill>
            <w14:solidFill>
              <w14:schemeClr w14:val="tx1"/>
            </w14:solidFill>
          </w14:textFill>
        </w:rPr>
      </w:pPr>
      <w:r>
        <w:rPr>
          <w:color w:val="000000" w:themeColor="text1"/>
          <w:lang w:val="zh-TW" w:eastAsia="zh-TW"/>
          <w14:textFill>
            <w14:solidFill>
              <w14:schemeClr w14:val="tx1"/>
            </w14:solidFill>
          </w14:textFill>
        </w:rPr>
        <w:t>矿山基建</w:t>
      </w:r>
      <w:r>
        <w:rPr>
          <w:color w:val="000000" w:themeColor="text1"/>
          <w:lang w:val="zh-TW"/>
          <w14:textFill>
            <w14:solidFill>
              <w14:schemeClr w14:val="tx1"/>
            </w14:solidFill>
          </w14:textFill>
        </w:rPr>
        <w:t>工程</w:t>
      </w:r>
      <w:r>
        <w:rPr>
          <w:color w:val="000000" w:themeColor="text1"/>
          <w:lang w:val="zh-TW" w:eastAsia="zh-TW"/>
          <w14:textFill>
            <w14:solidFill>
              <w14:schemeClr w14:val="tx1"/>
            </w14:solidFill>
          </w14:textFill>
        </w:rPr>
        <w:t>期为</w:t>
      </w:r>
      <w:r>
        <w:rPr>
          <w:rFonts w:hint="eastAsia"/>
          <w:color w:val="000000" w:themeColor="text1"/>
          <w14:textFill>
            <w14:solidFill>
              <w14:schemeClr w14:val="tx1"/>
            </w14:solidFill>
          </w14:textFill>
        </w:rPr>
        <w:t>8个月</w:t>
      </w:r>
      <w:r>
        <w:rPr>
          <w:color w:val="000000" w:themeColor="text1"/>
          <w:lang w:val="zh-TW" w:eastAsia="zh-TW"/>
          <w14:textFill>
            <w14:solidFill>
              <w14:schemeClr w14:val="tx1"/>
            </w14:solidFill>
          </w14:textFill>
        </w:rPr>
        <w:t>。</w:t>
      </w:r>
    </w:p>
    <w:p w14:paraId="7A72DDE2">
      <w:pPr>
        <w:ind w:firstLine="560"/>
        <w:rPr>
          <w:color w:val="000000" w:themeColor="text1"/>
          <w:lang w:val="zh-TW" w:eastAsia="zh-TW"/>
          <w14:textFill>
            <w14:solidFill>
              <w14:schemeClr w14:val="tx1"/>
            </w14:solidFill>
          </w14:textFill>
        </w:rPr>
      </w:pPr>
      <w:bookmarkStart w:id="1115" w:name="_Toc12214"/>
      <w:bookmarkStart w:id="1116" w:name="_Toc20687"/>
      <w:bookmarkStart w:id="1117" w:name="_Toc3440"/>
      <w:r>
        <w:rPr>
          <w:rFonts w:hint="eastAsia"/>
          <w:color w:val="000000" w:themeColor="text1"/>
          <w14:textFill>
            <w14:solidFill>
              <w14:schemeClr w14:val="tx1"/>
            </w14:solidFill>
          </w14:textFill>
        </w:rPr>
        <w:t>1、</w:t>
      </w:r>
      <w:r>
        <w:rPr>
          <w:color w:val="000000" w:themeColor="text1"/>
          <w:lang w:val="zh-TW"/>
          <w14:textFill>
            <w14:solidFill>
              <w14:schemeClr w14:val="tx1"/>
            </w14:solidFill>
          </w14:textFill>
        </w:rPr>
        <w:t>采准工程</w:t>
      </w:r>
      <w:bookmarkEnd w:id="1115"/>
      <w:bookmarkEnd w:id="1116"/>
      <w:bookmarkEnd w:id="1117"/>
    </w:p>
    <w:p w14:paraId="23B71B78">
      <w:pPr>
        <w:pStyle w:val="39"/>
        <w:widowControl w:val="0"/>
        <w:tabs>
          <w:tab w:val="left" w:pos="5327"/>
          <w:tab w:val="left" w:pos="6326"/>
          <w:tab w:val="left" w:pos="7230"/>
          <w:tab w:val="left" w:pos="9301"/>
        </w:tabs>
        <w:autoSpaceDE w:val="0"/>
        <w:autoSpaceDN w:val="0"/>
        <w:spacing w:before="0" w:beforeAutospacing="0" w:after="0" w:afterAutospacing="0"/>
        <w:ind w:firstLine="560"/>
        <w:jc w:val="both"/>
        <w:rPr>
          <w:rFonts w:ascii="Times New Roman" w:hAnsi="Times New Roman" w:eastAsia="宋体" w:cs="Times New Roman"/>
          <w:color w:val="000000" w:themeColor="text1"/>
          <w:kern w:val="2"/>
          <w:sz w:val="28"/>
          <w:szCs w:val="28"/>
          <w14:textFill>
            <w14:solidFill>
              <w14:schemeClr w14:val="tx1"/>
            </w14:solidFill>
          </w14:textFill>
        </w:rPr>
      </w:pPr>
      <w:r>
        <w:rPr>
          <w:rFonts w:hint="eastAsia" w:ascii="Times New Roman" w:hAnsi="Times New Roman" w:eastAsia="宋体" w:cs="Times New Roman"/>
          <w:color w:val="000000" w:themeColor="text1"/>
          <w:kern w:val="2"/>
          <w:sz w:val="28"/>
          <w:szCs w:val="28"/>
          <w14:textFill>
            <w14:solidFill>
              <w14:schemeClr w14:val="tx1"/>
            </w14:solidFill>
          </w14:textFill>
        </w:rPr>
        <w:t>（1）</w:t>
      </w:r>
      <w:r>
        <w:rPr>
          <w:rFonts w:ascii="Times New Roman" w:hAnsi="Times New Roman" w:eastAsia="宋体" w:cs="Times New Roman"/>
          <w:color w:val="000000" w:themeColor="text1"/>
          <w:kern w:val="2"/>
          <w:sz w:val="28"/>
          <w:szCs w:val="28"/>
          <w14:textFill>
            <w14:solidFill>
              <w14:schemeClr w14:val="tx1"/>
            </w14:solidFill>
          </w14:textFill>
        </w:rPr>
        <w:t>二级矿量：为满足</w:t>
      </w:r>
      <w:r>
        <w:rPr>
          <w:rFonts w:hint="eastAsia" w:ascii="Times New Roman" w:hAnsi="Times New Roman" w:eastAsia="宋体" w:cs="Times New Roman"/>
          <w:color w:val="000000" w:themeColor="text1"/>
          <w:kern w:val="2"/>
          <w:sz w:val="28"/>
          <w:szCs w:val="28"/>
          <w14:textFill>
            <w14:solidFill>
              <w14:schemeClr w14:val="tx1"/>
            </w14:solidFill>
          </w14:textFill>
        </w:rPr>
        <w:t>至少3</w:t>
      </w:r>
      <w:r>
        <w:rPr>
          <w:rFonts w:ascii="Times New Roman" w:hAnsi="Times New Roman" w:eastAsia="宋体" w:cs="Times New Roman"/>
          <w:color w:val="000000" w:themeColor="text1"/>
          <w:kern w:val="2"/>
          <w:sz w:val="28"/>
          <w:szCs w:val="28"/>
          <w14:textFill>
            <w14:solidFill>
              <w14:schemeClr w14:val="tx1"/>
            </w14:solidFill>
          </w14:textFill>
        </w:rPr>
        <w:t>个月的备采矿量，1年开拓矿量，新建运输道路到达采场</w:t>
      </w:r>
      <w:r>
        <w:rPr>
          <w:rFonts w:hint="eastAsia" w:ascii="Times New Roman" w:hAnsi="Times New Roman" w:eastAsia="宋体" w:cs="Times New Roman"/>
          <w:color w:val="000000" w:themeColor="text1"/>
          <w:kern w:val="2"/>
          <w:sz w:val="28"/>
          <w:szCs w:val="28"/>
          <w14:textFill>
            <w14:solidFill>
              <w14:schemeClr w14:val="tx1"/>
            </w14:solidFill>
          </w14:textFill>
        </w:rPr>
        <w:t>1375</w:t>
      </w:r>
      <w:r>
        <w:rPr>
          <w:rFonts w:ascii="Times New Roman" w:hAnsi="Times New Roman" w:eastAsia="宋体" w:cs="Times New Roman"/>
          <w:color w:val="000000" w:themeColor="text1"/>
          <w:kern w:val="2"/>
          <w:sz w:val="28"/>
          <w:szCs w:val="28"/>
          <w14:textFill>
            <w14:solidFill>
              <w14:schemeClr w14:val="tx1"/>
            </w14:solidFill>
          </w14:textFill>
        </w:rPr>
        <w:t>m标高，需要</w:t>
      </w:r>
      <w:r>
        <w:rPr>
          <w:rFonts w:hint="eastAsia" w:ascii="Times New Roman" w:hAnsi="Times New Roman" w:eastAsia="宋体" w:cs="Times New Roman"/>
          <w:color w:val="000000" w:themeColor="text1"/>
          <w:kern w:val="2"/>
          <w:sz w:val="28"/>
          <w:szCs w:val="28"/>
          <w14:textFill>
            <w14:solidFill>
              <w14:schemeClr w14:val="tx1"/>
            </w14:solidFill>
          </w14:textFill>
        </w:rPr>
        <w:t>建设形成1420</w:t>
      </w:r>
      <w:r>
        <w:rPr>
          <w:rFonts w:ascii="Times New Roman" w:hAnsi="Times New Roman" w:eastAsia="宋体" w:cs="Times New Roman"/>
          <w:color w:val="000000" w:themeColor="text1"/>
          <w:kern w:val="2"/>
          <w:sz w:val="28"/>
          <w:szCs w:val="28"/>
          <w14:textFill>
            <w14:solidFill>
              <w14:schemeClr w14:val="tx1"/>
            </w14:solidFill>
          </w14:textFill>
        </w:rPr>
        <w:t>m</w:t>
      </w:r>
      <w:r>
        <w:rPr>
          <w:rFonts w:hint="eastAsia" w:ascii="Times New Roman" w:hAnsi="Times New Roman" w:eastAsia="宋体" w:cs="Times New Roman"/>
          <w:color w:val="000000" w:themeColor="text1"/>
          <w:kern w:val="2"/>
          <w:sz w:val="28"/>
          <w:szCs w:val="28"/>
          <w14:textFill>
            <w14:solidFill>
              <w14:schemeClr w14:val="tx1"/>
            </w14:solidFill>
          </w14:textFill>
        </w:rPr>
        <w:t>、1405m、1390m</w:t>
      </w:r>
      <w:r>
        <w:rPr>
          <w:rFonts w:ascii="Times New Roman" w:hAnsi="Times New Roman" w:eastAsia="宋体" w:cs="Times New Roman"/>
          <w:color w:val="000000" w:themeColor="text1"/>
          <w:kern w:val="2"/>
          <w:sz w:val="28"/>
          <w:szCs w:val="28"/>
          <w14:textFill>
            <w14:solidFill>
              <w14:schemeClr w14:val="tx1"/>
            </w14:solidFill>
          </w14:textFill>
        </w:rPr>
        <w:t>基建平台才能满足二级矿量的相关规范要求。</w:t>
      </w:r>
    </w:p>
    <w:p w14:paraId="42A5818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二级矿量</w:t>
      </w:r>
      <w:r>
        <w:rPr>
          <w:rFonts w:hint="eastAsia"/>
          <w:color w:val="000000" w:themeColor="text1"/>
          <w14:textFill>
            <w14:solidFill>
              <w14:schemeClr w14:val="tx1"/>
            </w14:solidFill>
          </w14:textFill>
        </w:rPr>
        <w:t>包括：</w:t>
      </w:r>
      <w:r>
        <w:rPr>
          <w:color w:val="000000" w:themeColor="text1"/>
          <w14:textFill>
            <w14:solidFill>
              <w14:schemeClr w14:val="tx1"/>
            </w14:solidFill>
          </w14:textFill>
        </w:rPr>
        <w:t>开拓矿量</w:t>
      </w:r>
      <w:r>
        <w:rPr>
          <w:rFonts w:hint="eastAsia"/>
          <w:color w:val="000000" w:themeColor="text1"/>
          <w:kern w:val="10"/>
          <w:szCs w:val="28"/>
          <w14:textFill>
            <w14:solidFill>
              <w14:schemeClr w14:val="tx1"/>
            </w14:solidFill>
          </w14:textFill>
        </w:rPr>
        <w:t>146.458</w:t>
      </w:r>
      <w:r>
        <w:rPr>
          <w:color w:val="000000" w:themeColor="text1"/>
          <w14:textFill>
            <w14:solidFill>
              <w14:schemeClr w14:val="tx1"/>
            </w14:solidFill>
          </w14:textFill>
        </w:rPr>
        <w:t>万t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备采矿量</w:t>
      </w:r>
      <w:r>
        <w:rPr>
          <w:rFonts w:hint="eastAsia"/>
          <w:color w:val="000000" w:themeColor="text1"/>
          <w:kern w:val="10"/>
          <w:szCs w:val="28"/>
          <w14:textFill>
            <w14:solidFill>
              <w14:schemeClr w14:val="tx1"/>
            </w14:solidFill>
          </w14:textFill>
        </w:rPr>
        <w:t>15.81</w:t>
      </w:r>
      <w:r>
        <w:rPr>
          <w:color w:val="000000" w:themeColor="text1"/>
          <w14:textFill>
            <w14:solidFill>
              <w14:schemeClr w14:val="tx1"/>
            </w14:solidFill>
          </w14:textFill>
        </w:rPr>
        <w:t>万t</w:t>
      </w:r>
      <w:r>
        <w:rPr>
          <w:rFonts w:hint="eastAsia"/>
          <w:color w:val="000000" w:themeColor="text1"/>
          <w14:textFill>
            <w14:solidFill>
              <w14:schemeClr w14:val="tx1"/>
            </w14:solidFill>
          </w14:textFill>
        </w:rPr>
        <w:t>。</w:t>
      </w:r>
    </w:p>
    <w:p w14:paraId="62668443">
      <w:pPr>
        <w:ind w:firstLine="560"/>
        <w:rPr>
          <w:color w:val="000000" w:themeColor="text1"/>
          <w14:textFill>
            <w14:solidFill>
              <w14:schemeClr w14:val="tx1"/>
            </w14:solidFill>
          </w14:textFill>
        </w:rPr>
      </w:pPr>
      <w:bookmarkStart w:id="1118" w:name="_Toc17043"/>
      <w:bookmarkStart w:id="1119" w:name="_Toc15686"/>
      <w:bookmarkStart w:id="1120" w:name="_Toc2392"/>
      <w:r>
        <w:rPr>
          <w:rFonts w:hint="eastAsia"/>
          <w:color w:val="000000" w:themeColor="text1"/>
          <w14:textFill>
            <w14:solidFill>
              <w14:schemeClr w14:val="tx1"/>
            </w14:solidFill>
          </w14:textFill>
        </w:rPr>
        <w:t>2、</w:t>
      </w:r>
      <w:r>
        <w:rPr>
          <w:color w:val="000000" w:themeColor="text1"/>
          <w14:textFill>
            <w14:solidFill>
              <w14:schemeClr w14:val="tx1"/>
            </w14:solidFill>
          </w14:textFill>
        </w:rPr>
        <w:t>开拓运输道路</w:t>
      </w:r>
      <w:bookmarkEnd w:id="1118"/>
      <w:bookmarkEnd w:id="1119"/>
      <w:bookmarkEnd w:id="1120"/>
    </w:p>
    <w:p w14:paraId="11ECD9FB">
      <w:pPr>
        <w:ind w:firstLine="560"/>
        <w:rPr>
          <w:rFonts w:hint="eastAsia" w:ascii="宋体" w:hAnsi="宋体"/>
          <w:color w:val="000000" w:themeColor="text1"/>
          <w:kern w:val="0"/>
          <w:szCs w:val="28"/>
          <w14:textFill>
            <w14:solidFill>
              <w14:schemeClr w14:val="tx1"/>
            </w14:solidFill>
          </w14:textFill>
        </w:rPr>
      </w:pPr>
      <w:bookmarkStart w:id="1121" w:name="_Toc4945"/>
      <w:bookmarkStart w:id="1122" w:name="_Toc4509"/>
      <w:bookmarkStart w:id="1123" w:name="_Toc12291"/>
      <w:r>
        <w:rPr>
          <w:rFonts w:ascii="宋体" w:hAnsi="宋体"/>
          <w:bCs/>
          <w:iCs/>
          <w:color w:val="000000" w:themeColor="text1"/>
          <w:szCs w:val="28"/>
          <w14:textFill>
            <w14:solidFill>
              <w14:schemeClr w14:val="tx1"/>
            </w14:solidFill>
          </w14:textFill>
        </w:rPr>
        <w:t>修整现有道路，</w:t>
      </w:r>
      <w:r>
        <w:rPr>
          <w:rFonts w:hint="eastAsia" w:ascii="宋体" w:hAnsi="宋体"/>
          <w:bCs/>
          <w:iCs/>
          <w:color w:val="000000" w:themeColor="text1"/>
          <w:szCs w:val="28"/>
          <w14:textFill>
            <w14:solidFill>
              <w14:schemeClr w14:val="tx1"/>
            </w14:solidFill>
          </w14:textFill>
        </w:rPr>
        <w:t>以堆料区K1（+1300m标高）为起点，</w:t>
      </w:r>
      <w:r>
        <w:rPr>
          <w:rFonts w:ascii="宋体" w:hAnsi="宋体"/>
          <w:bCs/>
          <w:iCs/>
          <w:color w:val="000000" w:themeColor="text1"/>
          <w:szCs w:val="28"/>
          <w14:textFill>
            <w14:solidFill>
              <w14:schemeClr w14:val="tx1"/>
            </w14:solidFill>
          </w14:textFill>
        </w:rPr>
        <w:t>现有</w:t>
      </w:r>
      <w:r>
        <w:rPr>
          <w:rFonts w:hint="eastAsia" w:ascii="宋体" w:hAnsi="宋体"/>
          <w:bCs/>
          <w:iCs/>
          <w:color w:val="000000" w:themeColor="text1"/>
          <w:szCs w:val="28"/>
          <w14:textFill>
            <w14:solidFill>
              <w14:schemeClr w14:val="tx1"/>
            </w14:solidFill>
          </w14:textFill>
        </w:rPr>
        <w:t>两条分岔道路通往采区 ，道路1由K1（+1300m标高）向北</w:t>
      </w:r>
      <w:r>
        <w:rPr>
          <w:rFonts w:ascii="宋体" w:hAnsi="宋体"/>
          <w:bCs/>
          <w:iCs/>
          <w:color w:val="000000" w:themeColor="text1"/>
          <w:szCs w:val="28"/>
          <w14:textFill>
            <w14:solidFill>
              <w14:schemeClr w14:val="tx1"/>
            </w14:solidFill>
          </w14:textFill>
        </w:rPr>
        <w:t>至</w:t>
      </w:r>
      <w:r>
        <w:rPr>
          <w:rFonts w:hint="eastAsia" w:ascii="宋体" w:hAnsi="宋体"/>
          <w:bCs/>
          <w:iCs/>
          <w:color w:val="000000" w:themeColor="text1"/>
          <w:szCs w:val="28"/>
          <w14:textFill>
            <w14:solidFill>
              <w14:schemeClr w14:val="tx1"/>
            </w14:solidFill>
          </w14:textFill>
        </w:rPr>
        <w:t>采</w:t>
      </w:r>
      <w:r>
        <w:rPr>
          <w:rFonts w:ascii="宋体" w:hAnsi="宋体"/>
          <w:bCs/>
          <w:iCs/>
          <w:color w:val="000000" w:themeColor="text1"/>
          <w:szCs w:val="28"/>
          <w14:textFill>
            <w14:solidFill>
              <w14:schemeClr w14:val="tx1"/>
            </w14:solidFill>
          </w14:textFill>
        </w:rPr>
        <w:t>区东侧</w:t>
      </w:r>
      <w:r>
        <w:rPr>
          <w:rFonts w:hint="eastAsia" w:ascii="宋体" w:hAnsi="宋体"/>
          <w:bCs/>
          <w:iCs/>
          <w:color w:val="000000" w:themeColor="text1"/>
          <w:szCs w:val="28"/>
          <w14:textFill>
            <w14:solidFill>
              <w14:schemeClr w14:val="tx1"/>
            </w14:solidFill>
          </w14:textFill>
        </w:rPr>
        <w:t>K2</w:t>
      </w:r>
      <w:r>
        <w:rPr>
          <w:rFonts w:ascii="宋体" w:hAnsi="宋体"/>
          <w:bCs/>
          <w:iCs/>
          <w:color w:val="000000" w:themeColor="text1"/>
          <w:szCs w:val="28"/>
          <w14:textFill>
            <w14:solidFill>
              <w14:schemeClr w14:val="tx1"/>
            </w14:solidFill>
          </w14:textFill>
        </w:rPr>
        <w:t>（+1</w:t>
      </w:r>
      <w:r>
        <w:rPr>
          <w:rFonts w:hint="eastAsia" w:ascii="宋体" w:hAnsi="宋体"/>
          <w:bCs/>
          <w:iCs/>
          <w:color w:val="000000" w:themeColor="text1"/>
          <w:szCs w:val="28"/>
          <w14:textFill>
            <w14:solidFill>
              <w14:schemeClr w14:val="tx1"/>
            </w14:solidFill>
          </w14:textFill>
        </w:rPr>
        <w:t>400</w:t>
      </w:r>
      <w:r>
        <w:rPr>
          <w:rFonts w:ascii="宋体" w:hAnsi="宋体"/>
          <w:bCs/>
          <w:iCs/>
          <w:color w:val="000000" w:themeColor="text1"/>
          <w:szCs w:val="28"/>
          <w14:textFill>
            <w14:solidFill>
              <w14:schemeClr w14:val="tx1"/>
            </w14:solidFill>
          </w14:textFill>
        </w:rPr>
        <w:t>m标高）</w:t>
      </w:r>
      <w:r>
        <w:rPr>
          <w:rFonts w:hint="eastAsia" w:ascii="宋体" w:hAnsi="宋体"/>
          <w:bCs/>
          <w:iCs/>
          <w:color w:val="000000" w:themeColor="text1"/>
          <w:szCs w:val="28"/>
          <w14:textFill>
            <w14:solidFill>
              <w14:schemeClr w14:val="tx1"/>
            </w14:solidFill>
          </w14:textFill>
        </w:rPr>
        <w:t>，道路长约385m，宽6m，进行修整降坡，基建期初期可以沿用</w:t>
      </w:r>
      <w:r>
        <w:rPr>
          <w:rFonts w:ascii="宋体" w:hAnsi="宋体"/>
          <w:bCs/>
          <w:iCs/>
          <w:color w:val="000000" w:themeColor="text1"/>
          <w:szCs w:val="28"/>
          <w14:textFill>
            <w14:solidFill>
              <w14:schemeClr w14:val="tx1"/>
            </w14:solidFill>
          </w14:textFill>
        </w:rPr>
        <w:t>；</w:t>
      </w:r>
      <w:r>
        <w:rPr>
          <w:rFonts w:hint="eastAsia" w:ascii="宋体" w:hAnsi="宋体"/>
          <w:bCs/>
          <w:iCs/>
          <w:color w:val="000000" w:themeColor="text1"/>
          <w:szCs w:val="28"/>
          <w14:textFill>
            <w14:solidFill>
              <w14:schemeClr w14:val="tx1"/>
            </w14:solidFill>
          </w14:textFill>
        </w:rPr>
        <w:t>道路2由K1（+1300m标高）向西至采区南侧K3（+1350m标高），全长约312m，宽5m，平均坡度16%，进行修整降坡。以K3（+1350m标高）为起点，</w:t>
      </w:r>
      <w:r>
        <w:rPr>
          <w:rFonts w:ascii="宋体" w:hAnsi="宋体"/>
          <w:bCs/>
          <w:iCs/>
          <w:color w:val="000000" w:themeColor="text1"/>
          <w:szCs w:val="28"/>
          <w14:textFill>
            <w14:solidFill>
              <w14:schemeClr w14:val="tx1"/>
            </w14:solidFill>
          </w14:textFill>
        </w:rPr>
        <w:t>新修筑开拓运输道路</w:t>
      </w:r>
      <w:r>
        <w:rPr>
          <w:rFonts w:hint="eastAsia" w:ascii="宋体" w:hAnsi="宋体"/>
          <w:bCs/>
          <w:iCs/>
          <w:color w:val="000000" w:themeColor="text1"/>
          <w:szCs w:val="28"/>
          <w14:textFill>
            <w14:solidFill>
              <w14:schemeClr w14:val="tx1"/>
            </w14:solidFill>
          </w14:textFill>
        </w:rPr>
        <w:t xml:space="preserve"> ，道路长约300m，宽6m，</w:t>
      </w:r>
      <w:r>
        <w:rPr>
          <w:rFonts w:ascii="宋体" w:hAnsi="宋体"/>
          <w:color w:val="000000" w:themeColor="text1"/>
          <w:kern w:val="0"/>
          <w:szCs w:val="28"/>
          <w14:textFill>
            <w14:solidFill>
              <w14:schemeClr w14:val="tx1"/>
            </w14:solidFill>
          </w14:textFill>
        </w:rPr>
        <w:t>修建至1375m平台</w:t>
      </w:r>
      <w:r>
        <w:rPr>
          <w:rFonts w:hint="eastAsia" w:ascii="宋体" w:hAnsi="宋体"/>
          <w:color w:val="000000" w:themeColor="text1"/>
          <w:kern w:val="0"/>
          <w:szCs w:val="28"/>
          <w14:textFill>
            <w14:solidFill>
              <w14:schemeClr w14:val="tx1"/>
            </w14:solidFill>
          </w14:textFill>
        </w:rPr>
        <w:t>，平均坡度8.3%，</w:t>
      </w:r>
      <w:r>
        <w:rPr>
          <w:rFonts w:ascii="宋体" w:hAnsi="宋体"/>
          <w:color w:val="000000" w:themeColor="text1"/>
          <w:szCs w:val="28"/>
          <w14:textFill>
            <w14:solidFill>
              <w14:schemeClr w14:val="tx1"/>
            </w14:solidFill>
          </w14:textFill>
        </w:rPr>
        <w:t>最小转弯半径15m</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路外侧设置车</w:t>
      </w:r>
      <w:r>
        <w:rPr>
          <w:rFonts w:hint="eastAsia" w:ascii="宋体" w:hAnsi="宋体"/>
          <w:color w:val="000000" w:themeColor="text1"/>
          <w:szCs w:val="28"/>
          <w14:textFill>
            <w14:solidFill>
              <w14:schemeClr w14:val="tx1"/>
            </w14:solidFill>
          </w14:textFill>
        </w:rPr>
        <w:t>挡</w:t>
      </w:r>
      <w:r>
        <w:rPr>
          <w:rFonts w:ascii="宋体" w:hAnsi="宋体"/>
          <w:color w:val="000000" w:themeColor="text1"/>
          <w:szCs w:val="28"/>
          <w14:textFill>
            <w14:solidFill>
              <w14:schemeClr w14:val="tx1"/>
            </w14:solidFill>
          </w14:textFill>
        </w:rPr>
        <w:t>设施（</w:t>
      </w:r>
      <w:r>
        <w:rPr>
          <w:rFonts w:hint="eastAsia" w:ascii="宋体" w:hAnsi="宋体"/>
          <w:color w:val="000000" w:themeColor="text1"/>
          <w:szCs w:val="28"/>
          <w14:textFill>
            <w14:solidFill>
              <w14:schemeClr w14:val="tx1"/>
            </w14:solidFill>
          </w14:textFill>
        </w:rPr>
        <w:t>上宽0.6m，底宽1.2m，高1.0m</w:t>
      </w:r>
      <w:r>
        <w:rPr>
          <w:rFonts w:ascii="宋体" w:hAnsi="宋体"/>
          <w:color w:val="000000" w:themeColor="text1"/>
          <w:szCs w:val="28"/>
          <w14:textFill>
            <w14:solidFill>
              <w14:schemeClr w14:val="tx1"/>
            </w14:solidFill>
          </w14:textFill>
        </w:rPr>
        <w:t>），内侧设置水沟（0.</w:t>
      </w:r>
      <w:r>
        <w:rPr>
          <w:rFonts w:hint="eastAsia" w:ascii="宋体" w:hAnsi="宋体"/>
          <w:color w:val="000000" w:themeColor="text1"/>
          <w:szCs w:val="28"/>
          <w14:textFill>
            <w14:solidFill>
              <w14:schemeClr w14:val="tx1"/>
            </w14:solidFill>
          </w14:textFill>
        </w:rPr>
        <w:t>5</w:t>
      </w:r>
      <w:r>
        <w:rPr>
          <w:rFonts w:ascii="宋体" w:hAnsi="宋体"/>
          <w:color w:val="000000" w:themeColor="text1"/>
          <w:szCs w:val="28"/>
          <w14:textFill>
            <w14:solidFill>
              <w14:schemeClr w14:val="tx1"/>
            </w14:solidFill>
          </w14:textFill>
        </w:rPr>
        <w:t>m×0.4m×0.</w:t>
      </w:r>
      <w:r>
        <w:rPr>
          <w:rFonts w:hint="eastAsia" w:ascii="宋体" w:hAnsi="宋体"/>
          <w:color w:val="000000" w:themeColor="text1"/>
          <w:szCs w:val="28"/>
          <w14:textFill>
            <w14:solidFill>
              <w14:schemeClr w14:val="tx1"/>
            </w14:solidFill>
          </w14:textFill>
        </w:rPr>
        <w:t>3</w:t>
      </w:r>
      <w:r>
        <w:rPr>
          <w:rFonts w:ascii="宋体" w:hAnsi="宋体"/>
          <w:color w:val="000000" w:themeColor="text1"/>
          <w:szCs w:val="28"/>
          <w14:textFill>
            <w14:solidFill>
              <w14:schemeClr w14:val="tx1"/>
            </w14:solidFill>
          </w14:textFill>
        </w:rPr>
        <w:t>m）。</w:t>
      </w:r>
      <w:r>
        <w:rPr>
          <w:rFonts w:hint="eastAsia" w:ascii="宋体" w:hAnsi="宋体"/>
          <w:color w:val="000000" w:themeColor="text1"/>
          <w:kern w:val="0"/>
          <w:szCs w:val="28"/>
          <w14:textFill>
            <w14:solidFill>
              <w14:schemeClr w14:val="tx1"/>
            </w14:solidFill>
          </w14:textFill>
        </w:rPr>
        <w:t>标高</w:t>
      </w:r>
      <w:r>
        <w:rPr>
          <w:rFonts w:ascii="宋体" w:hAnsi="宋体"/>
          <w:color w:val="000000" w:themeColor="text1"/>
          <w:kern w:val="0"/>
          <w:szCs w:val="28"/>
          <w14:textFill>
            <w14:solidFill>
              <w14:schemeClr w14:val="tx1"/>
            </w14:solidFill>
          </w14:textFill>
        </w:rPr>
        <w:t>13</w:t>
      </w:r>
      <w:r>
        <w:rPr>
          <w:rFonts w:hint="eastAsia" w:ascii="宋体" w:hAnsi="宋体"/>
          <w:color w:val="000000" w:themeColor="text1"/>
          <w:kern w:val="0"/>
          <w:szCs w:val="28"/>
          <w14:textFill>
            <w14:solidFill>
              <w14:schemeClr w14:val="tx1"/>
            </w14:solidFill>
          </w14:textFill>
        </w:rPr>
        <w:t>75</w:t>
      </w:r>
      <w:r>
        <w:rPr>
          <w:rFonts w:ascii="宋体" w:hAnsi="宋体"/>
          <w:color w:val="000000" w:themeColor="text1"/>
          <w:kern w:val="0"/>
          <w:szCs w:val="28"/>
          <w14:textFill>
            <w14:solidFill>
              <w14:schemeClr w14:val="tx1"/>
            </w14:solidFill>
          </w14:textFill>
        </w:rPr>
        <w:t>m</w:t>
      </w:r>
      <w:r>
        <w:rPr>
          <w:rFonts w:hint="eastAsia" w:ascii="宋体" w:hAnsi="宋体"/>
          <w:color w:val="000000" w:themeColor="text1"/>
          <w:kern w:val="0"/>
          <w:szCs w:val="28"/>
          <w14:textFill>
            <w14:solidFill>
              <w14:schemeClr w14:val="tx1"/>
            </w14:solidFill>
          </w14:textFill>
        </w:rPr>
        <w:t>以上矿岩修建装载设备道路转运至</w:t>
      </w:r>
      <w:r>
        <w:rPr>
          <w:rFonts w:ascii="宋体" w:hAnsi="宋体"/>
          <w:color w:val="000000" w:themeColor="text1"/>
          <w:kern w:val="0"/>
          <w:szCs w:val="28"/>
          <w14:textFill>
            <w14:solidFill>
              <w14:schemeClr w14:val="tx1"/>
            </w14:solidFill>
          </w14:textFill>
        </w:rPr>
        <w:t>1375m运输平台运输。</w:t>
      </w:r>
    </w:p>
    <w:p w14:paraId="46732B47">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3、</w:t>
      </w:r>
      <w:r>
        <w:rPr>
          <w:rFonts w:ascii="宋体" w:hAnsi="宋体"/>
          <w:color w:val="000000" w:themeColor="text1"/>
          <w:szCs w:val="28"/>
          <w14:textFill>
            <w14:solidFill>
              <w14:schemeClr w14:val="tx1"/>
            </w14:solidFill>
          </w14:textFill>
        </w:rPr>
        <w:t>防排水工程</w:t>
      </w:r>
      <w:bookmarkEnd w:id="1121"/>
      <w:bookmarkEnd w:id="1122"/>
      <w:bookmarkEnd w:id="1123"/>
    </w:p>
    <w:p w14:paraId="4B502C5E">
      <w:pPr>
        <w:ind w:firstLine="560"/>
        <w:rPr>
          <w:rFonts w:hint="eastAsia" w:ascii="宋体" w:hAnsi="宋体"/>
          <w:bCs/>
          <w:color w:val="000000" w:themeColor="text1"/>
          <w:szCs w:val="28"/>
          <w14:textFill>
            <w14:solidFill>
              <w14:schemeClr w14:val="tx1"/>
            </w14:solidFill>
          </w14:textFill>
        </w:rPr>
      </w:pPr>
      <w:bookmarkStart w:id="1124" w:name="_Toc22327"/>
      <w:bookmarkStart w:id="1125" w:name="_Toc832"/>
      <w:bookmarkStart w:id="1126" w:name="_Toc27374"/>
      <w:r>
        <w:rPr>
          <w:rFonts w:ascii="宋体" w:hAnsi="宋体"/>
          <w:bCs/>
          <w:color w:val="000000" w:themeColor="text1"/>
          <w:szCs w:val="28"/>
          <w14:textFill>
            <w14:solidFill>
              <w14:schemeClr w14:val="tx1"/>
            </w14:solidFill>
          </w14:textFill>
        </w:rPr>
        <w:t>在平台内侧设置排水沟，排水沟断面尺寸0.4m×0.3m×0.3m，平台工作面自边坡外侧向坡脚设置1</w:t>
      </w:r>
      <w:r>
        <w:rPr>
          <w:rFonts w:hint="eastAsia" w:ascii="宋体" w:hAnsi="宋体"/>
          <w:bCs/>
          <w:color w:val="000000" w:themeColor="text1"/>
          <w:szCs w:val="28"/>
          <w14:textFill>
            <w14:solidFill>
              <w14:schemeClr w14:val="tx1"/>
            </w14:solidFill>
          </w14:textFill>
        </w:rPr>
        <w:t>%～</w:t>
      </w:r>
      <w:r>
        <w:rPr>
          <w:rFonts w:ascii="宋体" w:hAnsi="宋体"/>
          <w:bCs/>
          <w:color w:val="000000" w:themeColor="text1"/>
          <w:szCs w:val="28"/>
          <w14:textFill>
            <w14:solidFill>
              <w14:schemeClr w14:val="tx1"/>
            </w14:solidFill>
          </w14:textFill>
        </w:rPr>
        <w:t>3%的方向坡度，将汇水集中至坡脚排水沟排出，防止汇水冲刷台阶边坡</w:t>
      </w:r>
      <w:r>
        <w:rPr>
          <w:rFonts w:hint="eastAsia" w:ascii="宋体" w:hAnsi="宋体"/>
          <w:bCs/>
          <w:color w:val="000000" w:themeColor="text1"/>
          <w:szCs w:val="28"/>
          <w14:textFill>
            <w14:solidFill>
              <w14:schemeClr w14:val="tx1"/>
            </w14:solidFill>
          </w14:textFill>
        </w:rPr>
        <w:t>。</w:t>
      </w:r>
    </w:p>
    <w:p w14:paraId="5DC2E95D">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4、边坡防护工程</w:t>
      </w:r>
      <w:bookmarkEnd w:id="1124"/>
      <w:bookmarkEnd w:id="1125"/>
      <w:bookmarkEnd w:id="1126"/>
    </w:p>
    <w:p w14:paraId="197F7F1C">
      <w:pPr>
        <w:ind w:firstLine="560"/>
        <w:rPr>
          <w:rFonts w:hint="eastAsia" w:ascii="宋体" w:hAnsi="宋体"/>
          <w:color w:val="000000" w:themeColor="text1"/>
          <w:szCs w:val="28"/>
          <w:lang w:bidi="ar"/>
          <w14:textFill>
            <w14:solidFill>
              <w14:schemeClr w14:val="tx1"/>
            </w14:solidFill>
          </w14:textFill>
        </w:rPr>
      </w:pPr>
      <w:bookmarkStart w:id="1127" w:name="_Toc3627"/>
      <w:bookmarkStart w:id="1128" w:name="_Toc28977"/>
      <w:bookmarkStart w:id="1129" w:name="_Toc5476"/>
      <w:r>
        <w:rPr>
          <w:rFonts w:hint="eastAsia" w:ascii="宋体" w:hAnsi="宋体"/>
          <w:color w:val="000000" w:themeColor="text1"/>
          <w:szCs w:val="28"/>
          <w:lang w:bidi="ar"/>
          <w14:textFill>
            <w14:solidFill>
              <w14:schemeClr w14:val="tx1"/>
            </w14:solidFill>
          </w14:textFill>
        </w:rPr>
        <w:t>平台排水沟：</w:t>
      </w:r>
      <w:r>
        <w:rPr>
          <w:rFonts w:ascii="宋体" w:hAnsi="宋体"/>
          <w:color w:val="000000" w:themeColor="text1"/>
          <w:szCs w:val="28"/>
          <w14:textFill>
            <w14:solidFill>
              <w14:schemeClr w14:val="tx1"/>
            </w14:solidFill>
          </w14:textFill>
        </w:rPr>
        <w:t>断面尺寸0.4m×0.3m×0.3m</w:t>
      </w:r>
      <w:r>
        <w:rPr>
          <w:rFonts w:hint="eastAsia" w:ascii="宋体" w:hAnsi="宋体"/>
          <w:color w:val="000000" w:themeColor="text1"/>
          <w:szCs w:val="28"/>
          <w14:textFill>
            <w14:solidFill>
              <w14:schemeClr w14:val="tx1"/>
            </w14:solidFill>
          </w14:textFill>
        </w:rPr>
        <w:t>，全长约466m，工程量49m</w:t>
      </w:r>
      <w:r>
        <w:rPr>
          <w:rFonts w:hint="eastAsia" w:ascii="宋体" w:hAnsi="宋体"/>
          <w:color w:val="000000" w:themeColor="text1"/>
          <w:szCs w:val="28"/>
          <w:vertAlign w:val="superscript"/>
          <w14:textFill>
            <w14:solidFill>
              <w14:schemeClr w14:val="tx1"/>
            </w14:solidFill>
          </w14:textFill>
        </w:rPr>
        <w:t>3</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公路内侧排水沟</w:t>
      </w:r>
      <w:r>
        <w:rPr>
          <w:rFonts w:hint="eastAsia" w:ascii="宋体" w:hAnsi="宋体"/>
          <w:color w:val="000000" w:themeColor="text1"/>
          <w:szCs w:val="28"/>
          <w:lang w:bidi="ar"/>
          <w14:textFill>
            <w14:solidFill>
              <w14:schemeClr w14:val="tx1"/>
            </w14:solidFill>
          </w14:textFill>
        </w:rPr>
        <w:t>：</w:t>
      </w:r>
      <w:r>
        <w:rPr>
          <w:rFonts w:ascii="宋体" w:hAnsi="宋体"/>
          <w:color w:val="000000" w:themeColor="text1"/>
          <w:szCs w:val="28"/>
          <w14:textFill>
            <w14:solidFill>
              <w14:schemeClr w14:val="tx1"/>
            </w14:solidFill>
          </w14:textFill>
        </w:rPr>
        <w:t>断面尺寸0.</w:t>
      </w:r>
      <w:r>
        <w:rPr>
          <w:rFonts w:hint="eastAsia" w:ascii="宋体" w:hAnsi="宋体"/>
          <w:color w:val="000000" w:themeColor="text1"/>
          <w:szCs w:val="28"/>
          <w14:textFill>
            <w14:solidFill>
              <w14:schemeClr w14:val="tx1"/>
            </w14:solidFill>
          </w14:textFill>
        </w:rPr>
        <w:t>5</w:t>
      </w:r>
      <w:r>
        <w:rPr>
          <w:rFonts w:ascii="宋体" w:hAnsi="宋体"/>
          <w:color w:val="000000" w:themeColor="text1"/>
          <w:szCs w:val="28"/>
          <w14:textFill>
            <w14:solidFill>
              <w14:schemeClr w14:val="tx1"/>
            </w14:solidFill>
          </w14:textFill>
        </w:rPr>
        <w:t>m×0.</w:t>
      </w:r>
      <w:r>
        <w:rPr>
          <w:rFonts w:hint="eastAsia" w:ascii="宋体" w:hAnsi="宋体"/>
          <w:color w:val="000000" w:themeColor="text1"/>
          <w:szCs w:val="28"/>
          <w14:textFill>
            <w14:solidFill>
              <w14:schemeClr w14:val="tx1"/>
            </w14:solidFill>
          </w14:textFill>
        </w:rPr>
        <w:t>4</w:t>
      </w:r>
      <w:r>
        <w:rPr>
          <w:rFonts w:ascii="宋体" w:hAnsi="宋体"/>
          <w:color w:val="000000" w:themeColor="text1"/>
          <w:szCs w:val="28"/>
          <w14:textFill>
            <w14:solidFill>
              <w14:schemeClr w14:val="tx1"/>
            </w14:solidFill>
          </w14:textFill>
        </w:rPr>
        <w:t>m×0.3m</w:t>
      </w:r>
      <w:r>
        <w:rPr>
          <w:rFonts w:hint="eastAsia" w:ascii="宋体" w:hAnsi="宋体"/>
          <w:color w:val="000000" w:themeColor="text1"/>
          <w:szCs w:val="28"/>
          <w14:textFill>
            <w14:solidFill>
              <w14:schemeClr w14:val="tx1"/>
            </w14:solidFill>
          </w14:textFill>
        </w:rPr>
        <w:t>，全长约 1938m，工程量261.63m</w:t>
      </w:r>
      <w:r>
        <w:rPr>
          <w:rFonts w:hint="eastAsia" w:ascii="宋体" w:hAnsi="宋体"/>
          <w:color w:val="000000" w:themeColor="text1"/>
          <w:szCs w:val="28"/>
          <w:vertAlign w:val="superscript"/>
          <w14:textFill>
            <w14:solidFill>
              <w14:schemeClr w14:val="tx1"/>
            </w14:solidFill>
          </w14:textFill>
        </w:rPr>
        <w:t>3</w:t>
      </w:r>
      <w:r>
        <w:rPr>
          <w:rFonts w:hint="eastAsia" w:ascii="宋体" w:hAnsi="宋体"/>
          <w:color w:val="000000" w:themeColor="text1"/>
          <w:szCs w:val="28"/>
          <w:lang w:bidi="ar"/>
          <w14:textFill>
            <w14:solidFill>
              <w14:schemeClr w14:val="tx1"/>
            </w14:solidFill>
          </w14:textFill>
        </w:rPr>
        <w:t>。</w:t>
      </w:r>
    </w:p>
    <w:p w14:paraId="4B3C2558">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5、</w:t>
      </w:r>
      <w:r>
        <w:rPr>
          <w:rFonts w:ascii="宋体" w:hAnsi="宋体"/>
          <w:color w:val="000000" w:themeColor="text1"/>
          <w:szCs w:val="28"/>
          <w14:textFill>
            <w14:solidFill>
              <w14:schemeClr w14:val="tx1"/>
            </w14:solidFill>
          </w14:textFill>
        </w:rPr>
        <w:t>警示标志</w:t>
      </w:r>
      <w:r>
        <w:rPr>
          <w:rFonts w:hint="eastAsia" w:ascii="宋体" w:hAnsi="宋体"/>
          <w:color w:val="000000" w:themeColor="text1"/>
          <w:szCs w:val="28"/>
          <w14:textFill>
            <w14:solidFill>
              <w14:schemeClr w14:val="tx1"/>
            </w14:solidFill>
          </w14:textFill>
        </w:rPr>
        <w:t>及护栏</w:t>
      </w:r>
      <w:bookmarkEnd w:id="1127"/>
      <w:bookmarkEnd w:id="1128"/>
      <w:bookmarkEnd w:id="1129"/>
    </w:p>
    <w:p w14:paraId="5D718871">
      <w:pPr>
        <w:ind w:firstLine="560"/>
        <w:rPr>
          <w:rFonts w:hint="eastAsia" w:ascii="宋体" w:hAnsi="宋体"/>
          <w:color w:val="000000" w:themeColor="text1"/>
          <w:szCs w:val="28"/>
          <w14:textFill>
            <w14:solidFill>
              <w14:schemeClr w14:val="tx1"/>
            </w14:solidFill>
          </w14:textFill>
        </w:rPr>
      </w:pPr>
      <w:bookmarkStart w:id="1130" w:name="_Toc20332"/>
      <w:bookmarkStart w:id="1131" w:name="_Toc30791"/>
      <w:bookmarkStart w:id="1132" w:name="_Toc26996"/>
      <w:r>
        <w:rPr>
          <w:rFonts w:ascii="宋体" w:hAnsi="宋体"/>
          <w:color w:val="000000" w:themeColor="text1"/>
          <w:szCs w:val="28"/>
          <w14:textFill>
            <w14:solidFill>
              <w14:schemeClr w14:val="tx1"/>
            </w14:solidFill>
          </w14:textFill>
        </w:rPr>
        <w:t>在矿区</w:t>
      </w:r>
      <w:r>
        <w:rPr>
          <w:rFonts w:hint="eastAsia" w:ascii="宋体" w:hAnsi="宋体"/>
          <w:color w:val="000000" w:themeColor="text1"/>
          <w:szCs w:val="28"/>
          <w14:textFill>
            <w14:solidFill>
              <w14:schemeClr w14:val="tx1"/>
            </w14:solidFill>
          </w14:textFill>
        </w:rPr>
        <w:t>东南</w:t>
      </w:r>
      <w:r>
        <w:rPr>
          <w:rFonts w:ascii="宋体" w:hAnsi="宋体"/>
          <w:color w:val="000000" w:themeColor="text1"/>
          <w:szCs w:val="28"/>
          <w14:textFill>
            <w14:solidFill>
              <w14:schemeClr w14:val="tx1"/>
            </w14:solidFill>
          </w14:textFill>
        </w:rPr>
        <w:t>部</w:t>
      </w:r>
      <w:r>
        <w:rPr>
          <w:rFonts w:hint="eastAsia" w:ascii="宋体" w:hAnsi="宋体"/>
          <w:color w:val="000000" w:themeColor="text1"/>
          <w:szCs w:val="28"/>
          <w14:textFill>
            <w14:solidFill>
              <w14:schemeClr w14:val="tx1"/>
            </w14:solidFill>
          </w14:textFill>
        </w:rPr>
        <w:t>高陡边坡附近设置“</w:t>
      </w:r>
      <w:r>
        <w:rPr>
          <w:rFonts w:ascii="宋体" w:hAnsi="宋体"/>
          <w:color w:val="000000" w:themeColor="text1"/>
          <w:szCs w:val="28"/>
          <w14:textFill>
            <w14:solidFill>
              <w14:schemeClr w14:val="tx1"/>
            </w14:solidFill>
          </w14:textFill>
        </w:rPr>
        <w:t>禁止入内</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w:t>
      </w:r>
      <w:r>
        <w:rPr>
          <w:rFonts w:hint="eastAsia" w:ascii="宋体" w:hAnsi="宋体"/>
          <w:color w:val="000000" w:themeColor="text1"/>
          <w:szCs w:val="28"/>
          <w14:textFill>
            <w14:solidFill>
              <w14:schemeClr w14:val="tx1"/>
            </w14:solidFill>
          </w14:textFill>
        </w:rPr>
        <w:t>“当</w:t>
      </w:r>
      <w:r>
        <w:rPr>
          <w:rFonts w:ascii="宋体" w:hAnsi="宋体"/>
          <w:color w:val="000000" w:themeColor="text1"/>
          <w:szCs w:val="28"/>
          <w14:textFill>
            <w14:solidFill>
              <w14:schemeClr w14:val="tx1"/>
            </w14:solidFill>
          </w14:textFill>
        </w:rPr>
        <w:t>心落石</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等警示标志</w:t>
      </w:r>
      <w:r>
        <w:rPr>
          <w:rFonts w:hint="eastAsia" w:ascii="宋体" w:hAnsi="宋体"/>
          <w:color w:val="000000" w:themeColor="text1"/>
          <w:szCs w:val="28"/>
          <w14:textFill>
            <w14:solidFill>
              <w14:schemeClr w14:val="tx1"/>
            </w14:solidFill>
          </w14:textFill>
        </w:rPr>
        <w:t>；在矿区各路口设置“进入矿区，严禁放牧”、“限速15km/h”</w:t>
      </w:r>
      <w:r>
        <w:rPr>
          <w:rFonts w:ascii="宋体" w:hAnsi="宋体"/>
          <w:color w:val="000000" w:themeColor="text1"/>
          <w:szCs w:val="28"/>
          <w14:textFill>
            <w14:solidFill>
              <w14:schemeClr w14:val="tx1"/>
            </w14:solidFill>
          </w14:textFill>
        </w:rPr>
        <w:t>等警示标志</w:t>
      </w:r>
      <w:r>
        <w:rPr>
          <w:rFonts w:hint="eastAsia" w:ascii="宋体" w:hAnsi="宋体"/>
          <w:color w:val="000000" w:themeColor="text1"/>
          <w:szCs w:val="28"/>
          <w14:textFill>
            <w14:solidFill>
              <w14:schemeClr w14:val="tx1"/>
            </w14:solidFill>
          </w14:textFill>
        </w:rPr>
        <w:t>；</w:t>
      </w:r>
    </w:p>
    <w:p w14:paraId="678C5155">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矿区外围设置护栏（</w:t>
      </w:r>
      <w:r>
        <w:rPr>
          <w:rFonts w:ascii="宋体" w:hAnsi="宋体"/>
          <w:color w:val="000000" w:themeColor="text1"/>
          <w:szCs w:val="28"/>
          <w14:textFill>
            <w14:solidFill>
              <w14:schemeClr w14:val="tx1"/>
            </w14:solidFill>
          </w14:textFill>
        </w:rPr>
        <w:t>安全围栏采用水泥桩及铁丝网的结构形式，水泥桩设置高度为2m，每3m～5m设置一根水泥桩，铁丝网网格规格为300mm×300mm</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w:t>
      </w:r>
    </w:p>
    <w:p w14:paraId="0D19148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采剥工程量</w:t>
      </w:r>
      <w:bookmarkEnd w:id="1130"/>
      <w:bookmarkEnd w:id="1131"/>
      <w:bookmarkEnd w:id="1132"/>
    </w:p>
    <w:p w14:paraId="16345E8D">
      <w:pPr>
        <w:pStyle w:val="14"/>
        <w:ind w:firstLine="560"/>
        <w:rPr>
          <w:rFonts w:hint="eastAsia" w:ascii="宋体" w:hAnsi="宋体"/>
          <w:color w:val="000000" w:themeColor="text1"/>
          <w:kern w:val="10"/>
          <w:szCs w:val="28"/>
          <w14:textFill>
            <w14:solidFill>
              <w14:schemeClr w14:val="tx1"/>
            </w14:solidFill>
          </w14:textFill>
        </w:rPr>
      </w:pPr>
      <w:r>
        <w:rPr>
          <w:rFonts w:hint="eastAsia" w:ascii="宋体" w:hAnsi="宋体"/>
          <w:color w:val="000000" w:themeColor="text1"/>
          <w:kern w:val="10"/>
          <w:szCs w:val="28"/>
          <w14:textFill>
            <w14:solidFill>
              <w14:schemeClr w14:val="tx1"/>
            </w14:solidFill>
          </w14:textFill>
        </w:rPr>
        <w:t>矿山需采剥完成1420</w:t>
      </w:r>
      <w:r>
        <w:rPr>
          <w:rFonts w:ascii="宋体" w:hAnsi="宋体"/>
          <w:color w:val="000000" w:themeColor="text1"/>
          <w:kern w:val="10"/>
          <w:szCs w:val="28"/>
          <w14:textFill>
            <w14:solidFill>
              <w14:schemeClr w14:val="tx1"/>
            </w14:solidFill>
          </w14:textFill>
        </w:rPr>
        <w:t>m平台</w:t>
      </w:r>
      <w:r>
        <w:rPr>
          <w:rFonts w:hint="eastAsia" w:ascii="宋体" w:hAnsi="宋体"/>
          <w:color w:val="000000" w:themeColor="text1"/>
          <w:kern w:val="10"/>
          <w:szCs w:val="28"/>
          <w14:textFill>
            <w14:solidFill>
              <w14:schemeClr w14:val="tx1"/>
            </w14:solidFill>
          </w14:textFill>
        </w:rPr>
        <w:t>、1405m</w:t>
      </w:r>
      <w:r>
        <w:rPr>
          <w:rFonts w:ascii="宋体" w:hAnsi="宋体"/>
          <w:color w:val="000000" w:themeColor="text1"/>
          <w:kern w:val="10"/>
          <w:szCs w:val="28"/>
          <w14:textFill>
            <w14:solidFill>
              <w14:schemeClr w14:val="tx1"/>
            </w14:solidFill>
          </w14:textFill>
        </w:rPr>
        <w:t>平台</w:t>
      </w:r>
      <w:r>
        <w:rPr>
          <w:rFonts w:hint="eastAsia" w:ascii="宋体" w:hAnsi="宋体"/>
          <w:color w:val="000000" w:themeColor="text1"/>
          <w:kern w:val="10"/>
          <w:szCs w:val="28"/>
          <w14:textFill>
            <w14:solidFill>
              <w14:schemeClr w14:val="tx1"/>
            </w14:solidFill>
          </w14:textFill>
        </w:rPr>
        <w:t>、1390</w:t>
      </w:r>
      <w:r>
        <w:rPr>
          <w:rFonts w:ascii="宋体" w:hAnsi="宋体"/>
          <w:color w:val="000000" w:themeColor="text1"/>
          <w:kern w:val="10"/>
          <w:szCs w:val="28"/>
          <w14:textFill>
            <w14:solidFill>
              <w14:schemeClr w14:val="tx1"/>
            </w14:solidFill>
          </w14:textFill>
        </w:rPr>
        <w:t>平台</w:t>
      </w:r>
      <w:r>
        <w:rPr>
          <w:rFonts w:hint="eastAsia" w:ascii="宋体" w:hAnsi="宋体"/>
          <w:color w:val="000000" w:themeColor="text1"/>
          <w:kern w:val="10"/>
          <w:szCs w:val="28"/>
          <w14:textFill>
            <w14:solidFill>
              <w14:schemeClr w14:val="tx1"/>
            </w14:solidFill>
          </w14:textFill>
        </w:rPr>
        <w:t>和</w:t>
      </w:r>
      <w:r>
        <w:rPr>
          <w:rFonts w:ascii="宋体" w:hAnsi="宋体"/>
          <w:color w:val="000000" w:themeColor="text1"/>
          <w:kern w:val="10"/>
          <w:szCs w:val="28"/>
          <w14:textFill>
            <w14:solidFill>
              <w14:schemeClr w14:val="tx1"/>
            </w14:solidFill>
          </w14:textFill>
        </w:rPr>
        <w:t>形成</w:t>
      </w:r>
      <w:r>
        <w:rPr>
          <w:rFonts w:hint="eastAsia" w:ascii="宋体" w:hAnsi="宋体"/>
          <w:color w:val="000000" w:themeColor="text1"/>
          <w:kern w:val="10"/>
          <w:szCs w:val="28"/>
          <w14:textFill>
            <w14:solidFill>
              <w14:schemeClr w14:val="tx1"/>
            </w14:solidFill>
          </w14:textFill>
        </w:rPr>
        <w:t>1375</w:t>
      </w:r>
      <w:r>
        <w:rPr>
          <w:rFonts w:ascii="宋体" w:hAnsi="宋体"/>
          <w:color w:val="000000" w:themeColor="text1"/>
          <w:kern w:val="10"/>
          <w:szCs w:val="28"/>
          <w14:textFill>
            <w14:solidFill>
              <w14:schemeClr w14:val="tx1"/>
            </w14:solidFill>
          </w14:textFill>
        </w:rPr>
        <w:t>m基建平台</w:t>
      </w:r>
      <w:r>
        <w:rPr>
          <w:rFonts w:hint="eastAsia" w:ascii="宋体" w:hAnsi="宋体"/>
          <w:color w:val="000000" w:themeColor="text1"/>
          <w:kern w:val="10"/>
          <w:szCs w:val="28"/>
          <w14:textFill>
            <w14:solidFill>
              <w14:schemeClr w14:val="tx1"/>
            </w14:solidFill>
          </w14:textFill>
        </w:rPr>
        <w:t>。工程总量为：</w:t>
      </w:r>
    </w:p>
    <w:p w14:paraId="721BF7D9">
      <w:pPr>
        <w:pStyle w:val="64"/>
        <w:spacing w:before="120" w:after="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 xml:space="preserve"> 基建采剥工程量表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03"/>
        <w:gridCol w:w="2481"/>
        <w:gridCol w:w="2798"/>
        <w:gridCol w:w="1833"/>
      </w:tblGrid>
      <w:tr w14:paraId="26DA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tblHeader/>
          <w:jc w:val="center"/>
        </w:trPr>
        <w:tc>
          <w:tcPr>
            <w:tcW w:w="2064" w:type="dxa"/>
            <w:vMerge w:val="restart"/>
            <w:vAlign w:val="center"/>
          </w:tcPr>
          <w:p w14:paraId="36003B9D">
            <w:pPr>
              <w:widowControl/>
              <w:ind w:firstLine="402"/>
              <w:jc w:val="center"/>
              <w:textAlignment w:val="center"/>
              <w:rPr>
                <w:rFonts w:hint="eastAsia" w:ascii="宋体" w:hAnsi="宋体" w:cs="宋体"/>
                <w:b/>
                <w:bCs/>
                <w:color w:val="000000" w:themeColor="text1"/>
                <w:sz w:val="20"/>
                <w14:textFill>
                  <w14:solidFill>
                    <w14:schemeClr w14:val="tx1"/>
                  </w14:solidFill>
                </w14:textFill>
              </w:rPr>
            </w:pPr>
            <w:bookmarkStart w:id="1133" w:name="_Hlk208847058"/>
            <w:r>
              <w:rPr>
                <w:rFonts w:hint="eastAsia" w:ascii="宋体" w:hAnsi="宋体" w:cs="宋体"/>
                <w:b/>
                <w:bCs/>
                <w:color w:val="000000" w:themeColor="text1"/>
                <w:kern w:val="0"/>
                <w:sz w:val="20"/>
                <w:lang w:bidi="ar"/>
                <w14:textFill>
                  <w14:solidFill>
                    <w14:schemeClr w14:val="tx1"/>
                  </w14:solidFill>
                </w14:textFill>
              </w:rPr>
              <w:t>基建标高（m）</w:t>
            </w:r>
          </w:p>
        </w:tc>
        <w:tc>
          <w:tcPr>
            <w:tcW w:w="2435" w:type="dxa"/>
            <w:vAlign w:val="center"/>
          </w:tcPr>
          <w:p w14:paraId="41FBD292">
            <w:pPr>
              <w:widowControl/>
              <w:ind w:firstLine="402"/>
              <w:jc w:val="center"/>
              <w:textAlignment w:val="center"/>
              <w:rPr>
                <w:rFonts w:hint="eastAsia" w:ascii="宋体" w:hAnsi="宋体" w:cs="宋体"/>
                <w:b/>
                <w:bCs/>
                <w:color w:val="000000" w:themeColor="text1"/>
                <w:kern w:val="0"/>
                <w:sz w:val="20"/>
                <w:lang w:bidi="ar"/>
                <w14:textFill>
                  <w14:solidFill>
                    <w14:schemeClr w14:val="tx1"/>
                  </w14:solidFill>
                </w14:textFill>
              </w:rPr>
            </w:pPr>
            <w:r>
              <w:rPr>
                <w:rFonts w:hint="eastAsia" w:ascii="宋体" w:hAnsi="宋体" w:cs="宋体"/>
                <w:b/>
                <w:bCs/>
                <w:color w:val="000000" w:themeColor="text1"/>
                <w:kern w:val="0"/>
                <w:sz w:val="20"/>
                <w:lang w:bidi="ar"/>
                <w14:textFill>
                  <w14:solidFill>
                    <w14:schemeClr w14:val="tx1"/>
                  </w14:solidFill>
                </w14:textFill>
              </w:rPr>
              <w:t>矿</w:t>
            </w:r>
          </w:p>
        </w:tc>
        <w:tc>
          <w:tcPr>
            <w:tcW w:w="2747" w:type="dxa"/>
            <w:vAlign w:val="center"/>
          </w:tcPr>
          <w:p w14:paraId="74CA1163">
            <w:pPr>
              <w:widowControl/>
              <w:ind w:firstLine="402"/>
              <w:jc w:val="center"/>
              <w:textAlignment w:val="center"/>
              <w:rPr>
                <w:rFonts w:hint="eastAsia" w:ascii="宋体" w:hAnsi="宋体" w:cs="宋体"/>
                <w:b/>
                <w:bCs/>
                <w:color w:val="000000" w:themeColor="text1"/>
                <w:kern w:val="0"/>
                <w:sz w:val="20"/>
                <w:lang w:bidi="ar"/>
                <w14:textFill>
                  <w14:solidFill>
                    <w14:schemeClr w14:val="tx1"/>
                  </w14:solidFill>
                </w14:textFill>
              </w:rPr>
            </w:pPr>
            <w:r>
              <w:rPr>
                <w:rFonts w:hint="eastAsia" w:ascii="宋体" w:hAnsi="宋体" w:cs="宋体"/>
                <w:b/>
                <w:bCs/>
                <w:color w:val="000000" w:themeColor="text1"/>
                <w:kern w:val="0"/>
                <w:sz w:val="20"/>
                <w:lang w:bidi="ar"/>
                <w14:textFill>
                  <w14:solidFill>
                    <w14:schemeClr w14:val="tx1"/>
                  </w14:solidFill>
                </w14:textFill>
              </w:rPr>
              <w:t>剥岩量</w:t>
            </w:r>
          </w:p>
        </w:tc>
        <w:tc>
          <w:tcPr>
            <w:tcW w:w="1799" w:type="dxa"/>
            <w:vAlign w:val="center"/>
          </w:tcPr>
          <w:p w14:paraId="070A07D1">
            <w:pPr>
              <w:widowControl/>
              <w:ind w:firstLine="402"/>
              <w:jc w:val="center"/>
              <w:textAlignment w:val="center"/>
              <w:rPr>
                <w:rFonts w:hint="eastAsia" w:ascii="宋体" w:hAnsi="宋体" w:cs="宋体"/>
                <w:b/>
                <w:bCs/>
                <w:color w:val="000000" w:themeColor="text1"/>
                <w:kern w:val="0"/>
                <w:sz w:val="20"/>
                <w:lang w:bidi="ar"/>
                <w14:textFill>
                  <w14:solidFill>
                    <w14:schemeClr w14:val="tx1"/>
                  </w14:solidFill>
                </w14:textFill>
              </w:rPr>
            </w:pPr>
            <w:r>
              <w:rPr>
                <w:rFonts w:hint="eastAsia" w:ascii="宋体" w:hAnsi="宋体" w:cs="宋体"/>
                <w:b/>
                <w:bCs/>
                <w:color w:val="000000" w:themeColor="text1"/>
                <w:kern w:val="0"/>
                <w:sz w:val="20"/>
                <w:lang w:bidi="ar"/>
                <w14:textFill>
                  <w14:solidFill>
                    <w14:schemeClr w14:val="tx1"/>
                  </w14:solidFill>
                </w14:textFill>
              </w:rPr>
              <w:t>采剥总量</w:t>
            </w:r>
          </w:p>
        </w:tc>
      </w:tr>
      <w:tr w14:paraId="7F24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tblHeader/>
          <w:jc w:val="center"/>
        </w:trPr>
        <w:tc>
          <w:tcPr>
            <w:tcW w:w="2064" w:type="dxa"/>
            <w:vMerge w:val="continue"/>
            <w:vAlign w:val="center"/>
          </w:tcPr>
          <w:p w14:paraId="2A2D4DBB">
            <w:pPr>
              <w:widowControl/>
              <w:ind w:firstLine="402"/>
              <w:jc w:val="center"/>
              <w:textAlignment w:val="center"/>
              <w:rPr>
                <w:rFonts w:hint="eastAsia" w:ascii="宋体" w:hAnsi="宋体" w:cs="宋体"/>
                <w:b/>
                <w:bCs/>
                <w:color w:val="000000" w:themeColor="text1"/>
                <w:sz w:val="20"/>
                <w14:textFill>
                  <w14:solidFill>
                    <w14:schemeClr w14:val="tx1"/>
                  </w14:solidFill>
                </w14:textFill>
              </w:rPr>
            </w:pPr>
          </w:p>
        </w:tc>
        <w:tc>
          <w:tcPr>
            <w:tcW w:w="2435" w:type="dxa"/>
            <w:vAlign w:val="center"/>
          </w:tcPr>
          <w:p w14:paraId="270BB9E7">
            <w:pPr>
              <w:autoSpaceDN w:val="0"/>
              <w:ind w:firstLine="402"/>
              <w:jc w:val="center"/>
              <w:textAlignment w:val="center"/>
              <w:rPr>
                <w:rFonts w:hint="eastAsia" w:ascii="宋体" w:hAnsi="宋体" w:cs="宋体"/>
                <w:b/>
                <w:bCs/>
                <w:color w:val="000000" w:themeColor="text1"/>
                <w:kern w:val="0"/>
                <w:sz w:val="20"/>
                <w:lang w:bidi="ar"/>
                <w14:textFill>
                  <w14:solidFill>
                    <w14:schemeClr w14:val="tx1"/>
                  </w14:solidFill>
                </w14:textFill>
              </w:rPr>
            </w:pPr>
            <w:r>
              <w:rPr>
                <w:rFonts w:hint="eastAsia" w:ascii="宋体" w:hAnsi="宋体" w:cs="宋体"/>
                <w:b/>
                <w:bCs/>
                <w:color w:val="000000" w:themeColor="text1"/>
                <w:kern w:val="0"/>
                <w:sz w:val="20"/>
                <w:lang w:bidi="ar"/>
                <w14:textFill>
                  <w14:solidFill>
                    <w14:schemeClr w14:val="tx1"/>
                  </w14:solidFill>
                </w14:textFill>
              </w:rPr>
              <w:t>万t</w:t>
            </w:r>
          </w:p>
        </w:tc>
        <w:tc>
          <w:tcPr>
            <w:tcW w:w="2747" w:type="dxa"/>
            <w:vAlign w:val="center"/>
          </w:tcPr>
          <w:p w14:paraId="07E7AAE3">
            <w:pPr>
              <w:widowControl/>
              <w:ind w:firstLine="402"/>
              <w:jc w:val="center"/>
              <w:textAlignment w:val="center"/>
              <w:rPr>
                <w:rFonts w:hint="eastAsia" w:ascii="宋体" w:hAnsi="宋体" w:cs="宋体"/>
                <w:b/>
                <w:bCs/>
                <w:color w:val="000000" w:themeColor="text1"/>
                <w:kern w:val="0"/>
                <w:sz w:val="20"/>
                <w:lang w:bidi="ar"/>
                <w14:textFill>
                  <w14:solidFill>
                    <w14:schemeClr w14:val="tx1"/>
                  </w14:solidFill>
                </w14:textFill>
              </w:rPr>
            </w:pPr>
            <w:r>
              <w:rPr>
                <w:rFonts w:hint="eastAsia" w:ascii="宋体" w:hAnsi="宋体" w:cs="宋体"/>
                <w:b/>
                <w:bCs/>
                <w:color w:val="000000" w:themeColor="text1"/>
                <w:kern w:val="0"/>
                <w:sz w:val="20"/>
                <w:lang w:bidi="ar"/>
                <w14:textFill>
                  <w14:solidFill>
                    <w14:schemeClr w14:val="tx1"/>
                  </w14:solidFill>
                </w14:textFill>
              </w:rPr>
              <w:t>万t</w:t>
            </w:r>
          </w:p>
        </w:tc>
        <w:tc>
          <w:tcPr>
            <w:tcW w:w="1799" w:type="dxa"/>
            <w:vAlign w:val="center"/>
          </w:tcPr>
          <w:p w14:paraId="5D938361">
            <w:pPr>
              <w:widowControl/>
              <w:ind w:firstLine="402"/>
              <w:jc w:val="center"/>
              <w:textAlignment w:val="center"/>
              <w:rPr>
                <w:rFonts w:hint="eastAsia" w:ascii="宋体" w:hAnsi="宋体" w:cs="宋体"/>
                <w:b/>
                <w:bCs/>
                <w:color w:val="000000" w:themeColor="text1"/>
                <w:kern w:val="0"/>
                <w:sz w:val="20"/>
                <w:lang w:bidi="ar"/>
                <w14:textFill>
                  <w14:solidFill>
                    <w14:schemeClr w14:val="tx1"/>
                  </w14:solidFill>
                </w14:textFill>
              </w:rPr>
            </w:pPr>
            <w:r>
              <w:rPr>
                <w:rFonts w:hint="eastAsia" w:ascii="宋体" w:hAnsi="宋体" w:cs="宋体"/>
                <w:b/>
                <w:bCs/>
                <w:color w:val="000000" w:themeColor="text1"/>
                <w:kern w:val="0"/>
                <w:sz w:val="20"/>
                <w:lang w:bidi="ar"/>
                <w14:textFill>
                  <w14:solidFill>
                    <w14:schemeClr w14:val="tx1"/>
                  </w14:solidFill>
                </w14:textFill>
              </w:rPr>
              <w:t>万t</w:t>
            </w:r>
          </w:p>
        </w:tc>
      </w:tr>
      <w:tr w14:paraId="2005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064" w:type="dxa"/>
            <w:vAlign w:val="center"/>
          </w:tcPr>
          <w:p w14:paraId="261D5652">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1420</w:t>
            </w:r>
          </w:p>
        </w:tc>
        <w:tc>
          <w:tcPr>
            <w:tcW w:w="2435" w:type="dxa"/>
            <w:vAlign w:val="center"/>
          </w:tcPr>
          <w:p w14:paraId="4E855EEE">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0.38 </w:t>
            </w:r>
          </w:p>
        </w:tc>
        <w:tc>
          <w:tcPr>
            <w:tcW w:w="2747" w:type="dxa"/>
            <w:vAlign w:val="center"/>
          </w:tcPr>
          <w:p w14:paraId="6D97B3D0">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0.00 </w:t>
            </w:r>
          </w:p>
        </w:tc>
        <w:tc>
          <w:tcPr>
            <w:tcW w:w="1799" w:type="dxa"/>
            <w:vAlign w:val="center"/>
          </w:tcPr>
          <w:p w14:paraId="6FDA2D38">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0.38 </w:t>
            </w:r>
          </w:p>
        </w:tc>
      </w:tr>
      <w:tr w14:paraId="2C3F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064" w:type="dxa"/>
            <w:vAlign w:val="center"/>
          </w:tcPr>
          <w:p w14:paraId="138560CE">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1405</w:t>
            </w:r>
          </w:p>
        </w:tc>
        <w:tc>
          <w:tcPr>
            <w:tcW w:w="2435" w:type="dxa"/>
            <w:vAlign w:val="center"/>
          </w:tcPr>
          <w:p w14:paraId="7EDF742E">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4.72 </w:t>
            </w:r>
          </w:p>
        </w:tc>
        <w:tc>
          <w:tcPr>
            <w:tcW w:w="2747" w:type="dxa"/>
            <w:vAlign w:val="center"/>
          </w:tcPr>
          <w:p w14:paraId="5D791580">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0.02 </w:t>
            </w:r>
          </w:p>
        </w:tc>
        <w:tc>
          <w:tcPr>
            <w:tcW w:w="1799" w:type="dxa"/>
            <w:vAlign w:val="center"/>
          </w:tcPr>
          <w:p w14:paraId="093AB508">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4.75 </w:t>
            </w:r>
          </w:p>
        </w:tc>
      </w:tr>
      <w:tr w14:paraId="0AFC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064" w:type="dxa"/>
            <w:vAlign w:val="center"/>
          </w:tcPr>
          <w:p w14:paraId="21BA4421">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1390</w:t>
            </w:r>
          </w:p>
        </w:tc>
        <w:tc>
          <w:tcPr>
            <w:tcW w:w="2435" w:type="dxa"/>
            <w:vAlign w:val="center"/>
          </w:tcPr>
          <w:p w14:paraId="01D461EF">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10.43 </w:t>
            </w:r>
          </w:p>
        </w:tc>
        <w:tc>
          <w:tcPr>
            <w:tcW w:w="2747" w:type="dxa"/>
            <w:vAlign w:val="center"/>
          </w:tcPr>
          <w:p w14:paraId="4BBDCD4A">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0.05 </w:t>
            </w:r>
          </w:p>
        </w:tc>
        <w:tc>
          <w:tcPr>
            <w:tcW w:w="1799" w:type="dxa"/>
            <w:vAlign w:val="center"/>
          </w:tcPr>
          <w:p w14:paraId="4B7963F4">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10.48 </w:t>
            </w:r>
          </w:p>
        </w:tc>
      </w:tr>
      <w:tr w14:paraId="5716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064" w:type="dxa"/>
            <w:vAlign w:val="center"/>
          </w:tcPr>
          <w:p w14:paraId="1181C2D9">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1375</w:t>
            </w:r>
          </w:p>
        </w:tc>
        <w:tc>
          <w:tcPr>
            <w:tcW w:w="2435" w:type="dxa"/>
            <w:vAlign w:val="center"/>
          </w:tcPr>
          <w:p w14:paraId="3A1CB109">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15.81 </w:t>
            </w:r>
          </w:p>
        </w:tc>
        <w:tc>
          <w:tcPr>
            <w:tcW w:w="2747" w:type="dxa"/>
            <w:vAlign w:val="center"/>
          </w:tcPr>
          <w:p w14:paraId="79C07491">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0.08 </w:t>
            </w:r>
          </w:p>
        </w:tc>
        <w:tc>
          <w:tcPr>
            <w:tcW w:w="1799" w:type="dxa"/>
            <w:vAlign w:val="center"/>
          </w:tcPr>
          <w:p w14:paraId="6744D7C2">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15.89 </w:t>
            </w:r>
          </w:p>
        </w:tc>
      </w:tr>
      <w:tr w14:paraId="20D5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064" w:type="dxa"/>
            <w:vAlign w:val="center"/>
          </w:tcPr>
          <w:p w14:paraId="06315CED">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合计</w:t>
            </w:r>
          </w:p>
        </w:tc>
        <w:tc>
          <w:tcPr>
            <w:tcW w:w="2435" w:type="dxa"/>
            <w:vAlign w:val="center"/>
          </w:tcPr>
          <w:p w14:paraId="2EC69ABC">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31.33 </w:t>
            </w:r>
          </w:p>
        </w:tc>
        <w:tc>
          <w:tcPr>
            <w:tcW w:w="2747" w:type="dxa"/>
            <w:vAlign w:val="center"/>
          </w:tcPr>
          <w:p w14:paraId="142ADF56">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0.16 </w:t>
            </w:r>
          </w:p>
        </w:tc>
        <w:tc>
          <w:tcPr>
            <w:tcW w:w="1799" w:type="dxa"/>
            <w:vAlign w:val="center"/>
          </w:tcPr>
          <w:p w14:paraId="4BC6B331">
            <w:pPr>
              <w:widowControl/>
              <w:ind w:firstLine="400"/>
              <w:jc w:val="center"/>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 xml:space="preserve">31.49 </w:t>
            </w:r>
          </w:p>
        </w:tc>
      </w:tr>
      <w:bookmarkEnd w:id="1133"/>
    </w:tbl>
    <w:p w14:paraId="320CB92B">
      <w:pPr>
        <w:pStyle w:val="14"/>
        <w:adjustRightInd w:val="0"/>
        <w:snapToGrid w:val="0"/>
        <w:spacing w:line="240" w:lineRule="auto"/>
        <w:ind w:firstLine="482"/>
        <w:jc w:val="center"/>
        <w:rPr>
          <w:b/>
          <w:bCs/>
          <w:color w:val="000000" w:themeColor="text1"/>
          <w:sz w:val="24"/>
          <w14:textFill>
            <w14:solidFill>
              <w14:schemeClr w14:val="tx1"/>
            </w14:solidFill>
          </w14:textFill>
        </w:rPr>
      </w:pPr>
    </w:p>
    <w:p w14:paraId="2D288123">
      <w:pPr>
        <w:pStyle w:val="14"/>
        <w:adjustRightInd w:val="0"/>
        <w:snapToGrid w:val="0"/>
        <w:spacing w:line="240" w:lineRule="auto"/>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2.4-8</w:t>
      </w:r>
      <w:r>
        <w:rPr>
          <w:b/>
          <w:bCs/>
          <w:color w:val="000000" w:themeColor="text1"/>
          <w:sz w:val="24"/>
          <w14:textFill>
            <w14:solidFill>
              <w14:schemeClr w14:val="tx1"/>
            </w14:solidFill>
          </w14:textFill>
        </w:rPr>
        <w:t xml:space="preserve">  基建工程量表</w:t>
      </w:r>
    </w:p>
    <w:tbl>
      <w:tblPr>
        <w:tblStyle w:val="44"/>
        <w:tblW w:w="89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953"/>
        <w:gridCol w:w="1061"/>
        <w:gridCol w:w="1420"/>
        <w:gridCol w:w="3754"/>
      </w:tblGrid>
      <w:tr w14:paraId="16303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800" w:type="dxa"/>
            <w:vAlign w:val="center"/>
          </w:tcPr>
          <w:p w14:paraId="05EEDF61">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序号</w:t>
            </w:r>
          </w:p>
        </w:tc>
        <w:tc>
          <w:tcPr>
            <w:tcW w:w="1953" w:type="dxa"/>
            <w:vAlign w:val="center"/>
          </w:tcPr>
          <w:p w14:paraId="37FC408A">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工程名称</w:t>
            </w:r>
          </w:p>
        </w:tc>
        <w:tc>
          <w:tcPr>
            <w:tcW w:w="1061" w:type="dxa"/>
            <w:vAlign w:val="center"/>
          </w:tcPr>
          <w:p w14:paraId="6344BFBA">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单位</w:t>
            </w:r>
          </w:p>
        </w:tc>
        <w:tc>
          <w:tcPr>
            <w:tcW w:w="1420" w:type="dxa"/>
            <w:vAlign w:val="center"/>
          </w:tcPr>
          <w:p w14:paraId="5F7C3B5A">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工程量</w:t>
            </w:r>
          </w:p>
        </w:tc>
        <w:tc>
          <w:tcPr>
            <w:tcW w:w="3754" w:type="dxa"/>
            <w:vAlign w:val="center"/>
          </w:tcPr>
          <w:p w14:paraId="3BFDE468">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备  注</w:t>
            </w:r>
          </w:p>
        </w:tc>
      </w:tr>
      <w:tr w14:paraId="1870F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vAlign w:val="center"/>
          </w:tcPr>
          <w:p w14:paraId="5274356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w:t>
            </w:r>
          </w:p>
        </w:tc>
        <w:tc>
          <w:tcPr>
            <w:tcW w:w="1953" w:type="dxa"/>
            <w:vAlign w:val="center"/>
          </w:tcPr>
          <w:p w14:paraId="4F3132D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开拓运输道路</w:t>
            </w:r>
          </w:p>
        </w:tc>
        <w:tc>
          <w:tcPr>
            <w:tcW w:w="1061" w:type="dxa"/>
            <w:vAlign w:val="center"/>
          </w:tcPr>
          <w:p w14:paraId="2D774E9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m/m</w:t>
            </w:r>
            <w:r>
              <w:rPr>
                <w:rFonts w:hint="eastAsia" w:ascii="宋体" w:hAnsi="宋体" w:cs="宋体"/>
                <w:color w:val="000000" w:themeColor="text1"/>
                <w:sz w:val="20"/>
                <w:vertAlign w:val="superscript"/>
                <w14:textFill>
                  <w14:solidFill>
                    <w14:schemeClr w14:val="tx1"/>
                  </w14:solidFill>
                </w14:textFill>
              </w:rPr>
              <w:t>3</w:t>
            </w:r>
          </w:p>
        </w:tc>
        <w:tc>
          <w:tcPr>
            <w:tcW w:w="1420" w:type="dxa"/>
            <w:vAlign w:val="center"/>
          </w:tcPr>
          <w:p w14:paraId="550E1E4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xml:space="preserve">300/1437 </w:t>
            </w:r>
          </w:p>
        </w:tc>
        <w:tc>
          <w:tcPr>
            <w:tcW w:w="3754" w:type="dxa"/>
            <w:vAlign w:val="center"/>
          </w:tcPr>
          <w:p w14:paraId="19ACE24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路面宽6m，平均坡度8.3%</w:t>
            </w:r>
          </w:p>
        </w:tc>
      </w:tr>
      <w:tr w14:paraId="72082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00" w:type="dxa"/>
            <w:vAlign w:val="center"/>
          </w:tcPr>
          <w:p w14:paraId="40726C4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w:t>
            </w:r>
          </w:p>
        </w:tc>
        <w:tc>
          <w:tcPr>
            <w:tcW w:w="1953" w:type="dxa"/>
            <w:vAlign w:val="center"/>
          </w:tcPr>
          <w:p w14:paraId="00B1347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采剥量</w:t>
            </w:r>
          </w:p>
        </w:tc>
        <w:tc>
          <w:tcPr>
            <w:tcW w:w="1061" w:type="dxa"/>
            <w:vAlign w:val="center"/>
          </w:tcPr>
          <w:p w14:paraId="2935998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万  t/万m</w:t>
            </w:r>
            <w:r>
              <w:rPr>
                <w:rFonts w:hint="eastAsia" w:ascii="宋体" w:hAnsi="宋体" w:cs="宋体"/>
                <w:color w:val="000000" w:themeColor="text1"/>
                <w:sz w:val="20"/>
                <w:vertAlign w:val="superscript"/>
                <w14:textFill>
                  <w14:solidFill>
                    <w14:schemeClr w14:val="tx1"/>
                  </w14:solidFill>
                </w14:textFill>
              </w:rPr>
              <w:t>3</w:t>
            </w:r>
          </w:p>
        </w:tc>
        <w:tc>
          <w:tcPr>
            <w:tcW w:w="1420" w:type="dxa"/>
            <w:vAlign w:val="center"/>
          </w:tcPr>
          <w:p w14:paraId="0850D9D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31.49/12.15</w:t>
            </w:r>
          </w:p>
        </w:tc>
        <w:tc>
          <w:tcPr>
            <w:tcW w:w="3754" w:type="dxa"/>
            <w:vAlign w:val="center"/>
          </w:tcPr>
          <w:p w14:paraId="20C2F39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形成1420m、1405m、1390m和1375m基建平台</w:t>
            </w:r>
          </w:p>
        </w:tc>
      </w:tr>
      <w:tr w14:paraId="311A8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vAlign w:val="center"/>
          </w:tcPr>
          <w:p w14:paraId="3D55A1D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w:t>
            </w:r>
          </w:p>
        </w:tc>
        <w:tc>
          <w:tcPr>
            <w:tcW w:w="1953" w:type="dxa"/>
            <w:vAlign w:val="center"/>
          </w:tcPr>
          <w:p w14:paraId="192F1D7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矿区外围安全防护围栏</w:t>
            </w:r>
          </w:p>
        </w:tc>
        <w:tc>
          <w:tcPr>
            <w:tcW w:w="1061" w:type="dxa"/>
            <w:vAlign w:val="center"/>
          </w:tcPr>
          <w:p w14:paraId="3F89F59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1420" w:type="dxa"/>
            <w:vAlign w:val="center"/>
          </w:tcPr>
          <w:p w14:paraId="2AA02EE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xml:space="preserve">636   </w:t>
            </w:r>
          </w:p>
        </w:tc>
        <w:tc>
          <w:tcPr>
            <w:tcW w:w="3754" w:type="dxa"/>
            <w:vAlign w:val="center"/>
          </w:tcPr>
          <w:p w14:paraId="5E34F7F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采用钢丝网或彩带</w:t>
            </w:r>
          </w:p>
        </w:tc>
      </w:tr>
      <w:tr w14:paraId="7F9AE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vAlign w:val="center"/>
          </w:tcPr>
          <w:p w14:paraId="60B11B1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4</w:t>
            </w:r>
          </w:p>
        </w:tc>
        <w:tc>
          <w:tcPr>
            <w:tcW w:w="1953" w:type="dxa"/>
            <w:vAlign w:val="center"/>
          </w:tcPr>
          <w:p w14:paraId="056943A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排水沟</w:t>
            </w:r>
          </w:p>
        </w:tc>
        <w:tc>
          <w:tcPr>
            <w:tcW w:w="1061" w:type="dxa"/>
            <w:vAlign w:val="center"/>
          </w:tcPr>
          <w:p w14:paraId="3255590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m/m</w:t>
            </w:r>
            <w:r>
              <w:rPr>
                <w:rFonts w:hint="eastAsia" w:ascii="宋体" w:hAnsi="宋体" w:cs="宋体"/>
                <w:color w:val="000000" w:themeColor="text1"/>
                <w:sz w:val="20"/>
                <w:vertAlign w:val="superscript"/>
                <w14:textFill>
                  <w14:solidFill>
                    <w14:schemeClr w14:val="tx1"/>
                  </w14:solidFill>
                </w14:textFill>
              </w:rPr>
              <w:t>3</w:t>
            </w:r>
          </w:p>
        </w:tc>
        <w:tc>
          <w:tcPr>
            <w:tcW w:w="1420" w:type="dxa"/>
            <w:vAlign w:val="center"/>
          </w:tcPr>
          <w:p w14:paraId="0F442E1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2404/310.63</w:t>
            </w:r>
          </w:p>
        </w:tc>
        <w:tc>
          <w:tcPr>
            <w:tcW w:w="3754" w:type="dxa"/>
            <w:vAlign w:val="center"/>
          </w:tcPr>
          <w:p w14:paraId="45A9011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规格：0.4m×0.3m×0.3m（平台排水沟），全长466m，工程量49m</w:t>
            </w:r>
            <w:r>
              <w:rPr>
                <w:rFonts w:hint="eastAsia" w:ascii="宋体" w:hAnsi="宋体" w:cs="宋体"/>
                <w:color w:val="000000" w:themeColor="text1"/>
                <w:sz w:val="20"/>
                <w:vertAlign w:val="superscript"/>
                <w14:textFill>
                  <w14:solidFill>
                    <w14:schemeClr w14:val="tx1"/>
                  </w14:solidFill>
                </w14:textFill>
              </w:rPr>
              <w:t>3</w:t>
            </w:r>
            <w:r>
              <w:rPr>
                <w:rFonts w:hint="eastAsia" w:ascii="宋体" w:hAnsi="宋体" w:cs="宋体"/>
                <w:color w:val="000000" w:themeColor="text1"/>
                <w:sz w:val="20"/>
                <w14:textFill>
                  <w14:solidFill>
                    <w14:schemeClr w14:val="tx1"/>
                  </w14:solidFill>
                </w14:textFill>
              </w:rPr>
              <w:t>；0.5m×0.4m×0.3m（公路内侧排水沟），全长1938m，工程量261.63m</w:t>
            </w:r>
            <w:r>
              <w:rPr>
                <w:rFonts w:hint="eastAsia" w:ascii="宋体" w:hAnsi="宋体" w:cs="宋体"/>
                <w:color w:val="000000" w:themeColor="text1"/>
                <w:sz w:val="20"/>
                <w:vertAlign w:val="superscript"/>
                <w14:textFill>
                  <w14:solidFill>
                    <w14:schemeClr w14:val="tx1"/>
                  </w14:solidFill>
                </w14:textFill>
              </w:rPr>
              <w:t>3</w:t>
            </w:r>
          </w:p>
        </w:tc>
      </w:tr>
      <w:tr w14:paraId="7E1DA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vAlign w:val="center"/>
          </w:tcPr>
          <w:p w14:paraId="7553FBC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w:t>
            </w:r>
          </w:p>
        </w:tc>
        <w:tc>
          <w:tcPr>
            <w:tcW w:w="1953" w:type="dxa"/>
            <w:vAlign w:val="center"/>
          </w:tcPr>
          <w:p w14:paraId="31EEA3B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xml:space="preserve">  挡车堆</w:t>
            </w:r>
          </w:p>
        </w:tc>
        <w:tc>
          <w:tcPr>
            <w:tcW w:w="1061" w:type="dxa"/>
            <w:vAlign w:val="center"/>
          </w:tcPr>
          <w:p w14:paraId="2B0A58C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1420" w:type="dxa"/>
            <w:vAlign w:val="center"/>
          </w:tcPr>
          <w:p w14:paraId="46FD7D5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1938</w:t>
            </w:r>
          </w:p>
        </w:tc>
        <w:tc>
          <w:tcPr>
            <w:tcW w:w="3754" w:type="dxa"/>
            <w:vAlign w:val="center"/>
          </w:tcPr>
          <w:p w14:paraId="05BEA71D">
            <w:pPr>
              <w:ind w:firstLine="400"/>
              <w:jc w:val="center"/>
              <w:rPr>
                <w:rFonts w:hint="eastAsia" w:ascii="宋体" w:hAnsi="宋体" w:cs="宋体"/>
                <w:color w:val="000000" w:themeColor="text1"/>
                <w:sz w:val="20"/>
                <w14:textFill>
                  <w14:solidFill>
                    <w14:schemeClr w14:val="tx1"/>
                  </w14:solidFill>
                </w14:textFill>
              </w:rPr>
            </w:pPr>
          </w:p>
        </w:tc>
      </w:tr>
    </w:tbl>
    <w:p w14:paraId="528D3C15">
      <w:pPr>
        <w:pStyle w:val="14"/>
        <w:adjustRightInd w:val="0"/>
        <w:snapToGrid w:val="0"/>
        <w:spacing w:line="240" w:lineRule="auto"/>
        <w:ind w:firstLine="0" w:firstLineChars="0"/>
        <w:rPr>
          <w:color w:val="000000" w:themeColor="text1"/>
          <w14:textFill>
            <w14:solidFill>
              <w14:schemeClr w14:val="tx1"/>
            </w14:solidFill>
          </w14:textFill>
        </w:rPr>
      </w:pPr>
    </w:p>
    <w:p w14:paraId="0F46DF41">
      <w:pPr>
        <w:pStyle w:val="5"/>
        <w:spacing w:after="120"/>
        <w:rPr>
          <w:color w:val="000000" w:themeColor="text1"/>
          <w14:textFill>
            <w14:solidFill>
              <w14:schemeClr w14:val="tx1"/>
            </w14:solidFill>
          </w14:textFill>
        </w:rPr>
      </w:pPr>
      <w:bookmarkStart w:id="1134" w:name="_Toc31978"/>
      <w:bookmarkStart w:id="1135" w:name="_Toc19760"/>
      <w:bookmarkStart w:id="1136" w:name="_Toc25592"/>
      <w:bookmarkStart w:id="1137" w:name="_Toc215070192"/>
      <w:bookmarkStart w:id="1138" w:name="_Toc16534"/>
      <w:bookmarkStart w:id="1139" w:name="_Toc21998"/>
      <w:bookmarkStart w:id="1140" w:name="_Toc8840"/>
      <w:bookmarkStart w:id="1141" w:name="_Toc14203"/>
      <w:bookmarkStart w:id="1142" w:name="_Toc6755"/>
      <w:bookmarkStart w:id="1143" w:name="_Toc2319"/>
      <w:r>
        <w:rPr>
          <w:rFonts w:hint="eastAsia"/>
          <w:color w:val="000000" w:themeColor="text1"/>
          <w14:textFill>
            <w14:solidFill>
              <w14:schemeClr w14:val="tx1"/>
            </w14:solidFill>
          </w14:textFill>
        </w:rPr>
        <w:t>2.4.5</w:t>
      </w:r>
      <w:r>
        <w:rPr>
          <w:color w:val="000000" w:themeColor="text1"/>
          <w14:textFill>
            <w14:solidFill>
              <w14:schemeClr w14:val="tx1"/>
            </w14:solidFill>
          </w14:textFill>
        </w:rPr>
        <w:t>开拓运输</w:t>
      </w:r>
      <w:bookmarkEnd w:id="1134"/>
      <w:bookmarkEnd w:id="1135"/>
      <w:bookmarkEnd w:id="1136"/>
      <w:bookmarkEnd w:id="1137"/>
      <w:bookmarkEnd w:id="1138"/>
      <w:bookmarkEnd w:id="1139"/>
      <w:bookmarkEnd w:id="1140"/>
      <w:bookmarkEnd w:id="1141"/>
      <w:bookmarkEnd w:id="1142"/>
      <w:bookmarkEnd w:id="1143"/>
    </w:p>
    <w:p w14:paraId="2CEF6A20">
      <w:pPr>
        <w:pStyle w:val="6"/>
        <w:spacing w:before="120" w:after="120"/>
        <w:rPr>
          <w:color w:val="000000" w:themeColor="text1"/>
          <w14:textFill>
            <w14:solidFill>
              <w14:schemeClr w14:val="tx1"/>
            </w14:solidFill>
          </w14:textFill>
        </w:rPr>
      </w:pPr>
      <w:bookmarkStart w:id="1144" w:name="_Toc759"/>
      <w:bookmarkStart w:id="1145" w:name="_Toc10030"/>
      <w:bookmarkStart w:id="1146" w:name="_Toc23019"/>
      <w:bookmarkStart w:id="1147" w:name="_Toc16212"/>
      <w:bookmarkStart w:id="1148" w:name="_Toc27373"/>
      <w:bookmarkStart w:id="1149" w:name="_Toc17317"/>
      <w:bookmarkStart w:id="1150" w:name="_Toc9525"/>
      <w:bookmarkStart w:id="1151" w:name="_Toc215070193"/>
      <w:bookmarkStart w:id="1152" w:name="_Toc16904"/>
      <w:bookmarkStart w:id="1153" w:name="_Toc31674"/>
      <w:r>
        <w:rPr>
          <w:rFonts w:hint="eastAsia"/>
          <w:color w:val="000000" w:themeColor="text1"/>
          <w14:textFill>
            <w14:solidFill>
              <w14:schemeClr w14:val="tx1"/>
            </w14:solidFill>
          </w14:textFill>
        </w:rPr>
        <w:t>2.4.5</w:t>
      </w:r>
      <w:r>
        <w:rPr>
          <w:color w:val="000000" w:themeColor="text1"/>
          <w14:textFill>
            <w14:solidFill>
              <w14:schemeClr w14:val="tx1"/>
            </w14:solidFill>
          </w14:textFill>
        </w:rPr>
        <w:t>.1开拓运输方案</w:t>
      </w:r>
      <w:bookmarkEnd w:id="1144"/>
      <w:bookmarkEnd w:id="1145"/>
      <w:bookmarkEnd w:id="1146"/>
      <w:bookmarkEnd w:id="1147"/>
      <w:bookmarkEnd w:id="1148"/>
      <w:bookmarkEnd w:id="1149"/>
      <w:bookmarkEnd w:id="1150"/>
      <w:bookmarkEnd w:id="1151"/>
      <w:bookmarkEnd w:id="1152"/>
      <w:bookmarkEnd w:id="1153"/>
    </w:p>
    <w:p w14:paraId="77C71939">
      <w:pPr>
        <w:ind w:firstLine="560"/>
        <w:rPr>
          <w:color w:val="000000" w:themeColor="text1"/>
          <w:szCs w:val="28"/>
          <w:lang w:val="zh-TW"/>
          <w14:textFill>
            <w14:solidFill>
              <w14:schemeClr w14:val="tx1"/>
            </w14:solidFill>
          </w14:textFill>
        </w:rPr>
      </w:pPr>
      <w:bookmarkStart w:id="1154" w:name="_Toc230098541"/>
      <w:bookmarkStart w:id="1155" w:name="_Toc277690495"/>
      <w:bookmarkStart w:id="1156" w:name="_Toc277600895"/>
      <w:bookmarkStart w:id="1157" w:name="_Toc303848367"/>
      <w:r>
        <w:rPr>
          <w:bCs/>
          <w:color w:val="000000" w:themeColor="text1"/>
          <w:szCs w:val="28"/>
          <w:lang w:val="zh-TW" w:eastAsia="zh-TW"/>
          <w14:textFill>
            <w14:solidFill>
              <w14:schemeClr w14:val="tx1"/>
            </w14:solidFill>
          </w14:textFill>
        </w:rPr>
        <w:t>依据矿区地质地形条件</w:t>
      </w:r>
      <w:r>
        <w:rPr>
          <w:bCs/>
          <w:color w:val="000000" w:themeColor="text1"/>
          <w:szCs w:val="28"/>
          <w:lang w:val="zh-TW"/>
          <w14:textFill>
            <w14:solidFill>
              <w14:schemeClr w14:val="tx1"/>
            </w14:solidFill>
          </w14:textFill>
        </w:rPr>
        <w:t>，</w:t>
      </w:r>
      <w:r>
        <w:rPr>
          <w:bCs/>
          <w:color w:val="000000" w:themeColor="text1"/>
          <w:szCs w:val="28"/>
          <w:lang w:val="zh-TW" w:eastAsia="zh-TW"/>
          <w14:textFill>
            <w14:solidFill>
              <w14:schemeClr w14:val="tx1"/>
            </w14:solidFill>
          </w14:textFill>
        </w:rPr>
        <w:t>选择公路开拓</w:t>
      </w:r>
      <w:r>
        <w:rPr>
          <w:bCs/>
          <w:color w:val="000000" w:themeColor="text1"/>
          <w:szCs w:val="28"/>
          <w14:textFill>
            <w14:solidFill>
              <w14:schemeClr w14:val="tx1"/>
            </w14:solidFill>
          </w14:textFill>
        </w:rPr>
        <w:t>+</w:t>
      </w:r>
      <w:r>
        <w:rPr>
          <w:bCs/>
          <w:color w:val="000000" w:themeColor="text1"/>
          <w:szCs w:val="28"/>
          <w:lang w:val="zh-TW" w:eastAsia="zh-TW"/>
          <w14:textFill>
            <w14:solidFill>
              <w14:schemeClr w14:val="tx1"/>
            </w14:solidFill>
          </w14:textFill>
        </w:rPr>
        <w:t>汽车运输</w:t>
      </w:r>
      <w:r>
        <w:rPr>
          <w:bCs/>
          <w:color w:val="000000" w:themeColor="text1"/>
          <w:szCs w:val="28"/>
          <w:lang w:val="zh-TW"/>
          <w14:textFill>
            <w14:solidFill>
              <w14:schemeClr w14:val="tx1"/>
            </w14:solidFill>
          </w14:textFill>
        </w:rPr>
        <w:t>方案</w:t>
      </w:r>
      <w:r>
        <w:rPr>
          <w:color w:val="000000" w:themeColor="text1"/>
          <w:szCs w:val="28"/>
          <w:lang w:val="zh-TW"/>
          <w14:textFill>
            <w14:solidFill>
              <w14:schemeClr w14:val="tx1"/>
            </w14:solidFill>
          </w14:textFill>
        </w:rPr>
        <w:t>。</w:t>
      </w:r>
    </w:p>
    <w:p w14:paraId="2C1FAA7A">
      <w:pPr>
        <w:pStyle w:val="6"/>
        <w:spacing w:before="120" w:after="120"/>
        <w:rPr>
          <w:color w:val="000000" w:themeColor="text1"/>
          <w14:textFill>
            <w14:solidFill>
              <w14:schemeClr w14:val="tx1"/>
            </w14:solidFill>
          </w14:textFill>
        </w:rPr>
      </w:pPr>
      <w:bookmarkStart w:id="1158" w:name="_Toc24773"/>
      <w:bookmarkStart w:id="1159" w:name="_Toc7567"/>
      <w:bookmarkStart w:id="1160" w:name="_Toc28953"/>
      <w:bookmarkStart w:id="1161" w:name="_Toc19176"/>
      <w:bookmarkStart w:id="1162" w:name="_Toc9096"/>
      <w:bookmarkStart w:id="1163" w:name="_Toc7867"/>
      <w:bookmarkStart w:id="1164" w:name="_Toc27909"/>
      <w:bookmarkStart w:id="1165" w:name="_Toc215070194"/>
      <w:bookmarkStart w:id="1166" w:name="_Toc29919"/>
      <w:bookmarkStart w:id="1167" w:name="_Toc12931"/>
      <w:r>
        <w:rPr>
          <w:rFonts w:hint="eastAsia"/>
          <w:color w:val="000000" w:themeColor="text1"/>
          <w14:textFill>
            <w14:solidFill>
              <w14:schemeClr w14:val="tx1"/>
            </w14:solidFill>
          </w14:textFill>
        </w:rPr>
        <w:t>2.4.5</w:t>
      </w:r>
      <w:r>
        <w:rPr>
          <w:color w:val="000000" w:themeColor="text1"/>
          <w14:textFill>
            <w14:solidFill>
              <w14:schemeClr w14:val="tx1"/>
            </w14:solidFill>
          </w14:textFill>
        </w:rPr>
        <w:t>.2 运输设备</w:t>
      </w:r>
      <w:bookmarkEnd w:id="1158"/>
      <w:bookmarkEnd w:id="1159"/>
      <w:bookmarkEnd w:id="1160"/>
      <w:bookmarkEnd w:id="1161"/>
      <w:bookmarkEnd w:id="1162"/>
      <w:bookmarkEnd w:id="1163"/>
      <w:bookmarkEnd w:id="1164"/>
      <w:bookmarkEnd w:id="1165"/>
      <w:bookmarkEnd w:id="1166"/>
      <w:bookmarkEnd w:id="1167"/>
    </w:p>
    <w:p w14:paraId="55DBCD15">
      <w:pPr>
        <w:ind w:firstLine="560"/>
        <w:rPr>
          <w:color w:val="000000" w:themeColor="text1"/>
          <w:szCs w:val="28"/>
          <w14:textFill>
            <w14:solidFill>
              <w14:schemeClr w14:val="tx1"/>
            </w14:solidFill>
          </w14:textFill>
        </w:rPr>
      </w:pPr>
      <w:r>
        <w:rPr>
          <w:color w:val="000000" w:themeColor="text1"/>
          <w14:textFill>
            <w14:solidFill>
              <w14:schemeClr w14:val="tx1"/>
            </w14:solidFill>
          </w14:textFill>
        </w:rPr>
        <w:t>为保障矿山运输工作的安全有序的进行，利旧矿山</w:t>
      </w:r>
      <w:r>
        <w:rPr>
          <w:rFonts w:hint="eastAsia"/>
          <w:color w:val="000000" w:themeColor="text1"/>
          <w14:textFill>
            <w14:solidFill>
              <w14:schemeClr w14:val="tx1"/>
            </w14:solidFill>
          </w14:textFill>
        </w:rPr>
        <w:t>已有设备</w:t>
      </w:r>
      <w:r>
        <w:rPr>
          <w:rFonts w:hint="eastAsia"/>
          <w:color w:val="000000" w:themeColor="text1"/>
          <w:szCs w:val="28"/>
          <w14:textFill>
            <w14:solidFill>
              <w14:schemeClr w14:val="tx1"/>
            </w14:solidFill>
          </w14:textFill>
        </w:rPr>
        <w:t>自卸</w:t>
      </w:r>
      <w:r>
        <w:rPr>
          <w:color w:val="000000" w:themeColor="text1"/>
          <w:szCs w:val="28"/>
          <w14:textFill>
            <w14:solidFill>
              <w14:schemeClr w14:val="tx1"/>
            </w14:solidFill>
          </w14:textFill>
        </w:rPr>
        <w:t>汽车8台</w:t>
      </w:r>
      <w:r>
        <w:rPr>
          <w:rFonts w:hint="eastAsia"/>
          <w:color w:val="000000" w:themeColor="text1"/>
          <w:szCs w:val="28"/>
          <w14:textFill>
            <w14:solidFill>
              <w14:schemeClr w14:val="tx1"/>
            </w14:solidFill>
          </w14:textFill>
        </w:rPr>
        <w:t>进行运输</w:t>
      </w:r>
      <w:r>
        <w:rPr>
          <w:color w:val="000000" w:themeColor="text1"/>
          <w:szCs w:val="28"/>
          <w14:textFill>
            <w14:solidFill>
              <w14:schemeClr w14:val="tx1"/>
            </w14:solidFill>
          </w14:textFill>
        </w:rPr>
        <w:t>，车斗规格5.4m，宽2.35m，高1.6m</w:t>
      </w:r>
      <w:r>
        <w:rPr>
          <w:rFonts w:hint="eastAsia"/>
          <w:color w:val="000000" w:themeColor="text1"/>
          <w:szCs w:val="28"/>
          <w14:textFill>
            <w14:solidFill>
              <w14:schemeClr w14:val="tx1"/>
            </w14:solidFill>
          </w14:textFill>
        </w:rPr>
        <w:t>，额定载重10t。</w:t>
      </w:r>
    </w:p>
    <w:p w14:paraId="6C57726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经计算，矿山配备10t自卸式汽车</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辆，可以满足矿山生产需求，外销利用社会车辆</w:t>
      </w:r>
      <w:r>
        <w:rPr>
          <w:rFonts w:hint="eastAsia"/>
          <w:color w:val="000000" w:themeColor="text1"/>
          <w:szCs w:val="28"/>
          <w14:textFill>
            <w14:solidFill>
              <w14:schemeClr w14:val="tx1"/>
            </w14:solidFill>
          </w14:textFill>
        </w:rPr>
        <w:t>。建议再购入2台</w:t>
      </w:r>
      <w:r>
        <w:rPr>
          <w:color w:val="000000" w:themeColor="text1"/>
          <w:szCs w:val="28"/>
          <w14:textFill>
            <w14:solidFill>
              <w14:schemeClr w14:val="tx1"/>
            </w14:solidFill>
          </w14:textFill>
        </w:rPr>
        <w:t>10t自卸式汽车</w:t>
      </w:r>
      <w:r>
        <w:rPr>
          <w:rFonts w:hint="eastAsia"/>
          <w:color w:val="000000" w:themeColor="text1"/>
          <w:szCs w:val="28"/>
          <w14:textFill>
            <w14:solidFill>
              <w14:schemeClr w14:val="tx1"/>
            </w14:solidFill>
          </w14:textFill>
        </w:rPr>
        <w:t>备用。</w:t>
      </w:r>
    </w:p>
    <w:p w14:paraId="71CC8FBD">
      <w:pPr>
        <w:pStyle w:val="6"/>
        <w:spacing w:before="120" w:after="120"/>
        <w:rPr>
          <w:color w:val="000000" w:themeColor="text1"/>
          <w14:textFill>
            <w14:solidFill>
              <w14:schemeClr w14:val="tx1"/>
            </w14:solidFill>
          </w14:textFill>
        </w:rPr>
      </w:pPr>
      <w:bookmarkStart w:id="1168" w:name="_Toc3373"/>
      <w:bookmarkStart w:id="1169" w:name="_Toc4258"/>
      <w:bookmarkStart w:id="1170" w:name="_Toc15511"/>
      <w:bookmarkStart w:id="1171" w:name="_Toc17695"/>
      <w:bookmarkStart w:id="1172" w:name="_Toc1194"/>
      <w:bookmarkStart w:id="1173" w:name="_Toc215070195"/>
      <w:bookmarkStart w:id="1174" w:name="_Toc24220"/>
      <w:bookmarkStart w:id="1175" w:name="_Toc9701"/>
      <w:bookmarkStart w:id="1176" w:name="_Toc29170"/>
      <w:bookmarkStart w:id="1177" w:name="_Toc18260"/>
      <w:bookmarkStart w:id="1178" w:name="_Toc23068"/>
      <w:r>
        <w:rPr>
          <w:rFonts w:hint="eastAsia"/>
          <w:color w:val="000000" w:themeColor="text1"/>
          <w14:textFill>
            <w14:solidFill>
              <w14:schemeClr w14:val="tx1"/>
            </w14:solidFill>
          </w14:textFill>
        </w:rPr>
        <w:t>2.4.5</w:t>
      </w:r>
      <w:r>
        <w:rPr>
          <w:color w:val="000000" w:themeColor="text1"/>
          <w14:textFill>
            <w14:solidFill>
              <w14:schemeClr w14:val="tx1"/>
            </w14:solidFill>
          </w14:textFill>
        </w:rPr>
        <w:t>.3 运输道路</w:t>
      </w:r>
      <w:bookmarkEnd w:id="1168"/>
      <w:bookmarkEnd w:id="1169"/>
      <w:bookmarkEnd w:id="1170"/>
      <w:bookmarkEnd w:id="1171"/>
      <w:bookmarkEnd w:id="1172"/>
      <w:bookmarkEnd w:id="1173"/>
      <w:bookmarkEnd w:id="1174"/>
      <w:bookmarkEnd w:id="1175"/>
      <w:bookmarkEnd w:id="1176"/>
      <w:bookmarkEnd w:id="1177"/>
      <w:bookmarkEnd w:id="1178"/>
    </w:p>
    <w:p w14:paraId="4FB33A06">
      <w:pPr>
        <w:ind w:firstLine="560"/>
        <w:rPr>
          <w:color w:val="000000" w:themeColor="text1"/>
          <w14:textFill>
            <w14:solidFill>
              <w14:schemeClr w14:val="tx1"/>
            </w14:solidFill>
          </w14:textFill>
        </w:rPr>
      </w:pPr>
      <w:bookmarkStart w:id="1179" w:name="_Toc5088"/>
      <w:bookmarkStart w:id="1180" w:name="_Toc6542"/>
      <w:bookmarkStart w:id="1181" w:name="_Toc8939"/>
      <w:r>
        <w:rPr>
          <w:rFonts w:hint="eastAsia"/>
          <w:color w:val="000000" w:themeColor="text1"/>
          <w14:textFill>
            <w14:solidFill>
              <w14:schemeClr w14:val="tx1"/>
            </w14:solidFill>
          </w14:textFill>
        </w:rPr>
        <w:t>1、矿山利旧原有运输道路。</w:t>
      </w:r>
    </w:p>
    <w:p w14:paraId="29C5D578">
      <w:pPr>
        <w:ind w:firstLine="560"/>
        <w:rPr>
          <w:color w:val="000000" w:themeColor="text1"/>
          <w:kern w:val="0"/>
          <w:szCs w:val="28"/>
          <w14:textFill>
            <w14:solidFill>
              <w14:schemeClr w14:val="tx1"/>
            </w14:solidFill>
          </w14:textFill>
        </w:rPr>
      </w:pPr>
      <w:r>
        <w:rPr>
          <w:rFonts w:hint="eastAsia"/>
          <w:color w:val="000000" w:themeColor="text1"/>
          <w14:textFill>
            <w14:solidFill>
              <w14:schemeClr w14:val="tx1"/>
            </w14:solidFill>
          </w14:textFill>
        </w:rPr>
        <w:t>矿山利旧原有运输道路，</w:t>
      </w:r>
      <w:r>
        <w:rPr>
          <w:bCs/>
          <w:iCs/>
          <w:color w:val="000000" w:themeColor="text1"/>
          <w:szCs w:val="28"/>
          <w14:textFill>
            <w14:solidFill>
              <w14:schemeClr w14:val="tx1"/>
            </w14:solidFill>
          </w14:textFill>
        </w:rPr>
        <w:t>修整现有道路，</w:t>
      </w:r>
      <w:r>
        <w:rPr>
          <w:rFonts w:hint="eastAsia"/>
          <w:bCs/>
          <w:iCs/>
          <w:color w:val="000000" w:themeColor="text1"/>
          <w:szCs w:val="28"/>
          <w14:textFill>
            <w14:solidFill>
              <w14:schemeClr w14:val="tx1"/>
            </w14:solidFill>
          </w14:textFill>
        </w:rPr>
        <w:t>以堆料区K1（+1300m标高）为起点，</w:t>
      </w:r>
      <w:r>
        <w:rPr>
          <w:bCs/>
          <w:iCs/>
          <w:color w:val="000000" w:themeColor="text1"/>
          <w:szCs w:val="28"/>
          <w14:textFill>
            <w14:solidFill>
              <w14:schemeClr w14:val="tx1"/>
            </w14:solidFill>
          </w14:textFill>
        </w:rPr>
        <w:t>现有</w:t>
      </w:r>
      <w:r>
        <w:rPr>
          <w:rFonts w:hint="eastAsia"/>
          <w:bCs/>
          <w:iCs/>
          <w:color w:val="000000" w:themeColor="text1"/>
          <w:szCs w:val="28"/>
          <w14:textFill>
            <w14:solidFill>
              <w14:schemeClr w14:val="tx1"/>
            </w14:solidFill>
          </w14:textFill>
        </w:rPr>
        <w:t>两条分岔道路通往采区，道路1由K1（+1300m标高）向北</w:t>
      </w:r>
      <w:r>
        <w:rPr>
          <w:bCs/>
          <w:iCs/>
          <w:color w:val="000000" w:themeColor="text1"/>
          <w:szCs w:val="28"/>
          <w14:textFill>
            <w14:solidFill>
              <w14:schemeClr w14:val="tx1"/>
            </w14:solidFill>
          </w14:textFill>
        </w:rPr>
        <w:t>至</w:t>
      </w:r>
      <w:r>
        <w:rPr>
          <w:rFonts w:hint="eastAsia"/>
          <w:bCs/>
          <w:iCs/>
          <w:color w:val="000000" w:themeColor="text1"/>
          <w:szCs w:val="28"/>
          <w14:textFill>
            <w14:solidFill>
              <w14:schemeClr w14:val="tx1"/>
            </w14:solidFill>
          </w14:textFill>
        </w:rPr>
        <w:t>采</w:t>
      </w:r>
      <w:r>
        <w:rPr>
          <w:bCs/>
          <w:iCs/>
          <w:color w:val="000000" w:themeColor="text1"/>
          <w:szCs w:val="28"/>
          <w14:textFill>
            <w14:solidFill>
              <w14:schemeClr w14:val="tx1"/>
            </w14:solidFill>
          </w14:textFill>
        </w:rPr>
        <w:t>区东侧</w:t>
      </w:r>
      <w:r>
        <w:rPr>
          <w:rFonts w:hint="eastAsia"/>
          <w:bCs/>
          <w:iCs/>
          <w:color w:val="000000" w:themeColor="text1"/>
          <w:szCs w:val="28"/>
          <w14:textFill>
            <w14:solidFill>
              <w14:schemeClr w14:val="tx1"/>
            </w14:solidFill>
          </w14:textFill>
        </w:rPr>
        <w:t>K2</w:t>
      </w:r>
      <w:r>
        <w:rPr>
          <w:bCs/>
          <w:iCs/>
          <w:color w:val="000000" w:themeColor="text1"/>
          <w:szCs w:val="28"/>
          <w14:textFill>
            <w14:solidFill>
              <w14:schemeClr w14:val="tx1"/>
            </w14:solidFill>
          </w14:textFill>
        </w:rPr>
        <w:t>（+1</w:t>
      </w:r>
      <w:r>
        <w:rPr>
          <w:rFonts w:hint="eastAsia"/>
          <w:bCs/>
          <w:iCs/>
          <w:color w:val="000000" w:themeColor="text1"/>
          <w:szCs w:val="28"/>
          <w14:textFill>
            <w14:solidFill>
              <w14:schemeClr w14:val="tx1"/>
            </w14:solidFill>
          </w14:textFill>
        </w:rPr>
        <w:t>400</w:t>
      </w:r>
      <w:r>
        <w:rPr>
          <w:bCs/>
          <w:iCs/>
          <w:color w:val="000000" w:themeColor="text1"/>
          <w:szCs w:val="28"/>
          <w14:textFill>
            <w14:solidFill>
              <w14:schemeClr w14:val="tx1"/>
            </w14:solidFill>
          </w14:textFill>
        </w:rPr>
        <w:t>m标高）</w:t>
      </w:r>
      <w:r>
        <w:rPr>
          <w:rFonts w:hint="eastAsia"/>
          <w:bCs/>
          <w:iCs/>
          <w:color w:val="000000" w:themeColor="text1"/>
          <w:szCs w:val="28"/>
          <w14:textFill>
            <w14:solidFill>
              <w14:schemeClr w14:val="tx1"/>
            </w14:solidFill>
          </w14:textFill>
        </w:rPr>
        <w:t>，道路长约385m，宽6m，进行修整降坡，基建期初期可以沿用</w:t>
      </w:r>
      <w:r>
        <w:rPr>
          <w:bCs/>
          <w:iCs/>
          <w:color w:val="000000" w:themeColor="text1"/>
          <w:szCs w:val="28"/>
          <w14:textFill>
            <w14:solidFill>
              <w14:schemeClr w14:val="tx1"/>
            </w14:solidFill>
          </w14:textFill>
        </w:rPr>
        <w:t>；</w:t>
      </w:r>
      <w:r>
        <w:rPr>
          <w:rFonts w:hint="eastAsia"/>
          <w:bCs/>
          <w:iCs/>
          <w:color w:val="000000" w:themeColor="text1"/>
          <w:szCs w:val="28"/>
          <w14:textFill>
            <w14:solidFill>
              <w14:schemeClr w14:val="tx1"/>
            </w14:solidFill>
          </w14:textFill>
        </w:rPr>
        <w:t>道路2由K1（+1300m标高）向西至采区南侧K3（+1350m标高），全长约312m，宽5m，平均坡度16%，进行修整降坡。</w:t>
      </w:r>
    </w:p>
    <w:p w14:paraId="259B158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2、新建矿山</w:t>
      </w:r>
      <w:r>
        <w:rPr>
          <w:color w:val="000000" w:themeColor="text1"/>
          <w14:textFill>
            <w14:solidFill>
              <w14:schemeClr w14:val="tx1"/>
            </w14:solidFill>
          </w14:textFill>
        </w:rPr>
        <w:t>开拓运输道路</w:t>
      </w:r>
      <w:r>
        <w:rPr>
          <w:rFonts w:hint="eastAsia"/>
          <w:color w:val="000000" w:themeColor="text1"/>
          <w14:textFill>
            <w14:solidFill>
              <w14:schemeClr w14:val="tx1"/>
            </w14:solidFill>
          </w14:textFill>
        </w:rPr>
        <w:t>：</w:t>
      </w:r>
      <w:bookmarkEnd w:id="1179"/>
      <w:bookmarkEnd w:id="1180"/>
      <w:bookmarkEnd w:id="1181"/>
    </w:p>
    <w:p w14:paraId="49962AC5">
      <w:pPr>
        <w:ind w:firstLine="560"/>
        <w:rPr>
          <w:color w:val="000000" w:themeColor="text1"/>
          <w:kern w:val="0"/>
          <w:szCs w:val="28"/>
          <w14:textFill>
            <w14:solidFill>
              <w14:schemeClr w14:val="tx1"/>
            </w14:solidFill>
          </w14:textFill>
        </w:rPr>
      </w:pPr>
      <w:bookmarkStart w:id="1182" w:name="_Toc5705"/>
      <w:bookmarkStart w:id="1183" w:name="_Toc28060"/>
      <w:bookmarkStart w:id="1184" w:name="_Toc18961"/>
      <w:r>
        <w:rPr>
          <w:rFonts w:hint="eastAsia"/>
          <w:bCs/>
          <w:iCs/>
          <w:color w:val="000000" w:themeColor="text1"/>
          <w:szCs w:val="28"/>
          <w14:textFill>
            <w14:solidFill>
              <w14:schemeClr w14:val="tx1"/>
            </w14:solidFill>
          </w14:textFill>
        </w:rPr>
        <w:t>以K3（+1350m标高）为起点，</w:t>
      </w:r>
      <w:r>
        <w:rPr>
          <w:bCs/>
          <w:iCs/>
          <w:color w:val="000000" w:themeColor="text1"/>
          <w:szCs w:val="28"/>
          <w14:textFill>
            <w14:solidFill>
              <w14:schemeClr w14:val="tx1"/>
            </w14:solidFill>
          </w14:textFill>
        </w:rPr>
        <w:t>修筑开拓运输道路</w:t>
      </w:r>
      <w:r>
        <w:rPr>
          <w:rFonts w:hint="eastAsia"/>
          <w:bCs/>
          <w:iCs/>
          <w:color w:val="000000" w:themeColor="text1"/>
          <w:szCs w:val="28"/>
          <w14:textFill>
            <w14:solidFill>
              <w14:schemeClr w14:val="tx1"/>
            </w14:solidFill>
          </w14:textFill>
        </w:rPr>
        <w:t>，道路长约300m，宽6m，</w:t>
      </w:r>
      <w:r>
        <w:rPr>
          <w:color w:val="000000" w:themeColor="text1"/>
          <w:kern w:val="0"/>
          <w:szCs w:val="28"/>
          <w14:textFill>
            <w14:solidFill>
              <w14:schemeClr w14:val="tx1"/>
            </w14:solidFill>
          </w14:textFill>
        </w:rPr>
        <w:t>修建至1375m平台</w:t>
      </w:r>
      <w:r>
        <w:rPr>
          <w:rFonts w:hint="eastAsia"/>
          <w:color w:val="000000" w:themeColor="text1"/>
          <w:kern w:val="0"/>
          <w:szCs w:val="28"/>
          <w14:textFill>
            <w14:solidFill>
              <w14:schemeClr w14:val="tx1"/>
            </w14:solidFill>
          </w14:textFill>
        </w:rPr>
        <w:t>，平均坡度8.3%，</w:t>
      </w:r>
      <w:r>
        <w:rPr>
          <w:color w:val="000000" w:themeColor="text1"/>
          <w:szCs w:val="28"/>
          <w14:textFill>
            <w14:solidFill>
              <w14:schemeClr w14:val="tx1"/>
            </w14:solidFill>
          </w14:textFill>
        </w:rPr>
        <w:t>最小转弯半径15m</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路外侧设置车</w:t>
      </w:r>
      <w:r>
        <w:rPr>
          <w:rFonts w:hint="eastAsia"/>
          <w:color w:val="000000" w:themeColor="text1"/>
          <w:szCs w:val="28"/>
          <w14:textFill>
            <w14:solidFill>
              <w14:schemeClr w14:val="tx1"/>
            </w14:solidFill>
          </w14:textFill>
        </w:rPr>
        <w:t>挡</w:t>
      </w:r>
      <w:r>
        <w:rPr>
          <w:color w:val="000000" w:themeColor="text1"/>
          <w:szCs w:val="28"/>
          <w14:textFill>
            <w14:solidFill>
              <w14:schemeClr w14:val="tx1"/>
            </w14:solidFill>
          </w14:textFill>
        </w:rPr>
        <w:t>设施（</w:t>
      </w:r>
      <w:r>
        <w:rPr>
          <w:rFonts w:hint="eastAsia"/>
          <w:color w:val="000000" w:themeColor="text1"/>
          <w:szCs w:val="28"/>
          <w14:textFill>
            <w14:solidFill>
              <w14:schemeClr w14:val="tx1"/>
            </w14:solidFill>
          </w14:textFill>
        </w:rPr>
        <w:t>上宽0.6m，底宽1.2m，高1.0m</w:t>
      </w:r>
      <w:r>
        <w:rPr>
          <w:color w:val="000000" w:themeColor="text1"/>
          <w:szCs w:val="28"/>
          <w14:textFill>
            <w14:solidFill>
              <w14:schemeClr w14:val="tx1"/>
            </w14:solidFill>
          </w14:textFill>
        </w:rPr>
        <w:t>），内侧设置水沟（0.</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m×0.4m×0.</w:t>
      </w: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m）</w:t>
      </w:r>
      <w:r>
        <w:rPr>
          <w:color w:val="000000" w:themeColor="text1"/>
          <w14:textFill>
            <w14:solidFill>
              <w14:schemeClr w14:val="tx1"/>
            </w14:solidFill>
          </w14:textFill>
        </w:rPr>
        <w:t>。</w:t>
      </w:r>
      <w:r>
        <w:rPr>
          <w:rFonts w:hint="eastAsia"/>
          <w:color w:val="000000" w:themeColor="text1"/>
          <w:kern w:val="0"/>
          <w:szCs w:val="28"/>
          <w14:textFill>
            <w14:solidFill>
              <w14:schemeClr w14:val="tx1"/>
            </w14:solidFill>
          </w14:textFill>
        </w:rPr>
        <w:t>标高</w:t>
      </w:r>
      <w:r>
        <w:rPr>
          <w:color w:val="000000" w:themeColor="text1"/>
          <w:kern w:val="0"/>
          <w:szCs w:val="28"/>
          <w14:textFill>
            <w14:solidFill>
              <w14:schemeClr w14:val="tx1"/>
            </w14:solidFill>
          </w14:textFill>
        </w:rPr>
        <w:t>13</w:t>
      </w:r>
      <w:r>
        <w:rPr>
          <w:rFonts w:hint="eastAsia"/>
          <w:color w:val="000000" w:themeColor="text1"/>
          <w:kern w:val="0"/>
          <w:szCs w:val="28"/>
          <w14:textFill>
            <w14:solidFill>
              <w14:schemeClr w14:val="tx1"/>
            </w14:solidFill>
          </w14:textFill>
        </w:rPr>
        <w:t>75</w:t>
      </w:r>
      <w:r>
        <w:rPr>
          <w:color w:val="000000" w:themeColor="text1"/>
          <w:kern w:val="0"/>
          <w:szCs w:val="28"/>
          <w14:textFill>
            <w14:solidFill>
              <w14:schemeClr w14:val="tx1"/>
            </w14:solidFill>
          </w14:textFill>
        </w:rPr>
        <w:t>m</w:t>
      </w:r>
      <w:r>
        <w:rPr>
          <w:rFonts w:hint="eastAsia"/>
          <w:color w:val="000000" w:themeColor="text1"/>
          <w:kern w:val="0"/>
          <w:szCs w:val="28"/>
          <w14:textFill>
            <w14:solidFill>
              <w14:schemeClr w14:val="tx1"/>
            </w14:solidFill>
          </w14:textFill>
        </w:rPr>
        <w:t>以上矿岩修建装载设备道路转运至</w:t>
      </w:r>
      <w:r>
        <w:rPr>
          <w:color w:val="000000" w:themeColor="text1"/>
          <w:kern w:val="0"/>
          <w:szCs w:val="28"/>
          <w14:textFill>
            <w14:solidFill>
              <w14:schemeClr w14:val="tx1"/>
            </w14:solidFill>
          </w14:textFill>
        </w:rPr>
        <w:t>1375m运输平台运输。</w:t>
      </w:r>
    </w:p>
    <w:p w14:paraId="20F3A707">
      <w:pPr>
        <w:numPr>
          <w:ilvl w:val="0"/>
          <w:numId w:val="6"/>
        </w:numPr>
        <w:ind w:firstLine="560" w:firstLineChars="0"/>
        <w:rPr>
          <w:color w:val="000000" w:themeColor="text1"/>
          <w14:textFill>
            <w14:solidFill>
              <w14:schemeClr w14:val="tx1"/>
            </w14:solidFill>
          </w14:textFill>
        </w:rPr>
      </w:pPr>
      <w:r>
        <w:rPr>
          <w:color w:val="000000" w:themeColor="text1"/>
          <w14:textFill>
            <w14:solidFill>
              <w14:schemeClr w14:val="tx1"/>
            </w14:solidFill>
          </w14:textFill>
        </w:rPr>
        <w:t>道路边坡的加固</w:t>
      </w:r>
      <w:bookmarkEnd w:id="1182"/>
      <w:bookmarkEnd w:id="1183"/>
      <w:bookmarkEnd w:id="1184"/>
      <w:bookmarkStart w:id="1185" w:name="_Toc6306"/>
      <w:bookmarkStart w:id="1186" w:name="_Toc29819"/>
      <w:bookmarkStart w:id="1187" w:name="_Toc13630"/>
    </w:p>
    <w:p w14:paraId="3E5B7AC1">
      <w:pPr>
        <w:ind w:left="562"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对可利用的</w:t>
      </w:r>
      <w:r>
        <w:rPr>
          <w:color w:val="000000" w:themeColor="text1"/>
          <w14:textFill>
            <w14:solidFill>
              <w14:schemeClr w14:val="tx1"/>
            </w14:solidFill>
          </w14:textFill>
        </w:rPr>
        <w:t>旧</w:t>
      </w:r>
      <w:r>
        <w:rPr>
          <w:rFonts w:hint="eastAsia"/>
          <w:color w:val="000000" w:themeColor="text1"/>
          <w14:textFill>
            <w14:solidFill>
              <w14:schemeClr w14:val="tx1"/>
            </w14:solidFill>
          </w14:textFill>
        </w:rPr>
        <w:t>有</w:t>
      </w:r>
      <w:r>
        <w:rPr>
          <w:color w:val="000000" w:themeColor="text1"/>
          <w14:textFill>
            <w14:solidFill>
              <w14:schemeClr w14:val="tx1"/>
            </w14:solidFill>
          </w14:textFill>
        </w:rPr>
        <w:t>公路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进行修建，公路边坡高度过高时则进行削降坡</w:t>
      </w:r>
    </w:p>
    <w:p w14:paraId="56811554">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处理，在公路内侧修建排水沟，排水沟断面尺寸</w:t>
      </w:r>
      <w:r>
        <w:rPr>
          <w:rFonts w:hint="eastAsia"/>
          <w:color w:val="000000" w:themeColor="text1"/>
          <w14:textFill>
            <w14:solidFill>
              <w14:schemeClr w14:val="tx1"/>
            </w14:solidFill>
          </w14:textFill>
        </w:rPr>
        <w:t>0.5m×0.4m×0.3m</w:t>
      </w:r>
      <w:r>
        <w:rPr>
          <w:color w:val="000000" w:themeColor="text1"/>
          <w14:textFill>
            <w14:solidFill>
              <w14:schemeClr w14:val="tx1"/>
            </w14:solidFill>
          </w14:textFill>
        </w:rPr>
        <w:t>；</w:t>
      </w:r>
    </w:p>
    <w:p w14:paraId="311C21D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运输道路安全设施</w:t>
      </w:r>
      <w:bookmarkEnd w:id="1185"/>
      <w:bookmarkEnd w:id="1186"/>
      <w:bookmarkEnd w:id="1187"/>
    </w:p>
    <w:p w14:paraId="1F4B0548">
      <w:pPr>
        <w:ind w:firstLine="560"/>
        <w:rPr>
          <w:color w:val="000000" w:themeColor="text1"/>
          <w14:textFill>
            <w14:solidFill>
              <w14:schemeClr w14:val="tx1"/>
            </w14:solidFill>
          </w14:textFill>
        </w:rPr>
      </w:pPr>
      <w:bookmarkStart w:id="1188" w:name="_Toc24328"/>
      <w:bookmarkStart w:id="1189" w:name="_Toc1398"/>
      <w:bookmarkStart w:id="1190" w:name="_Toc1749"/>
      <w:r>
        <w:rPr>
          <w:color w:val="000000" w:themeColor="text1"/>
          <w14:textFill>
            <w14:solidFill>
              <w14:schemeClr w14:val="tx1"/>
            </w14:solidFill>
          </w14:textFill>
        </w:rPr>
        <w:t>（1）道路外侧挡车墙</w:t>
      </w:r>
      <w:bookmarkEnd w:id="1188"/>
      <w:bookmarkEnd w:id="1189"/>
      <w:bookmarkEnd w:id="1190"/>
    </w:p>
    <w:p w14:paraId="1C165C45">
      <w:pPr>
        <w:ind w:firstLine="560"/>
        <w:rPr>
          <w:color w:val="000000" w:themeColor="text1"/>
          <w14:textFill>
            <w14:solidFill>
              <w14:schemeClr w14:val="tx1"/>
            </w14:solidFill>
          </w14:textFill>
        </w:rPr>
      </w:pPr>
      <w:r>
        <w:rPr>
          <w:color w:val="000000" w:themeColor="text1"/>
          <w14:textFill>
            <w14:solidFill>
              <w14:schemeClr w14:val="tx1"/>
            </w14:solidFill>
          </w14:textFill>
        </w:rPr>
        <w:t>公路外侧采用</w:t>
      </w:r>
      <w:r>
        <w:rPr>
          <w:rFonts w:hint="eastAsia"/>
          <w:color w:val="000000" w:themeColor="text1"/>
          <w14:textFill>
            <w14:solidFill>
              <w14:schemeClr w14:val="tx1"/>
            </w14:solidFill>
          </w14:textFill>
        </w:rPr>
        <w:t>梯形截面（</w:t>
      </w:r>
      <w:r>
        <w:rPr>
          <w:color w:val="000000" w:themeColor="text1"/>
          <w14:textFill>
            <w14:solidFill>
              <w14:schemeClr w14:val="tx1"/>
            </w14:solidFill>
          </w14:textFill>
        </w:rPr>
        <w:t>顶宽</w:t>
      </w:r>
      <w:r>
        <w:rPr>
          <w:rFonts w:hint="eastAsia"/>
          <w:color w:val="000000" w:themeColor="text1"/>
          <w14:textFill>
            <w14:solidFill>
              <w14:schemeClr w14:val="tx1"/>
            </w14:solidFill>
          </w14:textFill>
        </w:rPr>
        <w:t>0.6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底宽</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×高1.0m的土质挡墙。主要设置在远离山体的公路一侧。</w:t>
      </w:r>
    </w:p>
    <w:p w14:paraId="20DE96FD">
      <w:pPr>
        <w:ind w:firstLine="560"/>
        <w:rPr>
          <w:color w:val="000000" w:themeColor="text1"/>
          <w14:textFill>
            <w14:solidFill>
              <w14:schemeClr w14:val="tx1"/>
            </w14:solidFill>
          </w14:textFill>
        </w:rPr>
      </w:pPr>
      <w:bookmarkStart w:id="1191" w:name="_Toc32761"/>
      <w:bookmarkStart w:id="1192" w:name="_Toc4738"/>
      <w:bookmarkStart w:id="1193" w:name="_Toc8720"/>
      <w:r>
        <w:rPr>
          <w:color w:val="000000" w:themeColor="text1"/>
          <w14:textFill>
            <w14:solidFill>
              <w14:schemeClr w14:val="tx1"/>
            </w14:solidFill>
          </w14:textFill>
        </w:rPr>
        <w:t>（2）错车道、缓坡段、避险车道</w:t>
      </w:r>
      <w:bookmarkEnd w:id="1191"/>
      <w:bookmarkEnd w:id="1192"/>
      <w:bookmarkEnd w:id="1193"/>
    </w:p>
    <w:p w14:paraId="16532C2C">
      <w:pPr>
        <w:ind w:firstLine="560"/>
        <w:rPr>
          <w:color w:val="000000" w:themeColor="text1"/>
          <w14:textFill>
            <w14:solidFill>
              <w14:schemeClr w14:val="tx1"/>
            </w14:solidFill>
          </w14:textFill>
        </w:rPr>
      </w:pPr>
      <w:r>
        <w:rPr>
          <w:color w:val="000000" w:themeColor="text1"/>
          <w14:textFill>
            <w14:solidFill>
              <w14:schemeClr w14:val="tx1"/>
            </w14:solidFill>
          </w14:textFill>
        </w:rPr>
        <w:t>矿山由于运输距离短，坡度较缓，不设置错车道、缓坡道和避险车道。</w:t>
      </w:r>
    </w:p>
    <w:p w14:paraId="0FD259AC">
      <w:pPr>
        <w:ind w:firstLine="560"/>
        <w:rPr>
          <w:color w:val="000000" w:themeColor="text1"/>
          <w14:textFill>
            <w14:solidFill>
              <w14:schemeClr w14:val="tx1"/>
            </w14:solidFill>
          </w14:textFill>
        </w:rPr>
      </w:pPr>
      <w:bookmarkStart w:id="1194" w:name="_Toc9046"/>
      <w:bookmarkStart w:id="1195" w:name="_Toc29887"/>
      <w:bookmarkStart w:id="1196" w:name="_Toc5375"/>
      <w:r>
        <w:rPr>
          <w:color w:val="000000" w:themeColor="text1"/>
          <w14:textFill>
            <w14:solidFill>
              <w14:schemeClr w14:val="tx1"/>
            </w14:solidFill>
          </w14:textFill>
        </w:rPr>
        <w:t>（3）矿、岩卸载点挡车设施</w:t>
      </w:r>
      <w:bookmarkEnd w:id="1194"/>
      <w:bookmarkEnd w:id="1195"/>
      <w:bookmarkEnd w:id="1196"/>
    </w:p>
    <w:bookmarkEnd w:id="1154"/>
    <w:bookmarkEnd w:id="1155"/>
    <w:bookmarkEnd w:id="1156"/>
    <w:bookmarkEnd w:id="1157"/>
    <w:p w14:paraId="13C6CC1E">
      <w:pPr>
        <w:ind w:firstLine="560"/>
        <w:rPr>
          <w:rFonts w:hint="eastAsia" w:ascii="宋体" w:hAnsi="宋体"/>
          <w:color w:val="000000" w:themeColor="text1"/>
          <w:szCs w:val="28"/>
          <w14:textFill>
            <w14:solidFill>
              <w14:schemeClr w14:val="tx1"/>
            </w14:solidFill>
          </w14:textFill>
        </w:rPr>
      </w:pPr>
      <w:bookmarkStart w:id="1197" w:name="_Toc26463"/>
      <w:bookmarkStart w:id="1198" w:name="_Toc8482"/>
      <w:bookmarkStart w:id="1199" w:name="_Toc30626"/>
      <w:bookmarkStart w:id="1200" w:name="_Toc11277"/>
      <w:bookmarkStart w:id="1201" w:name="_Toc30469"/>
      <w:bookmarkStart w:id="1202" w:name="_Toc31388"/>
      <w:bookmarkStart w:id="1203" w:name="_Toc22674"/>
      <w:r>
        <w:rPr>
          <w:rFonts w:ascii="宋体" w:hAnsi="宋体"/>
          <w:color w:val="000000" w:themeColor="text1"/>
          <w:szCs w:val="28"/>
          <w14:textFill>
            <w14:solidFill>
              <w14:schemeClr w14:val="tx1"/>
            </w14:solidFill>
          </w14:textFill>
        </w:rPr>
        <w:t>挡车设施主要设置于矿、岩卸载点，主要设置于明溜槽入口、破碎站装卸点平台，车辆卸载处高于堆料平台，则在卸载处利用废旧钢材焊接</w:t>
      </w:r>
      <w:r>
        <w:rPr>
          <w:rFonts w:hint="eastAsia" w:ascii="宋体" w:hAnsi="宋体"/>
          <w:color w:val="000000" w:themeColor="text1"/>
          <w:szCs w:val="28"/>
          <w14:textFill>
            <w14:solidFill>
              <w14:schemeClr w14:val="tx1"/>
            </w14:solidFill>
          </w14:textFill>
        </w:rPr>
        <w:t>设置车挡</w:t>
      </w:r>
      <w:r>
        <w:rPr>
          <w:rFonts w:ascii="宋体" w:hAnsi="宋体"/>
          <w:color w:val="000000" w:themeColor="text1"/>
          <w:szCs w:val="28"/>
          <w14:textFill>
            <w14:solidFill>
              <w14:schemeClr w14:val="tx1"/>
            </w14:solidFill>
          </w14:textFill>
        </w:rPr>
        <w:t>，或采用土堆</w:t>
      </w:r>
      <w:r>
        <w:rPr>
          <w:rFonts w:hint="eastAsia" w:ascii="宋体" w:hAnsi="宋体"/>
          <w:color w:val="000000" w:themeColor="text1"/>
          <w:szCs w:val="28"/>
          <w14:textFill>
            <w14:solidFill>
              <w14:schemeClr w14:val="tx1"/>
            </w14:solidFill>
          </w14:textFill>
        </w:rPr>
        <w:t>设置车挡</w:t>
      </w:r>
      <w:r>
        <w:rPr>
          <w:rFonts w:ascii="宋体" w:hAnsi="宋体"/>
          <w:color w:val="000000" w:themeColor="text1"/>
          <w:szCs w:val="28"/>
          <w14:textFill>
            <w14:solidFill>
              <w14:schemeClr w14:val="tx1"/>
            </w14:solidFill>
          </w14:textFill>
        </w:rPr>
        <w:t>，按照规定</w:t>
      </w:r>
      <w:r>
        <w:rPr>
          <w:rFonts w:hint="eastAsia" w:ascii="宋体" w:hAnsi="宋体"/>
          <w:color w:val="000000" w:themeColor="text1"/>
          <w:szCs w:val="28"/>
          <w14:textFill>
            <w14:solidFill>
              <w14:schemeClr w14:val="tx1"/>
            </w14:solidFill>
          </w14:textFill>
        </w:rPr>
        <w:t>车挡的</w:t>
      </w:r>
      <w:r>
        <w:rPr>
          <w:rFonts w:ascii="宋体" w:hAnsi="宋体"/>
          <w:color w:val="000000" w:themeColor="text1"/>
          <w:szCs w:val="28"/>
          <w14:textFill>
            <w14:solidFill>
              <w14:schemeClr w14:val="tx1"/>
            </w14:solidFill>
          </w14:textFill>
        </w:rPr>
        <w:t>高度不小于轮胎直径的1/2，</w:t>
      </w:r>
      <w:r>
        <w:rPr>
          <w:rFonts w:hint="eastAsia" w:ascii="宋体" w:hAnsi="宋体"/>
          <w:color w:val="000000" w:themeColor="text1"/>
          <w:szCs w:val="28"/>
          <w14:textFill>
            <w14:solidFill>
              <w14:schemeClr w14:val="tx1"/>
            </w14:solidFill>
          </w14:textFill>
        </w:rPr>
        <w:t>车档</w:t>
      </w:r>
      <w:r>
        <w:rPr>
          <w:rFonts w:ascii="宋体" w:hAnsi="宋体"/>
          <w:color w:val="000000" w:themeColor="text1"/>
          <w:szCs w:val="28"/>
          <w14:textFill>
            <w14:solidFill>
              <w14:schemeClr w14:val="tx1"/>
            </w14:solidFill>
          </w14:textFill>
        </w:rPr>
        <w:t>顶宽和底宽分别不小于轮胎直径的1/4和3/4。</w:t>
      </w:r>
    </w:p>
    <w:p w14:paraId="4C9149F4">
      <w:pPr>
        <w:pStyle w:val="6"/>
        <w:spacing w:before="120" w:after="120"/>
        <w:rPr>
          <w:color w:val="000000" w:themeColor="text1"/>
          <w14:textFill>
            <w14:solidFill>
              <w14:schemeClr w14:val="tx1"/>
            </w14:solidFill>
          </w14:textFill>
        </w:rPr>
      </w:pPr>
      <w:bookmarkStart w:id="1204" w:name="_Toc215070196"/>
      <w:r>
        <w:rPr>
          <w:rFonts w:hint="eastAsia"/>
          <w:color w:val="000000" w:themeColor="text1"/>
          <w14:textFill>
            <w14:solidFill>
              <w14:schemeClr w14:val="tx1"/>
            </w14:solidFill>
          </w14:textFill>
        </w:rPr>
        <w:t>2.4.5</w:t>
      </w:r>
      <w:r>
        <w:rPr>
          <w:color w:val="000000" w:themeColor="text1"/>
          <w14:textFill>
            <w14:solidFill>
              <w14:schemeClr w14:val="tx1"/>
            </w14:solidFill>
          </w14:textFill>
        </w:rPr>
        <w:t>.4运输安全防范措施</w:t>
      </w:r>
      <w:bookmarkEnd w:id="1197"/>
      <w:bookmarkEnd w:id="1198"/>
      <w:bookmarkEnd w:id="1199"/>
      <w:bookmarkEnd w:id="1200"/>
      <w:bookmarkEnd w:id="1201"/>
      <w:bookmarkEnd w:id="1202"/>
      <w:bookmarkEnd w:id="1203"/>
      <w:bookmarkEnd w:id="1204"/>
    </w:p>
    <w:p w14:paraId="7CCEF22C">
      <w:pPr>
        <w:ind w:firstLine="56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矿山道路危险地段设置护堤，高度为汽车轮胎直径的2/5-3/5，底部宽度不应小于</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w:t>
      </w:r>
    </w:p>
    <w:p w14:paraId="2A2D8EB4">
      <w:pPr>
        <w:ind w:firstLine="56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矿山长距离坡道运输系统，在适当位置设置缓坡道，危险路段沿公路外侧设立安全桩或安全墙。</w:t>
      </w:r>
    </w:p>
    <w:p w14:paraId="30C847AA">
      <w:pPr>
        <w:ind w:firstLine="56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矿用汽车在作业时，其制动、转向系统和安全装置必须完好。应定期检验其可靠性，大型自卸车应设示宽灯和标志。</w:t>
      </w:r>
    </w:p>
    <w:p w14:paraId="0E72080C">
      <w:pPr>
        <w:ind w:firstLine="56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矿内各种汽车道路，应根据具体情况（弯度、坡度、危险地段）设置反光路标和限速标志。</w:t>
      </w:r>
    </w:p>
    <w:p w14:paraId="47AB6C2E">
      <w:pPr>
        <w:ind w:firstLine="56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严禁采矿汽车在矿内各种道路上超速行驶，同类汽车不得超车。矿内各种车辆（正在作业的平路机除外）必须为采剥汽车让行。</w:t>
      </w:r>
    </w:p>
    <w:p w14:paraId="166206EA">
      <w:pPr>
        <w:ind w:firstLine="56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矿山道路的宽度应保证通行、会车等的安全要求。受采掘条件限制、达不到规定的宽度时，必须视道路距离设置相应数量的会车线。</w:t>
      </w:r>
    </w:p>
    <w:p w14:paraId="49B00F8E">
      <w:pPr>
        <w:ind w:firstLine="56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雾天或烟尘影响视线时，应打开车前黄色警示灯或大灯，并靠边减速行驶，前、后车距不得小于30m；能见度不足30m或雨、雪天气危及行车安全时，应停止作业。</w:t>
      </w:r>
    </w:p>
    <w:p w14:paraId="02519E8B">
      <w:pPr>
        <w:ind w:firstLine="560"/>
        <w:rPr>
          <w:color w:val="000000" w:themeColor="text1"/>
          <w14:textFill>
            <w14:solidFill>
              <w14:schemeClr w14:val="tx1"/>
            </w14:solidFill>
          </w14:textFill>
        </w:rPr>
      </w:pP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自卸车不得在矿山道路拖挂其他车辆；必须拖挂时，应采取安全措施，并设专人指挥监护。</w:t>
      </w:r>
    </w:p>
    <w:p w14:paraId="103BF9D0">
      <w:pPr>
        <w:ind w:firstLine="56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待进入装车位置的汽车必须停在挖掘机最大回转半径范围之外，正在装车的汽车必须停在挖掘机尾部回转半径之外。</w:t>
      </w:r>
    </w:p>
    <w:p w14:paraId="67EB66B2">
      <w:pPr>
        <w:ind w:firstLine="560"/>
        <w:rPr>
          <w:color w:val="000000" w:themeColor="text1"/>
          <w14:textFill>
            <w14:solidFill>
              <w14:schemeClr w14:val="tx1"/>
            </w14:solidFill>
          </w14:textFill>
        </w:rPr>
      </w:pP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正在装载的汽车必须制动，司机不得将身体的任何部位伸出驾驶室外，严禁其他人员上、下车和检查维修车辆。</w:t>
      </w:r>
    </w:p>
    <w:p w14:paraId="4CCFAC1B">
      <w:pPr>
        <w:ind w:firstLine="56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汽车必须在挖掘机发出信号后，方可进人或驶出装车地点。</w:t>
      </w:r>
    </w:p>
    <w:p w14:paraId="560A61CC">
      <w:pPr>
        <w:ind w:firstLine="560"/>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汽车排队等待装车时，车与车之间必须保持一定的安全距离。</w:t>
      </w:r>
    </w:p>
    <w:p w14:paraId="6756AEB7">
      <w:pPr>
        <w:ind w:firstLine="560"/>
        <w:rPr>
          <w:color w:val="000000" w:themeColor="text1"/>
          <w14:textFill>
            <w14:solidFill>
              <w14:schemeClr w14:val="tx1"/>
            </w14:solidFill>
          </w14:textFill>
        </w:rPr>
      </w:pPr>
      <w:r>
        <w:rPr>
          <w:color w:val="000000" w:themeColor="text1"/>
          <w14:textFill>
            <w14:solidFill>
              <w14:schemeClr w14:val="tx1"/>
            </w14:solidFill>
          </w14:textFill>
        </w:rPr>
        <w:t>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卸料平台应有信号、安全标志、照明和足够的调车宽度。卸料点必须有可靠的挡车设施。不同类型汽车应有各自卸料点，使用同一个卸料点时，应保证大型车安全。</w:t>
      </w:r>
    </w:p>
    <w:p w14:paraId="037999FF">
      <w:pPr>
        <w:ind w:firstLine="560"/>
        <w:rPr>
          <w:color w:val="000000" w:themeColor="text1"/>
          <w14:textFill>
            <w14:solidFill>
              <w14:schemeClr w14:val="tx1"/>
            </w14:solidFill>
          </w14:textFill>
        </w:rPr>
      </w:pPr>
      <w:bookmarkStart w:id="1205" w:name="_Toc20057"/>
      <w:bookmarkStart w:id="1206" w:name="_Toc12678"/>
      <w:bookmarkStart w:id="1207" w:name="_Toc25889"/>
      <w:r>
        <w:rPr>
          <w:color w:val="000000" w:themeColor="text1"/>
          <w14:textFill>
            <w14:solidFill>
              <w14:schemeClr w14:val="tx1"/>
            </w14:solidFill>
          </w14:textFill>
        </w:rPr>
        <w:t>14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杜绝酒后驾车，加强员工教育，严禁超速行驶。</w:t>
      </w:r>
      <w:bookmarkEnd w:id="1205"/>
      <w:bookmarkEnd w:id="1206"/>
      <w:bookmarkEnd w:id="1207"/>
    </w:p>
    <w:p w14:paraId="6B15743F">
      <w:pPr>
        <w:ind w:firstLine="560"/>
        <w:rPr>
          <w:color w:val="000000" w:themeColor="text1"/>
          <w14:textFill>
            <w14:solidFill>
              <w14:schemeClr w14:val="tx1"/>
            </w14:solidFill>
          </w14:textFill>
        </w:rPr>
      </w:pPr>
      <w:r>
        <w:rPr>
          <w:color w:val="000000" w:themeColor="text1"/>
          <w14:textFill>
            <w14:solidFill>
              <w14:schemeClr w14:val="tx1"/>
            </w14:solidFill>
          </w14:textFill>
        </w:rPr>
        <w:t>15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矿山道路应定期维护，必要时委派人员到场进行专职或兼职监管。</w:t>
      </w:r>
    </w:p>
    <w:p w14:paraId="31197FF6">
      <w:pPr>
        <w:ind w:firstLine="560"/>
        <w:rPr>
          <w:color w:val="000000" w:themeColor="text1"/>
          <w14:textFill>
            <w14:solidFill>
              <w14:schemeClr w14:val="tx1"/>
            </w14:solidFill>
          </w14:textFill>
        </w:rPr>
      </w:pP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矿山汽车司机应熟悉矿山运输线路，具备相关的运政驾照方可上岗。</w:t>
      </w:r>
    </w:p>
    <w:p w14:paraId="3A4EC993">
      <w:pPr>
        <w:ind w:firstLine="560"/>
        <w:rPr>
          <w:color w:val="000000" w:themeColor="text1"/>
          <w14:textFill>
            <w14:solidFill>
              <w14:schemeClr w14:val="tx1"/>
            </w14:solidFill>
          </w14:textFill>
        </w:rPr>
      </w:pPr>
      <w:r>
        <w:rPr>
          <w:color w:val="000000" w:themeColor="text1"/>
          <w14:textFill>
            <w14:solidFill>
              <w14:schemeClr w14:val="tx1"/>
            </w14:solidFill>
          </w14:textFill>
        </w:rPr>
        <w:t>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矿山机械设备驾驶人员应定期体检，以保证矿山运输的安全。</w:t>
      </w:r>
    </w:p>
    <w:p w14:paraId="7B97D1A2">
      <w:pPr>
        <w:ind w:firstLine="560"/>
        <w:rPr>
          <w:color w:val="000000" w:themeColor="text1"/>
          <w14:textFill>
            <w14:solidFill>
              <w14:schemeClr w14:val="tx1"/>
            </w14:solidFill>
          </w14:textFill>
        </w:rPr>
      </w:pPr>
      <w:r>
        <w:rPr>
          <w:color w:val="000000" w:themeColor="text1"/>
          <w14:textFill>
            <w14:solidFill>
              <w14:schemeClr w14:val="tx1"/>
            </w14:solidFill>
          </w14:textFill>
        </w:rPr>
        <w:t>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矿山运输车辆驾驶员必须经正规驾驶员培训毕业，持证上岗。</w:t>
      </w:r>
    </w:p>
    <w:p w14:paraId="0A522DC3">
      <w:pPr>
        <w:ind w:firstLine="560"/>
        <w:rPr>
          <w:color w:val="000000" w:themeColor="text1"/>
          <w14:textFill>
            <w14:solidFill>
              <w14:schemeClr w14:val="tx1"/>
            </w14:solidFill>
          </w14:textFill>
        </w:rPr>
      </w:pPr>
      <w:r>
        <w:rPr>
          <w:color w:val="000000" w:themeColor="text1"/>
          <w14:textFill>
            <w14:solidFill>
              <w14:schemeClr w14:val="tx1"/>
            </w14:solidFill>
          </w14:textFill>
        </w:rPr>
        <w:t>19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运输车辆必须按期进行检验，平时注意维修、保养，未经检验合格和带病车禁止参加矿山运输。</w:t>
      </w:r>
    </w:p>
    <w:p w14:paraId="0DB259B3">
      <w:pPr>
        <w:pStyle w:val="5"/>
        <w:spacing w:after="120"/>
        <w:rPr>
          <w:color w:val="000000" w:themeColor="text1"/>
          <w14:textFill>
            <w14:solidFill>
              <w14:schemeClr w14:val="tx1"/>
            </w14:solidFill>
          </w14:textFill>
        </w:rPr>
      </w:pPr>
      <w:bookmarkStart w:id="1208" w:name="_Toc1396"/>
      <w:bookmarkStart w:id="1209" w:name="_Toc27794"/>
      <w:bookmarkStart w:id="1210" w:name="_Toc27101"/>
      <w:bookmarkStart w:id="1211" w:name="_Toc14077"/>
      <w:bookmarkStart w:id="1212" w:name="_Toc3923"/>
      <w:bookmarkStart w:id="1213" w:name="_Toc32288"/>
      <w:bookmarkStart w:id="1214" w:name="_Toc17360"/>
      <w:bookmarkStart w:id="1215" w:name="_Toc29273"/>
      <w:bookmarkStart w:id="1216" w:name="_Toc19020"/>
      <w:bookmarkStart w:id="1217" w:name="_Toc12475"/>
      <w:bookmarkStart w:id="1218" w:name="_Toc392680676"/>
      <w:bookmarkStart w:id="1219" w:name="_Toc13619"/>
      <w:bookmarkStart w:id="1220" w:name="_Toc215070197"/>
      <w:bookmarkStart w:id="1221" w:name="_Toc11184"/>
      <w:bookmarkStart w:id="1222" w:name="_Toc12193"/>
      <w:bookmarkStart w:id="1223" w:name="_Toc29979"/>
      <w:r>
        <w:rPr>
          <w:rFonts w:hint="eastAsia"/>
          <w:color w:val="000000" w:themeColor="text1"/>
          <w14:textFill>
            <w14:solidFill>
              <w14:schemeClr w14:val="tx1"/>
            </w14:solidFill>
          </w14:textFill>
        </w:rPr>
        <w:t>2.4.</w:t>
      </w:r>
      <w:bookmarkEnd w:id="1037"/>
      <w:bookmarkEnd w:id="1038"/>
      <w:r>
        <w:rPr>
          <w:rFonts w:hint="eastAsia"/>
          <w:color w:val="000000" w:themeColor="text1"/>
          <w14:textFill>
            <w14:solidFill>
              <w14:schemeClr w14:val="tx1"/>
            </w14:solidFill>
          </w14:textFill>
        </w:rPr>
        <w:t>6采矿工艺</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0E27E2ED">
      <w:pPr>
        <w:ind w:firstLine="420" w:firstLineChars="150"/>
        <w:rPr>
          <w:color w:val="000000" w:themeColor="text1"/>
          <w:kern w:val="0"/>
          <w:szCs w:val="28"/>
          <w:lang w:val="zh-TW"/>
          <w14:textFill>
            <w14:solidFill>
              <w14:schemeClr w14:val="tx1"/>
            </w14:solidFill>
          </w14:textFill>
        </w:rPr>
      </w:pPr>
      <w:bookmarkStart w:id="1224" w:name="_Toc247354731"/>
      <w:bookmarkStart w:id="1225" w:name="_Toc15460"/>
      <w:bookmarkStart w:id="1226" w:name="_Toc10746"/>
      <w:r>
        <w:rPr>
          <w:rFonts w:hint="eastAsia"/>
          <w:color w:val="000000" w:themeColor="text1"/>
          <w:szCs w:val="28"/>
          <w14:textFill>
            <w14:solidFill>
              <w14:schemeClr w14:val="tx1"/>
            </w14:solidFill>
          </w14:textFill>
        </w:rPr>
        <w:t>根据</w:t>
      </w:r>
      <w:r>
        <w:rPr>
          <w:snapToGrid w:val="0"/>
          <w:color w:val="000000" w:themeColor="text1"/>
          <w:kern w:val="0"/>
          <w:szCs w:val="28"/>
          <w:lang w:val="zh-TW"/>
          <w14:textFill>
            <w14:solidFill>
              <w14:schemeClr w14:val="tx1"/>
            </w14:solidFill>
          </w14:textFill>
        </w:rPr>
        <w:t>《</w:t>
      </w:r>
      <w:r>
        <w:rPr>
          <w:rFonts w:hint="eastAsia" w:ascii="宋体" w:hAnsi="宋体"/>
          <w:color w:val="000000" w:themeColor="text1"/>
          <w:szCs w:val="28"/>
          <w14:textFill>
            <w14:solidFill>
              <w14:schemeClr w14:val="tx1"/>
            </w14:solidFill>
          </w14:textFill>
        </w:rPr>
        <w:t>广南县旧莫小格达普通建筑石料用灰岩矿</w:t>
      </w:r>
      <w:r>
        <w:rPr>
          <w:rFonts w:ascii="宋体" w:hAnsi="宋体"/>
          <w:color w:val="000000" w:themeColor="text1"/>
          <w:szCs w:val="28"/>
          <w14:textFill>
            <w14:solidFill>
              <w14:schemeClr w14:val="tx1"/>
            </w14:solidFill>
          </w14:textFill>
        </w:rPr>
        <w:t>50万t/a露天采矿</w:t>
      </w:r>
      <w:r>
        <w:rPr>
          <w:rFonts w:hint="eastAsia"/>
          <w:snapToGrid w:val="0"/>
          <w:color w:val="000000" w:themeColor="text1"/>
          <w:kern w:val="0"/>
          <w:szCs w:val="28"/>
          <w14:textFill>
            <w14:solidFill>
              <w14:schemeClr w14:val="tx1"/>
            </w14:solidFill>
          </w14:textFill>
        </w:rPr>
        <w:t>工程</w:t>
      </w:r>
      <w:r>
        <w:rPr>
          <w:rFonts w:hint="eastAsia"/>
          <w:color w:val="000000" w:themeColor="text1"/>
          <w:szCs w:val="28"/>
          <w14:textFill>
            <w14:solidFill>
              <w14:schemeClr w14:val="tx1"/>
            </w14:solidFill>
          </w14:textFill>
        </w:rPr>
        <w:t>可行性研究报告</w:t>
      </w:r>
      <w:r>
        <w:rPr>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lang w:val="zh-TW"/>
          <w14:textFill>
            <w14:solidFill>
              <w14:schemeClr w14:val="tx1"/>
            </w14:solidFill>
          </w14:textFill>
        </w:rPr>
        <w:t>，</w:t>
      </w:r>
      <w:r>
        <w:rPr>
          <w:color w:val="000000" w:themeColor="text1"/>
          <w:szCs w:val="28"/>
          <w14:textFill>
            <w14:solidFill>
              <w14:schemeClr w14:val="tx1"/>
            </w14:solidFill>
          </w14:textFill>
        </w:rPr>
        <w:t>工艺流程</w:t>
      </w:r>
      <w:r>
        <w:rPr>
          <w:rFonts w:hint="eastAsia"/>
          <w:color w:val="000000" w:themeColor="text1"/>
          <w:szCs w:val="28"/>
          <w14:textFill>
            <w14:solidFill>
              <w14:schemeClr w14:val="tx1"/>
            </w14:solidFill>
          </w14:textFill>
        </w:rPr>
        <w:t>为</w:t>
      </w:r>
      <w:r>
        <w:rPr>
          <w:color w:val="000000" w:themeColor="text1"/>
          <w:szCs w:val="28"/>
          <w14:textFill>
            <w14:solidFill>
              <w14:schemeClr w14:val="tx1"/>
            </w14:solidFill>
          </w14:textFill>
        </w:rPr>
        <w:t>：</w:t>
      </w:r>
      <w:bookmarkStart w:id="1227" w:name="_Toc13480"/>
      <w:bookmarkStart w:id="1228" w:name="_Toc26311"/>
      <w:bookmarkStart w:id="1229" w:name="_Toc31990"/>
      <w:bookmarkStart w:id="1230" w:name="_Toc11274"/>
      <w:bookmarkStart w:id="1231" w:name="_Toc4919"/>
      <w:bookmarkStart w:id="1232" w:name="_Toc13609"/>
      <w:bookmarkStart w:id="1233" w:name="_Toc9459"/>
      <w:r>
        <w:rPr>
          <w:rFonts w:hint="eastAsia"/>
          <w:color w:val="000000" w:themeColor="text1"/>
          <w:szCs w:val="28"/>
          <w14:textFill>
            <w14:solidFill>
              <w14:schemeClr w14:val="tx1"/>
            </w14:solidFill>
          </w14:textFill>
        </w:rPr>
        <w:t>表土剥离</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凿岩</w:t>
      </w:r>
      <w:r>
        <w:rPr>
          <w:color w:val="000000" w:themeColor="text1"/>
          <w:szCs w:val="28"/>
          <w14:textFill>
            <w14:solidFill>
              <w14:schemeClr w14:val="tx1"/>
            </w14:solidFill>
          </w14:textFill>
        </w:rPr>
        <w:t>→爆破→采装→自卸汽车运输→破碎系统破碎→汽车运出销售。</w:t>
      </w:r>
    </w:p>
    <w:p w14:paraId="2B3948BC">
      <w:pPr>
        <w:pStyle w:val="6"/>
        <w:spacing w:before="120" w:after="120"/>
        <w:rPr>
          <w:color w:val="000000" w:themeColor="text1"/>
          <w:lang w:val="zh-TW"/>
          <w14:textFill>
            <w14:solidFill>
              <w14:schemeClr w14:val="tx1"/>
            </w14:solidFill>
          </w14:textFill>
        </w:rPr>
      </w:pPr>
      <w:bookmarkStart w:id="1234" w:name="_Toc215070198"/>
      <w:r>
        <w:rPr>
          <w:rFonts w:hint="eastAsia"/>
          <w:color w:val="000000" w:themeColor="text1"/>
          <w14:textFill>
            <w14:solidFill>
              <w14:schemeClr w14:val="tx1"/>
            </w14:solidFill>
          </w14:textFill>
        </w:rPr>
        <w:t>2.4.6.1</w:t>
      </w:r>
      <w:r>
        <w:rPr>
          <w:color w:val="000000" w:themeColor="text1"/>
          <w:lang w:val="zh-TW" w:eastAsia="zh-TW"/>
          <w14:textFill>
            <w14:solidFill>
              <w14:schemeClr w14:val="tx1"/>
            </w14:solidFill>
          </w14:textFill>
        </w:rPr>
        <w:t>采剥方法</w:t>
      </w:r>
      <w:bookmarkEnd w:id="1227"/>
      <w:bookmarkEnd w:id="1228"/>
      <w:bookmarkEnd w:id="1229"/>
      <w:bookmarkEnd w:id="1230"/>
      <w:bookmarkEnd w:id="1231"/>
      <w:bookmarkEnd w:id="1232"/>
      <w:bookmarkEnd w:id="1233"/>
      <w:bookmarkEnd w:id="1234"/>
    </w:p>
    <w:p w14:paraId="4FA81556">
      <w:pPr>
        <w:ind w:firstLine="560"/>
        <w:rPr>
          <w:color w:val="000000" w:themeColor="text1"/>
          <w14:textFill>
            <w14:solidFill>
              <w14:schemeClr w14:val="tx1"/>
            </w14:solidFill>
          </w14:textFill>
        </w:rPr>
      </w:pPr>
      <w:bookmarkStart w:id="1235" w:name="_Toc17668"/>
      <w:bookmarkStart w:id="1236" w:name="_Toc12572"/>
      <w:bookmarkStart w:id="1237" w:name="_Toc649"/>
      <w:r>
        <w:rPr>
          <w:rFonts w:hint="eastAsia"/>
          <w:color w:val="000000" w:themeColor="text1"/>
          <w14:textFill>
            <w14:solidFill>
              <w14:schemeClr w14:val="tx1"/>
            </w14:solidFill>
          </w14:textFill>
        </w:rPr>
        <w:t>1、</w:t>
      </w:r>
      <w:r>
        <w:rPr>
          <w:color w:val="000000" w:themeColor="text1"/>
          <w14:textFill>
            <w14:solidFill>
              <w14:schemeClr w14:val="tx1"/>
            </w14:solidFill>
          </w14:textFill>
        </w:rPr>
        <w:t>开段沟位置</w:t>
      </w:r>
      <w:bookmarkEnd w:id="1235"/>
      <w:bookmarkEnd w:id="1236"/>
      <w:bookmarkEnd w:id="1237"/>
    </w:p>
    <w:p w14:paraId="7E475131">
      <w:pPr>
        <w:ind w:firstLine="560"/>
        <w:rPr>
          <w:color w:val="000000" w:themeColor="text1"/>
          <w14:textFill>
            <w14:solidFill>
              <w14:schemeClr w14:val="tx1"/>
            </w14:solidFill>
          </w14:textFill>
        </w:rPr>
      </w:pPr>
      <w:r>
        <w:rPr>
          <w:color w:val="000000" w:themeColor="text1"/>
          <w14:textFill>
            <w14:solidFill>
              <w14:schemeClr w14:val="tx1"/>
            </w14:solidFill>
          </w14:textFill>
        </w:rPr>
        <w:t>矿山采用场外开拓公路运输，沿地表山坡地形线开掘新水平单壁沟，掘进一定长度之后，在沟的一侧布置工作面进行采剥扩帮。</w:t>
      </w:r>
    </w:p>
    <w:p w14:paraId="1102B38C">
      <w:pPr>
        <w:ind w:firstLine="560"/>
        <w:rPr>
          <w:color w:val="000000" w:themeColor="text1"/>
          <w14:textFill>
            <w14:solidFill>
              <w14:schemeClr w14:val="tx1"/>
            </w14:solidFill>
          </w14:textFill>
        </w:rPr>
      </w:pPr>
      <w:bookmarkStart w:id="1238" w:name="_Toc23473"/>
      <w:bookmarkStart w:id="1239" w:name="_Toc10567"/>
      <w:bookmarkStart w:id="1240" w:name="_Toc25549"/>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工作面布置及推进方向</w:t>
      </w:r>
      <w:bookmarkEnd w:id="1238"/>
      <w:bookmarkEnd w:id="1239"/>
      <w:bookmarkEnd w:id="1240"/>
    </w:p>
    <w:p w14:paraId="2FAEC752">
      <w:pPr>
        <w:ind w:firstLine="560"/>
        <w:rPr>
          <w:color w:val="000000" w:themeColor="text1"/>
          <w14:textFill>
            <w14:solidFill>
              <w14:schemeClr w14:val="tx1"/>
            </w14:solidFill>
          </w14:textFill>
        </w:rPr>
      </w:pPr>
      <w:bookmarkStart w:id="1241" w:name="_Toc27262"/>
      <w:bookmarkStart w:id="1242" w:name="_Toc26301"/>
      <w:bookmarkStart w:id="1243" w:name="_Toc17868"/>
      <w:r>
        <w:rPr>
          <w:color w:val="000000" w:themeColor="text1"/>
          <w14:textFill>
            <w14:solidFill>
              <w14:schemeClr w14:val="tx1"/>
            </w14:solidFill>
          </w14:textFill>
        </w:rPr>
        <w:t>垂直矿体走向布置工作</w:t>
      </w:r>
      <w:r>
        <w:rPr>
          <w:bCs/>
          <w:color w:val="000000" w:themeColor="text1"/>
          <w:szCs w:val="32"/>
          <w14:textFill>
            <w14:solidFill>
              <w14:schemeClr w14:val="tx1"/>
            </w14:solidFill>
          </w14:textFill>
        </w:rPr>
        <w:t>面</w:t>
      </w:r>
      <w:r>
        <w:rPr>
          <w:color w:val="000000" w:themeColor="text1"/>
          <w14:textFill>
            <w14:solidFill>
              <w14:schemeClr w14:val="tx1"/>
            </w14:solidFill>
          </w14:textFill>
        </w:rPr>
        <w:t>，总体由</w:t>
      </w:r>
      <w:r>
        <w:rPr>
          <w:rFonts w:hint="eastAsia"/>
          <w:color w:val="000000" w:themeColor="text1"/>
          <w:lang w:bidi="ar"/>
          <w14:textFill>
            <w14:solidFill>
              <w14:schemeClr w14:val="tx1"/>
            </w14:solidFill>
          </w14:textFill>
        </w:rPr>
        <w:t>西南</w:t>
      </w:r>
      <w:r>
        <w:rPr>
          <w:color w:val="000000" w:themeColor="text1"/>
          <w:lang w:bidi="ar"/>
          <w14:textFill>
            <w14:solidFill>
              <w14:schemeClr w14:val="tx1"/>
            </w14:solidFill>
          </w14:textFill>
        </w:rPr>
        <w:t>向</w:t>
      </w:r>
      <w:r>
        <w:rPr>
          <w:rFonts w:hint="eastAsia"/>
          <w:color w:val="000000" w:themeColor="text1"/>
          <w:lang w:bidi="ar"/>
          <w14:textFill>
            <w14:solidFill>
              <w14:schemeClr w14:val="tx1"/>
            </w14:solidFill>
          </w14:textFill>
        </w:rPr>
        <w:t>东北</w:t>
      </w:r>
      <w:r>
        <w:rPr>
          <w:color w:val="000000" w:themeColor="text1"/>
          <w:lang w:bidi="ar"/>
          <w14:textFill>
            <w14:solidFill>
              <w14:schemeClr w14:val="tx1"/>
            </w14:solidFill>
          </w14:textFill>
        </w:rPr>
        <w:t>推进</w:t>
      </w:r>
      <w:r>
        <w:rPr>
          <w:color w:val="000000" w:themeColor="text1"/>
          <w14:textFill>
            <w14:solidFill>
              <w14:schemeClr w14:val="tx1"/>
            </w14:solidFill>
          </w14:textFill>
        </w:rPr>
        <w:t>。</w:t>
      </w:r>
    </w:p>
    <w:p w14:paraId="5F2156E0">
      <w:pPr>
        <w:ind w:firstLine="56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首采段确定</w:t>
      </w:r>
      <w:bookmarkEnd w:id="1241"/>
      <w:bookmarkEnd w:id="1242"/>
      <w:bookmarkEnd w:id="1243"/>
    </w:p>
    <w:p w14:paraId="1D0EB129">
      <w:pPr>
        <w:ind w:firstLine="560"/>
        <w:rPr>
          <w:color w:val="000000" w:themeColor="text1"/>
          <w14:textFill>
            <w14:solidFill>
              <w14:schemeClr w14:val="tx1"/>
            </w14:solidFill>
          </w14:textFill>
        </w:rPr>
      </w:pPr>
      <w:bookmarkStart w:id="1244" w:name="_Toc4163"/>
      <w:bookmarkStart w:id="1245" w:name="_Toc15884"/>
      <w:bookmarkStart w:id="1246" w:name="_Toc5393"/>
      <w:r>
        <w:rPr>
          <w:rFonts w:hint="eastAsia"/>
          <w:color w:val="000000" w:themeColor="text1"/>
          <w:szCs w:val="28"/>
          <w14:textFill>
            <w14:solidFill>
              <w14:schemeClr w14:val="tx1"/>
            </w14:solidFill>
          </w14:textFill>
        </w:rPr>
        <w:t>本矿山为已有矿山扩建，目前已经形成5个不规则平台，</w:t>
      </w:r>
      <w:r>
        <w:rPr>
          <w:color w:val="000000" w:themeColor="text1"/>
          <w:szCs w:val="28"/>
          <w14:textFill>
            <w14:solidFill>
              <w14:schemeClr w14:val="tx1"/>
            </w14:solidFill>
          </w14:textFill>
        </w:rPr>
        <w:t>在1</w:t>
      </w:r>
      <w:r>
        <w:rPr>
          <w:rFonts w:hint="eastAsia"/>
          <w:color w:val="000000" w:themeColor="text1"/>
          <w:szCs w:val="28"/>
          <w14:textFill>
            <w14:solidFill>
              <w14:schemeClr w14:val="tx1"/>
            </w14:solidFill>
          </w14:textFill>
        </w:rPr>
        <w:t>430</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1420</w:t>
      </w:r>
      <w:r>
        <w:rPr>
          <w:color w:val="000000" w:themeColor="text1"/>
          <w:szCs w:val="28"/>
          <w14:textFill>
            <w14:solidFill>
              <w14:schemeClr w14:val="tx1"/>
            </w14:solidFill>
          </w14:textFill>
        </w:rPr>
        <w:t>m进行采矿，首采工作台阶高度为</w:t>
      </w:r>
      <w:r>
        <w:rPr>
          <w:rFonts w:hint="eastAsia"/>
          <w:color w:val="000000" w:themeColor="text1"/>
          <w:szCs w:val="28"/>
          <w14:textFill>
            <w14:solidFill>
              <w14:schemeClr w14:val="tx1"/>
            </w14:solidFill>
          </w14:textFill>
        </w:rPr>
        <w:t>10</w:t>
      </w:r>
      <w:r>
        <w:rPr>
          <w:color w:val="000000" w:themeColor="text1"/>
          <w:szCs w:val="28"/>
          <w14:textFill>
            <w14:solidFill>
              <w14:schemeClr w14:val="tx1"/>
            </w14:solidFill>
          </w14:textFill>
        </w:rPr>
        <w:t>m，工作台阶坡面角</w:t>
      </w:r>
      <w:r>
        <w:rPr>
          <w:rFonts w:hint="eastAsia"/>
          <w:color w:val="000000" w:themeColor="text1"/>
          <w:szCs w:val="28"/>
          <w14:textFill>
            <w14:solidFill>
              <w14:schemeClr w14:val="tx1"/>
            </w14:solidFill>
          </w14:textFill>
        </w:rPr>
        <w:t>90</w:t>
      </w:r>
      <w:r>
        <w:rPr>
          <w:color w:val="000000" w:themeColor="text1"/>
          <w:szCs w:val="28"/>
          <w14:textFill>
            <w14:solidFill>
              <w14:schemeClr w14:val="tx1"/>
            </w14:solidFill>
          </w14:textFill>
        </w:rPr>
        <w:t>°，靠帮台阶坡面角</w:t>
      </w:r>
      <w:r>
        <w:rPr>
          <w:color w:val="000000" w:themeColor="text1"/>
          <w:lang w:bidi="ar"/>
          <w14:textFill>
            <w14:solidFill>
              <w14:schemeClr w14:val="tx1"/>
            </w14:solidFill>
          </w14:textFill>
        </w:rPr>
        <w:t>6</w:t>
      </w:r>
      <w:r>
        <w:rPr>
          <w:rFonts w:hint="eastAsia"/>
          <w:color w:val="000000" w:themeColor="text1"/>
          <w:lang w:bidi="ar"/>
          <w14:textFill>
            <w14:solidFill>
              <w14:schemeClr w14:val="tx1"/>
            </w14:solidFill>
          </w14:textFill>
        </w:rPr>
        <w:t>5</w:t>
      </w:r>
      <w:r>
        <w:rPr>
          <w:color w:val="000000" w:themeColor="text1"/>
          <w:lang w:bidi="ar"/>
          <w14:textFill>
            <w14:solidFill>
              <w14:schemeClr w14:val="tx1"/>
            </w14:solidFill>
          </w14:textFill>
        </w:rPr>
        <w:t>°</w:t>
      </w:r>
      <w:r>
        <w:rPr>
          <w:color w:val="000000" w:themeColor="text1"/>
          <w14:textFill>
            <w14:solidFill>
              <w14:schemeClr w14:val="tx1"/>
            </w14:solidFill>
          </w14:textFill>
        </w:rPr>
        <w:t>。</w:t>
      </w:r>
    </w:p>
    <w:p w14:paraId="57AF26F1">
      <w:pPr>
        <w:ind w:firstLine="56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采剥方法</w:t>
      </w:r>
      <w:bookmarkEnd w:id="1244"/>
      <w:bookmarkEnd w:id="1245"/>
      <w:bookmarkEnd w:id="1246"/>
    </w:p>
    <w:p w14:paraId="7575DC77">
      <w:pPr>
        <w:ind w:firstLine="560"/>
        <w:rPr>
          <w:color w:val="000000" w:themeColor="text1"/>
          <w:szCs w:val="28"/>
          <w14:textFill>
            <w14:solidFill>
              <w14:schemeClr w14:val="tx1"/>
            </w14:solidFill>
          </w14:textFill>
        </w:rPr>
      </w:pPr>
      <w:r>
        <w:rPr>
          <w:color w:val="000000" w:themeColor="text1"/>
          <w14:textFill>
            <w14:solidFill>
              <w14:schemeClr w14:val="tx1"/>
            </w14:solidFill>
          </w14:textFill>
        </w:rPr>
        <w:t>根据矿区地形</w:t>
      </w:r>
      <w:r>
        <w:rPr>
          <w:color w:val="000000" w:themeColor="text1"/>
          <w:szCs w:val="28"/>
          <w14:textFill>
            <w14:solidFill>
              <w14:schemeClr w14:val="tx1"/>
            </w14:solidFill>
          </w14:textFill>
        </w:rPr>
        <w:t>地貌特征、矿体赋存特点以及选定的开拓运输方式，开采顺序由上往下分台阶开采，采矿工作台阶高度为</w:t>
      </w:r>
      <w:r>
        <w:rPr>
          <w:rFonts w:hint="eastAsia"/>
          <w:color w:val="000000" w:themeColor="text1"/>
          <w:szCs w:val="28"/>
          <w14:textFill>
            <w14:solidFill>
              <w14:schemeClr w14:val="tx1"/>
            </w14:solidFill>
          </w14:textFill>
        </w:rPr>
        <w:t>15</w:t>
      </w:r>
      <w:r>
        <w:rPr>
          <w:color w:val="000000" w:themeColor="text1"/>
          <w:szCs w:val="28"/>
          <w14:textFill>
            <w14:solidFill>
              <w14:schemeClr w14:val="tx1"/>
            </w14:solidFill>
          </w14:textFill>
        </w:rPr>
        <w:t>m，开采边坡坡面角不大于6</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°，新水平准备时，沿地形线开掘单壁沟，扩帮后</w:t>
      </w:r>
      <w:r>
        <w:rPr>
          <w:rFonts w:hint="eastAsia"/>
          <w:color w:val="000000" w:themeColor="text1"/>
          <w:szCs w:val="28"/>
          <w14:textFill>
            <w14:solidFill>
              <w14:schemeClr w14:val="tx1"/>
            </w14:solidFill>
          </w14:textFill>
        </w:rPr>
        <w:t>在</w:t>
      </w:r>
      <w:r>
        <w:rPr>
          <w:color w:val="000000" w:themeColor="text1"/>
          <w:szCs w:val="28"/>
          <w14:textFill>
            <w14:solidFill>
              <w14:schemeClr w14:val="tx1"/>
            </w14:solidFill>
          </w14:textFill>
        </w:rPr>
        <w:t>进行推进。采用深孔凿岩技术，控制松动爆破的爆破工艺进行开采。</w:t>
      </w:r>
    </w:p>
    <w:p w14:paraId="4597B72B">
      <w:pPr>
        <w:ind w:firstLine="560"/>
        <w:rPr>
          <w:color w:val="000000" w:themeColor="text1"/>
          <w14:textFill>
            <w14:solidFill>
              <w14:schemeClr w14:val="tx1"/>
            </w14:solidFill>
          </w14:textFill>
        </w:rPr>
      </w:pPr>
      <w:bookmarkStart w:id="1247" w:name="_Toc4340"/>
      <w:bookmarkStart w:id="1248" w:name="_Toc3101"/>
      <w:bookmarkStart w:id="1249" w:name="_Toc7422"/>
      <w:r>
        <w:rPr>
          <w:rFonts w:hint="eastAsia"/>
          <w:color w:val="000000" w:themeColor="text1"/>
          <w14:textFill>
            <w14:solidFill>
              <w14:schemeClr w14:val="tx1"/>
            </w14:solidFill>
          </w14:textFill>
        </w:rPr>
        <w:t>5、</w:t>
      </w:r>
      <w:r>
        <w:rPr>
          <w:color w:val="000000" w:themeColor="text1"/>
          <w14:textFill>
            <w14:solidFill>
              <w14:schemeClr w14:val="tx1"/>
            </w14:solidFill>
          </w14:textFill>
        </w:rPr>
        <w:t>采剥工作面</w:t>
      </w:r>
      <w:r>
        <w:rPr>
          <w:rFonts w:hint="eastAsia"/>
          <w:color w:val="000000" w:themeColor="text1"/>
          <w14:textFill>
            <w14:solidFill>
              <w14:schemeClr w14:val="tx1"/>
            </w14:solidFill>
          </w14:textFill>
        </w:rPr>
        <w:t>参数</w:t>
      </w:r>
      <w:bookmarkEnd w:id="1247"/>
      <w:bookmarkEnd w:id="1248"/>
      <w:bookmarkEnd w:id="1249"/>
    </w:p>
    <w:p w14:paraId="685AC2DD">
      <w:pPr>
        <w:ind w:firstLine="560"/>
        <w:rPr>
          <w:color w:val="000000" w:themeColor="text1"/>
          <w14:textFill>
            <w14:solidFill>
              <w14:schemeClr w14:val="tx1"/>
            </w14:solidFill>
          </w14:textFill>
        </w:rPr>
      </w:pPr>
      <w:r>
        <w:rPr>
          <w:color w:val="000000" w:themeColor="text1"/>
          <w14:textFill>
            <w14:solidFill>
              <w14:schemeClr w14:val="tx1"/>
            </w14:solidFill>
          </w14:textFill>
        </w:rPr>
        <w:t>工作台阶高度：</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w:t>
      </w:r>
    </w:p>
    <w:p w14:paraId="7CF274BE">
      <w:pPr>
        <w:ind w:firstLine="560"/>
        <w:rPr>
          <w:color w:val="000000" w:themeColor="text1"/>
          <w14:textFill>
            <w14:solidFill>
              <w14:schemeClr w14:val="tx1"/>
            </w14:solidFill>
          </w14:textFill>
        </w:rPr>
      </w:pPr>
      <w:r>
        <w:rPr>
          <w:color w:val="000000" w:themeColor="text1"/>
          <w14:textFill>
            <w14:solidFill>
              <w14:schemeClr w14:val="tx1"/>
            </w14:solidFill>
          </w14:textFill>
        </w:rPr>
        <w:t>工作台阶坡面角：</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w:t>
      </w:r>
    </w:p>
    <w:p w14:paraId="7C75A2C4">
      <w:pPr>
        <w:ind w:firstLine="560"/>
        <w:rPr>
          <w:color w:val="000000" w:themeColor="text1"/>
          <w14:textFill>
            <w14:solidFill>
              <w14:schemeClr w14:val="tx1"/>
            </w14:solidFill>
          </w14:textFill>
        </w:rPr>
      </w:pPr>
      <w:r>
        <w:rPr>
          <w:color w:val="000000" w:themeColor="text1"/>
          <w14:textFill>
            <w14:solidFill>
              <w14:schemeClr w14:val="tx1"/>
            </w14:solidFill>
          </w14:textFill>
        </w:rPr>
        <w:t>靠帮台阶坡面角：6</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p>
    <w:p w14:paraId="47F2423F">
      <w:pPr>
        <w:pStyle w:val="6"/>
        <w:spacing w:before="120" w:after="120"/>
        <w:rPr>
          <w:color w:val="000000" w:themeColor="text1"/>
          <w:lang w:val="zh-TW" w:eastAsia="zh-TW"/>
          <w14:textFill>
            <w14:solidFill>
              <w14:schemeClr w14:val="tx1"/>
            </w14:solidFill>
          </w14:textFill>
        </w:rPr>
      </w:pPr>
      <w:bookmarkStart w:id="1250" w:name="_Toc3548"/>
      <w:bookmarkStart w:id="1251" w:name="_Toc27285"/>
      <w:bookmarkStart w:id="1252" w:name="_Toc15627"/>
      <w:bookmarkStart w:id="1253" w:name="_Toc215070199"/>
      <w:bookmarkStart w:id="1254" w:name="_Toc7721"/>
      <w:bookmarkStart w:id="1255" w:name="_Toc28211"/>
      <w:bookmarkStart w:id="1256" w:name="_Toc4154"/>
      <w:bookmarkStart w:id="1257" w:name="_Toc4441"/>
      <w:bookmarkStart w:id="1258" w:name="_Toc1845"/>
      <w:r>
        <w:rPr>
          <w:rFonts w:hint="eastAsia"/>
          <w:color w:val="000000" w:themeColor="text1"/>
          <w14:textFill>
            <w14:solidFill>
              <w14:schemeClr w14:val="tx1"/>
            </w14:solidFill>
          </w14:textFill>
        </w:rPr>
        <w:t>2.4.6.2</w:t>
      </w:r>
      <w:r>
        <w:rPr>
          <w:color w:val="000000" w:themeColor="text1"/>
          <w14:textFill>
            <w14:solidFill>
              <w14:schemeClr w14:val="tx1"/>
            </w14:solidFill>
          </w14:textFill>
        </w:rPr>
        <w:t>穿爆工作</w:t>
      </w:r>
      <w:bookmarkEnd w:id="1250"/>
      <w:bookmarkEnd w:id="1251"/>
      <w:bookmarkEnd w:id="1252"/>
      <w:bookmarkEnd w:id="1253"/>
      <w:bookmarkEnd w:id="1254"/>
      <w:bookmarkEnd w:id="1255"/>
      <w:bookmarkEnd w:id="1256"/>
      <w:bookmarkEnd w:id="1257"/>
      <w:bookmarkEnd w:id="1258"/>
    </w:p>
    <w:p w14:paraId="33E44D45">
      <w:pPr>
        <w:ind w:firstLine="560"/>
        <w:rPr>
          <w:color w:val="000000" w:themeColor="text1"/>
          <w14:textFill>
            <w14:solidFill>
              <w14:schemeClr w14:val="tx1"/>
            </w14:solidFill>
          </w14:textFill>
        </w:rPr>
      </w:pPr>
      <w:bookmarkStart w:id="1259" w:name="_Toc4213"/>
      <w:bookmarkStart w:id="1260" w:name="_Toc9155"/>
      <w:bookmarkStart w:id="1261" w:name="_Toc26440"/>
      <w:r>
        <w:rPr>
          <w:rFonts w:hint="eastAsia"/>
          <w:color w:val="000000" w:themeColor="text1"/>
          <w14:textFill>
            <w14:solidFill>
              <w14:schemeClr w14:val="tx1"/>
            </w14:solidFill>
          </w14:textFill>
        </w:rPr>
        <w:t>1、</w:t>
      </w:r>
      <w:r>
        <w:rPr>
          <w:color w:val="000000" w:themeColor="text1"/>
          <w14:textFill>
            <w14:solidFill>
              <w14:schemeClr w14:val="tx1"/>
            </w14:solidFill>
          </w14:textFill>
        </w:rPr>
        <w:t>穿孔设备</w:t>
      </w:r>
      <w:bookmarkEnd w:id="1259"/>
      <w:bookmarkEnd w:id="1260"/>
      <w:bookmarkEnd w:id="1261"/>
    </w:p>
    <w:p w14:paraId="5875167F">
      <w:pPr>
        <w:ind w:firstLine="56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color w:val="000000" w:themeColor="text1"/>
          <w:szCs w:val="28"/>
          <w14:textFill>
            <w14:solidFill>
              <w14:schemeClr w14:val="tx1"/>
            </w14:solidFill>
          </w14:textFill>
        </w:rPr>
        <w:t>潜孔钻机</w:t>
      </w:r>
      <w:r>
        <w:rPr>
          <w:rFonts w:hint="eastAsia"/>
          <w:color w:val="000000" w:themeColor="text1"/>
          <w14:textFill>
            <w14:solidFill>
              <w14:schemeClr w14:val="tx1"/>
            </w14:solidFill>
          </w14:textFill>
        </w:rPr>
        <w:t>。</w:t>
      </w:r>
      <w:r>
        <w:rPr>
          <w:color w:val="000000" w:themeColor="text1"/>
          <w:szCs w:val="28"/>
          <w14:textFill>
            <w14:solidFill>
              <w14:schemeClr w14:val="tx1"/>
            </w14:solidFill>
          </w14:textFill>
        </w:rPr>
        <w:t>使用</w:t>
      </w:r>
      <w:r>
        <w:rPr>
          <w:rFonts w:hint="eastAsia"/>
          <w:color w:val="000000" w:themeColor="text1"/>
          <w:szCs w:val="28"/>
          <w14:textFill>
            <w14:solidFill>
              <w14:schemeClr w14:val="tx1"/>
            </w14:solidFill>
          </w14:textFill>
        </w:rPr>
        <w:t>矿山原有设备ZG</w:t>
      </w:r>
      <w:r>
        <w:rPr>
          <w:color w:val="000000" w:themeColor="text1"/>
          <w:szCs w:val="28"/>
          <w14:textFill>
            <w14:solidFill>
              <w14:schemeClr w14:val="tx1"/>
            </w14:solidFill>
          </w14:textFill>
        </w:rPr>
        <w:t>415-1履带式潜孔钻机进行凿岩，潜孔钻机</w:t>
      </w:r>
      <w:r>
        <w:rPr>
          <w:color w:val="000000" w:themeColor="text1"/>
          <w14:textFill>
            <w14:solidFill>
              <w14:schemeClr w14:val="tx1"/>
            </w14:solidFill>
          </w14:textFill>
        </w:rPr>
        <w:t>主要参数</w:t>
      </w:r>
      <w:r>
        <w:rPr>
          <w:rFonts w:hint="eastAsia"/>
          <w:color w:val="000000" w:themeColor="text1"/>
          <w14:textFill>
            <w14:solidFill>
              <w14:schemeClr w14:val="tx1"/>
            </w14:solidFill>
          </w14:textFill>
        </w:rPr>
        <w:t>见</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2.4-9。</w:t>
      </w:r>
    </w:p>
    <w:p w14:paraId="1EECFC73">
      <w:pPr>
        <w:ind w:firstLine="482"/>
        <w:jc w:val="center"/>
        <w:rPr>
          <w:color w:val="000000" w:themeColor="text1"/>
          <w14:textFill>
            <w14:solidFill>
              <w14:schemeClr w14:val="tx1"/>
            </w14:solidFill>
          </w14:textFill>
        </w:rPr>
      </w:pPr>
      <w:r>
        <w:rPr>
          <w:rStyle w:val="65"/>
          <w:color w:val="000000" w:themeColor="text1"/>
          <w14:textFill>
            <w14:solidFill>
              <w14:schemeClr w14:val="tx1"/>
            </w14:solidFill>
          </w14:textFill>
        </w:rPr>
        <w:t>表</w:t>
      </w:r>
      <w:r>
        <w:rPr>
          <w:rStyle w:val="65"/>
          <w:rFonts w:hint="eastAsia"/>
          <w:color w:val="000000" w:themeColor="text1"/>
          <w14:textFill>
            <w14:solidFill>
              <w14:schemeClr w14:val="tx1"/>
            </w14:solidFill>
          </w14:textFill>
        </w:rPr>
        <w:t>2.4-9</w:t>
      </w:r>
      <w:r>
        <w:rPr>
          <w:color w:val="000000" w:themeColor="text1"/>
          <w14:textFill>
            <w14:solidFill>
              <w14:schemeClr w14:val="tx1"/>
            </w14:solidFill>
          </w14:textFill>
        </w:rPr>
        <w:t xml:space="preserve"> </w:t>
      </w:r>
      <w:r>
        <w:rPr>
          <w:b/>
          <w:bCs/>
          <w:color w:val="000000" w:themeColor="text1"/>
          <w:sz w:val="24"/>
          <w14:textFill>
            <w14:solidFill>
              <w14:schemeClr w14:val="tx1"/>
            </w14:solidFill>
          </w14:textFill>
        </w:rPr>
        <w:t>志高415-1履带式潜孔钻机技术参数表</w:t>
      </w:r>
    </w:p>
    <w:tbl>
      <w:tblPr>
        <w:tblStyle w:val="4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134"/>
        <w:gridCol w:w="1985"/>
        <w:gridCol w:w="1790"/>
        <w:gridCol w:w="857"/>
        <w:gridCol w:w="900"/>
      </w:tblGrid>
      <w:tr w14:paraId="6EC7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14:paraId="049D9A5A">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134" w:type="dxa"/>
            <w:vAlign w:val="center"/>
          </w:tcPr>
          <w:p w14:paraId="2D37289E">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单位</w:t>
            </w:r>
          </w:p>
        </w:tc>
        <w:tc>
          <w:tcPr>
            <w:tcW w:w="1985" w:type="dxa"/>
            <w:vAlign w:val="center"/>
          </w:tcPr>
          <w:p w14:paraId="381DF889">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参数</w:t>
            </w:r>
          </w:p>
        </w:tc>
        <w:tc>
          <w:tcPr>
            <w:tcW w:w="1790" w:type="dxa"/>
            <w:vAlign w:val="center"/>
          </w:tcPr>
          <w:p w14:paraId="70D47004">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857" w:type="dxa"/>
            <w:vAlign w:val="center"/>
          </w:tcPr>
          <w:p w14:paraId="20DA37E6">
            <w:pPr>
              <w:pStyle w:val="18"/>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单位</w:t>
            </w:r>
          </w:p>
        </w:tc>
        <w:tc>
          <w:tcPr>
            <w:tcW w:w="900" w:type="dxa"/>
            <w:vAlign w:val="center"/>
          </w:tcPr>
          <w:p w14:paraId="6E9F4280">
            <w:pPr>
              <w:pStyle w:val="18"/>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参数</w:t>
            </w:r>
          </w:p>
        </w:tc>
      </w:tr>
      <w:tr w14:paraId="6813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14:paraId="685A7FC1">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钻孔孔径Φ</w:t>
            </w:r>
          </w:p>
        </w:tc>
        <w:tc>
          <w:tcPr>
            <w:tcW w:w="1134" w:type="dxa"/>
            <w:vAlign w:val="center"/>
          </w:tcPr>
          <w:p w14:paraId="72E4069F">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mm</w:t>
            </w:r>
          </w:p>
        </w:tc>
        <w:tc>
          <w:tcPr>
            <w:tcW w:w="1985" w:type="dxa"/>
            <w:vAlign w:val="center"/>
          </w:tcPr>
          <w:p w14:paraId="30DEF71A">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105</w:t>
            </w:r>
          </w:p>
        </w:tc>
        <w:tc>
          <w:tcPr>
            <w:tcW w:w="1790" w:type="dxa"/>
            <w:vAlign w:val="center"/>
          </w:tcPr>
          <w:p w14:paraId="74BA654D">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钻孔深度</w:t>
            </w:r>
          </w:p>
        </w:tc>
        <w:tc>
          <w:tcPr>
            <w:tcW w:w="857" w:type="dxa"/>
            <w:vAlign w:val="center"/>
          </w:tcPr>
          <w:p w14:paraId="2DCD3867">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p>
        </w:tc>
        <w:tc>
          <w:tcPr>
            <w:tcW w:w="900" w:type="dxa"/>
            <w:vAlign w:val="center"/>
          </w:tcPr>
          <w:p w14:paraId="34F9A3F5">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r>
      <w:tr w14:paraId="5A1B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14:paraId="5606C7C2">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动力参数</w:t>
            </w:r>
          </w:p>
        </w:tc>
        <w:tc>
          <w:tcPr>
            <w:tcW w:w="1134" w:type="dxa"/>
            <w:vAlign w:val="center"/>
          </w:tcPr>
          <w:p w14:paraId="5D2A3930">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kW</w:t>
            </w:r>
          </w:p>
        </w:tc>
        <w:tc>
          <w:tcPr>
            <w:tcW w:w="1985" w:type="dxa"/>
            <w:vAlign w:val="center"/>
          </w:tcPr>
          <w:p w14:paraId="37E0CCDE">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790" w:type="dxa"/>
            <w:vAlign w:val="center"/>
          </w:tcPr>
          <w:p w14:paraId="46201FBD">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爬坡能力</w:t>
            </w:r>
          </w:p>
        </w:tc>
        <w:tc>
          <w:tcPr>
            <w:tcW w:w="857" w:type="dxa"/>
            <w:vAlign w:val="center"/>
          </w:tcPr>
          <w:p w14:paraId="596E6D40">
            <w:pPr>
              <w:pStyle w:val="18"/>
              <w:ind w:firstLine="0" w:firstLineChars="0"/>
              <w:rPr>
                <w:color w:val="000000" w:themeColor="text1"/>
                <w:sz w:val="21"/>
                <w:szCs w:val="21"/>
                <w14:textFill>
                  <w14:solidFill>
                    <w14:schemeClr w14:val="tx1"/>
                  </w14:solidFill>
                </w14:textFill>
              </w:rPr>
            </w:pPr>
          </w:p>
        </w:tc>
        <w:tc>
          <w:tcPr>
            <w:tcW w:w="900" w:type="dxa"/>
            <w:vAlign w:val="center"/>
          </w:tcPr>
          <w:p w14:paraId="7C62170C">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r>
      <w:tr w14:paraId="0EA4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14:paraId="60000317">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外形尺寸（长×宽×高）</w:t>
            </w:r>
          </w:p>
        </w:tc>
        <w:tc>
          <w:tcPr>
            <w:tcW w:w="1134" w:type="dxa"/>
            <w:vAlign w:val="center"/>
          </w:tcPr>
          <w:p w14:paraId="7B8378FF">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mm</w:t>
            </w:r>
            <w:r>
              <w:rPr>
                <w:rFonts w:hint="eastAsia"/>
                <w:color w:val="000000" w:themeColor="text1"/>
                <w:sz w:val="21"/>
                <w:szCs w:val="21"/>
                <w14:textFill>
                  <w14:solidFill>
                    <w14:schemeClr w14:val="tx1"/>
                  </w14:solidFill>
                </w14:textFill>
              </w:rPr>
              <w:t>)</w:t>
            </w:r>
          </w:p>
        </w:tc>
        <w:tc>
          <w:tcPr>
            <w:tcW w:w="1985" w:type="dxa"/>
            <w:vAlign w:val="center"/>
          </w:tcPr>
          <w:p w14:paraId="7DC5C133">
            <w:pPr>
              <w:pStyle w:val="18"/>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5500</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2000</w:t>
            </w: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100</w:t>
            </w:r>
          </w:p>
        </w:tc>
        <w:tc>
          <w:tcPr>
            <w:tcW w:w="1790" w:type="dxa"/>
            <w:vAlign w:val="center"/>
          </w:tcPr>
          <w:p w14:paraId="2691B764">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行走速度</w:t>
            </w:r>
          </w:p>
        </w:tc>
        <w:tc>
          <w:tcPr>
            <w:tcW w:w="857" w:type="dxa"/>
            <w:vAlign w:val="center"/>
          </w:tcPr>
          <w:p w14:paraId="3F354687">
            <w:pPr>
              <w:pStyle w:val="18"/>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w:t>
            </w:r>
            <w:r>
              <w:rPr>
                <w:color w:val="000000" w:themeColor="text1"/>
                <w:sz w:val="21"/>
                <w:szCs w:val="21"/>
                <w14:textFill>
                  <w14:solidFill>
                    <w14:schemeClr w14:val="tx1"/>
                  </w14:solidFill>
                </w14:textFill>
              </w:rPr>
              <w:t>m/</w:t>
            </w:r>
            <w:r>
              <w:rPr>
                <w:rFonts w:hint="eastAsia"/>
                <w:color w:val="000000" w:themeColor="text1"/>
                <w:sz w:val="21"/>
                <w:szCs w:val="21"/>
                <w14:textFill>
                  <w14:solidFill>
                    <w14:schemeClr w14:val="tx1"/>
                  </w14:solidFill>
                </w14:textFill>
              </w:rPr>
              <w:t>h</w:t>
            </w:r>
          </w:p>
        </w:tc>
        <w:tc>
          <w:tcPr>
            <w:tcW w:w="900" w:type="dxa"/>
            <w:vAlign w:val="center"/>
          </w:tcPr>
          <w:p w14:paraId="79DF82A7">
            <w:pPr>
              <w:pStyle w:val="18"/>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~2.5</w:t>
            </w:r>
          </w:p>
        </w:tc>
      </w:tr>
      <w:tr w14:paraId="3A9A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14:paraId="4FBDECB9">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回转速度</w:t>
            </w:r>
          </w:p>
        </w:tc>
        <w:tc>
          <w:tcPr>
            <w:tcW w:w="1134" w:type="dxa"/>
            <w:vAlign w:val="center"/>
          </w:tcPr>
          <w:p w14:paraId="442F4947">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rpm</w:t>
            </w:r>
          </w:p>
        </w:tc>
        <w:tc>
          <w:tcPr>
            <w:tcW w:w="1985" w:type="dxa"/>
            <w:vAlign w:val="center"/>
          </w:tcPr>
          <w:p w14:paraId="651AFAFD">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1</w:t>
            </w:r>
          </w:p>
        </w:tc>
        <w:tc>
          <w:tcPr>
            <w:tcW w:w="1790" w:type="dxa"/>
            <w:vAlign w:val="center"/>
          </w:tcPr>
          <w:p w14:paraId="571B9FB7">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钻臂角度</w:t>
            </w:r>
          </w:p>
        </w:tc>
        <w:tc>
          <w:tcPr>
            <w:tcW w:w="857" w:type="dxa"/>
            <w:vAlign w:val="center"/>
          </w:tcPr>
          <w:p w14:paraId="59CB0738">
            <w:pPr>
              <w:pStyle w:val="18"/>
              <w:ind w:firstLine="420"/>
              <w:rPr>
                <w:color w:val="000000" w:themeColor="text1"/>
                <w:sz w:val="21"/>
                <w:szCs w:val="21"/>
                <w14:textFill>
                  <w14:solidFill>
                    <w14:schemeClr w14:val="tx1"/>
                  </w14:solidFill>
                </w14:textFill>
              </w:rPr>
            </w:pPr>
          </w:p>
        </w:tc>
        <w:tc>
          <w:tcPr>
            <w:tcW w:w="900" w:type="dxa"/>
            <w:vAlign w:val="center"/>
          </w:tcPr>
          <w:p w14:paraId="5CE0E415">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r>
    </w:tbl>
    <w:p w14:paraId="60A9B486">
      <w:pPr>
        <w:ind w:firstLine="560"/>
        <w:rPr>
          <w:color w:val="000000" w:themeColor="text1"/>
          <w:szCs w:val="28"/>
          <w14:textFill>
            <w14:solidFill>
              <w14:schemeClr w14:val="tx1"/>
            </w14:solidFill>
          </w14:textFill>
        </w:rPr>
      </w:pPr>
      <w:bookmarkStart w:id="1262" w:name="_Toc17310"/>
      <w:bookmarkStart w:id="1263" w:name="_Toc12970"/>
      <w:bookmarkStart w:id="1264" w:name="_Toc20287"/>
      <w:r>
        <w:rPr>
          <w:color w:val="000000" w:themeColor="text1"/>
          <w:szCs w:val="28"/>
          <w14:textFill>
            <w14:solidFill>
              <w14:schemeClr w14:val="tx1"/>
            </w14:solidFill>
          </w14:textFill>
        </w:rPr>
        <w:t>经计算，该矿山配备志高415-1履带式潜孔采矿钻机1台，可以满足矿山生产需求。</w:t>
      </w:r>
    </w:p>
    <w:bookmarkEnd w:id="1262"/>
    <w:bookmarkEnd w:id="1263"/>
    <w:bookmarkEnd w:id="1264"/>
    <w:p w14:paraId="697F5A4F">
      <w:pPr>
        <w:ind w:firstLine="560"/>
        <w:rPr>
          <w:color w:val="000000" w:themeColor="text1"/>
          <w14:textFill>
            <w14:solidFill>
              <w14:schemeClr w14:val="tx1"/>
            </w14:solidFill>
          </w14:textFill>
        </w:rPr>
      </w:pPr>
      <w:bookmarkStart w:id="1265" w:name="_Toc24575"/>
      <w:bookmarkStart w:id="1266" w:name="_Toc1004"/>
      <w:bookmarkStart w:id="1267" w:name="_Toc1445"/>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爆破设计</w:t>
      </w:r>
      <w:bookmarkEnd w:id="1265"/>
      <w:bookmarkEnd w:id="1266"/>
      <w:bookmarkEnd w:id="1267"/>
      <w:bookmarkStart w:id="1268" w:name="_Toc456080639"/>
    </w:p>
    <w:p w14:paraId="55B87C8A">
      <w:pPr>
        <w:ind w:firstLine="560"/>
        <w:rPr>
          <w:color w:val="000000" w:themeColor="text1"/>
          <w14:textFill>
            <w14:solidFill>
              <w14:schemeClr w14:val="tx1"/>
            </w14:solidFill>
          </w14:textFill>
        </w:rPr>
      </w:pPr>
      <w:bookmarkStart w:id="1269" w:name="_Toc17923"/>
      <w:bookmarkStart w:id="1270" w:name="_Toc19717"/>
      <w:bookmarkStart w:id="1271" w:name="_Toc25468"/>
      <w:r>
        <w:rPr>
          <w:rFonts w:hint="eastAsia"/>
          <w:color w:val="000000" w:themeColor="text1"/>
          <w14:textFill>
            <w14:solidFill>
              <w14:schemeClr w14:val="tx1"/>
            </w14:solidFill>
          </w14:textFill>
        </w:rPr>
        <w:t>（1）</w:t>
      </w:r>
      <w:r>
        <w:rPr>
          <w:color w:val="000000" w:themeColor="text1"/>
          <w14:textFill>
            <w14:solidFill>
              <w14:schemeClr w14:val="tx1"/>
            </w14:solidFill>
          </w14:textFill>
        </w:rPr>
        <w:t>爆破炮孔布置</w:t>
      </w:r>
      <w:bookmarkEnd w:id="1269"/>
      <w:bookmarkEnd w:id="1270"/>
      <w:bookmarkEnd w:id="1271"/>
    </w:p>
    <w:p w14:paraId="218E8CEE">
      <w:pPr>
        <w:ind w:firstLine="560"/>
        <w:rPr>
          <w:color w:val="000000" w:themeColor="text1"/>
          <w14:textFill>
            <w14:solidFill>
              <w14:schemeClr w14:val="tx1"/>
            </w14:solidFill>
          </w14:textFill>
        </w:rPr>
      </w:pPr>
      <w:r>
        <w:rPr>
          <w:color w:val="000000" w:themeColor="text1"/>
          <w14:textFill>
            <w14:solidFill>
              <w14:schemeClr w14:val="tx1"/>
            </w14:solidFill>
          </w14:textFill>
        </w:rPr>
        <w:t>炮孔采用平行三角布置。</w:t>
      </w:r>
    </w:p>
    <w:p w14:paraId="74C15548">
      <w:pPr>
        <w:ind w:firstLine="560"/>
        <w:rPr>
          <w:bCs/>
          <w:color w:val="000000" w:themeColor="text1"/>
          <w:szCs w:val="28"/>
          <w14:textFill>
            <w14:solidFill>
              <w14:schemeClr w14:val="tx1"/>
            </w14:solidFill>
          </w14:textFill>
        </w:rPr>
      </w:pPr>
      <w:r>
        <w:rPr>
          <w:color w:val="000000" w:themeColor="text1"/>
          <w14:textFill>
            <w14:solidFill>
              <w14:schemeClr w14:val="tx1"/>
            </w14:solidFill>
          </w14:textFill>
        </w:rPr>
        <w:t>炮孔布置如图</w:t>
      </w:r>
      <w:r>
        <w:rPr>
          <w:rFonts w:hint="eastAsia"/>
          <w:color w:val="000000" w:themeColor="text1"/>
          <w14:textFill>
            <w14:solidFill>
              <w14:schemeClr w14:val="tx1"/>
            </w14:solidFill>
          </w14:textFill>
        </w:rPr>
        <w:t>2.4-3</w:t>
      </w:r>
      <w:r>
        <w:rPr>
          <w:color w:val="000000" w:themeColor="text1"/>
          <w14:textFill>
            <w14:solidFill>
              <w14:schemeClr w14:val="tx1"/>
            </w14:solidFill>
          </w14:textFill>
        </w:rPr>
        <w:t>所示</w:t>
      </w:r>
      <w:r>
        <w:rPr>
          <w:bCs/>
          <w:color w:val="000000" w:themeColor="text1"/>
          <w:szCs w:val="28"/>
          <w14:textFill>
            <w14:solidFill>
              <w14:schemeClr w14:val="tx1"/>
            </w14:solidFill>
          </w14:textFill>
        </w:rPr>
        <w:t>。</w:t>
      </w:r>
    </w:p>
    <w:p w14:paraId="37F1AEA8">
      <w:pPr>
        <w:ind w:firstLine="560"/>
        <w:jc w:val="center"/>
        <w:rPr>
          <w:b/>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4688840" cy="3589020"/>
            <wp:effectExtent l="0" t="0" r="0" b="0"/>
            <wp:docPr id="11027034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03400" name="图片 9"/>
                    <pic:cNvPicPr>
                      <a:picLocks noChangeAspect="1" noChangeArrowheads="1"/>
                    </pic:cNvPicPr>
                  </pic:nvPicPr>
                  <pic:blipFill>
                    <a:blip r:embed="rId32">
                      <a:extLst>
                        <a:ext uri="{28A0092B-C50C-407E-A947-70E740481C1C}">
                          <a14:useLocalDpi xmlns:a14="http://schemas.microsoft.com/office/drawing/2010/main" val="0"/>
                        </a:ext>
                      </a:extLst>
                    </a:blip>
                    <a:srcRect t="4556" b="6149"/>
                    <a:stretch>
                      <a:fillRect/>
                    </a:stretch>
                  </pic:blipFill>
                  <pic:spPr>
                    <a:xfrm>
                      <a:off x="0" y="0"/>
                      <a:ext cx="4695969" cy="3594121"/>
                    </a:xfrm>
                    <a:prstGeom prst="rect">
                      <a:avLst/>
                    </a:prstGeom>
                    <a:noFill/>
                    <a:ln>
                      <a:noFill/>
                    </a:ln>
                    <a:effectLst/>
                  </pic:spPr>
                </pic:pic>
              </a:graphicData>
            </a:graphic>
          </wp:inline>
        </w:drawing>
      </w:r>
    </w:p>
    <w:p w14:paraId="4DC6347A">
      <w:pPr>
        <w:ind w:firstLine="0" w:firstLineChars="0"/>
        <w:jc w:val="center"/>
        <w:rPr>
          <w:color w:val="000000" w:themeColor="text1"/>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2.4-3</w:t>
      </w:r>
      <w:r>
        <w:rPr>
          <w:b/>
          <w:color w:val="000000" w:themeColor="text1"/>
          <w:sz w:val="24"/>
          <w14:textFill>
            <w14:solidFill>
              <w14:schemeClr w14:val="tx1"/>
            </w14:solidFill>
          </w14:textFill>
        </w:rPr>
        <w:t xml:space="preserve">  炮孔布置图</w:t>
      </w:r>
    </w:p>
    <w:p w14:paraId="47D8172B">
      <w:pPr>
        <w:ind w:firstLine="560"/>
        <w:jc w:val="both"/>
        <w:rPr>
          <w:color w:val="000000" w:themeColor="text1"/>
          <w:szCs w:val="28"/>
          <w14:textFill>
            <w14:solidFill>
              <w14:schemeClr w14:val="tx1"/>
            </w14:solidFill>
          </w14:textFill>
        </w:rPr>
      </w:pPr>
      <w:r>
        <w:rPr>
          <w:color w:val="000000" w:themeColor="text1"/>
          <w14:textFill>
            <w14:solidFill>
              <w14:schemeClr w14:val="tx1"/>
            </w14:solidFill>
          </w14:textFill>
        </w:rPr>
        <w:t>炮孔标定必须按照设计好的爆破参数准确地在爆破体上进行标识，布孔前应先清除爆破体表面积土和破碎层，根据施工测量确定的边坡线进行孔位的布置。合理布孔、优化爆破参数，钻孔人员应根据钻孔期间地形变化和暴露的深层地质结构（钻孔速度的变化及岩粉的颜色变化）及时调整孔位</w:t>
      </w:r>
      <w:r>
        <w:rPr>
          <w:rFonts w:hint="eastAsia"/>
          <w:color w:val="000000" w:themeColor="text1"/>
          <w:szCs w:val="28"/>
          <w14:textFill>
            <w14:solidFill>
              <w14:schemeClr w14:val="tx1"/>
            </w14:solidFill>
          </w14:textFill>
        </w:rPr>
        <w:t>。</w:t>
      </w:r>
    </w:p>
    <w:p w14:paraId="47FDA736">
      <w:pPr>
        <w:ind w:firstLine="560"/>
        <w:jc w:val="both"/>
        <w:rPr>
          <w:b/>
          <w:color w:val="000000" w:themeColor="text1"/>
          <w:sz w:val="24"/>
          <w14:textFill>
            <w14:solidFill>
              <w14:schemeClr w14:val="tx1"/>
            </w14:solidFill>
          </w14:textFill>
        </w:rPr>
      </w:pPr>
      <w:r>
        <w:rPr>
          <w:color w:val="000000" w:themeColor="text1"/>
          <w:szCs w:val="28"/>
          <w14:textFill>
            <w14:solidFill>
              <w14:schemeClr w14:val="tx1"/>
            </w14:solidFill>
          </w14:textFill>
        </w:rPr>
        <w:t>采用倾斜向下孔布置，采用KG910B露天潜孔钻车从地表层按90°打孔（台阶最终靠帮打6</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°倾斜孔），进行微差挤压爆破。</w:t>
      </w:r>
    </w:p>
    <w:p w14:paraId="69048D3E">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为了保证安全生产的同时获得较好的爆破效果，根据其他同类岩石矿山的实践经验，矿石回采使用多排孔毫秒微差分段（挤压松动）爆破技术，非电起爆系统，V形起爆的方法。矿山爆破后的大块矿石采用破碎锤进行处理。</w:t>
      </w:r>
    </w:p>
    <w:p w14:paraId="6EAB806D">
      <w:pPr>
        <w:ind w:firstLine="560"/>
        <w:rPr>
          <w:color w:val="000000" w:themeColor="text1"/>
          <w14:textFill>
            <w14:solidFill>
              <w14:schemeClr w14:val="tx1"/>
            </w14:solidFill>
          </w14:textFill>
        </w:rPr>
      </w:pPr>
      <w:bookmarkStart w:id="1272" w:name="_Toc30916"/>
      <w:bookmarkStart w:id="1273" w:name="_Toc15401"/>
      <w:bookmarkStart w:id="1274" w:name="_Toc28493"/>
      <w:bookmarkStart w:id="1275" w:name="_Toc9559"/>
      <w:r>
        <w:rPr>
          <w:rFonts w:hint="eastAsia"/>
          <w:color w:val="000000" w:themeColor="text1"/>
          <w14:textFill>
            <w14:solidFill>
              <w14:schemeClr w14:val="tx1"/>
            </w14:solidFill>
          </w14:textFill>
        </w:rPr>
        <w:t>（2）</w:t>
      </w:r>
      <w:r>
        <w:rPr>
          <w:color w:val="000000" w:themeColor="text1"/>
          <w14:textFill>
            <w14:solidFill>
              <w14:schemeClr w14:val="tx1"/>
            </w14:solidFill>
          </w14:textFill>
        </w:rPr>
        <w:t>起爆方式</w:t>
      </w:r>
      <w:bookmarkEnd w:id="1272"/>
      <w:r>
        <w:rPr>
          <w:rFonts w:hint="eastAsia"/>
          <w:color w:val="000000" w:themeColor="text1"/>
          <w14:textFill>
            <w14:solidFill>
              <w14:schemeClr w14:val="tx1"/>
            </w14:solidFill>
          </w14:textFill>
        </w:rPr>
        <w:t>和爆破器材管理</w:t>
      </w:r>
      <w:bookmarkEnd w:id="1273"/>
      <w:bookmarkEnd w:id="1274"/>
      <w:bookmarkEnd w:id="1275"/>
    </w:p>
    <w:p w14:paraId="446ACDEF">
      <w:pPr>
        <w:ind w:firstLine="560"/>
        <w:rPr>
          <w:color w:val="000000" w:themeColor="text1"/>
          <w14:textFill>
            <w14:solidFill>
              <w14:schemeClr w14:val="tx1"/>
            </w14:solidFill>
          </w14:textFill>
        </w:rPr>
      </w:pPr>
      <w:r>
        <w:rPr>
          <w:color w:val="000000" w:themeColor="text1"/>
          <w14:textFill>
            <w14:solidFill>
              <w14:schemeClr w14:val="tx1"/>
            </w14:solidFill>
          </w14:textFill>
        </w:rPr>
        <w:t>矿山采用电力起爆法，采用数码电子雷管和专用起爆器，起爆器由民爆公司专人保管。</w:t>
      </w:r>
    </w:p>
    <w:p w14:paraId="506B18DF">
      <w:pPr>
        <w:ind w:firstLine="560"/>
        <w:rPr>
          <w:color w:val="000000" w:themeColor="text1"/>
          <w14:textFill>
            <w14:solidFill>
              <w14:schemeClr w14:val="tx1"/>
            </w14:solidFill>
          </w14:textFill>
        </w:rPr>
      </w:pPr>
      <w:bookmarkStart w:id="1276" w:name="_Toc13102"/>
      <w:bookmarkStart w:id="1277" w:name="_Toc14402"/>
      <w:bookmarkStart w:id="1278" w:name="_Toc20005"/>
      <w:r>
        <w:rPr>
          <w:rFonts w:hint="eastAsia"/>
          <w:color w:val="000000" w:themeColor="text1"/>
          <w14:textFill>
            <w14:solidFill>
              <w14:schemeClr w14:val="tx1"/>
            </w14:solidFill>
          </w14:textFill>
        </w:rPr>
        <w:t>（3）</w:t>
      </w:r>
      <w:r>
        <w:rPr>
          <w:color w:val="000000" w:themeColor="text1"/>
          <w14:textFill>
            <w14:solidFill>
              <w14:schemeClr w14:val="tx1"/>
            </w14:solidFill>
          </w14:textFill>
        </w:rPr>
        <w:t>爆破参数选择的原则和依据：</w:t>
      </w:r>
      <w:bookmarkEnd w:id="1276"/>
      <w:bookmarkEnd w:id="1277"/>
      <w:bookmarkEnd w:id="1278"/>
    </w:p>
    <w:p w14:paraId="37A6150E">
      <w:pPr>
        <w:ind w:firstLine="560"/>
        <w:rPr>
          <w:color w:val="000000" w:themeColor="text1"/>
          <w14:textFill>
            <w14:solidFill>
              <w14:schemeClr w14:val="tx1"/>
            </w14:solidFill>
          </w14:textFill>
        </w:rPr>
      </w:pPr>
      <w:r>
        <w:rPr>
          <w:color w:val="000000" w:themeColor="text1"/>
          <w14:textFill>
            <w14:solidFill>
              <w14:schemeClr w14:val="tx1"/>
            </w14:solidFill>
          </w14:textFill>
        </w:rPr>
        <w:t>①有良好的爆破效果，不良爆破效应最小；</w:t>
      </w:r>
    </w:p>
    <w:p w14:paraId="79827F17">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被爆岩体的可钻性、可爆性、炸药威力、装药密度；</w:t>
      </w:r>
    </w:p>
    <w:p w14:paraId="1E52A0B9">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台阶高度，穿孔设备能力；</w:t>
      </w:r>
    </w:p>
    <w:p w14:paraId="62ECAD5A">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color w:val="000000" w:themeColor="text1"/>
          <w14:textFill>
            <w14:solidFill>
              <w14:schemeClr w14:val="tx1"/>
            </w14:solidFill>
          </w14:textFill>
        </w:rPr>
        <w:t>有条件时，建议推广大孔距、小抵抗线、分段（间隔）装药、微差起爆的控制爆破技术；</w:t>
      </w:r>
    </w:p>
    <w:p w14:paraId="2CC32EDD">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color w:val="000000" w:themeColor="text1"/>
          <w14:textFill>
            <w14:solidFill>
              <w14:schemeClr w14:val="tx1"/>
            </w14:solidFill>
          </w14:textFill>
        </w:rPr>
        <w:t>单位炸药消耗量应根据试爆、爆破记录及总结、岩石条件、爆破参数变化进行调整。</w:t>
      </w:r>
    </w:p>
    <w:p w14:paraId="56E98D9B">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采用松动爆破，爆破参数的确定对爆破效果将产生直接影响，它受穿孔设备能力和台阶参数、爆后块度要求等因素限定。生产中可按下列设计参数进行试爆，并依据试爆结果、结合生产实践进行调整与完善。</w:t>
      </w:r>
    </w:p>
    <w:p w14:paraId="58EA4B6C">
      <w:pPr>
        <w:pStyle w:val="6"/>
        <w:spacing w:before="120" w:after="120"/>
        <w:rPr>
          <w:color w:val="000000" w:themeColor="text1"/>
          <w14:textFill>
            <w14:solidFill>
              <w14:schemeClr w14:val="tx1"/>
            </w14:solidFill>
          </w14:textFill>
        </w:rPr>
      </w:pPr>
      <w:bookmarkStart w:id="1279" w:name="_Toc4847"/>
      <w:bookmarkStart w:id="1280" w:name="_Toc23705"/>
      <w:bookmarkStart w:id="1281" w:name="_Toc11351"/>
      <w:bookmarkStart w:id="1282" w:name="_Toc15630"/>
      <w:bookmarkStart w:id="1283" w:name="_Toc18277"/>
      <w:bookmarkStart w:id="1284" w:name="_Toc31589"/>
      <w:bookmarkStart w:id="1285" w:name="_Toc22732"/>
      <w:bookmarkStart w:id="1286" w:name="_Toc215070200"/>
      <w:r>
        <w:rPr>
          <w:rFonts w:hint="eastAsia"/>
          <w:color w:val="000000" w:themeColor="text1"/>
          <w14:textFill>
            <w14:solidFill>
              <w14:schemeClr w14:val="tx1"/>
            </w14:solidFill>
          </w14:textFill>
        </w:rPr>
        <w:t>2.4.6.3垂直</w:t>
      </w:r>
      <w:r>
        <w:rPr>
          <w:color w:val="000000" w:themeColor="text1"/>
          <w14:textFill>
            <w14:solidFill>
              <w14:schemeClr w14:val="tx1"/>
            </w14:solidFill>
          </w14:textFill>
        </w:rPr>
        <w:t>孔（工作）爆破</w:t>
      </w:r>
      <w:bookmarkEnd w:id="1279"/>
      <w:bookmarkEnd w:id="1280"/>
      <w:bookmarkEnd w:id="1281"/>
      <w:bookmarkEnd w:id="1282"/>
      <w:bookmarkEnd w:id="1283"/>
      <w:bookmarkEnd w:id="1284"/>
      <w:bookmarkEnd w:id="1285"/>
      <w:bookmarkEnd w:id="1286"/>
    </w:p>
    <w:p w14:paraId="2F5C5F74">
      <w:pPr>
        <w:ind w:firstLine="560"/>
        <w:rPr>
          <w:color w:val="000000" w:themeColor="text1"/>
          <w14:textFill>
            <w14:solidFill>
              <w14:schemeClr w14:val="tx1"/>
            </w14:solidFill>
          </w14:textFill>
        </w:rPr>
      </w:pPr>
      <w:bookmarkStart w:id="1287" w:name="_Toc32183"/>
      <w:bookmarkStart w:id="1288" w:name="_Toc16638"/>
      <w:bookmarkStart w:id="1289" w:name="_Toc24022"/>
      <w:r>
        <w:rPr>
          <w:rFonts w:hint="eastAsia"/>
          <w:color w:val="000000" w:themeColor="text1"/>
          <w14:textFill>
            <w14:solidFill>
              <w14:schemeClr w14:val="tx1"/>
            </w14:solidFill>
          </w14:textFill>
        </w:rPr>
        <w:t>1、爆破参数</w:t>
      </w:r>
      <w:bookmarkEnd w:id="1287"/>
      <w:bookmarkEnd w:id="1288"/>
      <w:bookmarkEnd w:id="1289"/>
    </w:p>
    <w:p w14:paraId="05C6AA3A">
      <w:pPr>
        <w:ind w:firstLine="560"/>
        <w:rPr>
          <w:color w:val="000000" w:themeColor="text1"/>
          <w14:textFill>
            <w14:solidFill>
              <w14:schemeClr w14:val="tx1"/>
            </w14:solidFill>
          </w14:textFill>
        </w:rPr>
      </w:pPr>
      <w:bookmarkStart w:id="1290" w:name="OLE_LINK20"/>
      <w:r>
        <w:rPr>
          <w:color w:val="000000" w:themeColor="text1"/>
          <w14:textFill>
            <w14:solidFill>
              <w14:schemeClr w14:val="tx1"/>
            </w14:solidFill>
          </w14:textFill>
        </w:rPr>
        <w:t>（1）</w:t>
      </w:r>
      <w:bookmarkEnd w:id="1290"/>
      <w:r>
        <w:rPr>
          <w:color w:val="000000" w:themeColor="text1"/>
          <w14:textFill>
            <w14:solidFill>
              <w14:schemeClr w14:val="tx1"/>
            </w14:solidFill>
          </w14:textFill>
        </w:rPr>
        <w:t>孔径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露天深孔爆破的孔径主要取决于钻机类型，台阶高度和岩石性质，根据企业生产规模，潜孔钻机设备选型志高415-1履带式潜孔采矿钻机进行凿岩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钻</w:t>
      </w:r>
      <w:r>
        <w:rPr>
          <w:rFonts w:hint="eastAsia"/>
          <w:color w:val="000000" w:themeColor="text1"/>
          <w14:textFill>
            <w14:solidFill>
              <w14:schemeClr w14:val="tx1"/>
            </w14:solidFill>
          </w14:textFill>
        </w:rPr>
        <w:t>孔</w:t>
      </w:r>
      <w:r>
        <w:rPr>
          <w:color w:val="000000" w:themeColor="text1"/>
          <w14:textFill>
            <w14:solidFill>
              <w14:schemeClr w14:val="tx1"/>
            </w14:solidFill>
          </w14:textFill>
        </w:rPr>
        <w:t>直径Φ</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105</w:t>
      </w:r>
      <w:r>
        <w:rPr>
          <w:color w:val="000000" w:themeColor="text1"/>
          <w14:textFill>
            <w14:solidFill>
              <w14:schemeClr w14:val="tx1"/>
            </w14:solidFill>
          </w14:textFill>
        </w:rPr>
        <w:t>mm，取1</w:t>
      </w:r>
      <w:r>
        <w:rPr>
          <w:rFonts w:hint="eastAsia"/>
          <w:color w:val="000000" w:themeColor="text1"/>
          <w14:textFill>
            <w14:solidFill>
              <w14:schemeClr w14:val="tx1"/>
            </w14:solidFill>
          </w14:textFill>
        </w:rPr>
        <w:t>00</w:t>
      </w:r>
      <w:r>
        <w:rPr>
          <w:color w:val="000000" w:themeColor="text1"/>
          <w14:textFill>
            <w14:solidFill>
              <w14:schemeClr w14:val="tx1"/>
            </w14:solidFill>
          </w14:textFill>
        </w:rPr>
        <w:t>mm</w:t>
      </w:r>
      <w:r>
        <w:rPr>
          <w:rFonts w:hint="eastAsia"/>
          <w:color w:val="000000" w:themeColor="text1"/>
          <w14:textFill>
            <w14:solidFill>
              <w14:schemeClr w14:val="tx1"/>
            </w14:solidFill>
          </w14:textFill>
        </w:rPr>
        <w:t>，则炮眼直径d为100mm</w:t>
      </w:r>
      <w:r>
        <w:rPr>
          <w:color w:val="000000" w:themeColor="text1"/>
          <w14:textFill>
            <w14:solidFill>
              <w14:schemeClr w14:val="tx1"/>
            </w14:solidFill>
          </w14:textFill>
        </w:rPr>
        <w:t>。</w:t>
      </w:r>
    </w:p>
    <w:p w14:paraId="317D38AE">
      <w:pPr>
        <w:ind w:firstLine="56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钻孔超深</w:t>
      </w:r>
    </w:p>
    <w:p w14:paraId="2BF43B3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超深是钻孔超出台阶底盘标高的那一段孔深，其作用是用来克服台阶底盘岩石的夹制作用，使爆破后不残留根底，而形成平整的底部平盘。h=0.8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，取1</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53914656">
      <w:pPr>
        <w:ind w:firstLine="560"/>
        <w:rPr>
          <w:color w:val="000000" w:themeColor="text1"/>
          <w14:textFill>
            <w14:solidFill>
              <w14:schemeClr w14:val="tx1"/>
            </w14:solidFill>
          </w14:textFill>
        </w:rPr>
      </w:pPr>
      <w:bookmarkStart w:id="1291" w:name="OLE_LINK21"/>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bookmarkEnd w:id="1291"/>
      <w:r>
        <w:rPr>
          <w:rFonts w:hint="eastAsia"/>
          <w:color w:val="000000" w:themeColor="text1"/>
          <w14:textFill>
            <w14:solidFill>
              <w14:schemeClr w14:val="tx1"/>
            </w14:solidFill>
          </w14:textFill>
        </w:rPr>
        <w:t>孔深</w:t>
      </w:r>
    </w:p>
    <w:p w14:paraId="07442D6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采用倾斜孔，L=18.32</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5D8EB24A">
      <w:pPr>
        <w:ind w:firstLine="560"/>
        <w:jc w:val="both"/>
        <w:rPr>
          <w:rFonts w:hint="eastAsia" w:ascii="宋体" w:hAnsi="宋体"/>
          <w:snapToGrid w:val="0"/>
          <w:color w:val="000000" w:themeColor="text1"/>
          <w:kern w:val="0"/>
          <w:szCs w:val="28"/>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）底盘抵抗线</w:t>
      </w:r>
      <w:r>
        <w:rPr>
          <w:rFonts w:hint="eastAsia"/>
          <w:color w:val="000000" w:themeColor="text1"/>
          <w14:textFill>
            <w14:solidFill>
              <w14:schemeClr w14:val="tx1"/>
            </w14:solidFill>
          </w14:textFill>
        </w:rPr>
        <w:t>：</w:t>
      </w:r>
      <w:bookmarkEnd w:id="1268"/>
      <w:r>
        <w:rPr>
          <w:rFonts w:ascii="宋体" w:hAnsi="宋体"/>
          <w:snapToGrid w:val="0"/>
          <w:color w:val="000000" w:themeColor="text1"/>
          <w:kern w:val="0"/>
          <w:szCs w:val="28"/>
          <w14:textFill>
            <w14:solidFill>
              <w14:schemeClr w14:val="tx1"/>
            </w14:solidFill>
          </w14:textFill>
        </w:rPr>
        <w:t>抵抗线是影响露天爆破效果的一个重要参数。过大的抵抗线会造成根底多、大块率高、后冲作用大；过小的抵抗线不仅浪费炸药，增大钻孔工作量，而且岩块易抛撒和产生飞石危害。</w:t>
      </w:r>
    </w:p>
    <w:p w14:paraId="465AB3F9">
      <w:pPr>
        <w:ind w:firstLine="560"/>
        <w:jc w:val="both"/>
        <w:rPr>
          <w:rFonts w:hint="eastAsia" w:ascii="宋体" w:hAnsi="宋体"/>
          <w:snapToGrid w:val="0"/>
          <w:color w:val="000000" w:themeColor="text1"/>
          <w:kern w:val="0"/>
          <w:szCs w:val="28"/>
          <w14:textFill>
            <w14:solidFill>
              <w14:schemeClr w14:val="tx1"/>
            </w14:solidFill>
          </w14:textFill>
        </w:rPr>
      </w:pPr>
      <w:r>
        <w:rPr>
          <w:rFonts w:ascii="宋体" w:hAnsi="宋体"/>
          <w:snapToGrid w:val="0"/>
          <w:color w:val="000000" w:themeColor="text1"/>
          <w:kern w:val="0"/>
          <w:szCs w:val="28"/>
          <w14:textFill>
            <w14:solidFill>
              <w14:schemeClr w14:val="tx1"/>
            </w14:solidFill>
          </w14:textFill>
        </w:rPr>
        <w:t xml:space="preserve">抵抗线应在生产实践中不断加以调整，以求达到最佳效果， </w:t>
      </w:r>
    </w:p>
    <w:p w14:paraId="20B7314C">
      <w:pPr>
        <w:snapToGrid w:val="0"/>
        <w:ind w:firstLine="560"/>
        <w:jc w:val="both"/>
        <w:rPr>
          <w:rFonts w:hint="eastAsia" w:ascii="宋体" w:hAnsi="宋体"/>
          <w:snapToGrid w:val="0"/>
          <w:color w:val="000000" w:themeColor="text1"/>
          <w:kern w:val="0"/>
          <w:szCs w:val="28"/>
          <w14:textFill>
            <w14:solidFill>
              <w14:schemeClr w14:val="tx1"/>
            </w14:solidFill>
          </w14:textFill>
        </w:rPr>
      </w:pPr>
      <w:r>
        <w:rPr>
          <w:rFonts w:ascii="宋体" w:hAnsi="宋体"/>
          <w:snapToGrid w:val="0"/>
          <w:color w:val="000000" w:themeColor="text1"/>
          <w:kern w:val="0"/>
          <w:szCs w:val="28"/>
          <w14:textFill>
            <w14:solidFill>
              <w14:schemeClr w14:val="tx1"/>
            </w14:solidFill>
          </w14:textFill>
        </w:rPr>
        <w:t>抵抗线W</w:t>
      </w:r>
      <w:r>
        <w:rPr>
          <w:rFonts w:hint="eastAsia" w:ascii="宋体" w:hAnsi="宋体"/>
          <w:snapToGrid w:val="0"/>
          <w:color w:val="000000" w:themeColor="text1"/>
          <w:kern w:val="0"/>
          <w:szCs w:val="28"/>
          <w14:textFill>
            <w14:solidFill>
              <w14:schemeClr w14:val="tx1"/>
            </w14:solidFill>
          </w14:textFill>
        </w:rPr>
        <w:t>=</w:t>
      </w:r>
      <w:r>
        <w:rPr>
          <w:rFonts w:ascii="宋体" w:hAnsi="宋体"/>
          <w:snapToGrid w:val="0"/>
          <w:color w:val="000000" w:themeColor="text1"/>
          <w:kern w:val="0"/>
          <w:szCs w:val="28"/>
          <w14:textFill>
            <w14:solidFill>
              <w14:schemeClr w14:val="tx1"/>
            </w14:solidFill>
          </w14:textFill>
        </w:rPr>
        <w:t>3</w:t>
      </w:r>
      <w:r>
        <w:rPr>
          <w:rFonts w:ascii="宋体" w:hAnsi="宋体"/>
          <w:color w:val="000000" w:themeColor="text1"/>
          <w:szCs w:val="28"/>
          <w14:textFill>
            <w14:solidFill>
              <w14:schemeClr w14:val="tx1"/>
            </w14:solidFill>
          </w14:textFill>
        </w:rPr>
        <w:t>～</w:t>
      </w:r>
      <w:r>
        <w:rPr>
          <w:rFonts w:ascii="宋体" w:hAnsi="宋体"/>
          <w:snapToGrid w:val="0"/>
          <w:color w:val="000000" w:themeColor="text1"/>
          <w:kern w:val="0"/>
          <w:szCs w:val="28"/>
          <w14:textFill>
            <w14:solidFill>
              <w14:schemeClr w14:val="tx1"/>
            </w14:solidFill>
          </w14:textFill>
        </w:rPr>
        <w:t>5</w:t>
      </w:r>
      <w:r>
        <w:rPr>
          <w:rFonts w:hint="eastAsia" w:ascii="宋体" w:hAnsi="宋体"/>
          <w:iCs/>
          <w:color w:val="000000" w:themeColor="text1"/>
          <w:szCs w:val="28"/>
          <w14:textFill>
            <w14:solidFill>
              <w14:schemeClr w14:val="tx1"/>
            </w14:solidFill>
          </w14:textFill>
        </w:rPr>
        <w:t>m</w:t>
      </w:r>
      <w:r>
        <w:rPr>
          <w:rFonts w:ascii="宋体" w:hAnsi="宋体"/>
          <w:snapToGrid w:val="0"/>
          <w:color w:val="000000" w:themeColor="text1"/>
          <w:kern w:val="0"/>
          <w:szCs w:val="28"/>
          <w14:textFill>
            <w14:solidFill>
              <w14:schemeClr w14:val="tx1"/>
            </w14:solidFill>
          </w14:textFill>
        </w:rPr>
        <w:t>，根据开采矿岩条件，结合同类矿山爆破参数选择，抵抗线W取值为5</w:t>
      </w:r>
      <w:r>
        <w:rPr>
          <w:rFonts w:ascii="宋体" w:hAnsi="宋体"/>
          <w:iCs/>
          <w:color w:val="000000" w:themeColor="text1"/>
          <w:szCs w:val="28"/>
          <w14:textFill>
            <w14:solidFill>
              <w14:schemeClr w14:val="tx1"/>
            </w14:solidFill>
          </w14:textFill>
        </w:rPr>
        <w:t>m</w:t>
      </w:r>
      <w:r>
        <w:rPr>
          <w:rFonts w:ascii="宋体" w:hAnsi="宋体"/>
          <w:snapToGrid w:val="0"/>
          <w:color w:val="000000" w:themeColor="text1"/>
          <w:kern w:val="0"/>
          <w:szCs w:val="28"/>
          <w14:textFill>
            <w14:solidFill>
              <w14:schemeClr w14:val="tx1"/>
            </w14:solidFill>
          </w14:textFill>
        </w:rPr>
        <w:t>。</w:t>
      </w:r>
    </w:p>
    <w:p w14:paraId="2EEB0248">
      <w:pPr>
        <w:ind w:firstLine="560"/>
        <w:jc w:val="both"/>
        <w:rPr>
          <w:rFonts w:hint="eastAsia" w:hAnsi="宋体"/>
          <w:snapToGrid w:val="0"/>
          <w:color w:val="000000" w:themeColor="text1"/>
          <w:kern w:val="0"/>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hAnsi="宋体"/>
          <w:snapToGrid w:val="0"/>
          <w:color w:val="000000" w:themeColor="text1"/>
          <w:kern w:val="0"/>
          <w14:textFill>
            <w14:solidFill>
              <w14:schemeClr w14:val="tx1"/>
            </w14:solidFill>
          </w14:textFill>
        </w:rPr>
        <w:t>孔距和排距</w:t>
      </w:r>
    </w:p>
    <w:p w14:paraId="08C35D8D">
      <w:pPr>
        <w:ind w:firstLine="560"/>
        <w:jc w:val="both"/>
        <w:rPr>
          <w:color w:val="000000" w:themeColor="text1"/>
          <w:szCs w:val="28"/>
          <w14:textFill>
            <w14:solidFill>
              <w14:schemeClr w14:val="tx1"/>
            </w14:solidFill>
          </w14:textFill>
        </w:rPr>
      </w:pPr>
      <w:r>
        <w:rPr>
          <w:rFonts w:hint="eastAsia" w:hAnsi="宋体"/>
          <w:snapToGrid w:val="0"/>
          <w:color w:val="000000" w:themeColor="text1"/>
          <w:kern w:val="0"/>
          <w14:textFill>
            <w14:solidFill>
              <w14:schemeClr w14:val="tx1"/>
            </w14:solidFill>
          </w14:textFill>
        </w:rPr>
        <w:t>孔距是指同一排深孔中相邻两钻孔中心线的距离。</w:t>
      </w:r>
      <w:r>
        <w:rPr>
          <w:rFonts w:hint="eastAsia"/>
          <w:color w:val="000000" w:themeColor="text1"/>
          <w:spacing w:val="8"/>
          <w:szCs w:val="28"/>
          <w14:textFill>
            <w14:solidFill>
              <w14:schemeClr w14:val="tx1"/>
            </w14:solidFill>
          </w14:textFill>
        </w:rPr>
        <w:t>孔距</w:t>
      </w:r>
      <w:r>
        <w:rPr>
          <w:rFonts w:hAnsi="宋体"/>
          <w:color w:val="000000" w:themeColor="text1"/>
          <w:kern w:val="0"/>
          <w:szCs w:val="28"/>
          <w14:textFill>
            <w14:solidFill>
              <w14:schemeClr w14:val="tx1"/>
            </w14:solidFill>
          </w14:textFill>
        </w:rPr>
        <w:t>a</w:t>
      </w:r>
      <w:r>
        <w:rPr>
          <w:rFonts w:hint="eastAsia"/>
          <w:snapToGrid w:val="0"/>
          <w:color w:val="000000" w:themeColor="text1"/>
          <w:kern w:val="0"/>
          <w:szCs w:val="28"/>
          <w14:textFill>
            <w14:solidFill>
              <w14:schemeClr w14:val="tx1"/>
            </w14:solidFill>
          </w14:textFill>
        </w:rPr>
        <w:t>=</w:t>
      </w:r>
      <w:r>
        <w:rPr>
          <w:rFonts w:hint="eastAsia" w:hAnsi="宋体"/>
          <w:snapToGrid w:val="0"/>
          <w:color w:val="000000" w:themeColor="text1"/>
          <w:kern w:val="0"/>
          <w:szCs w:val="28"/>
          <w14:textFill>
            <w14:solidFill>
              <w14:schemeClr w14:val="tx1"/>
            </w14:solidFill>
          </w14:textFill>
        </w:rPr>
        <w:t>5</w:t>
      </w:r>
      <w:r>
        <w:rPr>
          <w:iCs/>
          <w:color w:val="000000" w:themeColor="text1"/>
          <w:szCs w:val="28"/>
          <w14:textFill>
            <w14:solidFill>
              <w14:schemeClr w14:val="tx1"/>
            </w14:solidFill>
          </w14:textFill>
        </w:rPr>
        <w:t>m</w:t>
      </w:r>
      <w:r>
        <w:rPr>
          <w:rFonts w:hint="eastAsia" w:hAnsi="宋体"/>
          <w:snapToGrid w:val="0"/>
          <w:color w:val="000000" w:themeColor="text1"/>
          <w:kern w:val="0"/>
          <w:szCs w:val="28"/>
          <w14:textFill>
            <w14:solidFill>
              <w14:schemeClr w14:val="tx1"/>
            </w14:solidFill>
          </w14:textFill>
        </w:rPr>
        <w:t>。</w:t>
      </w:r>
    </w:p>
    <w:p w14:paraId="49E89216">
      <w:pPr>
        <w:ind w:firstLine="560"/>
        <w:jc w:val="both"/>
        <w:rPr>
          <w:rFonts w:hint="eastAsia" w:hAnsi="宋体"/>
          <w:snapToGrid w:val="0"/>
          <w:color w:val="000000" w:themeColor="text1"/>
          <w:w w:val="90"/>
          <w:kern w:val="0"/>
          <w14:textFill>
            <w14:solidFill>
              <w14:schemeClr w14:val="tx1"/>
            </w14:solidFill>
          </w14:textFill>
        </w:rPr>
      </w:pPr>
      <w:r>
        <w:rPr>
          <w:rFonts w:hint="eastAsia" w:hAnsi="宋体"/>
          <w:snapToGrid w:val="0"/>
          <w:color w:val="000000" w:themeColor="text1"/>
          <w:kern w:val="0"/>
          <w14:textFill>
            <w14:solidFill>
              <w14:schemeClr w14:val="tx1"/>
            </w14:solidFill>
          </w14:textFill>
        </w:rPr>
        <w:t>排距是指多排孔爆破时，相邻两排钻孔间的距离，它与抵抗线、孔网布置</w:t>
      </w:r>
      <w:r>
        <w:rPr>
          <w:rFonts w:hint="eastAsia" w:hAnsi="宋体"/>
          <w:snapToGrid w:val="0"/>
          <w:color w:val="000000" w:themeColor="text1"/>
          <w:w w:val="95"/>
          <w:kern w:val="0"/>
          <w14:textFill>
            <w14:solidFill>
              <w14:schemeClr w14:val="tx1"/>
            </w14:solidFill>
          </w14:textFill>
        </w:rPr>
        <w:t>、起爆顺序等因素有关。在实施排间爆破时，排距即为后排孔的最小抵抗线。由于后排孔起爆时是处于前排孔爆破后所形成的渣</w:t>
      </w:r>
      <w:r>
        <w:rPr>
          <w:rFonts w:hint="eastAsia" w:hAnsi="宋体"/>
          <w:snapToGrid w:val="0"/>
          <w:color w:val="000000" w:themeColor="text1"/>
          <w:kern w:val="0"/>
          <w14:textFill>
            <w14:solidFill>
              <w14:schemeClr w14:val="tx1"/>
            </w14:solidFill>
          </w14:textFill>
        </w:rPr>
        <w:t>堆的挤压状态下，为了保证后排孔的爆破质量，应减</w:t>
      </w:r>
      <w:r>
        <w:rPr>
          <w:rFonts w:hint="eastAsia" w:hAnsi="宋体"/>
          <w:snapToGrid w:val="0"/>
          <w:color w:val="000000" w:themeColor="text1"/>
          <w:w w:val="90"/>
          <w:kern w:val="0"/>
          <w14:textFill>
            <w14:solidFill>
              <w14:schemeClr w14:val="tx1"/>
            </w14:solidFill>
          </w14:textFill>
        </w:rPr>
        <w:t>少后排孔的抵抗线。</w:t>
      </w:r>
      <w:r>
        <w:rPr>
          <w:rFonts w:hint="eastAsia"/>
          <w:color w:val="000000" w:themeColor="text1"/>
          <w:szCs w:val="28"/>
          <w14:textFill>
            <w14:solidFill>
              <w14:schemeClr w14:val="tx1"/>
            </w14:solidFill>
          </w14:textFill>
        </w:rPr>
        <w:t>排</w:t>
      </w:r>
      <w:r>
        <w:rPr>
          <w:rFonts w:hint="eastAsia"/>
          <w:color w:val="000000" w:themeColor="text1"/>
          <w:spacing w:val="8"/>
          <w:szCs w:val="28"/>
          <w14:textFill>
            <w14:solidFill>
              <w14:schemeClr w14:val="tx1"/>
            </w14:solidFill>
          </w14:textFill>
        </w:rPr>
        <w:t>距</w:t>
      </w:r>
      <w:r>
        <w:rPr>
          <w:color w:val="000000" w:themeColor="text1"/>
          <w:szCs w:val="28"/>
          <w14:textFill>
            <w14:solidFill>
              <w14:schemeClr w14:val="tx1"/>
            </w14:solidFill>
          </w14:textFill>
        </w:rPr>
        <w:t>b</w:t>
      </w:r>
      <w:r>
        <w:rPr>
          <w:rFonts w:hint="eastAsia" w:hAnsi="宋体"/>
          <w:color w:val="000000" w:themeColor="text1"/>
          <w:szCs w:val="28"/>
          <w14:textFill>
            <w14:solidFill>
              <w14:schemeClr w14:val="tx1"/>
            </w14:solidFill>
          </w14:textFill>
        </w:rPr>
        <w:t>=4.5～4.75</w:t>
      </w:r>
      <w:r>
        <w:rPr>
          <w:iCs/>
          <w:color w:val="000000" w:themeColor="text1"/>
          <w:szCs w:val="28"/>
          <w14:textFill>
            <w14:solidFill>
              <w14:schemeClr w14:val="tx1"/>
            </w14:solidFill>
          </w14:textFill>
        </w:rPr>
        <w:t>m</w:t>
      </w:r>
      <w:r>
        <w:rPr>
          <w:rFonts w:hint="eastAsia" w:hAnsi="宋体"/>
          <w:color w:val="000000" w:themeColor="text1"/>
          <w:szCs w:val="28"/>
          <w14:textFill>
            <w14:solidFill>
              <w14:schemeClr w14:val="tx1"/>
            </w14:solidFill>
          </w14:textFill>
        </w:rPr>
        <w:t>，取4.5</w:t>
      </w:r>
      <w:r>
        <w:rPr>
          <w:iCs/>
          <w:color w:val="000000" w:themeColor="text1"/>
          <w:szCs w:val="28"/>
          <w14:textFill>
            <w14:solidFill>
              <w14:schemeClr w14:val="tx1"/>
            </w14:solidFill>
          </w14:textFill>
        </w:rPr>
        <w:t>m</w:t>
      </w:r>
      <w:r>
        <w:rPr>
          <w:rFonts w:hint="eastAsia" w:hAnsi="宋体"/>
          <w:color w:val="000000" w:themeColor="text1"/>
          <w:szCs w:val="28"/>
          <w14:textFill>
            <w14:solidFill>
              <w14:schemeClr w14:val="tx1"/>
            </w14:solidFill>
          </w14:textFill>
        </w:rPr>
        <w:t>。</w:t>
      </w:r>
    </w:p>
    <w:p w14:paraId="7A3921BE">
      <w:pPr>
        <w:ind w:firstLine="560"/>
        <w:jc w:val="both"/>
        <w:rPr>
          <w:rFonts w:hint="eastAsia" w:hAnsi="宋体"/>
          <w:snapToGrid w:val="0"/>
          <w:color w:val="000000" w:themeColor="text1"/>
          <w:kern w:val="0"/>
          <w14:textFill>
            <w14:solidFill>
              <w14:schemeClr w14:val="tx1"/>
            </w14:solidFill>
          </w14:textFill>
        </w:rPr>
      </w:pP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6</w:t>
      </w: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填塞长度</w:t>
      </w:r>
    </w:p>
    <w:p w14:paraId="7CD0685C">
      <w:pPr>
        <w:ind w:firstLine="560"/>
        <w:jc w:val="both"/>
        <w:rPr>
          <w:rFonts w:hint="eastAsia" w:hAnsi="宋体"/>
          <w:snapToGrid w:val="0"/>
          <w:color w:val="000000" w:themeColor="text1"/>
          <w:kern w:val="0"/>
          <w14:textFill>
            <w14:solidFill>
              <w14:schemeClr w14:val="tx1"/>
            </w14:solidFill>
          </w14:textFill>
        </w:rPr>
      </w:pPr>
      <w:r>
        <w:rPr>
          <w:rFonts w:hAnsi="宋体"/>
          <w:snapToGrid w:val="0"/>
          <w:color w:val="000000" w:themeColor="text1"/>
          <w:kern w:val="0"/>
          <w14:textFill>
            <w14:solidFill>
              <w14:schemeClr w14:val="tx1"/>
            </w14:solidFill>
          </w14:textFill>
        </w:rPr>
        <w:t>填塞长度关系到填塞工作量的大小、炸药能量利用率、爆破质量、空气冲击波和个别飞石的危害程度。</w:t>
      </w:r>
    </w:p>
    <w:p w14:paraId="624098D1">
      <w:pPr>
        <w:ind w:firstLine="560"/>
        <w:jc w:val="both"/>
        <w:rPr>
          <w:rFonts w:hint="eastAsia" w:hAnsi="宋体"/>
          <w:snapToGrid w:val="0"/>
          <w:color w:val="000000" w:themeColor="text1"/>
          <w:kern w:val="0"/>
          <w14:textFill>
            <w14:solidFill>
              <w14:schemeClr w14:val="tx1"/>
            </w14:solidFill>
          </w14:textFill>
        </w:rPr>
      </w:pPr>
      <w:r>
        <w:rPr>
          <w:rFonts w:hAnsi="宋体"/>
          <w:snapToGrid w:val="0"/>
          <w:color w:val="000000" w:themeColor="text1"/>
          <w:kern w:val="0"/>
          <w14:textFill>
            <w14:solidFill>
              <w14:schemeClr w14:val="tx1"/>
            </w14:solidFill>
          </w14:textFill>
        </w:rPr>
        <w:t>合理的填塞长度</w:t>
      </w:r>
      <w:r>
        <w:rPr>
          <w:rFonts w:hint="eastAsia" w:hAnsi="宋体"/>
          <w:snapToGrid w:val="0"/>
          <w:color w:val="000000" w:themeColor="text1"/>
          <w:kern w:val="0"/>
          <w14:textFill>
            <w14:solidFill>
              <w14:schemeClr w14:val="tx1"/>
            </w14:solidFill>
          </w14:textFill>
        </w:rPr>
        <w:t>应</w:t>
      </w:r>
      <w:r>
        <w:rPr>
          <w:rFonts w:hAnsi="宋体"/>
          <w:snapToGrid w:val="0"/>
          <w:color w:val="000000" w:themeColor="text1"/>
          <w:kern w:val="0"/>
          <w14:textFill>
            <w14:solidFill>
              <w14:schemeClr w14:val="tx1"/>
            </w14:solidFill>
          </w14:textFill>
        </w:rPr>
        <w:t>能降低爆炸气体能量的损失</w:t>
      </w:r>
      <w:r>
        <w:rPr>
          <w:rFonts w:hint="eastAsia" w:hAnsi="宋体"/>
          <w:snapToGrid w:val="0"/>
          <w:color w:val="000000" w:themeColor="text1"/>
          <w:kern w:val="0"/>
          <w14:textFill>
            <w14:solidFill>
              <w14:schemeClr w14:val="tx1"/>
            </w14:solidFill>
          </w14:textFill>
        </w:rPr>
        <w:t>和尽可能增加钻孔装药量</w:t>
      </w:r>
      <w:r>
        <w:rPr>
          <w:rFonts w:hAnsi="宋体"/>
          <w:snapToGrid w:val="0"/>
          <w:color w:val="000000" w:themeColor="text1"/>
          <w:kern w:val="0"/>
          <w14:textFill>
            <w14:solidFill>
              <w14:schemeClr w14:val="tx1"/>
            </w14:solidFill>
          </w14:textFill>
        </w:rPr>
        <w:t>。填塞长度过长</w:t>
      </w:r>
      <w:r>
        <w:rPr>
          <w:rFonts w:hint="eastAsia" w:hAnsi="宋体"/>
          <w:snapToGrid w:val="0"/>
          <w:color w:val="000000" w:themeColor="text1"/>
          <w:kern w:val="0"/>
          <w14:textFill>
            <w14:solidFill>
              <w14:schemeClr w14:val="tx1"/>
            </w14:solidFill>
          </w14:textFill>
        </w:rPr>
        <w:t>将</w:t>
      </w:r>
      <w:r>
        <w:rPr>
          <w:rFonts w:hAnsi="宋体"/>
          <w:snapToGrid w:val="0"/>
          <w:color w:val="000000" w:themeColor="text1"/>
          <w:kern w:val="0"/>
          <w14:textFill>
            <w14:solidFill>
              <w14:schemeClr w14:val="tx1"/>
            </w14:solidFill>
          </w14:textFill>
        </w:rPr>
        <w:t>会降低延</w:t>
      </w:r>
      <w:r>
        <w:rPr>
          <w:rFonts w:hint="eastAsia" w:hAnsi="宋体"/>
          <w:snapToGrid w:val="0"/>
          <w:color w:val="000000" w:themeColor="text1"/>
          <w:kern w:val="0"/>
          <w14:textFill>
            <w14:solidFill>
              <w14:schemeClr w14:val="tx1"/>
            </w14:solidFill>
          </w14:textFill>
        </w:rPr>
        <w:t>m</w:t>
      </w:r>
      <w:r>
        <w:rPr>
          <w:rFonts w:hAnsi="宋体"/>
          <w:snapToGrid w:val="0"/>
          <w:color w:val="000000" w:themeColor="text1"/>
          <w:kern w:val="0"/>
          <w14:textFill>
            <w14:solidFill>
              <w14:schemeClr w14:val="tx1"/>
            </w14:solidFill>
          </w14:textFill>
        </w:rPr>
        <w:t>爆破量，增加钻孔</w:t>
      </w:r>
      <w:r>
        <w:rPr>
          <w:rFonts w:hint="eastAsia" w:hAnsi="宋体"/>
          <w:snapToGrid w:val="0"/>
          <w:color w:val="000000" w:themeColor="text1"/>
          <w:kern w:val="0"/>
          <w14:textFill>
            <w14:solidFill>
              <w14:schemeClr w14:val="tx1"/>
            </w14:solidFill>
          </w14:textFill>
        </w:rPr>
        <w:t>费用</w:t>
      </w:r>
      <w:r>
        <w:rPr>
          <w:rFonts w:hAnsi="宋体"/>
          <w:snapToGrid w:val="0"/>
          <w:color w:val="000000" w:themeColor="text1"/>
          <w:kern w:val="0"/>
          <w14:textFill>
            <w14:solidFill>
              <w14:schemeClr w14:val="tx1"/>
            </w14:solidFill>
          </w14:textFill>
        </w:rPr>
        <w:t>，并造成台阶上部岩石破碎不佳；填塞长度过</w:t>
      </w:r>
      <w:r>
        <w:rPr>
          <w:rFonts w:hint="eastAsia" w:hAnsi="宋体"/>
          <w:snapToGrid w:val="0"/>
          <w:color w:val="000000" w:themeColor="text1"/>
          <w:kern w:val="0"/>
          <w14:textFill>
            <w14:solidFill>
              <w14:schemeClr w14:val="tx1"/>
            </w14:solidFill>
          </w14:textFill>
        </w:rPr>
        <w:t>短，</w:t>
      </w:r>
      <w:r>
        <w:rPr>
          <w:rFonts w:hAnsi="宋体"/>
          <w:snapToGrid w:val="0"/>
          <w:color w:val="000000" w:themeColor="text1"/>
          <w:kern w:val="0"/>
          <w14:textFill>
            <w14:solidFill>
              <w14:schemeClr w14:val="tx1"/>
            </w14:solidFill>
          </w14:textFill>
        </w:rPr>
        <w:t>则炸药</w:t>
      </w:r>
      <w:r>
        <w:rPr>
          <w:rFonts w:hint="eastAsia" w:hAnsi="宋体"/>
          <w:snapToGrid w:val="0"/>
          <w:color w:val="000000" w:themeColor="text1"/>
          <w:kern w:val="0"/>
          <w14:textFill>
            <w14:solidFill>
              <w14:schemeClr w14:val="tx1"/>
            </w14:solidFill>
          </w14:textFill>
        </w:rPr>
        <w:t>能量</w:t>
      </w:r>
      <w:r>
        <w:rPr>
          <w:rFonts w:hAnsi="宋体"/>
          <w:snapToGrid w:val="0"/>
          <w:color w:val="000000" w:themeColor="text1"/>
          <w:kern w:val="0"/>
          <w14:textFill>
            <w14:solidFill>
              <w14:schemeClr w14:val="tx1"/>
            </w14:solidFill>
          </w14:textFill>
        </w:rPr>
        <w:t>损失能量大，将产生较强的空气冲击波</w:t>
      </w:r>
      <w:r>
        <w:rPr>
          <w:rFonts w:hint="eastAsia" w:hAnsi="宋体"/>
          <w:snapToGrid w:val="0"/>
          <w:color w:val="000000" w:themeColor="text1"/>
          <w:kern w:val="0"/>
          <w14:textFill>
            <w14:solidFill>
              <w14:schemeClr w14:val="tx1"/>
            </w14:solidFill>
          </w14:textFill>
        </w:rPr>
        <w:t>、</w:t>
      </w:r>
      <w:r>
        <w:rPr>
          <w:rFonts w:hAnsi="宋体"/>
          <w:snapToGrid w:val="0"/>
          <w:color w:val="000000" w:themeColor="text1"/>
          <w:kern w:val="0"/>
          <w14:textFill>
            <w14:solidFill>
              <w14:schemeClr w14:val="tx1"/>
            </w14:solidFill>
          </w14:textFill>
        </w:rPr>
        <w:t>噪声和个别飞石</w:t>
      </w:r>
      <w:r>
        <w:rPr>
          <w:rFonts w:hint="eastAsia" w:hAnsi="宋体"/>
          <w:snapToGrid w:val="0"/>
          <w:color w:val="000000" w:themeColor="text1"/>
          <w:kern w:val="0"/>
          <w14:textFill>
            <w14:solidFill>
              <w14:schemeClr w14:val="tx1"/>
            </w14:solidFill>
          </w14:textFill>
        </w:rPr>
        <w:t>的危害</w:t>
      </w:r>
      <w:r>
        <w:rPr>
          <w:rFonts w:hAnsi="宋体"/>
          <w:snapToGrid w:val="0"/>
          <w:color w:val="000000" w:themeColor="text1"/>
          <w:kern w:val="0"/>
          <w14:textFill>
            <w14:solidFill>
              <w14:schemeClr w14:val="tx1"/>
            </w14:solidFill>
          </w14:textFill>
        </w:rPr>
        <w:t>，并影响炮孔下部破碎效果。</w:t>
      </w:r>
      <w:r>
        <w:rPr>
          <w:rFonts w:hint="eastAsia" w:hAnsi="宋体"/>
          <w:snapToGrid w:val="0"/>
          <w:color w:val="000000" w:themeColor="text1"/>
          <w:kern w:val="0"/>
          <w14:textFill>
            <w14:solidFill>
              <w14:schemeClr w14:val="tx1"/>
            </w14:solidFill>
          </w14:textFill>
        </w:rPr>
        <w:t>填塞长度Lt取5</w:t>
      </w:r>
      <w:r>
        <w:rPr>
          <w:rFonts w:hAnsi="宋体"/>
          <w:snapToGrid w:val="0"/>
          <w:color w:val="000000" w:themeColor="text1"/>
          <w:kern w:val="0"/>
          <w14:textFill>
            <w14:solidFill>
              <w14:schemeClr w14:val="tx1"/>
            </w14:solidFill>
          </w14:textFill>
        </w:rPr>
        <w:t>m</w:t>
      </w:r>
      <w:r>
        <w:rPr>
          <w:rFonts w:hint="eastAsia" w:hAnsi="宋体"/>
          <w:snapToGrid w:val="0"/>
          <w:color w:val="000000" w:themeColor="text1"/>
          <w:kern w:val="0"/>
          <w14:textFill>
            <w14:solidFill>
              <w14:schemeClr w14:val="tx1"/>
            </w14:solidFill>
          </w14:textFill>
        </w:rPr>
        <w:t>。</w:t>
      </w:r>
    </w:p>
    <w:p w14:paraId="63336C74">
      <w:pPr>
        <w:ind w:firstLine="560"/>
        <w:jc w:val="both"/>
        <w:rPr>
          <w:rFonts w:hint="eastAsia" w:hAnsi="宋体"/>
          <w:snapToGrid w:val="0"/>
          <w:color w:val="000000" w:themeColor="text1"/>
          <w:kern w:val="0"/>
          <w14:textFill>
            <w14:solidFill>
              <w14:schemeClr w14:val="tx1"/>
            </w14:solidFill>
          </w14:textFill>
        </w:rPr>
      </w:pP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7</w:t>
      </w: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装药长度(L1)</w:t>
      </w:r>
    </w:p>
    <w:p w14:paraId="46D498E0">
      <w:pPr>
        <w:ind w:firstLine="560"/>
        <w:jc w:val="both"/>
        <w:rPr>
          <w:rFonts w:hint="eastAsia" w:hAnsi="宋体"/>
          <w:snapToGrid w:val="0"/>
          <w:color w:val="000000" w:themeColor="text1"/>
          <w:kern w:val="0"/>
          <w14:textFill>
            <w14:solidFill>
              <w14:schemeClr w14:val="tx1"/>
            </w14:solidFill>
          </w14:textFill>
        </w:rPr>
      </w:pPr>
      <w:r>
        <w:rPr>
          <w:rFonts w:hint="eastAsia" w:hAnsi="宋体"/>
          <w:snapToGrid w:val="0"/>
          <w:color w:val="000000" w:themeColor="text1"/>
          <w:kern w:val="0"/>
          <w14:textFill>
            <w14:solidFill>
              <w14:schemeClr w14:val="tx1"/>
            </w14:solidFill>
          </w14:textFill>
        </w:rPr>
        <w:t>装药长度L1=13.32</w:t>
      </w:r>
      <w:r>
        <w:rPr>
          <w:rFonts w:hAnsi="宋体"/>
          <w:snapToGrid w:val="0"/>
          <w:color w:val="000000" w:themeColor="text1"/>
          <w:kern w:val="0"/>
          <w14:textFill>
            <w14:solidFill>
              <w14:schemeClr w14:val="tx1"/>
            </w14:solidFill>
          </w14:textFill>
        </w:rPr>
        <w:t>m</w:t>
      </w:r>
      <w:r>
        <w:rPr>
          <w:rFonts w:hint="eastAsia" w:hAnsi="宋体"/>
          <w:snapToGrid w:val="0"/>
          <w:color w:val="000000" w:themeColor="text1"/>
          <w:kern w:val="0"/>
          <w14:textFill>
            <w14:solidFill>
              <w14:schemeClr w14:val="tx1"/>
            </w14:solidFill>
          </w14:textFill>
        </w:rPr>
        <w:t>。</w:t>
      </w:r>
    </w:p>
    <w:p w14:paraId="64F99114">
      <w:pPr>
        <w:ind w:firstLine="560"/>
        <w:jc w:val="both"/>
        <w:rPr>
          <w:rFonts w:hint="eastAsia" w:hAnsi="宋体"/>
          <w:snapToGrid w:val="0"/>
          <w:color w:val="000000" w:themeColor="text1"/>
          <w:kern w:val="0"/>
          <w14:textFill>
            <w14:solidFill>
              <w14:schemeClr w14:val="tx1"/>
            </w14:solidFill>
          </w14:textFill>
        </w:rPr>
      </w:pPr>
      <w:bookmarkStart w:id="1292" w:name="_Toc26991"/>
      <w:bookmarkStart w:id="1293" w:name="_Toc5465"/>
      <w:bookmarkStart w:id="1294" w:name="_Toc25887"/>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8</w:t>
      </w: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单位炸药消耗量</w:t>
      </w:r>
    </w:p>
    <w:p w14:paraId="553FA5F3">
      <w:pPr>
        <w:ind w:firstLine="560"/>
        <w:jc w:val="both"/>
        <w:rPr>
          <w:rFonts w:hint="eastAsia" w:hAnsi="宋体"/>
          <w:snapToGrid w:val="0"/>
          <w:color w:val="000000" w:themeColor="text1"/>
          <w:kern w:val="0"/>
          <w14:textFill>
            <w14:solidFill>
              <w14:schemeClr w14:val="tx1"/>
            </w14:solidFill>
          </w14:textFill>
        </w:rPr>
      </w:pPr>
      <w:r>
        <w:rPr>
          <w:rFonts w:hint="eastAsia" w:hAnsi="宋体"/>
          <w:snapToGrid w:val="0"/>
          <w:color w:val="000000" w:themeColor="text1"/>
          <w:kern w:val="0"/>
          <w14:textFill>
            <w14:solidFill>
              <w14:schemeClr w14:val="tx1"/>
            </w14:solidFill>
          </w14:textFill>
        </w:rPr>
        <w:t>单位炸药量（q）指爆破1m</w:t>
      </w:r>
      <w:r>
        <w:rPr>
          <w:rFonts w:hint="eastAsia" w:hAnsi="宋体"/>
          <w:snapToGrid w:val="0"/>
          <w:color w:val="000000" w:themeColor="text1"/>
          <w:kern w:val="0"/>
          <w:vertAlign w:val="superscript"/>
          <w14:textFill>
            <w14:solidFill>
              <w14:schemeClr w14:val="tx1"/>
            </w14:solidFill>
          </w14:textFill>
        </w:rPr>
        <w:t>3</w:t>
      </w:r>
      <w:r>
        <w:rPr>
          <w:rFonts w:hint="eastAsia" w:hAnsi="宋体"/>
          <w:snapToGrid w:val="0"/>
          <w:color w:val="000000" w:themeColor="text1"/>
          <w:kern w:val="0"/>
          <w14:textFill>
            <w14:solidFill>
              <w14:schemeClr w14:val="tx1"/>
            </w14:solidFill>
          </w14:textFill>
        </w:rPr>
        <w:t>矿岩平均所用的炸药量。影响</w:t>
      </w:r>
      <w:r>
        <w:rPr>
          <w:rFonts w:hAnsi="宋体"/>
          <w:snapToGrid w:val="0"/>
          <w:color w:val="000000" w:themeColor="text1"/>
          <w:kern w:val="0"/>
          <w14:textFill>
            <w14:solidFill>
              <w14:schemeClr w14:val="tx1"/>
            </w14:solidFill>
          </w14:textFill>
        </w:rPr>
        <w:t>单位炸药消耗量</w:t>
      </w:r>
      <w:r>
        <w:rPr>
          <w:rFonts w:hint="eastAsia" w:hAnsi="宋体"/>
          <w:snapToGrid w:val="0"/>
          <w:color w:val="000000" w:themeColor="text1"/>
          <w:kern w:val="0"/>
          <w14:textFill>
            <w14:solidFill>
              <w14:schemeClr w14:val="tx1"/>
            </w14:solidFill>
          </w14:textFill>
        </w:rPr>
        <w:t>的因素很多，主要有</w:t>
      </w:r>
      <w:r>
        <w:rPr>
          <w:rFonts w:hAnsi="宋体"/>
          <w:snapToGrid w:val="0"/>
          <w:color w:val="000000" w:themeColor="text1"/>
          <w:kern w:val="0"/>
          <w14:textFill>
            <w14:solidFill>
              <w14:schemeClr w14:val="tx1"/>
            </w14:solidFill>
          </w14:textFill>
        </w:rPr>
        <w:t>岩石</w:t>
      </w:r>
      <w:r>
        <w:rPr>
          <w:rFonts w:hint="eastAsia" w:hAnsi="宋体"/>
          <w:snapToGrid w:val="0"/>
          <w:color w:val="000000" w:themeColor="text1"/>
          <w:kern w:val="0"/>
          <w14:textFill>
            <w14:solidFill>
              <w14:schemeClr w14:val="tx1"/>
            </w14:solidFill>
          </w14:textFill>
        </w:rPr>
        <w:t>坚固</w:t>
      </w:r>
      <w:r>
        <w:rPr>
          <w:rFonts w:hAnsi="宋体"/>
          <w:snapToGrid w:val="0"/>
          <w:color w:val="000000" w:themeColor="text1"/>
          <w:kern w:val="0"/>
          <w14:textFill>
            <w14:solidFill>
              <w14:schemeClr w14:val="tx1"/>
            </w14:solidFill>
          </w14:textFill>
        </w:rPr>
        <w:t>性、炸药种类、自由面条件、起爆方式和块度要求等，</w:t>
      </w:r>
      <w:r>
        <w:rPr>
          <w:rFonts w:hint="eastAsia" w:hAnsi="宋体"/>
          <w:snapToGrid w:val="0"/>
          <w:color w:val="000000" w:themeColor="text1"/>
          <w:kern w:val="0"/>
          <w14:textFill>
            <w14:solidFill>
              <w14:schemeClr w14:val="tx1"/>
            </w14:solidFill>
          </w14:textFill>
        </w:rPr>
        <w:t>因此，选取合理的</w:t>
      </w:r>
      <w:r>
        <w:rPr>
          <w:rFonts w:hAnsi="宋体"/>
          <w:snapToGrid w:val="0"/>
          <w:color w:val="000000" w:themeColor="text1"/>
          <w:kern w:val="0"/>
          <w14:textFill>
            <w14:solidFill>
              <w14:schemeClr w14:val="tx1"/>
            </w14:solidFill>
          </w14:textFill>
        </w:rPr>
        <w:t>单位炸药消耗量</w:t>
      </w:r>
      <w:r>
        <w:rPr>
          <w:rFonts w:hint="eastAsia" w:hAnsi="宋体"/>
          <w:snapToGrid w:val="0"/>
          <w:color w:val="000000" w:themeColor="text1"/>
          <w:kern w:val="0"/>
          <w14:textFill>
            <w14:solidFill>
              <w14:schemeClr w14:val="tx1"/>
            </w14:solidFill>
          </w14:textFill>
        </w:rPr>
        <w:t>值往往需要通过试验或长期生产实践来验证。</w:t>
      </w:r>
    </w:p>
    <w:p w14:paraId="05CE3485">
      <w:pPr>
        <w:ind w:firstLine="560"/>
        <w:jc w:val="both"/>
        <w:rPr>
          <w:rFonts w:hint="eastAsia" w:hAnsi="宋体"/>
          <w:snapToGrid w:val="0"/>
          <w:color w:val="000000" w:themeColor="text1"/>
          <w:kern w:val="0"/>
          <w14:textFill>
            <w14:solidFill>
              <w14:schemeClr w14:val="tx1"/>
            </w14:solidFill>
          </w14:textFill>
        </w:rPr>
      </w:pPr>
      <w:r>
        <w:rPr>
          <w:rFonts w:hint="eastAsia" w:hAnsi="宋体"/>
          <w:snapToGrid w:val="0"/>
          <w:color w:val="000000" w:themeColor="text1"/>
          <w:kern w:val="0"/>
          <w14:textFill>
            <w14:solidFill>
              <w14:schemeClr w14:val="tx1"/>
            </w14:solidFill>
          </w14:textFill>
        </w:rPr>
        <w:t>矿山爆破矿岩为较</w:t>
      </w:r>
      <w:r>
        <w:rPr>
          <w:rFonts w:hAnsi="宋体"/>
          <w:snapToGrid w:val="0"/>
          <w:color w:val="000000" w:themeColor="text1"/>
          <w:kern w:val="0"/>
          <w14:textFill>
            <w14:solidFill>
              <w14:schemeClr w14:val="tx1"/>
            </w14:solidFill>
          </w14:textFill>
        </w:rPr>
        <w:t>坚硬灰岩</w:t>
      </w:r>
      <w:r>
        <w:rPr>
          <w:rFonts w:hint="eastAsia" w:hAnsi="宋体"/>
          <w:snapToGrid w:val="0"/>
          <w:color w:val="000000" w:themeColor="text1"/>
          <w:kern w:val="0"/>
          <w14:textFill>
            <w14:solidFill>
              <w14:schemeClr w14:val="tx1"/>
            </w14:solidFill>
          </w14:textFill>
        </w:rPr>
        <w:t>，参考普氏坚固性分级表，</w:t>
      </w:r>
      <w:r>
        <w:rPr>
          <w:rFonts w:hAnsi="宋体"/>
          <w:snapToGrid w:val="0"/>
          <w:color w:val="000000" w:themeColor="text1"/>
          <w:kern w:val="0"/>
          <w14:textFill>
            <w14:solidFill>
              <w14:schemeClr w14:val="tx1"/>
            </w14:solidFill>
          </w14:textFill>
        </w:rPr>
        <w:t>f</w:t>
      </w:r>
      <w:r>
        <w:rPr>
          <w:rFonts w:hint="eastAsia" w:hAnsi="宋体"/>
          <w:snapToGrid w:val="0"/>
          <w:color w:val="000000" w:themeColor="text1"/>
          <w:kern w:val="0"/>
          <w14:textFill>
            <w14:solidFill>
              <w14:schemeClr w14:val="tx1"/>
            </w14:solidFill>
          </w14:textFill>
        </w:rPr>
        <w:t>取值为6-8。当</w:t>
      </w:r>
      <w:r>
        <w:rPr>
          <w:rFonts w:hAnsi="宋体"/>
          <w:snapToGrid w:val="0"/>
          <w:color w:val="000000" w:themeColor="text1"/>
          <w:kern w:val="0"/>
          <w14:textFill>
            <w14:solidFill>
              <w14:schemeClr w14:val="tx1"/>
            </w14:solidFill>
          </w14:textFill>
        </w:rPr>
        <w:t>f</w:t>
      </w:r>
      <w:r>
        <w:rPr>
          <w:rFonts w:hint="eastAsia" w:hAnsi="宋体"/>
          <w:snapToGrid w:val="0"/>
          <w:color w:val="000000" w:themeColor="text1"/>
          <w:kern w:val="0"/>
          <w14:textFill>
            <w14:solidFill>
              <w14:schemeClr w14:val="tx1"/>
            </w14:solidFill>
          </w14:textFill>
        </w:rPr>
        <w:t>＜8时，</w:t>
      </w:r>
      <w:r>
        <w:rPr>
          <w:rFonts w:hAnsi="宋体"/>
          <w:snapToGrid w:val="0"/>
          <w:color w:val="000000" w:themeColor="text1"/>
          <w:kern w:val="0"/>
          <w14:textFill>
            <w14:solidFill>
              <w14:schemeClr w14:val="tx1"/>
            </w14:solidFill>
          </w14:textFill>
        </w:rPr>
        <w:t>单位炸药消耗量</w:t>
      </w:r>
      <w:r>
        <w:rPr>
          <w:rFonts w:hint="eastAsia" w:hAnsi="宋体"/>
          <w:snapToGrid w:val="0"/>
          <w:color w:val="000000" w:themeColor="text1"/>
          <w:kern w:val="0"/>
          <w14:textFill>
            <w14:solidFill>
              <w14:schemeClr w14:val="tx1"/>
            </w14:solidFill>
          </w14:textFill>
        </w:rPr>
        <w:t>（q）取0.36</w:t>
      </w:r>
      <w:r>
        <w:rPr>
          <w:rFonts w:hAnsi="宋体"/>
          <w:snapToGrid w:val="0"/>
          <w:color w:val="000000" w:themeColor="text1"/>
          <w:kern w:val="0"/>
          <w14:textFill>
            <w14:solidFill>
              <w14:schemeClr w14:val="tx1"/>
            </w14:solidFill>
          </w14:textFill>
        </w:rPr>
        <w:t>kg</w:t>
      </w:r>
      <w:r>
        <w:rPr>
          <w:rFonts w:hint="eastAsia" w:hAnsi="宋体"/>
          <w:snapToGrid w:val="0"/>
          <w:color w:val="000000" w:themeColor="text1"/>
          <w:kern w:val="0"/>
          <w14:textFill>
            <w14:solidFill>
              <w14:schemeClr w14:val="tx1"/>
            </w14:solidFill>
          </w14:textFill>
        </w:rPr>
        <w:t>/</w:t>
      </w:r>
      <w:r>
        <w:rPr>
          <w:rFonts w:hAnsi="宋体"/>
          <w:snapToGrid w:val="0"/>
          <w:color w:val="000000" w:themeColor="text1"/>
          <w:kern w:val="0"/>
          <w14:textFill>
            <w14:solidFill>
              <w14:schemeClr w14:val="tx1"/>
            </w14:solidFill>
          </w14:textFill>
        </w:rPr>
        <w:t>m</w:t>
      </w:r>
      <w:r>
        <w:rPr>
          <w:rFonts w:hAnsi="宋体"/>
          <w:snapToGrid w:val="0"/>
          <w:color w:val="000000" w:themeColor="text1"/>
          <w:kern w:val="0"/>
          <w:vertAlign w:val="superscript"/>
          <w14:textFill>
            <w14:solidFill>
              <w14:schemeClr w14:val="tx1"/>
            </w14:solidFill>
          </w14:textFill>
        </w:rPr>
        <w:t>3</w:t>
      </w:r>
      <w:r>
        <w:rPr>
          <w:rFonts w:hAnsi="宋体"/>
          <w:snapToGrid w:val="0"/>
          <w:color w:val="000000" w:themeColor="text1"/>
          <w:kern w:val="0"/>
          <w14:textFill>
            <w14:solidFill>
              <w14:schemeClr w14:val="tx1"/>
            </w14:solidFill>
          </w14:textFill>
        </w:rPr>
        <w:t>。</w:t>
      </w:r>
    </w:p>
    <w:p w14:paraId="52C1929B">
      <w:pPr>
        <w:ind w:firstLine="420" w:firstLineChars="150"/>
        <w:jc w:val="both"/>
        <w:rPr>
          <w:rFonts w:hint="eastAsia" w:hAnsi="宋体"/>
          <w:snapToGrid w:val="0"/>
          <w:color w:val="000000" w:themeColor="text1"/>
          <w:kern w:val="0"/>
          <w14:textFill>
            <w14:solidFill>
              <w14:schemeClr w14:val="tx1"/>
            </w14:solidFill>
          </w14:textFill>
        </w:rPr>
      </w:pP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9</w:t>
      </w: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单孔装药量(Q)</w:t>
      </w:r>
    </w:p>
    <w:p w14:paraId="6722184D">
      <w:pPr>
        <w:ind w:firstLine="560"/>
        <w:jc w:val="both"/>
        <w:rPr>
          <w:rFonts w:hint="eastAsia" w:hAnsi="宋体"/>
          <w:snapToGrid w:val="0"/>
          <w:color w:val="000000" w:themeColor="text1"/>
          <w:kern w:val="0"/>
          <w14:textFill>
            <w14:solidFill>
              <w14:schemeClr w14:val="tx1"/>
            </w14:solidFill>
          </w14:textFill>
        </w:rPr>
      </w:pPr>
      <w:r>
        <w:rPr>
          <w:rFonts w:hint="eastAsia" w:hAnsi="宋体"/>
          <w:snapToGrid w:val="0"/>
          <w:color w:val="000000" w:themeColor="text1"/>
          <w:kern w:val="0"/>
          <w14:textFill>
            <w14:solidFill>
              <w14:schemeClr w14:val="tx1"/>
            </w14:solidFill>
          </w14:textFill>
        </w:rPr>
        <w:t>单孔装药量（Q）=123</w:t>
      </w:r>
      <w:r>
        <w:rPr>
          <w:rFonts w:hAnsi="宋体"/>
          <w:snapToGrid w:val="0"/>
          <w:color w:val="000000" w:themeColor="text1"/>
          <w:kern w:val="0"/>
          <w14:textFill>
            <w14:solidFill>
              <w14:schemeClr w14:val="tx1"/>
            </w14:solidFill>
          </w14:textFill>
        </w:rPr>
        <w:t>kg。</w:t>
      </w:r>
    </w:p>
    <w:p w14:paraId="220B3391">
      <w:pPr>
        <w:ind w:firstLine="420" w:firstLineChars="150"/>
        <w:jc w:val="both"/>
        <w:rPr>
          <w:rFonts w:hint="eastAsia" w:ascii="宋体" w:hAnsi="宋体"/>
          <w:snapToGrid w:val="0"/>
          <w:color w:val="000000" w:themeColor="text1"/>
          <w:kern w:val="0"/>
          <w:szCs w:val="28"/>
          <w14:textFill>
            <w14:solidFill>
              <w14:schemeClr w14:val="tx1"/>
            </w14:solidFill>
          </w14:textFill>
        </w:rPr>
      </w:pPr>
      <w:r>
        <w:rPr>
          <w:rFonts w:hAnsi="宋体"/>
          <w:snapToGrid w:val="0"/>
          <w:color w:val="000000" w:themeColor="text1"/>
          <w:kern w:val="0"/>
          <w14:textFill>
            <w14:solidFill>
              <w14:schemeClr w14:val="tx1"/>
            </w14:solidFill>
          </w14:textFill>
        </w:rPr>
        <w:t>（</w:t>
      </w:r>
      <w:r>
        <w:rPr>
          <w:rFonts w:hint="eastAsia" w:hAnsi="宋体"/>
          <w:snapToGrid w:val="0"/>
          <w:color w:val="000000" w:themeColor="text1"/>
          <w:kern w:val="0"/>
          <w14:textFill>
            <w14:solidFill>
              <w14:schemeClr w14:val="tx1"/>
            </w14:solidFill>
          </w14:textFill>
        </w:rPr>
        <w:t>10</w:t>
      </w:r>
      <w:r>
        <w:rPr>
          <w:rFonts w:hAnsi="宋体"/>
          <w:snapToGrid w:val="0"/>
          <w:color w:val="000000" w:themeColor="text1"/>
          <w:kern w:val="0"/>
          <w14:textFill>
            <w14:solidFill>
              <w14:schemeClr w14:val="tx1"/>
            </w14:solidFill>
          </w14:textFill>
        </w:rPr>
        <w:t>）</w:t>
      </w:r>
      <w:r>
        <w:rPr>
          <w:rFonts w:hint="eastAsia" w:ascii="宋体" w:hAnsi="宋体"/>
          <w:snapToGrid w:val="0"/>
          <w:color w:val="000000" w:themeColor="text1"/>
          <w:kern w:val="0"/>
          <w:szCs w:val="28"/>
          <w14:textFill>
            <w14:solidFill>
              <w14:schemeClr w14:val="tx1"/>
            </w14:solidFill>
          </w14:textFill>
        </w:rPr>
        <w:t>一次爆破总装药量</w:t>
      </w:r>
    </w:p>
    <w:p w14:paraId="22C6033D">
      <w:pPr>
        <w:spacing w:line="348" w:lineRule="auto"/>
        <w:ind w:firstLine="560"/>
        <w:jc w:val="both"/>
        <w:rPr>
          <w:rFonts w:hint="eastAsia" w:ascii="宋体" w:hAnsi="宋体"/>
          <w:color w:val="000000" w:themeColor="text1"/>
          <w:szCs w:val="28"/>
          <w14:textFill>
            <w14:solidFill>
              <w14:schemeClr w14:val="tx1"/>
            </w14:solidFill>
          </w14:textFill>
        </w:rPr>
      </w:pPr>
      <w:r>
        <w:rPr>
          <w:rFonts w:hint="eastAsia" w:ascii="宋体" w:hAnsi="宋体"/>
          <w:snapToGrid w:val="0"/>
          <w:color w:val="000000" w:themeColor="text1"/>
          <w:kern w:val="0"/>
          <w:szCs w:val="28"/>
          <w14:textFill>
            <w14:solidFill>
              <w14:schemeClr w14:val="tx1"/>
            </w14:solidFill>
          </w14:textFill>
        </w:rPr>
        <w:t>按</w:t>
      </w:r>
      <w:r>
        <w:rPr>
          <w:rFonts w:ascii="宋体" w:hAnsi="宋体"/>
          <w:snapToGrid w:val="0"/>
          <w:color w:val="000000" w:themeColor="text1"/>
          <w:kern w:val="0"/>
          <w:szCs w:val="28"/>
          <w14:textFill>
            <w14:solidFill>
              <w14:schemeClr w14:val="tx1"/>
            </w14:solidFill>
          </w14:textFill>
        </w:rPr>
        <w:t>照露天开采对爆破工作的要求，每次爆破的矿岩量至少是挖掘机7天的铲装量（</w:t>
      </w:r>
      <w:r>
        <w:rPr>
          <w:rFonts w:hint="eastAsia" w:ascii="宋体" w:hAnsi="宋体"/>
          <w:snapToGrid w:val="0"/>
          <w:color w:val="000000" w:themeColor="text1"/>
          <w:kern w:val="0"/>
          <w:szCs w:val="28"/>
          <w14:textFill>
            <w14:solidFill>
              <w14:schemeClr w14:val="tx1"/>
            </w14:solidFill>
          </w14:textFill>
        </w:rPr>
        <w:t>4899</w:t>
      </w:r>
      <w:r>
        <w:rPr>
          <w:rFonts w:ascii="宋体" w:hAnsi="宋体"/>
          <w:snapToGrid w:val="0"/>
          <w:color w:val="000000" w:themeColor="text1"/>
          <w:kern w:val="0"/>
          <w:szCs w:val="28"/>
          <w14:textFill>
            <w14:solidFill>
              <w14:schemeClr w14:val="tx1"/>
            </w14:solidFill>
          </w14:textFill>
        </w:rPr>
        <w:t>m</w:t>
      </w:r>
      <w:r>
        <w:rPr>
          <w:rFonts w:ascii="宋体" w:hAnsi="宋体"/>
          <w:snapToGrid w:val="0"/>
          <w:color w:val="000000" w:themeColor="text1"/>
          <w:kern w:val="0"/>
          <w:szCs w:val="28"/>
          <w:vertAlign w:val="superscript"/>
          <w14:textFill>
            <w14:solidFill>
              <w14:schemeClr w14:val="tx1"/>
            </w14:solidFill>
          </w14:textFill>
        </w:rPr>
        <w:t>3</w:t>
      </w:r>
      <w:r>
        <w:rPr>
          <w:rFonts w:ascii="宋体" w:hAnsi="宋体"/>
          <w:snapToGrid w:val="0"/>
          <w:color w:val="000000" w:themeColor="text1"/>
          <w:kern w:val="0"/>
          <w:szCs w:val="28"/>
          <w14:textFill>
            <w14:solidFill>
              <w14:schemeClr w14:val="tx1"/>
            </w14:solidFill>
          </w14:textFill>
        </w:rPr>
        <w:t>），</w:t>
      </w:r>
      <w:r>
        <w:rPr>
          <w:rFonts w:ascii="宋体" w:hAnsi="宋体"/>
          <w:color w:val="000000" w:themeColor="text1"/>
          <w:szCs w:val="28"/>
          <w14:textFill>
            <w14:solidFill>
              <w14:schemeClr w14:val="tx1"/>
            </w14:solidFill>
          </w14:textFill>
        </w:rPr>
        <w:t>单位炸药消耗量取0.</w:t>
      </w:r>
      <w:r>
        <w:rPr>
          <w:rFonts w:hint="eastAsia" w:ascii="宋体" w:hAnsi="宋体"/>
          <w:color w:val="000000" w:themeColor="text1"/>
          <w:szCs w:val="28"/>
          <w14:textFill>
            <w14:solidFill>
              <w14:schemeClr w14:val="tx1"/>
            </w14:solidFill>
          </w14:textFill>
        </w:rPr>
        <w:t>36</w:t>
      </w:r>
      <w:r>
        <w:rPr>
          <w:rFonts w:ascii="宋体" w:hAnsi="宋体"/>
          <w:color w:val="000000" w:themeColor="text1"/>
          <w:szCs w:val="28"/>
          <w14:textFill>
            <w14:solidFill>
              <w14:schemeClr w14:val="tx1"/>
            </w14:solidFill>
          </w14:textFill>
        </w:rPr>
        <w:t>kg/m</w:t>
      </w:r>
      <w:r>
        <w:rPr>
          <w:rFonts w:ascii="宋体" w:hAnsi="宋体"/>
          <w:color w:val="000000" w:themeColor="text1"/>
          <w:szCs w:val="28"/>
          <w:vertAlign w:val="superscript"/>
          <w14:textFill>
            <w14:solidFill>
              <w14:schemeClr w14:val="tx1"/>
            </w14:solidFill>
          </w14:textFill>
        </w:rPr>
        <w:t>3</w:t>
      </w:r>
      <w:r>
        <w:rPr>
          <w:rFonts w:ascii="宋体" w:hAnsi="宋体"/>
          <w:color w:val="000000" w:themeColor="text1"/>
          <w:szCs w:val="28"/>
          <w14:textFill>
            <w14:solidFill>
              <w14:schemeClr w14:val="tx1"/>
            </w14:solidFill>
          </w14:textFill>
        </w:rPr>
        <w:t>，</w:t>
      </w:r>
      <w:r>
        <w:rPr>
          <w:rFonts w:ascii="宋体" w:hAnsi="宋体"/>
          <w:snapToGrid w:val="0"/>
          <w:color w:val="000000" w:themeColor="text1"/>
          <w:kern w:val="0"/>
          <w:szCs w:val="28"/>
          <w14:textFill>
            <w14:solidFill>
              <w14:schemeClr w14:val="tx1"/>
            </w14:solidFill>
          </w14:textFill>
        </w:rPr>
        <w:t>则每次爆破装药量</w:t>
      </w:r>
      <w:r>
        <w:rPr>
          <w:rFonts w:hint="eastAsia" w:ascii="宋体" w:hAnsi="宋体"/>
          <w:snapToGrid w:val="0"/>
          <w:color w:val="000000" w:themeColor="text1"/>
          <w:kern w:val="0"/>
          <w:szCs w:val="28"/>
          <w14:textFill>
            <w14:solidFill>
              <w14:schemeClr w14:val="tx1"/>
            </w14:solidFill>
          </w14:textFill>
        </w:rPr>
        <w:t>1764</w:t>
      </w:r>
      <w:r>
        <w:rPr>
          <w:rFonts w:ascii="宋体" w:hAnsi="宋体"/>
          <w:snapToGrid w:val="0"/>
          <w:color w:val="000000" w:themeColor="text1"/>
          <w:kern w:val="0"/>
          <w:szCs w:val="28"/>
          <w14:textFill>
            <w14:solidFill>
              <w14:schemeClr w14:val="tx1"/>
            </w14:solidFill>
          </w14:textFill>
        </w:rPr>
        <w:t>kg左右。即每次爆破</w:t>
      </w:r>
      <w:r>
        <w:rPr>
          <w:rFonts w:hint="eastAsia" w:ascii="宋体" w:hAnsi="宋体"/>
          <w:snapToGrid w:val="0"/>
          <w:color w:val="000000" w:themeColor="text1"/>
          <w:kern w:val="0"/>
          <w:szCs w:val="28"/>
          <w14:textFill>
            <w14:solidFill>
              <w14:schemeClr w14:val="tx1"/>
            </w14:solidFill>
          </w14:textFill>
        </w:rPr>
        <w:t>2</w:t>
      </w:r>
      <w:r>
        <w:rPr>
          <w:rFonts w:ascii="宋体" w:hAnsi="宋体"/>
          <w:snapToGrid w:val="0"/>
          <w:color w:val="000000" w:themeColor="text1"/>
          <w:kern w:val="0"/>
          <w:szCs w:val="28"/>
          <w14:textFill>
            <w14:solidFill>
              <w14:schemeClr w14:val="tx1"/>
            </w14:solidFill>
          </w14:textFill>
        </w:rPr>
        <w:t>排，共</w:t>
      </w:r>
      <w:r>
        <w:rPr>
          <w:rFonts w:hint="eastAsia" w:ascii="宋体" w:hAnsi="宋体"/>
          <w:snapToGrid w:val="0"/>
          <w:color w:val="000000" w:themeColor="text1"/>
          <w:kern w:val="0"/>
          <w:szCs w:val="28"/>
          <w14:textFill>
            <w14:solidFill>
              <w14:schemeClr w14:val="tx1"/>
            </w14:solidFill>
          </w14:textFill>
        </w:rPr>
        <w:t>14</w:t>
      </w:r>
      <w:r>
        <w:rPr>
          <w:rFonts w:ascii="宋体" w:hAnsi="宋体"/>
          <w:snapToGrid w:val="0"/>
          <w:color w:val="000000" w:themeColor="text1"/>
          <w:kern w:val="0"/>
          <w:szCs w:val="28"/>
          <w14:textFill>
            <w14:solidFill>
              <w14:schemeClr w14:val="tx1"/>
            </w14:solidFill>
          </w14:textFill>
        </w:rPr>
        <w:t>孔，一次爆破总装药量为</w:t>
      </w:r>
      <w:r>
        <w:rPr>
          <w:rFonts w:hint="eastAsia" w:ascii="宋体" w:hAnsi="宋体"/>
          <w:snapToGrid w:val="0"/>
          <w:color w:val="000000" w:themeColor="text1"/>
          <w:kern w:val="0"/>
          <w:szCs w:val="28"/>
          <w14:textFill>
            <w14:solidFill>
              <w14:schemeClr w14:val="tx1"/>
            </w14:solidFill>
          </w14:textFill>
        </w:rPr>
        <w:t>123</w:t>
      </w:r>
      <w:r>
        <w:rPr>
          <w:rFonts w:ascii="宋体" w:hAnsi="宋体"/>
          <w:snapToGrid w:val="0"/>
          <w:color w:val="000000" w:themeColor="text1"/>
          <w:kern w:val="0"/>
          <w:szCs w:val="28"/>
          <w14:textFill>
            <w14:solidFill>
              <w14:schemeClr w14:val="tx1"/>
            </w14:solidFill>
          </w14:textFill>
        </w:rPr>
        <w:t>×</w:t>
      </w:r>
      <w:r>
        <w:rPr>
          <w:rFonts w:hint="eastAsia" w:ascii="宋体" w:hAnsi="宋体"/>
          <w:snapToGrid w:val="0"/>
          <w:color w:val="000000" w:themeColor="text1"/>
          <w:kern w:val="0"/>
          <w:szCs w:val="28"/>
          <w14:textFill>
            <w14:solidFill>
              <w14:schemeClr w14:val="tx1"/>
            </w14:solidFill>
          </w14:textFill>
        </w:rPr>
        <w:t>14</w:t>
      </w:r>
      <w:r>
        <w:rPr>
          <w:rFonts w:hint="eastAsia" w:ascii="宋体" w:hAnsi="宋体"/>
          <w:b/>
          <w:color w:val="000000" w:themeColor="text1"/>
          <w:szCs w:val="28"/>
          <w14:textFill>
            <w14:solidFill>
              <w14:schemeClr w14:val="tx1"/>
            </w14:solidFill>
          </w14:textFill>
        </w:rPr>
        <w:t>=</w:t>
      </w:r>
      <w:r>
        <w:rPr>
          <w:rFonts w:hint="eastAsia" w:ascii="宋体" w:hAnsi="宋体"/>
          <w:snapToGrid w:val="0"/>
          <w:color w:val="000000" w:themeColor="text1"/>
          <w:kern w:val="0"/>
          <w:szCs w:val="28"/>
          <w14:textFill>
            <w14:solidFill>
              <w14:schemeClr w14:val="tx1"/>
            </w14:solidFill>
          </w14:textFill>
        </w:rPr>
        <w:t>1722</w:t>
      </w:r>
      <w:r>
        <w:rPr>
          <w:rFonts w:ascii="宋体" w:hAnsi="宋体"/>
          <w:snapToGrid w:val="0"/>
          <w:color w:val="000000" w:themeColor="text1"/>
          <w:kern w:val="0"/>
          <w:szCs w:val="28"/>
          <w14:textFill>
            <w14:solidFill>
              <w14:schemeClr w14:val="tx1"/>
            </w14:solidFill>
          </w14:textFill>
        </w:rPr>
        <w:t>kg</w:t>
      </w:r>
      <w:r>
        <w:rPr>
          <w:rFonts w:ascii="宋体" w:hAnsi="宋体"/>
          <w:color w:val="000000" w:themeColor="text1"/>
          <w:szCs w:val="28"/>
          <w14:textFill>
            <w14:solidFill>
              <w14:schemeClr w14:val="tx1"/>
            </w14:solidFill>
          </w14:textFill>
        </w:rPr>
        <w:t>。</w:t>
      </w:r>
    </w:p>
    <w:p w14:paraId="21771287">
      <w:pPr>
        <w:pStyle w:val="146"/>
        <w:spacing w:line="360" w:lineRule="auto"/>
        <w:ind w:firstLine="561" w:firstLineChars="0"/>
        <w:jc w:val="left"/>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矿山爆破工作根据矿山实际情况，可选用乳化炸药；中深孔爆破应采用起爆器起爆方法以实现一次性起爆。严禁采用裸露药包爆破。爆破起爆网见炮孔布置及起爆顺序图，装药采用人工操作，手工装药，爆破作业参数见表</w:t>
      </w:r>
      <w:r>
        <w:rPr>
          <w:rStyle w:val="65"/>
          <w:rFonts w:hint="eastAsia" w:ascii="宋体" w:hAnsi="宋体"/>
          <w:b w:val="0"/>
          <w:bCs/>
          <w:color w:val="000000" w:themeColor="text1"/>
          <w:sz w:val="28"/>
          <w14:textFill>
            <w14:solidFill>
              <w14:schemeClr w14:val="tx1"/>
            </w14:solidFill>
          </w14:textFill>
        </w:rPr>
        <w:t>2.4-10</w:t>
      </w:r>
      <w:r>
        <w:rPr>
          <w:rFonts w:ascii="宋体" w:hAnsi="宋体"/>
          <w:color w:val="000000" w:themeColor="text1"/>
          <w14:textFill>
            <w14:solidFill>
              <w14:schemeClr w14:val="tx1"/>
            </w14:solidFill>
          </w14:textFill>
        </w:rPr>
        <w:t>。</w:t>
      </w:r>
    </w:p>
    <w:p w14:paraId="700E96F0">
      <w:pPr>
        <w:pStyle w:val="146"/>
        <w:spacing w:line="360" w:lineRule="auto"/>
        <w:ind w:firstLine="561" w:firstLineChars="0"/>
        <w:jc w:val="center"/>
        <w:rPr>
          <w:rStyle w:val="65"/>
          <w:rFonts w:hint="eastAsia" w:ascii="宋体" w:hAnsi="宋体"/>
          <w:b w:val="0"/>
          <w:color w:val="000000" w:themeColor="text1"/>
          <w:szCs w:val="24"/>
          <w14:textFill>
            <w14:solidFill>
              <w14:schemeClr w14:val="tx1"/>
            </w14:solidFill>
          </w14:textFill>
        </w:rPr>
      </w:pPr>
      <w:r>
        <w:rPr>
          <w:rStyle w:val="65"/>
          <w:rFonts w:ascii="宋体" w:hAnsi="宋体"/>
          <w:color w:val="000000" w:themeColor="text1"/>
          <w:szCs w:val="24"/>
          <w14:textFill>
            <w14:solidFill>
              <w14:schemeClr w14:val="tx1"/>
            </w14:solidFill>
          </w14:textFill>
        </w:rPr>
        <w:t>表</w:t>
      </w:r>
      <w:r>
        <w:rPr>
          <w:rStyle w:val="65"/>
          <w:rFonts w:hint="eastAsia" w:ascii="宋体" w:hAnsi="宋体"/>
          <w:color w:val="000000" w:themeColor="text1"/>
          <w:szCs w:val="24"/>
          <w14:textFill>
            <w14:solidFill>
              <w14:schemeClr w14:val="tx1"/>
            </w14:solidFill>
          </w14:textFill>
        </w:rPr>
        <w:t>2.4-10</w:t>
      </w:r>
      <w:r>
        <w:rPr>
          <w:rStyle w:val="65"/>
          <w:rFonts w:hint="eastAsia" w:ascii="宋体" w:hAnsi="宋体"/>
          <w:color w:val="000000" w:themeColor="text1"/>
          <w:szCs w:val="24"/>
          <w:lang w:val="en-US"/>
          <w14:textFill>
            <w14:solidFill>
              <w14:schemeClr w14:val="tx1"/>
            </w14:solidFill>
          </w14:textFill>
        </w:rPr>
        <w:t xml:space="preserve">      </w:t>
      </w:r>
      <w:r>
        <w:rPr>
          <w:rStyle w:val="65"/>
          <w:rFonts w:hint="eastAsia" w:ascii="宋体" w:hAnsi="宋体"/>
          <w:color w:val="000000" w:themeColor="text1"/>
          <w:szCs w:val="24"/>
          <w14:textFill>
            <w14:solidFill>
              <w14:schemeClr w14:val="tx1"/>
            </w14:solidFill>
          </w14:textFill>
        </w:rPr>
        <w:t>爆破作业参数计算表</w:t>
      </w:r>
    </w:p>
    <w:tbl>
      <w:tblPr>
        <w:tblStyle w:val="44"/>
        <w:tblW w:w="9105"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9"/>
        <w:gridCol w:w="2984"/>
        <w:gridCol w:w="1499"/>
        <w:gridCol w:w="1624"/>
        <w:gridCol w:w="1499"/>
      </w:tblGrid>
      <w:tr w14:paraId="2E76E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7AC1637B">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序号</w:t>
            </w:r>
          </w:p>
        </w:tc>
        <w:tc>
          <w:tcPr>
            <w:tcW w:w="0" w:type="auto"/>
            <w:vAlign w:val="center"/>
          </w:tcPr>
          <w:p w14:paraId="68124DE8">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爆破参数</w:t>
            </w:r>
          </w:p>
        </w:tc>
        <w:tc>
          <w:tcPr>
            <w:tcW w:w="0" w:type="auto"/>
            <w:vAlign w:val="center"/>
          </w:tcPr>
          <w:p w14:paraId="2143B099">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单位</w:t>
            </w:r>
          </w:p>
        </w:tc>
        <w:tc>
          <w:tcPr>
            <w:tcW w:w="0" w:type="auto"/>
            <w:vAlign w:val="center"/>
          </w:tcPr>
          <w:p w14:paraId="3CDAA5F7">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数值</w:t>
            </w:r>
          </w:p>
        </w:tc>
        <w:tc>
          <w:tcPr>
            <w:tcW w:w="0" w:type="auto"/>
            <w:vAlign w:val="center"/>
          </w:tcPr>
          <w:p w14:paraId="2B1DBA0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14:paraId="6A5A1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234E317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0" w:type="auto"/>
            <w:vAlign w:val="center"/>
          </w:tcPr>
          <w:p w14:paraId="09CC7CE6">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孔径</w:t>
            </w:r>
          </w:p>
        </w:tc>
        <w:tc>
          <w:tcPr>
            <w:tcW w:w="0" w:type="auto"/>
            <w:vAlign w:val="center"/>
          </w:tcPr>
          <w:p w14:paraId="04E02ECB">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r>
              <w:rPr>
                <w:rFonts w:hint="eastAsia"/>
                <w:i/>
                <w:iCs/>
                <w:color w:val="000000" w:themeColor="text1"/>
                <w:sz w:val="21"/>
                <w:szCs w:val="21"/>
                <w14:textFill>
                  <w14:solidFill>
                    <w14:schemeClr w14:val="tx1"/>
                  </w14:solidFill>
                </w14:textFill>
              </w:rPr>
              <w:t>m</w:t>
            </w:r>
          </w:p>
        </w:tc>
        <w:tc>
          <w:tcPr>
            <w:tcW w:w="0" w:type="auto"/>
            <w:vAlign w:val="center"/>
          </w:tcPr>
          <w:p w14:paraId="276FCDC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0" w:type="auto"/>
            <w:vAlign w:val="center"/>
          </w:tcPr>
          <w:p w14:paraId="07372A30">
            <w:pPr>
              <w:spacing w:line="240" w:lineRule="auto"/>
              <w:ind w:firstLine="0" w:firstLineChars="0"/>
              <w:jc w:val="center"/>
              <w:rPr>
                <w:color w:val="000000" w:themeColor="text1"/>
                <w:sz w:val="21"/>
                <w:szCs w:val="21"/>
                <w14:textFill>
                  <w14:solidFill>
                    <w14:schemeClr w14:val="tx1"/>
                  </w14:solidFill>
                </w14:textFill>
              </w:rPr>
            </w:pPr>
          </w:p>
        </w:tc>
      </w:tr>
      <w:tr w14:paraId="332C1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1D68E9A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0" w:type="auto"/>
            <w:vAlign w:val="center"/>
          </w:tcPr>
          <w:p w14:paraId="5CD807B3">
            <w:pPr>
              <w:spacing w:line="240" w:lineRule="auto"/>
              <w:ind w:firstLine="0" w:firstLineChars="0"/>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炮孔倾角</w:t>
            </w:r>
          </w:p>
        </w:tc>
        <w:tc>
          <w:tcPr>
            <w:tcW w:w="0" w:type="auto"/>
            <w:vAlign w:val="center"/>
          </w:tcPr>
          <w:p w14:paraId="66AC5709">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w:t>
            </w:r>
          </w:p>
        </w:tc>
        <w:tc>
          <w:tcPr>
            <w:tcW w:w="0" w:type="auto"/>
            <w:vAlign w:val="center"/>
          </w:tcPr>
          <w:p w14:paraId="7C93DB8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0" w:type="auto"/>
            <w:vAlign w:val="center"/>
          </w:tcPr>
          <w:p w14:paraId="4F5962B2">
            <w:pPr>
              <w:spacing w:line="240" w:lineRule="auto"/>
              <w:ind w:firstLine="0" w:firstLineChars="0"/>
              <w:jc w:val="center"/>
              <w:rPr>
                <w:color w:val="000000" w:themeColor="text1"/>
                <w:sz w:val="21"/>
                <w:szCs w:val="21"/>
                <w14:textFill>
                  <w14:solidFill>
                    <w14:schemeClr w14:val="tx1"/>
                  </w14:solidFill>
                </w14:textFill>
              </w:rPr>
            </w:pPr>
          </w:p>
        </w:tc>
      </w:tr>
      <w:tr w14:paraId="0CAC7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0" w:type="auto"/>
            <w:vAlign w:val="center"/>
          </w:tcPr>
          <w:p w14:paraId="3D89165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0" w:type="auto"/>
            <w:vAlign w:val="center"/>
          </w:tcPr>
          <w:p w14:paraId="4F29D87F">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台阶高度</w:t>
            </w:r>
          </w:p>
        </w:tc>
        <w:tc>
          <w:tcPr>
            <w:tcW w:w="0" w:type="auto"/>
            <w:vAlign w:val="center"/>
          </w:tcPr>
          <w:p w14:paraId="13636D63">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68681BF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0" w:type="auto"/>
            <w:vAlign w:val="center"/>
          </w:tcPr>
          <w:p w14:paraId="7D06E5D7">
            <w:pPr>
              <w:spacing w:line="240" w:lineRule="auto"/>
              <w:ind w:firstLine="0" w:firstLineChars="0"/>
              <w:jc w:val="center"/>
              <w:rPr>
                <w:color w:val="000000" w:themeColor="text1"/>
                <w:sz w:val="21"/>
                <w:szCs w:val="21"/>
                <w14:textFill>
                  <w14:solidFill>
                    <w14:schemeClr w14:val="tx1"/>
                  </w14:solidFill>
                </w14:textFill>
              </w:rPr>
            </w:pPr>
          </w:p>
        </w:tc>
      </w:tr>
      <w:tr w14:paraId="3611D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4E9E3E7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0" w:type="auto"/>
            <w:vAlign w:val="center"/>
          </w:tcPr>
          <w:p w14:paraId="27CE6A1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超深</w:t>
            </w:r>
          </w:p>
        </w:tc>
        <w:tc>
          <w:tcPr>
            <w:tcW w:w="0" w:type="auto"/>
            <w:vAlign w:val="center"/>
          </w:tcPr>
          <w:p w14:paraId="34C8C38E">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1502F83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0" w:type="auto"/>
            <w:vAlign w:val="center"/>
          </w:tcPr>
          <w:p w14:paraId="2DF89FA9">
            <w:pPr>
              <w:spacing w:line="240" w:lineRule="auto"/>
              <w:ind w:firstLine="0" w:firstLineChars="0"/>
              <w:jc w:val="center"/>
              <w:rPr>
                <w:color w:val="000000" w:themeColor="text1"/>
                <w:sz w:val="21"/>
                <w:szCs w:val="21"/>
                <w14:textFill>
                  <w14:solidFill>
                    <w14:schemeClr w14:val="tx1"/>
                  </w14:solidFill>
                </w14:textFill>
              </w:rPr>
            </w:pPr>
          </w:p>
        </w:tc>
      </w:tr>
      <w:tr w14:paraId="6E534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65434D1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0" w:type="auto"/>
            <w:vAlign w:val="center"/>
          </w:tcPr>
          <w:p w14:paraId="61F2749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孔深</w:t>
            </w:r>
          </w:p>
        </w:tc>
        <w:tc>
          <w:tcPr>
            <w:tcW w:w="0" w:type="auto"/>
            <w:vAlign w:val="center"/>
          </w:tcPr>
          <w:p w14:paraId="2D6F3532">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1E589A6E">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1</w:t>
            </w:r>
            <w:r>
              <w:rPr>
                <w:rFonts w:hint="eastAsia" w:hAnsi="宋体"/>
                <w:color w:val="000000" w:themeColor="text1"/>
                <w:sz w:val="21"/>
                <w:szCs w:val="21"/>
                <w14:textFill>
                  <w14:solidFill>
                    <w14:schemeClr w14:val="tx1"/>
                  </w14:solidFill>
                </w14:textFill>
              </w:rPr>
              <w:t>8.32</w:t>
            </w:r>
          </w:p>
        </w:tc>
        <w:tc>
          <w:tcPr>
            <w:tcW w:w="0" w:type="auto"/>
            <w:vAlign w:val="center"/>
          </w:tcPr>
          <w:p w14:paraId="48292A94">
            <w:pPr>
              <w:spacing w:line="240" w:lineRule="auto"/>
              <w:ind w:firstLine="0" w:firstLineChars="0"/>
              <w:jc w:val="center"/>
              <w:rPr>
                <w:color w:val="000000" w:themeColor="text1"/>
                <w:sz w:val="21"/>
                <w:szCs w:val="21"/>
                <w14:textFill>
                  <w14:solidFill>
                    <w14:schemeClr w14:val="tx1"/>
                  </w14:solidFill>
                </w14:textFill>
              </w:rPr>
            </w:pPr>
          </w:p>
        </w:tc>
      </w:tr>
      <w:tr w14:paraId="6ABAB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0" w:type="auto"/>
            <w:vAlign w:val="center"/>
          </w:tcPr>
          <w:p w14:paraId="0BEDF47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0" w:type="auto"/>
            <w:vAlign w:val="center"/>
          </w:tcPr>
          <w:p w14:paraId="42C89B9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抵抗线</w:t>
            </w:r>
          </w:p>
        </w:tc>
        <w:tc>
          <w:tcPr>
            <w:tcW w:w="0" w:type="auto"/>
          </w:tcPr>
          <w:p w14:paraId="25062E07">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7920762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0" w:type="auto"/>
            <w:vAlign w:val="center"/>
          </w:tcPr>
          <w:p w14:paraId="6D622F3A">
            <w:pPr>
              <w:spacing w:line="240" w:lineRule="auto"/>
              <w:ind w:firstLine="0" w:firstLineChars="0"/>
              <w:jc w:val="center"/>
              <w:rPr>
                <w:color w:val="000000" w:themeColor="text1"/>
                <w:sz w:val="21"/>
                <w:szCs w:val="21"/>
                <w14:textFill>
                  <w14:solidFill>
                    <w14:schemeClr w14:val="tx1"/>
                  </w14:solidFill>
                </w14:textFill>
              </w:rPr>
            </w:pPr>
          </w:p>
        </w:tc>
      </w:tr>
      <w:tr w14:paraId="1AE64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18BB122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0" w:type="auto"/>
            <w:vAlign w:val="center"/>
          </w:tcPr>
          <w:p w14:paraId="5BB53A6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孔距</w:t>
            </w:r>
          </w:p>
        </w:tc>
        <w:tc>
          <w:tcPr>
            <w:tcW w:w="0" w:type="auto"/>
          </w:tcPr>
          <w:p w14:paraId="528DD356">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25F16F3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0" w:type="auto"/>
            <w:vAlign w:val="center"/>
          </w:tcPr>
          <w:p w14:paraId="3A459808">
            <w:pPr>
              <w:spacing w:line="240" w:lineRule="auto"/>
              <w:ind w:firstLine="0" w:firstLineChars="0"/>
              <w:jc w:val="center"/>
              <w:rPr>
                <w:color w:val="000000" w:themeColor="text1"/>
                <w:sz w:val="21"/>
                <w:szCs w:val="21"/>
                <w14:textFill>
                  <w14:solidFill>
                    <w14:schemeClr w14:val="tx1"/>
                  </w14:solidFill>
                </w14:textFill>
              </w:rPr>
            </w:pPr>
          </w:p>
        </w:tc>
      </w:tr>
      <w:tr w14:paraId="7BAB2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0ECE463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0" w:type="auto"/>
            <w:vAlign w:val="center"/>
          </w:tcPr>
          <w:p w14:paraId="1A68D0D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排距</w:t>
            </w:r>
          </w:p>
        </w:tc>
        <w:tc>
          <w:tcPr>
            <w:tcW w:w="0" w:type="auto"/>
          </w:tcPr>
          <w:p w14:paraId="421FF982">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5FB3B54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0" w:type="auto"/>
            <w:vAlign w:val="center"/>
          </w:tcPr>
          <w:p w14:paraId="0C3F83AD">
            <w:pPr>
              <w:spacing w:line="240" w:lineRule="auto"/>
              <w:ind w:firstLine="0" w:firstLineChars="0"/>
              <w:jc w:val="center"/>
              <w:rPr>
                <w:color w:val="000000" w:themeColor="text1"/>
                <w:sz w:val="21"/>
                <w:szCs w:val="21"/>
                <w14:textFill>
                  <w14:solidFill>
                    <w14:schemeClr w14:val="tx1"/>
                  </w14:solidFill>
                </w14:textFill>
              </w:rPr>
            </w:pPr>
          </w:p>
        </w:tc>
      </w:tr>
      <w:tr w14:paraId="4CECB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0" w:type="auto"/>
            <w:vAlign w:val="center"/>
          </w:tcPr>
          <w:p w14:paraId="70FDADC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0" w:type="auto"/>
            <w:vAlign w:val="center"/>
          </w:tcPr>
          <w:p w14:paraId="4F00147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填塞长度</w:t>
            </w:r>
          </w:p>
        </w:tc>
        <w:tc>
          <w:tcPr>
            <w:tcW w:w="0" w:type="auto"/>
          </w:tcPr>
          <w:p w14:paraId="511CFD9B">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6039F2E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0" w:type="auto"/>
            <w:vAlign w:val="center"/>
          </w:tcPr>
          <w:p w14:paraId="2A279E32">
            <w:pPr>
              <w:spacing w:line="240" w:lineRule="auto"/>
              <w:ind w:firstLine="0" w:firstLineChars="0"/>
              <w:jc w:val="center"/>
              <w:rPr>
                <w:color w:val="000000" w:themeColor="text1"/>
                <w:sz w:val="21"/>
                <w:szCs w:val="21"/>
                <w14:textFill>
                  <w14:solidFill>
                    <w14:schemeClr w14:val="tx1"/>
                  </w14:solidFill>
                </w14:textFill>
              </w:rPr>
            </w:pPr>
          </w:p>
        </w:tc>
      </w:tr>
      <w:tr w14:paraId="729A1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2F8FF19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0" w:type="auto"/>
            <w:vAlign w:val="center"/>
          </w:tcPr>
          <w:p w14:paraId="4033032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装药长度</w:t>
            </w:r>
          </w:p>
        </w:tc>
        <w:tc>
          <w:tcPr>
            <w:tcW w:w="0" w:type="auto"/>
          </w:tcPr>
          <w:p w14:paraId="000D6B02">
            <w:pPr>
              <w:spacing w:line="240" w:lineRule="auto"/>
              <w:ind w:firstLine="0" w:firstLineChars="0"/>
              <w:jc w:val="center"/>
              <w:rPr>
                <w:i/>
                <w:iCs/>
                <w:color w:val="000000" w:themeColor="text1"/>
                <w:sz w:val="21"/>
                <w:szCs w:val="21"/>
                <w14:textFill>
                  <w14:solidFill>
                    <w14:schemeClr w14:val="tx1"/>
                  </w14:solidFill>
                </w14:textFill>
              </w:rPr>
            </w:pPr>
            <w:r>
              <w:rPr>
                <w:i/>
                <w:iCs/>
                <w:color w:val="000000" w:themeColor="text1"/>
                <w:sz w:val="21"/>
                <w:szCs w:val="21"/>
                <w14:textFill>
                  <w14:solidFill>
                    <w14:schemeClr w14:val="tx1"/>
                  </w14:solidFill>
                </w14:textFill>
              </w:rPr>
              <w:t>m</w:t>
            </w:r>
          </w:p>
        </w:tc>
        <w:tc>
          <w:tcPr>
            <w:tcW w:w="0" w:type="auto"/>
            <w:vAlign w:val="center"/>
          </w:tcPr>
          <w:p w14:paraId="1DCECBC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13.32</w:t>
            </w:r>
          </w:p>
        </w:tc>
        <w:tc>
          <w:tcPr>
            <w:tcW w:w="0" w:type="auto"/>
            <w:vAlign w:val="center"/>
          </w:tcPr>
          <w:p w14:paraId="216D2110">
            <w:pPr>
              <w:spacing w:line="240" w:lineRule="auto"/>
              <w:ind w:firstLine="0" w:firstLineChars="0"/>
              <w:jc w:val="center"/>
              <w:rPr>
                <w:color w:val="000000" w:themeColor="text1"/>
                <w:sz w:val="21"/>
                <w:szCs w:val="21"/>
                <w14:textFill>
                  <w14:solidFill>
                    <w14:schemeClr w14:val="tx1"/>
                  </w14:solidFill>
                </w14:textFill>
              </w:rPr>
            </w:pPr>
          </w:p>
        </w:tc>
      </w:tr>
      <w:tr w14:paraId="7FF1F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0" w:type="auto"/>
            <w:vAlign w:val="center"/>
          </w:tcPr>
          <w:p w14:paraId="1D4A3B9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0" w:type="auto"/>
            <w:vAlign w:val="center"/>
          </w:tcPr>
          <w:p w14:paraId="43DBD7C2">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每孔装药量</w:t>
            </w:r>
          </w:p>
        </w:tc>
        <w:tc>
          <w:tcPr>
            <w:tcW w:w="0" w:type="auto"/>
            <w:vAlign w:val="center"/>
          </w:tcPr>
          <w:p w14:paraId="63F0FC26">
            <w:pPr>
              <w:spacing w:line="240" w:lineRule="auto"/>
              <w:ind w:firstLine="0" w:firstLineChars="0"/>
              <w:jc w:val="center"/>
              <w:rPr>
                <w:i/>
                <w:iCs/>
                <w:color w:val="000000" w:themeColor="text1"/>
                <w:sz w:val="21"/>
                <w:szCs w:val="21"/>
                <w14:textFill>
                  <w14:solidFill>
                    <w14:schemeClr w14:val="tx1"/>
                  </w14:solidFill>
                </w14:textFill>
              </w:rPr>
            </w:pPr>
            <w:r>
              <w:rPr>
                <w:rFonts w:hint="eastAsia"/>
                <w:i/>
                <w:iCs/>
                <w:color w:val="000000" w:themeColor="text1"/>
                <w:sz w:val="21"/>
                <w:szCs w:val="21"/>
                <w14:textFill>
                  <w14:solidFill>
                    <w14:schemeClr w14:val="tx1"/>
                  </w14:solidFill>
                </w14:textFill>
              </w:rPr>
              <w:t>kg</w:t>
            </w:r>
          </w:p>
        </w:tc>
        <w:tc>
          <w:tcPr>
            <w:tcW w:w="0" w:type="auto"/>
            <w:vAlign w:val="center"/>
          </w:tcPr>
          <w:p w14:paraId="2F06335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123</w:t>
            </w:r>
          </w:p>
        </w:tc>
        <w:tc>
          <w:tcPr>
            <w:tcW w:w="0" w:type="auto"/>
            <w:vAlign w:val="center"/>
          </w:tcPr>
          <w:p w14:paraId="1BED76C4">
            <w:pPr>
              <w:spacing w:line="240" w:lineRule="auto"/>
              <w:ind w:firstLine="0" w:firstLineChars="0"/>
              <w:jc w:val="center"/>
              <w:rPr>
                <w:color w:val="000000" w:themeColor="text1"/>
                <w:sz w:val="21"/>
                <w:szCs w:val="21"/>
                <w14:textFill>
                  <w14:solidFill>
                    <w14:schemeClr w14:val="tx1"/>
                  </w14:solidFill>
                </w14:textFill>
              </w:rPr>
            </w:pPr>
          </w:p>
        </w:tc>
      </w:tr>
      <w:bookmarkEnd w:id="1292"/>
      <w:bookmarkEnd w:id="1293"/>
      <w:bookmarkEnd w:id="1294"/>
    </w:tbl>
    <w:p w14:paraId="010F84DA">
      <w:pPr>
        <w:pStyle w:val="6"/>
        <w:spacing w:before="120" w:after="120"/>
        <w:rPr>
          <w:color w:val="000000" w:themeColor="text1"/>
          <w14:textFill>
            <w14:solidFill>
              <w14:schemeClr w14:val="tx1"/>
            </w14:solidFill>
          </w14:textFill>
        </w:rPr>
      </w:pPr>
      <w:bookmarkStart w:id="1295" w:name="_Toc16886"/>
      <w:bookmarkStart w:id="1296" w:name="_Toc24495"/>
      <w:bookmarkStart w:id="1297" w:name="_Toc31051"/>
      <w:bookmarkStart w:id="1298" w:name="_Toc26296"/>
      <w:bookmarkStart w:id="1299" w:name="_Toc215070201"/>
      <w:bookmarkStart w:id="1300" w:name="_Toc7947"/>
      <w:bookmarkStart w:id="1301" w:name="_Toc25875"/>
      <w:bookmarkStart w:id="1302" w:name="_Toc30254"/>
      <w:bookmarkStart w:id="1303" w:name="_Toc24695"/>
      <w:r>
        <w:rPr>
          <w:rFonts w:hint="eastAsia"/>
          <w:color w:val="000000" w:themeColor="text1"/>
          <w14:textFill>
            <w14:solidFill>
              <w14:schemeClr w14:val="tx1"/>
            </w14:solidFill>
          </w14:textFill>
        </w:rPr>
        <w:t>2.4.6.4</w:t>
      </w:r>
      <w:r>
        <w:rPr>
          <w:color w:val="000000" w:themeColor="text1"/>
          <w14:textFill>
            <w14:solidFill>
              <w14:schemeClr w14:val="tx1"/>
            </w14:solidFill>
          </w14:textFill>
        </w:rPr>
        <w:t>倾斜孔（靠帮</w:t>
      </w:r>
      <w:r>
        <w:rPr>
          <w:rFonts w:hint="eastAsia"/>
          <w:color w:val="000000" w:themeColor="text1"/>
          <w14:textFill>
            <w14:solidFill>
              <w14:schemeClr w14:val="tx1"/>
            </w14:solidFill>
          </w14:textFill>
        </w:rPr>
        <w:t>预裂</w:t>
      </w:r>
      <w:r>
        <w:rPr>
          <w:color w:val="000000" w:themeColor="text1"/>
          <w14:textFill>
            <w14:solidFill>
              <w14:schemeClr w14:val="tx1"/>
            </w14:solidFill>
          </w14:textFill>
        </w:rPr>
        <w:t>）爆破</w:t>
      </w:r>
      <w:bookmarkEnd w:id="1295"/>
      <w:bookmarkEnd w:id="1296"/>
      <w:bookmarkEnd w:id="1297"/>
      <w:bookmarkEnd w:id="1298"/>
      <w:bookmarkEnd w:id="1299"/>
      <w:bookmarkEnd w:id="1300"/>
      <w:bookmarkEnd w:id="1301"/>
      <w:bookmarkEnd w:id="1302"/>
      <w:bookmarkEnd w:id="1303"/>
    </w:p>
    <w:p w14:paraId="4B684615">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靠帮时采用预裂爆破，减少永久边坡的爆破扰动。</w:t>
      </w:r>
    </w:p>
    <w:p w14:paraId="7A5577E2">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炮孔布置形式</w:t>
      </w:r>
    </w:p>
    <w:p w14:paraId="3BE4FFC1">
      <w:pPr>
        <w:pStyle w:val="18"/>
        <w:adjustRightInd w:val="0"/>
        <w:snapToGrid w:val="0"/>
        <w:spacing w:after="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最终靠帮孔采用6</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°倾斜孔，布置一排炮孔进行预裂爆破。</w:t>
      </w:r>
    </w:p>
    <w:p w14:paraId="5B346342">
      <w:pPr>
        <w:ind w:firstLine="560"/>
        <w:rPr>
          <w:color w:val="000000" w:themeColor="text1"/>
          <w14:textFill>
            <w14:solidFill>
              <w14:schemeClr w14:val="tx1"/>
            </w14:solidFill>
          </w14:textFill>
        </w:rPr>
      </w:pPr>
      <w:bookmarkStart w:id="1304" w:name="_Toc15870"/>
      <w:bookmarkStart w:id="1305" w:name="_Toc21795"/>
      <w:bookmarkStart w:id="1306" w:name="_Toc10974"/>
      <w:r>
        <w:rPr>
          <w:rFonts w:hint="eastAsia"/>
          <w:color w:val="000000" w:themeColor="text1"/>
          <w14:textFill>
            <w14:solidFill>
              <w14:schemeClr w14:val="tx1"/>
            </w14:solidFill>
          </w14:textFill>
        </w:rPr>
        <w:t>3、</w:t>
      </w:r>
      <w:r>
        <w:rPr>
          <w:color w:val="000000" w:themeColor="text1"/>
          <w14:textFill>
            <w14:solidFill>
              <w14:schemeClr w14:val="tx1"/>
            </w14:solidFill>
          </w14:textFill>
        </w:rPr>
        <w:t>起爆网路设计</w:t>
      </w:r>
      <w:bookmarkEnd w:id="1304"/>
      <w:bookmarkEnd w:id="1305"/>
      <w:bookmarkEnd w:id="1306"/>
    </w:p>
    <w:p w14:paraId="03D0B425">
      <w:pPr>
        <w:ind w:firstLine="560"/>
        <w:rPr>
          <w:color w:val="000000" w:themeColor="text1"/>
          <w14:textFill>
            <w14:solidFill>
              <w14:schemeClr w14:val="tx1"/>
            </w14:solidFill>
          </w14:textFill>
        </w:rPr>
      </w:pPr>
      <w:r>
        <w:rPr>
          <w:color w:val="000000" w:themeColor="text1"/>
          <w14:textFill>
            <w14:solidFill>
              <w14:schemeClr w14:val="tx1"/>
            </w14:solidFill>
          </w14:textFill>
        </w:rPr>
        <w:t>采用电力起爆法，用数码电子雷管及专用起爆器，起爆器专人保管，预裂炮孔超前主爆孔100ms起爆。</w:t>
      </w:r>
    </w:p>
    <w:p w14:paraId="789BA8C2">
      <w:pPr>
        <w:ind w:firstLine="560"/>
        <w:rPr>
          <w:color w:val="000000" w:themeColor="text1"/>
          <w14:textFill>
            <w14:solidFill>
              <w14:schemeClr w14:val="tx1"/>
            </w14:solidFill>
          </w14:textFill>
        </w:rPr>
      </w:pPr>
      <w:bookmarkStart w:id="1307" w:name="_Toc24966"/>
      <w:bookmarkStart w:id="1308" w:name="_Toc1356"/>
      <w:bookmarkStart w:id="1309" w:name="_Toc1086"/>
      <w:r>
        <w:rPr>
          <w:rFonts w:hint="eastAsia"/>
          <w:color w:val="000000" w:themeColor="text1"/>
          <w14:textFill>
            <w14:solidFill>
              <w14:schemeClr w14:val="tx1"/>
            </w14:solidFill>
          </w14:textFill>
        </w:rPr>
        <w:t>4、</w:t>
      </w:r>
      <w:r>
        <w:rPr>
          <w:color w:val="000000" w:themeColor="text1"/>
          <w14:textFill>
            <w14:solidFill>
              <w14:schemeClr w14:val="tx1"/>
            </w14:solidFill>
          </w14:textFill>
        </w:rPr>
        <w:t>爆破参数</w:t>
      </w:r>
      <w:bookmarkEnd w:id="1307"/>
      <w:bookmarkEnd w:id="1308"/>
      <w:bookmarkEnd w:id="1309"/>
    </w:p>
    <w:p w14:paraId="06A618F6">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孔径d</w:t>
      </w:r>
      <w:r>
        <w:rPr>
          <w:rFonts w:hint="eastAsia"/>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露天深孔爆破的孔径主要取决于钻机类型，台阶高度和岩石性质，使用</w:t>
      </w:r>
      <w:r>
        <w:rPr>
          <w:rFonts w:hint="eastAsia" w:ascii="宋体" w:hAnsi="宋体"/>
          <w:color w:val="000000" w:themeColor="text1"/>
          <w:szCs w:val="28"/>
          <w14:textFill>
            <w14:solidFill>
              <w14:schemeClr w14:val="tx1"/>
            </w14:solidFill>
          </w14:textFill>
        </w:rPr>
        <w:t>矿山原有设备</w:t>
      </w:r>
      <w:r>
        <w:rPr>
          <w:rFonts w:ascii="宋体" w:hAnsi="宋体"/>
          <w:color w:val="000000" w:themeColor="text1"/>
          <w:szCs w:val="28"/>
          <w14:textFill>
            <w14:solidFill>
              <w14:schemeClr w14:val="tx1"/>
            </w14:solidFill>
          </w14:textFill>
        </w:rPr>
        <w:t>志高415-1履带式潜孔采矿钻机进行凿岩</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钻</w:t>
      </w:r>
      <w:r>
        <w:rPr>
          <w:rFonts w:hint="eastAsia" w:ascii="宋体" w:hAnsi="宋体"/>
          <w:color w:val="000000" w:themeColor="text1"/>
          <w:szCs w:val="28"/>
          <w14:textFill>
            <w14:solidFill>
              <w14:schemeClr w14:val="tx1"/>
            </w14:solidFill>
          </w14:textFill>
        </w:rPr>
        <w:t>孔</w:t>
      </w:r>
      <w:r>
        <w:rPr>
          <w:rFonts w:ascii="宋体" w:hAnsi="宋体"/>
          <w:color w:val="000000" w:themeColor="text1"/>
          <w:szCs w:val="28"/>
          <w14:textFill>
            <w14:solidFill>
              <w14:schemeClr w14:val="tx1"/>
            </w14:solidFill>
          </w14:textFill>
        </w:rPr>
        <w:t>直径Φ</w:t>
      </w:r>
      <w:r>
        <w:rPr>
          <w:rFonts w:hint="eastAsia" w:ascii="宋体" w:hAnsi="宋体"/>
          <w:color w:val="000000" w:themeColor="text1"/>
          <w:szCs w:val="28"/>
          <w14:textFill>
            <w14:solidFill>
              <w14:schemeClr w14:val="tx1"/>
            </w14:solidFill>
          </w14:textFill>
        </w:rPr>
        <w:t>9</w:t>
      </w:r>
      <w:r>
        <w:rPr>
          <w:rFonts w:ascii="宋体" w:hAnsi="宋体"/>
          <w:color w:val="000000" w:themeColor="text1"/>
          <w:szCs w:val="28"/>
          <w14:textFill>
            <w14:solidFill>
              <w14:schemeClr w14:val="tx1"/>
            </w14:solidFill>
          </w14:textFill>
        </w:rPr>
        <w:t>0～</w:t>
      </w:r>
      <w:r>
        <w:rPr>
          <w:rFonts w:hint="eastAsia" w:ascii="宋体" w:hAnsi="宋体"/>
          <w:color w:val="000000" w:themeColor="text1"/>
          <w:szCs w:val="28"/>
          <w14:textFill>
            <w14:solidFill>
              <w14:schemeClr w14:val="tx1"/>
            </w14:solidFill>
          </w14:textFill>
        </w:rPr>
        <w:t>105</w:t>
      </w:r>
      <w:r>
        <w:rPr>
          <w:rFonts w:ascii="宋体" w:hAnsi="宋体"/>
          <w:color w:val="000000" w:themeColor="text1"/>
          <w:szCs w:val="28"/>
          <w14:textFill>
            <w14:solidFill>
              <w14:schemeClr w14:val="tx1"/>
            </w14:solidFill>
          </w14:textFill>
        </w:rPr>
        <w:t>mm，取1</w:t>
      </w:r>
      <w:r>
        <w:rPr>
          <w:rFonts w:hint="eastAsia" w:ascii="宋体" w:hAnsi="宋体"/>
          <w:color w:val="000000" w:themeColor="text1"/>
          <w:szCs w:val="28"/>
          <w14:textFill>
            <w14:solidFill>
              <w14:schemeClr w14:val="tx1"/>
            </w14:solidFill>
          </w14:textFill>
        </w:rPr>
        <w:t>00</w:t>
      </w:r>
      <w:r>
        <w:rPr>
          <w:rFonts w:ascii="宋体" w:hAnsi="宋体"/>
          <w:color w:val="000000" w:themeColor="text1"/>
          <w:szCs w:val="28"/>
          <w14:textFill>
            <w14:solidFill>
              <w14:schemeClr w14:val="tx1"/>
            </w14:solidFill>
          </w14:textFill>
        </w:rPr>
        <w:t>mm</w:t>
      </w:r>
      <w:r>
        <w:rPr>
          <w:rFonts w:hint="eastAsia" w:ascii="宋体" w:hAnsi="宋体"/>
          <w:color w:val="000000" w:themeColor="text1"/>
          <w:szCs w:val="28"/>
          <w14:textFill>
            <w14:solidFill>
              <w14:schemeClr w14:val="tx1"/>
            </w14:solidFill>
          </w14:textFill>
        </w:rPr>
        <w:t>，则炮眼直径d为100mm</w:t>
      </w:r>
      <w:r>
        <w:rPr>
          <w:rFonts w:ascii="宋体" w:hAnsi="宋体"/>
          <w:color w:val="000000" w:themeColor="text1"/>
          <w:szCs w:val="28"/>
          <w14:textFill>
            <w14:solidFill>
              <w14:schemeClr w14:val="tx1"/>
            </w14:solidFill>
          </w14:textFill>
        </w:rPr>
        <w:t>。</w:t>
      </w:r>
    </w:p>
    <w:p w14:paraId="2D1839DC">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台阶高度H</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根据开采设备，开采矿岩为坚硬稳固岩石，台阶高度取值为H=1</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m。</w:t>
      </w:r>
    </w:p>
    <w:p w14:paraId="15707202">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孔深</w:t>
      </w:r>
      <w:r>
        <w:rPr>
          <w:rFonts w:hint="eastAsia"/>
          <w:color w:val="000000" w:themeColor="text1"/>
          <w:szCs w:val="28"/>
          <w14:textFill>
            <w14:solidFill>
              <w14:schemeClr w14:val="tx1"/>
            </w14:solidFill>
          </w14:textFill>
        </w:rPr>
        <w:t>L：</w:t>
      </w:r>
      <w:r>
        <w:rPr>
          <w:color w:val="000000" w:themeColor="text1"/>
          <w:szCs w:val="28"/>
          <w14:textFill>
            <w14:solidFill>
              <w14:schemeClr w14:val="tx1"/>
            </w14:solidFill>
          </w14:textFill>
        </w:rPr>
        <w:t>孔深为开凿炮孔的深度通过计算为：</w:t>
      </w:r>
      <w:r>
        <w:rPr>
          <w:color w:val="000000" w:themeColor="text1"/>
          <w14:textFill>
            <w14:solidFill>
              <w14:schemeClr w14:val="tx1"/>
            </w14:solidFill>
          </w14:textFill>
        </w:rPr>
        <w:t>L=H /sin（60°）≈</w:t>
      </w:r>
      <w:r>
        <w:rPr>
          <w:rFonts w:hint="eastAsia"/>
          <w:color w:val="000000" w:themeColor="text1"/>
          <w14:textFill>
            <w14:solidFill>
              <w14:schemeClr w14:val="tx1"/>
            </w14:solidFill>
          </w14:textFill>
        </w:rPr>
        <w:t>17.5</w:t>
      </w:r>
      <w:r>
        <w:rPr>
          <w:color w:val="000000" w:themeColor="text1"/>
          <w14:textFill>
            <w14:solidFill>
              <w14:schemeClr w14:val="tx1"/>
            </w14:solidFill>
          </w14:textFill>
        </w:rPr>
        <w:t>m，故孔深</w:t>
      </w:r>
      <w:r>
        <w:rPr>
          <w:rFonts w:hint="eastAsia"/>
          <w:color w:val="000000" w:themeColor="text1"/>
          <w14:textFill>
            <w14:solidFill>
              <w14:schemeClr w14:val="tx1"/>
            </w14:solidFill>
          </w14:textFill>
        </w:rPr>
        <w:t>L</w:t>
      </w:r>
      <w:r>
        <w:rPr>
          <w:color w:val="000000" w:themeColor="text1"/>
          <w14:textFill>
            <w14:solidFill>
              <w14:schemeClr w14:val="tx1"/>
            </w14:solidFill>
          </w14:textFill>
        </w:rPr>
        <w:t>取</w:t>
      </w:r>
      <w:r>
        <w:rPr>
          <w:rFonts w:hint="eastAsia"/>
          <w:color w:val="000000" w:themeColor="text1"/>
          <w14:textFill>
            <w14:solidFill>
              <w14:schemeClr w14:val="tx1"/>
            </w14:solidFill>
          </w14:textFill>
        </w:rPr>
        <w:t>17.5</w:t>
      </w:r>
      <w:r>
        <w:rPr>
          <w:color w:val="000000" w:themeColor="text1"/>
          <w14:textFill>
            <w14:solidFill>
              <w14:schemeClr w14:val="tx1"/>
            </w14:solidFill>
          </w14:textFill>
        </w:rPr>
        <w:t>m</w:t>
      </w:r>
      <w:r>
        <w:rPr>
          <w:color w:val="000000" w:themeColor="text1"/>
          <w:szCs w:val="28"/>
          <w14:textFill>
            <w14:solidFill>
              <w14:schemeClr w14:val="tx1"/>
            </w14:solidFill>
          </w14:textFill>
        </w:rPr>
        <w:t>。</w:t>
      </w:r>
    </w:p>
    <w:p w14:paraId="15D27C56">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（4）</w:t>
      </w:r>
      <w:r>
        <w:rPr>
          <w:color w:val="000000" w:themeColor="text1"/>
          <w:szCs w:val="28"/>
          <w14:textFill>
            <w14:solidFill>
              <w14:schemeClr w14:val="tx1"/>
            </w14:solidFill>
          </w14:textFill>
        </w:rPr>
        <w:t>孔距a与排距b</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根据岩石的物理力学特性以及以往的经验，预裂孔间距取10倍孔径，孔距a</w:t>
      </w:r>
      <w:r>
        <w:rPr>
          <w:rFonts w:hint="eastAsia"/>
          <w:color w:val="000000" w:themeColor="text1"/>
          <w:szCs w:val="28"/>
          <w14:textFill>
            <w14:solidFill>
              <w14:schemeClr w14:val="tx1"/>
            </w14:solidFill>
          </w14:textFill>
        </w:rPr>
        <w:t>取</w:t>
      </w:r>
      <w:r>
        <w:rPr>
          <w:color w:val="000000" w:themeColor="text1"/>
          <w:szCs w:val="28"/>
          <w14:textFill>
            <w14:solidFill>
              <w14:schemeClr w14:val="tx1"/>
            </w14:solidFill>
          </w14:textFill>
        </w:rPr>
        <w:t>1.0m</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排距b</w:t>
      </w:r>
      <w:r>
        <w:rPr>
          <w:rFonts w:hint="eastAsia"/>
          <w:color w:val="000000" w:themeColor="text1"/>
          <w:szCs w:val="28"/>
          <w14:textFill>
            <w14:solidFill>
              <w14:schemeClr w14:val="tx1"/>
            </w14:solidFill>
          </w14:textFill>
        </w:rPr>
        <w:t>取3.5</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w:t>
      </w:r>
    </w:p>
    <w:p w14:paraId="46F8BF44">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最小抵抗线W</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预裂孔上口最小抵抗线与排距一致，取</w:t>
      </w:r>
      <w:r>
        <w:rPr>
          <w:rFonts w:hint="eastAsia"/>
          <w:color w:val="000000" w:themeColor="text1"/>
          <w:szCs w:val="28"/>
          <w14:textFill>
            <w14:solidFill>
              <w14:schemeClr w14:val="tx1"/>
            </w14:solidFill>
          </w14:textFill>
        </w:rPr>
        <w:t>3.5</w:t>
      </w:r>
      <w:r>
        <w:rPr>
          <w:color w:val="000000" w:themeColor="text1"/>
          <w:szCs w:val="28"/>
          <w14:textFill>
            <w14:solidFill>
              <w14:schemeClr w14:val="tx1"/>
            </w14:solidFill>
          </w14:textFill>
        </w:rPr>
        <w:t>m。</w:t>
      </w:r>
    </w:p>
    <w:p w14:paraId="4FCE6D3E">
      <w:pPr>
        <w:ind w:firstLine="560"/>
        <w:rPr>
          <w:rFonts w:hint="eastAsia" w:ascii="宋体" w:hAnsi="宋体"/>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填塞长度L</w:t>
      </w:r>
      <w:r>
        <w:rPr>
          <w:color w:val="000000" w:themeColor="text1"/>
          <w:szCs w:val="28"/>
          <w:vertAlign w:val="subscript"/>
          <w14:textFill>
            <w14:solidFill>
              <w14:schemeClr w14:val="tx1"/>
            </w14:solidFill>
          </w14:textFill>
        </w:rPr>
        <w:t>2</w:t>
      </w:r>
      <w:r>
        <w:rPr>
          <w:rFonts w:ascii="宋体" w:hAnsi="宋体"/>
          <w:color w:val="000000" w:themeColor="text1"/>
          <w:szCs w:val="28"/>
          <w14:textFill>
            <w14:solidFill>
              <w14:schemeClr w14:val="tx1"/>
            </w14:solidFill>
          </w14:textFill>
        </w:rPr>
        <w:t>：</w:t>
      </w:r>
      <w:bookmarkStart w:id="1310" w:name="_Toc30668"/>
      <w:bookmarkStart w:id="1311" w:name="_Toc24825"/>
      <w:bookmarkStart w:id="1312" w:name="_Toc15425"/>
      <w:r>
        <w:rPr>
          <w:rFonts w:ascii="宋体" w:hAnsi="宋体"/>
          <w:color w:val="000000" w:themeColor="text1"/>
          <w:szCs w:val="28"/>
          <w14:textFill>
            <w14:solidFill>
              <w14:schemeClr w14:val="tx1"/>
            </w14:solidFill>
          </w14:textFill>
        </w:rPr>
        <w:t>通常取（20～40）d</w:t>
      </w:r>
      <w:r>
        <w:rPr>
          <w:rFonts w:hint="eastAsia" w:ascii="宋体" w:hAnsi="宋体"/>
          <w:color w:val="000000" w:themeColor="text1"/>
          <w:szCs w:val="28"/>
          <w14:textFill>
            <w14:solidFill>
              <w14:schemeClr w14:val="tx1"/>
            </w14:solidFill>
          </w14:textFill>
        </w:rPr>
        <w:t>作为</w:t>
      </w:r>
      <w:r>
        <w:rPr>
          <w:rFonts w:ascii="宋体" w:hAnsi="宋体"/>
          <w:color w:val="000000" w:themeColor="text1"/>
          <w:szCs w:val="28"/>
          <w14:textFill>
            <w14:solidFill>
              <w14:schemeClr w14:val="tx1"/>
            </w14:solidFill>
          </w14:textFill>
        </w:rPr>
        <w:t>填塞长度，取（</w:t>
      </w:r>
      <w:r>
        <w:rPr>
          <w:rFonts w:hint="eastAsia" w:ascii="宋体" w:hAnsi="宋体"/>
          <w:color w:val="000000" w:themeColor="text1"/>
          <w:szCs w:val="28"/>
          <w14:textFill>
            <w14:solidFill>
              <w14:schemeClr w14:val="tx1"/>
            </w14:solidFill>
          </w14:textFill>
        </w:rPr>
        <w:t>2</w:t>
      </w:r>
      <w:r>
        <w:rPr>
          <w:rFonts w:ascii="宋体" w:hAnsi="宋体"/>
          <w:color w:val="000000" w:themeColor="text1"/>
          <w:szCs w:val="28"/>
          <w14:textFill>
            <w14:solidFill>
              <w14:schemeClr w14:val="tx1"/>
            </w14:solidFill>
          </w14:textFill>
        </w:rPr>
        <w:t>～</w:t>
      </w:r>
      <w:r>
        <w:rPr>
          <w:rFonts w:hint="eastAsia" w:ascii="宋体" w:hAnsi="宋体"/>
          <w:color w:val="000000" w:themeColor="text1"/>
          <w:szCs w:val="28"/>
          <w14:textFill>
            <w14:solidFill>
              <w14:schemeClr w14:val="tx1"/>
            </w14:solidFill>
          </w14:textFill>
        </w:rPr>
        <w:t>4</w:t>
      </w:r>
      <w:r>
        <w:rPr>
          <w:rFonts w:ascii="宋体" w:hAnsi="宋体"/>
          <w:color w:val="000000" w:themeColor="text1"/>
          <w:szCs w:val="28"/>
          <w14:textFill>
            <w14:solidFill>
              <w14:schemeClr w14:val="tx1"/>
            </w14:solidFill>
          </w14:textFill>
        </w:rPr>
        <w:t>）m，取</w:t>
      </w:r>
      <w:r>
        <w:rPr>
          <w:rFonts w:hint="eastAsia" w:ascii="宋体" w:hAnsi="宋体"/>
          <w:color w:val="000000" w:themeColor="text1"/>
          <w:szCs w:val="28"/>
          <w14:textFill>
            <w14:solidFill>
              <w14:schemeClr w14:val="tx1"/>
            </w14:solidFill>
          </w14:textFill>
        </w:rPr>
        <w:t>4</w:t>
      </w:r>
      <w:r>
        <w:rPr>
          <w:rFonts w:ascii="宋体" w:hAnsi="宋体"/>
          <w:color w:val="000000" w:themeColor="text1"/>
          <w:szCs w:val="28"/>
          <w14:textFill>
            <w14:solidFill>
              <w14:schemeClr w14:val="tx1"/>
            </w14:solidFill>
          </w14:textFill>
        </w:rPr>
        <w:t>m；</w:t>
      </w:r>
    </w:p>
    <w:p w14:paraId="3D41BFB0">
      <w:pPr>
        <w:adjustRightInd w:val="0"/>
        <w:snapToGrid w:val="0"/>
        <w:ind w:firstLine="56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装药长度</w:t>
      </w:r>
      <w:bookmarkEnd w:id="1310"/>
      <w:bookmarkEnd w:id="1311"/>
      <w:bookmarkEnd w:id="1312"/>
    </w:p>
    <w:p w14:paraId="1E638673">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①孔</w:t>
      </w:r>
      <w:r>
        <w:rPr>
          <w:rFonts w:hint="eastAsia"/>
          <w:color w:val="000000" w:themeColor="text1"/>
          <w:szCs w:val="28"/>
          <w14:textFill>
            <w14:solidFill>
              <w14:schemeClr w14:val="tx1"/>
            </w14:solidFill>
          </w14:textFill>
        </w:rPr>
        <w:t>底</w:t>
      </w:r>
      <w:r>
        <w:rPr>
          <w:color w:val="000000" w:themeColor="text1"/>
          <w:szCs w:val="28"/>
          <w14:textFill>
            <w14:solidFill>
              <w14:schemeClr w14:val="tx1"/>
            </w14:solidFill>
          </w14:textFill>
        </w:rPr>
        <w:t>装药长度h</w:t>
      </w:r>
      <w:r>
        <w:rPr>
          <w:color w:val="000000" w:themeColor="text1"/>
          <w:szCs w:val="28"/>
          <w:vertAlign w:val="subscript"/>
          <w14:textFill>
            <w14:solidFill>
              <w14:schemeClr w14:val="tx1"/>
            </w14:solidFill>
          </w14:textFill>
        </w:rPr>
        <w:t>1</w:t>
      </w:r>
      <w:r>
        <w:rPr>
          <w:rFonts w:hint="eastAsia"/>
          <w:color w:val="000000" w:themeColor="text1"/>
          <w:szCs w:val="28"/>
          <w:vertAlign w:val="subscript"/>
          <w14:textFill>
            <w14:solidFill>
              <w14:schemeClr w14:val="tx1"/>
            </w14:solidFill>
          </w14:textFill>
        </w:rPr>
        <w:t>：</w:t>
      </w:r>
      <w:r>
        <w:rPr>
          <w:color w:val="000000" w:themeColor="text1"/>
          <w:szCs w:val="28"/>
          <w14:textFill>
            <w14:solidFill>
              <w14:schemeClr w14:val="tx1"/>
            </w14:solidFill>
          </w14:textFill>
        </w:rPr>
        <w:t>由于孔底岩石夹作用较大，预裂孔底部的1～2m范围内适当增加线装药量，本次孔</w:t>
      </w:r>
      <w:r>
        <w:rPr>
          <w:rFonts w:hint="eastAsia"/>
          <w:color w:val="000000" w:themeColor="text1"/>
          <w:szCs w:val="28"/>
          <w14:textFill>
            <w14:solidFill>
              <w14:schemeClr w14:val="tx1"/>
            </w14:solidFill>
          </w14:textFill>
        </w:rPr>
        <w:t>底</w:t>
      </w:r>
      <w:r>
        <w:rPr>
          <w:color w:val="000000" w:themeColor="text1"/>
          <w:szCs w:val="28"/>
          <w14:textFill>
            <w14:solidFill>
              <w14:schemeClr w14:val="tx1"/>
            </w14:solidFill>
          </w14:textFill>
        </w:rPr>
        <w:t>装药长度h</w:t>
      </w:r>
      <w:r>
        <w:rPr>
          <w:color w:val="000000" w:themeColor="text1"/>
          <w:szCs w:val="28"/>
          <w:vertAlign w:val="subscript"/>
          <w14:textFill>
            <w14:solidFill>
              <w14:schemeClr w14:val="tx1"/>
            </w14:solidFill>
          </w14:textFill>
        </w:rPr>
        <w:t>1</w:t>
      </w:r>
      <w:r>
        <w:rPr>
          <w:color w:val="000000" w:themeColor="text1"/>
          <w:szCs w:val="28"/>
          <w14:textFill>
            <w14:solidFill>
              <w14:schemeClr w14:val="tx1"/>
            </w14:solidFill>
          </w14:textFill>
        </w:rPr>
        <w:t>取2m。</w:t>
      </w:r>
    </w:p>
    <w:p w14:paraId="6B29B680">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②线装药长度L</w:t>
      </w:r>
      <w:r>
        <w:rPr>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w:t>
      </w:r>
      <w:bookmarkStart w:id="1313" w:name="_Toc16706"/>
      <w:bookmarkStart w:id="1314" w:name="_Toc27741"/>
      <w:bookmarkStart w:id="1315" w:name="_Toc29590"/>
      <w:r>
        <w:rPr>
          <w:color w:val="000000" w:themeColor="text1"/>
          <w:szCs w:val="28"/>
          <w14:textFill>
            <w14:solidFill>
              <w14:schemeClr w14:val="tx1"/>
            </w14:solidFill>
          </w14:textFill>
        </w:rPr>
        <w:t>装药长度L</w:t>
      </w:r>
      <w:r>
        <w:rPr>
          <w:color w:val="000000" w:themeColor="text1"/>
          <w:szCs w:val="28"/>
          <w:vertAlign w:val="subscript"/>
          <w14:textFill>
            <w14:solidFill>
              <w14:schemeClr w14:val="tx1"/>
            </w14:solidFill>
          </w14:textFill>
        </w:rPr>
        <w:t>1</w:t>
      </w:r>
      <w:r>
        <w:rPr>
          <w:color w:val="000000" w:themeColor="text1"/>
          <w:szCs w:val="28"/>
          <w14:textFill>
            <w14:solidFill>
              <w14:schemeClr w14:val="tx1"/>
            </w14:solidFill>
          </w14:textFill>
        </w:rPr>
        <w:t>取</w:t>
      </w:r>
      <w:r>
        <w:rPr>
          <w:rFonts w:hint="eastAsia"/>
          <w:color w:val="000000" w:themeColor="text1"/>
          <w:szCs w:val="28"/>
          <w14:textFill>
            <w14:solidFill>
              <w14:schemeClr w14:val="tx1"/>
            </w14:solidFill>
          </w14:textFill>
        </w:rPr>
        <w:t>13.5</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w:t>
      </w:r>
    </w:p>
    <w:p w14:paraId="3A4B4CB4">
      <w:pPr>
        <w:ind w:firstLine="560"/>
        <w:rPr>
          <w:rFonts w:hint="eastAsia" w:ascii="宋体" w:hAnsi="宋体"/>
          <w:color w:val="000000" w:themeColor="text1"/>
          <w:szCs w:val="28"/>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ascii="宋体" w:hAnsi="宋体"/>
          <w:color w:val="000000" w:themeColor="text1"/>
          <w:szCs w:val="28"/>
          <w14:textFill>
            <w14:solidFill>
              <w14:schemeClr w14:val="tx1"/>
            </w14:solidFill>
          </w14:textFill>
        </w:rPr>
        <w:t>线装药密度q</w:t>
      </w:r>
      <w:r>
        <w:rPr>
          <w:rFonts w:ascii="宋体" w:hAnsi="宋体"/>
          <w:color w:val="000000" w:themeColor="text1"/>
          <w:szCs w:val="28"/>
          <w:vertAlign w:val="subscript"/>
          <w14:textFill>
            <w14:solidFill>
              <w14:schemeClr w14:val="tx1"/>
            </w14:solidFill>
          </w14:textFill>
        </w:rPr>
        <w:t>线</w:t>
      </w:r>
      <w:bookmarkEnd w:id="1313"/>
      <w:bookmarkEnd w:id="1314"/>
      <w:bookmarkEnd w:id="1315"/>
      <w:r>
        <w:rPr>
          <w:rFonts w:ascii="宋体" w:hAnsi="宋体"/>
          <w:color w:val="000000" w:themeColor="text1"/>
          <w:szCs w:val="28"/>
          <w14:textFill>
            <w14:solidFill>
              <w14:schemeClr w14:val="tx1"/>
            </w14:solidFill>
          </w14:textFill>
        </w:rPr>
        <w:t>=0.78kg/m。</w:t>
      </w:r>
    </w:p>
    <w:p w14:paraId="75CA6722">
      <w:pPr>
        <w:ind w:firstLine="560"/>
        <w:rPr>
          <w:color w:val="000000" w:themeColor="text1"/>
          <w14:textFill>
            <w14:solidFill>
              <w14:schemeClr w14:val="tx1"/>
            </w14:solidFill>
          </w14:textFill>
        </w:rPr>
      </w:pPr>
      <w:bookmarkStart w:id="1316" w:name="_Toc27692"/>
      <w:bookmarkStart w:id="1317" w:name="_Toc27501"/>
      <w:bookmarkStart w:id="1318" w:name="_Toc10914"/>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）孔底线装药密度q</w:t>
      </w:r>
      <w:r>
        <w:rPr>
          <w:color w:val="000000" w:themeColor="text1"/>
          <w:vertAlign w:val="subscript"/>
          <w14:textFill>
            <w14:solidFill>
              <w14:schemeClr w14:val="tx1"/>
            </w14:solidFill>
          </w14:textFill>
        </w:rPr>
        <w:t>d线</w:t>
      </w:r>
      <w:bookmarkEnd w:id="1316"/>
      <w:bookmarkEnd w:id="1317"/>
      <w:bookmarkEnd w:id="1318"/>
    </w:p>
    <w:p w14:paraId="70E38A12">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由于孔底岩石夹作用较大，预裂孔底部的1～2m范围内适当增加线装药量，参考水电工程的经验，本次预裂爆破q</w:t>
      </w:r>
      <w:r>
        <w:rPr>
          <w:color w:val="000000" w:themeColor="text1"/>
          <w:szCs w:val="28"/>
          <w:vertAlign w:val="subscript"/>
          <w14:textFill>
            <w14:solidFill>
              <w14:schemeClr w14:val="tx1"/>
            </w14:solidFill>
          </w14:textFill>
        </w:rPr>
        <w:t>d线</w:t>
      </w:r>
      <w:r>
        <w:rPr>
          <w:color w:val="000000" w:themeColor="text1"/>
          <w:szCs w:val="28"/>
          <w14:textFill>
            <w14:solidFill>
              <w14:schemeClr w14:val="tx1"/>
            </w14:solidFill>
          </w14:textFill>
        </w:rPr>
        <w:t>=2×q</w:t>
      </w:r>
      <w:r>
        <w:rPr>
          <w:color w:val="000000" w:themeColor="text1"/>
          <w:szCs w:val="28"/>
          <w:vertAlign w:val="subscript"/>
          <w14:textFill>
            <w14:solidFill>
              <w14:schemeClr w14:val="tx1"/>
            </w14:solidFill>
          </w14:textFill>
        </w:rPr>
        <w:t>线</w:t>
      </w:r>
      <w:r>
        <w:rPr>
          <w:color w:val="000000" w:themeColor="text1"/>
          <w:szCs w:val="28"/>
          <w14:textFill>
            <w14:solidFill>
              <w14:schemeClr w14:val="tx1"/>
            </w14:solidFill>
          </w14:textFill>
        </w:rPr>
        <w:t>=1.5</w:t>
      </w: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kg/m。</w:t>
      </w:r>
    </w:p>
    <w:p w14:paraId="6434C528">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采用间接装药。按照设计的线装药量，首先用绑扎绳将导爆索和炸药均匀的绑扎于竹片上，底部根据加大线装药密度，以克服孔底岩石的夹制作用。然后将已绑扎炸药的竹片慢慢放入预裂炮孔中。</w:t>
      </w:r>
    </w:p>
    <w:p w14:paraId="577C69AB">
      <w:pPr>
        <w:ind w:firstLine="560"/>
        <w:rPr>
          <w:color w:val="000000" w:themeColor="text1"/>
          <w14:textFill>
            <w14:solidFill>
              <w14:schemeClr w14:val="tx1"/>
            </w14:solidFill>
          </w14:textFill>
        </w:rPr>
      </w:pPr>
      <w:bookmarkStart w:id="1319" w:name="_Toc26202"/>
      <w:bookmarkStart w:id="1320" w:name="_Toc3874"/>
      <w:bookmarkStart w:id="1321" w:name="_Toc19734"/>
      <w:r>
        <w:rPr>
          <w:rFonts w:hint="eastAsia"/>
          <w:color w:val="000000" w:themeColor="text1"/>
          <w14:textFill>
            <w14:solidFill>
              <w14:schemeClr w14:val="tx1"/>
            </w14:solidFill>
          </w14:textFill>
        </w:rPr>
        <w:t>（10）</w:t>
      </w:r>
      <w:bookmarkEnd w:id="1319"/>
      <w:bookmarkEnd w:id="1320"/>
      <w:bookmarkEnd w:id="1321"/>
      <w:r>
        <w:rPr>
          <w:color w:val="000000" w:themeColor="text1"/>
          <w:szCs w:val="28"/>
          <w14:textFill>
            <w14:solidFill>
              <w14:schemeClr w14:val="tx1"/>
            </w14:solidFill>
          </w14:textFill>
        </w:rPr>
        <w:t>单孔装药量Q</w:t>
      </w:r>
      <w:r>
        <w:rPr>
          <w:color w:val="000000" w:themeColor="text1"/>
          <w:szCs w:val="28"/>
          <w:vertAlign w:val="subscript"/>
          <w14:textFill>
            <w14:solidFill>
              <w14:schemeClr w14:val="tx1"/>
            </w14:solidFill>
          </w14:textFill>
        </w:rPr>
        <w:t>2（单孔）</w:t>
      </w:r>
      <w:r>
        <w:rPr>
          <w:rFonts w:hint="eastAsia"/>
          <w:color w:val="000000" w:themeColor="text1"/>
          <w:szCs w:val="28"/>
          <w:vertAlign w:val="subscript"/>
          <w14:textFill>
            <w14:solidFill>
              <w14:schemeClr w14:val="tx1"/>
            </w14:solidFill>
          </w14:textFill>
        </w:rPr>
        <w:t>：</w:t>
      </w:r>
    </w:p>
    <w:p w14:paraId="5AEEB2AA">
      <w:pPr>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Q</w:t>
      </w:r>
      <w:r>
        <w:rPr>
          <w:rFonts w:ascii="宋体" w:hAnsi="宋体"/>
          <w:color w:val="000000" w:themeColor="text1"/>
          <w:szCs w:val="28"/>
          <w:vertAlign w:val="subscript"/>
          <w14:textFill>
            <w14:solidFill>
              <w14:schemeClr w14:val="tx1"/>
            </w14:solidFill>
          </w14:textFill>
        </w:rPr>
        <w:t>2（单孔）</w:t>
      </w:r>
      <w:r>
        <w:rPr>
          <w:rFonts w:ascii="宋体" w:hAnsi="宋体"/>
          <w:color w:val="000000" w:themeColor="text1"/>
          <w:szCs w:val="28"/>
          <w14:textFill>
            <w14:solidFill>
              <w14:schemeClr w14:val="tx1"/>
            </w14:solidFill>
          </w14:textFill>
        </w:rPr>
        <w:t>≈</w:t>
      </w:r>
      <w:r>
        <w:rPr>
          <w:rFonts w:hint="eastAsia" w:ascii="宋体" w:hAnsi="宋体"/>
          <w:color w:val="000000" w:themeColor="text1"/>
          <w:szCs w:val="28"/>
          <w14:textFill>
            <w14:solidFill>
              <w14:schemeClr w14:val="tx1"/>
            </w14:solidFill>
          </w14:textFill>
        </w:rPr>
        <w:t>13.63</w:t>
      </w:r>
      <w:r>
        <w:rPr>
          <w:rFonts w:ascii="宋体" w:hAnsi="宋体"/>
          <w:color w:val="000000" w:themeColor="text1"/>
          <w:szCs w:val="28"/>
          <w14:textFill>
            <w14:solidFill>
              <w14:schemeClr w14:val="tx1"/>
            </w14:solidFill>
          </w14:textFill>
        </w:rPr>
        <w:t>kg</w:t>
      </w:r>
    </w:p>
    <w:p w14:paraId="12491308">
      <w:pPr>
        <w:adjustRightInd w:val="0"/>
        <w:snapToGrid w:val="0"/>
        <w:ind w:firstLine="560"/>
        <w:jc w:val="both"/>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 xml:space="preserve">   单位炸药消耗量计算q</w:t>
      </w:r>
      <w:bookmarkStart w:id="1322" w:name="_Toc23497"/>
      <w:bookmarkStart w:id="1323" w:name="_Toc5895"/>
      <w:bookmarkStart w:id="1324" w:name="_Toc11834"/>
      <w:r>
        <w:rPr>
          <w:rFonts w:hint="eastAsia" w:ascii="宋体" w:hAnsi="宋体"/>
          <w:color w:val="000000" w:themeColor="text1"/>
          <w:szCs w:val="28"/>
          <w14:textFill>
            <w14:solidFill>
              <w14:schemeClr w14:val="tx1"/>
            </w14:solidFill>
          </w14:textFill>
        </w:rPr>
        <w:t>：</w:t>
      </w:r>
    </w:p>
    <w:p w14:paraId="186BC345">
      <w:pPr>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q</w:t>
      </w:r>
      <w:r>
        <w:rPr>
          <w:rFonts w:ascii="宋体" w:hAnsi="宋体"/>
          <w:color w:val="000000" w:themeColor="text1"/>
          <w:szCs w:val="28"/>
          <w14:textFill>
            <w14:solidFill>
              <w14:schemeClr w14:val="tx1"/>
            </w14:solidFill>
          </w14:textFill>
        </w:rPr>
        <w:t>≈0.1</w:t>
      </w:r>
      <w:r>
        <w:rPr>
          <w:rFonts w:hint="eastAsia" w:ascii="宋体" w:hAnsi="宋体"/>
          <w:color w:val="000000" w:themeColor="text1"/>
          <w:szCs w:val="28"/>
          <w14:textFill>
            <w14:solidFill>
              <w14:schemeClr w14:val="tx1"/>
            </w14:solidFill>
          </w14:textFill>
        </w:rPr>
        <w:t>5</w:t>
      </w:r>
      <w:r>
        <w:rPr>
          <w:rFonts w:ascii="宋体" w:hAnsi="宋体"/>
          <w:color w:val="000000" w:themeColor="text1"/>
          <w:szCs w:val="28"/>
          <w14:textFill>
            <w14:solidFill>
              <w14:schemeClr w14:val="tx1"/>
            </w14:solidFill>
          </w14:textFill>
        </w:rPr>
        <w:t>kg/m³</w:t>
      </w:r>
    </w:p>
    <w:p w14:paraId="792EEBBB">
      <w:pPr>
        <w:adjustRightInd w:val="0"/>
        <w:snapToGrid w:val="0"/>
        <w:ind w:firstLine="560"/>
        <w:jc w:val="both"/>
        <w:rPr>
          <w:color w:val="000000" w:themeColor="text1"/>
          <w14:textFill>
            <w14:solidFill>
              <w14:schemeClr w14:val="tx1"/>
            </w14:solidFill>
          </w14:textFill>
        </w:rPr>
      </w:pPr>
      <w:r>
        <w:rPr>
          <w:color w:val="000000" w:themeColor="text1"/>
          <w14:textFill>
            <w14:solidFill>
              <w14:schemeClr w14:val="tx1"/>
            </w14:solidFill>
          </w14:textFill>
        </w:rPr>
        <w:t>靠帮作业（预裂爆破）参数汇总见下表</w:t>
      </w:r>
      <w:bookmarkEnd w:id="1322"/>
      <w:bookmarkEnd w:id="1323"/>
      <w:bookmarkEnd w:id="1324"/>
      <w:r>
        <w:rPr>
          <w:rFonts w:hint="eastAsia"/>
          <w:color w:val="000000" w:themeColor="text1"/>
          <w14:textFill>
            <w14:solidFill>
              <w14:schemeClr w14:val="tx1"/>
            </w14:solidFill>
          </w14:textFill>
        </w:rPr>
        <w:t>：</w:t>
      </w:r>
    </w:p>
    <w:p w14:paraId="18165195">
      <w:pPr>
        <w:pStyle w:val="64"/>
        <w:spacing w:before="120" w:after="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2.4-11</w:t>
      </w:r>
      <w:r>
        <w:rPr>
          <w:color w:val="000000" w:themeColor="text1"/>
          <w14:textFill>
            <w14:solidFill>
              <w14:schemeClr w14:val="tx1"/>
            </w14:solidFill>
          </w14:textFill>
        </w:rPr>
        <w:t xml:space="preserve">  靠帮作业（预裂爆破）参数表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0"/>
        <w:gridCol w:w="1753"/>
        <w:gridCol w:w="2402"/>
        <w:gridCol w:w="1929"/>
      </w:tblGrid>
      <w:tr w14:paraId="7A29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blHeader/>
          <w:jc w:val="center"/>
        </w:trPr>
        <w:tc>
          <w:tcPr>
            <w:tcW w:w="3090" w:type="dxa"/>
            <w:vAlign w:val="center"/>
          </w:tcPr>
          <w:p w14:paraId="2B44834B">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参数名称</w:t>
            </w:r>
          </w:p>
        </w:tc>
        <w:tc>
          <w:tcPr>
            <w:tcW w:w="1753" w:type="dxa"/>
            <w:vAlign w:val="center"/>
          </w:tcPr>
          <w:p w14:paraId="7E6D96A1">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单 位</w:t>
            </w:r>
          </w:p>
        </w:tc>
        <w:tc>
          <w:tcPr>
            <w:tcW w:w="2402" w:type="dxa"/>
            <w:vAlign w:val="center"/>
          </w:tcPr>
          <w:p w14:paraId="4D389C24">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数 值</w:t>
            </w:r>
          </w:p>
        </w:tc>
        <w:tc>
          <w:tcPr>
            <w:tcW w:w="1929" w:type="dxa"/>
            <w:vAlign w:val="center"/>
          </w:tcPr>
          <w:p w14:paraId="0FCB0273">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备注</w:t>
            </w:r>
          </w:p>
        </w:tc>
      </w:tr>
      <w:tr w14:paraId="6059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2A49600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孔径（d）</w:t>
            </w:r>
          </w:p>
        </w:tc>
        <w:tc>
          <w:tcPr>
            <w:tcW w:w="1753" w:type="dxa"/>
            <w:vAlign w:val="center"/>
          </w:tcPr>
          <w:p w14:paraId="5BF6C9E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mm</w:t>
            </w:r>
          </w:p>
        </w:tc>
        <w:tc>
          <w:tcPr>
            <w:tcW w:w="2402" w:type="dxa"/>
            <w:vAlign w:val="center"/>
          </w:tcPr>
          <w:p w14:paraId="25ADAF4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w:t>
            </w:r>
          </w:p>
        </w:tc>
        <w:tc>
          <w:tcPr>
            <w:tcW w:w="1929" w:type="dxa"/>
            <w:vAlign w:val="center"/>
          </w:tcPr>
          <w:p w14:paraId="132A7F14">
            <w:pPr>
              <w:ind w:firstLine="400"/>
              <w:jc w:val="center"/>
              <w:rPr>
                <w:rFonts w:hint="eastAsia" w:ascii="宋体" w:hAnsi="宋体" w:cs="宋体"/>
                <w:color w:val="000000" w:themeColor="text1"/>
                <w:sz w:val="20"/>
                <w14:textFill>
                  <w14:solidFill>
                    <w14:schemeClr w14:val="tx1"/>
                  </w14:solidFill>
                </w14:textFill>
              </w:rPr>
            </w:pPr>
          </w:p>
        </w:tc>
      </w:tr>
      <w:tr w14:paraId="7EA3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746EE8E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台阶高度（H）</w:t>
            </w:r>
          </w:p>
        </w:tc>
        <w:tc>
          <w:tcPr>
            <w:tcW w:w="1753" w:type="dxa"/>
            <w:vAlign w:val="center"/>
          </w:tcPr>
          <w:p w14:paraId="5DE9E9A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71B51F0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15</w:t>
            </w:r>
          </w:p>
        </w:tc>
        <w:tc>
          <w:tcPr>
            <w:tcW w:w="1929" w:type="dxa"/>
            <w:vAlign w:val="center"/>
          </w:tcPr>
          <w:p w14:paraId="4C734ED1">
            <w:pPr>
              <w:ind w:firstLine="400"/>
              <w:jc w:val="center"/>
              <w:rPr>
                <w:rFonts w:hint="eastAsia" w:ascii="宋体" w:hAnsi="宋体" w:cs="宋体"/>
                <w:color w:val="000000" w:themeColor="text1"/>
                <w:sz w:val="20"/>
                <w14:textFill>
                  <w14:solidFill>
                    <w14:schemeClr w14:val="tx1"/>
                  </w14:solidFill>
                </w14:textFill>
              </w:rPr>
            </w:pPr>
          </w:p>
        </w:tc>
      </w:tr>
      <w:tr w14:paraId="40A8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6165917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孔距（a）</w:t>
            </w:r>
          </w:p>
        </w:tc>
        <w:tc>
          <w:tcPr>
            <w:tcW w:w="1753" w:type="dxa"/>
            <w:vAlign w:val="center"/>
          </w:tcPr>
          <w:p w14:paraId="108B8EF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54F8DE7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w:t>
            </w:r>
          </w:p>
        </w:tc>
        <w:tc>
          <w:tcPr>
            <w:tcW w:w="1929" w:type="dxa"/>
            <w:vAlign w:val="center"/>
          </w:tcPr>
          <w:p w14:paraId="6A7C6129">
            <w:pPr>
              <w:ind w:firstLine="400"/>
              <w:jc w:val="center"/>
              <w:rPr>
                <w:rFonts w:hint="eastAsia" w:ascii="宋体" w:hAnsi="宋体" w:cs="宋体"/>
                <w:color w:val="000000" w:themeColor="text1"/>
                <w:sz w:val="20"/>
                <w14:textFill>
                  <w14:solidFill>
                    <w14:schemeClr w14:val="tx1"/>
                  </w14:solidFill>
                </w14:textFill>
              </w:rPr>
            </w:pPr>
          </w:p>
        </w:tc>
      </w:tr>
      <w:tr w14:paraId="115C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3090" w:type="dxa"/>
            <w:vAlign w:val="center"/>
          </w:tcPr>
          <w:p w14:paraId="150A9EC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排距（b）</w:t>
            </w:r>
          </w:p>
        </w:tc>
        <w:tc>
          <w:tcPr>
            <w:tcW w:w="1753" w:type="dxa"/>
            <w:vAlign w:val="center"/>
          </w:tcPr>
          <w:p w14:paraId="537AEA7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2D811EA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6.0</w:t>
            </w:r>
          </w:p>
        </w:tc>
        <w:tc>
          <w:tcPr>
            <w:tcW w:w="1929" w:type="dxa"/>
            <w:vAlign w:val="center"/>
          </w:tcPr>
          <w:p w14:paraId="4D820DEA">
            <w:pPr>
              <w:ind w:firstLine="400"/>
              <w:jc w:val="center"/>
              <w:rPr>
                <w:rFonts w:hint="eastAsia" w:ascii="宋体" w:hAnsi="宋体" w:cs="宋体"/>
                <w:color w:val="000000" w:themeColor="text1"/>
                <w:sz w:val="20"/>
                <w14:textFill>
                  <w14:solidFill>
                    <w14:schemeClr w14:val="tx1"/>
                  </w14:solidFill>
                </w14:textFill>
              </w:rPr>
            </w:pPr>
          </w:p>
        </w:tc>
      </w:tr>
      <w:tr w14:paraId="1892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296594B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线装药密度q</w:t>
            </w:r>
            <w:r>
              <w:rPr>
                <w:rFonts w:hint="eastAsia" w:ascii="宋体" w:hAnsi="宋体" w:cs="宋体"/>
                <w:color w:val="000000" w:themeColor="text1"/>
                <w:sz w:val="20"/>
                <w:vertAlign w:val="subscript"/>
                <w14:textFill>
                  <w14:solidFill>
                    <w14:schemeClr w14:val="tx1"/>
                  </w14:solidFill>
                </w14:textFill>
              </w:rPr>
              <w:t>线</w:t>
            </w:r>
          </w:p>
        </w:tc>
        <w:tc>
          <w:tcPr>
            <w:tcW w:w="1753" w:type="dxa"/>
            <w:vAlign w:val="center"/>
          </w:tcPr>
          <w:p w14:paraId="39083D6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kg/m</w:t>
            </w:r>
          </w:p>
        </w:tc>
        <w:tc>
          <w:tcPr>
            <w:tcW w:w="2402" w:type="dxa"/>
            <w:vAlign w:val="center"/>
          </w:tcPr>
          <w:p w14:paraId="0C276B7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0.78</w:t>
            </w:r>
          </w:p>
        </w:tc>
        <w:tc>
          <w:tcPr>
            <w:tcW w:w="1929" w:type="dxa"/>
            <w:vAlign w:val="center"/>
          </w:tcPr>
          <w:p w14:paraId="5F534531">
            <w:pPr>
              <w:ind w:firstLine="400"/>
              <w:jc w:val="center"/>
              <w:rPr>
                <w:rFonts w:hint="eastAsia" w:ascii="宋体" w:hAnsi="宋体" w:cs="宋体"/>
                <w:color w:val="000000" w:themeColor="text1"/>
                <w:sz w:val="20"/>
                <w14:textFill>
                  <w14:solidFill>
                    <w14:schemeClr w14:val="tx1"/>
                  </w14:solidFill>
                </w14:textFill>
              </w:rPr>
            </w:pPr>
          </w:p>
        </w:tc>
      </w:tr>
      <w:tr w14:paraId="3FC6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42324FC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孔底线装药密度q</w:t>
            </w:r>
            <w:r>
              <w:rPr>
                <w:rFonts w:hint="eastAsia" w:ascii="宋体" w:hAnsi="宋体" w:cs="宋体"/>
                <w:color w:val="000000" w:themeColor="text1"/>
                <w:sz w:val="20"/>
                <w:vertAlign w:val="subscript"/>
                <w14:textFill>
                  <w14:solidFill>
                    <w14:schemeClr w14:val="tx1"/>
                  </w14:solidFill>
                </w14:textFill>
              </w:rPr>
              <w:t>d线</w:t>
            </w:r>
          </w:p>
        </w:tc>
        <w:tc>
          <w:tcPr>
            <w:tcW w:w="1753" w:type="dxa"/>
            <w:vAlign w:val="center"/>
          </w:tcPr>
          <w:p w14:paraId="1F2BC18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kg/m</w:t>
            </w:r>
          </w:p>
        </w:tc>
        <w:tc>
          <w:tcPr>
            <w:tcW w:w="2402" w:type="dxa"/>
            <w:vAlign w:val="center"/>
          </w:tcPr>
          <w:p w14:paraId="6CABA33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1.55</w:t>
            </w:r>
          </w:p>
        </w:tc>
        <w:tc>
          <w:tcPr>
            <w:tcW w:w="1929" w:type="dxa"/>
            <w:vAlign w:val="center"/>
          </w:tcPr>
          <w:p w14:paraId="0FA17303">
            <w:pPr>
              <w:ind w:firstLine="400"/>
              <w:jc w:val="center"/>
              <w:rPr>
                <w:rFonts w:hint="eastAsia" w:ascii="宋体" w:hAnsi="宋体" w:cs="宋体"/>
                <w:color w:val="000000" w:themeColor="text1"/>
                <w:sz w:val="20"/>
                <w14:textFill>
                  <w14:solidFill>
                    <w14:schemeClr w14:val="tx1"/>
                  </w14:solidFill>
                </w14:textFill>
              </w:rPr>
            </w:pPr>
          </w:p>
        </w:tc>
      </w:tr>
      <w:tr w14:paraId="56AB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2A3A02B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炸药的单位消耗量</w:t>
            </w:r>
          </w:p>
        </w:tc>
        <w:tc>
          <w:tcPr>
            <w:tcW w:w="1753" w:type="dxa"/>
            <w:vAlign w:val="center"/>
          </w:tcPr>
          <w:p w14:paraId="0E85FB6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kg/m</w:t>
            </w:r>
            <w:r>
              <w:rPr>
                <w:rFonts w:hint="eastAsia" w:ascii="宋体" w:hAnsi="宋体" w:cs="宋体"/>
                <w:color w:val="000000" w:themeColor="text1"/>
                <w:sz w:val="20"/>
                <w:vertAlign w:val="superscript"/>
                <w14:textFill>
                  <w14:solidFill>
                    <w14:schemeClr w14:val="tx1"/>
                  </w14:solidFill>
                </w14:textFill>
              </w:rPr>
              <w:t>3</w:t>
            </w:r>
          </w:p>
        </w:tc>
        <w:tc>
          <w:tcPr>
            <w:tcW w:w="2402" w:type="dxa"/>
            <w:vAlign w:val="center"/>
          </w:tcPr>
          <w:p w14:paraId="450B1DC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0.15</w:t>
            </w:r>
          </w:p>
        </w:tc>
        <w:tc>
          <w:tcPr>
            <w:tcW w:w="1929" w:type="dxa"/>
            <w:vAlign w:val="center"/>
          </w:tcPr>
          <w:p w14:paraId="56820FF7">
            <w:pPr>
              <w:ind w:firstLine="400"/>
              <w:jc w:val="center"/>
              <w:rPr>
                <w:rFonts w:hint="eastAsia" w:ascii="宋体" w:hAnsi="宋体" w:cs="宋体"/>
                <w:color w:val="000000" w:themeColor="text1"/>
                <w:sz w:val="20"/>
                <w14:textFill>
                  <w14:solidFill>
                    <w14:schemeClr w14:val="tx1"/>
                  </w14:solidFill>
                </w14:textFill>
              </w:rPr>
            </w:pPr>
          </w:p>
        </w:tc>
      </w:tr>
      <w:tr w14:paraId="242B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093B34C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孔深（L）</w:t>
            </w:r>
          </w:p>
        </w:tc>
        <w:tc>
          <w:tcPr>
            <w:tcW w:w="1753" w:type="dxa"/>
            <w:vAlign w:val="center"/>
          </w:tcPr>
          <w:p w14:paraId="3F6570B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31A1166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17.5</w:t>
            </w:r>
          </w:p>
        </w:tc>
        <w:tc>
          <w:tcPr>
            <w:tcW w:w="1929" w:type="dxa"/>
            <w:vAlign w:val="center"/>
          </w:tcPr>
          <w:p w14:paraId="0BE67BE4">
            <w:pPr>
              <w:ind w:firstLine="400"/>
              <w:jc w:val="center"/>
              <w:rPr>
                <w:rFonts w:hint="eastAsia" w:ascii="宋体" w:hAnsi="宋体" w:cs="宋体"/>
                <w:color w:val="000000" w:themeColor="text1"/>
                <w:sz w:val="20"/>
                <w14:textFill>
                  <w14:solidFill>
                    <w14:schemeClr w14:val="tx1"/>
                  </w14:solidFill>
                </w14:textFill>
              </w:rPr>
            </w:pPr>
          </w:p>
        </w:tc>
      </w:tr>
      <w:tr w14:paraId="1746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35A4FD5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单孔装药量（Q</w:t>
            </w:r>
            <w:r>
              <w:rPr>
                <w:rFonts w:hint="eastAsia" w:ascii="宋体" w:hAnsi="宋体" w:cs="宋体"/>
                <w:color w:val="000000" w:themeColor="text1"/>
                <w:sz w:val="20"/>
                <w:vertAlign w:val="subscript"/>
                <w14:textFill>
                  <w14:solidFill>
                    <w14:schemeClr w14:val="tx1"/>
                  </w14:solidFill>
                </w14:textFill>
              </w:rPr>
              <w:t>2（单孔</w:t>
            </w:r>
            <w:r>
              <w:rPr>
                <w:rFonts w:hint="eastAsia" w:ascii="宋体" w:hAnsi="宋体" w:cs="宋体"/>
                <w:color w:val="000000" w:themeColor="text1"/>
                <w:sz w:val="20"/>
                <w14:textFill>
                  <w14:solidFill>
                    <w14:schemeClr w14:val="tx1"/>
                  </w14:solidFill>
                </w14:textFill>
              </w:rPr>
              <w:t>））</w:t>
            </w:r>
          </w:p>
        </w:tc>
        <w:tc>
          <w:tcPr>
            <w:tcW w:w="1753" w:type="dxa"/>
            <w:vAlign w:val="center"/>
          </w:tcPr>
          <w:p w14:paraId="1597A31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kg</w:t>
            </w:r>
          </w:p>
        </w:tc>
        <w:tc>
          <w:tcPr>
            <w:tcW w:w="2402" w:type="dxa"/>
            <w:vAlign w:val="center"/>
          </w:tcPr>
          <w:p w14:paraId="75584A7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13.63</w:t>
            </w:r>
          </w:p>
        </w:tc>
        <w:tc>
          <w:tcPr>
            <w:tcW w:w="1929" w:type="dxa"/>
            <w:vAlign w:val="center"/>
          </w:tcPr>
          <w:p w14:paraId="572DE8BC">
            <w:pPr>
              <w:ind w:firstLine="400"/>
              <w:jc w:val="center"/>
              <w:rPr>
                <w:rFonts w:hint="eastAsia" w:ascii="宋体" w:hAnsi="宋体" w:cs="宋体"/>
                <w:color w:val="000000" w:themeColor="text1"/>
                <w:sz w:val="20"/>
                <w14:textFill>
                  <w14:solidFill>
                    <w14:schemeClr w14:val="tx1"/>
                  </w14:solidFill>
                </w14:textFill>
              </w:rPr>
            </w:pPr>
          </w:p>
        </w:tc>
      </w:tr>
      <w:tr w14:paraId="3A74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00F691F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线装药长度（L</w:t>
            </w:r>
            <w:r>
              <w:rPr>
                <w:rFonts w:hint="eastAsia" w:ascii="宋体" w:hAnsi="宋体" w:cs="宋体"/>
                <w:color w:val="000000" w:themeColor="text1"/>
                <w:sz w:val="20"/>
                <w:vertAlign w:val="subscript"/>
                <w14:textFill>
                  <w14:solidFill>
                    <w14:schemeClr w14:val="tx1"/>
                  </w14:solidFill>
                </w14:textFill>
              </w:rPr>
              <w:t>1</w:t>
            </w:r>
            <w:r>
              <w:rPr>
                <w:rFonts w:hint="eastAsia" w:ascii="宋体" w:hAnsi="宋体" w:cs="宋体"/>
                <w:color w:val="000000" w:themeColor="text1"/>
                <w:sz w:val="20"/>
                <w14:textFill>
                  <w14:solidFill>
                    <w14:schemeClr w14:val="tx1"/>
                  </w14:solidFill>
                </w14:textFill>
              </w:rPr>
              <w:t>）</w:t>
            </w:r>
          </w:p>
        </w:tc>
        <w:tc>
          <w:tcPr>
            <w:tcW w:w="1753" w:type="dxa"/>
            <w:vAlign w:val="center"/>
          </w:tcPr>
          <w:p w14:paraId="0E4A181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4B8A9A5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13.6</w:t>
            </w:r>
          </w:p>
        </w:tc>
        <w:tc>
          <w:tcPr>
            <w:tcW w:w="1929" w:type="dxa"/>
            <w:vAlign w:val="center"/>
          </w:tcPr>
          <w:p w14:paraId="1F4F2614">
            <w:pPr>
              <w:ind w:firstLine="400"/>
              <w:jc w:val="center"/>
              <w:rPr>
                <w:rFonts w:hint="eastAsia" w:ascii="宋体" w:hAnsi="宋体" w:cs="宋体"/>
                <w:color w:val="000000" w:themeColor="text1"/>
                <w:sz w:val="20"/>
                <w14:textFill>
                  <w14:solidFill>
                    <w14:schemeClr w14:val="tx1"/>
                  </w14:solidFill>
                </w14:textFill>
              </w:rPr>
            </w:pPr>
          </w:p>
        </w:tc>
      </w:tr>
      <w:tr w14:paraId="3141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2364A03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孔底线装药长度（h1）</w:t>
            </w:r>
          </w:p>
        </w:tc>
        <w:tc>
          <w:tcPr>
            <w:tcW w:w="1753" w:type="dxa"/>
            <w:vAlign w:val="center"/>
          </w:tcPr>
          <w:p w14:paraId="6663693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0EC78FB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2.0</w:t>
            </w:r>
          </w:p>
        </w:tc>
        <w:tc>
          <w:tcPr>
            <w:tcW w:w="1929" w:type="dxa"/>
            <w:vAlign w:val="center"/>
          </w:tcPr>
          <w:p w14:paraId="18E200B5">
            <w:pPr>
              <w:ind w:firstLine="400"/>
              <w:jc w:val="center"/>
              <w:rPr>
                <w:rFonts w:hint="eastAsia" w:ascii="宋体" w:hAnsi="宋体" w:cs="宋体"/>
                <w:color w:val="000000" w:themeColor="text1"/>
                <w:sz w:val="20"/>
                <w14:textFill>
                  <w14:solidFill>
                    <w14:schemeClr w14:val="tx1"/>
                  </w14:solidFill>
                </w14:textFill>
              </w:rPr>
            </w:pPr>
          </w:p>
        </w:tc>
      </w:tr>
      <w:tr w14:paraId="16AF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3090" w:type="dxa"/>
            <w:vAlign w:val="center"/>
          </w:tcPr>
          <w:p w14:paraId="4614C75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填塞长度（L</w:t>
            </w:r>
            <w:r>
              <w:rPr>
                <w:rFonts w:hint="eastAsia" w:ascii="宋体" w:hAnsi="宋体" w:cs="宋体"/>
                <w:color w:val="000000" w:themeColor="text1"/>
                <w:sz w:val="20"/>
                <w:vertAlign w:val="subscript"/>
                <w14:textFill>
                  <w14:solidFill>
                    <w14:schemeClr w14:val="tx1"/>
                  </w14:solidFill>
                </w14:textFill>
              </w:rPr>
              <w:t>2</w:t>
            </w:r>
            <w:r>
              <w:rPr>
                <w:rFonts w:hint="eastAsia" w:ascii="宋体" w:hAnsi="宋体" w:cs="宋体"/>
                <w:color w:val="000000" w:themeColor="text1"/>
                <w:sz w:val="20"/>
                <w14:textFill>
                  <w14:solidFill>
                    <w14:schemeClr w14:val="tx1"/>
                  </w14:solidFill>
                </w14:textFill>
              </w:rPr>
              <w:t>）</w:t>
            </w:r>
          </w:p>
        </w:tc>
        <w:tc>
          <w:tcPr>
            <w:tcW w:w="1753" w:type="dxa"/>
            <w:vAlign w:val="center"/>
          </w:tcPr>
          <w:p w14:paraId="262F15C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2402" w:type="dxa"/>
            <w:vAlign w:val="center"/>
          </w:tcPr>
          <w:p w14:paraId="7762C18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4</w:t>
            </w:r>
          </w:p>
        </w:tc>
        <w:tc>
          <w:tcPr>
            <w:tcW w:w="1929" w:type="dxa"/>
            <w:vAlign w:val="center"/>
          </w:tcPr>
          <w:p w14:paraId="22A7B3F6">
            <w:pPr>
              <w:ind w:firstLine="400"/>
              <w:jc w:val="center"/>
              <w:rPr>
                <w:rFonts w:hint="eastAsia" w:ascii="宋体" w:hAnsi="宋体" w:cs="宋体"/>
                <w:color w:val="000000" w:themeColor="text1"/>
                <w:sz w:val="20"/>
                <w14:textFill>
                  <w14:solidFill>
                    <w14:schemeClr w14:val="tx1"/>
                  </w14:solidFill>
                </w14:textFill>
              </w:rPr>
            </w:pPr>
          </w:p>
        </w:tc>
      </w:tr>
      <w:tr w14:paraId="5635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jc w:val="center"/>
        </w:trPr>
        <w:tc>
          <w:tcPr>
            <w:tcW w:w="3090" w:type="dxa"/>
            <w:vAlign w:val="center"/>
          </w:tcPr>
          <w:p w14:paraId="6A0D836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炮孔角度（α）</w:t>
            </w:r>
          </w:p>
        </w:tc>
        <w:tc>
          <w:tcPr>
            <w:tcW w:w="1753" w:type="dxa"/>
            <w:vAlign w:val="center"/>
          </w:tcPr>
          <w:p w14:paraId="23760EE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º</w:t>
            </w:r>
          </w:p>
        </w:tc>
        <w:tc>
          <w:tcPr>
            <w:tcW w:w="2402" w:type="dxa"/>
            <w:vAlign w:val="center"/>
          </w:tcPr>
          <w:p w14:paraId="0326BEF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65</w:t>
            </w:r>
          </w:p>
        </w:tc>
        <w:tc>
          <w:tcPr>
            <w:tcW w:w="1929" w:type="dxa"/>
            <w:vAlign w:val="center"/>
          </w:tcPr>
          <w:p w14:paraId="0079A82F">
            <w:pPr>
              <w:ind w:firstLine="400"/>
              <w:jc w:val="center"/>
              <w:rPr>
                <w:rFonts w:hint="eastAsia" w:ascii="宋体" w:hAnsi="宋体" w:cs="宋体"/>
                <w:color w:val="000000" w:themeColor="text1"/>
                <w:sz w:val="20"/>
                <w14:textFill>
                  <w14:solidFill>
                    <w14:schemeClr w14:val="tx1"/>
                  </w14:solidFill>
                </w14:textFill>
              </w:rPr>
            </w:pPr>
          </w:p>
        </w:tc>
      </w:tr>
    </w:tbl>
    <w:p w14:paraId="6A6D7C9A">
      <w:pPr>
        <w:pStyle w:val="6"/>
        <w:spacing w:before="120" w:after="120"/>
        <w:rPr>
          <w:color w:val="000000" w:themeColor="text1"/>
          <w14:textFill>
            <w14:solidFill>
              <w14:schemeClr w14:val="tx1"/>
            </w14:solidFill>
          </w14:textFill>
        </w:rPr>
      </w:pPr>
      <w:bookmarkStart w:id="1325" w:name="_Toc16182"/>
      <w:bookmarkStart w:id="1326" w:name="_Toc24754"/>
      <w:bookmarkStart w:id="1327" w:name="_Toc29261"/>
      <w:bookmarkStart w:id="1328" w:name="_Toc26314"/>
      <w:bookmarkStart w:id="1329" w:name="_Toc215070202"/>
      <w:bookmarkStart w:id="1330" w:name="_Toc24217"/>
      <w:bookmarkStart w:id="1331" w:name="_Toc7080"/>
      <w:bookmarkStart w:id="1332" w:name="_Toc6042"/>
      <w:r>
        <w:rPr>
          <w:rFonts w:hint="eastAsia"/>
          <w:color w:val="000000" w:themeColor="text1"/>
          <w14:textFill>
            <w14:solidFill>
              <w14:schemeClr w14:val="tx1"/>
            </w14:solidFill>
          </w14:textFill>
        </w:rPr>
        <w:t>2.4.6.5</w:t>
      </w:r>
      <w:r>
        <w:rPr>
          <w:color w:val="000000" w:themeColor="text1"/>
          <w14:textFill>
            <w14:solidFill>
              <w14:schemeClr w14:val="tx1"/>
            </w14:solidFill>
          </w14:textFill>
        </w:rPr>
        <w:t>二次爆破</w:t>
      </w:r>
      <w:bookmarkEnd w:id="1325"/>
      <w:bookmarkEnd w:id="1326"/>
      <w:bookmarkEnd w:id="1327"/>
      <w:bookmarkEnd w:id="1328"/>
      <w:bookmarkEnd w:id="1329"/>
      <w:bookmarkEnd w:id="1330"/>
      <w:bookmarkEnd w:id="1331"/>
      <w:bookmarkEnd w:id="1332"/>
    </w:p>
    <w:p w14:paraId="05521057">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根据本矿矿岩条件，参照国内同类矿山爆破效果，</w:t>
      </w:r>
      <w:r>
        <w:rPr>
          <w:rFonts w:hint="eastAsia"/>
          <w:color w:val="000000" w:themeColor="text1"/>
          <w:szCs w:val="28"/>
          <w14:textFill>
            <w14:solidFill>
              <w14:schemeClr w14:val="tx1"/>
            </w14:solidFill>
          </w14:textFill>
        </w:rPr>
        <w:t>矿山</w:t>
      </w:r>
      <w:r>
        <w:rPr>
          <w:color w:val="000000" w:themeColor="text1"/>
          <w:szCs w:val="28"/>
          <w14:textFill>
            <w14:solidFill>
              <w14:schemeClr w14:val="tx1"/>
            </w14:solidFill>
          </w14:textFill>
        </w:rPr>
        <w:t>不进行二次爆破，大块矿岩采用破碎锤进行处理。</w:t>
      </w:r>
    </w:p>
    <w:p w14:paraId="38499EC4">
      <w:pPr>
        <w:pStyle w:val="6"/>
        <w:spacing w:before="120" w:after="120"/>
        <w:rPr>
          <w:color w:val="000000" w:themeColor="text1"/>
          <w14:textFill>
            <w14:solidFill>
              <w14:schemeClr w14:val="tx1"/>
            </w14:solidFill>
          </w14:textFill>
        </w:rPr>
      </w:pPr>
      <w:bookmarkStart w:id="1333" w:name="_Toc11619"/>
      <w:bookmarkStart w:id="1334" w:name="_Toc8748"/>
      <w:bookmarkStart w:id="1335" w:name="_Toc14586"/>
      <w:bookmarkStart w:id="1336" w:name="_Toc22207"/>
      <w:bookmarkStart w:id="1337" w:name="_Toc9910"/>
      <w:bookmarkStart w:id="1338" w:name="_Toc17069"/>
      <w:bookmarkStart w:id="1339" w:name="_Toc215070203"/>
      <w:bookmarkStart w:id="1340" w:name="_Toc22383"/>
      <w:r>
        <w:rPr>
          <w:rFonts w:hint="eastAsia"/>
          <w:color w:val="000000" w:themeColor="text1"/>
          <w14:textFill>
            <w14:solidFill>
              <w14:schemeClr w14:val="tx1"/>
            </w14:solidFill>
          </w14:textFill>
        </w:rPr>
        <w:t>2.4.6.6</w:t>
      </w:r>
      <w:r>
        <w:rPr>
          <w:color w:val="000000" w:themeColor="text1"/>
          <w14:textFill>
            <w14:solidFill>
              <w14:schemeClr w14:val="tx1"/>
            </w14:solidFill>
          </w14:textFill>
        </w:rPr>
        <w:t>一次爆破最大装药量</w:t>
      </w:r>
      <w:bookmarkEnd w:id="1333"/>
      <w:bookmarkEnd w:id="1334"/>
      <w:bookmarkEnd w:id="1335"/>
      <w:bookmarkEnd w:id="1336"/>
      <w:bookmarkEnd w:id="1337"/>
      <w:bookmarkEnd w:id="1338"/>
      <w:bookmarkEnd w:id="1339"/>
      <w:bookmarkEnd w:id="1340"/>
    </w:p>
    <w:p w14:paraId="7B5C91C7">
      <w:pPr>
        <w:ind w:firstLine="560"/>
        <w:rPr>
          <w:rFonts w:hint="eastAsia" w:ascii="宋体" w:hAnsi="宋体"/>
          <w:color w:val="000000" w:themeColor="text1"/>
          <w:szCs w:val="28"/>
          <w14:textFill>
            <w14:solidFill>
              <w14:schemeClr w14:val="tx1"/>
            </w14:solidFill>
          </w14:textFill>
        </w:rPr>
      </w:pPr>
      <w:bookmarkStart w:id="1341" w:name="_Toc25855"/>
      <w:bookmarkStart w:id="1342" w:name="_Toc11497"/>
      <w:bookmarkStart w:id="1343" w:name="_Toc19932"/>
      <w:bookmarkStart w:id="1344" w:name="_Toc4112"/>
      <w:bookmarkStart w:id="1345" w:name="_Toc19450"/>
      <w:bookmarkStart w:id="1346" w:name="_Toc5987"/>
      <w:bookmarkStart w:id="1347" w:name="_Toc24404"/>
      <w:r>
        <w:rPr>
          <w:rFonts w:ascii="宋体" w:hAnsi="宋体"/>
          <w:color w:val="000000" w:themeColor="text1"/>
          <w:szCs w:val="28"/>
          <w14:textFill>
            <w14:solidFill>
              <w14:schemeClr w14:val="tx1"/>
            </w14:solidFill>
          </w14:textFill>
        </w:rPr>
        <w:t>采用</w:t>
      </w:r>
      <w:r>
        <w:rPr>
          <w:rFonts w:hint="eastAsia" w:ascii="宋体" w:hAnsi="宋体"/>
          <w:color w:val="000000" w:themeColor="text1"/>
          <w:szCs w:val="28"/>
          <w14:textFill>
            <w14:solidFill>
              <w14:schemeClr w14:val="tx1"/>
            </w14:solidFill>
          </w14:textFill>
        </w:rPr>
        <w:t>垂直</w:t>
      </w:r>
      <w:r>
        <w:rPr>
          <w:rFonts w:ascii="宋体" w:hAnsi="宋体"/>
          <w:color w:val="000000" w:themeColor="text1"/>
          <w:szCs w:val="28"/>
          <w14:textFill>
            <w14:solidFill>
              <w14:schemeClr w14:val="tx1"/>
            </w14:solidFill>
          </w14:textFill>
        </w:rPr>
        <w:t>向下孔布置，地表层倾斜75°打孔，靠近边坡时从地表层倾斜</w:t>
      </w:r>
      <w:r>
        <w:rPr>
          <w:rFonts w:hint="eastAsia" w:ascii="宋体" w:hAnsi="宋体"/>
          <w:color w:val="000000" w:themeColor="text1"/>
          <w:szCs w:val="28"/>
          <w14:textFill>
            <w14:solidFill>
              <w14:schemeClr w14:val="tx1"/>
            </w14:solidFill>
          </w14:textFill>
        </w:rPr>
        <w:t>65</w:t>
      </w:r>
      <w:r>
        <w:rPr>
          <w:rFonts w:ascii="宋体" w:hAnsi="宋体"/>
          <w:color w:val="000000" w:themeColor="text1"/>
          <w:szCs w:val="28"/>
          <w14:textFill>
            <w14:solidFill>
              <w14:schemeClr w14:val="tx1"/>
            </w14:solidFill>
          </w14:textFill>
        </w:rPr>
        <w:t>°打孔。根据</w:t>
      </w:r>
      <w:r>
        <w:rPr>
          <w:rFonts w:hint="eastAsia" w:ascii="宋体" w:hAnsi="宋体"/>
          <w:color w:val="000000" w:themeColor="text1"/>
          <w:szCs w:val="28"/>
          <w14:textFill>
            <w14:solidFill>
              <w14:schemeClr w14:val="tx1"/>
            </w14:solidFill>
          </w14:textFill>
        </w:rPr>
        <w:t>每天生产量1667t，每次爆破7天生产量（11669t），每孔780t，需一次爆破15个孔，</w:t>
      </w:r>
      <w:r>
        <w:rPr>
          <w:rFonts w:ascii="宋体" w:hAnsi="宋体"/>
          <w:color w:val="000000" w:themeColor="text1"/>
          <w:szCs w:val="28"/>
          <w14:textFill>
            <w14:solidFill>
              <w14:schemeClr w14:val="tx1"/>
            </w14:solidFill>
          </w14:textFill>
        </w:rPr>
        <w:t>一次爆破最大装药量为</w:t>
      </w:r>
      <w:r>
        <w:rPr>
          <w:rFonts w:hint="eastAsia" w:ascii="宋体" w:hAnsi="宋体"/>
          <w:color w:val="000000" w:themeColor="text1"/>
          <w:szCs w:val="28"/>
          <w14:textFill>
            <w14:solidFill>
              <w14:schemeClr w14:val="tx1"/>
            </w14:solidFill>
          </w14:textFill>
        </w:rPr>
        <w:t>15</w:t>
      </w:r>
      <w:r>
        <w:rPr>
          <w:rFonts w:ascii="宋体" w:hAnsi="宋体"/>
          <w:color w:val="000000" w:themeColor="text1"/>
          <w:szCs w:val="28"/>
          <w14:textFill>
            <w14:solidFill>
              <w14:schemeClr w14:val="tx1"/>
            </w14:solidFill>
          </w14:textFill>
        </w:rPr>
        <w:t>×</w:t>
      </w:r>
      <w:r>
        <w:rPr>
          <w:rFonts w:hint="eastAsia" w:ascii="宋体" w:hAnsi="宋体"/>
          <w:color w:val="000000" w:themeColor="text1"/>
          <w:szCs w:val="28"/>
          <w14:textFill>
            <w14:solidFill>
              <w14:schemeClr w14:val="tx1"/>
            </w14:solidFill>
          </w14:textFill>
        </w:rPr>
        <w:t>63</w:t>
      </w:r>
      <w:r>
        <w:rPr>
          <w:rFonts w:ascii="宋体" w:hAnsi="宋体"/>
          <w:color w:val="000000" w:themeColor="text1"/>
          <w:szCs w:val="28"/>
          <w14:textFill>
            <w14:solidFill>
              <w14:schemeClr w14:val="tx1"/>
            </w14:solidFill>
          </w14:textFill>
        </w:rPr>
        <w:t>kg=</w:t>
      </w:r>
      <w:r>
        <w:rPr>
          <w:rFonts w:hint="eastAsia" w:ascii="宋体" w:hAnsi="宋体"/>
          <w:color w:val="000000" w:themeColor="text1"/>
          <w:szCs w:val="28"/>
          <w14:textFill>
            <w14:solidFill>
              <w14:schemeClr w14:val="tx1"/>
            </w14:solidFill>
          </w14:textFill>
        </w:rPr>
        <w:t>954</w:t>
      </w:r>
      <w:r>
        <w:rPr>
          <w:rFonts w:ascii="宋体" w:hAnsi="宋体"/>
          <w:color w:val="000000" w:themeColor="text1"/>
          <w:szCs w:val="28"/>
          <w14:textFill>
            <w14:solidFill>
              <w14:schemeClr w14:val="tx1"/>
            </w14:solidFill>
          </w14:textFill>
        </w:rPr>
        <w:t>kg。</w:t>
      </w:r>
    </w:p>
    <w:p w14:paraId="2951718F">
      <w:pPr>
        <w:pStyle w:val="6"/>
        <w:spacing w:before="120" w:after="120"/>
        <w:rPr>
          <w:color w:val="000000" w:themeColor="text1"/>
          <w14:textFill>
            <w14:solidFill>
              <w14:schemeClr w14:val="tx1"/>
            </w14:solidFill>
          </w14:textFill>
        </w:rPr>
      </w:pPr>
      <w:bookmarkStart w:id="1348" w:name="_Toc215070204"/>
      <w:r>
        <w:rPr>
          <w:rFonts w:hint="eastAsia"/>
          <w:color w:val="000000" w:themeColor="text1"/>
          <w14:textFill>
            <w14:solidFill>
              <w14:schemeClr w14:val="tx1"/>
            </w14:solidFill>
          </w14:textFill>
        </w:rPr>
        <w:t>2.4.6.7</w:t>
      </w:r>
      <w:r>
        <w:rPr>
          <w:color w:val="000000" w:themeColor="text1"/>
          <w14:textFill>
            <w14:solidFill>
              <w14:schemeClr w14:val="tx1"/>
            </w14:solidFill>
          </w14:textFill>
        </w:rPr>
        <w:t>爆破材料选择</w:t>
      </w:r>
      <w:bookmarkEnd w:id="1341"/>
      <w:bookmarkEnd w:id="1342"/>
      <w:bookmarkEnd w:id="1343"/>
      <w:bookmarkEnd w:id="1344"/>
      <w:bookmarkEnd w:id="1345"/>
      <w:bookmarkEnd w:id="1346"/>
      <w:bookmarkEnd w:id="1347"/>
      <w:bookmarkEnd w:id="1348"/>
    </w:p>
    <w:p w14:paraId="347E54F0">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因该矿山为露天土岩爆破，对爆破方式及爆破材料要求不严格，故选择爆破材料为2</w:t>
      </w:r>
      <w:r>
        <w:rPr>
          <w:color w:val="000000" w:themeColor="text1"/>
          <w:szCs w:val="28"/>
          <w:vertAlign w:val="superscript"/>
          <w14:textFill>
            <w14:solidFill>
              <w14:schemeClr w14:val="tx1"/>
            </w14:solidFill>
          </w14:textFill>
        </w:rPr>
        <w:t>#</w:t>
      </w:r>
      <w:r>
        <w:rPr>
          <w:color w:val="000000" w:themeColor="text1"/>
          <w:szCs w:val="28"/>
          <w14:textFill>
            <w14:solidFill>
              <w14:schemeClr w14:val="tx1"/>
            </w14:solidFill>
          </w14:textFill>
        </w:rPr>
        <w:t>岩石乳化炸药、数码电子雷管。</w:t>
      </w:r>
    </w:p>
    <w:p w14:paraId="6D8D5ACB">
      <w:pPr>
        <w:pStyle w:val="6"/>
        <w:spacing w:before="120" w:after="120"/>
        <w:rPr>
          <w:color w:val="000000" w:themeColor="text1"/>
          <w14:textFill>
            <w14:solidFill>
              <w14:schemeClr w14:val="tx1"/>
            </w14:solidFill>
          </w14:textFill>
        </w:rPr>
      </w:pPr>
      <w:bookmarkStart w:id="1349" w:name="_Toc1485"/>
      <w:bookmarkStart w:id="1350" w:name="_Toc28229"/>
      <w:bookmarkStart w:id="1351" w:name="_Toc9649"/>
      <w:bookmarkStart w:id="1352" w:name="_Toc18934"/>
      <w:bookmarkStart w:id="1353" w:name="_Toc215070205"/>
      <w:bookmarkStart w:id="1354" w:name="_Toc5736"/>
      <w:bookmarkStart w:id="1355" w:name="_Toc816"/>
      <w:bookmarkStart w:id="1356" w:name="_Toc4184"/>
      <w:r>
        <w:rPr>
          <w:rFonts w:hint="eastAsia"/>
          <w:color w:val="000000" w:themeColor="text1"/>
          <w14:textFill>
            <w14:solidFill>
              <w14:schemeClr w14:val="tx1"/>
            </w14:solidFill>
          </w14:textFill>
        </w:rPr>
        <w:t>2.4.6.8</w:t>
      </w:r>
      <w:r>
        <w:rPr>
          <w:color w:val="000000" w:themeColor="text1"/>
          <w14:textFill>
            <w14:solidFill>
              <w14:schemeClr w14:val="tx1"/>
            </w14:solidFill>
          </w14:textFill>
        </w:rPr>
        <w:t>爆破作业参数汇总</w:t>
      </w:r>
      <w:bookmarkEnd w:id="1349"/>
      <w:bookmarkEnd w:id="1350"/>
      <w:bookmarkEnd w:id="1351"/>
      <w:bookmarkEnd w:id="1352"/>
      <w:bookmarkEnd w:id="1353"/>
      <w:bookmarkEnd w:id="1354"/>
      <w:bookmarkEnd w:id="1355"/>
      <w:bookmarkEnd w:id="1356"/>
    </w:p>
    <w:p w14:paraId="62E11541">
      <w:pPr>
        <w:pStyle w:val="64"/>
        <w:spacing w:before="120" w:after="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2.4-12</w:t>
      </w:r>
      <w:r>
        <w:rPr>
          <w:color w:val="000000" w:themeColor="text1"/>
          <w14:textFill>
            <w14:solidFill>
              <w14:schemeClr w14:val="tx1"/>
            </w14:solidFill>
          </w14:textFill>
        </w:rPr>
        <w:t xml:space="preserve">  爆破作业参数表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1931"/>
        <w:gridCol w:w="2608"/>
        <w:gridCol w:w="1546"/>
      </w:tblGrid>
      <w:tr w14:paraId="5CC4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3089" w:type="dxa"/>
            <w:vAlign w:val="center"/>
          </w:tcPr>
          <w:p w14:paraId="6FF95406">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参数名称</w:t>
            </w:r>
          </w:p>
        </w:tc>
        <w:tc>
          <w:tcPr>
            <w:tcW w:w="1931" w:type="dxa"/>
            <w:vAlign w:val="center"/>
          </w:tcPr>
          <w:p w14:paraId="4B195C38">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单 位</w:t>
            </w:r>
          </w:p>
        </w:tc>
        <w:tc>
          <w:tcPr>
            <w:tcW w:w="2608" w:type="dxa"/>
            <w:vAlign w:val="center"/>
          </w:tcPr>
          <w:p w14:paraId="26F3BBDE">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数 值</w:t>
            </w:r>
          </w:p>
        </w:tc>
        <w:tc>
          <w:tcPr>
            <w:tcW w:w="1546" w:type="dxa"/>
            <w:vAlign w:val="center"/>
          </w:tcPr>
          <w:p w14:paraId="6F7B0039">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备 注</w:t>
            </w:r>
          </w:p>
        </w:tc>
      </w:tr>
      <w:tr w14:paraId="1505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78FB367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孔径（d）</w:t>
            </w:r>
          </w:p>
        </w:tc>
        <w:tc>
          <w:tcPr>
            <w:tcW w:w="1931" w:type="dxa"/>
            <w:vAlign w:val="center"/>
          </w:tcPr>
          <w:p w14:paraId="5864930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mm</w:t>
            </w:r>
          </w:p>
        </w:tc>
        <w:tc>
          <w:tcPr>
            <w:tcW w:w="2608" w:type="dxa"/>
            <w:vAlign w:val="center"/>
          </w:tcPr>
          <w:p w14:paraId="25691E5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w:t>
            </w:r>
          </w:p>
        </w:tc>
        <w:tc>
          <w:tcPr>
            <w:tcW w:w="1546" w:type="dxa"/>
            <w:vAlign w:val="center"/>
          </w:tcPr>
          <w:p w14:paraId="4CBD4B7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2B00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1E418F2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台阶高度（H）</w:t>
            </w:r>
          </w:p>
        </w:tc>
        <w:tc>
          <w:tcPr>
            <w:tcW w:w="1931" w:type="dxa"/>
            <w:vAlign w:val="center"/>
          </w:tcPr>
          <w:p w14:paraId="541E95F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346C6F7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15</w:t>
            </w:r>
          </w:p>
        </w:tc>
        <w:tc>
          <w:tcPr>
            <w:tcW w:w="1546" w:type="dxa"/>
            <w:vAlign w:val="center"/>
          </w:tcPr>
          <w:p w14:paraId="3EFDD5D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02A2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4FBD660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最小抵抗线（W）</w:t>
            </w:r>
          </w:p>
        </w:tc>
        <w:tc>
          <w:tcPr>
            <w:tcW w:w="1931" w:type="dxa"/>
            <w:vAlign w:val="center"/>
          </w:tcPr>
          <w:p w14:paraId="2FFFB2F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7F81B62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1546" w:type="dxa"/>
            <w:vAlign w:val="center"/>
          </w:tcPr>
          <w:p w14:paraId="2E36AD4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1ED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1E5FCF9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孔距（a）</w:t>
            </w:r>
          </w:p>
        </w:tc>
        <w:tc>
          <w:tcPr>
            <w:tcW w:w="1931" w:type="dxa"/>
            <w:vAlign w:val="center"/>
          </w:tcPr>
          <w:p w14:paraId="5CAB026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278855F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4.0 </w:t>
            </w:r>
          </w:p>
        </w:tc>
        <w:tc>
          <w:tcPr>
            <w:tcW w:w="1546" w:type="dxa"/>
            <w:vAlign w:val="center"/>
          </w:tcPr>
          <w:p w14:paraId="34573DE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7B9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5EE0BBB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排距（b）</w:t>
            </w:r>
          </w:p>
        </w:tc>
        <w:tc>
          <w:tcPr>
            <w:tcW w:w="1931" w:type="dxa"/>
            <w:vAlign w:val="center"/>
          </w:tcPr>
          <w:p w14:paraId="6E8F4CF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0A87F9D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5.0</w:t>
            </w:r>
          </w:p>
        </w:tc>
        <w:tc>
          <w:tcPr>
            <w:tcW w:w="1546" w:type="dxa"/>
            <w:vAlign w:val="center"/>
          </w:tcPr>
          <w:p w14:paraId="1D87A45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0DB5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1A72558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超深（h）</w:t>
            </w:r>
          </w:p>
        </w:tc>
        <w:tc>
          <w:tcPr>
            <w:tcW w:w="1931" w:type="dxa"/>
            <w:vAlign w:val="center"/>
          </w:tcPr>
          <w:p w14:paraId="2F47893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6668AC4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1.5</w:t>
            </w:r>
          </w:p>
        </w:tc>
        <w:tc>
          <w:tcPr>
            <w:tcW w:w="1546" w:type="dxa"/>
            <w:vAlign w:val="center"/>
          </w:tcPr>
          <w:p w14:paraId="58A6AFD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F4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003E1D2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孔深（L）</w:t>
            </w:r>
          </w:p>
        </w:tc>
        <w:tc>
          <w:tcPr>
            <w:tcW w:w="1931" w:type="dxa"/>
            <w:vAlign w:val="center"/>
          </w:tcPr>
          <w:p w14:paraId="69F198E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74834B5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16.5</w:t>
            </w:r>
          </w:p>
        </w:tc>
        <w:tc>
          <w:tcPr>
            <w:tcW w:w="1546" w:type="dxa"/>
            <w:vAlign w:val="center"/>
          </w:tcPr>
          <w:p w14:paraId="6BEEB2D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FEA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6456958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每m炮孔装药量</w:t>
            </w:r>
          </w:p>
        </w:tc>
        <w:tc>
          <w:tcPr>
            <w:tcW w:w="1931" w:type="dxa"/>
            <w:vAlign w:val="center"/>
          </w:tcPr>
          <w:p w14:paraId="68B2623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kg/m</w:t>
            </w:r>
          </w:p>
        </w:tc>
        <w:tc>
          <w:tcPr>
            <w:tcW w:w="2608" w:type="dxa"/>
            <w:vAlign w:val="center"/>
          </w:tcPr>
          <w:p w14:paraId="1E6E7E1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6.34</w:t>
            </w:r>
          </w:p>
        </w:tc>
        <w:tc>
          <w:tcPr>
            <w:tcW w:w="1546" w:type="dxa"/>
            <w:vAlign w:val="center"/>
          </w:tcPr>
          <w:p w14:paraId="0FE9303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186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6DA898C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单位炸药消耗量</w:t>
            </w:r>
          </w:p>
        </w:tc>
        <w:tc>
          <w:tcPr>
            <w:tcW w:w="1931" w:type="dxa"/>
            <w:vAlign w:val="center"/>
          </w:tcPr>
          <w:p w14:paraId="77FA7CA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kg/m</w:t>
            </w:r>
            <w:r>
              <w:rPr>
                <w:rFonts w:hint="eastAsia" w:ascii="宋体" w:hAnsi="宋体" w:cs="宋体"/>
                <w:color w:val="000000" w:themeColor="text1"/>
                <w:sz w:val="20"/>
                <w:szCs w:val="20"/>
                <w:vertAlign w:val="superscript"/>
                <w14:textFill>
                  <w14:solidFill>
                    <w14:schemeClr w14:val="tx1"/>
                  </w14:solidFill>
                </w14:textFill>
              </w:rPr>
              <w:t>3</w:t>
            </w:r>
          </w:p>
        </w:tc>
        <w:tc>
          <w:tcPr>
            <w:tcW w:w="2608" w:type="dxa"/>
            <w:vAlign w:val="center"/>
          </w:tcPr>
          <w:p w14:paraId="5F8E36C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0.32</w:t>
            </w:r>
          </w:p>
        </w:tc>
        <w:tc>
          <w:tcPr>
            <w:tcW w:w="1546" w:type="dxa"/>
            <w:vAlign w:val="center"/>
          </w:tcPr>
          <w:p w14:paraId="6DD8CEE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EBE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0C24D1F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单孔装药量Q</w:t>
            </w:r>
            <w:r>
              <w:rPr>
                <w:rFonts w:hint="eastAsia" w:ascii="宋体" w:hAnsi="宋体" w:cs="宋体"/>
                <w:color w:val="000000" w:themeColor="text1"/>
                <w:sz w:val="20"/>
                <w:szCs w:val="20"/>
                <w:vertAlign w:val="subscript"/>
                <w14:textFill>
                  <w14:solidFill>
                    <w14:schemeClr w14:val="tx1"/>
                  </w14:solidFill>
                </w14:textFill>
              </w:rPr>
              <w:t>1（单孔）</w:t>
            </w:r>
          </w:p>
        </w:tc>
        <w:tc>
          <w:tcPr>
            <w:tcW w:w="1931" w:type="dxa"/>
            <w:vAlign w:val="center"/>
          </w:tcPr>
          <w:p w14:paraId="7B98254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kg</w:t>
            </w:r>
          </w:p>
        </w:tc>
        <w:tc>
          <w:tcPr>
            <w:tcW w:w="2608" w:type="dxa"/>
            <w:vAlign w:val="center"/>
          </w:tcPr>
          <w:p w14:paraId="16DC181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63</w:t>
            </w:r>
          </w:p>
        </w:tc>
        <w:tc>
          <w:tcPr>
            <w:tcW w:w="1546" w:type="dxa"/>
            <w:vAlign w:val="center"/>
          </w:tcPr>
          <w:p w14:paraId="14954D2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0B6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2E22A3A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装药长度（L</w:t>
            </w:r>
            <w:r>
              <w:rPr>
                <w:rFonts w:hint="eastAsia" w:ascii="宋体" w:hAnsi="宋体" w:cs="宋体"/>
                <w:color w:val="000000" w:themeColor="text1"/>
                <w:sz w:val="20"/>
                <w:szCs w:val="20"/>
                <w:vertAlign w:val="subscript"/>
                <w14:textFill>
                  <w14:solidFill>
                    <w14:schemeClr w14:val="tx1"/>
                  </w14:solidFill>
                </w14:textFill>
              </w:rPr>
              <w:t>1</w:t>
            </w:r>
            <w:r>
              <w:rPr>
                <w:rFonts w:hint="eastAsia" w:ascii="宋体" w:hAnsi="宋体" w:cs="宋体"/>
                <w:color w:val="000000" w:themeColor="text1"/>
                <w:sz w:val="20"/>
                <w:szCs w:val="20"/>
                <w14:textFill>
                  <w14:solidFill>
                    <w14:schemeClr w14:val="tx1"/>
                  </w14:solidFill>
                </w14:textFill>
              </w:rPr>
              <w:t>）</w:t>
            </w:r>
          </w:p>
        </w:tc>
        <w:tc>
          <w:tcPr>
            <w:tcW w:w="1931" w:type="dxa"/>
            <w:vAlign w:val="center"/>
          </w:tcPr>
          <w:p w14:paraId="01EC861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69E042E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12.5</w:t>
            </w:r>
          </w:p>
        </w:tc>
        <w:tc>
          <w:tcPr>
            <w:tcW w:w="1546" w:type="dxa"/>
            <w:vAlign w:val="center"/>
          </w:tcPr>
          <w:p w14:paraId="5B741E2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476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9" w:type="dxa"/>
            <w:vAlign w:val="center"/>
          </w:tcPr>
          <w:p w14:paraId="3A8B56E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填塞长度（L</w:t>
            </w:r>
            <w:r>
              <w:rPr>
                <w:rFonts w:hint="eastAsia" w:ascii="宋体" w:hAnsi="宋体" w:cs="宋体"/>
                <w:color w:val="000000" w:themeColor="text1"/>
                <w:sz w:val="20"/>
                <w:szCs w:val="20"/>
                <w:vertAlign w:val="subscript"/>
                <w14:textFill>
                  <w14:solidFill>
                    <w14:schemeClr w14:val="tx1"/>
                  </w14:solidFill>
                </w14:textFill>
              </w:rPr>
              <w:t>2</w:t>
            </w:r>
            <w:r>
              <w:rPr>
                <w:rFonts w:hint="eastAsia" w:ascii="宋体" w:hAnsi="宋体" w:cs="宋体"/>
                <w:color w:val="000000" w:themeColor="text1"/>
                <w:sz w:val="20"/>
                <w:szCs w:val="20"/>
                <w14:textFill>
                  <w14:solidFill>
                    <w14:schemeClr w14:val="tx1"/>
                  </w14:solidFill>
                </w14:textFill>
              </w:rPr>
              <w:t>）</w:t>
            </w:r>
          </w:p>
        </w:tc>
        <w:tc>
          <w:tcPr>
            <w:tcW w:w="1931" w:type="dxa"/>
            <w:vAlign w:val="center"/>
          </w:tcPr>
          <w:p w14:paraId="0E91E36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2608" w:type="dxa"/>
            <w:vAlign w:val="center"/>
          </w:tcPr>
          <w:p w14:paraId="0DCD366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4.0</w:t>
            </w:r>
          </w:p>
        </w:tc>
        <w:tc>
          <w:tcPr>
            <w:tcW w:w="1546" w:type="dxa"/>
            <w:vAlign w:val="center"/>
          </w:tcPr>
          <w:p w14:paraId="14AC639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2C7A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089" w:type="dxa"/>
            <w:vAlign w:val="center"/>
          </w:tcPr>
          <w:p w14:paraId="334B17C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钻孔角度（α）</w:t>
            </w:r>
          </w:p>
        </w:tc>
        <w:tc>
          <w:tcPr>
            <w:tcW w:w="1931" w:type="dxa"/>
            <w:vAlign w:val="center"/>
          </w:tcPr>
          <w:p w14:paraId="62DCDBA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º</w:t>
            </w:r>
          </w:p>
        </w:tc>
        <w:tc>
          <w:tcPr>
            <w:tcW w:w="2608" w:type="dxa"/>
            <w:vAlign w:val="center"/>
          </w:tcPr>
          <w:p w14:paraId="4DE2864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90</w:t>
            </w:r>
          </w:p>
        </w:tc>
        <w:tc>
          <w:tcPr>
            <w:tcW w:w="1546" w:type="dxa"/>
            <w:vAlign w:val="center"/>
          </w:tcPr>
          <w:p w14:paraId="0645527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bl>
    <w:p w14:paraId="6FE6B1ED">
      <w:pPr>
        <w:pStyle w:val="64"/>
        <w:spacing w:before="120" w:after="120"/>
        <w:jc w:val="left"/>
        <w:rPr>
          <w:color w:val="000000" w:themeColor="text1"/>
          <w14:textFill>
            <w14:solidFill>
              <w14:schemeClr w14:val="tx1"/>
            </w14:solidFill>
          </w14:textFill>
        </w:rPr>
      </w:pPr>
    </w:p>
    <w:p w14:paraId="0044BA27">
      <w:pPr>
        <w:pStyle w:val="6"/>
        <w:spacing w:before="120" w:after="120"/>
        <w:rPr>
          <w:color w:val="000000" w:themeColor="text1"/>
          <w:lang w:val="zh-TW"/>
          <w14:textFill>
            <w14:solidFill>
              <w14:schemeClr w14:val="tx1"/>
            </w14:solidFill>
          </w14:textFill>
        </w:rPr>
      </w:pPr>
      <w:bookmarkStart w:id="1357" w:name="_Toc9467"/>
      <w:bookmarkStart w:id="1358" w:name="_Toc22036"/>
      <w:bookmarkStart w:id="1359" w:name="_Toc10756"/>
      <w:bookmarkStart w:id="1360" w:name="_Toc215070206"/>
      <w:bookmarkStart w:id="1361" w:name="_Toc13595"/>
      <w:bookmarkStart w:id="1362" w:name="_Toc16125"/>
      <w:bookmarkStart w:id="1363" w:name="_Toc20007"/>
      <w:bookmarkStart w:id="1364" w:name="_Toc4162"/>
      <w:r>
        <w:rPr>
          <w:rFonts w:hint="eastAsia"/>
          <w:color w:val="000000" w:themeColor="text1"/>
          <w14:textFill>
            <w14:solidFill>
              <w14:schemeClr w14:val="tx1"/>
            </w14:solidFill>
          </w14:textFill>
        </w:rPr>
        <w:t>2.4.6.9</w:t>
      </w:r>
      <w:r>
        <w:rPr>
          <w:color w:val="000000" w:themeColor="text1"/>
          <w:lang w:val="zh-TW"/>
          <w14:textFill>
            <w14:solidFill>
              <w14:schemeClr w14:val="tx1"/>
            </w14:solidFill>
          </w14:textFill>
        </w:rPr>
        <w:t>爆破安全距离</w:t>
      </w:r>
      <w:bookmarkEnd w:id="1357"/>
      <w:bookmarkEnd w:id="1358"/>
      <w:bookmarkEnd w:id="1359"/>
      <w:bookmarkEnd w:id="1360"/>
      <w:bookmarkEnd w:id="1361"/>
      <w:bookmarkEnd w:id="1362"/>
      <w:bookmarkEnd w:id="1363"/>
      <w:bookmarkEnd w:id="1364"/>
    </w:p>
    <w:p w14:paraId="67A610C1">
      <w:pPr>
        <w:ind w:firstLine="560"/>
        <w:rPr>
          <w:color w:val="000000" w:themeColor="text1"/>
          <w:szCs w:val="28"/>
          <w:lang w:val="zh-TW" w:eastAsia="zh-TW"/>
          <w14:textFill>
            <w14:solidFill>
              <w14:schemeClr w14:val="tx1"/>
            </w14:solidFill>
          </w14:textFill>
        </w:rPr>
      </w:pPr>
      <w:bookmarkStart w:id="1365" w:name="_Toc1444"/>
      <w:bookmarkStart w:id="1366" w:name="_Hlk208996365"/>
      <w:bookmarkStart w:id="1367" w:name="_Toc19738"/>
      <w:bookmarkStart w:id="1368" w:name="_Toc30282"/>
      <w:r>
        <w:rPr>
          <w:color w:val="000000" w:themeColor="text1"/>
          <w:lang w:val="zh-TW" w:eastAsia="zh-TW"/>
          <w14:textFill>
            <w14:solidFill>
              <w14:schemeClr w14:val="tx1"/>
            </w14:solidFill>
          </w14:textFill>
        </w:rPr>
        <w:t>矿山生产采用中深孔</w:t>
      </w:r>
      <w:r>
        <w:rPr>
          <w:rFonts w:hint="eastAsia"/>
          <w:color w:val="000000" w:themeColor="text1"/>
          <w:lang w:val="zh-TW"/>
          <w14:textFill>
            <w14:solidFill>
              <w14:schemeClr w14:val="tx1"/>
            </w14:solidFill>
          </w14:textFill>
        </w:rPr>
        <w:t>逐孔微差爆破</w:t>
      </w:r>
      <w:r>
        <w:rPr>
          <w:color w:val="000000" w:themeColor="text1"/>
          <w:lang w:val="zh-TW" w:eastAsia="zh-TW"/>
          <w14:textFill>
            <w14:solidFill>
              <w14:schemeClr w14:val="tx1"/>
            </w14:solidFill>
          </w14:textFill>
        </w:rPr>
        <w:t>，</w:t>
      </w:r>
      <w:r>
        <w:rPr>
          <w:color w:val="000000" w:themeColor="text1"/>
          <w:lang w:val="zh-TW"/>
          <w14:textFill>
            <w14:solidFill>
              <w14:schemeClr w14:val="tx1"/>
            </w14:solidFill>
          </w14:textFill>
        </w:rPr>
        <w:t>底盘</w:t>
      </w:r>
      <w:r>
        <w:rPr>
          <w:color w:val="000000" w:themeColor="text1"/>
          <w:lang w:val="zh-TW" w:eastAsia="zh-TW"/>
          <w14:textFill>
            <w14:solidFill>
              <w14:schemeClr w14:val="tx1"/>
            </w14:solidFill>
          </w14:textFill>
        </w:rPr>
        <w:t>抵抗线为</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m</w:t>
      </w:r>
      <w:r>
        <w:rPr>
          <w:color w:val="000000" w:themeColor="text1"/>
          <w:lang w:val="zh-TW"/>
          <w14:textFill>
            <w14:solidFill>
              <w14:schemeClr w14:val="tx1"/>
            </w14:solidFill>
          </w14:textFill>
        </w:rPr>
        <w:t>，一次爆破最大</w:t>
      </w:r>
      <w:r>
        <w:rPr>
          <w:rFonts w:hint="eastAsia"/>
          <w:color w:val="000000" w:themeColor="text1"/>
          <w:lang w:val="zh-TW"/>
          <w14:textFill>
            <w14:solidFill>
              <w14:schemeClr w14:val="tx1"/>
            </w14:solidFill>
          </w14:textFill>
        </w:rPr>
        <w:t>段</w:t>
      </w:r>
      <w:r>
        <w:rPr>
          <w:color w:val="000000" w:themeColor="text1"/>
          <w:lang w:val="zh-TW"/>
          <w14:textFill>
            <w14:solidFill>
              <w14:schemeClr w14:val="tx1"/>
            </w14:solidFill>
          </w14:textFill>
        </w:rPr>
        <w:t>装药量为</w:t>
      </w:r>
      <w:r>
        <w:rPr>
          <w:rFonts w:hint="eastAsia"/>
          <w:color w:val="000000" w:themeColor="text1"/>
          <w14:textFill>
            <w14:solidFill>
              <w14:schemeClr w14:val="tx1"/>
            </w14:solidFill>
          </w14:textFill>
        </w:rPr>
        <w:t>126</w:t>
      </w:r>
      <w:r>
        <w:rPr>
          <w:color w:val="000000" w:themeColor="text1"/>
          <w:lang w:val="zh-TW"/>
          <w14:textFill>
            <w14:solidFill>
              <w14:schemeClr w14:val="tx1"/>
            </w14:solidFill>
          </w14:textFill>
        </w:rPr>
        <w:t>kg</w:t>
      </w:r>
      <w:r>
        <w:rPr>
          <w:color w:val="000000" w:themeColor="text1"/>
          <w:lang w:val="zh-TW" w:eastAsia="zh-TW"/>
          <w14:textFill>
            <w14:solidFill>
              <w14:schemeClr w14:val="tx1"/>
            </w14:solidFill>
          </w14:textFill>
        </w:rPr>
        <w:t>等条件下，</w:t>
      </w:r>
      <w:r>
        <w:rPr>
          <w:rFonts w:hint="eastAsia"/>
          <w:color w:val="000000" w:themeColor="text1"/>
          <w:lang w:val="zh-TW" w:eastAsia="zh-TW"/>
          <w14:textFill>
            <w14:solidFill>
              <w14:schemeClr w14:val="tx1"/>
            </w14:solidFill>
          </w14:textFill>
        </w:rPr>
        <w:t>经</w:t>
      </w:r>
      <w:r>
        <w:rPr>
          <w:color w:val="000000" w:themeColor="text1"/>
          <w:szCs w:val="28"/>
          <w:lang w:val="zh-TW"/>
          <w14:textFill>
            <w14:solidFill>
              <w14:schemeClr w14:val="tx1"/>
            </w14:solidFill>
          </w14:textFill>
        </w:rPr>
        <w:t>计算，以及</w:t>
      </w:r>
      <w:r>
        <w:rPr>
          <w:color w:val="000000" w:themeColor="text1"/>
          <w:szCs w:val="28"/>
          <w:lang w:val="zh-TW" w:eastAsia="zh-TW"/>
          <w14:textFill>
            <w14:solidFill>
              <w14:schemeClr w14:val="tx1"/>
            </w14:solidFill>
          </w14:textFill>
        </w:rPr>
        <w:t>依据《爆破安全规程》</w:t>
      </w:r>
      <w:r>
        <w:rPr>
          <w:color w:val="000000" w:themeColor="text1"/>
          <w14:textFill>
            <w14:solidFill>
              <w14:schemeClr w14:val="tx1"/>
            </w14:solidFill>
          </w14:textFill>
        </w:rPr>
        <w:t>（GB 6722-2014）</w:t>
      </w:r>
      <w:r>
        <w:rPr>
          <w:color w:val="000000" w:themeColor="text1"/>
          <w:szCs w:val="28"/>
          <w:lang w:val="zh-TW" w:eastAsia="zh-TW"/>
          <w14:textFill>
            <w14:solidFill>
              <w14:schemeClr w14:val="tx1"/>
            </w14:solidFill>
          </w14:textFill>
        </w:rPr>
        <w:t>并结合露天采场采用</w:t>
      </w:r>
      <w:r>
        <w:rPr>
          <w:color w:val="000000" w:themeColor="text1"/>
          <w:szCs w:val="28"/>
          <w:lang w:val="zh-TW"/>
          <w14:textFill>
            <w14:solidFill>
              <w14:schemeClr w14:val="tx1"/>
            </w14:solidFill>
          </w14:textFill>
        </w:rPr>
        <w:t>中</w:t>
      </w:r>
      <w:r>
        <w:rPr>
          <w:color w:val="000000" w:themeColor="text1"/>
          <w:szCs w:val="28"/>
          <w:lang w:val="zh-TW" w:eastAsia="zh-TW"/>
          <w14:textFill>
            <w14:solidFill>
              <w14:schemeClr w14:val="tx1"/>
            </w14:solidFill>
          </w14:textFill>
        </w:rPr>
        <w:t>深孔爆破方法的特点</w:t>
      </w:r>
      <w:r>
        <w:rPr>
          <w:color w:val="000000" w:themeColor="text1"/>
          <w:szCs w:val="28"/>
          <w:lang w:val="zh-TW"/>
          <w14:textFill>
            <w14:solidFill>
              <w14:schemeClr w14:val="tx1"/>
            </w14:solidFill>
          </w14:textFill>
        </w:rPr>
        <w:t>，</w:t>
      </w:r>
      <w:r>
        <w:rPr>
          <w:color w:val="000000" w:themeColor="text1"/>
          <w:szCs w:val="28"/>
          <w:lang w:val="zh-TW" w:eastAsia="zh-TW"/>
          <w14:textFill>
            <w14:solidFill>
              <w14:schemeClr w14:val="tx1"/>
            </w14:solidFill>
          </w14:textFill>
        </w:rPr>
        <w:t>确定该矿山爆破安全距离为</w:t>
      </w:r>
      <w:r>
        <w:rPr>
          <w:rFonts w:hint="eastAsia"/>
          <w:color w:val="000000" w:themeColor="text1"/>
          <w:szCs w:val="28"/>
          <w14:textFill>
            <w14:solidFill>
              <w14:schemeClr w14:val="tx1"/>
            </w14:solidFill>
          </w14:textFill>
        </w:rPr>
        <w:t>93.1</w:t>
      </w:r>
      <w:r>
        <w:rPr>
          <w:color w:val="000000" w:themeColor="text1"/>
          <w:szCs w:val="28"/>
          <w:lang w:val="zh-TW" w:eastAsia="zh-TW"/>
          <w14:textFill>
            <w14:solidFill>
              <w14:schemeClr w14:val="tx1"/>
            </w14:solidFill>
          </w14:textFill>
        </w:rPr>
        <w:t>m</w:t>
      </w:r>
      <w:r>
        <w:rPr>
          <w:color w:val="000000" w:themeColor="text1"/>
          <w:szCs w:val="28"/>
          <w:lang w:val="zh-TW"/>
          <w14:textFill>
            <w14:solidFill>
              <w14:schemeClr w14:val="tx1"/>
            </w14:solidFill>
          </w14:textFill>
        </w:rPr>
        <w:t>，顺坡方向增加</w:t>
      </w:r>
      <w:r>
        <w:rPr>
          <w:color w:val="000000" w:themeColor="text1"/>
          <w:szCs w:val="28"/>
          <w14:textFill>
            <w14:solidFill>
              <w14:schemeClr w14:val="tx1"/>
            </w14:solidFill>
          </w14:textFill>
        </w:rPr>
        <w:t>50%即</w:t>
      </w:r>
      <w:r>
        <w:rPr>
          <w:rFonts w:hint="eastAsia"/>
          <w:color w:val="000000" w:themeColor="text1"/>
          <w:szCs w:val="28"/>
          <w14:textFill>
            <w14:solidFill>
              <w14:schemeClr w14:val="tx1"/>
            </w14:solidFill>
          </w14:textFill>
        </w:rPr>
        <w:t>139.6</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，爆破安全警戒范围反坡方向设置150m，顺坡方向设置300m</w:t>
      </w:r>
      <w:r>
        <w:rPr>
          <w:color w:val="000000" w:themeColor="text1"/>
          <w:szCs w:val="28"/>
          <w:lang w:val="zh-TW" w:eastAsia="zh-TW"/>
          <w14:textFill>
            <w14:solidFill>
              <w14:schemeClr w14:val="tx1"/>
            </w14:solidFill>
          </w14:textFill>
        </w:rPr>
        <w:t>。由于实际爆破点的位置是不断变化的，所以每次实际警戒范围应按爆破点的实际位置，</w:t>
      </w:r>
      <w:r>
        <w:rPr>
          <w:rFonts w:hint="eastAsia"/>
          <w:color w:val="000000" w:themeColor="text1"/>
          <w:szCs w:val="28"/>
          <w:lang w:val="zh-TW" w:eastAsia="zh-TW"/>
          <w14:textFill>
            <w14:solidFill>
              <w14:schemeClr w14:val="tx1"/>
            </w14:solidFill>
          </w14:textFill>
        </w:rPr>
        <w:t>按</w:t>
      </w:r>
      <w:r>
        <w:rPr>
          <w:color w:val="000000" w:themeColor="text1"/>
          <w:szCs w:val="28"/>
          <w:lang w:val="zh-TW" w:eastAsia="zh-TW"/>
          <w14:textFill>
            <w14:solidFill>
              <w14:schemeClr w14:val="tx1"/>
            </w14:solidFill>
          </w14:textFill>
        </w:rPr>
        <w:t>要求的距离派出警戒人员。矿山严格确定的爆破安全警戒范围进行爆破警戒工作，个别飞石对人员的影响是可以避免的。</w:t>
      </w:r>
    </w:p>
    <w:bookmarkEnd w:id="1224"/>
    <w:bookmarkEnd w:id="1225"/>
    <w:bookmarkEnd w:id="1226"/>
    <w:bookmarkEnd w:id="1365"/>
    <w:bookmarkEnd w:id="1366"/>
    <w:bookmarkEnd w:id="1367"/>
    <w:bookmarkEnd w:id="1368"/>
    <w:p w14:paraId="68DDAADB">
      <w:pPr>
        <w:pStyle w:val="6"/>
        <w:spacing w:before="120" w:after="120"/>
        <w:rPr>
          <w:color w:val="000000" w:themeColor="text1"/>
          <w:lang w:val="zh-TW" w:eastAsia="zh-TW"/>
          <w14:textFill>
            <w14:solidFill>
              <w14:schemeClr w14:val="tx1"/>
            </w14:solidFill>
          </w14:textFill>
        </w:rPr>
      </w:pPr>
      <w:bookmarkStart w:id="1369" w:name="_Toc32431"/>
      <w:bookmarkStart w:id="1370" w:name="_Toc14681"/>
      <w:bookmarkStart w:id="1371" w:name="_Toc9157"/>
      <w:bookmarkStart w:id="1372" w:name="_Toc215070207"/>
      <w:bookmarkStart w:id="1373" w:name="_Toc32448"/>
      <w:bookmarkStart w:id="1374" w:name="_Toc2906"/>
      <w:bookmarkStart w:id="1375" w:name="_Toc13510"/>
      <w:bookmarkStart w:id="1376" w:name="_Toc1825"/>
      <w:bookmarkStart w:id="1377" w:name="_Toc13693"/>
      <w:bookmarkStart w:id="1378" w:name="_Toc22489"/>
      <w:bookmarkStart w:id="1379" w:name="_Toc25264"/>
      <w:bookmarkStart w:id="1380" w:name="_Toc10729"/>
      <w:bookmarkStart w:id="1381" w:name="_Toc392680677"/>
      <w:bookmarkStart w:id="1382" w:name="_Toc20411"/>
      <w:r>
        <w:rPr>
          <w:rFonts w:hint="eastAsia"/>
          <w:color w:val="000000" w:themeColor="text1"/>
          <w14:textFill>
            <w14:solidFill>
              <w14:schemeClr w14:val="tx1"/>
            </w14:solidFill>
          </w14:textFill>
        </w:rPr>
        <w:t>2.4.6.10</w:t>
      </w:r>
      <w:r>
        <w:rPr>
          <w:color w:val="000000" w:themeColor="text1"/>
          <w:lang w:val="zh-TW" w:eastAsia="zh-TW"/>
          <w14:textFill>
            <w14:solidFill>
              <w14:schemeClr w14:val="tx1"/>
            </w14:solidFill>
          </w14:textFill>
        </w:rPr>
        <w:t>穿爆设备</w:t>
      </w:r>
      <w:bookmarkEnd w:id="1369"/>
      <w:bookmarkEnd w:id="1370"/>
      <w:bookmarkEnd w:id="1371"/>
      <w:bookmarkEnd w:id="1372"/>
      <w:bookmarkEnd w:id="1373"/>
      <w:bookmarkEnd w:id="1374"/>
      <w:bookmarkEnd w:id="1375"/>
      <w:bookmarkEnd w:id="1376"/>
    </w:p>
    <w:p w14:paraId="1AF08D9F">
      <w:pPr>
        <w:ind w:firstLine="560"/>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矿山利用</w:t>
      </w:r>
      <w:r>
        <w:rPr>
          <w:color w:val="000000" w:themeColor="text1"/>
          <w:szCs w:val="28"/>
          <w14:textFill>
            <w14:solidFill>
              <w14:schemeClr w14:val="tx1"/>
            </w14:solidFill>
          </w14:textFill>
        </w:rPr>
        <w:t>1台</w:t>
      </w:r>
      <w:r>
        <w:rPr>
          <w:rFonts w:hint="eastAsia"/>
          <w:color w:val="000000" w:themeColor="text1"/>
          <w:szCs w:val="28"/>
          <w14:textFill>
            <w14:solidFill>
              <w14:schemeClr w14:val="tx1"/>
            </w14:solidFill>
          </w14:textFill>
        </w:rPr>
        <w:t>ZG</w:t>
      </w:r>
      <w:r>
        <w:rPr>
          <w:color w:val="000000" w:themeColor="text1"/>
          <w:szCs w:val="28"/>
          <w14:textFill>
            <w14:solidFill>
              <w14:schemeClr w14:val="tx1"/>
            </w14:solidFill>
          </w14:textFill>
        </w:rPr>
        <w:t>415-1履带式</w:t>
      </w:r>
      <w:bookmarkStart w:id="1383" w:name="_Hlk208942120"/>
      <w:r>
        <w:rPr>
          <w:color w:val="000000" w:themeColor="text1"/>
          <w:szCs w:val="28"/>
          <w14:textFill>
            <w14:solidFill>
              <w14:schemeClr w14:val="tx1"/>
            </w14:solidFill>
          </w14:textFill>
        </w:rPr>
        <w:t>潜孔钻机</w:t>
      </w:r>
      <w:bookmarkEnd w:id="1383"/>
      <w:r>
        <w:rPr>
          <w:color w:val="000000" w:themeColor="text1"/>
          <w:szCs w:val="28"/>
          <w14:textFill>
            <w14:solidFill>
              <w14:schemeClr w14:val="tx1"/>
            </w14:solidFill>
          </w14:textFill>
        </w:rPr>
        <w:t>进行凿岩</w:t>
      </w:r>
      <w:bookmarkStart w:id="1384" w:name="_Hlk208998026"/>
      <w:bookmarkStart w:id="1385" w:name="_Toc21118"/>
      <w:bookmarkStart w:id="1386" w:name="_Toc4532"/>
      <w:bookmarkStart w:id="1387" w:name="_Toc202"/>
      <w:bookmarkStart w:id="1388" w:name="_Toc6715"/>
      <w:bookmarkStart w:id="1389" w:name="_Toc11414"/>
      <w:bookmarkStart w:id="1390" w:name="_Toc11320"/>
      <w:bookmarkStart w:id="1391" w:name="_Toc22852"/>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其技术参数如</w:t>
      </w:r>
    </w:p>
    <w:p w14:paraId="1975BC1E">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下所示：</w:t>
      </w:r>
      <w:bookmarkEnd w:id="1384"/>
      <w:bookmarkStart w:id="1392" w:name="_Hlk208942173"/>
    </w:p>
    <w:p w14:paraId="54BE9CF2">
      <w:pPr>
        <w:widowControl/>
        <w:spacing w:line="240" w:lineRule="auto"/>
        <w:ind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br w:type="page"/>
      </w:r>
    </w:p>
    <w:p w14:paraId="2F97C5C9">
      <w:pPr>
        <w:ind w:firstLine="0" w:firstLineChars="0"/>
        <w:jc w:val="center"/>
        <w:rPr>
          <w:b/>
          <w:bCs/>
          <w:color w:val="000000" w:themeColor="text1"/>
          <w:sz w:val="24"/>
          <w14:textFill>
            <w14:solidFill>
              <w14:schemeClr w14:val="tx1"/>
            </w14:solidFill>
          </w14:textFill>
        </w:rPr>
      </w:pPr>
    </w:p>
    <w:p w14:paraId="6C8B69A3">
      <w:pPr>
        <w:ind w:firstLine="0"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kern w:val="0"/>
          <w:sz w:val="24"/>
          <w14:textFill>
            <w14:solidFill>
              <w14:schemeClr w14:val="tx1"/>
            </w14:solidFill>
          </w14:textFill>
        </w:rPr>
        <w:t>2.4-13</w:t>
      </w:r>
      <w:r>
        <w:rPr>
          <w:b/>
          <w:bCs/>
          <w:color w:val="000000" w:themeColor="text1"/>
          <w:sz w:val="24"/>
          <w14:textFill>
            <w14:solidFill>
              <w14:schemeClr w14:val="tx1"/>
            </w14:solidFill>
          </w14:textFill>
        </w:rPr>
        <w:t>志高415-1履带式潜孔钻机技术参数表</w:t>
      </w:r>
    </w:p>
    <w:tbl>
      <w:tblPr>
        <w:tblStyle w:val="4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7"/>
        <w:gridCol w:w="1317"/>
        <w:gridCol w:w="2003"/>
        <w:gridCol w:w="1457"/>
        <w:gridCol w:w="857"/>
        <w:gridCol w:w="900"/>
      </w:tblGrid>
      <w:tr w14:paraId="4EAE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7" w:type="dxa"/>
            <w:vAlign w:val="center"/>
          </w:tcPr>
          <w:p w14:paraId="3B608634">
            <w:pPr>
              <w:pStyle w:val="18"/>
              <w:ind w:firstLine="420"/>
              <w:rPr>
                <w:color w:val="000000" w:themeColor="text1"/>
                <w:sz w:val="21"/>
                <w:szCs w:val="21"/>
                <w14:textFill>
                  <w14:solidFill>
                    <w14:schemeClr w14:val="tx1"/>
                  </w14:solidFill>
                </w14:textFill>
              </w:rPr>
            </w:pPr>
            <w:bookmarkStart w:id="1393" w:name="_Toc23502"/>
            <w:bookmarkStart w:id="1394" w:name="_Toc18802"/>
            <w:bookmarkStart w:id="1395" w:name="_Toc20486"/>
            <w:bookmarkStart w:id="1396" w:name="_Toc19213"/>
            <w:bookmarkStart w:id="1397" w:name="_Toc19784"/>
            <w:bookmarkStart w:id="1398" w:name="_Toc10005"/>
            <w:r>
              <w:rPr>
                <w:color w:val="000000" w:themeColor="text1"/>
                <w:sz w:val="21"/>
                <w:szCs w:val="21"/>
                <w14:textFill>
                  <w14:solidFill>
                    <w14:schemeClr w14:val="tx1"/>
                  </w14:solidFill>
                </w14:textFill>
              </w:rPr>
              <w:t>名称</w:t>
            </w:r>
            <w:bookmarkEnd w:id="1393"/>
            <w:bookmarkEnd w:id="1394"/>
            <w:bookmarkEnd w:id="1395"/>
            <w:bookmarkEnd w:id="1396"/>
            <w:bookmarkEnd w:id="1397"/>
            <w:bookmarkEnd w:id="1398"/>
          </w:p>
        </w:tc>
        <w:tc>
          <w:tcPr>
            <w:tcW w:w="1317" w:type="dxa"/>
            <w:vAlign w:val="center"/>
          </w:tcPr>
          <w:p w14:paraId="010959A1">
            <w:pPr>
              <w:pStyle w:val="18"/>
              <w:ind w:firstLine="420"/>
              <w:rPr>
                <w:color w:val="000000" w:themeColor="text1"/>
                <w:sz w:val="21"/>
                <w:szCs w:val="21"/>
                <w14:textFill>
                  <w14:solidFill>
                    <w14:schemeClr w14:val="tx1"/>
                  </w14:solidFill>
                </w14:textFill>
              </w:rPr>
            </w:pPr>
            <w:bookmarkStart w:id="1399" w:name="_Toc27303"/>
            <w:bookmarkStart w:id="1400" w:name="_Toc13271"/>
            <w:bookmarkStart w:id="1401" w:name="_Toc21985"/>
            <w:bookmarkStart w:id="1402" w:name="_Toc17940"/>
            <w:bookmarkStart w:id="1403" w:name="_Toc25790"/>
            <w:bookmarkStart w:id="1404" w:name="_Toc17490"/>
            <w:bookmarkStart w:id="1405" w:name="_Toc16667"/>
            <w:r>
              <w:rPr>
                <w:color w:val="000000" w:themeColor="text1"/>
                <w:sz w:val="21"/>
                <w:szCs w:val="21"/>
                <w14:textFill>
                  <w14:solidFill>
                    <w14:schemeClr w14:val="tx1"/>
                  </w14:solidFill>
                </w14:textFill>
              </w:rPr>
              <w:t>单位</w:t>
            </w:r>
            <w:bookmarkEnd w:id="1399"/>
            <w:bookmarkEnd w:id="1400"/>
            <w:bookmarkEnd w:id="1401"/>
            <w:bookmarkEnd w:id="1402"/>
            <w:bookmarkEnd w:id="1403"/>
            <w:bookmarkEnd w:id="1404"/>
            <w:bookmarkEnd w:id="1405"/>
          </w:p>
        </w:tc>
        <w:tc>
          <w:tcPr>
            <w:tcW w:w="2003" w:type="dxa"/>
            <w:vAlign w:val="center"/>
          </w:tcPr>
          <w:p w14:paraId="5EC015B5">
            <w:pPr>
              <w:pStyle w:val="18"/>
              <w:ind w:firstLine="420"/>
              <w:rPr>
                <w:color w:val="000000" w:themeColor="text1"/>
                <w:sz w:val="21"/>
                <w:szCs w:val="21"/>
                <w14:textFill>
                  <w14:solidFill>
                    <w14:schemeClr w14:val="tx1"/>
                  </w14:solidFill>
                </w14:textFill>
              </w:rPr>
            </w:pPr>
            <w:bookmarkStart w:id="1406" w:name="_Toc8676"/>
            <w:bookmarkStart w:id="1407" w:name="_Toc32318"/>
            <w:bookmarkStart w:id="1408" w:name="_Toc71"/>
            <w:bookmarkStart w:id="1409" w:name="_Toc14278"/>
            <w:bookmarkStart w:id="1410" w:name="_Toc2023"/>
            <w:bookmarkStart w:id="1411" w:name="_Toc10797"/>
            <w:bookmarkStart w:id="1412" w:name="_Toc15472"/>
            <w:r>
              <w:rPr>
                <w:color w:val="000000" w:themeColor="text1"/>
                <w:sz w:val="21"/>
                <w:szCs w:val="21"/>
                <w14:textFill>
                  <w14:solidFill>
                    <w14:schemeClr w14:val="tx1"/>
                  </w14:solidFill>
                </w14:textFill>
              </w:rPr>
              <w:t>参数</w:t>
            </w:r>
            <w:bookmarkEnd w:id="1406"/>
            <w:bookmarkEnd w:id="1407"/>
            <w:bookmarkEnd w:id="1408"/>
            <w:bookmarkEnd w:id="1409"/>
            <w:bookmarkEnd w:id="1410"/>
            <w:bookmarkEnd w:id="1411"/>
            <w:bookmarkEnd w:id="1412"/>
          </w:p>
        </w:tc>
        <w:tc>
          <w:tcPr>
            <w:tcW w:w="1457" w:type="dxa"/>
            <w:vAlign w:val="center"/>
          </w:tcPr>
          <w:p w14:paraId="0A0D9EA5">
            <w:pPr>
              <w:pStyle w:val="18"/>
              <w:ind w:firstLine="420"/>
              <w:rPr>
                <w:color w:val="000000" w:themeColor="text1"/>
                <w:sz w:val="21"/>
                <w:szCs w:val="21"/>
                <w14:textFill>
                  <w14:solidFill>
                    <w14:schemeClr w14:val="tx1"/>
                  </w14:solidFill>
                </w14:textFill>
              </w:rPr>
            </w:pPr>
            <w:bookmarkStart w:id="1413" w:name="_Toc18951"/>
            <w:bookmarkStart w:id="1414" w:name="_Toc14490"/>
            <w:bookmarkStart w:id="1415" w:name="_Toc48"/>
            <w:bookmarkStart w:id="1416" w:name="_Toc6669"/>
            <w:bookmarkStart w:id="1417" w:name="_Toc5956"/>
            <w:bookmarkStart w:id="1418" w:name="_Toc9208"/>
            <w:bookmarkStart w:id="1419" w:name="_Toc22387"/>
            <w:r>
              <w:rPr>
                <w:color w:val="000000" w:themeColor="text1"/>
                <w:sz w:val="21"/>
                <w:szCs w:val="21"/>
                <w14:textFill>
                  <w14:solidFill>
                    <w14:schemeClr w14:val="tx1"/>
                  </w14:solidFill>
                </w14:textFill>
              </w:rPr>
              <w:t>名称</w:t>
            </w:r>
            <w:bookmarkEnd w:id="1413"/>
            <w:bookmarkEnd w:id="1414"/>
            <w:bookmarkEnd w:id="1415"/>
            <w:bookmarkEnd w:id="1416"/>
            <w:bookmarkEnd w:id="1417"/>
            <w:bookmarkEnd w:id="1418"/>
            <w:bookmarkEnd w:id="1419"/>
          </w:p>
        </w:tc>
        <w:tc>
          <w:tcPr>
            <w:tcW w:w="857" w:type="dxa"/>
            <w:vAlign w:val="center"/>
          </w:tcPr>
          <w:p w14:paraId="478BCF5F">
            <w:pPr>
              <w:pStyle w:val="18"/>
              <w:ind w:firstLine="420"/>
              <w:rPr>
                <w:color w:val="000000" w:themeColor="text1"/>
                <w:sz w:val="21"/>
                <w:szCs w:val="21"/>
                <w14:textFill>
                  <w14:solidFill>
                    <w14:schemeClr w14:val="tx1"/>
                  </w14:solidFill>
                </w14:textFill>
              </w:rPr>
            </w:pPr>
            <w:bookmarkStart w:id="1420" w:name="_Toc30460"/>
            <w:bookmarkStart w:id="1421" w:name="_Toc12934"/>
            <w:bookmarkStart w:id="1422" w:name="_Toc63"/>
            <w:bookmarkStart w:id="1423" w:name="_Toc26898"/>
            <w:bookmarkStart w:id="1424" w:name="_Toc17599"/>
            <w:bookmarkStart w:id="1425" w:name="_Toc6827"/>
            <w:bookmarkStart w:id="1426" w:name="_Toc31308"/>
            <w:r>
              <w:rPr>
                <w:color w:val="000000" w:themeColor="text1"/>
                <w:sz w:val="21"/>
                <w:szCs w:val="21"/>
                <w14:textFill>
                  <w14:solidFill>
                    <w14:schemeClr w14:val="tx1"/>
                  </w14:solidFill>
                </w14:textFill>
              </w:rPr>
              <w:t>单位</w:t>
            </w:r>
            <w:bookmarkEnd w:id="1420"/>
            <w:bookmarkEnd w:id="1421"/>
            <w:bookmarkEnd w:id="1422"/>
            <w:bookmarkEnd w:id="1423"/>
            <w:bookmarkEnd w:id="1424"/>
            <w:bookmarkEnd w:id="1425"/>
            <w:bookmarkEnd w:id="1426"/>
          </w:p>
        </w:tc>
        <w:tc>
          <w:tcPr>
            <w:tcW w:w="900" w:type="dxa"/>
            <w:vAlign w:val="center"/>
          </w:tcPr>
          <w:p w14:paraId="599F4886">
            <w:pPr>
              <w:pStyle w:val="18"/>
              <w:ind w:firstLine="420"/>
              <w:rPr>
                <w:color w:val="000000" w:themeColor="text1"/>
                <w:sz w:val="21"/>
                <w:szCs w:val="21"/>
                <w14:textFill>
                  <w14:solidFill>
                    <w14:schemeClr w14:val="tx1"/>
                  </w14:solidFill>
                </w14:textFill>
              </w:rPr>
            </w:pPr>
            <w:bookmarkStart w:id="1427" w:name="_Toc14042"/>
            <w:bookmarkStart w:id="1428" w:name="_Toc407"/>
            <w:bookmarkStart w:id="1429" w:name="_Toc25818"/>
            <w:bookmarkStart w:id="1430" w:name="_Toc7140"/>
            <w:bookmarkStart w:id="1431" w:name="_Toc22496"/>
            <w:bookmarkStart w:id="1432" w:name="_Toc17026"/>
            <w:bookmarkStart w:id="1433" w:name="_Toc28405"/>
            <w:r>
              <w:rPr>
                <w:color w:val="000000" w:themeColor="text1"/>
                <w:sz w:val="21"/>
                <w:szCs w:val="21"/>
                <w14:textFill>
                  <w14:solidFill>
                    <w14:schemeClr w14:val="tx1"/>
                  </w14:solidFill>
                </w14:textFill>
              </w:rPr>
              <w:t>参数</w:t>
            </w:r>
            <w:bookmarkEnd w:id="1427"/>
            <w:bookmarkEnd w:id="1428"/>
            <w:bookmarkEnd w:id="1429"/>
            <w:bookmarkEnd w:id="1430"/>
            <w:bookmarkEnd w:id="1431"/>
            <w:bookmarkEnd w:id="1432"/>
            <w:bookmarkEnd w:id="1433"/>
          </w:p>
        </w:tc>
      </w:tr>
      <w:tr w14:paraId="0B67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7" w:type="dxa"/>
            <w:vAlign w:val="center"/>
          </w:tcPr>
          <w:p w14:paraId="0C2C09BE">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钻孔孔径Φ</w:t>
            </w:r>
          </w:p>
        </w:tc>
        <w:tc>
          <w:tcPr>
            <w:tcW w:w="1317" w:type="dxa"/>
            <w:vAlign w:val="center"/>
          </w:tcPr>
          <w:p w14:paraId="107E8821">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mm</w:t>
            </w:r>
          </w:p>
        </w:tc>
        <w:tc>
          <w:tcPr>
            <w:tcW w:w="2003" w:type="dxa"/>
            <w:vAlign w:val="center"/>
          </w:tcPr>
          <w:p w14:paraId="6139261D">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105</w:t>
            </w:r>
          </w:p>
        </w:tc>
        <w:tc>
          <w:tcPr>
            <w:tcW w:w="1457" w:type="dxa"/>
            <w:vAlign w:val="center"/>
          </w:tcPr>
          <w:p w14:paraId="6878155A">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钻孔深度</w:t>
            </w:r>
          </w:p>
        </w:tc>
        <w:tc>
          <w:tcPr>
            <w:tcW w:w="857" w:type="dxa"/>
            <w:vAlign w:val="center"/>
          </w:tcPr>
          <w:p w14:paraId="61D81055">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p>
        </w:tc>
        <w:tc>
          <w:tcPr>
            <w:tcW w:w="900" w:type="dxa"/>
            <w:vAlign w:val="center"/>
          </w:tcPr>
          <w:p w14:paraId="38F789A3">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r>
      <w:tr w14:paraId="575F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7" w:type="dxa"/>
            <w:vAlign w:val="center"/>
          </w:tcPr>
          <w:p w14:paraId="2E5ECC65">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动力参数</w:t>
            </w:r>
          </w:p>
        </w:tc>
        <w:tc>
          <w:tcPr>
            <w:tcW w:w="1317" w:type="dxa"/>
            <w:vAlign w:val="center"/>
          </w:tcPr>
          <w:p w14:paraId="05D3FBB0">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kW</w:t>
            </w:r>
          </w:p>
        </w:tc>
        <w:tc>
          <w:tcPr>
            <w:tcW w:w="2003" w:type="dxa"/>
            <w:vAlign w:val="center"/>
          </w:tcPr>
          <w:p w14:paraId="306B3CDF">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457" w:type="dxa"/>
            <w:vAlign w:val="center"/>
          </w:tcPr>
          <w:p w14:paraId="1D0AF7C1">
            <w:pPr>
              <w:pStyle w:val="18"/>
              <w:ind w:firstLine="420"/>
              <w:rPr>
                <w:color w:val="000000" w:themeColor="text1"/>
                <w:sz w:val="21"/>
                <w:szCs w:val="21"/>
                <w14:textFill>
                  <w14:solidFill>
                    <w14:schemeClr w14:val="tx1"/>
                  </w14:solidFill>
                </w14:textFill>
              </w:rPr>
            </w:pPr>
            <w:bookmarkStart w:id="1434" w:name="_Toc32106"/>
            <w:bookmarkStart w:id="1435" w:name="_Toc24843"/>
            <w:bookmarkStart w:id="1436" w:name="_Toc13228"/>
            <w:bookmarkStart w:id="1437" w:name="_Toc11231"/>
            <w:bookmarkStart w:id="1438" w:name="_Toc29814"/>
            <w:r>
              <w:rPr>
                <w:color w:val="000000" w:themeColor="text1"/>
                <w:sz w:val="21"/>
                <w:szCs w:val="21"/>
                <w14:textFill>
                  <w14:solidFill>
                    <w14:schemeClr w14:val="tx1"/>
                  </w14:solidFill>
                </w14:textFill>
              </w:rPr>
              <w:t>爬坡能力</w:t>
            </w:r>
            <w:bookmarkEnd w:id="1434"/>
            <w:bookmarkEnd w:id="1435"/>
            <w:bookmarkEnd w:id="1436"/>
            <w:bookmarkEnd w:id="1437"/>
            <w:bookmarkEnd w:id="1438"/>
          </w:p>
        </w:tc>
        <w:tc>
          <w:tcPr>
            <w:tcW w:w="857" w:type="dxa"/>
            <w:vAlign w:val="center"/>
          </w:tcPr>
          <w:p w14:paraId="48CF5831">
            <w:pPr>
              <w:pStyle w:val="18"/>
              <w:ind w:firstLine="420"/>
              <w:rPr>
                <w:color w:val="000000" w:themeColor="text1"/>
                <w:sz w:val="21"/>
                <w:szCs w:val="21"/>
                <w14:textFill>
                  <w14:solidFill>
                    <w14:schemeClr w14:val="tx1"/>
                  </w14:solidFill>
                </w14:textFill>
              </w:rPr>
            </w:pPr>
            <w:bookmarkStart w:id="1439" w:name="_Toc22520"/>
            <w:bookmarkStart w:id="1440" w:name="_Toc27355"/>
            <w:bookmarkStart w:id="1441" w:name="_Toc28532"/>
            <w:bookmarkStart w:id="1442" w:name="_Toc19498"/>
            <w:bookmarkStart w:id="1443" w:name="_Toc5827"/>
            <w:r>
              <w:rPr>
                <w:color w:val="000000" w:themeColor="text1"/>
                <w:sz w:val="21"/>
                <w:szCs w:val="21"/>
                <w14:textFill>
                  <w14:solidFill>
                    <w14:schemeClr w14:val="tx1"/>
                  </w14:solidFill>
                </w14:textFill>
              </w:rPr>
              <w:t>°</w:t>
            </w:r>
            <w:bookmarkEnd w:id="1439"/>
            <w:bookmarkEnd w:id="1440"/>
            <w:bookmarkEnd w:id="1441"/>
            <w:bookmarkEnd w:id="1442"/>
            <w:bookmarkEnd w:id="1443"/>
          </w:p>
        </w:tc>
        <w:tc>
          <w:tcPr>
            <w:tcW w:w="900" w:type="dxa"/>
            <w:vAlign w:val="center"/>
          </w:tcPr>
          <w:p w14:paraId="557728AA">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r>
      <w:tr w14:paraId="5903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7" w:type="dxa"/>
            <w:vAlign w:val="center"/>
          </w:tcPr>
          <w:p w14:paraId="15EAF210">
            <w:pPr>
              <w:pStyle w:val="18"/>
              <w:ind w:firstLine="420"/>
              <w:rPr>
                <w:color w:val="000000" w:themeColor="text1"/>
                <w:sz w:val="21"/>
                <w:szCs w:val="21"/>
                <w14:textFill>
                  <w14:solidFill>
                    <w14:schemeClr w14:val="tx1"/>
                  </w14:solidFill>
                </w14:textFill>
              </w:rPr>
            </w:pPr>
            <w:bookmarkStart w:id="1444" w:name="_Toc21268"/>
            <w:bookmarkStart w:id="1445" w:name="_Toc17796"/>
            <w:bookmarkStart w:id="1446" w:name="_Toc23412"/>
            <w:bookmarkStart w:id="1447" w:name="_Toc17821"/>
            <w:bookmarkStart w:id="1448" w:name="_Toc4630"/>
            <w:bookmarkStart w:id="1449" w:name="_Toc30231"/>
            <w:r>
              <w:rPr>
                <w:color w:val="000000" w:themeColor="text1"/>
                <w:sz w:val="21"/>
                <w:szCs w:val="21"/>
                <w14:textFill>
                  <w14:solidFill>
                    <w14:schemeClr w14:val="tx1"/>
                  </w14:solidFill>
                </w14:textFill>
              </w:rPr>
              <w:t>外形尺寸（长×宽×高）</w:t>
            </w:r>
            <w:bookmarkEnd w:id="1444"/>
            <w:bookmarkEnd w:id="1445"/>
            <w:bookmarkEnd w:id="1446"/>
            <w:bookmarkEnd w:id="1447"/>
            <w:bookmarkEnd w:id="1448"/>
            <w:bookmarkEnd w:id="1449"/>
          </w:p>
        </w:tc>
        <w:tc>
          <w:tcPr>
            <w:tcW w:w="1317" w:type="dxa"/>
            <w:vAlign w:val="center"/>
          </w:tcPr>
          <w:p w14:paraId="7155192A">
            <w:pPr>
              <w:pStyle w:val="18"/>
              <w:ind w:firstLine="420"/>
              <w:rPr>
                <w:color w:val="000000" w:themeColor="text1"/>
                <w:sz w:val="21"/>
                <w:szCs w:val="21"/>
                <w14:textFill>
                  <w14:solidFill>
                    <w14:schemeClr w14:val="tx1"/>
                  </w14:solidFill>
                </w14:textFill>
              </w:rPr>
            </w:pPr>
            <w:bookmarkStart w:id="1450" w:name="_Toc17782"/>
            <w:bookmarkStart w:id="1451" w:name="_Toc32133"/>
            <w:bookmarkStart w:id="1452" w:name="_Toc2418"/>
            <w:bookmarkStart w:id="1453" w:name="_Toc30738"/>
            <w:bookmarkStart w:id="1454" w:name="_Toc29582"/>
            <w:bookmarkStart w:id="1455" w:name="_Toc12858"/>
            <w:bookmarkStart w:id="1456" w:name="_Toc24526"/>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mm</w:t>
            </w:r>
            <w:bookmarkEnd w:id="1450"/>
            <w:bookmarkEnd w:id="1451"/>
            <w:bookmarkEnd w:id="1452"/>
            <w:bookmarkEnd w:id="1453"/>
            <w:bookmarkEnd w:id="1454"/>
            <w:bookmarkEnd w:id="1455"/>
            <w:bookmarkEnd w:id="1456"/>
            <w:r>
              <w:rPr>
                <w:rFonts w:hint="eastAsia"/>
                <w:color w:val="000000" w:themeColor="text1"/>
                <w:sz w:val="21"/>
                <w:szCs w:val="21"/>
                <w14:textFill>
                  <w14:solidFill>
                    <w14:schemeClr w14:val="tx1"/>
                  </w14:solidFill>
                </w14:textFill>
              </w:rPr>
              <w:t>)</w:t>
            </w:r>
          </w:p>
        </w:tc>
        <w:tc>
          <w:tcPr>
            <w:tcW w:w="2003" w:type="dxa"/>
            <w:vAlign w:val="center"/>
          </w:tcPr>
          <w:p w14:paraId="68B359CA">
            <w:pPr>
              <w:pStyle w:val="18"/>
              <w:ind w:firstLine="420"/>
              <w:rPr>
                <w:color w:val="000000" w:themeColor="text1"/>
                <w:sz w:val="21"/>
                <w:szCs w:val="21"/>
                <w14:textFill>
                  <w14:solidFill>
                    <w14:schemeClr w14:val="tx1"/>
                  </w14:solidFill>
                </w14:textFill>
              </w:rPr>
            </w:pPr>
            <w:bookmarkStart w:id="1457" w:name="_Toc16920"/>
            <w:bookmarkStart w:id="1458" w:name="_Toc16373"/>
            <w:bookmarkStart w:id="1459" w:name="_Toc21663"/>
            <w:bookmarkStart w:id="1460" w:name="_Toc247"/>
            <w:bookmarkStart w:id="1461" w:name="_Toc13626"/>
            <w:bookmarkStart w:id="1462" w:name="_Toc2290"/>
            <w:bookmarkStart w:id="1463" w:name="_Toc1305"/>
            <w:r>
              <w:rPr>
                <w:rFonts w:hint="eastAsia"/>
                <w:color w:val="000000" w:themeColor="text1"/>
                <w:sz w:val="21"/>
                <w:szCs w:val="21"/>
                <w14:textFill>
                  <w14:solidFill>
                    <w14:schemeClr w14:val="tx1"/>
                  </w14:solidFill>
                </w14:textFill>
              </w:rPr>
              <w:t>5500</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2000</w:t>
            </w:r>
            <w:r>
              <w:rPr>
                <w:color w:val="000000" w:themeColor="text1"/>
                <w:sz w:val="21"/>
                <w:szCs w:val="21"/>
                <w14:textFill>
                  <w14:solidFill>
                    <w14:schemeClr w14:val="tx1"/>
                  </w14:solidFill>
                </w14:textFill>
              </w:rPr>
              <w:t>×</w:t>
            </w:r>
            <w:bookmarkEnd w:id="1457"/>
            <w:bookmarkEnd w:id="1458"/>
            <w:r>
              <w:rPr>
                <w:color w:val="000000" w:themeColor="text1"/>
                <w:sz w:val="21"/>
                <w:szCs w:val="21"/>
                <w14:textFill>
                  <w14:solidFill>
                    <w14:schemeClr w14:val="tx1"/>
                  </w14:solidFill>
                </w14:textFill>
              </w:rPr>
              <w:t>2</w:t>
            </w:r>
            <w:bookmarkEnd w:id="1459"/>
            <w:bookmarkEnd w:id="1460"/>
            <w:bookmarkEnd w:id="1461"/>
            <w:bookmarkEnd w:id="1462"/>
            <w:bookmarkEnd w:id="1463"/>
            <w:r>
              <w:rPr>
                <w:rFonts w:hint="eastAsia"/>
                <w:color w:val="000000" w:themeColor="text1"/>
                <w:sz w:val="21"/>
                <w:szCs w:val="21"/>
                <w14:textFill>
                  <w14:solidFill>
                    <w14:schemeClr w14:val="tx1"/>
                  </w14:solidFill>
                </w14:textFill>
              </w:rPr>
              <w:t>100</w:t>
            </w:r>
          </w:p>
        </w:tc>
        <w:tc>
          <w:tcPr>
            <w:tcW w:w="1457" w:type="dxa"/>
            <w:vAlign w:val="center"/>
          </w:tcPr>
          <w:p w14:paraId="43888C33">
            <w:pPr>
              <w:pStyle w:val="18"/>
              <w:ind w:firstLine="420"/>
              <w:rPr>
                <w:color w:val="000000" w:themeColor="text1"/>
                <w:sz w:val="21"/>
                <w:szCs w:val="21"/>
                <w14:textFill>
                  <w14:solidFill>
                    <w14:schemeClr w14:val="tx1"/>
                  </w14:solidFill>
                </w14:textFill>
              </w:rPr>
            </w:pPr>
            <w:bookmarkStart w:id="1464" w:name="_Toc1682"/>
            <w:bookmarkStart w:id="1465" w:name="_Toc23590"/>
            <w:bookmarkStart w:id="1466" w:name="_Toc18199"/>
            <w:bookmarkStart w:id="1467" w:name="_Toc31132"/>
            <w:bookmarkStart w:id="1468" w:name="_Toc14383"/>
            <w:r>
              <w:rPr>
                <w:color w:val="000000" w:themeColor="text1"/>
                <w:sz w:val="21"/>
                <w:szCs w:val="21"/>
                <w14:textFill>
                  <w14:solidFill>
                    <w14:schemeClr w14:val="tx1"/>
                  </w14:solidFill>
                </w14:textFill>
              </w:rPr>
              <w:t>行走速度</w:t>
            </w:r>
            <w:bookmarkEnd w:id="1464"/>
            <w:bookmarkEnd w:id="1465"/>
            <w:bookmarkEnd w:id="1466"/>
            <w:bookmarkEnd w:id="1467"/>
            <w:bookmarkEnd w:id="1468"/>
          </w:p>
        </w:tc>
        <w:tc>
          <w:tcPr>
            <w:tcW w:w="857" w:type="dxa"/>
            <w:vAlign w:val="center"/>
          </w:tcPr>
          <w:p w14:paraId="687756FE">
            <w:pPr>
              <w:pStyle w:val="18"/>
              <w:ind w:firstLine="420"/>
              <w:rPr>
                <w:color w:val="000000" w:themeColor="text1"/>
                <w:sz w:val="21"/>
                <w:szCs w:val="21"/>
                <w14:textFill>
                  <w14:solidFill>
                    <w14:schemeClr w14:val="tx1"/>
                  </w14:solidFill>
                </w14:textFill>
              </w:rPr>
            </w:pPr>
            <w:bookmarkStart w:id="1469" w:name="_Toc26150"/>
            <w:bookmarkStart w:id="1470" w:name="_Toc20672"/>
            <w:bookmarkStart w:id="1471" w:name="_Toc17159"/>
            <w:bookmarkStart w:id="1472" w:name="_Toc13523"/>
            <w:bookmarkStart w:id="1473" w:name="_Toc9454"/>
            <w:r>
              <w:rPr>
                <w:rFonts w:hint="eastAsia"/>
                <w:color w:val="000000" w:themeColor="text1"/>
                <w:sz w:val="21"/>
                <w:szCs w:val="21"/>
                <w14:textFill>
                  <w14:solidFill>
                    <w14:schemeClr w14:val="tx1"/>
                  </w14:solidFill>
                </w14:textFill>
              </w:rPr>
              <w:t>k</w:t>
            </w:r>
            <w:r>
              <w:rPr>
                <w:color w:val="000000" w:themeColor="text1"/>
                <w:sz w:val="21"/>
                <w:szCs w:val="21"/>
                <w14:textFill>
                  <w14:solidFill>
                    <w14:schemeClr w14:val="tx1"/>
                  </w14:solidFill>
                </w14:textFill>
              </w:rPr>
              <w:t>m/</w:t>
            </w:r>
            <w:bookmarkEnd w:id="1469"/>
            <w:bookmarkEnd w:id="1470"/>
            <w:bookmarkEnd w:id="1471"/>
            <w:bookmarkEnd w:id="1472"/>
            <w:bookmarkEnd w:id="1473"/>
            <w:r>
              <w:rPr>
                <w:rFonts w:hint="eastAsia"/>
                <w:color w:val="000000" w:themeColor="text1"/>
                <w:sz w:val="21"/>
                <w:szCs w:val="21"/>
                <w14:textFill>
                  <w14:solidFill>
                    <w14:schemeClr w14:val="tx1"/>
                  </w14:solidFill>
                </w14:textFill>
              </w:rPr>
              <w:t>h</w:t>
            </w:r>
          </w:p>
        </w:tc>
        <w:tc>
          <w:tcPr>
            <w:tcW w:w="900" w:type="dxa"/>
            <w:vAlign w:val="center"/>
          </w:tcPr>
          <w:p w14:paraId="45513FA4">
            <w:pPr>
              <w:pStyle w:val="18"/>
              <w:ind w:firstLine="420"/>
              <w:rPr>
                <w:color w:val="000000" w:themeColor="text1"/>
                <w:sz w:val="21"/>
                <w:szCs w:val="21"/>
                <w14:textFill>
                  <w14:solidFill>
                    <w14:schemeClr w14:val="tx1"/>
                  </w14:solidFill>
                </w14:textFill>
              </w:rPr>
            </w:pPr>
            <w:bookmarkStart w:id="1474" w:name="_Toc27650"/>
            <w:bookmarkStart w:id="1475" w:name="_Toc1670"/>
            <w:bookmarkStart w:id="1476" w:name="_Toc19152"/>
            <w:bookmarkStart w:id="1477" w:name="_Toc16592"/>
            <w:bookmarkStart w:id="1478" w:name="_Toc18375"/>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w:t>
            </w:r>
            <w:bookmarkEnd w:id="1474"/>
            <w:bookmarkEnd w:id="1475"/>
            <w:bookmarkEnd w:id="1476"/>
            <w:bookmarkEnd w:id="1477"/>
            <w:bookmarkEnd w:id="1478"/>
            <w:r>
              <w:rPr>
                <w:rFonts w:hint="eastAsia"/>
                <w:color w:val="000000" w:themeColor="text1"/>
                <w:sz w:val="21"/>
                <w:szCs w:val="21"/>
                <w14:textFill>
                  <w14:solidFill>
                    <w14:schemeClr w14:val="tx1"/>
                  </w14:solidFill>
                </w14:textFill>
              </w:rPr>
              <w:t>2.5</w:t>
            </w:r>
          </w:p>
        </w:tc>
      </w:tr>
      <w:tr w14:paraId="6436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7" w:type="dxa"/>
            <w:vAlign w:val="center"/>
          </w:tcPr>
          <w:p w14:paraId="6E2B564F">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回转速度</w:t>
            </w:r>
          </w:p>
        </w:tc>
        <w:tc>
          <w:tcPr>
            <w:tcW w:w="1317" w:type="dxa"/>
            <w:vAlign w:val="center"/>
          </w:tcPr>
          <w:p w14:paraId="0F9B0BD7">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rpm</w:t>
            </w:r>
          </w:p>
        </w:tc>
        <w:tc>
          <w:tcPr>
            <w:tcW w:w="2003" w:type="dxa"/>
            <w:vAlign w:val="center"/>
          </w:tcPr>
          <w:p w14:paraId="4A21E363">
            <w:pPr>
              <w:pStyle w:val="18"/>
              <w:ind w:firstLine="420"/>
              <w:rPr>
                <w:color w:val="000000" w:themeColor="text1"/>
                <w:sz w:val="21"/>
                <w:szCs w:val="21"/>
                <w14:textFill>
                  <w14:solidFill>
                    <w14:schemeClr w14:val="tx1"/>
                  </w14:solidFill>
                </w14:textFill>
              </w:rPr>
            </w:pPr>
            <w:bookmarkStart w:id="1479" w:name="_Toc7788"/>
            <w:bookmarkStart w:id="1480" w:name="_Toc32363"/>
            <w:bookmarkStart w:id="1481" w:name="_Toc21443"/>
            <w:bookmarkStart w:id="1482" w:name="_Toc5712"/>
            <w:bookmarkStart w:id="1483" w:name="_Toc133"/>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bookmarkEnd w:id="1479"/>
            <w:bookmarkEnd w:id="1480"/>
            <w:bookmarkEnd w:id="1481"/>
            <w:bookmarkEnd w:id="1482"/>
            <w:bookmarkEnd w:id="1483"/>
            <w:r>
              <w:rPr>
                <w:rFonts w:hint="eastAsia"/>
                <w:color w:val="000000" w:themeColor="text1"/>
                <w:sz w:val="21"/>
                <w:szCs w:val="21"/>
                <w14:textFill>
                  <w14:solidFill>
                    <w14:schemeClr w14:val="tx1"/>
                  </w14:solidFill>
                </w14:textFill>
              </w:rPr>
              <w:t>1</w:t>
            </w:r>
          </w:p>
        </w:tc>
        <w:tc>
          <w:tcPr>
            <w:tcW w:w="1457" w:type="dxa"/>
            <w:vAlign w:val="center"/>
          </w:tcPr>
          <w:p w14:paraId="111D3438">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钻臂角度</w:t>
            </w:r>
          </w:p>
        </w:tc>
        <w:tc>
          <w:tcPr>
            <w:tcW w:w="857" w:type="dxa"/>
            <w:vAlign w:val="center"/>
          </w:tcPr>
          <w:p w14:paraId="2869075C">
            <w:pPr>
              <w:pStyle w:val="18"/>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900" w:type="dxa"/>
            <w:vAlign w:val="center"/>
          </w:tcPr>
          <w:p w14:paraId="604C250B">
            <w:pPr>
              <w:pStyle w:val="18"/>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r>
      <w:bookmarkEnd w:id="1392"/>
    </w:tbl>
    <w:p w14:paraId="06F475EE">
      <w:pPr>
        <w:ind w:firstLine="560"/>
        <w:rPr>
          <w:color w:val="000000" w:themeColor="text1"/>
          <w:szCs w:val="28"/>
          <w14:textFill>
            <w14:solidFill>
              <w14:schemeClr w14:val="tx1"/>
            </w14:solidFill>
          </w14:textFill>
        </w:rPr>
      </w:pPr>
      <w:bookmarkStart w:id="1484" w:name="_Hlk208943152"/>
      <w:r>
        <w:rPr>
          <w:color w:val="000000" w:themeColor="text1"/>
          <w:szCs w:val="28"/>
          <w14:textFill>
            <w14:solidFill>
              <w14:schemeClr w14:val="tx1"/>
            </w14:solidFill>
          </w14:textFill>
        </w:rPr>
        <w:t>经计算，该矿山配备</w:t>
      </w:r>
      <w:r>
        <w:rPr>
          <w:rFonts w:hint="eastAsia"/>
          <w:color w:val="000000" w:themeColor="text1"/>
          <w:szCs w:val="28"/>
          <w14:textFill>
            <w14:solidFill>
              <w14:schemeClr w14:val="tx1"/>
            </w14:solidFill>
          </w14:textFill>
        </w:rPr>
        <w:t>ZG</w:t>
      </w:r>
      <w:r>
        <w:rPr>
          <w:color w:val="000000" w:themeColor="text1"/>
          <w:szCs w:val="28"/>
          <w14:textFill>
            <w14:solidFill>
              <w14:schemeClr w14:val="tx1"/>
            </w14:solidFill>
          </w14:textFill>
        </w:rPr>
        <w:t>415-1履带式潜孔采矿钻机1台，可以满足矿山生产需求。</w:t>
      </w:r>
      <w:bookmarkEnd w:id="1484"/>
    </w:p>
    <w:p w14:paraId="6B5CF1F7">
      <w:pPr>
        <w:pStyle w:val="6"/>
        <w:spacing w:before="120" w:after="120"/>
        <w:rPr>
          <w:color w:val="000000" w:themeColor="text1"/>
          <w:lang w:val="zh-TW" w:eastAsia="zh-TW"/>
          <w14:textFill>
            <w14:solidFill>
              <w14:schemeClr w14:val="tx1"/>
            </w14:solidFill>
          </w14:textFill>
        </w:rPr>
      </w:pPr>
      <w:bookmarkStart w:id="1485" w:name="_Toc215070208"/>
      <w:r>
        <w:rPr>
          <w:rFonts w:hint="eastAsia"/>
          <w:color w:val="000000" w:themeColor="text1"/>
          <w14:textFill>
            <w14:solidFill>
              <w14:schemeClr w14:val="tx1"/>
            </w14:solidFill>
          </w14:textFill>
        </w:rPr>
        <w:t>2.4.6.11</w:t>
      </w:r>
      <w:r>
        <w:rPr>
          <w:color w:val="000000" w:themeColor="text1"/>
          <w:lang w:val="zh-TW" w:eastAsia="zh-TW"/>
          <w14:textFill>
            <w14:solidFill>
              <w14:schemeClr w14:val="tx1"/>
            </w14:solidFill>
          </w14:textFill>
        </w:rPr>
        <w:t>挖掘</w:t>
      </w:r>
      <w:r>
        <w:rPr>
          <w:rFonts w:hint="eastAsia"/>
          <w:color w:val="000000" w:themeColor="text1"/>
          <w14:textFill>
            <w14:solidFill>
              <w14:schemeClr w14:val="tx1"/>
            </w14:solidFill>
          </w14:textFill>
        </w:rPr>
        <w:t>铲装</w:t>
      </w:r>
      <w:r>
        <w:rPr>
          <w:color w:val="000000" w:themeColor="text1"/>
          <w:lang w:val="zh-TW" w:eastAsia="zh-TW"/>
          <w14:textFill>
            <w14:solidFill>
              <w14:schemeClr w14:val="tx1"/>
            </w14:solidFill>
          </w14:textFill>
        </w:rPr>
        <w:t>设备</w:t>
      </w:r>
      <w:bookmarkEnd w:id="1385"/>
      <w:bookmarkEnd w:id="1386"/>
      <w:bookmarkEnd w:id="1387"/>
      <w:bookmarkEnd w:id="1388"/>
      <w:bookmarkEnd w:id="1389"/>
      <w:bookmarkEnd w:id="1390"/>
      <w:bookmarkEnd w:id="1391"/>
      <w:bookmarkEnd w:id="1485"/>
    </w:p>
    <w:p w14:paraId="67BB8E02">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1、矿山利用现有1</w:t>
      </w:r>
      <w:r>
        <w:rPr>
          <w:rFonts w:hint="eastAsia"/>
          <w:color w:val="000000" w:themeColor="text1"/>
          <w:szCs w:val="28"/>
          <w14:textFill>
            <w14:solidFill>
              <w14:schemeClr w14:val="tx1"/>
            </w14:solidFill>
          </w14:textFill>
        </w:rPr>
        <w:t>台沃尔沃EC460BLC挖掘机</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1.8</w:t>
      </w:r>
      <w:r>
        <w:rPr>
          <w:color w:val="000000" w:themeColor="text1"/>
          <w:szCs w:val="28"/>
          <w14:textFill>
            <w14:solidFill>
              <w14:schemeClr w14:val="tx1"/>
            </w14:solidFill>
          </w14:textFill>
        </w:rPr>
        <w:t>m³）</w:t>
      </w:r>
      <w:r>
        <w:rPr>
          <w:color w:val="000000" w:themeColor="text1"/>
          <w14:textFill>
            <w14:solidFill>
              <w14:schemeClr w14:val="tx1"/>
            </w14:solidFill>
          </w14:textFill>
        </w:rPr>
        <w:t>进行剥及铲装作业及</w:t>
      </w:r>
      <w:r>
        <w:rPr>
          <w:color w:val="000000" w:themeColor="text1"/>
          <w:lang w:val="zh-TW" w:eastAsia="zh-TW"/>
          <w14:textFill>
            <w14:solidFill>
              <w14:schemeClr w14:val="tx1"/>
            </w14:solidFill>
          </w14:textFill>
        </w:rPr>
        <w:t>工作面残留的三角体处理、道路开拓、边坡处理等辅助作业。。</w:t>
      </w:r>
    </w:p>
    <w:p w14:paraId="2143D78B">
      <w:pPr>
        <w:ind w:firstLine="560"/>
        <w:rPr>
          <w:color w:val="000000" w:themeColor="text1"/>
          <w:szCs w:val="28"/>
          <w:lang w:val="zh-TW" w:eastAsia="zh-TW"/>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配备</w:t>
      </w:r>
      <w:r>
        <w:rPr>
          <w:rFonts w:hint="eastAsia"/>
          <w:color w:val="000000" w:themeColor="text1"/>
          <w:szCs w:val="28"/>
          <w14:textFill>
            <w14:solidFill>
              <w14:schemeClr w14:val="tx1"/>
            </w14:solidFill>
          </w14:textFill>
        </w:rPr>
        <w:t>沃尔沃EC460BLC挖掘机</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1.8</w:t>
      </w:r>
      <w:r>
        <w:rPr>
          <w:color w:val="000000" w:themeColor="text1"/>
          <w:szCs w:val="28"/>
          <w14:textFill>
            <w14:solidFill>
              <w14:schemeClr w14:val="tx1"/>
            </w14:solidFill>
          </w14:textFill>
        </w:rPr>
        <w:t>m</w:t>
      </w:r>
      <w:r>
        <w:rPr>
          <w:color w:val="000000" w:themeColor="text1"/>
          <w:szCs w:val="28"/>
          <w:vertAlign w:val="superscript"/>
          <w14:textFill>
            <w14:solidFill>
              <w14:schemeClr w14:val="tx1"/>
            </w14:solidFill>
          </w14:textFill>
        </w:rPr>
        <w:t>3</w:t>
      </w:r>
      <w:r>
        <w:rPr>
          <w:color w:val="000000" w:themeColor="text1"/>
          <w:szCs w:val="28"/>
          <w14:textFill>
            <w14:solidFill>
              <w14:schemeClr w14:val="tx1"/>
            </w14:solidFill>
          </w14:textFill>
        </w:rPr>
        <w:t>）年生产能力为</w:t>
      </w:r>
      <w:r>
        <w:rPr>
          <w:rFonts w:hint="eastAsia"/>
          <w:color w:val="000000" w:themeColor="text1"/>
          <w:szCs w:val="28"/>
          <w14:textFill>
            <w14:solidFill>
              <w14:schemeClr w14:val="tx1"/>
            </w14:solidFill>
          </w14:textFill>
        </w:rPr>
        <w:t>54.59</w:t>
      </w:r>
      <w:r>
        <w:rPr>
          <w:color w:val="000000" w:themeColor="text1"/>
          <w:szCs w:val="28"/>
          <w14:textFill>
            <w14:solidFill>
              <w14:schemeClr w14:val="tx1"/>
            </w14:solidFill>
          </w14:textFill>
        </w:rPr>
        <w:t>万t</w:t>
      </w:r>
      <w:r>
        <w:rPr>
          <w:color w:val="000000" w:themeColor="text1"/>
          <w:szCs w:val="28"/>
          <w:lang w:eastAsia="zh-TW"/>
          <w14:textFill>
            <w14:solidFill>
              <w14:schemeClr w14:val="tx1"/>
            </w14:solidFill>
          </w14:textFill>
        </w:rPr>
        <w:t>/</w:t>
      </w:r>
      <w:r>
        <w:rPr>
          <w:color w:val="000000" w:themeColor="text1"/>
          <w:szCs w:val="28"/>
          <w14:textFill>
            <w14:solidFill>
              <w14:schemeClr w14:val="tx1"/>
            </w14:solidFill>
          </w14:textFill>
        </w:rPr>
        <w:t>年</w:t>
      </w:r>
      <w:r>
        <w:rPr>
          <w:color w:val="000000" w:themeColor="text1"/>
          <w:szCs w:val="28"/>
          <w:lang w:eastAsia="zh-TW"/>
          <w14:textFill>
            <w14:solidFill>
              <w14:schemeClr w14:val="tx1"/>
            </w14:solidFill>
          </w14:textFill>
        </w:rPr>
        <w:t>，</w:t>
      </w:r>
      <w:r>
        <w:rPr>
          <w:color w:val="000000" w:themeColor="text1"/>
          <w:szCs w:val="28"/>
          <w14:textFill>
            <w14:solidFill>
              <w14:schemeClr w14:val="tx1"/>
            </w14:solidFill>
          </w14:textFill>
        </w:rPr>
        <w:t>大</w:t>
      </w:r>
      <w:r>
        <w:rPr>
          <w:color w:val="000000" w:themeColor="text1"/>
          <w:szCs w:val="28"/>
          <w:lang w:eastAsia="zh-TW"/>
          <w14:textFill>
            <w14:solidFill>
              <w14:schemeClr w14:val="tx1"/>
            </w14:solidFill>
          </w14:textFill>
        </w:rPr>
        <w:t>于矿山设计年产量</w:t>
      </w:r>
      <w:r>
        <w:rPr>
          <w:rFonts w:hint="eastAsia"/>
          <w:color w:val="000000" w:themeColor="text1"/>
          <w:szCs w:val="28"/>
          <w14:textFill>
            <w14:solidFill>
              <w14:schemeClr w14:val="tx1"/>
            </w14:solidFill>
          </w14:textFill>
        </w:rPr>
        <w:t>50万t</w:t>
      </w:r>
      <w:r>
        <w:rPr>
          <w:color w:val="000000" w:themeColor="text1"/>
          <w:szCs w:val="28"/>
          <w:lang w:eastAsia="zh-TW"/>
          <w14:textFill>
            <w14:solidFill>
              <w14:schemeClr w14:val="tx1"/>
            </w14:solidFill>
          </w14:textFill>
        </w:rPr>
        <w:t>，能够满足矿山生产需求。</w:t>
      </w:r>
    </w:p>
    <w:p w14:paraId="42B0A9CA">
      <w:pPr>
        <w:ind w:firstLine="560"/>
        <w:rPr>
          <w:color w:val="000000" w:themeColor="text1"/>
          <w:lang w:val="zh-TW" w:eastAsia="zh-TW"/>
          <w14:textFill>
            <w14:solidFill>
              <w14:schemeClr w14:val="tx1"/>
            </w14:solidFill>
          </w14:textFill>
        </w:rPr>
      </w:pPr>
      <w:bookmarkStart w:id="1486" w:name="_Toc8670"/>
      <w:bookmarkStart w:id="1487" w:name="_Toc8663"/>
      <w:bookmarkStart w:id="1488" w:name="_Toc8044"/>
      <w:r>
        <w:rPr>
          <w:rFonts w:hint="eastAsia"/>
          <w:color w:val="000000" w:themeColor="text1"/>
          <w14:textFill>
            <w14:solidFill>
              <w14:schemeClr w14:val="tx1"/>
            </w14:solidFill>
          </w14:textFill>
        </w:rPr>
        <w:t>3、</w:t>
      </w:r>
      <w:r>
        <w:rPr>
          <w:color w:val="000000" w:themeColor="text1"/>
          <w:lang w:val="zh-TW" w:eastAsia="zh-TW"/>
          <w14:textFill>
            <w14:solidFill>
              <w14:schemeClr w14:val="tx1"/>
            </w14:solidFill>
          </w14:textFill>
        </w:rPr>
        <w:t>按照可布置的挖掘机工作面数目</w:t>
      </w:r>
      <w:bookmarkEnd w:id="1486"/>
      <w:bookmarkEnd w:id="1487"/>
      <w:bookmarkEnd w:id="1488"/>
    </w:p>
    <w:p w14:paraId="0E6E905D">
      <w:pPr>
        <w:ind w:firstLine="560"/>
        <w:rPr>
          <w:color w:val="000000" w:themeColor="text1"/>
          <w:szCs w:val="28"/>
          <w:lang w:val="zh-TW" w:eastAsia="zh-TW"/>
          <w14:textFill>
            <w14:solidFill>
              <w14:schemeClr w14:val="tx1"/>
            </w14:solidFill>
          </w14:textFill>
        </w:rPr>
      </w:pPr>
      <w:r>
        <w:rPr>
          <w:color w:val="000000" w:themeColor="text1"/>
          <w:lang w:val="zh-TW" w:eastAsia="zh-TW"/>
          <w14:textFill>
            <w14:solidFill>
              <w14:schemeClr w14:val="tx1"/>
            </w14:solidFill>
          </w14:textFill>
        </w:rPr>
        <w:t>正常情况下</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m³</w:t>
      </w:r>
      <w:r>
        <w:rPr>
          <w:color w:val="000000" w:themeColor="text1"/>
          <w:lang w:val="zh-TW" w:eastAsia="zh-TW"/>
          <w14:textFill>
            <w14:solidFill>
              <w14:schemeClr w14:val="tx1"/>
            </w14:solidFill>
          </w14:textFill>
        </w:rPr>
        <w:t>挖掘机占用最小工作线长度为</w:t>
      </w:r>
      <w:r>
        <w:rPr>
          <w:color w:val="000000" w:themeColor="text1"/>
          <w14:textFill>
            <w14:solidFill>
              <w14:schemeClr w14:val="tx1"/>
            </w14:solidFill>
          </w14:textFill>
        </w:rPr>
        <w:t>6</w:t>
      </w:r>
      <w:r>
        <w:rPr>
          <w:color w:val="000000" w:themeColor="text1"/>
          <w:lang w:val="zh-TW" w:eastAsia="zh-TW"/>
          <w14:textFill>
            <w14:solidFill>
              <w14:schemeClr w14:val="tx1"/>
            </w14:solidFill>
          </w14:textFill>
        </w:rPr>
        <w:t>0m</w:t>
      </w:r>
      <w:r>
        <w:rPr>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而国内许多原料矿山目前挖掘设备的实际占用长度都较短，但通过加强生产管理、科学</w:t>
      </w:r>
      <w:r>
        <w:rPr>
          <w:color w:val="000000" w:themeColor="text1"/>
          <w:szCs w:val="28"/>
          <w:lang w:val="zh-TW" w:eastAsia="zh-TW"/>
          <w14:textFill>
            <w14:solidFill>
              <w14:schemeClr w14:val="tx1"/>
            </w14:solidFill>
          </w14:textFill>
        </w:rPr>
        <w:t>组织，都能完成生产定额。矿山</w:t>
      </w:r>
      <w:r>
        <w:rPr>
          <w:color w:val="000000" w:themeColor="text1"/>
          <w:szCs w:val="28"/>
          <w14:textFill>
            <w14:solidFill>
              <w14:schemeClr w14:val="tx1"/>
            </w14:solidFill>
          </w14:textFill>
        </w:rPr>
        <w:t>采用1</w:t>
      </w:r>
      <w:r>
        <w:rPr>
          <w:color w:val="000000" w:themeColor="text1"/>
          <w:szCs w:val="28"/>
          <w:lang w:val="zh-TW" w:eastAsia="zh-TW"/>
          <w14:textFill>
            <w14:solidFill>
              <w14:schemeClr w14:val="tx1"/>
            </w14:solidFill>
          </w14:textFill>
        </w:rPr>
        <w:t>个工作面开采，工作线最小长度都大于</w:t>
      </w:r>
      <w:r>
        <w:rPr>
          <w:rFonts w:hint="eastAsia"/>
          <w:color w:val="000000" w:themeColor="text1"/>
          <w:szCs w:val="28"/>
          <w14:textFill>
            <w14:solidFill>
              <w14:schemeClr w14:val="tx1"/>
            </w14:solidFill>
          </w14:textFill>
        </w:rPr>
        <w:t>60</w:t>
      </w:r>
      <w:r>
        <w:rPr>
          <w:color w:val="000000" w:themeColor="text1"/>
          <w:szCs w:val="28"/>
          <w:lang w:val="zh-TW" w:eastAsia="zh-TW"/>
          <w14:textFill>
            <w14:solidFill>
              <w14:schemeClr w14:val="tx1"/>
            </w14:solidFill>
          </w14:textFill>
        </w:rPr>
        <w:t>m</w:t>
      </w:r>
      <w:r>
        <w:rPr>
          <w:color w:val="000000" w:themeColor="text1"/>
          <w:szCs w:val="28"/>
          <w:lang w:val="zh-TW"/>
          <w14:textFill>
            <w14:solidFill>
              <w14:schemeClr w14:val="tx1"/>
            </w14:solidFill>
          </w14:textFill>
        </w:rPr>
        <w:t>，</w:t>
      </w:r>
      <w:r>
        <w:rPr>
          <w:color w:val="000000" w:themeColor="text1"/>
          <w:szCs w:val="28"/>
          <w:lang w:val="zh-TW" w:eastAsia="zh-TW"/>
          <w14:textFill>
            <w14:solidFill>
              <w14:schemeClr w14:val="tx1"/>
            </w14:solidFill>
          </w14:textFill>
        </w:rPr>
        <w:t>宽度都大于</w:t>
      </w:r>
      <w:r>
        <w:rPr>
          <w:rFonts w:hint="eastAsia"/>
          <w:color w:val="000000" w:themeColor="text1"/>
          <w:szCs w:val="28"/>
          <w14:textFill>
            <w14:solidFill>
              <w14:schemeClr w14:val="tx1"/>
            </w14:solidFill>
          </w14:textFill>
        </w:rPr>
        <w:t>3</w:t>
      </w:r>
      <w:r>
        <w:rPr>
          <w:color w:val="000000" w:themeColor="text1"/>
          <w:szCs w:val="28"/>
          <w:lang w:val="zh-TW" w:eastAsia="zh-TW"/>
          <w14:textFill>
            <w14:solidFill>
              <w14:schemeClr w14:val="tx1"/>
            </w14:solidFill>
          </w14:textFill>
        </w:rPr>
        <w:t>0m</w:t>
      </w:r>
      <w:r>
        <w:rPr>
          <w:color w:val="000000" w:themeColor="text1"/>
          <w:szCs w:val="28"/>
          <w:lang w:val="zh-TW"/>
          <w14:textFill>
            <w14:solidFill>
              <w14:schemeClr w14:val="tx1"/>
            </w14:solidFill>
          </w14:textFill>
        </w:rPr>
        <w:t>，</w:t>
      </w:r>
      <w:r>
        <w:rPr>
          <w:color w:val="000000" w:themeColor="text1"/>
          <w:szCs w:val="28"/>
          <w:lang w:val="zh-TW" w:eastAsia="zh-TW"/>
          <w14:textFill>
            <w14:solidFill>
              <w14:schemeClr w14:val="tx1"/>
            </w14:solidFill>
          </w14:textFill>
        </w:rPr>
        <w:t>可以布置下所配置的挖掘设备，能够保证满足矿山年产</w:t>
      </w:r>
      <w:r>
        <w:rPr>
          <w:rFonts w:hint="eastAsia"/>
          <w:color w:val="000000" w:themeColor="text1"/>
          <w:szCs w:val="28"/>
          <w14:textFill>
            <w14:solidFill>
              <w14:schemeClr w14:val="tx1"/>
            </w14:solidFill>
          </w14:textFill>
        </w:rPr>
        <w:t>50万</w:t>
      </w:r>
      <w:r>
        <w:rPr>
          <w:color w:val="000000" w:themeColor="text1"/>
          <w:szCs w:val="28"/>
          <w14:textFill>
            <w14:solidFill>
              <w14:schemeClr w14:val="tx1"/>
            </w14:solidFill>
          </w14:textFill>
        </w:rPr>
        <w:t>t</w:t>
      </w:r>
      <w:r>
        <w:rPr>
          <w:color w:val="000000" w:themeColor="text1"/>
          <w:szCs w:val="28"/>
          <w:lang w:val="zh-TW" w:eastAsia="zh-TW"/>
          <w14:textFill>
            <w14:solidFill>
              <w14:schemeClr w14:val="tx1"/>
            </w14:solidFill>
          </w14:textFill>
        </w:rPr>
        <w:t>的生产需要。</w:t>
      </w:r>
    </w:p>
    <w:p w14:paraId="42A4FB6E">
      <w:pPr>
        <w:pStyle w:val="5"/>
        <w:spacing w:after="120"/>
        <w:rPr>
          <w:color w:val="000000" w:themeColor="text1"/>
          <w14:textFill>
            <w14:solidFill>
              <w14:schemeClr w14:val="tx1"/>
            </w14:solidFill>
          </w14:textFill>
        </w:rPr>
      </w:pPr>
      <w:bookmarkStart w:id="1489" w:name="_Toc11856"/>
      <w:bookmarkStart w:id="1490" w:name="_Toc21464"/>
      <w:bookmarkStart w:id="1491" w:name="_Toc3898"/>
      <w:bookmarkStart w:id="1492" w:name="_Toc215070209"/>
      <w:bookmarkStart w:id="1493" w:name="_Toc14712"/>
      <w:bookmarkStart w:id="1494" w:name="_Toc18540"/>
      <w:bookmarkStart w:id="1495" w:name="_Toc5933"/>
      <w:bookmarkStart w:id="1496" w:name="_Toc5419"/>
      <w:bookmarkStart w:id="1497" w:name="_Toc16109"/>
      <w:bookmarkStart w:id="1498" w:name="_Toc2220"/>
      <w:r>
        <w:rPr>
          <w:rFonts w:hint="eastAsia"/>
          <w:color w:val="000000" w:themeColor="text1"/>
          <w14:textFill>
            <w14:solidFill>
              <w14:schemeClr w14:val="tx1"/>
            </w14:solidFill>
          </w14:textFill>
        </w:rPr>
        <w:t>2.4.7防尘</w:t>
      </w:r>
      <w:bookmarkEnd w:id="1377"/>
      <w:bookmarkEnd w:id="1378"/>
      <w:bookmarkEnd w:id="1379"/>
      <w:bookmarkEnd w:id="1380"/>
      <w:bookmarkEnd w:id="1381"/>
      <w:bookmarkEnd w:id="1382"/>
      <w:bookmarkEnd w:id="1489"/>
      <w:bookmarkEnd w:id="1490"/>
      <w:bookmarkEnd w:id="1491"/>
      <w:bookmarkEnd w:id="1492"/>
      <w:bookmarkEnd w:id="1493"/>
      <w:bookmarkEnd w:id="1494"/>
      <w:bookmarkEnd w:id="1495"/>
      <w:bookmarkEnd w:id="1496"/>
      <w:bookmarkEnd w:id="1497"/>
      <w:bookmarkEnd w:id="1498"/>
    </w:p>
    <w:p w14:paraId="4E4E74EA">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zh-TW" w:eastAsia="zh-TW"/>
          <w14:textFill>
            <w14:solidFill>
              <w14:schemeClr w14:val="tx1"/>
            </w14:solidFill>
          </w14:textFill>
        </w:rPr>
        <w:t>粉尘主要发生于穿孔、爆破、运输等环节引起的粉尘飞扬，以及随风再次粉尘飞扬。有害气体主要来自炸药爆炸、燃油机器排出的废气等。</w:t>
      </w:r>
    </w:p>
    <w:p w14:paraId="32E81990">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zh-TW" w:eastAsia="zh-TW"/>
          <w14:textFill>
            <w14:solidFill>
              <w14:schemeClr w14:val="tx1"/>
            </w14:solidFill>
          </w14:textFill>
        </w:rPr>
        <w:t>露天采场</w:t>
      </w:r>
      <w:r>
        <w:rPr>
          <w:rFonts w:hint="eastAsia"/>
          <w:color w:val="000000" w:themeColor="text1"/>
          <w:lang w:val="zh-TW"/>
          <w14:textFill>
            <w14:solidFill>
              <w14:schemeClr w14:val="tx1"/>
            </w14:solidFill>
          </w14:textFill>
        </w:rPr>
        <w:t>穿孔</w:t>
      </w:r>
      <w:r>
        <w:rPr>
          <w:rFonts w:hint="eastAsia"/>
          <w:color w:val="000000" w:themeColor="text1"/>
          <w:lang w:val="zh-TW" w:eastAsia="zh-TW"/>
          <w14:textFill>
            <w14:solidFill>
              <w14:schemeClr w14:val="tx1"/>
            </w14:solidFill>
          </w14:textFill>
        </w:rPr>
        <w:t>爆破、铲装卸载及汽车运输所产生的粉尘，选用带有收尘</w:t>
      </w:r>
      <w:r>
        <w:rPr>
          <w:rFonts w:hint="eastAsia"/>
          <w:color w:val="000000" w:themeColor="text1"/>
          <w14:textFill>
            <w14:solidFill>
              <w14:schemeClr w14:val="tx1"/>
            </w14:solidFill>
          </w14:textFill>
        </w:rPr>
        <w:t>器</w:t>
      </w:r>
      <w:r>
        <w:rPr>
          <w:rFonts w:hint="eastAsia"/>
          <w:color w:val="000000" w:themeColor="text1"/>
          <w:lang w:val="zh-TW" w:eastAsia="zh-TW"/>
          <w14:textFill>
            <w14:solidFill>
              <w14:schemeClr w14:val="tx1"/>
            </w14:solidFill>
          </w14:textFill>
        </w:rPr>
        <w:t>钻机，为防止铲装工作时的飞尘，采用对道路和爆堆洒水措施降尘。</w:t>
      </w:r>
    </w:p>
    <w:p w14:paraId="0D297A04">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TW" w:eastAsia="zh-TW"/>
          <w14:textFill>
            <w14:solidFill>
              <w14:schemeClr w14:val="tx1"/>
            </w14:solidFill>
          </w14:textFill>
        </w:rPr>
        <w:t>对爆堆和其它装卸地点，均采用喷雾洒水措施，有条件的地方安装喷雾器组成的水幕。采场路面要经常洒水抑尘降温，充分利用矿山配置的洒水车。</w:t>
      </w:r>
    </w:p>
    <w:p w14:paraId="0B3A909F">
      <w:pPr>
        <w:ind w:firstLine="560"/>
        <w:rPr>
          <w:color w:val="000000" w:themeColor="text1"/>
          <w:lang w:val="zh-TW" w:eastAsia="zh-TW"/>
          <w14:textFill>
            <w14:solidFill>
              <w14:schemeClr w14:val="tx1"/>
            </w14:solidFill>
          </w14:textFill>
        </w:rPr>
      </w:pPr>
      <w:bookmarkStart w:id="1499" w:name="_Toc40"/>
      <w:bookmarkStart w:id="1500" w:name="_Toc19444"/>
      <w:bookmarkStart w:id="1501" w:name="_Toc5364"/>
      <w:r>
        <w:rPr>
          <w:rFonts w:hint="eastAsia"/>
          <w:color w:val="000000" w:themeColor="text1"/>
          <w14:textFill>
            <w14:solidFill>
              <w14:schemeClr w14:val="tx1"/>
            </w14:solidFill>
          </w14:textFill>
        </w:rPr>
        <w:t>4、作业人员佩戴口罩，加强个体防护</w:t>
      </w:r>
      <w:r>
        <w:rPr>
          <w:rFonts w:hint="eastAsia"/>
          <w:color w:val="000000" w:themeColor="text1"/>
          <w:lang w:val="zh-TW" w:eastAsia="zh-TW"/>
          <w14:textFill>
            <w14:solidFill>
              <w14:schemeClr w14:val="tx1"/>
            </w14:solidFill>
          </w14:textFill>
        </w:rPr>
        <w:t>。</w:t>
      </w:r>
      <w:bookmarkEnd w:id="1499"/>
      <w:bookmarkEnd w:id="1500"/>
      <w:bookmarkEnd w:id="1501"/>
    </w:p>
    <w:p w14:paraId="60CADAD5">
      <w:pPr>
        <w:pStyle w:val="5"/>
        <w:spacing w:after="120"/>
        <w:rPr>
          <w:color w:val="000000" w:themeColor="text1"/>
          <w14:textFill>
            <w14:solidFill>
              <w14:schemeClr w14:val="tx1"/>
            </w14:solidFill>
          </w14:textFill>
        </w:rPr>
      </w:pPr>
      <w:bookmarkStart w:id="1502" w:name="_Toc28093"/>
      <w:bookmarkStart w:id="1503" w:name="_Toc28067"/>
      <w:bookmarkStart w:id="1504" w:name="_Toc27959"/>
      <w:bookmarkStart w:id="1505" w:name="_Toc392680678"/>
      <w:bookmarkStart w:id="1506" w:name="_Toc23889"/>
      <w:bookmarkStart w:id="1507" w:name="_Toc26418"/>
      <w:bookmarkStart w:id="1508" w:name="_Toc7450"/>
      <w:bookmarkStart w:id="1509" w:name="_Toc29178"/>
      <w:bookmarkStart w:id="1510" w:name="_Toc21154"/>
      <w:bookmarkStart w:id="1511" w:name="_Toc17304"/>
      <w:bookmarkStart w:id="1512" w:name="_Toc215070210"/>
      <w:bookmarkStart w:id="1513" w:name="_Toc16368"/>
      <w:bookmarkStart w:id="1514" w:name="_Toc3915"/>
      <w:bookmarkStart w:id="1515" w:name="_Toc26309"/>
      <w:bookmarkStart w:id="1516" w:name="_Toc17297"/>
      <w:bookmarkStart w:id="1517" w:name="_Toc30628"/>
      <w:bookmarkStart w:id="1518" w:name="_Toc137793190"/>
      <w:bookmarkStart w:id="1519" w:name="_Toc136657759"/>
      <w:bookmarkStart w:id="1520" w:name="_Toc106473526"/>
      <w:bookmarkStart w:id="1521" w:name="_Toc69278765"/>
      <w:r>
        <w:rPr>
          <w:rFonts w:hint="eastAsia"/>
          <w:color w:val="000000" w:themeColor="text1"/>
          <w14:textFill>
            <w14:solidFill>
              <w14:schemeClr w14:val="tx1"/>
            </w14:solidFill>
          </w14:textFill>
        </w:rPr>
        <w:t>2.4.</w:t>
      </w:r>
      <w:bookmarkEnd w:id="1502"/>
      <w:bookmarkEnd w:id="1503"/>
      <w:bookmarkEnd w:id="1504"/>
      <w:bookmarkEnd w:id="1505"/>
      <w:bookmarkEnd w:id="1506"/>
      <w:r>
        <w:rPr>
          <w:rFonts w:hint="eastAsia"/>
          <w:color w:val="000000" w:themeColor="text1"/>
          <w14:textFill>
            <w14:solidFill>
              <w14:schemeClr w14:val="tx1"/>
            </w14:solidFill>
          </w14:textFill>
        </w:rPr>
        <w:t>8矿山供配电设施</w:t>
      </w:r>
      <w:bookmarkEnd w:id="1507"/>
      <w:r>
        <w:rPr>
          <w:rFonts w:hint="eastAsia"/>
          <w:color w:val="000000" w:themeColor="text1"/>
          <w14:textFill>
            <w14:solidFill>
              <w14:schemeClr w14:val="tx1"/>
            </w14:solidFill>
          </w14:textFill>
        </w:rPr>
        <w:t>及通讯</w:t>
      </w:r>
      <w:bookmarkEnd w:id="1508"/>
      <w:bookmarkEnd w:id="1509"/>
      <w:bookmarkEnd w:id="1510"/>
      <w:bookmarkEnd w:id="1511"/>
      <w:bookmarkEnd w:id="1512"/>
      <w:bookmarkEnd w:id="1513"/>
      <w:bookmarkEnd w:id="1514"/>
      <w:bookmarkEnd w:id="1515"/>
      <w:bookmarkEnd w:id="1516"/>
      <w:bookmarkEnd w:id="1517"/>
    </w:p>
    <w:p w14:paraId="613A0A9F">
      <w:pPr>
        <w:pStyle w:val="6"/>
        <w:spacing w:before="120" w:after="120"/>
        <w:rPr>
          <w:color w:val="000000" w:themeColor="text1"/>
          <w14:textFill>
            <w14:solidFill>
              <w14:schemeClr w14:val="tx1"/>
            </w14:solidFill>
          </w14:textFill>
        </w:rPr>
      </w:pPr>
      <w:bookmarkStart w:id="1522" w:name="_Toc6560"/>
      <w:bookmarkStart w:id="1523" w:name="_Toc16092"/>
      <w:bookmarkStart w:id="1524" w:name="_Toc12915"/>
      <w:bookmarkStart w:id="1525" w:name="_Toc18063"/>
      <w:bookmarkStart w:id="1526" w:name="_Toc235"/>
      <w:bookmarkStart w:id="1527" w:name="_Toc215070211"/>
      <w:bookmarkStart w:id="1528" w:name="_Toc12993"/>
      <w:bookmarkStart w:id="1529" w:name="_Toc31017"/>
      <w:bookmarkStart w:id="1530" w:name="_Toc18695"/>
      <w:bookmarkStart w:id="1531" w:name="_Toc392680679"/>
      <w:bookmarkStart w:id="1532" w:name="_Toc14744"/>
      <w:bookmarkStart w:id="1533" w:name="_Toc11431"/>
      <w:r>
        <w:rPr>
          <w:rFonts w:hint="eastAsia"/>
          <w:color w:val="000000" w:themeColor="text1"/>
          <w14:textFill>
            <w14:solidFill>
              <w14:schemeClr w14:val="tx1"/>
            </w14:solidFill>
          </w14:textFill>
        </w:rPr>
        <w:t>2.4.8.1</w:t>
      </w:r>
      <w:r>
        <w:rPr>
          <w:color w:val="000000" w:themeColor="text1"/>
          <w14:textFill>
            <w14:solidFill>
              <w14:schemeClr w14:val="tx1"/>
            </w14:solidFill>
          </w14:textFill>
        </w:rPr>
        <w:t>供配电系统</w:t>
      </w:r>
      <w:bookmarkEnd w:id="1522"/>
      <w:bookmarkEnd w:id="1523"/>
      <w:bookmarkEnd w:id="1524"/>
      <w:bookmarkEnd w:id="1525"/>
      <w:bookmarkEnd w:id="1526"/>
      <w:bookmarkEnd w:id="1527"/>
      <w:bookmarkEnd w:id="1528"/>
      <w:bookmarkEnd w:id="1529"/>
      <w:bookmarkEnd w:id="1530"/>
    </w:p>
    <w:p w14:paraId="0AB66F86">
      <w:pPr>
        <w:ind w:firstLine="560"/>
        <w:rPr>
          <w:color w:val="000000" w:themeColor="text1"/>
          <w:lang w:val="zh-TW"/>
          <w14:textFill>
            <w14:solidFill>
              <w14:schemeClr w14:val="tx1"/>
            </w14:solidFill>
          </w14:textFill>
        </w:rPr>
      </w:pPr>
      <w:r>
        <w:rPr>
          <w:bCs/>
          <w:color w:val="000000" w:themeColor="text1"/>
          <w14:textFill>
            <w14:solidFill>
              <w14:schemeClr w14:val="tx1"/>
            </w14:solidFill>
          </w14:textFill>
        </w:rPr>
        <w:t>1</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地区变配电站设施：</w:t>
      </w:r>
      <w:r>
        <w:rPr>
          <w:color w:val="000000" w:themeColor="text1"/>
          <w14:textFill>
            <w14:solidFill>
              <w14:schemeClr w14:val="tx1"/>
            </w14:solidFill>
          </w14:textFill>
        </w:rPr>
        <w:t>矿山用电主要是生活区、破碎站、空压机，矿山用电取用当地供电电网</w:t>
      </w:r>
      <w:r>
        <w:rPr>
          <w:color w:val="000000" w:themeColor="text1"/>
          <w:lang w:val="zh-TW"/>
          <w14:textFill>
            <w14:solidFill>
              <w14:schemeClr w14:val="tx1"/>
            </w14:solidFill>
          </w14:textFill>
        </w:rPr>
        <w:t>。</w:t>
      </w:r>
    </w:p>
    <w:p w14:paraId="13E12187">
      <w:pPr>
        <w:ind w:firstLine="560"/>
        <w:rPr>
          <w:color w:val="000000" w:themeColor="text1"/>
          <w:lang w:val="zh-TW"/>
          <w14:textFill>
            <w14:solidFill>
              <w14:schemeClr w14:val="tx1"/>
            </w14:solidFill>
          </w14:textFill>
        </w:rPr>
      </w:pP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工程供电的电压：工程供电的电压为</w:t>
      </w:r>
      <w:r>
        <w:rPr>
          <w:color w:val="000000" w:themeColor="text1"/>
          <w:lang w:val="zh-TW" w:eastAsia="zh-TW"/>
          <w14:textFill>
            <w14:solidFill>
              <w14:schemeClr w14:val="tx1"/>
            </w14:solidFill>
          </w14:textFill>
        </w:rPr>
        <w:t>10kV</w:t>
      </w:r>
      <w:r>
        <w:rPr>
          <w:color w:val="000000" w:themeColor="text1"/>
          <w:lang w:val="zh-TW"/>
          <w14:textFill>
            <w14:solidFill>
              <w14:schemeClr w14:val="tx1"/>
            </w14:solidFill>
          </w14:textFill>
        </w:rPr>
        <w:t>。</w:t>
      </w:r>
    </w:p>
    <w:p w14:paraId="3ECFF436">
      <w:pPr>
        <w:ind w:firstLine="56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供电线路</w:t>
      </w:r>
      <w:r>
        <w:rPr>
          <w:bCs/>
          <w:color w:val="000000" w:themeColor="text1"/>
          <w14:textFill>
            <w14:solidFill>
              <w14:schemeClr w14:val="tx1"/>
            </w14:solidFill>
          </w14:textFill>
        </w:rPr>
        <w:t>截面：</w:t>
      </w:r>
      <w:r>
        <w:rPr>
          <w:color w:val="000000" w:themeColor="text1"/>
          <w:szCs w:val="28"/>
          <w14:textFill>
            <w14:solidFill>
              <w14:schemeClr w14:val="tx1"/>
            </w14:solidFill>
          </w14:textFill>
        </w:rPr>
        <w:t>采用线径LGJ-70/10型导线，线径Φ70mm</w:t>
      </w:r>
      <w:r>
        <w:rPr>
          <w:color w:val="000000" w:themeColor="text1"/>
          <w:szCs w:val="28"/>
          <w:vertAlign w:val="superscript"/>
          <w14:textFill>
            <w14:solidFill>
              <w14:schemeClr w14:val="tx1"/>
            </w14:solidFill>
          </w14:textFill>
        </w:rPr>
        <w:t>2</w:t>
      </w:r>
      <w:r>
        <w:rPr>
          <w:color w:val="000000" w:themeColor="text1"/>
          <w14:textFill>
            <w14:solidFill>
              <w14:schemeClr w14:val="tx1"/>
            </w14:solidFill>
          </w14:textFill>
        </w:rPr>
        <w:t>。</w:t>
      </w:r>
    </w:p>
    <w:p w14:paraId="4AD88FFC">
      <w:pPr>
        <w:ind w:firstLine="560"/>
        <w:rPr>
          <w:bCs/>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供电线路</w:t>
      </w:r>
      <w:r>
        <w:rPr>
          <w:bCs/>
          <w:color w:val="000000" w:themeColor="text1"/>
          <w14:textFill>
            <w14:solidFill>
              <w14:schemeClr w14:val="tx1"/>
            </w14:solidFill>
          </w14:textFill>
        </w:rPr>
        <w:t>长度：</w:t>
      </w:r>
      <w:r>
        <w:rPr>
          <w:color w:val="000000" w:themeColor="text1"/>
          <w14:textFill>
            <w14:solidFill>
              <w14:schemeClr w14:val="tx1"/>
            </w14:solidFill>
          </w14:textFill>
        </w:rPr>
        <w:t>供电线路</w:t>
      </w:r>
      <w:r>
        <w:rPr>
          <w:bCs/>
          <w:color w:val="000000" w:themeColor="text1"/>
          <w14:textFill>
            <w14:solidFill>
              <w14:schemeClr w14:val="tx1"/>
            </w14:solidFill>
          </w14:textFill>
        </w:rPr>
        <w:t>长度约为</w:t>
      </w:r>
      <w:r>
        <w:rPr>
          <w:rFonts w:hint="eastAsia"/>
          <w:bCs/>
          <w:color w:val="000000" w:themeColor="text1"/>
          <w14:textFill>
            <w14:solidFill>
              <w14:schemeClr w14:val="tx1"/>
            </w14:solidFill>
          </w14:textFill>
        </w:rPr>
        <w:t>800</w:t>
      </w:r>
      <w:r>
        <w:rPr>
          <w:bCs/>
          <w:color w:val="000000" w:themeColor="text1"/>
          <w14:textFill>
            <w14:solidFill>
              <w14:schemeClr w14:val="tx1"/>
            </w14:solidFill>
          </w14:textFill>
        </w:rPr>
        <w:t>m。</w:t>
      </w:r>
    </w:p>
    <w:p w14:paraId="7118A49D">
      <w:pPr>
        <w:pStyle w:val="6"/>
        <w:spacing w:before="120" w:after="120"/>
        <w:rPr>
          <w:color w:val="000000" w:themeColor="text1"/>
          <w14:textFill>
            <w14:solidFill>
              <w14:schemeClr w14:val="tx1"/>
            </w14:solidFill>
          </w14:textFill>
        </w:rPr>
      </w:pPr>
      <w:bookmarkStart w:id="1534" w:name="_Toc215070212"/>
      <w:bookmarkStart w:id="1535" w:name="_Toc15867"/>
      <w:bookmarkStart w:id="1536" w:name="_Toc7274"/>
      <w:bookmarkStart w:id="1537" w:name="_Toc20300"/>
      <w:bookmarkStart w:id="1538" w:name="_Toc24148"/>
      <w:bookmarkStart w:id="1539" w:name="_Toc17824"/>
      <w:bookmarkStart w:id="1540" w:name="_Toc15302"/>
      <w:bookmarkStart w:id="1541" w:name="_Toc13966"/>
      <w:r>
        <w:rPr>
          <w:rFonts w:hint="eastAsia"/>
          <w:color w:val="000000" w:themeColor="text1"/>
          <w14:textFill>
            <w14:solidFill>
              <w14:schemeClr w14:val="tx1"/>
            </w14:solidFill>
          </w14:textFill>
        </w:rPr>
        <w:t>2.4.8.2电</w:t>
      </w:r>
      <w:bookmarkEnd w:id="1531"/>
      <w:bookmarkEnd w:id="1532"/>
      <w:bookmarkEnd w:id="1533"/>
      <w:r>
        <w:rPr>
          <w:rFonts w:hint="eastAsia"/>
          <w:color w:val="000000" w:themeColor="text1"/>
          <w14:textFill>
            <w14:solidFill>
              <w14:schemeClr w14:val="tx1"/>
            </w14:solidFill>
          </w14:textFill>
        </w:rPr>
        <w:t>气设施</w:t>
      </w:r>
      <w:bookmarkEnd w:id="1534"/>
      <w:bookmarkEnd w:id="1535"/>
      <w:bookmarkEnd w:id="1536"/>
      <w:bookmarkEnd w:id="1537"/>
      <w:bookmarkEnd w:id="1538"/>
      <w:bookmarkEnd w:id="1539"/>
      <w:bookmarkEnd w:id="1540"/>
      <w:bookmarkEnd w:id="1541"/>
    </w:p>
    <w:p w14:paraId="597014B8">
      <w:pPr>
        <w:ind w:firstLine="560"/>
        <w:rPr>
          <w:color w:val="000000" w:themeColor="text1"/>
          <w14:textFill>
            <w14:solidFill>
              <w14:schemeClr w14:val="tx1"/>
            </w14:solidFill>
          </w14:textFill>
        </w:rPr>
      </w:pPr>
      <w:bookmarkStart w:id="1542" w:name="_Toc3467"/>
      <w:bookmarkStart w:id="1543" w:name="_Toc17217"/>
      <w:bookmarkStart w:id="1544" w:name="_Toc12890"/>
      <w:r>
        <w:rPr>
          <w:rFonts w:hint="eastAsia"/>
          <w:color w:val="000000" w:themeColor="text1"/>
          <w14:textFill>
            <w14:solidFill>
              <w14:schemeClr w14:val="tx1"/>
            </w14:solidFill>
          </w14:textFill>
        </w:rPr>
        <w:t>1、用电设施</w:t>
      </w:r>
      <w:bookmarkEnd w:id="1542"/>
      <w:bookmarkEnd w:id="1543"/>
      <w:bookmarkEnd w:id="1544"/>
    </w:p>
    <w:p w14:paraId="3BD7B015">
      <w:pPr>
        <w:ind w:firstLine="560"/>
        <w:rPr>
          <w:color w:val="000000" w:themeColor="text1"/>
          <w:lang w:val="zh-TW" w:eastAsia="zh-TW"/>
          <w14:textFill>
            <w14:solidFill>
              <w14:schemeClr w14:val="tx1"/>
            </w14:solidFill>
          </w14:textFill>
        </w:rPr>
      </w:pPr>
      <w:r>
        <w:rPr>
          <w:color w:val="000000" w:themeColor="text1"/>
          <w:lang w:val="zh-TW" w:eastAsia="zh-TW"/>
          <w14:textFill>
            <w14:solidFill>
              <w14:schemeClr w14:val="tx1"/>
            </w14:solidFill>
          </w14:textFill>
        </w:rPr>
        <w:t>矿山开采设备均采用无电气化设备，主要用电负荷为生活用电</w:t>
      </w:r>
      <w:r>
        <w:rPr>
          <w:color w:val="000000" w:themeColor="text1"/>
          <w:lang w:val="zh-TW"/>
          <w14:textFill>
            <w14:solidFill>
              <w14:schemeClr w14:val="tx1"/>
            </w14:solidFill>
          </w14:textFill>
        </w:rPr>
        <w:t>、破碎站、空压机</w:t>
      </w:r>
      <w:r>
        <w:rPr>
          <w:color w:val="000000" w:themeColor="text1"/>
          <w:lang w:val="zh-TW" w:eastAsia="zh-TW"/>
          <w14:textFill>
            <w14:solidFill>
              <w14:schemeClr w14:val="tx1"/>
            </w14:solidFill>
          </w14:textFill>
        </w:rPr>
        <w:t>和道路的照明用电。</w:t>
      </w:r>
    </w:p>
    <w:p w14:paraId="5C8AFC47">
      <w:pPr>
        <w:ind w:firstLine="560"/>
        <w:rPr>
          <w:color w:val="000000" w:themeColor="text1"/>
          <w14:textFill>
            <w14:solidFill>
              <w14:schemeClr w14:val="tx1"/>
            </w14:solidFill>
          </w14:textFill>
        </w:rPr>
      </w:pPr>
      <w:bookmarkStart w:id="1545" w:name="_Toc24339"/>
      <w:bookmarkStart w:id="1546" w:name="_Toc26092"/>
      <w:bookmarkStart w:id="1547" w:name="_Toc21718"/>
      <w:r>
        <w:rPr>
          <w:rFonts w:hint="eastAsia"/>
          <w:color w:val="000000" w:themeColor="text1"/>
          <w14:textFill>
            <w14:solidFill>
              <w14:schemeClr w14:val="tx1"/>
            </w14:solidFill>
          </w14:textFill>
        </w:rPr>
        <w:t>2、电气设施</w:t>
      </w:r>
      <w:bookmarkEnd w:id="1545"/>
      <w:bookmarkEnd w:id="1546"/>
      <w:bookmarkEnd w:id="1547"/>
    </w:p>
    <w:p w14:paraId="5AFD2A26">
      <w:pPr>
        <w:ind w:firstLine="560"/>
        <w:rPr>
          <w:color w:val="000000" w:themeColor="text1"/>
          <w14:textFill>
            <w14:solidFill>
              <w14:schemeClr w14:val="tx1"/>
            </w14:solidFill>
          </w14:textFill>
        </w:rPr>
      </w:pPr>
      <w:r>
        <w:rPr>
          <w:color w:val="000000" w:themeColor="text1"/>
          <w14:textFill>
            <w14:solidFill>
              <w14:schemeClr w14:val="tx1"/>
            </w14:solidFill>
          </w14:textFill>
        </w:rPr>
        <w:t>矿山配电电压采用10kV，采矿场采用沿采矿场边缘架设半环形固定式、干线式配电系统，并在线路的入口处和分段处以及干线、环形与分支线路连接处装设负荷开关。低压电网装设具有剩余电流动作的保护器作单相接地故障保护，其末端线路的切断时间不大于0.1s。</w:t>
      </w:r>
    </w:p>
    <w:p w14:paraId="3D46E565">
      <w:pPr>
        <w:adjustRightInd w:val="0"/>
        <w:snapToGrid w:val="0"/>
        <w:ind w:firstLine="560"/>
        <w:rPr>
          <w:color w:val="000000" w:themeColor="text1"/>
          <w:szCs w:val="28"/>
          <w:u w:color="FFFFFF"/>
          <w14:textFill>
            <w14:solidFill>
              <w14:schemeClr w14:val="tx1"/>
            </w14:solidFill>
          </w14:textFill>
        </w:rPr>
      </w:pPr>
      <w:r>
        <w:rPr>
          <w:color w:val="000000" w:themeColor="text1"/>
          <w:szCs w:val="28"/>
          <w:u w:color="FFFFFF"/>
          <w14:textFill>
            <w14:solidFill>
              <w14:schemeClr w14:val="tx1"/>
            </w14:solidFill>
          </w14:textFill>
        </w:rPr>
        <w:t>采矿场低压电网中性点采用经电阻接地型式，低压电网装设具有剩余电流动作的保护器作单相接地故障保护。</w:t>
      </w:r>
    </w:p>
    <w:p w14:paraId="63DB3B9D">
      <w:pPr>
        <w:adjustRightInd w:val="0"/>
        <w:snapToGrid w:val="0"/>
        <w:ind w:firstLine="560"/>
        <w:rPr>
          <w:color w:val="000000" w:themeColor="text1"/>
          <w:szCs w:val="28"/>
          <w:u w:color="FFFFFF"/>
          <w14:textFill>
            <w14:solidFill>
              <w14:schemeClr w14:val="tx1"/>
            </w14:solidFill>
          </w14:textFill>
        </w:rPr>
      </w:pPr>
      <w:r>
        <w:rPr>
          <w:color w:val="000000" w:themeColor="text1"/>
          <w:szCs w:val="28"/>
          <w:u w:color="FFFFFF"/>
          <w14:textFill>
            <w14:solidFill>
              <w14:schemeClr w14:val="tx1"/>
            </w14:solidFill>
          </w14:textFill>
        </w:rPr>
        <w:t>低压配电网采用中性点经电阻接地方式，配电变压器二次侧的中性点不应引出载流中性线</w:t>
      </w:r>
      <w:r>
        <w:rPr>
          <w:rFonts w:hint="eastAsia"/>
          <w:color w:val="000000" w:themeColor="text1"/>
          <w:szCs w:val="28"/>
          <w:u w:color="FFFFFF"/>
          <w14:textFill>
            <w14:solidFill>
              <w14:schemeClr w14:val="tx1"/>
            </w14:solidFill>
          </w14:textFill>
        </w:rPr>
        <w:t>（</w:t>
      </w:r>
      <w:r>
        <w:rPr>
          <w:color w:val="000000" w:themeColor="text1"/>
          <w:szCs w:val="28"/>
          <w:u w:color="FFFFFF"/>
          <w14:textFill>
            <w14:solidFill>
              <w14:schemeClr w14:val="tx1"/>
            </w14:solidFill>
          </w14:textFill>
        </w:rPr>
        <w:t>N线</w:t>
      </w:r>
      <w:r>
        <w:rPr>
          <w:rFonts w:hint="eastAsia"/>
          <w:color w:val="000000" w:themeColor="text1"/>
          <w:szCs w:val="28"/>
          <w:u w:color="FFFFFF"/>
          <w14:textFill>
            <w14:solidFill>
              <w14:schemeClr w14:val="tx1"/>
            </w14:solidFill>
          </w14:textFill>
        </w:rPr>
        <w:t>）</w:t>
      </w:r>
      <w:r>
        <w:rPr>
          <w:color w:val="000000" w:themeColor="text1"/>
          <w:szCs w:val="28"/>
          <w:u w:color="FFFFFF"/>
          <w14:textFill>
            <w14:solidFill>
              <w14:schemeClr w14:val="tx1"/>
            </w14:solidFill>
          </w14:textFill>
        </w:rPr>
        <w:t>。低压配电系统的接地电阻不大于2欧。坑内各中段所有电气设备的接地装置和局部接地装置，应与主接地极连接组成接地网。下列地点应设置局部接地装置：</w:t>
      </w:r>
    </w:p>
    <w:p w14:paraId="6C8AF3C3">
      <w:pPr>
        <w:numPr>
          <w:ilvl w:val="0"/>
          <w:numId w:val="7"/>
        </w:numPr>
        <w:adjustRightInd w:val="0"/>
        <w:snapToGrid w:val="0"/>
        <w:ind w:firstLine="560"/>
        <w:rPr>
          <w:color w:val="000000" w:themeColor="text1"/>
          <w:szCs w:val="28"/>
          <w:u w:color="FFFFFF"/>
          <w14:textFill>
            <w14:solidFill>
              <w14:schemeClr w14:val="tx1"/>
            </w14:solidFill>
          </w14:textFill>
        </w:rPr>
      </w:pPr>
      <w:r>
        <w:rPr>
          <w:color w:val="000000" w:themeColor="text1"/>
          <w:szCs w:val="28"/>
          <w:u w:color="FFFFFF"/>
          <w14:textFill>
            <w14:solidFill>
              <w14:schemeClr w14:val="tx1"/>
            </w14:solidFill>
          </w14:textFill>
        </w:rPr>
        <w:t>设有电气设备的配电室；</w:t>
      </w:r>
    </w:p>
    <w:p w14:paraId="29B6781A">
      <w:pPr>
        <w:numPr>
          <w:ilvl w:val="0"/>
          <w:numId w:val="7"/>
        </w:numPr>
        <w:adjustRightInd w:val="0"/>
        <w:snapToGrid w:val="0"/>
        <w:ind w:firstLine="560"/>
        <w:rPr>
          <w:color w:val="000000" w:themeColor="text1"/>
          <w:szCs w:val="28"/>
          <w:u w:color="FFFFFF"/>
          <w14:textFill>
            <w14:solidFill>
              <w14:schemeClr w14:val="tx1"/>
            </w14:solidFill>
          </w14:textFill>
        </w:rPr>
      </w:pPr>
      <w:r>
        <w:rPr>
          <w:color w:val="000000" w:themeColor="text1"/>
          <w:szCs w:val="28"/>
          <w:u w:color="FFFFFF"/>
          <w14:textFill>
            <w14:solidFill>
              <w14:schemeClr w14:val="tx1"/>
            </w14:solidFill>
          </w14:textFill>
        </w:rPr>
        <w:t>单独设置的高压设备处；</w:t>
      </w:r>
    </w:p>
    <w:p w14:paraId="582A4573">
      <w:pPr>
        <w:numPr>
          <w:ilvl w:val="0"/>
          <w:numId w:val="7"/>
        </w:numPr>
        <w:adjustRightInd w:val="0"/>
        <w:snapToGrid w:val="0"/>
        <w:ind w:firstLine="560"/>
        <w:rPr>
          <w:color w:val="000000" w:themeColor="text1"/>
          <w:szCs w:val="28"/>
          <w:u w:color="FFFFFF"/>
          <w14:textFill>
            <w14:solidFill>
              <w14:schemeClr w14:val="tx1"/>
            </w14:solidFill>
          </w14:textFill>
        </w:rPr>
      </w:pPr>
      <w:r>
        <w:rPr>
          <w:color w:val="000000" w:themeColor="text1"/>
          <w:szCs w:val="28"/>
          <w:u w:color="FFFFFF"/>
          <w14:textFill>
            <w14:solidFill>
              <w14:schemeClr w14:val="tx1"/>
            </w14:solidFill>
          </w14:textFill>
        </w:rPr>
        <w:t>低压配电点；</w:t>
      </w:r>
    </w:p>
    <w:p w14:paraId="68B73BF8">
      <w:pPr>
        <w:numPr>
          <w:ilvl w:val="0"/>
          <w:numId w:val="7"/>
        </w:numPr>
        <w:adjustRightInd w:val="0"/>
        <w:snapToGrid w:val="0"/>
        <w:ind w:firstLine="560"/>
        <w:rPr>
          <w:color w:val="000000" w:themeColor="text1"/>
          <w:szCs w:val="28"/>
          <w:u w:color="FFFFFF"/>
          <w14:textFill>
            <w14:solidFill>
              <w14:schemeClr w14:val="tx1"/>
            </w14:solidFill>
          </w14:textFill>
        </w:rPr>
      </w:pPr>
      <w:r>
        <w:rPr>
          <w:color w:val="000000" w:themeColor="text1"/>
          <w:szCs w:val="28"/>
          <w:u w:color="FFFFFF"/>
          <w14:textFill>
            <w14:solidFill>
              <w14:schemeClr w14:val="tx1"/>
            </w14:solidFill>
          </w14:textFill>
        </w:rPr>
        <w:t>连接电力电缆的接线盒。</w:t>
      </w:r>
    </w:p>
    <w:p w14:paraId="58848836">
      <w:pPr>
        <w:ind w:firstLine="560"/>
        <w:rPr>
          <w:color w:val="000000" w:themeColor="text1"/>
          <w14:textFill>
            <w14:solidFill>
              <w14:schemeClr w14:val="tx1"/>
            </w14:solidFill>
          </w14:textFill>
        </w:rPr>
      </w:pPr>
      <w:bookmarkStart w:id="1548" w:name="_Toc5679"/>
      <w:r>
        <w:rPr>
          <w:rFonts w:hint="eastAsia"/>
          <w:color w:val="000000" w:themeColor="text1"/>
          <w14:textFill>
            <w14:solidFill>
              <w14:schemeClr w14:val="tx1"/>
            </w14:solidFill>
          </w14:textFill>
        </w:rPr>
        <w:t>3、</w:t>
      </w:r>
      <w:r>
        <w:rPr>
          <w:color w:val="000000" w:themeColor="text1"/>
          <w14:textFill>
            <w14:solidFill>
              <w14:schemeClr w14:val="tx1"/>
            </w14:solidFill>
          </w14:textFill>
        </w:rPr>
        <w:t>根据各有关专业提供的用电设备和负荷分布情况，并采用需用系数法进行负荷计算。经统计和计算其成果如下：</w:t>
      </w:r>
    </w:p>
    <w:p w14:paraId="6F6A67C4">
      <w:pPr>
        <w:adjustRightInd w:val="0"/>
        <w:snapToGrid w:val="0"/>
        <w:spacing w:line="240" w:lineRule="auto"/>
        <w:ind w:firstLine="361" w:firstLineChars="150"/>
        <w:jc w:val="center"/>
        <w:rPr>
          <w:b/>
          <w:bCs/>
          <w:color w:val="000000" w:themeColor="text1"/>
          <w:sz w:val="24"/>
          <w14:textFill>
            <w14:solidFill>
              <w14:schemeClr w14:val="tx1"/>
            </w14:solidFill>
          </w14:textFill>
        </w:rPr>
      </w:pPr>
      <w:bookmarkStart w:id="1549" w:name="_Hlk39564533"/>
      <w:bookmarkStart w:id="1550" w:name="_Hlk39562236"/>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2.4-14 矿山用电设备情况</w:t>
      </w:r>
      <w:r>
        <w:rPr>
          <w:b/>
          <w:bCs/>
          <w:color w:val="000000" w:themeColor="text1"/>
          <w:sz w:val="24"/>
          <w14:textFill>
            <w14:solidFill>
              <w14:schemeClr w14:val="tx1"/>
            </w14:solidFill>
          </w14:textFill>
        </w:rPr>
        <w:t>表</w:t>
      </w:r>
    </w:p>
    <w:bookmarkEnd w:id="1549"/>
    <w:bookmarkEnd w:id="1550"/>
    <w:tbl>
      <w:tblPr>
        <w:tblStyle w:val="44"/>
        <w:tblW w:w="89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641"/>
        <w:gridCol w:w="1893"/>
        <w:gridCol w:w="1962"/>
        <w:gridCol w:w="1165"/>
        <w:gridCol w:w="735"/>
        <w:gridCol w:w="825"/>
      </w:tblGrid>
      <w:tr w14:paraId="2878F2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601BB67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1641" w:type="dxa"/>
            <w:tcBorders>
              <w:tl2br w:val="nil"/>
              <w:tr2bl w:val="nil"/>
            </w:tcBorders>
            <w:noWrap/>
            <w:vAlign w:val="center"/>
          </w:tcPr>
          <w:p w14:paraId="22342BE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设备种类</w:t>
            </w:r>
          </w:p>
        </w:tc>
        <w:tc>
          <w:tcPr>
            <w:tcW w:w="1893" w:type="dxa"/>
            <w:tcBorders>
              <w:tl2br w:val="nil"/>
              <w:tr2bl w:val="nil"/>
            </w:tcBorders>
            <w:noWrap/>
            <w:vAlign w:val="center"/>
          </w:tcPr>
          <w:p w14:paraId="4686197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设备型号</w:t>
            </w:r>
          </w:p>
        </w:tc>
        <w:tc>
          <w:tcPr>
            <w:tcW w:w="1962" w:type="dxa"/>
            <w:tcBorders>
              <w:tl2br w:val="nil"/>
              <w:tr2bl w:val="nil"/>
            </w:tcBorders>
            <w:noWrap/>
            <w:vAlign w:val="center"/>
          </w:tcPr>
          <w:p w14:paraId="218C839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设备能力</w:t>
            </w:r>
          </w:p>
        </w:tc>
        <w:tc>
          <w:tcPr>
            <w:tcW w:w="1165" w:type="dxa"/>
            <w:tcBorders>
              <w:tl2br w:val="nil"/>
              <w:tr2bl w:val="nil"/>
            </w:tcBorders>
            <w:noWrap/>
            <w:vAlign w:val="center"/>
          </w:tcPr>
          <w:p w14:paraId="26A0EDA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设备功率</w:t>
            </w:r>
          </w:p>
        </w:tc>
        <w:tc>
          <w:tcPr>
            <w:tcW w:w="735" w:type="dxa"/>
            <w:tcBorders>
              <w:tl2br w:val="nil"/>
              <w:tr2bl w:val="nil"/>
            </w:tcBorders>
            <w:noWrap/>
            <w:vAlign w:val="center"/>
          </w:tcPr>
          <w:p w14:paraId="06CA098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数量</w:t>
            </w:r>
          </w:p>
        </w:tc>
        <w:tc>
          <w:tcPr>
            <w:tcW w:w="825" w:type="dxa"/>
            <w:tcBorders>
              <w:tl2br w:val="nil"/>
              <w:tr2bl w:val="nil"/>
            </w:tcBorders>
            <w:noWrap/>
            <w:vAlign w:val="center"/>
          </w:tcPr>
          <w:p w14:paraId="0FDCE63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备注</w:t>
            </w:r>
          </w:p>
        </w:tc>
      </w:tr>
      <w:tr w14:paraId="356D6E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42FDB68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641" w:type="dxa"/>
            <w:tcBorders>
              <w:tl2br w:val="nil"/>
              <w:tr2bl w:val="nil"/>
            </w:tcBorders>
            <w:noWrap/>
            <w:vAlign w:val="center"/>
          </w:tcPr>
          <w:p w14:paraId="1A5058C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鄂式破碎机</w:t>
            </w:r>
          </w:p>
        </w:tc>
        <w:tc>
          <w:tcPr>
            <w:tcW w:w="1893" w:type="dxa"/>
            <w:tcBorders>
              <w:tl2br w:val="nil"/>
              <w:tr2bl w:val="nil"/>
            </w:tcBorders>
            <w:noWrap/>
            <w:vAlign w:val="center"/>
          </w:tcPr>
          <w:p w14:paraId="176B585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850*1250-C125</w:t>
            </w:r>
          </w:p>
        </w:tc>
        <w:tc>
          <w:tcPr>
            <w:tcW w:w="1962" w:type="dxa"/>
            <w:tcBorders>
              <w:tl2br w:val="nil"/>
              <w:tr2bl w:val="nil"/>
            </w:tcBorders>
            <w:noWrap/>
            <w:vAlign w:val="center"/>
          </w:tcPr>
          <w:p w14:paraId="0C28A70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90~180t/h</w:t>
            </w:r>
          </w:p>
        </w:tc>
        <w:tc>
          <w:tcPr>
            <w:tcW w:w="1165" w:type="dxa"/>
            <w:tcBorders>
              <w:tl2br w:val="nil"/>
              <w:tr2bl w:val="nil"/>
            </w:tcBorders>
            <w:noWrap/>
            <w:vAlign w:val="center"/>
          </w:tcPr>
          <w:p w14:paraId="0E9B509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110</w:t>
            </w:r>
          </w:p>
        </w:tc>
        <w:tc>
          <w:tcPr>
            <w:tcW w:w="735" w:type="dxa"/>
            <w:tcBorders>
              <w:tl2br w:val="nil"/>
              <w:tr2bl w:val="nil"/>
            </w:tcBorders>
            <w:noWrap/>
            <w:vAlign w:val="center"/>
          </w:tcPr>
          <w:p w14:paraId="777077E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30B546E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1EC0E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4233E30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641" w:type="dxa"/>
            <w:tcBorders>
              <w:tl2br w:val="nil"/>
              <w:tr2bl w:val="nil"/>
            </w:tcBorders>
            <w:noWrap/>
            <w:vAlign w:val="center"/>
          </w:tcPr>
          <w:p w14:paraId="5B99AA4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反击式破碎机</w:t>
            </w:r>
          </w:p>
        </w:tc>
        <w:tc>
          <w:tcPr>
            <w:tcW w:w="1893" w:type="dxa"/>
            <w:tcBorders>
              <w:tl2br w:val="nil"/>
              <w:tr2bl w:val="nil"/>
            </w:tcBorders>
            <w:noWrap/>
            <w:vAlign w:val="center"/>
          </w:tcPr>
          <w:p w14:paraId="3125859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PFQ1315</w:t>
            </w:r>
          </w:p>
        </w:tc>
        <w:tc>
          <w:tcPr>
            <w:tcW w:w="1962" w:type="dxa"/>
            <w:tcBorders>
              <w:tl2br w:val="nil"/>
              <w:tr2bl w:val="nil"/>
            </w:tcBorders>
            <w:noWrap/>
            <w:vAlign w:val="center"/>
          </w:tcPr>
          <w:p w14:paraId="07829CA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100t/h</w:t>
            </w:r>
          </w:p>
        </w:tc>
        <w:tc>
          <w:tcPr>
            <w:tcW w:w="1165" w:type="dxa"/>
            <w:tcBorders>
              <w:tl2br w:val="nil"/>
              <w:tr2bl w:val="nil"/>
            </w:tcBorders>
            <w:noWrap/>
            <w:vAlign w:val="center"/>
          </w:tcPr>
          <w:p w14:paraId="38C00E8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140</w:t>
            </w:r>
          </w:p>
        </w:tc>
        <w:tc>
          <w:tcPr>
            <w:tcW w:w="735" w:type="dxa"/>
            <w:tcBorders>
              <w:tl2br w:val="nil"/>
              <w:tr2bl w:val="nil"/>
            </w:tcBorders>
            <w:noWrap/>
            <w:vAlign w:val="center"/>
          </w:tcPr>
          <w:p w14:paraId="3AFB224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25" w:type="dxa"/>
            <w:tcBorders>
              <w:tl2br w:val="nil"/>
              <w:tr2bl w:val="nil"/>
            </w:tcBorders>
            <w:noWrap/>
            <w:vAlign w:val="center"/>
          </w:tcPr>
          <w:p w14:paraId="4F5F86B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28717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69291F8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641" w:type="dxa"/>
            <w:tcBorders>
              <w:tl2br w:val="nil"/>
              <w:tr2bl w:val="nil"/>
            </w:tcBorders>
            <w:noWrap/>
            <w:vAlign w:val="center"/>
          </w:tcPr>
          <w:p w14:paraId="69AC2BA1">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磨机</w:t>
            </w:r>
          </w:p>
        </w:tc>
        <w:tc>
          <w:tcPr>
            <w:tcW w:w="1893" w:type="dxa"/>
            <w:tcBorders>
              <w:tl2br w:val="nil"/>
              <w:tr2bl w:val="nil"/>
            </w:tcBorders>
            <w:noWrap/>
            <w:vAlign w:val="center"/>
          </w:tcPr>
          <w:p w14:paraId="0D129D4D">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V-315</w:t>
            </w:r>
          </w:p>
        </w:tc>
        <w:tc>
          <w:tcPr>
            <w:tcW w:w="1962" w:type="dxa"/>
            <w:tcBorders>
              <w:tl2br w:val="nil"/>
              <w:tr2bl w:val="nil"/>
            </w:tcBorders>
            <w:noWrap/>
            <w:vAlign w:val="center"/>
          </w:tcPr>
          <w:p w14:paraId="1E29565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32E1E00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320</w:t>
            </w:r>
          </w:p>
        </w:tc>
        <w:tc>
          <w:tcPr>
            <w:tcW w:w="735" w:type="dxa"/>
            <w:tcBorders>
              <w:tl2br w:val="nil"/>
              <w:tr2bl w:val="nil"/>
            </w:tcBorders>
            <w:noWrap/>
            <w:vAlign w:val="center"/>
          </w:tcPr>
          <w:p w14:paraId="1E5C74F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5C00DED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7E3D7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713" w:type="dxa"/>
            <w:tcBorders>
              <w:tl2br w:val="nil"/>
              <w:tr2bl w:val="nil"/>
            </w:tcBorders>
            <w:noWrap/>
            <w:vAlign w:val="center"/>
          </w:tcPr>
          <w:p w14:paraId="232809A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1641" w:type="dxa"/>
            <w:tcBorders>
              <w:tl2br w:val="nil"/>
              <w:tr2bl w:val="nil"/>
            </w:tcBorders>
            <w:noWrap/>
            <w:vAlign w:val="center"/>
          </w:tcPr>
          <w:p w14:paraId="52067A38">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反击式制砂机</w:t>
            </w:r>
          </w:p>
        </w:tc>
        <w:tc>
          <w:tcPr>
            <w:tcW w:w="1893" w:type="dxa"/>
            <w:tcBorders>
              <w:tl2br w:val="nil"/>
              <w:tr2bl w:val="nil"/>
            </w:tcBorders>
            <w:noWrap/>
            <w:vAlign w:val="center"/>
          </w:tcPr>
          <w:p w14:paraId="5D8BA589">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PFC-015</w:t>
            </w:r>
          </w:p>
        </w:tc>
        <w:tc>
          <w:tcPr>
            <w:tcW w:w="1962" w:type="dxa"/>
            <w:tcBorders>
              <w:tl2br w:val="nil"/>
              <w:tr2bl w:val="nil"/>
            </w:tcBorders>
            <w:noWrap/>
            <w:vAlign w:val="center"/>
          </w:tcPr>
          <w:p w14:paraId="515A67E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1450579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280</w:t>
            </w:r>
          </w:p>
        </w:tc>
        <w:tc>
          <w:tcPr>
            <w:tcW w:w="735" w:type="dxa"/>
            <w:tcBorders>
              <w:tl2br w:val="nil"/>
              <w:tr2bl w:val="nil"/>
            </w:tcBorders>
            <w:noWrap/>
            <w:vAlign w:val="center"/>
          </w:tcPr>
          <w:p w14:paraId="693E0E4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0CB7B23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2EF29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161F38D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1641" w:type="dxa"/>
            <w:tcBorders>
              <w:tl2br w:val="nil"/>
              <w:tr2bl w:val="nil"/>
            </w:tcBorders>
            <w:noWrap/>
            <w:vAlign w:val="center"/>
          </w:tcPr>
          <w:p w14:paraId="46D5057F">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振动筛1#</w:t>
            </w:r>
          </w:p>
        </w:tc>
        <w:tc>
          <w:tcPr>
            <w:tcW w:w="1893" w:type="dxa"/>
            <w:tcBorders>
              <w:tl2br w:val="nil"/>
              <w:tr2bl w:val="nil"/>
            </w:tcBorders>
            <w:noWrap/>
            <w:vAlign w:val="center"/>
          </w:tcPr>
          <w:p w14:paraId="7540AE1A">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YAH1850</w:t>
            </w:r>
          </w:p>
        </w:tc>
        <w:tc>
          <w:tcPr>
            <w:tcW w:w="1962" w:type="dxa"/>
            <w:tcBorders>
              <w:tl2br w:val="nil"/>
              <w:tr2bl w:val="nil"/>
            </w:tcBorders>
            <w:noWrap/>
            <w:vAlign w:val="center"/>
          </w:tcPr>
          <w:p w14:paraId="4D641AE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1468C25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37</w:t>
            </w:r>
          </w:p>
        </w:tc>
        <w:tc>
          <w:tcPr>
            <w:tcW w:w="735" w:type="dxa"/>
            <w:tcBorders>
              <w:tl2br w:val="nil"/>
              <w:tr2bl w:val="nil"/>
            </w:tcBorders>
            <w:noWrap/>
            <w:vAlign w:val="center"/>
          </w:tcPr>
          <w:p w14:paraId="11F48D2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6DD8BDB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4924A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2ACDB02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1641" w:type="dxa"/>
            <w:tcBorders>
              <w:tl2br w:val="nil"/>
              <w:tr2bl w:val="nil"/>
            </w:tcBorders>
            <w:noWrap/>
            <w:vAlign w:val="center"/>
          </w:tcPr>
          <w:p w14:paraId="2FEB1C90">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振动筛2#</w:t>
            </w:r>
          </w:p>
        </w:tc>
        <w:tc>
          <w:tcPr>
            <w:tcW w:w="1893" w:type="dxa"/>
            <w:tcBorders>
              <w:tl2br w:val="nil"/>
              <w:tr2bl w:val="nil"/>
            </w:tcBorders>
            <w:noWrap/>
            <w:vAlign w:val="center"/>
          </w:tcPr>
          <w:p w14:paraId="69B37EBA">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2YA3070</w:t>
            </w:r>
          </w:p>
        </w:tc>
        <w:tc>
          <w:tcPr>
            <w:tcW w:w="1962" w:type="dxa"/>
            <w:tcBorders>
              <w:tl2br w:val="nil"/>
              <w:tr2bl w:val="nil"/>
            </w:tcBorders>
            <w:noWrap/>
            <w:vAlign w:val="center"/>
          </w:tcPr>
          <w:p w14:paraId="26118B2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0A14FC8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55</w:t>
            </w:r>
          </w:p>
        </w:tc>
        <w:tc>
          <w:tcPr>
            <w:tcW w:w="735" w:type="dxa"/>
            <w:tcBorders>
              <w:tl2br w:val="nil"/>
              <w:tr2bl w:val="nil"/>
            </w:tcBorders>
            <w:noWrap/>
            <w:vAlign w:val="center"/>
          </w:tcPr>
          <w:p w14:paraId="62280C2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3566F07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58FBCF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1E350D8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1641" w:type="dxa"/>
            <w:tcBorders>
              <w:tl2br w:val="nil"/>
              <w:tr2bl w:val="nil"/>
            </w:tcBorders>
            <w:noWrap/>
            <w:vAlign w:val="center"/>
          </w:tcPr>
          <w:p w14:paraId="7454A1BF">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振动筛3#</w:t>
            </w:r>
          </w:p>
        </w:tc>
        <w:tc>
          <w:tcPr>
            <w:tcW w:w="1893" w:type="dxa"/>
            <w:tcBorders>
              <w:tl2br w:val="nil"/>
              <w:tr2bl w:val="nil"/>
            </w:tcBorders>
            <w:noWrap/>
            <w:vAlign w:val="center"/>
          </w:tcPr>
          <w:p w14:paraId="6DCE14F2">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2YA3070</w:t>
            </w:r>
          </w:p>
        </w:tc>
        <w:tc>
          <w:tcPr>
            <w:tcW w:w="1962" w:type="dxa"/>
            <w:tcBorders>
              <w:tl2br w:val="nil"/>
              <w:tr2bl w:val="nil"/>
            </w:tcBorders>
            <w:noWrap/>
            <w:vAlign w:val="center"/>
          </w:tcPr>
          <w:p w14:paraId="16066BC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0F62298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45</w:t>
            </w:r>
          </w:p>
        </w:tc>
        <w:tc>
          <w:tcPr>
            <w:tcW w:w="735" w:type="dxa"/>
            <w:tcBorders>
              <w:tl2br w:val="nil"/>
              <w:tr2bl w:val="nil"/>
            </w:tcBorders>
            <w:noWrap/>
            <w:vAlign w:val="center"/>
          </w:tcPr>
          <w:p w14:paraId="43E017A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06F7516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048355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4F640D8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1641" w:type="dxa"/>
            <w:tcBorders>
              <w:tl2br w:val="nil"/>
              <w:tr2bl w:val="nil"/>
            </w:tcBorders>
            <w:noWrap/>
            <w:vAlign w:val="center"/>
          </w:tcPr>
          <w:p w14:paraId="4C673BB2">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振动筛4#</w:t>
            </w:r>
          </w:p>
        </w:tc>
        <w:tc>
          <w:tcPr>
            <w:tcW w:w="1893" w:type="dxa"/>
            <w:tcBorders>
              <w:tl2br w:val="nil"/>
              <w:tr2bl w:val="nil"/>
            </w:tcBorders>
            <w:noWrap/>
            <w:vAlign w:val="center"/>
          </w:tcPr>
          <w:p w14:paraId="2F6A0517">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2YA3070</w:t>
            </w:r>
          </w:p>
        </w:tc>
        <w:tc>
          <w:tcPr>
            <w:tcW w:w="1962" w:type="dxa"/>
            <w:tcBorders>
              <w:tl2br w:val="nil"/>
              <w:tr2bl w:val="nil"/>
            </w:tcBorders>
            <w:noWrap/>
            <w:vAlign w:val="center"/>
          </w:tcPr>
          <w:p w14:paraId="11520CA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13BB956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45</w:t>
            </w:r>
          </w:p>
        </w:tc>
        <w:tc>
          <w:tcPr>
            <w:tcW w:w="735" w:type="dxa"/>
            <w:tcBorders>
              <w:tl2br w:val="nil"/>
              <w:tr2bl w:val="nil"/>
            </w:tcBorders>
            <w:noWrap/>
            <w:vAlign w:val="center"/>
          </w:tcPr>
          <w:p w14:paraId="1E5FF94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62EBA0C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0151D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3D85F1F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1641" w:type="dxa"/>
            <w:tcBorders>
              <w:tl2br w:val="nil"/>
              <w:tr2bl w:val="nil"/>
            </w:tcBorders>
            <w:noWrap/>
            <w:vAlign w:val="center"/>
          </w:tcPr>
          <w:p w14:paraId="56A09FFE">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给料机</w:t>
            </w:r>
          </w:p>
        </w:tc>
        <w:tc>
          <w:tcPr>
            <w:tcW w:w="1893" w:type="dxa"/>
            <w:tcBorders>
              <w:tl2br w:val="nil"/>
              <w:tr2bl w:val="nil"/>
            </w:tcBorders>
            <w:noWrap/>
            <w:vAlign w:val="center"/>
          </w:tcPr>
          <w:p w14:paraId="6B26B880">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WL1570</w:t>
            </w:r>
          </w:p>
        </w:tc>
        <w:tc>
          <w:tcPr>
            <w:tcW w:w="1962" w:type="dxa"/>
            <w:tcBorders>
              <w:tl2br w:val="nil"/>
              <w:tr2bl w:val="nil"/>
            </w:tcBorders>
            <w:noWrap/>
            <w:vAlign w:val="center"/>
          </w:tcPr>
          <w:p w14:paraId="4780EF8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3872C12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22</w:t>
            </w:r>
          </w:p>
        </w:tc>
        <w:tc>
          <w:tcPr>
            <w:tcW w:w="735" w:type="dxa"/>
            <w:tcBorders>
              <w:tl2br w:val="nil"/>
              <w:tr2bl w:val="nil"/>
            </w:tcBorders>
            <w:noWrap/>
            <w:vAlign w:val="center"/>
          </w:tcPr>
          <w:p w14:paraId="2569A3B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60BB023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07DD2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13" w:type="dxa"/>
            <w:tcBorders>
              <w:tl2br w:val="nil"/>
              <w:tr2bl w:val="nil"/>
            </w:tcBorders>
            <w:noWrap/>
            <w:vAlign w:val="center"/>
          </w:tcPr>
          <w:p w14:paraId="3CE6464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9</w:t>
            </w:r>
          </w:p>
        </w:tc>
        <w:tc>
          <w:tcPr>
            <w:tcW w:w="1641" w:type="dxa"/>
            <w:tcBorders>
              <w:tl2br w:val="nil"/>
              <w:tr2bl w:val="nil"/>
            </w:tcBorders>
            <w:noWrap/>
            <w:vAlign w:val="center"/>
          </w:tcPr>
          <w:p w14:paraId="692385E9">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料仓给料机</w:t>
            </w:r>
          </w:p>
        </w:tc>
        <w:tc>
          <w:tcPr>
            <w:tcW w:w="1893" w:type="dxa"/>
            <w:tcBorders>
              <w:tl2br w:val="nil"/>
              <w:tr2bl w:val="nil"/>
            </w:tcBorders>
            <w:noWrap/>
            <w:vAlign w:val="center"/>
          </w:tcPr>
          <w:p w14:paraId="12D518B5">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GZG1103</w:t>
            </w:r>
          </w:p>
        </w:tc>
        <w:tc>
          <w:tcPr>
            <w:tcW w:w="1962" w:type="dxa"/>
            <w:tcBorders>
              <w:tl2br w:val="nil"/>
              <w:tr2bl w:val="nil"/>
            </w:tcBorders>
            <w:noWrap/>
            <w:vAlign w:val="center"/>
          </w:tcPr>
          <w:p w14:paraId="1421A22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6956C08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2.2</w:t>
            </w:r>
          </w:p>
        </w:tc>
        <w:tc>
          <w:tcPr>
            <w:tcW w:w="735" w:type="dxa"/>
            <w:tcBorders>
              <w:tl2br w:val="nil"/>
              <w:tr2bl w:val="nil"/>
            </w:tcBorders>
            <w:noWrap/>
            <w:vAlign w:val="center"/>
          </w:tcPr>
          <w:p w14:paraId="4024FFB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6673E9C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2CBC01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49FF27F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w:t>
            </w:r>
          </w:p>
        </w:tc>
        <w:tc>
          <w:tcPr>
            <w:tcW w:w="1641" w:type="dxa"/>
            <w:tcBorders>
              <w:tl2br w:val="nil"/>
              <w:tr2bl w:val="nil"/>
            </w:tcBorders>
            <w:noWrap/>
            <w:vAlign w:val="center"/>
          </w:tcPr>
          <w:p w14:paraId="5CAE4045">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料仓给料机</w:t>
            </w:r>
          </w:p>
        </w:tc>
        <w:tc>
          <w:tcPr>
            <w:tcW w:w="1893" w:type="dxa"/>
            <w:tcBorders>
              <w:tl2br w:val="nil"/>
              <w:tr2bl w:val="nil"/>
            </w:tcBorders>
            <w:noWrap/>
            <w:vAlign w:val="center"/>
          </w:tcPr>
          <w:p w14:paraId="23E480B8">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GZG1303</w:t>
            </w:r>
          </w:p>
        </w:tc>
        <w:tc>
          <w:tcPr>
            <w:tcW w:w="1962" w:type="dxa"/>
            <w:tcBorders>
              <w:tl2br w:val="nil"/>
              <w:tr2bl w:val="nil"/>
            </w:tcBorders>
            <w:noWrap/>
            <w:vAlign w:val="center"/>
          </w:tcPr>
          <w:p w14:paraId="102ACAA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54ADC1F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735" w:type="dxa"/>
            <w:tcBorders>
              <w:tl2br w:val="nil"/>
              <w:tr2bl w:val="nil"/>
            </w:tcBorders>
            <w:noWrap/>
            <w:vAlign w:val="center"/>
          </w:tcPr>
          <w:p w14:paraId="28F6CAE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25" w:type="dxa"/>
            <w:tcBorders>
              <w:tl2br w:val="nil"/>
              <w:tr2bl w:val="nil"/>
            </w:tcBorders>
            <w:noWrap/>
            <w:vAlign w:val="center"/>
          </w:tcPr>
          <w:p w14:paraId="1ED356F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5AE786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4380EF7E">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w:t>
            </w:r>
          </w:p>
        </w:tc>
        <w:tc>
          <w:tcPr>
            <w:tcW w:w="1641" w:type="dxa"/>
            <w:tcBorders>
              <w:tl2br w:val="nil"/>
              <w:tr2bl w:val="nil"/>
            </w:tcBorders>
            <w:noWrap/>
            <w:vAlign w:val="center"/>
          </w:tcPr>
          <w:p w14:paraId="44708F36">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带式输送机</w:t>
            </w:r>
          </w:p>
        </w:tc>
        <w:tc>
          <w:tcPr>
            <w:tcW w:w="1893" w:type="dxa"/>
            <w:tcBorders>
              <w:tl2br w:val="nil"/>
              <w:tr2bl w:val="nil"/>
            </w:tcBorders>
            <w:noWrap/>
            <w:vAlign w:val="center"/>
          </w:tcPr>
          <w:p w14:paraId="2D32EDAD">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962" w:type="dxa"/>
            <w:tcBorders>
              <w:tl2br w:val="nil"/>
              <w:tr2bl w:val="nil"/>
            </w:tcBorders>
            <w:noWrap/>
            <w:vAlign w:val="center"/>
          </w:tcPr>
          <w:p w14:paraId="15D4BE46">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1D942E4B">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394.5</w:t>
            </w:r>
          </w:p>
        </w:tc>
        <w:tc>
          <w:tcPr>
            <w:tcW w:w="735" w:type="dxa"/>
            <w:tcBorders>
              <w:tl2br w:val="nil"/>
              <w:tr2bl w:val="nil"/>
            </w:tcBorders>
            <w:noWrap/>
            <w:vAlign w:val="center"/>
          </w:tcPr>
          <w:p w14:paraId="58C0A2D3">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19</w:t>
            </w:r>
          </w:p>
        </w:tc>
        <w:tc>
          <w:tcPr>
            <w:tcW w:w="825" w:type="dxa"/>
            <w:tcBorders>
              <w:tl2br w:val="nil"/>
              <w:tr2bl w:val="nil"/>
            </w:tcBorders>
            <w:noWrap/>
            <w:vAlign w:val="center"/>
          </w:tcPr>
          <w:p w14:paraId="71335F9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21A94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7F2BBABE">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w:t>
            </w:r>
          </w:p>
        </w:tc>
        <w:tc>
          <w:tcPr>
            <w:tcW w:w="1641" w:type="dxa"/>
            <w:tcBorders>
              <w:tl2br w:val="nil"/>
              <w:tr2bl w:val="nil"/>
            </w:tcBorders>
            <w:noWrap/>
            <w:vAlign w:val="center"/>
          </w:tcPr>
          <w:p w14:paraId="4BA7FB6A">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办公用电</w:t>
            </w:r>
          </w:p>
        </w:tc>
        <w:tc>
          <w:tcPr>
            <w:tcW w:w="1893" w:type="dxa"/>
            <w:tcBorders>
              <w:tl2br w:val="nil"/>
              <w:tr2bl w:val="nil"/>
            </w:tcBorders>
            <w:noWrap/>
            <w:vAlign w:val="center"/>
          </w:tcPr>
          <w:p w14:paraId="0664FD09">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962" w:type="dxa"/>
            <w:tcBorders>
              <w:tl2br w:val="nil"/>
              <w:tr2bl w:val="nil"/>
            </w:tcBorders>
            <w:noWrap/>
            <w:vAlign w:val="center"/>
          </w:tcPr>
          <w:p w14:paraId="6B4BE87B">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5A22A8F3">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20</w:t>
            </w:r>
          </w:p>
        </w:tc>
        <w:tc>
          <w:tcPr>
            <w:tcW w:w="735" w:type="dxa"/>
            <w:tcBorders>
              <w:tl2br w:val="nil"/>
              <w:tr2bl w:val="nil"/>
            </w:tcBorders>
            <w:noWrap/>
            <w:vAlign w:val="center"/>
          </w:tcPr>
          <w:p w14:paraId="7EB84C43">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825" w:type="dxa"/>
            <w:tcBorders>
              <w:tl2br w:val="nil"/>
              <w:tr2bl w:val="nil"/>
            </w:tcBorders>
            <w:noWrap/>
            <w:vAlign w:val="center"/>
          </w:tcPr>
          <w:p w14:paraId="7F52AC4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tr w14:paraId="148DE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13" w:type="dxa"/>
            <w:tcBorders>
              <w:tl2br w:val="nil"/>
              <w:tr2bl w:val="nil"/>
            </w:tcBorders>
            <w:noWrap/>
            <w:vAlign w:val="center"/>
          </w:tcPr>
          <w:p w14:paraId="7690C8AA">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13</w:t>
            </w:r>
          </w:p>
        </w:tc>
        <w:tc>
          <w:tcPr>
            <w:tcW w:w="1641" w:type="dxa"/>
            <w:tcBorders>
              <w:tl2br w:val="nil"/>
              <w:tr2bl w:val="nil"/>
            </w:tcBorders>
            <w:noWrap/>
            <w:vAlign w:val="center"/>
          </w:tcPr>
          <w:p w14:paraId="2B6F13CD">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机械维修用电</w:t>
            </w:r>
          </w:p>
        </w:tc>
        <w:tc>
          <w:tcPr>
            <w:tcW w:w="1893" w:type="dxa"/>
            <w:tcBorders>
              <w:tl2br w:val="nil"/>
              <w:tr2bl w:val="nil"/>
            </w:tcBorders>
            <w:noWrap/>
            <w:vAlign w:val="center"/>
          </w:tcPr>
          <w:p w14:paraId="5F5764A1">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962" w:type="dxa"/>
            <w:tcBorders>
              <w:tl2br w:val="nil"/>
              <w:tr2bl w:val="nil"/>
            </w:tcBorders>
            <w:noWrap/>
            <w:vAlign w:val="center"/>
          </w:tcPr>
          <w:p w14:paraId="36BC676E">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1165" w:type="dxa"/>
            <w:tcBorders>
              <w:tl2br w:val="nil"/>
              <w:tr2bl w:val="nil"/>
            </w:tcBorders>
            <w:noWrap/>
            <w:vAlign w:val="center"/>
          </w:tcPr>
          <w:p w14:paraId="74D8B2DC">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20</w:t>
            </w:r>
          </w:p>
        </w:tc>
        <w:tc>
          <w:tcPr>
            <w:tcW w:w="735" w:type="dxa"/>
            <w:tcBorders>
              <w:tl2br w:val="nil"/>
              <w:tr2bl w:val="nil"/>
            </w:tcBorders>
            <w:noWrap/>
            <w:vAlign w:val="center"/>
          </w:tcPr>
          <w:p w14:paraId="3852A233">
            <w:pPr>
              <w:adjustRightInd w:val="0"/>
              <w:snapToGrid w:val="0"/>
              <w:spacing w:line="240" w:lineRule="exact"/>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c>
          <w:tcPr>
            <w:tcW w:w="825" w:type="dxa"/>
            <w:tcBorders>
              <w:tl2br w:val="nil"/>
              <w:tr2bl w:val="nil"/>
            </w:tcBorders>
            <w:noWrap/>
            <w:vAlign w:val="center"/>
          </w:tcPr>
          <w:p w14:paraId="5525572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w:t>
            </w:r>
          </w:p>
        </w:tc>
      </w:tr>
      <w:bookmarkEnd w:id="1548"/>
    </w:tbl>
    <w:p w14:paraId="221FB66E">
      <w:pPr>
        <w:ind w:firstLine="0" w:firstLineChars="0"/>
        <w:rPr>
          <w:color w:val="000000" w:themeColor="text1"/>
          <w14:textFill>
            <w14:solidFill>
              <w14:schemeClr w14:val="tx1"/>
            </w14:solidFill>
          </w14:textFill>
        </w:rPr>
      </w:pPr>
      <w:bookmarkStart w:id="1551" w:name="_Toc30283"/>
      <w:bookmarkStart w:id="1552" w:name="_Toc9944"/>
      <w:bookmarkStart w:id="1553" w:name="_Toc24473"/>
      <w:bookmarkStart w:id="1554" w:name="_Toc25646"/>
      <w:bookmarkStart w:id="1555" w:name="_Toc22001"/>
      <w:bookmarkStart w:id="1556" w:name="_Toc8228"/>
      <w:bookmarkStart w:id="1557" w:name="_Toc25850"/>
      <w:bookmarkStart w:id="1558" w:name="_Toc24299"/>
    </w:p>
    <w:p w14:paraId="35A66231">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经计算，</w:t>
      </w:r>
      <w:r>
        <w:rPr>
          <w:color w:val="000000" w:themeColor="text1"/>
          <w:szCs w:val="28"/>
          <w14:textFill>
            <w14:solidFill>
              <w14:schemeClr w14:val="tx1"/>
            </w14:solidFill>
          </w14:textFill>
        </w:rPr>
        <w:t>矿山现有1250kVA变压器</w:t>
      </w:r>
      <w:r>
        <w:rPr>
          <w:rFonts w:hint="eastAsia"/>
          <w:color w:val="000000" w:themeColor="text1"/>
          <w:szCs w:val="28"/>
          <w14:textFill>
            <w14:solidFill>
              <w14:schemeClr w14:val="tx1"/>
            </w14:solidFill>
          </w14:textFill>
        </w:rPr>
        <w:t>和</w:t>
      </w:r>
      <w:r>
        <w:rPr>
          <w:color w:val="000000" w:themeColor="text1"/>
          <w:szCs w:val="28"/>
          <w14:textFill>
            <w14:solidFill>
              <w14:schemeClr w14:val="tx1"/>
            </w14:solidFill>
          </w14:textFill>
        </w:rPr>
        <w:t>800kVA变压器能够满足其现有负荷所需。</w:t>
      </w:r>
    </w:p>
    <w:p w14:paraId="4B11CF89">
      <w:pPr>
        <w:pStyle w:val="6"/>
        <w:spacing w:before="120" w:after="120"/>
        <w:rPr>
          <w:color w:val="000000" w:themeColor="text1"/>
          <w14:textFill>
            <w14:solidFill>
              <w14:schemeClr w14:val="tx1"/>
            </w14:solidFill>
          </w14:textFill>
        </w:rPr>
      </w:pPr>
      <w:bookmarkStart w:id="1559" w:name="_Toc215070213"/>
      <w:r>
        <w:rPr>
          <w:rFonts w:hint="eastAsia"/>
          <w:color w:val="000000" w:themeColor="text1"/>
          <w14:textFill>
            <w14:solidFill>
              <w14:schemeClr w14:val="tx1"/>
            </w14:solidFill>
          </w14:textFill>
        </w:rPr>
        <w:t>2.4.8.3</w:t>
      </w:r>
      <w:r>
        <w:rPr>
          <w:color w:val="000000" w:themeColor="text1"/>
          <w14:textFill>
            <w14:solidFill>
              <w14:schemeClr w14:val="tx1"/>
            </w14:solidFill>
          </w14:textFill>
        </w:rPr>
        <w:t>通讯及信号</w:t>
      </w:r>
      <w:bookmarkEnd w:id="1551"/>
      <w:bookmarkEnd w:id="1552"/>
      <w:bookmarkEnd w:id="1553"/>
      <w:bookmarkEnd w:id="1554"/>
      <w:bookmarkEnd w:id="1555"/>
      <w:bookmarkEnd w:id="1556"/>
      <w:bookmarkEnd w:id="1557"/>
      <w:bookmarkEnd w:id="1558"/>
      <w:bookmarkEnd w:id="1559"/>
    </w:p>
    <w:p w14:paraId="05539D87">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矿区通信为移动、联通等无线网络覆盖区域，通讯采用无线电话联络，可不重复架设通讯线路。</w:t>
      </w:r>
    </w:p>
    <w:p w14:paraId="73CF06F3">
      <w:pPr>
        <w:pStyle w:val="5"/>
        <w:spacing w:after="120"/>
        <w:rPr>
          <w:color w:val="000000" w:themeColor="text1"/>
          <w14:textFill>
            <w14:solidFill>
              <w14:schemeClr w14:val="tx1"/>
            </w14:solidFill>
          </w14:textFill>
        </w:rPr>
      </w:pPr>
      <w:bookmarkStart w:id="1560" w:name="_Toc392680682"/>
      <w:bookmarkStart w:id="1561" w:name="_Toc4966"/>
      <w:bookmarkStart w:id="1562" w:name="_Toc32511"/>
      <w:bookmarkStart w:id="1563" w:name="_Toc9679"/>
      <w:bookmarkStart w:id="1564" w:name="_Toc27079"/>
      <w:bookmarkStart w:id="1565" w:name="_Toc1461"/>
      <w:bookmarkStart w:id="1566" w:name="_Toc757"/>
      <w:bookmarkStart w:id="1567" w:name="_Toc2257"/>
      <w:bookmarkStart w:id="1568" w:name="_Toc4825"/>
      <w:bookmarkStart w:id="1569" w:name="_Toc215070214"/>
      <w:bookmarkStart w:id="1570" w:name="_Toc25068"/>
      <w:bookmarkStart w:id="1571" w:name="_Toc7313"/>
      <w:bookmarkStart w:id="1572" w:name="_Toc6728"/>
      <w:bookmarkStart w:id="1573" w:name="_Toc28965"/>
      <w:bookmarkStart w:id="1574" w:name="_Toc29475"/>
      <w:r>
        <w:rPr>
          <w:rFonts w:hint="eastAsia"/>
          <w:color w:val="000000" w:themeColor="text1"/>
          <w14:textFill>
            <w14:solidFill>
              <w14:schemeClr w14:val="tx1"/>
            </w14:solidFill>
          </w14:textFill>
        </w:rPr>
        <w:t>2.4.9</w:t>
      </w:r>
      <w:bookmarkEnd w:id="1518"/>
      <w:bookmarkEnd w:id="1519"/>
      <w:bookmarkEnd w:id="1560"/>
      <w:bookmarkEnd w:id="1561"/>
      <w:bookmarkEnd w:id="1562"/>
      <w:bookmarkEnd w:id="1563"/>
      <w:bookmarkEnd w:id="1564"/>
      <w:r>
        <w:rPr>
          <w:rFonts w:hint="eastAsia"/>
          <w:color w:val="000000" w:themeColor="text1"/>
          <w14:textFill>
            <w14:solidFill>
              <w14:schemeClr w14:val="tx1"/>
            </w14:solidFill>
          </w14:textFill>
        </w:rPr>
        <w:t>防排水系统</w:t>
      </w:r>
      <w:bookmarkEnd w:id="1565"/>
      <w:bookmarkEnd w:id="1566"/>
      <w:bookmarkEnd w:id="1567"/>
      <w:bookmarkEnd w:id="1568"/>
      <w:bookmarkEnd w:id="1569"/>
      <w:bookmarkEnd w:id="1570"/>
      <w:bookmarkEnd w:id="1571"/>
      <w:bookmarkEnd w:id="1572"/>
      <w:bookmarkEnd w:id="1573"/>
      <w:bookmarkEnd w:id="1574"/>
    </w:p>
    <w:p w14:paraId="684AA058">
      <w:pPr>
        <w:pStyle w:val="6"/>
        <w:spacing w:before="120" w:after="120"/>
        <w:rPr>
          <w:color w:val="000000" w:themeColor="text1"/>
          <w14:textFill>
            <w14:solidFill>
              <w14:schemeClr w14:val="tx1"/>
            </w14:solidFill>
          </w14:textFill>
        </w:rPr>
      </w:pPr>
      <w:bookmarkStart w:id="1575" w:name="_Toc8736"/>
      <w:bookmarkStart w:id="1576" w:name="_Toc215070215"/>
      <w:bookmarkStart w:id="1577" w:name="_Toc1756"/>
      <w:bookmarkStart w:id="1578" w:name="_Toc32230"/>
      <w:bookmarkStart w:id="1579" w:name="_Toc2373"/>
      <w:bookmarkStart w:id="1580" w:name="_Toc25237"/>
      <w:bookmarkStart w:id="1581" w:name="_Toc5813"/>
      <w:bookmarkStart w:id="1582" w:name="_Toc3299"/>
      <w:bookmarkStart w:id="1583" w:name="_Toc18395"/>
      <w:bookmarkStart w:id="1584" w:name="_Toc9908"/>
      <w:bookmarkStart w:id="1585" w:name="_Toc1588"/>
      <w:r>
        <w:rPr>
          <w:rFonts w:hint="eastAsia"/>
          <w:color w:val="000000" w:themeColor="text1"/>
          <w14:textFill>
            <w14:solidFill>
              <w14:schemeClr w14:val="tx1"/>
            </w14:solidFill>
          </w14:textFill>
        </w:rPr>
        <w:t>2.4.9.1</w:t>
      </w:r>
      <w:r>
        <w:rPr>
          <w:color w:val="000000" w:themeColor="text1"/>
          <w14:textFill>
            <w14:solidFill>
              <w14:schemeClr w14:val="tx1"/>
            </w14:solidFill>
          </w14:textFill>
        </w:rPr>
        <w:t>矿山给水</w:t>
      </w:r>
      <w:bookmarkEnd w:id="1575"/>
      <w:bookmarkEnd w:id="1576"/>
      <w:bookmarkEnd w:id="1577"/>
      <w:bookmarkEnd w:id="1578"/>
      <w:bookmarkEnd w:id="1579"/>
      <w:bookmarkEnd w:id="1580"/>
      <w:bookmarkEnd w:id="1581"/>
      <w:bookmarkEnd w:id="1582"/>
      <w:bookmarkEnd w:id="1583"/>
    </w:p>
    <w:p w14:paraId="11F64AC8">
      <w:pPr>
        <w:ind w:firstLine="560"/>
        <w:rPr>
          <w:color w:val="000000" w:themeColor="text1"/>
          <w:szCs w:val="28"/>
          <w14:textFill>
            <w14:solidFill>
              <w14:schemeClr w14:val="tx1"/>
            </w14:solidFill>
          </w14:textFill>
        </w:rPr>
      </w:pPr>
      <w:bookmarkStart w:id="1586" w:name="_Toc122746274"/>
      <w:bookmarkStart w:id="1587" w:name="_Toc115600592"/>
      <w:bookmarkStart w:id="1588" w:name="_Toc115599917"/>
      <w:r>
        <w:rPr>
          <w:color w:val="000000" w:themeColor="text1"/>
          <w:szCs w:val="28"/>
          <w:lang w:val="zh-TW" w:eastAsia="zh-TW"/>
          <w14:textFill>
            <w14:solidFill>
              <w14:schemeClr w14:val="tx1"/>
            </w14:solidFill>
          </w14:textFill>
        </w:rPr>
        <w:t>矿山用水主要为工作面爆堆洒水、道路洒水、设备用水及和生活用水</w:t>
      </w:r>
      <w:r>
        <w:rPr>
          <w:color w:val="000000" w:themeColor="text1"/>
          <w:szCs w:val="28"/>
          <w14:textFill>
            <w14:solidFill>
              <w14:schemeClr w14:val="tx1"/>
            </w14:solidFill>
          </w14:textFill>
        </w:rPr>
        <w:t>。</w:t>
      </w:r>
    </w:p>
    <w:p w14:paraId="309F82F8">
      <w:pPr>
        <w:ind w:firstLine="560"/>
        <w:rPr>
          <w:color w:val="000000" w:themeColor="text1"/>
          <w14:textFill>
            <w14:solidFill>
              <w14:schemeClr w14:val="tx1"/>
            </w14:solidFill>
          </w14:textFill>
        </w:rPr>
      </w:pPr>
      <w:bookmarkStart w:id="1589" w:name="_Toc16742"/>
      <w:bookmarkStart w:id="1590" w:name="_Toc7501"/>
      <w:bookmarkStart w:id="1591" w:name="_Toc242871913"/>
      <w:bookmarkStart w:id="1592" w:name="_Toc241004001"/>
      <w:bookmarkStart w:id="1593" w:name="_Toc28469"/>
      <w:bookmarkStart w:id="1594" w:name="_Toc242891492"/>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用水量、水质、水压</w:t>
      </w:r>
      <w:bookmarkEnd w:id="1589"/>
      <w:bookmarkEnd w:id="1590"/>
      <w:bookmarkEnd w:id="1591"/>
      <w:bookmarkEnd w:id="1592"/>
      <w:bookmarkEnd w:id="1593"/>
      <w:bookmarkEnd w:id="1594"/>
    </w:p>
    <w:p w14:paraId="7270334A">
      <w:pPr>
        <w:ind w:firstLine="560"/>
        <w:rPr>
          <w:color w:val="000000" w:themeColor="text1"/>
          <w14:textFill>
            <w14:solidFill>
              <w14:schemeClr w14:val="tx1"/>
            </w14:solidFill>
          </w14:textFill>
        </w:rPr>
      </w:pPr>
      <w:r>
        <w:rPr>
          <w:color w:val="000000" w:themeColor="text1"/>
          <w14:textFill>
            <w14:solidFill>
              <w14:schemeClr w14:val="tx1"/>
            </w14:solidFill>
          </w14:textFill>
        </w:rPr>
        <w:t>总用水量50m³/d，其中：生产生活用水30m³/d，其他用水20m³/d。</w:t>
      </w:r>
    </w:p>
    <w:p w14:paraId="556C9DDC">
      <w:pPr>
        <w:ind w:firstLine="560"/>
        <w:rPr>
          <w:color w:val="000000" w:themeColor="text1"/>
          <w14:textFill>
            <w14:solidFill>
              <w14:schemeClr w14:val="tx1"/>
            </w14:solidFill>
          </w14:textFill>
        </w:rPr>
      </w:pPr>
      <w:r>
        <w:rPr>
          <w:color w:val="000000" w:themeColor="text1"/>
          <w14:textFill>
            <w14:solidFill>
              <w14:schemeClr w14:val="tx1"/>
            </w14:solidFill>
          </w14:textFill>
        </w:rPr>
        <w:t>供水压力：0.4－0.5</w:t>
      </w:r>
      <w:r>
        <w:rPr>
          <w:rFonts w:hint="eastAsia"/>
          <w:color w:val="000000" w:themeColor="text1"/>
          <w14:textFill>
            <w14:solidFill>
              <w14:schemeClr w14:val="tx1"/>
            </w14:solidFill>
          </w14:textFill>
        </w:rPr>
        <w:t>MPa</w:t>
      </w:r>
    </w:p>
    <w:p w14:paraId="42F0E40D">
      <w:pPr>
        <w:ind w:firstLine="560"/>
        <w:rPr>
          <w:color w:val="000000" w:themeColor="text1"/>
          <w14:textFill>
            <w14:solidFill>
              <w14:schemeClr w14:val="tx1"/>
            </w14:solidFill>
          </w14:textFill>
        </w:rPr>
      </w:pPr>
      <w:r>
        <w:rPr>
          <w:color w:val="000000" w:themeColor="text1"/>
          <w14:textFill>
            <w14:solidFill>
              <w14:schemeClr w14:val="tx1"/>
            </w14:solidFill>
          </w14:textFill>
        </w:rPr>
        <w:t>供水水质：生产用水满足生产用水标准要求、生活用水要求满足生活饮用水标准。</w:t>
      </w:r>
    </w:p>
    <w:p w14:paraId="2E69AC7A">
      <w:pPr>
        <w:ind w:firstLine="560"/>
        <w:rPr>
          <w:color w:val="000000" w:themeColor="text1"/>
          <w14:textFill>
            <w14:solidFill>
              <w14:schemeClr w14:val="tx1"/>
            </w14:solidFill>
          </w14:textFill>
        </w:rPr>
      </w:pPr>
      <w:bookmarkStart w:id="1595" w:name="_Toc20923"/>
      <w:bookmarkStart w:id="1596" w:name="_Toc16286"/>
      <w:bookmarkStart w:id="1597" w:name="_Toc20835"/>
      <w:bookmarkStart w:id="1598" w:name="_Toc241004002"/>
      <w:bookmarkStart w:id="1599" w:name="_Toc242871914"/>
      <w:bookmarkStart w:id="1600" w:name="_Toc242891493"/>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给水水源及供水系统</w:t>
      </w:r>
      <w:bookmarkEnd w:id="1595"/>
      <w:bookmarkEnd w:id="1596"/>
      <w:bookmarkEnd w:id="1597"/>
      <w:bookmarkEnd w:id="1598"/>
      <w:bookmarkEnd w:id="1599"/>
      <w:bookmarkEnd w:id="1600"/>
    </w:p>
    <w:bookmarkEnd w:id="1586"/>
    <w:bookmarkEnd w:id="1587"/>
    <w:bookmarkEnd w:id="1588"/>
    <w:p w14:paraId="270A916C">
      <w:pPr>
        <w:ind w:firstLine="560"/>
        <w:rPr>
          <w:color w:val="000000" w:themeColor="text1"/>
          <w:szCs w:val="28"/>
          <w14:textFill>
            <w14:solidFill>
              <w14:schemeClr w14:val="tx1"/>
            </w14:solidFill>
          </w14:textFill>
        </w:rPr>
      </w:pPr>
      <w:bookmarkStart w:id="1601" w:name="_Toc22620"/>
      <w:bookmarkStart w:id="1602" w:name="_Toc28607"/>
      <w:bookmarkStart w:id="1603" w:name="_Toc4846"/>
      <w:bookmarkStart w:id="1604" w:name="_Toc9830"/>
      <w:bookmarkStart w:id="1605" w:name="_Toc23736"/>
      <w:bookmarkStart w:id="1606" w:name="_Toc2741"/>
      <w:bookmarkStart w:id="1607" w:name="_Toc4081"/>
      <w:bookmarkStart w:id="1608" w:name="_Toc30105"/>
      <w:bookmarkStart w:id="1609" w:name="_Toc13012"/>
      <w:r>
        <w:rPr>
          <w:rFonts w:hint="eastAsia"/>
          <w:color w:val="000000" w:themeColor="text1"/>
          <w:szCs w:val="28"/>
          <w14:textFill>
            <w14:solidFill>
              <w14:schemeClr w14:val="tx1"/>
            </w14:solidFill>
          </w14:textFill>
        </w:rPr>
        <w:t>矿山为扩建矿山，供水设施基本完善。</w:t>
      </w:r>
      <w:r>
        <w:rPr>
          <w:color w:val="000000" w:themeColor="text1"/>
          <w:szCs w:val="28"/>
          <w14:textFill>
            <w14:solidFill>
              <w14:schemeClr w14:val="tx1"/>
            </w14:solidFill>
          </w14:textFill>
        </w:rPr>
        <w:t>矿区生产生活用水由矿区南侧直距约1km的夕板村通过架设水线引入，用水窖、水箱进行储存，</w:t>
      </w:r>
      <w:r>
        <w:rPr>
          <w:rFonts w:hint="eastAsia"/>
          <w:color w:val="000000" w:themeColor="text1"/>
          <w:szCs w:val="28"/>
          <w14:textFill>
            <w14:solidFill>
              <w14:schemeClr w14:val="tx1"/>
            </w14:solidFill>
          </w14:textFill>
        </w:rPr>
        <w:t>临时</w:t>
      </w:r>
      <w:r>
        <w:rPr>
          <w:color w:val="000000" w:themeColor="text1"/>
          <w:szCs w:val="28"/>
          <w14:textFill>
            <w14:solidFill>
              <w14:schemeClr w14:val="tx1"/>
            </w14:solidFill>
          </w14:textFill>
        </w:rPr>
        <w:t>办公区、生活区和生产区均有供水设施，基本能满足矿山</w:t>
      </w:r>
      <w:r>
        <w:rPr>
          <w:rFonts w:hint="eastAsia"/>
          <w:color w:val="000000" w:themeColor="text1"/>
          <w:szCs w:val="28"/>
          <w14:textFill>
            <w14:solidFill>
              <w14:schemeClr w14:val="tx1"/>
            </w14:solidFill>
          </w14:textFill>
        </w:rPr>
        <w:t>日常</w:t>
      </w:r>
      <w:r>
        <w:rPr>
          <w:color w:val="000000" w:themeColor="text1"/>
          <w:szCs w:val="28"/>
          <w14:textFill>
            <w14:solidFill>
              <w14:schemeClr w14:val="tx1"/>
            </w14:solidFill>
          </w14:textFill>
        </w:rPr>
        <w:t>生产、生活用水。</w:t>
      </w:r>
    </w:p>
    <w:p w14:paraId="5B79B28D">
      <w:pPr>
        <w:pStyle w:val="6"/>
        <w:spacing w:before="120" w:after="120"/>
        <w:rPr>
          <w:color w:val="000000" w:themeColor="text1"/>
          <w14:textFill>
            <w14:solidFill>
              <w14:schemeClr w14:val="tx1"/>
            </w14:solidFill>
          </w14:textFill>
        </w:rPr>
      </w:pPr>
      <w:bookmarkStart w:id="1610" w:name="_Toc215070216"/>
      <w:r>
        <w:rPr>
          <w:rFonts w:hint="eastAsia"/>
          <w:color w:val="000000" w:themeColor="text1"/>
          <w14:textFill>
            <w14:solidFill>
              <w14:schemeClr w14:val="tx1"/>
            </w14:solidFill>
          </w14:textFill>
        </w:rPr>
        <w:t>2.4.9.2</w:t>
      </w:r>
      <w:r>
        <w:rPr>
          <w:color w:val="000000" w:themeColor="text1"/>
          <w14:textFill>
            <w14:solidFill>
              <w14:schemeClr w14:val="tx1"/>
            </w14:solidFill>
          </w14:textFill>
        </w:rPr>
        <w:t>矿山排水</w:t>
      </w:r>
      <w:bookmarkEnd w:id="1601"/>
      <w:bookmarkEnd w:id="1602"/>
      <w:bookmarkEnd w:id="1603"/>
      <w:bookmarkEnd w:id="1604"/>
      <w:bookmarkEnd w:id="1605"/>
      <w:bookmarkEnd w:id="1606"/>
      <w:bookmarkEnd w:id="1607"/>
      <w:bookmarkEnd w:id="1608"/>
      <w:bookmarkEnd w:id="1609"/>
      <w:bookmarkEnd w:id="1610"/>
    </w:p>
    <w:p w14:paraId="66C3AEA7">
      <w:pPr>
        <w:ind w:firstLine="560"/>
        <w:rPr>
          <w:color w:val="000000" w:themeColor="text1"/>
          <w:szCs w:val="28"/>
          <w14:textFill>
            <w14:solidFill>
              <w14:schemeClr w14:val="tx1"/>
            </w14:solidFill>
          </w14:textFill>
        </w:rPr>
      </w:pPr>
      <w:bookmarkStart w:id="1611" w:name="_Toc14317"/>
      <w:bookmarkStart w:id="1612" w:name="_Toc18269"/>
      <w:bookmarkStart w:id="1613" w:name="_Toc173118421"/>
      <w:bookmarkStart w:id="1614" w:name="_Toc10147"/>
      <w:bookmarkStart w:id="1615" w:name="_Toc32316"/>
      <w:bookmarkStart w:id="1616" w:name="_Toc13152"/>
      <w:bookmarkStart w:id="1617" w:name="_Toc2786"/>
      <w:bookmarkStart w:id="1618" w:name="_Toc19154"/>
      <w:bookmarkStart w:id="1619" w:name="_Toc17874"/>
      <w:bookmarkStart w:id="1620" w:name="_Toc11316"/>
      <w:r>
        <w:rPr>
          <w:color w:val="000000" w:themeColor="text1"/>
          <w:szCs w:val="28"/>
          <w14:textFill>
            <w14:solidFill>
              <w14:schemeClr w14:val="tx1"/>
            </w14:solidFill>
          </w14:textFill>
        </w:rPr>
        <w:t>该矿山</w:t>
      </w:r>
      <w:r>
        <w:rPr>
          <w:rFonts w:hint="eastAsia"/>
          <w:color w:val="000000" w:themeColor="text1"/>
          <w:szCs w:val="28"/>
          <w14:textFill>
            <w14:solidFill>
              <w14:schemeClr w14:val="tx1"/>
            </w14:solidFill>
          </w14:textFill>
        </w:rPr>
        <w:t>为露天山坡矿，</w:t>
      </w:r>
      <w:r>
        <w:rPr>
          <w:color w:val="000000" w:themeColor="text1"/>
          <w:szCs w:val="28"/>
          <w14:textFill>
            <w14:solidFill>
              <w14:schemeClr w14:val="tx1"/>
            </w14:solidFill>
          </w14:textFill>
        </w:rPr>
        <w:t>开采方式为露天开采，地形利于自然排水</w:t>
      </w:r>
      <w:r>
        <w:rPr>
          <w:rFonts w:hint="eastAsia"/>
          <w:color w:val="000000" w:themeColor="text1"/>
          <w:szCs w:val="28"/>
          <w14:textFill>
            <w14:solidFill>
              <w14:schemeClr w14:val="tx1"/>
            </w14:solidFill>
          </w14:textFill>
        </w:rPr>
        <w:t>。</w:t>
      </w:r>
    </w:p>
    <w:p w14:paraId="7C1017ED">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境外截洪沟：矿区属于山坡露天矿山，上部汇水区域不大，不设置境外截洪沟。</w:t>
      </w:r>
    </w:p>
    <w:p w14:paraId="1072E872">
      <w:pPr>
        <w:ind w:firstLine="560"/>
        <w:rPr>
          <w:color w:val="000000" w:themeColor="text1"/>
          <w:szCs w:val="28"/>
          <w:lang w:val="zh-TW"/>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台阶排水沟：在平台内侧设置排水沟，排水沟断面尺寸0.4m×0.3m×0.3m，平台工作面自边坡外侧向坡脚设置1</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3%的方向坡度，将汇水集中至坡脚排水沟排出，防止汇水冲刷台阶边坡。</w:t>
      </w:r>
    </w:p>
    <w:p w14:paraId="234C0EF2">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公路内侧排水沟：在矿区公路内侧设置排水沟，公路内侧排水沟断面尺寸</w:t>
      </w:r>
      <w:r>
        <w:rPr>
          <w:rFonts w:hint="eastAsia"/>
          <w:color w:val="000000" w:themeColor="text1"/>
          <w:szCs w:val="28"/>
          <w14:textFill>
            <w14:solidFill>
              <w14:schemeClr w14:val="tx1"/>
            </w14:solidFill>
          </w14:textFill>
        </w:rPr>
        <w:t>为0.5m×0.4m×0.3m</w:t>
      </w:r>
      <w:r>
        <w:rPr>
          <w:color w:val="000000" w:themeColor="text1"/>
          <w:szCs w:val="28"/>
          <w14:textFill>
            <w14:solidFill>
              <w14:schemeClr w14:val="tx1"/>
            </w14:solidFill>
          </w14:textFill>
        </w:rPr>
        <w:t>。</w:t>
      </w:r>
    </w:p>
    <w:p w14:paraId="37E60FDD">
      <w:pPr>
        <w:pStyle w:val="6"/>
        <w:spacing w:before="120" w:after="120"/>
        <w:rPr>
          <w:color w:val="000000" w:themeColor="text1"/>
          <w14:textFill>
            <w14:solidFill>
              <w14:schemeClr w14:val="tx1"/>
            </w14:solidFill>
          </w14:textFill>
        </w:rPr>
      </w:pPr>
      <w:bookmarkStart w:id="1621" w:name="_Toc215070217"/>
      <w:r>
        <w:rPr>
          <w:rFonts w:hint="eastAsia"/>
          <w:color w:val="000000" w:themeColor="text1"/>
          <w14:textFill>
            <w14:solidFill>
              <w14:schemeClr w14:val="tx1"/>
            </w14:solidFill>
          </w14:textFill>
        </w:rPr>
        <w:t>2.4.9.3</w:t>
      </w:r>
      <w:r>
        <w:rPr>
          <w:color w:val="000000" w:themeColor="text1"/>
          <w14:textFill>
            <w14:solidFill>
              <w14:schemeClr w14:val="tx1"/>
            </w14:solidFill>
          </w14:textFill>
        </w:rPr>
        <w:t>废水</w:t>
      </w:r>
      <w:bookmarkEnd w:id="1611"/>
      <w:bookmarkEnd w:id="1612"/>
      <w:bookmarkEnd w:id="1613"/>
      <w:bookmarkEnd w:id="1614"/>
      <w:bookmarkEnd w:id="1615"/>
      <w:bookmarkEnd w:id="1616"/>
      <w:bookmarkEnd w:id="1617"/>
      <w:bookmarkEnd w:id="1618"/>
      <w:bookmarkEnd w:id="1619"/>
      <w:bookmarkEnd w:id="1620"/>
      <w:bookmarkEnd w:id="1621"/>
    </w:p>
    <w:p w14:paraId="0FFB62BC">
      <w:pPr>
        <w:ind w:firstLine="560"/>
        <w:rPr>
          <w:color w:val="000000" w:themeColor="text1"/>
          <w:szCs w:val="28"/>
          <w14:textFill>
            <w14:solidFill>
              <w14:schemeClr w14:val="tx1"/>
            </w14:solidFill>
          </w14:textFill>
        </w:rPr>
      </w:pPr>
      <w:bookmarkStart w:id="1622" w:name="_Toc173118422"/>
      <w:r>
        <w:rPr>
          <w:color w:val="000000" w:themeColor="text1"/>
          <w14:textFill>
            <w14:solidFill>
              <w14:schemeClr w14:val="tx1"/>
            </w14:solidFill>
          </w14:textFill>
        </w:rPr>
        <w:t>露天开采矿山生产、生活等排水10m³/d，厕所全部采用旱厕，因此，生活排水基本都是清洁废水，经沉淀后，就近排入附近山沟水体或用于农田灌溉。机汽修车间会有少量含油废水排出，经隔油池处理后外排或回用。</w:t>
      </w:r>
    </w:p>
    <w:bookmarkEnd w:id="1039"/>
    <w:bookmarkEnd w:id="1040"/>
    <w:bookmarkEnd w:id="1041"/>
    <w:bookmarkEnd w:id="1042"/>
    <w:bookmarkEnd w:id="1520"/>
    <w:bookmarkEnd w:id="1521"/>
    <w:bookmarkEnd w:id="1584"/>
    <w:bookmarkEnd w:id="1585"/>
    <w:bookmarkEnd w:id="1622"/>
    <w:p w14:paraId="3A078AC8">
      <w:pPr>
        <w:pStyle w:val="5"/>
        <w:spacing w:after="120"/>
        <w:rPr>
          <w:color w:val="000000" w:themeColor="text1"/>
          <w14:textFill>
            <w14:solidFill>
              <w14:schemeClr w14:val="tx1"/>
            </w14:solidFill>
          </w14:textFill>
        </w:rPr>
      </w:pPr>
      <w:bookmarkStart w:id="1623" w:name="_Toc1697"/>
      <w:bookmarkStart w:id="1624" w:name="_Toc15809"/>
      <w:bookmarkStart w:id="1625" w:name="_Toc3695"/>
      <w:bookmarkStart w:id="1626" w:name="_Toc28529"/>
      <w:bookmarkStart w:id="1627" w:name="_Toc11968"/>
      <w:bookmarkStart w:id="1628" w:name="_Toc2981"/>
      <w:bookmarkStart w:id="1629" w:name="_Toc215070218"/>
      <w:bookmarkStart w:id="1630" w:name="_Toc16551"/>
      <w:bookmarkStart w:id="1631" w:name="_Toc14733"/>
      <w:bookmarkStart w:id="1632" w:name="_Toc30746"/>
      <w:bookmarkStart w:id="1633" w:name="_Toc19406"/>
      <w:bookmarkStart w:id="1634" w:name="_Toc18920612"/>
      <w:bookmarkStart w:id="1635" w:name="_Toc490839291"/>
      <w:bookmarkStart w:id="1636" w:name="_Toc491781206"/>
      <w:bookmarkStart w:id="1637" w:name="_Toc20250"/>
      <w:bookmarkStart w:id="1638" w:name="_Toc510625190"/>
      <w:bookmarkStart w:id="1639" w:name="_Toc392680690"/>
      <w:bookmarkStart w:id="1640" w:name="_Toc334781216"/>
      <w:bookmarkStart w:id="1641" w:name="_Toc26711"/>
      <w:bookmarkStart w:id="1642" w:name="_Toc29760"/>
      <w:bookmarkStart w:id="1643" w:name="_Toc11653"/>
      <w:bookmarkStart w:id="1644" w:name="_Toc3474"/>
      <w:bookmarkStart w:id="1645" w:name="_Toc153698710"/>
      <w:bookmarkStart w:id="1646" w:name="_Toc145823277"/>
      <w:bookmarkStart w:id="1647" w:name="_Toc105676027"/>
      <w:bookmarkStart w:id="1648" w:name="_Toc105675547"/>
      <w:bookmarkStart w:id="1649" w:name="_Toc105674858"/>
      <w:bookmarkStart w:id="1650" w:name="_Toc105730392"/>
      <w:r>
        <w:rPr>
          <w:rFonts w:hint="eastAsia"/>
          <w:color w:val="000000" w:themeColor="text1"/>
          <w14:textFill>
            <w14:solidFill>
              <w14:schemeClr w14:val="tx1"/>
            </w14:solidFill>
          </w14:textFill>
        </w:rPr>
        <w:t>2.4.10排土场</w:t>
      </w:r>
      <w:bookmarkEnd w:id="1623"/>
      <w:bookmarkEnd w:id="1624"/>
      <w:bookmarkEnd w:id="1625"/>
      <w:bookmarkEnd w:id="1626"/>
      <w:bookmarkEnd w:id="1627"/>
      <w:bookmarkEnd w:id="1628"/>
      <w:bookmarkEnd w:id="1629"/>
      <w:bookmarkEnd w:id="1630"/>
      <w:bookmarkEnd w:id="1631"/>
      <w:bookmarkEnd w:id="1632"/>
    </w:p>
    <w:bookmarkEnd w:id="1633"/>
    <w:bookmarkEnd w:id="1634"/>
    <w:bookmarkEnd w:id="1635"/>
    <w:bookmarkEnd w:id="1636"/>
    <w:bookmarkEnd w:id="1637"/>
    <w:bookmarkEnd w:id="1638"/>
    <w:p w14:paraId="4E63F53E">
      <w:pPr>
        <w:tabs>
          <w:tab w:val="left" w:pos="540"/>
        </w:tabs>
        <w:ind w:firstLine="560"/>
        <w:rPr>
          <w:color w:val="000000" w:themeColor="text1"/>
          <w:szCs w:val="28"/>
          <w14:textFill>
            <w14:solidFill>
              <w14:schemeClr w14:val="tx1"/>
            </w14:solidFill>
          </w14:textFill>
        </w:rPr>
      </w:pPr>
      <w:bookmarkStart w:id="1651" w:name="_Toc289437291"/>
      <w:bookmarkStart w:id="1652" w:name="_Toc241059873"/>
      <w:bookmarkStart w:id="1653" w:name="_Toc234857637"/>
      <w:bookmarkStart w:id="1654" w:name="_Toc234856648"/>
      <w:bookmarkStart w:id="1655" w:name="_Toc235006877"/>
      <w:bookmarkStart w:id="1656" w:name="_Toc234857408"/>
      <w:bookmarkStart w:id="1657" w:name="_Toc234858253"/>
      <w:bookmarkStart w:id="1658" w:name="_Toc9221"/>
      <w:bookmarkStart w:id="1659" w:name="_Toc16438"/>
      <w:r>
        <w:rPr>
          <w:rFonts w:hint="eastAsia"/>
          <w:color w:val="000000" w:themeColor="text1"/>
          <w:szCs w:val="28"/>
          <w14:textFill>
            <w14:solidFill>
              <w14:schemeClr w14:val="tx1"/>
            </w14:solidFill>
          </w14:textFill>
        </w:rPr>
        <w:t>区内矿体大部分出露地表，上覆覆盖层较少，按整个露天开采境界平均上覆浮土0.5m计算，剥离总量为2.5万m</w:t>
      </w:r>
      <w:r>
        <w:rPr>
          <w:rFonts w:hint="eastAsia"/>
          <w:color w:val="000000" w:themeColor="text1"/>
          <w:szCs w:val="28"/>
          <w:vertAlign w:val="superscript"/>
          <w14:textFill>
            <w14:solidFill>
              <w14:schemeClr w14:val="tx1"/>
            </w14:solidFill>
          </w14:textFill>
        </w:rPr>
        <w:t>3</w:t>
      </w:r>
      <w:r>
        <w:rPr>
          <w:rFonts w:hint="eastAsia"/>
          <w:color w:val="000000" w:themeColor="text1"/>
          <w:szCs w:val="28"/>
          <w14:textFill>
            <w14:solidFill>
              <w14:schemeClr w14:val="tx1"/>
            </w14:solidFill>
          </w14:textFill>
        </w:rPr>
        <w:t>。依据矿区地形及现有场地条件，</w:t>
      </w:r>
      <w:r>
        <w:rPr>
          <w:color w:val="000000" w:themeColor="text1"/>
          <w:szCs w:val="28"/>
          <w14:textFill>
            <w14:solidFill>
              <w14:schemeClr w14:val="tx1"/>
            </w14:solidFill>
          </w14:textFill>
        </w:rPr>
        <w:t>矿区北东侧采坑设置临时表土场，用于堆存采场剥离的废土，开采结束后废土作为复垦及恢复植被用。临时表土场顶部标高+13</w:t>
      </w:r>
      <w:r>
        <w:rPr>
          <w:rFonts w:hint="eastAsia"/>
          <w:color w:val="000000" w:themeColor="text1"/>
          <w:szCs w:val="28"/>
          <w14:textFill>
            <w14:solidFill>
              <w14:schemeClr w14:val="tx1"/>
            </w14:solidFill>
          </w14:textFill>
        </w:rPr>
        <w:t>05</w:t>
      </w:r>
      <w:r>
        <w:rPr>
          <w:color w:val="000000" w:themeColor="text1"/>
          <w:szCs w:val="28"/>
          <w14:textFill>
            <w14:solidFill>
              <w14:schemeClr w14:val="tx1"/>
            </w14:solidFill>
          </w14:textFill>
        </w:rPr>
        <w:t>m，底部标高+1</w:t>
      </w:r>
      <w:r>
        <w:rPr>
          <w:rFonts w:hint="eastAsia"/>
          <w:color w:val="000000" w:themeColor="text1"/>
          <w:szCs w:val="28"/>
          <w14:textFill>
            <w14:solidFill>
              <w14:schemeClr w14:val="tx1"/>
            </w14:solidFill>
          </w14:textFill>
        </w:rPr>
        <w:t>295</w:t>
      </w:r>
      <w:r>
        <w:rPr>
          <w:color w:val="000000" w:themeColor="text1"/>
          <w:szCs w:val="28"/>
          <w14:textFill>
            <w14:solidFill>
              <w14:schemeClr w14:val="tx1"/>
            </w14:solidFill>
          </w14:textFill>
        </w:rPr>
        <w:t>m，堆存高度</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已将</w:t>
      </w:r>
      <w:r>
        <w:rPr>
          <w:color w:val="000000" w:themeColor="text1"/>
          <w:szCs w:val="28"/>
          <w14:textFill>
            <w14:solidFill>
              <w14:schemeClr w14:val="tx1"/>
            </w14:solidFill>
          </w14:textFill>
        </w:rPr>
        <w:t>旧采坑填平至+13</w:t>
      </w:r>
      <w:r>
        <w:rPr>
          <w:rFonts w:hint="eastAsia"/>
          <w:color w:val="000000" w:themeColor="text1"/>
          <w:szCs w:val="28"/>
          <w14:textFill>
            <w14:solidFill>
              <w14:schemeClr w14:val="tx1"/>
            </w14:solidFill>
          </w14:textFill>
        </w:rPr>
        <w:t>00</w:t>
      </w:r>
      <w:r>
        <w:rPr>
          <w:color w:val="000000" w:themeColor="text1"/>
          <w:szCs w:val="28"/>
          <w14:textFill>
            <w14:solidFill>
              <w14:schemeClr w14:val="tx1"/>
            </w14:solidFill>
          </w14:textFill>
        </w:rPr>
        <w:t>m。</w:t>
      </w:r>
      <w:r>
        <w:rPr>
          <w:rFonts w:hint="eastAsia" w:ascii="宋体" w:hAnsi="宋体"/>
          <w:color w:val="000000" w:themeColor="text1"/>
          <w:szCs w:val="28"/>
          <w14:textFill>
            <w14:solidFill>
              <w14:schemeClr w14:val="tx1"/>
            </w14:solidFill>
          </w14:textFill>
        </w:rPr>
        <w:t>可堆存</w:t>
      </w:r>
      <w:r>
        <w:rPr>
          <w:rFonts w:hint="eastAsia"/>
          <w:color w:val="000000" w:themeColor="text1"/>
          <w:szCs w:val="28"/>
          <w14:textFill>
            <w14:solidFill>
              <w14:schemeClr w14:val="tx1"/>
            </w14:solidFill>
          </w14:textFill>
        </w:rPr>
        <w:t>1.5</w:t>
      </w:r>
      <w:r>
        <w:rPr>
          <w:rFonts w:hint="eastAsia" w:ascii="宋体" w:hAnsi="宋体"/>
          <w:color w:val="000000" w:themeColor="text1"/>
          <w:szCs w:val="28"/>
          <w14:textFill>
            <w14:solidFill>
              <w14:schemeClr w14:val="tx1"/>
            </w14:solidFill>
          </w14:textFill>
        </w:rPr>
        <w:t>万</w:t>
      </w:r>
      <w:r>
        <w:rPr>
          <w:rFonts w:eastAsia="Times New Roman"/>
          <w:color w:val="000000" w:themeColor="text1"/>
          <w:szCs w:val="28"/>
          <w14:textFill>
            <w14:solidFill>
              <w14:schemeClr w14:val="tx1"/>
            </w14:solidFill>
          </w14:textFill>
        </w:rPr>
        <w:t>m³</w:t>
      </w:r>
      <w:r>
        <w:rPr>
          <w:rFonts w:hint="eastAsia" w:ascii="宋体" w:hAnsi="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2.4</w:t>
      </w:r>
      <w:r>
        <w:rPr>
          <w:rFonts w:hint="eastAsia" w:ascii="宋体" w:hAnsi="宋体"/>
          <w:color w:val="000000" w:themeColor="text1"/>
          <w:szCs w:val="28"/>
          <w14:textFill>
            <w14:solidFill>
              <w14:schemeClr w14:val="tx1"/>
            </w14:solidFill>
          </w14:textFill>
        </w:rPr>
        <w:t>万</w:t>
      </w:r>
      <w:r>
        <w:rPr>
          <w:rFonts w:eastAsia="Times New Roman"/>
          <w:color w:val="000000" w:themeColor="text1"/>
          <w:szCs w:val="28"/>
          <w14:textFill>
            <w14:solidFill>
              <w14:schemeClr w14:val="tx1"/>
            </w14:solidFill>
          </w14:textFill>
        </w:rPr>
        <w:t>t</w:t>
      </w:r>
      <w:r>
        <w:rPr>
          <w:rFonts w:hint="eastAsia" w:ascii="宋体" w:hAnsi="宋体"/>
          <w:color w:val="000000" w:themeColor="text1"/>
          <w:szCs w:val="28"/>
          <w14:textFill>
            <w14:solidFill>
              <w14:schemeClr w14:val="tx1"/>
            </w14:solidFill>
          </w14:textFill>
        </w:rPr>
        <w:t>），矿山表土剥离量为</w:t>
      </w:r>
      <w:r>
        <w:rPr>
          <w:rFonts w:hint="eastAsia"/>
          <w:color w:val="000000" w:themeColor="text1"/>
          <w:szCs w:val="28"/>
          <w14:textFill>
            <w14:solidFill>
              <w14:schemeClr w14:val="tx1"/>
            </w14:solidFill>
          </w14:textFill>
        </w:rPr>
        <w:t>1.41</w:t>
      </w:r>
      <w:r>
        <w:rPr>
          <w:rFonts w:hint="eastAsia" w:ascii="宋体" w:hAnsi="宋体"/>
          <w:color w:val="000000" w:themeColor="text1"/>
          <w:szCs w:val="28"/>
          <w14:textFill>
            <w14:solidFill>
              <w14:schemeClr w14:val="tx1"/>
            </w14:solidFill>
          </w14:textFill>
        </w:rPr>
        <w:t>万</w:t>
      </w:r>
      <w:r>
        <w:rPr>
          <w:rFonts w:eastAsia="Times New Roman"/>
          <w:color w:val="000000" w:themeColor="text1"/>
          <w:szCs w:val="28"/>
          <w14:textFill>
            <w14:solidFill>
              <w14:schemeClr w14:val="tx1"/>
            </w14:solidFill>
          </w14:textFill>
        </w:rPr>
        <w:t>m³</w:t>
      </w:r>
      <w:r>
        <w:rPr>
          <w:rFonts w:hint="eastAsia" w:ascii="宋体" w:hAnsi="宋体"/>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2.25</w:t>
      </w:r>
      <w:r>
        <w:rPr>
          <w:rFonts w:hint="eastAsia" w:ascii="宋体" w:hAnsi="宋体"/>
          <w:color w:val="000000" w:themeColor="text1"/>
          <w:szCs w:val="28"/>
          <w14:textFill>
            <w14:solidFill>
              <w14:schemeClr w14:val="tx1"/>
            </w14:solidFill>
          </w14:textFill>
        </w:rPr>
        <w:t>万</w:t>
      </w:r>
      <w:r>
        <w:rPr>
          <w:rFonts w:eastAsia="Times New Roman"/>
          <w:color w:val="000000" w:themeColor="text1"/>
          <w:szCs w:val="28"/>
          <w14:textFill>
            <w14:solidFill>
              <w14:schemeClr w14:val="tx1"/>
            </w14:solidFill>
          </w14:textFill>
        </w:rPr>
        <w:t>t</w:t>
      </w:r>
      <w:r>
        <w:rPr>
          <w:rFonts w:hint="eastAsia" w:ascii="宋体" w:hAnsi="宋体"/>
          <w:color w:val="000000" w:themeColor="text1"/>
          <w:szCs w:val="28"/>
          <w14:textFill>
            <w14:solidFill>
              <w14:schemeClr w14:val="tx1"/>
            </w14:solidFill>
          </w14:textFill>
        </w:rPr>
        <w:t>），能够满足堆存要</w:t>
      </w:r>
      <w:r>
        <w:rPr>
          <w:rFonts w:eastAsia="Times New Roman"/>
          <w:color w:val="000000" w:themeColor="text1"/>
          <w:szCs w:val="28"/>
          <w14:textFill>
            <w14:solidFill>
              <w14:schemeClr w14:val="tx1"/>
            </w14:solidFill>
          </w14:textFill>
        </w:rPr>
        <w:t>求</w:t>
      </w:r>
      <w:r>
        <w:rPr>
          <w:rFonts w:hint="eastAsia"/>
          <w:color w:val="000000" w:themeColor="text1"/>
          <w:szCs w:val="28"/>
          <w14:textFill>
            <w14:solidFill>
              <w14:schemeClr w14:val="tx1"/>
            </w14:solidFill>
          </w14:textFill>
        </w:rPr>
        <w:t>。堆排废土后续用于矿山复垦。</w:t>
      </w:r>
    </w:p>
    <w:p w14:paraId="6BC43C8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不设排土场，剥采的浮土部分内排使用复垦、部分用于堆填公路、部分临时堆存。实行边开采、边治理、边复垦，临时堆场内临时堆存的部分表土在生产过程中要及时运出，对靠帮台阶、废弃场地覆土进行复垦。采用汽车运输—装载机排废方式，包括汽车翻卸废土、装载机推运废土、平整场地及整修道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矿体浮土覆盖层见图2.4-4</w:t>
      </w:r>
    </w:p>
    <w:p w14:paraId="62526A7E">
      <w:pPr>
        <w:ind w:firstLine="56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32475" cy="3281045"/>
            <wp:effectExtent l="0" t="0" r="0" b="0"/>
            <wp:docPr id="2386493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49357"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832475" cy="3281045"/>
                    </a:xfrm>
                    <a:prstGeom prst="rect">
                      <a:avLst/>
                    </a:prstGeom>
                    <a:noFill/>
                    <a:ln>
                      <a:noFill/>
                    </a:ln>
                  </pic:spPr>
                </pic:pic>
              </a:graphicData>
            </a:graphic>
          </wp:inline>
        </w:drawing>
      </w:r>
    </w:p>
    <w:p w14:paraId="0ECC5C30">
      <w:pPr>
        <w:ind w:firstLine="422"/>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图2.4-4 矿体浮土覆盖层</w:t>
      </w:r>
    </w:p>
    <w:p w14:paraId="50F94CF1">
      <w:pPr>
        <w:pStyle w:val="5"/>
        <w:spacing w:after="120"/>
        <w:rPr>
          <w:color w:val="000000" w:themeColor="text1"/>
          <w14:textFill>
            <w14:solidFill>
              <w14:schemeClr w14:val="tx1"/>
            </w14:solidFill>
          </w14:textFill>
        </w:rPr>
      </w:pPr>
      <w:bookmarkStart w:id="1660" w:name="_Toc28837"/>
      <w:bookmarkStart w:id="1661" w:name="_Toc215070219"/>
      <w:r>
        <w:rPr>
          <w:rFonts w:hint="eastAsia"/>
          <w:color w:val="000000" w:themeColor="text1"/>
          <w14:textFill>
            <w14:solidFill>
              <w14:schemeClr w14:val="tx1"/>
            </w14:solidFill>
          </w14:textFill>
        </w:rPr>
        <w:t>2.4.11破碎</w:t>
      </w:r>
      <w:bookmarkEnd w:id="1660"/>
      <w:bookmarkEnd w:id="1661"/>
    </w:p>
    <w:p w14:paraId="0709998A">
      <w:pPr>
        <w:pStyle w:val="6"/>
        <w:tabs>
          <w:tab w:val="left" w:pos="0"/>
        </w:tabs>
        <w:spacing w:before="120" w:after="120"/>
        <w:rPr>
          <w:bCs/>
          <w:color w:val="000000" w:themeColor="text1"/>
          <w14:textFill>
            <w14:solidFill>
              <w14:schemeClr w14:val="tx1"/>
            </w14:solidFill>
          </w14:textFill>
        </w:rPr>
      </w:pPr>
      <w:bookmarkStart w:id="1662" w:name="_Toc215070220"/>
      <w:bookmarkStart w:id="1663" w:name="_Toc25391"/>
      <w:r>
        <w:rPr>
          <w:rFonts w:hint="eastAsia"/>
          <w:color w:val="000000" w:themeColor="text1"/>
          <w14:textFill>
            <w14:solidFill>
              <w14:schemeClr w14:val="tx1"/>
            </w14:solidFill>
          </w14:textFill>
        </w:rPr>
        <w:t>2.4.11</w:t>
      </w:r>
      <w:r>
        <w:rPr>
          <w:color w:val="000000" w:themeColor="text1"/>
          <w14:textFill>
            <w14:solidFill>
              <w14:schemeClr w14:val="tx1"/>
            </w14:solidFill>
          </w14:textFill>
        </w:rPr>
        <w:t>.1</w:t>
      </w:r>
      <w:bookmarkStart w:id="1664" w:name="_Hlk47335895"/>
      <w:r>
        <w:rPr>
          <w:bCs/>
          <w:color w:val="000000" w:themeColor="text1"/>
          <w14:textFill>
            <w14:solidFill>
              <w14:schemeClr w14:val="tx1"/>
            </w14:solidFill>
          </w14:textFill>
        </w:rPr>
        <w:t>破碎站</w:t>
      </w:r>
      <w:r>
        <w:rPr>
          <w:rFonts w:hint="eastAsia"/>
          <w:bCs/>
          <w:color w:val="000000" w:themeColor="text1"/>
          <w14:textFill>
            <w14:solidFill>
              <w14:schemeClr w14:val="tx1"/>
            </w14:solidFill>
          </w14:textFill>
        </w:rPr>
        <w:t>位置</w:t>
      </w:r>
      <w:bookmarkEnd w:id="1662"/>
      <w:bookmarkEnd w:id="1663"/>
    </w:p>
    <w:p w14:paraId="1653EA66">
      <w:pPr>
        <w:pStyle w:val="144"/>
        <w:adjustRightInd w:val="0"/>
        <w:snapToGrid w:val="0"/>
        <w:ind w:firstLine="560"/>
        <w:rPr>
          <w:color w:val="000000" w:themeColor="text1"/>
          <w:kern w:val="2"/>
          <w:sz w:val="28"/>
          <w:szCs w:val="24"/>
          <w14:textFill>
            <w14:solidFill>
              <w14:schemeClr w14:val="tx1"/>
            </w14:solidFill>
          </w14:textFill>
        </w:rPr>
      </w:pPr>
      <w:r>
        <w:rPr>
          <w:rFonts w:hint="eastAsia"/>
          <w:color w:val="000000" w:themeColor="text1"/>
          <w:kern w:val="2"/>
          <w:sz w:val="28"/>
          <w:szCs w:val="24"/>
          <w14:textFill>
            <w14:solidFill>
              <w14:schemeClr w14:val="tx1"/>
            </w14:solidFill>
          </w14:textFill>
        </w:rPr>
        <w:t>破碎设备位于矿区外南东方向+1322m标高，主要用于破碎加工矿石，堆料场地位于破碎站西南侧+1300m标高，</w:t>
      </w:r>
      <w:r>
        <w:rPr>
          <w:color w:val="000000" w:themeColor="text1"/>
          <w:kern w:val="2"/>
          <w:sz w:val="28"/>
          <w:szCs w:val="24"/>
          <w14:textFill>
            <w14:solidFill>
              <w14:schemeClr w14:val="tx1"/>
            </w14:solidFill>
          </w14:textFill>
        </w:rPr>
        <w:t>场地稳定，无滑坡、泥石流、塌方现象。</w:t>
      </w:r>
    </w:p>
    <w:p w14:paraId="2C54056D">
      <w:pPr>
        <w:pStyle w:val="6"/>
        <w:tabs>
          <w:tab w:val="left" w:pos="0"/>
        </w:tabs>
        <w:spacing w:before="120" w:after="120"/>
        <w:rPr>
          <w:bCs/>
          <w:color w:val="000000" w:themeColor="text1"/>
          <w14:textFill>
            <w14:solidFill>
              <w14:schemeClr w14:val="tx1"/>
            </w14:solidFill>
          </w14:textFill>
        </w:rPr>
      </w:pPr>
      <w:bookmarkStart w:id="1665" w:name="_Toc3171"/>
      <w:bookmarkStart w:id="1666" w:name="_Toc215070221"/>
      <w:r>
        <w:rPr>
          <w:rFonts w:hint="eastAsia"/>
          <w:bCs/>
          <w:color w:val="000000" w:themeColor="text1"/>
          <w14:textFill>
            <w14:solidFill>
              <w14:schemeClr w14:val="tx1"/>
            </w14:solidFill>
          </w14:textFill>
        </w:rPr>
        <w:t>2.4.11</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破碎</w:t>
      </w:r>
      <w:r>
        <w:rPr>
          <w:rFonts w:hint="eastAsia"/>
          <w:bCs/>
          <w:color w:val="000000" w:themeColor="text1"/>
          <w14:textFill>
            <w14:solidFill>
              <w14:schemeClr w14:val="tx1"/>
            </w14:solidFill>
          </w14:textFill>
        </w:rPr>
        <w:t>设备</w:t>
      </w:r>
      <w:bookmarkEnd w:id="1665"/>
      <w:bookmarkEnd w:id="1666"/>
    </w:p>
    <w:p w14:paraId="2E60ED2E">
      <w:pPr>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破碎站为利旧。主要设备见破碎站</w:t>
      </w:r>
      <w:r>
        <w:rPr>
          <w:color w:val="000000" w:themeColor="text1"/>
          <w:lang w:val="zh-CN"/>
          <w14:textFill>
            <w14:solidFill>
              <w14:schemeClr w14:val="tx1"/>
            </w14:solidFill>
          </w14:textFill>
        </w:rPr>
        <w:t>设备</w:t>
      </w:r>
      <w:r>
        <w:rPr>
          <w:rFonts w:hint="eastAsia"/>
          <w:color w:val="000000" w:themeColor="text1"/>
          <w14:textFill>
            <w14:solidFill>
              <w14:schemeClr w14:val="tx1"/>
            </w14:solidFill>
          </w14:textFill>
        </w:rPr>
        <w:t>设施</w:t>
      </w:r>
      <w:r>
        <w:rPr>
          <w:color w:val="000000" w:themeColor="text1"/>
          <w:lang w:val="zh-CN"/>
          <w14:textFill>
            <w14:solidFill>
              <w14:schemeClr w14:val="tx1"/>
            </w14:solidFill>
          </w14:textFill>
        </w:rPr>
        <w:t>表</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表2</w:t>
      </w:r>
      <w:r>
        <w:rPr>
          <w:rFonts w:hint="eastAsia"/>
          <w:color w:val="000000" w:themeColor="text1"/>
          <w14:textFill>
            <w14:solidFill>
              <w14:schemeClr w14:val="tx1"/>
            </w14:solidFill>
          </w14:textFill>
        </w:rPr>
        <w:t>.4-16</w:t>
      </w:r>
      <w:r>
        <w:rPr>
          <w:rFonts w:hint="eastAsia"/>
          <w:color w:val="000000" w:themeColor="text1"/>
          <w:lang w:val="zh-CN"/>
          <w14:textFill>
            <w14:solidFill>
              <w14:schemeClr w14:val="tx1"/>
            </w14:solidFill>
          </w14:textFill>
        </w:rPr>
        <w:t>）。</w:t>
      </w:r>
    </w:p>
    <w:p w14:paraId="5777DB98">
      <w:pPr>
        <w:pStyle w:val="64"/>
        <w:spacing w:before="120" w:after="120"/>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表2</w:t>
      </w:r>
      <w:r>
        <w:rPr>
          <w:rFonts w:hint="eastAsia"/>
          <w:color w:val="000000" w:themeColor="text1"/>
          <w14:textFill>
            <w14:solidFill>
              <w14:schemeClr w14:val="tx1"/>
            </w14:solidFill>
          </w14:textFill>
        </w:rPr>
        <w:t>.4-15破碎站</w:t>
      </w:r>
      <w:r>
        <w:rPr>
          <w:color w:val="000000" w:themeColor="text1"/>
          <w:lang w:val="zh-CN"/>
          <w14:textFill>
            <w14:solidFill>
              <w14:schemeClr w14:val="tx1"/>
            </w14:solidFill>
          </w14:textFill>
        </w:rPr>
        <w:t>设备</w:t>
      </w:r>
      <w:r>
        <w:rPr>
          <w:rFonts w:hint="eastAsia"/>
          <w:color w:val="000000" w:themeColor="text1"/>
          <w14:textFill>
            <w14:solidFill>
              <w14:schemeClr w14:val="tx1"/>
            </w14:solidFill>
          </w14:textFill>
        </w:rPr>
        <w:t>设施</w:t>
      </w:r>
      <w:r>
        <w:rPr>
          <w:color w:val="000000" w:themeColor="text1"/>
          <w:lang w:val="zh-CN"/>
          <w14:textFill>
            <w14:solidFill>
              <w14:schemeClr w14:val="tx1"/>
            </w14:solidFill>
          </w14:textFill>
        </w:rPr>
        <w:t>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796"/>
        <w:gridCol w:w="796"/>
        <w:gridCol w:w="4146"/>
        <w:gridCol w:w="1196"/>
      </w:tblGrid>
      <w:tr w14:paraId="644B2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80" w:type="pct"/>
            <w:tcBorders>
              <w:tl2br w:val="nil"/>
              <w:tr2bl w:val="nil"/>
            </w:tcBorders>
            <w:vAlign w:val="center"/>
          </w:tcPr>
          <w:p w14:paraId="2C3046EA">
            <w:pPr>
              <w:tabs>
                <w:tab w:val="left" w:pos="0"/>
              </w:tabs>
              <w:adjustRightInd w:val="0"/>
              <w:snapToGrid w:val="0"/>
              <w:spacing w:line="24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设备名称</w:t>
            </w:r>
          </w:p>
        </w:tc>
        <w:tc>
          <w:tcPr>
            <w:tcW w:w="955" w:type="pct"/>
            <w:tcBorders>
              <w:tl2br w:val="nil"/>
              <w:tr2bl w:val="nil"/>
            </w:tcBorders>
            <w:vAlign w:val="center"/>
          </w:tcPr>
          <w:p w14:paraId="531D39AD">
            <w:pPr>
              <w:tabs>
                <w:tab w:val="left" w:pos="0"/>
              </w:tabs>
              <w:adjustRightInd w:val="0"/>
              <w:snapToGrid w:val="0"/>
              <w:spacing w:line="24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型号</w:t>
            </w:r>
          </w:p>
        </w:tc>
        <w:tc>
          <w:tcPr>
            <w:tcW w:w="423" w:type="pct"/>
            <w:tcBorders>
              <w:tl2br w:val="nil"/>
              <w:tr2bl w:val="nil"/>
            </w:tcBorders>
            <w:vAlign w:val="center"/>
          </w:tcPr>
          <w:p w14:paraId="233A844E">
            <w:pPr>
              <w:tabs>
                <w:tab w:val="left" w:pos="0"/>
              </w:tabs>
              <w:adjustRightInd w:val="0"/>
              <w:snapToGrid w:val="0"/>
              <w:spacing w:line="24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数量</w:t>
            </w:r>
          </w:p>
        </w:tc>
        <w:tc>
          <w:tcPr>
            <w:tcW w:w="2204" w:type="pct"/>
            <w:tcBorders>
              <w:tl2br w:val="nil"/>
              <w:tr2bl w:val="nil"/>
            </w:tcBorders>
            <w:vAlign w:val="center"/>
          </w:tcPr>
          <w:p w14:paraId="16F271BD">
            <w:pPr>
              <w:tabs>
                <w:tab w:val="left" w:pos="0"/>
              </w:tabs>
              <w:adjustRightInd w:val="0"/>
              <w:snapToGrid w:val="0"/>
              <w:spacing w:line="24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技术参数</w:t>
            </w:r>
          </w:p>
        </w:tc>
        <w:tc>
          <w:tcPr>
            <w:tcW w:w="636" w:type="pct"/>
            <w:tcBorders>
              <w:tl2br w:val="nil"/>
              <w:tr2bl w:val="nil"/>
            </w:tcBorders>
            <w:vAlign w:val="center"/>
          </w:tcPr>
          <w:p w14:paraId="6E022B7C">
            <w:pPr>
              <w:tabs>
                <w:tab w:val="left" w:pos="0"/>
              </w:tabs>
              <w:adjustRightInd w:val="0"/>
              <w:snapToGrid w:val="0"/>
              <w:spacing w:line="24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14:paraId="43D05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3317D8E5">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颚式破碎机</w:t>
            </w:r>
          </w:p>
        </w:tc>
        <w:tc>
          <w:tcPr>
            <w:tcW w:w="955" w:type="pct"/>
            <w:tcBorders>
              <w:tl2br w:val="nil"/>
              <w:tr2bl w:val="nil"/>
            </w:tcBorders>
            <w:vAlign w:val="center"/>
          </w:tcPr>
          <w:p w14:paraId="34E8A50E">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850*1250-C125</w:t>
            </w:r>
          </w:p>
        </w:tc>
        <w:tc>
          <w:tcPr>
            <w:tcW w:w="423" w:type="pct"/>
            <w:tcBorders>
              <w:tl2br w:val="nil"/>
              <w:tr2bl w:val="nil"/>
            </w:tcBorders>
            <w:vAlign w:val="center"/>
          </w:tcPr>
          <w:p w14:paraId="5C10D81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0D3EA135">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设备功率：110</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36BB203B">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09F92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2AADD1E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反击式破碎机</w:t>
            </w:r>
          </w:p>
        </w:tc>
        <w:tc>
          <w:tcPr>
            <w:tcW w:w="955" w:type="pct"/>
            <w:tcBorders>
              <w:tl2br w:val="nil"/>
              <w:tr2bl w:val="nil"/>
            </w:tcBorders>
            <w:vAlign w:val="center"/>
          </w:tcPr>
          <w:p w14:paraId="6959B832">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PFQ1315</w:t>
            </w:r>
          </w:p>
        </w:tc>
        <w:tc>
          <w:tcPr>
            <w:tcW w:w="423" w:type="pct"/>
            <w:tcBorders>
              <w:tl2br w:val="nil"/>
              <w:tr2bl w:val="nil"/>
            </w:tcBorders>
            <w:vAlign w:val="center"/>
          </w:tcPr>
          <w:p w14:paraId="31FC41FD">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2台</w:t>
            </w:r>
          </w:p>
        </w:tc>
        <w:tc>
          <w:tcPr>
            <w:tcW w:w="2204" w:type="pct"/>
            <w:tcBorders>
              <w:tl2br w:val="nil"/>
              <w:tr2bl w:val="nil"/>
            </w:tcBorders>
            <w:vAlign w:val="center"/>
          </w:tcPr>
          <w:p w14:paraId="357C48FF">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设备功率：2*140</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7C09406A">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3A9D0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35F1CF1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磨机</w:t>
            </w:r>
          </w:p>
        </w:tc>
        <w:tc>
          <w:tcPr>
            <w:tcW w:w="955" w:type="pct"/>
            <w:tcBorders>
              <w:tl2br w:val="nil"/>
              <w:tr2bl w:val="nil"/>
            </w:tcBorders>
            <w:vAlign w:val="center"/>
          </w:tcPr>
          <w:p w14:paraId="18A1DB7B">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V-315</w:t>
            </w:r>
          </w:p>
        </w:tc>
        <w:tc>
          <w:tcPr>
            <w:tcW w:w="423" w:type="pct"/>
            <w:tcBorders>
              <w:tl2br w:val="nil"/>
              <w:tr2bl w:val="nil"/>
            </w:tcBorders>
            <w:vAlign w:val="center"/>
          </w:tcPr>
          <w:p w14:paraId="146DAD6A">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4EA28A08">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设备功率：320</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4C963C88">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6478F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365F5FB9">
            <w:pPr>
              <w:adjustRightInd w:val="0"/>
              <w:snapToGrid w:val="0"/>
              <w:spacing w:line="240" w:lineRule="exact"/>
              <w:ind w:firstLine="0" w:firstLineChars="0"/>
              <w:jc w:val="both"/>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反击式制砂机</w:t>
            </w:r>
          </w:p>
        </w:tc>
        <w:tc>
          <w:tcPr>
            <w:tcW w:w="955" w:type="pct"/>
            <w:tcBorders>
              <w:tl2br w:val="nil"/>
              <w:tr2bl w:val="nil"/>
            </w:tcBorders>
            <w:vAlign w:val="center"/>
          </w:tcPr>
          <w:p w14:paraId="03E802A5">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PFC-015</w:t>
            </w:r>
          </w:p>
        </w:tc>
        <w:tc>
          <w:tcPr>
            <w:tcW w:w="423" w:type="pct"/>
            <w:tcBorders>
              <w:tl2br w:val="nil"/>
              <w:tr2bl w:val="nil"/>
            </w:tcBorders>
            <w:vAlign w:val="center"/>
          </w:tcPr>
          <w:p w14:paraId="76BA1D8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5D0B969D">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设备功率：280</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209DE578">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5C0E0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10A85121">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振动筛1#</w:t>
            </w:r>
          </w:p>
        </w:tc>
        <w:tc>
          <w:tcPr>
            <w:tcW w:w="955" w:type="pct"/>
            <w:tcBorders>
              <w:tl2br w:val="nil"/>
              <w:tr2bl w:val="nil"/>
            </w:tcBorders>
            <w:vAlign w:val="center"/>
          </w:tcPr>
          <w:p w14:paraId="243D27D2">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YAH1850</w:t>
            </w:r>
          </w:p>
        </w:tc>
        <w:tc>
          <w:tcPr>
            <w:tcW w:w="423" w:type="pct"/>
            <w:tcBorders>
              <w:tl2br w:val="nil"/>
              <w:tr2bl w:val="nil"/>
            </w:tcBorders>
            <w:vAlign w:val="center"/>
          </w:tcPr>
          <w:p w14:paraId="592D6C0B">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3E96CA2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设备功率：37</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39D5D9B7">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5E08E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212FED8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振动筛2#</w:t>
            </w:r>
          </w:p>
        </w:tc>
        <w:tc>
          <w:tcPr>
            <w:tcW w:w="955" w:type="pct"/>
            <w:tcBorders>
              <w:tl2br w:val="nil"/>
              <w:tr2bl w:val="nil"/>
            </w:tcBorders>
            <w:vAlign w:val="center"/>
          </w:tcPr>
          <w:p w14:paraId="46B771E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2YA3070</w:t>
            </w:r>
          </w:p>
        </w:tc>
        <w:tc>
          <w:tcPr>
            <w:tcW w:w="423" w:type="pct"/>
            <w:tcBorders>
              <w:tl2br w:val="nil"/>
              <w:tr2bl w:val="nil"/>
            </w:tcBorders>
            <w:vAlign w:val="center"/>
          </w:tcPr>
          <w:p w14:paraId="0698ED41">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33D29DA5">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设备功率：2*25</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31F6A44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4BB20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16EEAAF9">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振动筛3#</w:t>
            </w:r>
          </w:p>
        </w:tc>
        <w:tc>
          <w:tcPr>
            <w:tcW w:w="955" w:type="pct"/>
            <w:tcBorders>
              <w:tl2br w:val="nil"/>
              <w:tr2bl w:val="nil"/>
            </w:tcBorders>
            <w:vAlign w:val="center"/>
          </w:tcPr>
          <w:p w14:paraId="5D21DFC8">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2YA3070</w:t>
            </w:r>
          </w:p>
        </w:tc>
        <w:tc>
          <w:tcPr>
            <w:tcW w:w="423" w:type="pct"/>
            <w:tcBorders>
              <w:tl2br w:val="nil"/>
              <w:tr2bl w:val="nil"/>
            </w:tcBorders>
            <w:vAlign w:val="center"/>
          </w:tcPr>
          <w:p w14:paraId="7792E6E0">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59B01CCE">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设备功率：45</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544DE75F">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6799A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08CAB5C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振动筛4#</w:t>
            </w:r>
          </w:p>
        </w:tc>
        <w:tc>
          <w:tcPr>
            <w:tcW w:w="955" w:type="pct"/>
            <w:tcBorders>
              <w:tl2br w:val="nil"/>
              <w:tr2bl w:val="nil"/>
            </w:tcBorders>
            <w:vAlign w:val="center"/>
          </w:tcPr>
          <w:p w14:paraId="63AC2247">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2YA3070</w:t>
            </w:r>
          </w:p>
        </w:tc>
        <w:tc>
          <w:tcPr>
            <w:tcW w:w="423" w:type="pct"/>
            <w:tcBorders>
              <w:tl2br w:val="nil"/>
              <w:tr2bl w:val="nil"/>
            </w:tcBorders>
            <w:vAlign w:val="center"/>
          </w:tcPr>
          <w:p w14:paraId="5DABE438">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265F1DCC">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设备功率：45</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2A06F2B4">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79096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0C2EDDF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给料机</w:t>
            </w:r>
          </w:p>
        </w:tc>
        <w:tc>
          <w:tcPr>
            <w:tcW w:w="955" w:type="pct"/>
            <w:tcBorders>
              <w:tl2br w:val="nil"/>
              <w:tr2bl w:val="nil"/>
            </w:tcBorders>
            <w:vAlign w:val="center"/>
          </w:tcPr>
          <w:p w14:paraId="7D05764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WL1570</w:t>
            </w:r>
          </w:p>
        </w:tc>
        <w:tc>
          <w:tcPr>
            <w:tcW w:w="423" w:type="pct"/>
            <w:tcBorders>
              <w:tl2br w:val="nil"/>
              <w:tr2bl w:val="nil"/>
            </w:tcBorders>
            <w:vAlign w:val="center"/>
          </w:tcPr>
          <w:p w14:paraId="5596D104">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15DD56DB">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设备功率：22</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6759BF3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07B1E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78FC3B83">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料仓给料机</w:t>
            </w:r>
          </w:p>
        </w:tc>
        <w:tc>
          <w:tcPr>
            <w:tcW w:w="955" w:type="pct"/>
            <w:tcBorders>
              <w:tl2br w:val="nil"/>
              <w:tr2bl w:val="nil"/>
            </w:tcBorders>
            <w:vAlign w:val="center"/>
          </w:tcPr>
          <w:p w14:paraId="7F841895">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GZG1103</w:t>
            </w:r>
          </w:p>
        </w:tc>
        <w:tc>
          <w:tcPr>
            <w:tcW w:w="423" w:type="pct"/>
            <w:tcBorders>
              <w:tl2br w:val="nil"/>
              <w:tr2bl w:val="nil"/>
            </w:tcBorders>
            <w:vAlign w:val="center"/>
          </w:tcPr>
          <w:p w14:paraId="09B0000C">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3FFE7FD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设备功率：2.2</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217B066B">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r w14:paraId="445BB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pct"/>
            <w:tcBorders>
              <w:tl2br w:val="nil"/>
              <w:tr2bl w:val="nil"/>
            </w:tcBorders>
            <w:vAlign w:val="center"/>
          </w:tcPr>
          <w:p w14:paraId="4F66EAC7">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料仓给料机</w:t>
            </w:r>
          </w:p>
        </w:tc>
        <w:tc>
          <w:tcPr>
            <w:tcW w:w="955" w:type="pct"/>
            <w:tcBorders>
              <w:tl2br w:val="nil"/>
              <w:tr2bl w:val="nil"/>
            </w:tcBorders>
            <w:vAlign w:val="center"/>
          </w:tcPr>
          <w:p w14:paraId="3A49C669">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GZG1303</w:t>
            </w:r>
          </w:p>
        </w:tc>
        <w:tc>
          <w:tcPr>
            <w:tcW w:w="423" w:type="pct"/>
            <w:tcBorders>
              <w:tl2br w:val="nil"/>
              <w:tr2bl w:val="nil"/>
            </w:tcBorders>
            <w:vAlign w:val="center"/>
          </w:tcPr>
          <w:p w14:paraId="3B4D761F">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1台</w:t>
            </w:r>
          </w:p>
        </w:tc>
        <w:tc>
          <w:tcPr>
            <w:tcW w:w="2204" w:type="pct"/>
            <w:tcBorders>
              <w:tl2br w:val="nil"/>
              <w:tr2bl w:val="nil"/>
            </w:tcBorders>
            <w:vAlign w:val="center"/>
          </w:tcPr>
          <w:p w14:paraId="25B96425">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设备功率：3</w:t>
            </w:r>
            <w:r>
              <w:rPr>
                <w:rFonts w:hint="eastAsia"/>
                <w:color w:val="000000" w:themeColor="text1"/>
                <w:kern w:val="0"/>
                <w:sz w:val="21"/>
                <w:szCs w:val="21"/>
                <w14:textFill>
                  <w14:solidFill>
                    <w14:schemeClr w14:val="tx1"/>
                  </w14:solidFill>
                </w14:textFill>
              </w:rPr>
              <w:t>kW</w:t>
            </w:r>
          </w:p>
        </w:tc>
        <w:tc>
          <w:tcPr>
            <w:tcW w:w="636" w:type="pct"/>
            <w:tcBorders>
              <w:tl2br w:val="nil"/>
              <w:tr2bl w:val="nil"/>
            </w:tcBorders>
            <w:vAlign w:val="center"/>
          </w:tcPr>
          <w:p w14:paraId="5443B3F6">
            <w:pPr>
              <w:adjustRightInd w:val="0"/>
              <w:snapToGrid w:val="0"/>
              <w:spacing w:line="24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已有</w:t>
            </w:r>
          </w:p>
        </w:tc>
      </w:tr>
    </w:tbl>
    <w:p w14:paraId="0DFBD02C">
      <w:pPr>
        <w:ind w:firstLine="0" w:firstLineChars="0"/>
        <w:rPr>
          <w:color w:val="000000" w:themeColor="text1"/>
          <w:lang w:val="zh-CN"/>
          <w14:textFill>
            <w14:solidFill>
              <w14:schemeClr w14:val="tx1"/>
            </w14:solidFill>
          </w14:textFill>
        </w:rPr>
      </w:pPr>
    </w:p>
    <w:p w14:paraId="106DDB9D">
      <w:pPr>
        <w:pStyle w:val="6"/>
        <w:tabs>
          <w:tab w:val="left" w:pos="0"/>
        </w:tabs>
        <w:spacing w:before="120" w:after="120"/>
        <w:rPr>
          <w:bCs/>
          <w:color w:val="000000" w:themeColor="text1"/>
          <w14:textFill>
            <w14:solidFill>
              <w14:schemeClr w14:val="tx1"/>
            </w14:solidFill>
          </w14:textFill>
        </w:rPr>
      </w:pPr>
      <w:bookmarkStart w:id="1667" w:name="_Toc8063"/>
      <w:bookmarkStart w:id="1668" w:name="_Toc215070222"/>
      <w:r>
        <w:rPr>
          <w:rFonts w:hint="eastAsia"/>
          <w:bCs/>
          <w:color w:val="000000" w:themeColor="text1"/>
          <w14:textFill>
            <w14:solidFill>
              <w14:schemeClr w14:val="tx1"/>
            </w14:solidFill>
          </w14:textFill>
        </w:rPr>
        <w:t>2.4.11</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破碎站安全</w:t>
      </w:r>
      <w:r>
        <w:rPr>
          <w:rFonts w:hint="eastAsia"/>
          <w:bCs/>
          <w:color w:val="000000" w:themeColor="text1"/>
          <w14:textFill>
            <w14:solidFill>
              <w14:schemeClr w14:val="tx1"/>
            </w14:solidFill>
          </w14:textFill>
        </w:rPr>
        <w:t>措施</w:t>
      </w:r>
      <w:bookmarkEnd w:id="1667"/>
      <w:bookmarkEnd w:id="1668"/>
    </w:p>
    <w:p w14:paraId="618ECF47">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1、矿山为</w:t>
      </w:r>
      <w:r>
        <w:rPr>
          <w:rFonts w:hint="eastAsia"/>
          <w:bCs/>
          <w:color w:val="000000" w:themeColor="text1"/>
          <w:szCs w:val="28"/>
          <w14:textFill>
            <w14:solidFill>
              <w14:schemeClr w14:val="tx1"/>
            </w14:solidFill>
          </w14:textFill>
        </w:rPr>
        <w:t>原有</w:t>
      </w:r>
      <w:r>
        <w:rPr>
          <w:bCs/>
          <w:color w:val="000000" w:themeColor="text1"/>
          <w:szCs w:val="28"/>
          <w14:textFill>
            <w14:solidFill>
              <w14:schemeClr w14:val="tx1"/>
            </w14:solidFill>
          </w14:textFill>
        </w:rPr>
        <w:t>矿山，需要按照</w:t>
      </w:r>
      <w:r>
        <w:rPr>
          <w:rFonts w:hint="eastAsia"/>
          <w:bCs/>
          <w:color w:val="000000" w:themeColor="text1"/>
          <w:szCs w:val="28"/>
          <w14:textFill>
            <w14:solidFill>
              <w14:schemeClr w14:val="tx1"/>
            </w14:solidFill>
          </w14:textFill>
        </w:rPr>
        <w:t>原</w:t>
      </w:r>
      <w:r>
        <w:rPr>
          <w:bCs/>
          <w:color w:val="000000" w:themeColor="text1"/>
          <w:szCs w:val="28"/>
          <w14:textFill>
            <w14:solidFill>
              <w14:schemeClr w14:val="tx1"/>
            </w14:solidFill>
          </w14:textFill>
        </w:rPr>
        <w:t>设计完善</w:t>
      </w:r>
      <w:r>
        <w:rPr>
          <w:rFonts w:hint="eastAsia"/>
          <w:bCs/>
          <w:color w:val="000000" w:themeColor="text1"/>
          <w:szCs w:val="28"/>
          <w14:textFill>
            <w14:solidFill>
              <w14:schemeClr w14:val="tx1"/>
            </w14:solidFill>
          </w14:textFill>
        </w:rPr>
        <w:t>破碎站</w:t>
      </w:r>
      <w:r>
        <w:rPr>
          <w:bCs/>
          <w:color w:val="000000" w:themeColor="text1"/>
          <w:szCs w:val="28"/>
          <w14:textFill>
            <w14:solidFill>
              <w14:schemeClr w14:val="tx1"/>
            </w14:solidFill>
          </w14:textFill>
        </w:rPr>
        <w:t>安全设施。</w:t>
      </w:r>
    </w:p>
    <w:p w14:paraId="3EB2CE4E">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2、破碎站通道宽度不小于1.0m，通道不能有杂物阻塞。</w:t>
      </w:r>
    </w:p>
    <w:p w14:paraId="6CA1554F">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3、破碎站各作业平台，巡检通道，均设置防护栏杆，横杆间距0.5m，竖杆间距1.2m，</w:t>
      </w:r>
      <w:r>
        <w:rPr>
          <w:rFonts w:hint="eastAsia"/>
          <w:bCs/>
          <w:color w:val="000000" w:themeColor="text1"/>
          <w:szCs w:val="28"/>
          <w14:textFill>
            <w14:solidFill>
              <w14:schemeClr w14:val="tx1"/>
            </w14:solidFill>
          </w14:textFill>
        </w:rPr>
        <w:t>管径</w:t>
      </w:r>
      <w:r>
        <w:rPr>
          <w:bCs/>
          <w:color w:val="000000" w:themeColor="text1"/>
          <w:szCs w:val="28"/>
          <w14:textFill>
            <w14:solidFill>
              <w14:schemeClr w14:val="tx1"/>
            </w14:solidFill>
          </w14:textFill>
        </w:rPr>
        <w:t>5cm。</w:t>
      </w:r>
    </w:p>
    <w:p w14:paraId="0452A2C7">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4、破碎平台上部下料口两侧安设高1.5m的防护钢板。</w:t>
      </w:r>
    </w:p>
    <w:p w14:paraId="713B4F22">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5、卸料口安全车</w:t>
      </w:r>
      <w:r>
        <w:rPr>
          <w:rFonts w:hint="eastAsia"/>
          <w:bCs/>
          <w:color w:val="000000" w:themeColor="text1"/>
          <w:szCs w:val="28"/>
          <w14:textFill>
            <w14:solidFill>
              <w14:schemeClr w14:val="tx1"/>
            </w14:solidFill>
          </w14:textFill>
        </w:rPr>
        <w:t>挡</w:t>
      </w:r>
      <w:r>
        <w:rPr>
          <w:bCs/>
          <w:color w:val="000000" w:themeColor="text1"/>
          <w:szCs w:val="28"/>
          <w14:textFill>
            <w14:solidFill>
              <w14:schemeClr w14:val="tx1"/>
            </w14:solidFill>
          </w14:textFill>
        </w:rPr>
        <w:t>为浆砌石结构，宽5.5m，高0.5m，厚0.4m。</w:t>
      </w:r>
    </w:p>
    <w:p w14:paraId="0B57B6F4">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6、卸料平台，筛分平台浆砌石挡墙边沿均设置高1.2m的安全护栏。</w:t>
      </w:r>
    </w:p>
    <w:p w14:paraId="3F125BD3">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7、破碎设备的飞轮、皮带等旋转部位需要有防护罩。</w:t>
      </w:r>
    </w:p>
    <w:p w14:paraId="3E59756F">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6、筛分出料口</w:t>
      </w:r>
      <w:r>
        <w:rPr>
          <w:rFonts w:hint="eastAsia"/>
          <w:bCs/>
          <w:color w:val="000000" w:themeColor="text1"/>
          <w:szCs w:val="28"/>
          <w14:textFill>
            <w14:solidFill>
              <w14:schemeClr w14:val="tx1"/>
            </w14:solidFill>
          </w14:textFill>
        </w:rPr>
        <w:t>、</w:t>
      </w:r>
      <w:r>
        <w:rPr>
          <w:bCs/>
          <w:color w:val="000000" w:themeColor="text1"/>
          <w:szCs w:val="28"/>
          <w14:textFill>
            <w14:solidFill>
              <w14:schemeClr w14:val="tx1"/>
            </w14:solidFill>
          </w14:textFill>
        </w:rPr>
        <w:t>锤式破碎机出料口位置设置喷淋设施及除尘设施。</w:t>
      </w:r>
    </w:p>
    <w:p w14:paraId="08FAFD9E">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7、用电线路</w:t>
      </w:r>
      <w:r>
        <w:rPr>
          <w:rFonts w:hint="eastAsia"/>
          <w:bCs/>
          <w:color w:val="000000" w:themeColor="text1"/>
          <w:szCs w:val="28"/>
          <w14:textFill>
            <w14:solidFill>
              <w14:schemeClr w14:val="tx1"/>
            </w14:solidFill>
          </w14:textFill>
        </w:rPr>
        <w:t>采取</w:t>
      </w:r>
      <w:r>
        <w:rPr>
          <w:bCs/>
          <w:color w:val="000000" w:themeColor="text1"/>
          <w:szCs w:val="28"/>
          <w14:textFill>
            <w14:solidFill>
              <w14:schemeClr w14:val="tx1"/>
            </w14:solidFill>
          </w14:textFill>
        </w:rPr>
        <w:t>架空布置，与金属搭接部分需做绝缘处理。</w:t>
      </w:r>
    </w:p>
    <w:p w14:paraId="1FE04528">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8、破碎站输送机设置防跑偏、撕裂、打滑、堵塞保护装置。</w:t>
      </w:r>
    </w:p>
    <w:p w14:paraId="79C9D031">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9、破碎站每一台设备设总停开关，每个操作</w:t>
      </w:r>
      <w:r>
        <w:rPr>
          <w:rFonts w:hint="eastAsia"/>
          <w:bCs/>
          <w:color w:val="000000" w:themeColor="text1"/>
          <w:szCs w:val="28"/>
          <w14:textFill>
            <w14:solidFill>
              <w14:schemeClr w14:val="tx1"/>
            </w14:solidFill>
          </w14:textFill>
        </w:rPr>
        <w:t>岗位</w:t>
      </w:r>
      <w:r>
        <w:rPr>
          <w:bCs/>
          <w:color w:val="000000" w:themeColor="text1"/>
          <w:szCs w:val="28"/>
          <w14:textFill>
            <w14:solidFill>
              <w14:schemeClr w14:val="tx1"/>
            </w14:solidFill>
          </w14:textFill>
        </w:rPr>
        <w:t>都应有急停装置，皮带廊桥、设置紧急拉线开关。</w:t>
      </w:r>
    </w:p>
    <w:p w14:paraId="4E44DEA3">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10、破碎站</w:t>
      </w:r>
      <w:r>
        <w:rPr>
          <w:rFonts w:hint="eastAsia"/>
          <w:bCs/>
          <w:color w:val="000000" w:themeColor="text1"/>
          <w:szCs w:val="28"/>
          <w14:textFill>
            <w14:solidFill>
              <w14:schemeClr w14:val="tx1"/>
            </w14:solidFill>
          </w14:textFill>
        </w:rPr>
        <w:t>破碎机</w:t>
      </w:r>
      <w:r>
        <w:rPr>
          <w:bCs/>
          <w:color w:val="000000" w:themeColor="text1"/>
          <w:szCs w:val="28"/>
          <w14:textFill>
            <w14:solidFill>
              <w14:schemeClr w14:val="tx1"/>
            </w14:solidFill>
          </w14:textFill>
        </w:rPr>
        <w:t>周围采用钢板防护装置。</w:t>
      </w:r>
    </w:p>
    <w:p w14:paraId="431DF05A">
      <w:pPr>
        <w:ind w:firstLine="560"/>
        <w:rPr>
          <w:bCs/>
          <w:color w:val="000000" w:themeColor="text1"/>
          <w:szCs w:val="28"/>
          <w14:textFill>
            <w14:solidFill>
              <w14:schemeClr w14:val="tx1"/>
            </w14:solidFill>
          </w14:textFill>
        </w:rPr>
      </w:pPr>
      <w:r>
        <w:rPr>
          <w:bCs/>
          <w:color w:val="000000" w:themeColor="text1"/>
          <w:szCs w:val="28"/>
          <w14:textFill>
            <w14:solidFill>
              <w14:schemeClr w14:val="tx1"/>
            </w14:solidFill>
          </w14:textFill>
        </w:rPr>
        <w:t>11、</w:t>
      </w:r>
      <w:r>
        <w:rPr>
          <w:rFonts w:hint="eastAsia"/>
          <w:bCs/>
          <w:color w:val="000000" w:themeColor="text1"/>
          <w:szCs w:val="28"/>
          <w14:textFill>
            <w14:solidFill>
              <w14:schemeClr w14:val="tx1"/>
            </w14:solidFill>
          </w14:textFill>
        </w:rPr>
        <w:t>破</w:t>
      </w:r>
      <w:r>
        <w:rPr>
          <w:bCs/>
          <w:color w:val="000000" w:themeColor="text1"/>
          <w:szCs w:val="28"/>
          <w14:textFill>
            <w14:solidFill>
              <w14:schemeClr w14:val="tx1"/>
            </w14:solidFill>
          </w14:textFill>
        </w:rPr>
        <w:t>碎系统的设备选用低噪音环保</w:t>
      </w:r>
      <w:r>
        <w:rPr>
          <w:rFonts w:hint="eastAsia"/>
          <w:bCs/>
          <w:color w:val="000000" w:themeColor="text1"/>
          <w:szCs w:val="28"/>
          <w14:textFill>
            <w14:solidFill>
              <w14:schemeClr w14:val="tx1"/>
            </w14:solidFill>
          </w14:textFill>
        </w:rPr>
        <w:t>型</w:t>
      </w:r>
      <w:r>
        <w:rPr>
          <w:bCs/>
          <w:color w:val="000000" w:themeColor="text1"/>
          <w:szCs w:val="28"/>
          <w14:textFill>
            <w14:solidFill>
              <w14:schemeClr w14:val="tx1"/>
            </w14:solidFill>
          </w14:textFill>
        </w:rPr>
        <w:t>产品，做好除尘降尘措施。</w:t>
      </w:r>
    </w:p>
    <w:p w14:paraId="6E9A7E11">
      <w:pPr>
        <w:ind w:firstLine="560"/>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w:t>
      </w:r>
      <w:r>
        <w:rPr>
          <w:bCs/>
          <w:color w:val="000000" w:themeColor="text1"/>
          <w:szCs w:val="28"/>
          <w14:textFill>
            <w14:solidFill>
              <w14:schemeClr w14:val="tx1"/>
            </w14:solidFill>
          </w14:textFill>
        </w:rPr>
        <w:t>2</w:t>
      </w:r>
      <w:r>
        <w:rPr>
          <w:rFonts w:hint="eastAsia"/>
          <w:bCs/>
          <w:color w:val="000000" w:themeColor="text1"/>
          <w:szCs w:val="28"/>
          <w14:textFill>
            <w14:solidFill>
              <w14:schemeClr w14:val="tx1"/>
            </w14:solidFill>
          </w14:textFill>
        </w:rPr>
        <w:t>、生产设备及其零部件，必须有足够的强度、稳定性和可靠性。在按规定条件制造、运输、贮存、安装和使用时，不得对人员造成危险。</w:t>
      </w:r>
    </w:p>
    <w:p w14:paraId="37E3360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、破碎系统除喂料口外，均采用无人值守设施。</w:t>
      </w:r>
    </w:p>
    <w:p w14:paraId="229D95D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14、破碎站设备设施检修和拆除时，应先断电。</w:t>
      </w:r>
      <w:bookmarkEnd w:id="1664"/>
    </w:p>
    <w:bookmarkEnd w:id="1651"/>
    <w:bookmarkEnd w:id="1652"/>
    <w:bookmarkEnd w:id="1653"/>
    <w:bookmarkEnd w:id="1654"/>
    <w:bookmarkEnd w:id="1655"/>
    <w:bookmarkEnd w:id="1656"/>
    <w:bookmarkEnd w:id="1657"/>
    <w:p w14:paraId="128B5D3D">
      <w:pPr>
        <w:pStyle w:val="5"/>
        <w:spacing w:after="120"/>
        <w:rPr>
          <w:color w:val="000000" w:themeColor="text1"/>
          <w14:textFill>
            <w14:solidFill>
              <w14:schemeClr w14:val="tx1"/>
            </w14:solidFill>
          </w14:textFill>
        </w:rPr>
      </w:pPr>
      <w:bookmarkStart w:id="1669" w:name="_Toc15331"/>
      <w:bookmarkStart w:id="1670" w:name="_Toc14843"/>
      <w:bookmarkStart w:id="1671" w:name="_Toc3569"/>
      <w:bookmarkStart w:id="1672" w:name="_Toc30993"/>
      <w:bookmarkStart w:id="1673" w:name="_Toc215070223"/>
      <w:bookmarkStart w:id="1674" w:name="_Toc24169"/>
      <w:bookmarkStart w:id="1675" w:name="_Toc30444"/>
      <w:bookmarkStart w:id="1676" w:name="_Toc1600"/>
      <w:r>
        <w:rPr>
          <w:rFonts w:hint="eastAsia"/>
          <w:color w:val="000000" w:themeColor="text1"/>
          <w14:textFill>
            <w14:solidFill>
              <w14:schemeClr w14:val="tx1"/>
            </w14:solidFill>
          </w14:textFill>
        </w:rPr>
        <w:t>2.4.12边坡监测</w:t>
      </w:r>
      <w:bookmarkEnd w:id="1669"/>
      <w:bookmarkEnd w:id="1670"/>
      <w:bookmarkEnd w:id="1671"/>
      <w:bookmarkEnd w:id="1672"/>
      <w:bookmarkEnd w:id="1673"/>
      <w:bookmarkEnd w:id="1674"/>
      <w:bookmarkEnd w:id="1675"/>
      <w:bookmarkEnd w:id="1676"/>
    </w:p>
    <w:p w14:paraId="07849CBE">
      <w:pPr>
        <w:ind w:firstLine="560"/>
        <w:rPr>
          <w:color w:val="000000" w:themeColor="text1"/>
          <w14:textFill>
            <w14:solidFill>
              <w14:schemeClr w14:val="tx1"/>
            </w14:solidFill>
          </w14:textFill>
        </w:rPr>
      </w:pPr>
      <w:bookmarkStart w:id="1677" w:name="_Toc13615"/>
      <w:bookmarkStart w:id="1678" w:name="_Toc5959"/>
      <w:bookmarkStart w:id="1679" w:name="_Toc16310"/>
      <w:r>
        <w:rPr>
          <w:rFonts w:hint="eastAsia"/>
          <w:color w:val="000000" w:themeColor="text1"/>
          <w14:textFill>
            <w14:solidFill>
              <w14:schemeClr w14:val="tx1"/>
            </w14:solidFill>
          </w14:textFill>
        </w:rPr>
        <w:t>1、监测等级</w:t>
      </w:r>
      <w:bookmarkEnd w:id="1677"/>
      <w:bookmarkEnd w:id="1678"/>
      <w:bookmarkEnd w:id="1679"/>
    </w:p>
    <w:p w14:paraId="057DE59E">
      <w:pPr>
        <w:ind w:firstLine="560"/>
        <w:rPr>
          <w:color w:val="000000" w:themeColor="text1"/>
          <w14:textFill>
            <w14:solidFill>
              <w14:schemeClr w14:val="tx1"/>
            </w14:solidFill>
          </w14:textFill>
        </w:rPr>
      </w:pPr>
      <w:r>
        <w:rPr>
          <w:color w:val="000000" w:themeColor="text1"/>
          <w14:textFill>
            <w14:solidFill>
              <w14:schemeClr w14:val="tx1"/>
            </w14:solidFill>
          </w14:textFill>
        </w:rPr>
        <w:t>根据采场边坡高度、坡度、地质条件、稳定性等指标确定不同监测等级。</w:t>
      </w:r>
      <w:r>
        <w:rPr>
          <w:rFonts w:hint="eastAsia"/>
          <w:color w:val="000000" w:themeColor="text1"/>
          <w14:textFill>
            <w14:solidFill>
              <w14:schemeClr w14:val="tx1"/>
            </w14:solidFill>
          </w14:textFill>
        </w:rPr>
        <w:t>边坡</w:t>
      </w:r>
      <w:r>
        <w:rPr>
          <w:color w:val="000000" w:themeColor="text1"/>
          <w14:textFill>
            <w14:solidFill>
              <w14:schemeClr w14:val="tx1"/>
            </w14:solidFill>
          </w14:textFill>
        </w:rPr>
        <w:t>变形指数D=</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color w:val="000000" w:themeColor="text1"/>
          <w:lang w:val="zh-CN"/>
          <w14:textFill>
            <w14:solidFill>
              <w14:schemeClr w14:val="tx1"/>
            </w14:solidFill>
          </w14:textFill>
        </w:rPr>
        <w:t>滑坡风险等级S=</w:t>
      </w: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取综合考虑露天边坡安全监测等级均按二级监测</w:t>
      </w:r>
      <w:r>
        <w:rPr>
          <w:color w:val="000000" w:themeColor="text1"/>
          <w:lang w:val="zh-CN"/>
          <w14:textFill>
            <w14:solidFill>
              <w14:schemeClr w14:val="tx1"/>
            </w14:solidFill>
          </w14:textFill>
        </w:rPr>
        <w:t>。</w:t>
      </w:r>
    </w:p>
    <w:p w14:paraId="49DE818A">
      <w:pPr>
        <w:ind w:firstLine="560"/>
        <w:rPr>
          <w:color w:val="000000" w:themeColor="text1"/>
          <w14:textFill>
            <w14:solidFill>
              <w14:schemeClr w14:val="tx1"/>
            </w14:solidFill>
          </w14:textFill>
        </w:rPr>
      </w:pPr>
      <w:bookmarkStart w:id="1680" w:name="_Toc27396"/>
      <w:bookmarkStart w:id="1681" w:name="_Toc17387"/>
      <w:bookmarkStart w:id="1682" w:name="_Toc23078"/>
      <w:r>
        <w:rPr>
          <w:rFonts w:hint="eastAsia"/>
          <w:color w:val="000000" w:themeColor="text1"/>
          <w14:textFill>
            <w14:solidFill>
              <w14:schemeClr w14:val="tx1"/>
            </w14:solidFill>
          </w14:textFill>
        </w:rPr>
        <w:t>2、监测内容</w:t>
      </w:r>
      <w:bookmarkEnd w:id="1680"/>
      <w:bookmarkEnd w:id="1681"/>
      <w:bookmarkEnd w:id="1682"/>
    </w:p>
    <w:p w14:paraId="781C6C3D">
      <w:pPr>
        <w:ind w:firstLine="560"/>
        <w:rPr>
          <w:color w:val="000000" w:themeColor="text1"/>
          <w14:textFill>
            <w14:solidFill>
              <w14:schemeClr w14:val="tx1"/>
            </w14:solidFill>
          </w14:textFill>
        </w:rPr>
      </w:pPr>
      <w:r>
        <w:rPr>
          <w:color w:val="000000" w:themeColor="text1"/>
          <w14:textFill>
            <w14:solidFill>
              <w14:schemeClr w14:val="tx1"/>
            </w14:solidFill>
          </w14:textFill>
        </w:rPr>
        <w:t>边坡安全监测等级为</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级，应监测对象为表面位移、</w:t>
      </w:r>
      <w:r>
        <w:rPr>
          <w:rFonts w:hint="eastAsia"/>
          <w:color w:val="000000" w:themeColor="text1"/>
          <w14:textFill>
            <w14:solidFill>
              <w14:schemeClr w14:val="tx1"/>
            </w14:solidFill>
          </w14:textFill>
        </w:rPr>
        <w:t>爆破振动（质点速度）、</w:t>
      </w:r>
      <w:r>
        <w:rPr>
          <w:color w:val="000000" w:themeColor="text1"/>
          <w14:textFill>
            <w14:solidFill>
              <w14:schemeClr w14:val="tx1"/>
            </w14:solidFill>
          </w14:textFill>
        </w:rPr>
        <w:t>降雨量及视频监控</w:t>
      </w:r>
      <w:r>
        <w:rPr>
          <w:rFonts w:hint="eastAsia"/>
          <w:color w:val="000000" w:themeColor="text1"/>
          <w14:textFill>
            <w14:solidFill>
              <w14:schemeClr w14:val="tx1"/>
            </w14:solidFill>
          </w14:textFill>
        </w:rPr>
        <w:t>，本次不设置地下水位监测。</w:t>
      </w:r>
    </w:p>
    <w:p w14:paraId="75714995">
      <w:pPr>
        <w:ind w:firstLine="560"/>
        <w:rPr>
          <w:color w:val="000000" w:themeColor="text1"/>
          <w14:textFill>
            <w14:solidFill>
              <w14:schemeClr w14:val="tx1"/>
            </w14:solidFill>
          </w14:textFill>
        </w:rPr>
      </w:pPr>
      <w:bookmarkStart w:id="1683" w:name="_Toc12863"/>
      <w:bookmarkStart w:id="1684" w:name="_Toc14304"/>
      <w:bookmarkStart w:id="1685" w:name="_Toc27102"/>
      <w:r>
        <w:rPr>
          <w:rFonts w:hint="eastAsia"/>
          <w:color w:val="000000" w:themeColor="text1"/>
          <w14:textFill>
            <w14:solidFill>
              <w14:schemeClr w14:val="tx1"/>
            </w14:solidFill>
          </w14:textFill>
        </w:rPr>
        <w:t>（1）终了边坡监测点布置</w:t>
      </w:r>
      <w:bookmarkEnd w:id="1683"/>
      <w:bookmarkEnd w:id="1684"/>
      <w:bookmarkEnd w:id="1685"/>
    </w:p>
    <w:p w14:paraId="1620C8D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终了边坡监测点布置，详见下表。</w:t>
      </w:r>
    </w:p>
    <w:p w14:paraId="02C60015">
      <w:pPr>
        <w:pStyle w:val="64"/>
        <w:spacing w:before="120" w:after="120"/>
        <w:rPr>
          <w:color w:val="000000" w:themeColor="text1"/>
          <w:szCs w:val="24"/>
          <w14:textFill>
            <w14:solidFill>
              <w14:schemeClr w14:val="tx1"/>
            </w14:solidFill>
          </w14:textFill>
        </w:rPr>
      </w:pPr>
      <w:r>
        <w:rPr>
          <w:color w:val="000000" w:themeColor="text1"/>
          <w14:textFill>
            <w14:solidFill>
              <w14:schemeClr w14:val="tx1"/>
            </w14:solidFill>
          </w14:textFill>
        </w:rPr>
        <w:t>表</w:t>
      </w:r>
      <w:r>
        <w:rPr>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.4-16</w:t>
      </w:r>
      <w:r>
        <w:rPr>
          <w:color w:val="000000" w:themeColor="text1"/>
          <w14:textFill>
            <w14:solidFill>
              <w14:schemeClr w14:val="tx1"/>
            </w14:solidFill>
          </w14:textFill>
        </w:rPr>
        <w:t xml:space="preserve"> 终了边坡监测内容及数量统计表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367"/>
        <w:gridCol w:w="2819"/>
        <w:gridCol w:w="1275"/>
        <w:gridCol w:w="1718"/>
      </w:tblGrid>
      <w:tr w14:paraId="6739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5" w:type="dxa"/>
            <w:vAlign w:val="center"/>
          </w:tcPr>
          <w:p w14:paraId="00FDD18B">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bookmarkStart w:id="1686" w:name="_Toc23638"/>
            <w:bookmarkStart w:id="1687" w:name="_Toc13631"/>
            <w:bookmarkStart w:id="1688" w:name="_Toc12173"/>
            <w:r>
              <w:rPr>
                <w:rFonts w:hint="eastAsia" w:ascii="宋体" w:hAnsi="宋体" w:cs="宋体"/>
                <w:b/>
                <w:color w:val="000000" w:themeColor="text1"/>
                <w:sz w:val="20"/>
                <w:szCs w:val="20"/>
                <w14:textFill>
                  <w14:solidFill>
                    <w14:schemeClr w14:val="tx1"/>
                  </w14:solidFill>
                </w14:textFill>
              </w:rPr>
              <w:t>序号</w:t>
            </w:r>
          </w:p>
        </w:tc>
        <w:tc>
          <w:tcPr>
            <w:tcW w:w="2367" w:type="dxa"/>
            <w:vAlign w:val="center"/>
          </w:tcPr>
          <w:p w14:paraId="245C5F8C">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监测内容</w:t>
            </w:r>
          </w:p>
        </w:tc>
        <w:tc>
          <w:tcPr>
            <w:tcW w:w="2819" w:type="dxa"/>
            <w:vAlign w:val="center"/>
          </w:tcPr>
          <w:p w14:paraId="06CA421E">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编号</w:t>
            </w:r>
          </w:p>
        </w:tc>
        <w:tc>
          <w:tcPr>
            <w:tcW w:w="1275" w:type="dxa"/>
            <w:vAlign w:val="center"/>
          </w:tcPr>
          <w:p w14:paraId="18572B71">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数量</w:t>
            </w:r>
          </w:p>
        </w:tc>
        <w:tc>
          <w:tcPr>
            <w:tcW w:w="1718" w:type="dxa"/>
            <w:vAlign w:val="center"/>
          </w:tcPr>
          <w:p w14:paraId="632A4229">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备注</w:t>
            </w:r>
          </w:p>
        </w:tc>
      </w:tr>
      <w:tr w14:paraId="4B58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5" w:type="dxa"/>
            <w:vAlign w:val="center"/>
          </w:tcPr>
          <w:p w14:paraId="14722EFB">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2367" w:type="dxa"/>
            <w:vAlign w:val="center"/>
          </w:tcPr>
          <w:p w14:paraId="7B8114E4">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基准点</w:t>
            </w:r>
          </w:p>
        </w:tc>
        <w:tc>
          <w:tcPr>
            <w:tcW w:w="2819" w:type="dxa"/>
            <w:vAlign w:val="center"/>
          </w:tcPr>
          <w:p w14:paraId="220B7A7F">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JZ01、JZ02、JZ03</w:t>
            </w:r>
          </w:p>
        </w:tc>
        <w:tc>
          <w:tcPr>
            <w:tcW w:w="1275" w:type="dxa"/>
            <w:vAlign w:val="center"/>
          </w:tcPr>
          <w:p w14:paraId="2D6723CB">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3个</w:t>
            </w:r>
          </w:p>
        </w:tc>
        <w:tc>
          <w:tcPr>
            <w:tcW w:w="1718" w:type="dxa"/>
            <w:vAlign w:val="center"/>
          </w:tcPr>
          <w:p w14:paraId="68D4EB6D">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5955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5" w:type="dxa"/>
            <w:vAlign w:val="center"/>
          </w:tcPr>
          <w:p w14:paraId="2076E3B0">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2367" w:type="dxa"/>
            <w:vAlign w:val="center"/>
          </w:tcPr>
          <w:p w14:paraId="0C099C1A">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表面位移监测</w:t>
            </w:r>
          </w:p>
        </w:tc>
        <w:tc>
          <w:tcPr>
            <w:tcW w:w="2819" w:type="dxa"/>
            <w:vAlign w:val="center"/>
          </w:tcPr>
          <w:p w14:paraId="67B637A8">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J001</w:t>
            </w:r>
            <w:r>
              <w:rPr>
                <w:color w:val="000000" w:themeColor="text1"/>
                <w:sz w:val="20"/>
                <w:szCs w:val="20"/>
                <w14:textFill>
                  <w14:solidFill>
                    <w14:schemeClr w14:val="tx1"/>
                  </w14:solidFill>
                </w14:textFill>
              </w:rPr>
              <w:t>~</w:t>
            </w:r>
            <w:r>
              <w:rPr>
                <w:rFonts w:hint="eastAsia" w:ascii="宋体" w:hAnsi="宋体" w:cs="宋体"/>
                <w:color w:val="000000" w:themeColor="text1"/>
                <w:sz w:val="20"/>
                <w:szCs w:val="20"/>
                <w14:textFill>
                  <w14:solidFill>
                    <w14:schemeClr w14:val="tx1"/>
                  </w14:solidFill>
                </w14:textFill>
              </w:rPr>
              <w:t>J011</w:t>
            </w:r>
          </w:p>
        </w:tc>
        <w:tc>
          <w:tcPr>
            <w:tcW w:w="1275" w:type="dxa"/>
            <w:vAlign w:val="center"/>
          </w:tcPr>
          <w:p w14:paraId="54821A4C">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11个</w:t>
            </w:r>
          </w:p>
        </w:tc>
        <w:tc>
          <w:tcPr>
            <w:tcW w:w="1718" w:type="dxa"/>
            <w:vAlign w:val="center"/>
          </w:tcPr>
          <w:p w14:paraId="1E37AF87">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335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5" w:type="dxa"/>
            <w:vAlign w:val="center"/>
          </w:tcPr>
          <w:p w14:paraId="40289F0F">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2367" w:type="dxa"/>
            <w:vAlign w:val="center"/>
          </w:tcPr>
          <w:p w14:paraId="716AD10C">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视频监控</w:t>
            </w:r>
          </w:p>
        </w:tc>
        <w:tc>
          <w:tcPr>
            <w:tcW w:w="2819" w:type="dxa"/>
            <w:vAlign w:val="center"/>
          </w:tcPr>
          <w:p w14:paraId="29E2A7F5">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SP-01、SP-02</w:t>
            </w:r>
          </w:p>
        </w:tc>
        <w:tc>
          <w:tcPr>
            <w:tcW w:w="1275" w:type="dxa"/>
            <w:vAlign w:val="center"/>
          </w:tcPr>
          <w:p w14:paraId="7752195F">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2个</w:t>
            </w:r>
          </w:p>
        </w:tc>
        <w:tc>
          <w:tcPr>
            <w:tcW w:w="1718" w:type="dxa"/>
            <w:vAlign w:val="center"/>
          </w:tcPr>
          <w:p w14:paraId="23A45AA2">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123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5" w:type="dxa"/>
            <w:vAlign w:val="center"/>
          </w:tcPr>
          <w:p w14:paraId="6F76C949">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2367" w:type="dxa"/>
            <w:vAlign w:val="center"/>
          </w:tcPr>
          <w:p w14:paraId="3B14E83C">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降雨量监测</w:t>
            </w:r>
          </w:p>
        </w:tc>
        <w:tc>
          <w:tcPr>
            <w:tcW w:w="2819" w:type="dxa"/>
            <w:vAlign w:val="center"/>
          </w:tcPr>
          <w:p w14:paraId="2C1E233C">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275" w:type="dxa"/>
            <w:vAlign w:val="center"/>
          </w:tcPr>
          <w:p w14:paraId="1B3A7BAE">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1个</w:t>
            </w:r>
          </w:p>
        </w:tc>
        <w:tc>
          <w:tcPr>
            <w:tcW w:w="1718" w:type="dxa"/>
            <w:vAlign w:val="center"/>
          </w:tcPr>
          <w:p w14:paraId="2DA7959C">
            <w:pPr>
              <w:tabs>
                <w:tab w:val="left" w:pos="5327"/>
                <w:tab w:val="left" w:pos="6326"/>
                <w:tab w:val="left" w:pos="7230"/>
                <w:tab w:val="left" w:pos="9301"/>
              </w:tabs>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bl>
    <w:p w14:paraId="0FAF197D">
      <w:pPr>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各生产年份边坡监测点布置</w:t>
      </w:r>
      <w:bookmarkEnd w:id="1686"/>
      <w:bookmarkEnd w:id="1687"/>
      <w:bookmarkEnd w:id="1688"/>
    </w:p>
    <w:p w14:paraId="4B717E6A">
      <w:pPr>
        <w:ind w:firstLine="560"/>
        <w:rPr>
          <w:color w:val="000000" w:themeColor="text1"/>
          <w14:textFill>
            <w14:solidFill>
              <w14:schemeClr w14:val="tx1"/>
            </w14:solidFill>
          </w14:textFill>
        </w:rPr>
      </w:pPr>
      <w:r>
        <w:rPr>
          <w:color w:val="000000" w:themeColor="text1"/>
          <w14:textFill>
            <w14:solidFill>
              <w14:schemeClr w14:val="tx1"/>
            </w14:solidFill>
          </w14:textFill>
        </w:rPr>
        <w:t>随着开采深度的下降，露天采场将逐步形成靠帮边坡，适时应增设边坡监测点，各分区新增边坡监测点的位置应与终了边坡监测点布置位置保持一致。</w:t>
      </w:r>
    </w:p>
    <w:p w14:paraId="5C0B9693">
      <w:pPr>
        <w:ind w:firstLine="560"/>
        <w:rPr>
          <w:color w:val="000000" w:themeColor="text1"/>
          <w14:textFill>
            <w14:solidFill>
              <w14:schemeClr w14:val="tx1"/>
            </w14:solidFill>
          </w14:textFill>
        </w:rPr>
      </w:pPr>
      <w:bookmarkStart w:id="1689" w:name="_Toc24683"/>
      <w:bookmarkStart w:id="1690" w:name="_Toc28871"/>
      <w:bookmarkStart w:id="1691" w:name="_Toc18044"/>
      <w:r>
        <w:rPr>
          <w:rFonts w:hint="eastAsia"/>
          <w:color w:val="000000" w:themeColor="text1"/>
          <w14:textFill>
            <w14:solidFill>
              <w14:schemeClr w14:val="tx1"/>
            </w14:solidFill>
          </w14:textFill>
        </w:rPr>
        <w:t>3、监测方法</w:t>
      </w:r>
      <w:bookmarkEnd w:id="1689"/>
      <w:bookmarkEnd w:id="1690"/>
      <w:bookmarkEnd w:id="1691"/>
    </w:p>
    <w:p w14:paraId="439C7F16">
      <w:pPr>
        <w:ind w:firstLine="560"/>
        <w:rPr>
          <w:color w:val="000000" w:themeColor="text1"/>
          <w14:textFill>
            <w14:solidFill>
              <w14:schemeClr w14:val="tx1"/>
            </w14:solidFill>
          </w14:textFill>
        </w:rPr>
      </w:pPr>
      <w:r>
        <w:rPr>
          <w:color w:val="000000" w:themeColor="text1"/>
          <w14:textFill>
            <w14:solidFill>
              <w14:schemeClr w14:val="tx1"/>
            </w14:solidFill>
          </w14:textFill>
        </w:rPr>
        <w:t>表面位移：采用</w:t>
      </w:r>
      <w:r>
        <w:rPr>
          <w:rFonts w:hint="eastAsia"/>
          <w:color w:val="000000" w:themeColor="text1"/>
          <w14:textFill>
            <w14:solidFill>
              <w14:schemeClr w14:val="tx1"/>
            </w14:solidFill>
          </w14:textFill>
        </w:rPr>
        <w:t>RTK测量仪</w:t>
      </w:r>
      <w:r>
        <w:rPr>
          <w:color w:val="000000" w:themeColor="text1"/>
          <w14:textFill>
            <w14:solidFill>
              <w14:schemeClr w14:val="tx1"/>
            </w14:solidFill>
          </w14:textFill>
        </w:rPr>
        <w:t>人工监测。</w:t>
      </w:r>
    </w:p>
    <w:p w14:paraId="65C4483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爆破振动：移动式爆破测振仪。</w:t>
      </w:r>
    </w:p>
    <w:p w14:paraId="3613E616">
      <w:pPr>
        <w:ind w:firstLine="56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）降雨量：采用降雨量监测仪。</w:t>
      </w:r>
    </w:p>
    <w:p w14:paraId="346EADFD">
      <w:pPr>
        <w:ind w:firstLine="56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）视频监控：由前端摄像头、视频监控平台组成。</w:t>
      </w:r>
    </w:p>
    <w:p w14:paraId="15158E24">
      <w:pPr>
        <w:ind w:firstLine="560"/>
        <w:rPr>
          <w:color w:val="000000" w:themeColor="text1"/>
          <w14:textFill>
            <w14:solidFill>
              <w14:schemeClr w14:val="tx1"/>
            </w14:solidFill>
          </w14:textFill>
        </w:rPr>
      </w:pPr>
      <w:bookmarkStart w:id="1692" w:name="_Toc25990"/>
      <w:bookmarkStart w:id="1693" w:name="_Toc62"/>
      <w:bookmarkStart w:id="1694" w:name="_Toc32170"/>
      <w:r>
        <w:rPr>
          <w:rFonts w:hint="eastAsia"/>
          <w:color w:val="000000" w:themeColor="text1"/>
          <w14:textFill>
            <w14:solidFill>
              <w14:schemeClr w14:val="tx1"/>
            </w14:solidFill>
          </w14:textFill>
        </w:rPr>
        <w:t>4、表面位移监测系统设计</w:t>
      </w:r>
      <w:bookmarkEnd w:id="1692"/>
      <w:bookmarkEnd w:id="1693"/>
      <w:bookmarkEnd w:id="1694"/>
    </w:p>
    <w:p w14:paraId="76FABCA3">
      <w:pPr>
        <w:ind w:firstLine="560"/>
        <w:rPr>
          <w:color w:val="000000" w:themeColor="text1"/>
          <w:lang w:val="zh-CN"/>
          <w14:textFill>
            <w14:solidFill>
              <w14:schemeClr w14:val="tx1"/>
            </w14:solidFill>
          </w14:textFill>
        </w:rPr>
      </w:pPr>
      <w:r>
        <w:rPr>
          <w:color w:val="000000" w:themeColor="text1"/>
          <w:lang w:val="zh-CN"/>
          <w14:textFill>
            <w14:solidFill>
              <w14:schemeClr w14:val="tx1"/>
            </w14:solidFill>
          </w14:textFill>
        </w:rPr>
        <w:t>边坡高度小于150m，采用人工监测。</w:t>
      </w:r>
    </w:p>
    <w:p w14:paraId="0C23B6F3">
      <w:pPr>
        <w:ind w:firstLine="560"/>
        <w:rPr>
          <w:color w:val="000000" w:themeColor="text1"/>
          <w:lang w:val="zh-CN"/>
          <w14:textFill>
            <w14:solidFill>
              <w14:schemeClr w14:val="tx1"/>
            </w14:solidFill>
          </w14:textFill>
        </w:rPr>
      </w:pPr>
      <w:bookmarkStart w:id="1695" w:name="_Toc29315"/>
      <w:bookmarkStart w:id="1696" w:name="_Toc2144"/>
      <w:bookmarkStart w:id="1697" w:name="_Toc23350"/>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监测点设置</w:t>
      </w:r>
      <w:bookmarkEnd w:id="1695"/>
      <w:bookmarkEnd w:id="1696"/>
      <w:bookmarkEnd w:id="1697"/>
    </w:p>
    <w:p w14:paraId="512E33F6">
      <w:pPr>
        <w:ind w:firstLine="560"/>
        <w:rPr>
          <w:color w:val="000000" w:themeColor="text1"/>
          <w:lang w:val="zh-CN"/>
          <w14:textFill>
            <w14:solidFill>
              <w14:schemeClr w14:val="tx1"/>
            </w14:solidFill>
          </w14:textFill>
        </w:rPr>
      </w:pPr>
      <w:bookmarkStart w:id="1698" w:name="_Toc32682"/>
      <w:bookmarkStart w:id="1699" w:name="_Toc17803"/>
      <w:bookmarkStart w:id="1700" w:name="_Toc10995"/>
      <w:r>
        <w:rPr>
          <w:color w:val="000000" w:themeColor="text1"/>
          <w:lang w:val="zh-CN"/>
          <w14:textFill>
            <w14:solidFill>
              <w14:schemeClr w14:val="tx1"/>
            </w14:solidFill>
          </w14:textFill>
        </w:rPr>
        <w:t>位移监测点采用混凝土桩固定在边坡岩体上。混凝土桩桩径为30cm，桩深100cm，桩上部长30cm，用直径15mm的钢筋埋于混凝土中，在钢筋顶面锯成</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形，红油漆上色，量测时以</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形的交点为准。</w:t>
      </w:r>
    </w:p>
    <w:p w14:paraId="748C3A3B">
      <w:pPr>
        <w:ind w:firstLine="56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监测频次</w:t>
      </w:r>
      <w:bookmarkEnd w:id="1698"/>
      <w:bookmarkEnd w:id="1699"/>
      <w:bookmarkEnd w:id="1700"/>
    </w:p>
    <w:p w14:paraId="42A2EFC8">
      <w:pPr>
        <w:ind w:firstLine="560"/>
        <w:rPr>
          <w:color w:val="000000" w:themeColor="text1"/>
          <w:lang w:val="zh-CN"/>
          <w14:textFill>
            <w14:solidFill>
              <w14:schemeClr w14:val="tx1"/>
            </w14:solidFill>
          </w14:textFill>
        </w:rPr>
      </w:pPr>
      <w:r>
        <w:rPr>
          <w:color w:val="000000" w:themeColor="text1"/>
          <w:lang w:val="zh-CN"/>
          <w14:textFill>
            <w14:solidFill>
              <w14:schemeClr w14:val="tx1"/>
            </w14:solidFill>
          </w14:textFill>
        </w:rPr>
        <w:t>用</w:t>
      </w:r>
      <w:r>
        <w:rPr>
          <w:rFonts w:hint="eastAsia"/>
          <w:color w:val="000000" w:themeColor="text1"/>
          <w:lang w:val="zh-CN"/>
          <w14:textFill>
            <w14:solidFill>
              <w14:schemeClr w14:val="tx1"/>
            </w14:solidFill>
          </w14:textFill>
        </w:rPr>
        <w:t>RTK</w:t>
      </w:r>
      <w:r>
        <w:rPr>
          <w:color w:val="000000" w:themeColor="text1"/>
          <w:lang w:val="zh-CN"/>
          <w14:textFill>
            <w14:solidFill>
              <w14:schemeClr w14:val="tx1"/>
            </w14:solidFill>
          </w14:textFill>
        </w:rPr>
        <w:t>观测各位移监测点的位移变化，位移变化不明显的监测点每月测1次，位移变化明显的监测点每周测1次，有显著位移变化的监测点每三天测量1次，位移变化剧烈的监测点每天测量，必要时进行昼夜连续观测，大暴雨或大爆破后立即测量且缩短测量周期。</w:t>
      </w:r>
    </w:p>
    <w:p w14:paraId="7FD5995A">
      <w:pPr>
        <w:ind w:firstLine="560"/>
        <w:rPr>
          <w:color w:val="000000" w:themeColor="text1"/>
          <w14:textFill>
            <w14:solidFill>
              <w14:schemeClr w14:val="tx1"/>
            </w14:solidFill>
          </w14:textFill>
        </w:rPr>
      </w:pPr>
      <w:bookmarkStart w:id="1701" w:name="_Toc16583"/>
      <w:bookmarkStart w:id="1702" w:name="_Toc27497"/>
      <w:bookmarkStart w:id="1703" w:name="_Toc1066"/>
      <w:r>
        <w:rPr>
          <w:rFonts w:hint="eastAsia"/>
          <w:color w:val="000000" w:themeColor="text1"/>
          <w14:textFill>
            <w14:solidFill>
              <w14:schemeClr w14:val="tx1"/>
            </w14:solidFill>
          </w14:textFill>
        </w:rPr>
        <w:t>5、爆破振动监测设计</w:t>
      </w:r>
      <w:bookmarkEnd w:id="1701"/>
      <w:bookmarkEnd w:id="1702"/>
      <w:bookmarkEnd w:id="1703"/>
    </w:p>
    <w:p w14:paraId="40691FC2">
      <w:pPr>
        <w:ind w:firstLine="560"/>
        <w:rPr>
          <w:color w:val="000000" w:themeColor="text1"/>
          <w14:textFill>
            <w14:solidFill>
              <w14:schemeClr w14:val="tx1"/>
            </w14:solidFill>
          </w14:textFill>
        </w:rPr>
      </w:pPr>
      <w:bookmarkStart w:id="1704" w:name="_Toc17484"/>
      <w:bookmarkStart w:id="1705" w:name="_Toc11076"/>
      <w:bookmarkStart w:id="1706" w:name="_Toc13855"/>
      <w:bookmarkStart w:id="1707" w:name="_Toc30095"/>
      <w:r>
        <w:rPr>
          <w:rFonts w:hint="eastAsia"/>
          <w:color w:val="000000" w:themeColor="text1"/>
          <w14:textFill>
            <w14:solidFill>
              <w14:schemeClr w14:val="tx1"/>
            </w14:solidFill>
          </w14:textFill>
        </w:rPr>
        <w:t>（1）现场点位布置</w:t>
      </w:r>
      <w:bookmarkEnd w:id="1704"/>
      <w:bookmarkEnd w:id="1705"/>
      <w:bookmarkEnd w:id="1706"/>
      <w:bookmarkEnd w:id="1707"/>
    </w:p>
    <w:p w14:paraId="1BF43E4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设计选择3套可移动式爆破测振仪，此设备将会根据边坡开挖及终了边坡形成情况临时安装于终了边坡与爆破区域间。可以结合现场开采进度，确定移动爆破测振仪的安装位置。</w:t>
      </w:r>
    </w:p>
    <w:p w14:paraId="0406EE3D">
      <w:pPr>
        <w:ind w:firstLine="560"/>
        <w:rPr>
          <w:color w:val="000000" w:themeColor="text1"/>
          <w14:textFill>
            <w14:solidFill>
              <w14:schemeClr w14:val="tx1"/>
            </w14:solidFill>
          </w14:textFill>
        </w:rPr>
      </w:pPr>
      <w:bookmarkStart w:id="1708" w:name="_Toc8438"/>
      <w:bookmarkStart w:id="1709" w:name="_Toc24418"/>
      <w:bookmarkStart w:id="1710" w:name="_Toc26526"/>
      <w:bookmarkStart w:id="1711" w:name="_Toc5495"/>
      <w:r>
        <w:rPr>
          <w:rFonts w:hint="eastAsia"/>
          <w:color w:val="000000" w:themeColor="text1"/>
          <w14:textFill>
            <w14:solidFill>
              <w14:schemeClr w14:val="tx1"/>
            </w14:solidFill>
          </w14:textFill>
        </w:rPr>
        <w:t>（2）预警数值</w:t>
      </w:r>
      <w:bookmarkEnd w:id="1708"/>
      <w:bookmarkEnd w:id="1709"/>
      <w:bookmarkEnd w:id="1710"/>
      <w:bookmarkEnd w:id="1711"/>
    </w:p>
    <w:p w14:paraId="18EE3A9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矿山边坡滑坡风险等级为4级，根据《</w:t>
      </w:r>
      <w:r>
        <w:rPr>
          <w:color w:val="000000" w:themeColor="text1"/>
          <w14:textFill>
            <w14:solidFill>
              <w14:schemeClr w14:val="tx1"/>
            </w14:solidFill>
          </w14:textFill>
        </w:rPr>
        <w:t>金属非金属露天矿山高陡边坡安全监测技术规范</w:t>
      </w:r>
      <w:r>
        <w:rPr>
          <w:rFonts w:hint="eastAsia"/>
          <w:color w:val="000000" w:themeColor="text1"/>
          <w14:textFill>
            <w14:solidFill>
              <w14:schemeClr w14:val="tx1"/>
            </w14:solidFill>
          </w14:textFill>
        </w:rPr>
        <w:t>》（</w:t>
      </w:r>
      <w:r>
        <w:fldChar w:fldCharType="begin"/>
      </w:r>
      <w:r>
        <w:instrText xml:space="preserve"> HYPERLINK "http://www.csres.com/detail/412933.html" \t "http://www.csres.com/detail/_blank" </w:instrText>
      </w:r>
      <w:r>
        <w:fldChar w:fldCharType="separate"/>
      </w:r>
      <w:r>
        <w:rPr>
          <w:rStyle w:val="51"/>
          <w:rFonts w:hint="eastAsia" w:ascii="宋体" w:hAnsi="宋体" w:cs="宋体"/>
          <w:color w:val="000000" w:themeColor="text1"/>
          <w:szCs w:val="21"/>
          <w:u w:val="none"/>
          <w:shd w:val="clear" w:color="auto" w:fill="FFFFFF"/>
          <w14:textFill>
            <w14:solidFill>
              <w14:schemeClr w14:val="tx1"/>
            </w14:solidFill>
          </w14:textFill>
        </w:rPr>
        <w:t>KA/T2063-2018</w:t>
      </w:r>
      <w:r>
        <w:rPr>
          <w:rStyle w:val="51"/>
          <w:rFonts w:hint="eastAsia" w:ascii="宋体" w:hAnsi="宋体" w:cs="宋体"/>
          <w:color w:val="000000" w:themeColor="text1"/>
          <w:szCs w:val="21"/>
          <w:u w:val="none"/>
          <w:shd w:val="clear" w:color="auto" w:fill="FFFFFF"/>
          <w14:textFill>
            <w14:solidFill>
              <w14:schemeClr w14:val="tx1"/>
            </w14:solidFill>
          </w14:textFill>
        </w:rPr>
        <w:fldChar w:fldCharType="end"/>
      </w:r>
      <w:r>
        <w:rPr>
          <w:rFonts w:hint="eastAsia"/>
          <w:color w:val="000000" w:themeColor="text1"/>
          <w14:textFill>
            <w14:solidFill>
              <w14:schemeClr w14:val="tx1"/>
            </w14:solidFill>
          </w14:textFill>
        </w:rPr>
        <w:t>，2018年12月1日实施），按照相互垂直的三分量设定预警数值。</w:t>
      </w:r>
    </w:p>
    <w:p w14:paraId="064B18BD">
      <w:pPr>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蓝色预警：爆破时任一分量震动速度≥24cm/s；</w:t>
      </w:r>
    </w:p>
    <w:p w14:paraId="0A00C8A1">
      <w:pPr>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黄色预警：爆破时任一分量震动速度≥28cm/s；</w:t>
      </w:r>
    </w:p>
    <w:p w14:paraId="5B1D8448">
      <w:pPr>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橙色预警：爆破时任一分量震动速度≥35cm/s；</w:t>
      </w:r>
    </w:p>
    <w:p w14:paraId="1668960D">
      <w:pPr>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红色预警：爆破时任一分量震动速度≥42cm/s。</w:t>
      </w:r>
    </w:p>
    <w:p w14:paraId="455126AC">
      <w:pPr>
        <w:ind w:firstLine="560"/>
        <w:rPr>
          <w:color w:val="000000" w:themeColor="text1"/>
          <w14:textFill>
            <w14:solidFill>
              <w14:schemeClr w14:val="tx1"/>
            </w14:solidFill>
          </w14:textFill>
        </w:rPr>
      </w:pPr>
      <w:bookmarkStart w:id="1712" w:name="_Toc10401"/>
      <w:bookmarkStart w:id="1713" w:name="_Toc7094"/>
      <w:bookmarkStart w:id="1714" w:name="_Toc18092"/>
      <w:bookmarkStart w:id="1715" w:name="_Toc19106"/>
      <w:r>
        <w:rPr>
          <w:rFonts w:hint="eastAsia"/>
          <w:color w:val="000000" w:themeColor="text1"/>
          <w14:textFill>
            <w14:solidFill>
              <w14:schemeClr w14:val="tx1"/>
            </w14:solidFill>
          </w14:textFill>
        </w:rPr>
        <w:t>（3）设备选型</w:t>
      </w:r>
      <w:bookmarkEnd w:id="1712"/>
      <w:bookmarkEnd w:id="1713"/>
      <w:bookmarkEnd w:id="1714"/>
      <w:bookmarkEnd w:id="1715"/>
    </w:p>
    <w:p w14:paraId="554565E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选用QV-4G无线振动传感器监测站，爆破振动监测仪由埋设在爆源场地地表的MEMS三向加速度传感器、振动信号采集仪和部署在云端的爆破振动分析软件构成。其中，MEMS三向加速度传感器：内置高精度三轴MEMS振动传感器，精确测量不同爆破震源激励下爆破场地的三向加速度振动响应信号，并实时回传至振动信号采集仪。</w:t>
      </w:r>
    </w:p>
    <w:p w14:paraId="6264464F">
      <w:pPr>
        <w:ind w:firstLine="560"/>
        <w:rPr>
          <w:color w:val="000000" w:themeColor="text1"/>
          <w14:textFill>
            <w14:solidFill>
              <w14:schemeClr w14:val="tx1"/>
            </w14:solidFill>
          </w14:textFill>
        </w:rPr>
      </w:pPr>
      <w:bookmarkStart w:id="1716" w:name="_Toc5761"/>
      <w:bookmarkStart w:id="1717" w:name="_Toc13337"/>
      <w:bookmarkStart w:id="1718" w:name="_Toc22080"/>
      <w:r>
        <w:rPr>
          <w:rFonts w:hint="eastAsia"/>
          <w:color w:val="000000" w:themeColor="text1"/>
          <w14:textFill>
            <w14:solidFill>
              <w14:schemeClr w14:val="tx1"/>
            </w14:solidFill>
          </w14:textFill>
        </w:rPr>
        <w:t>6、降雨量监测</w:t>
      </w:r>
      <w:bookmarkEnd w:id="1716"/>
      <w:bookmarkStart w:id="1719" w:name="_Toc31223"/>
      <w:r>
        <w:rPr>
          <w:rFonts w:hint="eastAsia"/>
          <w:color w:val="000000" w:themeColor="text1"/>
          <w14:textFill>
            <w14:solidFill>
              <w14:schemeClr w14:val="tx1"/>
            </w14:solidFill>
          </w14:textFill>
        </w:rPr>
        <w:t>设备</w:t>
      </w:r>
      <w:bookmarkEnd w:id="1717"/>
      <w:bookmarkEnd w:id="1718"/>
      <w:bookmarkEnd w:id="1719"/>
    </w:p>
    <w:p w14:paraId="3BEA1F4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翻斗式雨量传感器是一种水文、气象观测仪器，用以感知自然界降雨量，同时将其转换为开关信息量输出，以满足信息传输、处理、记录和显示的需要。设计分别在矿山办公生活区布置1个雨量监测，安装具有自动读数和时钟电路的雨量计，记录24小时内降雨量，统计日降雨量。</w:t>
      </w:r>
    </w:p>
    <w:p w14:paraId="1FBF2484">
      <w:pPr>
        <w:ind w:firstLine="560"/>
        <w:rPr>
          <w:color w:val="000000" w:themeColor="text1"/>
          <w14:textFill>
            <w14:solidFill>
              <w14:schemeClr w14:val="tx1"/>
            </w14:solidFill>
          </w14:textFill>
        </w:rPr>
      </w:pPr>
      <w:bookmarkStart w:id="1720" w:name="_Toc25021"/>
      <w:bookmarkStart w:id="1721" w:name="_Toc18658"/>
      <w:bookmarkStart w:id="1722" w:name="_Toc17860"/>
      <w:r>
        <w:rPr>
          <w:rFonts w:hint="eastAsia"/>
          <w:color w:val="000000" w:themeColor="text1"/>
          <w14:textFill>
            <w14:solidFill>
              <w14:schemeClr w14:val="tx1"/>
            </w14:solidFill>
          </w14:textFill>
        </w:rPr>
        <w:t>7、视频监控设计</w:t>
      </w:r>
      <w:bookmarkEnd w:id="1720"/>
      <w:bookmarkEnd w:id="1721"/>
      <w:bookmarkEnd w:id="1722"/>
    </w:p>
    <w:p w14:paraId="02E88C2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视频监控点位布设。设计在分别在南北采场边坡外布置视频监测点，监控点用无线网桥技术进行无线视频传输24小时不间断监控。</w:t>
      </w:r>
    </w:p>
    <w:p w14:paraId="2E54C653">
      <w:pPr>
        <w:ind w:firstLine="560"/>
        <w:rPr>
          <w:color w:val="000000" w:themeColor="text1"/>
          <w14:textFill>
            <w14:solidFill>
              <w14:schemeClr w14:val="tx1"/>
            </w14:solidFill>
          </w14:textFill>
        </w:rPr>
      </w:pPr>
      <w:bookmarkStart w:id="1723" w:name="_Toc19413"/>
      <w:bookmarkStart w:id="1724" w:name="_Toc22956"/>
      <w:bookmarkStart w:id="1725" w:name="_Toc4292"/>
      <w:r>
        <w:rPr>
          <w:rFonts w:hint="eastAsia"/>
          <w:color w:val="000000" w:themeColor="text1"/>
          <w14:textFill>
            <w14:solidFill>
              <w14:schemeClr w14:val="tx1"/>
            </w14:solidFill>
          </w14:textFill>
        </w:rPr>
        <w:t>8、预警及响应</w:t>
      </w:r>
      <w:bookmarkEnd w:id="1723"/>
      <w:bookmarkEnd w:id="1724"/>
      <w:bookmarkEnd w:id="1725"/>
    </w:p>
    <w:p w14:paraId="05492D0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金属非金属露天矿山高陡边坡安全监测技术规范</w:t>
      </w:r>
      <w:r>
        <w:rPr>
          <w:rFonts w:hint="eastAsia"/>
          <w:color w:val="000000" w:themeColor="text1"/>
          <w14:textFill>
            <w14:solidFill>
              <w14:schemeClr w14:val="tx1"/>
            </w14:solidFill>
          </w14:textFill>
        </w:rPr>
        <w:t>》（</w:t>
      </w:r>
      <w:r>
        <w:fldChar w:fldCharType="begin"/>
      </w:r>
      <w:r>
        <w:instrText xml:space="preserve"> HYPERLINK "http://www.csres.com/detail/412933.html" \t "http://www.csres.com/detail/_blank" </w:instrText>
      </w:r>
      <w:r>
        <w:fldChar w:fldCharType="separate"/>
      </w:r>
      <w:r>
        <w:rPr>
          <w:rStyle w:val="51"/>
          <w:rFonts w:hint="eastAsia" w:ascii="宋体" w:hAnsi="宋体" w:cs="宋体"/>
          <w:color w:val="000000" w:themeColor="text1"/>
          <w:szCs w:val="21"/>
          <w:u w:val="none"/>
          <w:shd w:val="clear" w:color="auto" w:fill="FFFFFF"/>
          <w14:textFill>
            <w14:solidFill>
              <w14:schemeClr w14:val="tx1"/>
            </w14:solidFill>
          </w14:textFill>
        </w:rPr>
        <w:t>KA/T2063 -2018</w:t>
      </w:r>
      <w:r>
        <w:rPr>
          <w:rStyle w:val="51"/>
          <w:rFonts w:hint="eastAsia" w:ascii="宋体" w:hAnsi="宋体" w:cs="宋体"/>
          <w:color w:val="000000" w:themeColor="text1"/>
          <w:szCs w:val="21"/>
          <w:u w:val="none"/>
          <w:shd w:val="clear" w:color="auto" w:fill="FFFFFF"/>
          <w14:textFill>
            <w14:solidFill>
              <w14:schemeClr w14:val="tx1"/>
            </w14:solidFill>
          </w14:textFill>
        </w:rPr>
        <w:fldChar w:fldCharType="end"/>
      </w:r>
      <w:r>
        <w:rPr>
          <w:rFonts w:hint="eastAsia"/>
          <w:color w:val="000000" w:themeColor="text1"/>
          <w14:textFill>
            <w14:solidFill>
              <w14:schemeClr w14:val="tx1"/>
            </w14:solidFill>
          </w14:textFill>
        </w:rPr>
        <w:t>，2018年12月1日实施），露天矿山安全监测预警应由低级到高级分为蓝色预警、黄色预警、橙色预警、红色预警四个等级。本项目的安全预警项目包括高清摄像头、表面位移、爆破振动及降雨量。安全监测项目的蓝色预警、黄色预警、橙色预警和红色预警采用监测预警阈值进行判定。</w:t>
      </w:r>
    </w:p>
    <w:p w14:paraId="635246D4">
      <w:pPr>
        <w:pStyle w:val="4"/>
        <w:spacing w:before="240" w:after="120"/>
        <w:rPr>
          <w:color w:val="000000" w:themeColor="text1"/>
          <w14:textFill>
            <w14:solidFill>
              <w14:schemeClr w14:val="tx1"/>
            </w14:solidFill>
          </w14:textFill>
        </w:rPr>
      </w:pPr>
      <w:bookmarkStart w:id="1726" w:name="_Toc30082"/>
      <w:bookmarkStart w:id="1727" w:name="_Toc6923"/>
      <w:bookmarkStart w:id="1728" w:name="_Toc12887"/>
      <w:bookmarkStart w:id="1729" w:name="_Toc27919"/>
      <w:bookmarkStart w:id="1730" w:name="_Toc215070224"/>
      <w:bookmarkStart w:id="1731" w:name="_Toc21435"/>
      <w:bookmarkStart w:id="1732" w:name="_Toc28214"/>
      <w:bookmarkStart w:id="1733" w:name="_Toc15468"/>
      <w:bookmarkStart w:id="1734" w:name="_Toc8481"/>
      <w:r>
        <w:rPr>
          <w:rFonts w:hint="eastAsia"/>
          <w:color w:val="000000" w:themeColor="text1"/>
          <w14:textFill>
            <w14:solidFill>
              <w14:schemeClr w14:val="tx1"/>
            </w14:solidFill>
          </w14:textFill>
        </w:rPr>
        <w:t>2.5安全管理</w:t>
      </w:r>
      <w:bookmarkEnd w:id="1639"/>
      <w:bookmarkEnd w:id="1640"/>
      <w:bookmarkEnd w:id="1641"/>
      <w:bookmarkEnd w:id="1642"/>
      <w:bookmarkEnd w:id="1643"/>
      <w:bookmarkEnd w:id="1644"/>
      <w:bookmarkEnd w:id="1658"/>
      <w:r>
        <w:rPr>
          <w:rFonts w:hint="eastAsia"/>
          <w:color w:val="000000" w:themeColor="text1"/>
          <w14:textFill>
            <w14:solidFill>
              <w14:schemeClr w14:val="tx1"/>
            </w14:solidFill>
          </w14:textFill>
        </w:rPr>
        <w:t>及其它</w:t>
      </w:r>
      <w:bookmarkEnd w:id="1659"/>
      <w:bookmarkEnd w:id="1726"/>
      <w:bookmarkEnd w:id="1727"/>
      <w:bookmarkEnd w:id="1728"/>
      <w:bookmarkEnd w:id="1729"/>
      <w:bookmarkEnd w:id="1730"/>
      <w:bookmarkEnd w:id="1731"/>
      <w:bookmarkEnd w:id="1732"/>
      <w:bookmarkEnd w:id="1733"/>
      <w:bookmarkEnd w:id="1734"/>
    </w:p>
    <w:p w14:paraId="66741D90">
      <w:pPr>
        <w:pStyle w:val="5"/>
        <w:spacing w:after="120"/>
        <w:rPr>
          <w:color w:val="000000" w:themeColor="text1"/>
          <w14:textFill>
            <w14:solidFill>
              <w14:schemeClr w14:val="tx1"/>
            </w14:solidFill>
          </w14:textFill>
        </w:rPr>
      </w:pPr>
      <w:bookmarkStart w:id="1735" w:name="_Toc334781217"/>
      <w:bookmarkStart w:id="1736" w:name="_Toc21657"/>
      <w:bookmarkStart w:id="1737" w:name="_Toc392680691"/>
      <w:bookmarkStart w:id="1738" w:name="_Toc7462"/>
      <w:bookmarkStart w:id="1739" w:name="_Toc22547"/>
      <w:bookmarkStart w:id="1740" w:name="_Toc17022"/>
      <w:bookmarkStart w:id="1741" w:name="_Toc11782"/>
      <w:bookmarkStart w:id="1742" w:name="_Toc29726"/>
      <w:bookmarkStart w:id="1743" w:name="_Toc29316"/>
      <w:bookmarkStart w:id="1744" w:name="_Toc15405"/>
      <w:bookmarkStart w:id="1745" w:name="_Toc30518"/>
      <w:bookmarkStart w:id="1746" w:name="_Toc23921"/>
      <w:bookmarkStart w:id="1747" w:name="_Toc2408"/>
      <w:bookmarkStart w:id="1748" w:name="_Toc21135"/>
      <w:bookmarkStart w:id="1749" w:name="_Toc950"/>
      <w:bookmarkStart w:id="1750" w:name="_Toc215070225"/>
      <w:r>
        <w:rPr>
          <w:rFonts w:hint="eastAsia"/>
          <w:color w:val="000000" w:themeColor="text1"/>
          <w14:textFill>
            <w14:solidFill>
              <w14:schemeClr w14:val="tx1"/>
            </w14:solidFill>
          </w14:textFill>
        </w:rPr>
        <w:t>2.5.1</w:t>
      </w:r>
      <w:bookmarkEnd w:id="1735"/>
      <w:bookmarkEnd w:id="1736"/>
      <w:bookmarkEnd w:id="1737"/>
      <w:bookmarkEnd w:id="1738"/>
      <w:bookmarkEnd w:id="1739"/>
      <w:bookmarkEnd w:id="1740"/>
      <w:bookmarkEnd w:id="1741"/>
      <w:r>
        <w:rPr>
          <w:color w:val="000000" w:themeColor="text1"/>
          <w14:textFill>
            <w14:solidFill>
              <w14:schemeClr w14:val="tx1"/>
            </w14:solidFill>
          </w14:textFill>
        </w:rPr>
        <w:t>组织结构</w:t>
      </w:r>
      <w:bookmarkEnd w:id="1742"/>
      <w:bookmarkEnd w:id="1743"/>
      <w:bookmarkEnd w:id="1744"/>
      <w:bookmarkEnd w:id="1745"/>
      <w:bookmarkEnd w:id="1746"/>
      <w:bookmarkEnd w:id="1747"/>
      <w:bookmarkEnd w:id="1748"/>
      <w:bookmarkEnd w:id="1749"/>
      <w:bookmarkEnd w:id="1750"/>
    </w:p>
    <w:p w14:paraId="0F9F0265">
      <w:pPr>
        <w:adjustRightInd w:val="0"/>
        <w:snapToGrid w:val="0"/>
        <w:rPr>
          <w:rFonts w:hint="eastAsia" w:hAnsi="宋体"/>
          <w:b/>
          <w:bCs/>
          <w:color w:val="000000" w:themeColor="text1"/>
          <w:szCs w:val="28"/>
          <w14:textFill>
            <w14:solidFill>
              <w14:schemeClr w14:val="tx1"/>
            </w14:solidFill>
          </w14:textFill>
        </w:rPr>
      </w:pPr>
      <w:r>
        <w:rPr>
          <w:rFonts w:hint="eastAsia" w:hAnsi="宋体"/>
          <w:b/>
          <w:bCs/>
          <w:color w:val="000000" w:themeColor="text1"/>
          <w:szCs w:val="28"/>
          <w14:textFill>
            <w14:solidFill>
              <w14:schemeClr w14:val="tx1"/>
            </w14:solidFill>
          </w14:textFill>
        </w:rPr>
        <w:t>一、安全管理机构</w:t>
      </w:r>
    </w:p>
    <w:p w14:paraId="622B9170">
      <w:pPr>
        <w:adjustRightInd w:val="0"/>
        <w:snapToGrid w:val="0"/>
        <w:ind w:firstLine="560"/>
        <w:rPr>
          <w:rFonts w:hint="eastAsia" w:hAnsi="宋体"/>
          <w:bCs/>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广南县旧莫小格达普通建筑石料用灰岩矿50万t/a露天采矿工程</w:t>
      </w:r>
      <w:r>
        <w:rPr>
          <w:color w:val="000000" w:themeColor="text1"/>
          <w:szCs w:val="28"/>
          <w14:textFill>
            <w14:solidFill>
              <w14:schemeClr w14:val="tx1"/>
            </w14:solidFill>
          </w14:textFill>
        </w:rPr>
        <w:t>，年生产规模</w:t>
      </w:r>
      <w:r>
        <w:rPr>
          <w:rFonts w:hint="eastAsia"/>
          <w:color w:val="000000" w:themeColor="text1"/>
          <w:szCs w:val="28"/>
          <w14:textFill>
            <w14:solidFill>
              <w14:schemeClr w14:val="tx1"/>
            </w14:solidFill>
          </w14:textFill>
        </w:rPr>
        <w:t>50万</w:t>
      </w:r>
      <w:r>
        <w:rPr>
          <w:color w:val="000000" w:themeColor="text1"/>
          <w:szCs w:val="28"/>
          <w14:textFill>
            <w14:solidFill>
              <w14:schemeClr w14:val="tx1"/>
            </w14:solidFill>
          </w14:textFill>
        </w:rPr>
        <w:t>t/a，</w:t>
      </w:r>
      <w:r>
        <w:rPr>
          <w:rFonts w:hint="eastAsia" w:hAnsi="宋体"/>
          <w:bCs/>
          <w:color w:val="000000" w:themeColor="text1"/>
          <w:szCs w:val="28"/>
          <w14:textFill>
            <w14:solidFill>
              <w14:schemeClr w14:val="tx1"/>
            </w14:solidFill>
          </w14:textFill>
        </w:rPr>
        <w:t>对矿山安全管理机构设置作了明确要求，具体如下：</w:t>
      </w:r>
    </w:p>
    <w:p w14:paraId="3C777118">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1、矿山必须建立安全管理机构，配备专职安全管理人员；</w:t>
      </w:r>
    </w:p>
    <w:p w14:paraId="4D3A85C7">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2、</w:t>
      </w:r>
      <w:r>
        <w:rPr>
          <w:rFonts w:hint="eastAsia" w:ascii="宋体" w:hAnsi="宋体" w:cs="宋体"/>
          <w:color w:val="000000" w:themeColor="text1"/>
          <w:sz w:val="28"/>
          <w:szCs w:val="24"/>
          <w14:textFill>
            <w14:solidFill>
              <w14:schemeClr w14:val="tx1"/>
            </w14:solidFill>
          </w14:textFill>
        </w:rPr>
        <w:t>矿山</w:t>
      </w:r>
      <w:r>
        <w:rPr>
          <w:rFonts w:ascii="宋体" w:hAnsi="宋体" w:cs="宋体"/>
          <w:color w:val="000000" w:themeColor="text1"/>
          <w:sz w:val="28"/>
          <w:szCs w:val="24"/>
          <w14:textFill>
            <w14:solidFill>
              <w14:schemeClr w14:val="tx1"/>
            </w14:solidFill>
          </w14:textFill>
        </w:rPr>
        <w:t>应</w:t>
      </w:r>
      <w:r>
        <w:rPr>
          <w:rFonts w:hint="eastAsia" w:ascii="宋体" w:hAnsi="宋体" w:cs="宋体"/>
          <w:color w:val="000000" w:themeColor="text1"/>
          <w:sz w:val="28"/>
          <w:szCs w:val="24"/>
          <w14:textFill>
            <w14:solidFill>
              <w14:schemeClr w14:val="tx1"/>
            </w14:solidFill>
          </w14:textFill>
        </w:rPr>
        <w:t>至少配备1名</w:t>
      </w:r>
      <w:r>
        <w:rPr>
          <w:rFonts w:ascii="宋体" w:hAnsi="宋体" w:cs="宋体"/>
          <w:color w:val="000000" w:themeColor="text1"/>
          <w:sz w:val="28"/>
          <w:szCs w:val="24"/>
          <w14:textFill>
            <w14:solidFill>
              <w14:schemeClr w14:val="tx1"/>
            </w14:solidFill>
          </w14:textFill>
        </w:rPr>
        <w:t>专职安全员，</w:t>
      </w:r>
      <w:r>
        <w:rPr>
          <w:rFonts w:hint="eastAsia" w:ascii="宋体" w:hAnsi="宋体" w:cs="宋体"/>
          <w:color w:val="000000" w:themeColor="text1"/>
          <w:sz w:val="28"/>
          <w:szCs w:val="24"/>
          <w14:textFill>
            <w14:solidFill>
              <w14:schemeClr w14:val="tx1"/>
            </w14:solidFill>
          </w14:textFill>
        </w:rPr>
        <w:t>各</w:t>
      </w:r>
      <w:r>
        <w:rPr>
          <w:rFonts w:ascii="宋体" w:hAnsi="宋体" w:cs="宋体"/>
          <w:color w:val="000000" w:themeColor="text1"/>
          <w:sz w:val="28"/>
          <w:szCs w:val="24"/>
          <w14:textFill>
            <w14:solidFill>
              <w14:schemeClr w14:val="tx1"/>
            </w14:solidFill>
          </w14:textFill>
        </w:rPr>
        <w:t>班、组应设专职安全员；</w:t>
      </w:r>
    </w:p>
    <w:p w14:paraId="592AF7E3">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3、专职安全人员，应由不低于中等专业学校毕业（或具有同等学历）、具有必要的安全专业知识和安全工作经验、从事矿山专业工作五年以上并能经常下现场的人员担任。</w:t>
      </w:r>
    </w:p>
    <w:p w14:paraId="60749C13">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4、矿山至少配备一名相关专业技术人员，应配置至少一名注册安全工程师或地质</w:t>
      </w:r>
      <w:r>
        <w:rPr>
          <w:rFonts w:hint="eastAsia" w:ascii="宋体" w:hAnsi="宋体" w:cs="宋体"/>
          <w:color w:val="000000" w:themeColor="text1"/>
          <w:sz w:val="28"/>
          <w:szCs w:val="24"/>
          <w14:textFill>
            <w14:solidFill>
              <w14:schemeClr w14:val="tx1"/>
            </w14:solidFill>
          </w14:textFill>
        </w:rPr>
        <w:t>、</w:t>
      </w:r>
      <w:r>
        <w:rPr>
          <w:rFonts w:ascii="宋体" w:hAnsi="宋体" w:cs="宋体"/>
          <w:color w:val="000000" w:themeColor="text1"/>
          <w:sz w:val="28"/>
          <w:szCs w:val="24"/>
          <w14:textFill>
            <w14:solidFill>
              <w14:schemeClr w14:val="tx1"/>
            </w14:solidFill>
          </w14:textFill>
        </w:rPr>
        <w:t>采矿及相关专业中级职称的技术人员。</w:t>
      </w:r>
    </w:p>
    <w:p w14:paraId="74947238">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5、矿山应配备特种作业人员，并需培训合格后持证上岗。根据《特种作业人员安全技术培训考核管理规定》，本矿山特种人员种类有电工1人、</w:t>
      </w:r>
      <w:r>
        <w:rPr>
          <w:rFonts w:hint="eastAsia" w:ascii="宋体" w:hAnsi="宋体" w:cs="宋体"/>
          <w:color w:val="000000" w:themeColor="text1"/>
          <w:sz w:val="28"/>
          <w:szCs w:val="24"/>
          <w14:textFill>
            <w14:solidFill>
              <w14:schemeClr w14:val="tx1"/>
            </w14:solidFill>
          </w14:textFill>
        </w:rPr>
        <w:t>焊工</w:t>
      </w:r>
      <w:r>
        <w:rPr>
          <w:rFonts w:ascii="宋体" w:hAnsi="宋体" w:cs="宋体"/>
          <w:color w:val="000000" w:themeColor="text1"/>
          <w:sz w:val="28"/>
          <w:szCs w:val="24"/>
          <w14:textFill>
            <w14:solidFill>
              <w14:schemeClr w14:val="tx1"/>
            </w14:solidFill>
          </w14:textFill>
        </w:rPr>
        <w:t>1人。</w:t>
      </w:r>
    </w:p>
    <w:p w14:paraId="7DEECF11">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6、矿山应设置</w:t>
      </w:r>
      <w:r>
        <w:rPr>
          <w:rFonts w:hint="eastAsia" w:ascii="宋体" w:hAnsi="宋体" w:cs="宋体"/>
          <w:color w:val="000000" w:themeColor="text1"/>
          <w:sz w:val="28"/>
          <w:szCs w:val="24"/>
          <w14:textFill>
            <w14:solidFill>
              <w14:schemeClr w14:val="tx1"/>
            </w14:solidFill>
          </w14:textFill>
        </w:rPr>
        <w:t>“</w:t>
      </w:r>
      <w:r>
        <w:rPr>
          <w:rFonts w:ascii="宋体" w:hAnsi="宋体" w:cs="宋体"/>
          <w:color w:val="000000" w:themeColor="text1"/>
          <w:sz w:val="28"/>
          <w:szCs w:val="24"/>
          <w14:textFill>
            <w14:solidFill>
              <w14:schemeClr w14:val="tx1"/>
            </w14:solidFill>
          </w14:textFill>
        </w:rPr>
        <w:t>安全科</w:t>
      </w:r>
      <w:r>
        <w:rPr>
          <w:rFonts w:hint="eastAsia" w:ascii="宋体" w:hAnsi="宋体" w:cs="宋体"/>
          <w:color w:val="000000" w:themeColor="text1"/>
          <w:sz w:val="28"/>
          <w:szCs w:val="24"/>
          <w14:textFill>
            <w14:solidFill>
              <w14:schemeClr w14:val="tx1"/>
            </w14:solidFill>
          </w14:textFill>
        </w:rPr>
        <w:t>”</w:t>
      </w:r>
      <w:r>
        <w:rPr>
          <w:rFonts w:ascii="宋体" w:hAnsi="宋体" w:cs="宋体"/>
          <w:color w:val="000000" w:themeColor="text1"/>
          <w:sz w:val="28"/>
          <w:szCs w:val="24"/>
          <w14:textFill>
            <w14:solidFill>
              <w14:schemeClr w14:val="tx1"/>
            </w14:solidFill>
          </w14:textFill>
        </w:rPr>
        <w:t>，把专职安全员和技术人员都纳入其中，便于加强安全和技术管理工作。并明确相应机构的安全管理职责。</w:t>
      </w:r>
    </w:p>
    <w:p w14:paraId="4D8AC1C6">
      <w:pPr>
        <w:pStyle w:val="144"/>
        <w:adjustRightInd w:val="0"/>
        <w:snapToGrid w:val="0"/>
        <w:ind w:firstLine="560"/>
        <w:rPr>
          <w:rFonts w:hint="eastAsia" w:ascii="宋体" w:hAnsi="宋体" w:cs="宋体"/>
          <w:color w:val="000000" w:themeColor="text1"/>
          <w:sz w:val="28"/>
          <w:szCs w:val="24"/>
          <w14:textFill>
            <w14:solidFill>
              <w14:schemeClr w14:val="tx1"/>
            </w14:solidFill>
          </w14:textFill>
        </w:rPr>
      </w:pPr>
      <w:r>
        <w:rPr>
          <w:rFonts w:ascii="宋体" w:hAnsi="宋体" w:cs="宋体"/>
          <w:color w:val="000000" w:themeColor="text1"/>
          <w:sz w:val="28"/>
          <w:szCs w:val="24"/>
          <w14:textFill>
            <w14:solidFill>
              <w14:schemeClr w14:val="tx1"/>
            </w14:solidFill>
          </w14:textFill>
        </w:rPr>
        <w:t>矿山安全管理机构及人员配备见下图</w:t>
      </w:r>
      <w:r>
        <w:rPr>
          <w:rFonts w:hint="eastAsia" w:ascii="宋体" w:hAnsi="宋体" w:cs="宋体"/>
          <w:color w:val="000000" w:themeColor="text1"/>
          <w:sz w:val="28"/>
          <w:szCs w:val="24"/>
          <w14:textFill>
            <w14:solidFill>
              <w14:schemeClr w14:val="tx1"/>
            </w14:solidFill>
          </w14:textFill>
        </w:rPr>
        <w:t>：</w:t>
      </w:r>
    </w:p>
    <w:p w14:paraId="5F38B9D8">
      <w:pPr>
        <w:pStyle w:val="144"/>
        <w:adjustRightInd w:val="0"/>
        <w:snapToGrid w:val="0"/>
        <w:ind w:firstLine="560"/>
        <w:rPr>
          <w:rFonts w:hint="eastAsia" w:ascii="宋体" w:hAnsi="宋体" w:cs="宋体"/>
          <w:color w:val="000000" w:themeColor="text1"/>
          <w:sz w:val="24"/>
          <w:szCs w:val="22"/>
          <w14:textFill>
            <w14:solidFill>
              <w14:schemeClr w14:val="tx1"/>
            </w14:solidFill>
          </w14:textFill>
        </w:rPr>
      </w:pPr>
      <w:r>
        <w:rPr>
          <w:color w:val="000000" w:themeColor="text1"/>
          <w14:textFill>
            <w14:solidFill>
              <w14:schemeClr w14:val="tx1"/>
            </w14:solidFill>
          </w14:textFill>
        </w:rPr>
        <w:drawing>
          <wp:inline distT="0" distB="0" distL="0" distR="0">
            <wp:extent cx="5216525" cy="2029460"/>
            <wp:effectExtent l="0" t="0" r="3175" b="8890"/>
            <wp:docPr id="1650460134" name="图片 14" descr="微信截图_2022032814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60134" name="图片 14" descr="微信截图_202203281450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16525" cy="2029460"/>
                    </a:xfrm>
                    <a:prstGeom prst="rect">
                      <a:avLst/>
                    </a:prstGeom>
                    <a:noFill/>
                    <a:ln>
                      <a:noFill/>
                    </a:ln>
                  </pic:spPr>
                </pic:pic>
              </a:graphicData>
            </a:graphic>
          </wp:inline>
        </w:drawing>
      </w:r>
    </w:p>
    <w:p w14:paraId="1E3E8969">
      <w:pPr>
        <w:pStyle w:val="144"/>
        <w:adjustRightInd w:val="0"/>
        <w:snapToGrid w:val="0"/>
        <w:ind w:firstLine="560"/>
        <w:rPr>
          <w:b/>
          <w:color w:val="000000" w:themeColor="text1"/>
          <w:sz w:val="21"/>
          <w14:textFill>
            <w14:solidFill>
              <w14:schemeClr w14:val="tx1"/>
            </w14:solidFill>
          </w14:textFill>
        </w:rPr>
      </w:pPr>
      <w:r>
        <w:rPr>
          <w:rFonts w:hint="eastAsia" w:ascii="宋体" w:hAnsi="宋体" w:cs="宋体"/>
          <w:color w:val="000000" w:themeColor="text1"/>
          <w:sz w:val="28"/>
          <w:szCs w:val="24"/>
          <w14:textFill>
            <w14:solidFill>
              <w14:schemeClr w14:val="tx1"/>
            </w14:solidFill>
          </w14:textFill>
        </w:rPr>
        <w:t>7、</w:t>
      </w:r>
      <w:r>
        <w:rPr>
          <w:rFonts w:ascii="宋体" w:hAnsi="宋体" w:cs="宋体"/>
          <w:color w:val="000000" w:themeColor="text1"/>
          <w:sz w:val="28"/>
          <w:szCs w:val="24"/>
          <w14:textFill>
            <w14:solidFill>
              <w14:schemeClr w14:val="tx1"/>
            </w14:solidFill>
          </w14:textFill>
        </w:rPr>
        <w:t>组织机构图中，矿山对上岗人员进行持证要求，其中主要负责人需持有主要负责人证，安全员需持有安全管理人员证，特种作业人员需持有特种作业证。</w:t>
      </w:r>
    </w:p>
    <w:p w14:paraId="602A30DF">
      <w:pPr>
        <w:pStyle w:val="5"/>
        <w:spacing w:after="120"/>
        <w:rPr>
          <w:color w:val="000000" w:themeColor="text1"/>
          <w14:textFill>
            <w14:solidFill>
              <w14:schemeClr w14:val="tx1"/>
            </w14:solidFill>
          </w14:textFill>
        </w:rPr>
      </w:pPr>
      <w:bookmarkStart w:id="1751" w:name="_Toc21982"/>
      <w:bookmarkStart w:id="1752" w:name="_Toc1113"/>
      <w:bookmarkStart w:id="1753" w:name="_Toc8299"/>
      <w:bookmarkStart w:id="1754" w:name="_Toc21812"/>
      <w:bookmarkStart w:id="1755" w:name="_Toc30028"/>
      <w:bookmarkStart w:id="1756" w:name="_Toc2817"/>
      <w:bookmarkStart w:id="1757" w:name="_Toc25582"/>
      <w:bookmarkStart w:id="1758" w:name="_Toc10192"/>
      <w:bookmarkStart w:id="1759" w:name="_Toc215070226"/>
      <w:r>
        <w:rPr>
          <w:rFonts w:hint="eastAsia"/>
          <w:color w:val="000000" w:themeColor="text1"/>
          <w14:textFill>
            <w14:solidFill>
              <w14:schemeClr w14:val="tx1"/>
            </w14:solidFill>
          </w14:textFill>
        </w:rPr>
        <w:t>2.5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2工作制度</w:t>
      </w:r>
      <w:bookmarkEnd w:id="1751"/>
      <w:bookmarkEnd w:id="1752"/>
      <w:bookmarkEnd w:id="1753"/>
      <w:bookmarkEnd w:id="1754"/>
      <w:bookmarkEnd w:id="1755"/>
      <w:bookmarkEnd w:id="1756"/>
      <w:bookmarkEnd w:id="1757"/>
      <w:bookmarkEnd w:id="1758"/>
      <w:bookmarkEnd w:id="1759"/>
    </w:p>
    <w:p w14:paraId="4DA1CFE6">
      <w:pPr>
        <w:adjustRightInd w:val="0"/>
        <w:snapToGrid w:val="0"/>
        <w:ind w:firstLine="560"/>
        <w:rPr>
          <w:color w:val="000000" w:themeColor="text1"/>
          <w:szCs w:val="28"/>
          <w:lang w:val="zh-TW" w:eastAsia="zh-TW"/>
          <w14:textFill>
            <w14:solidFill>
              <w14:schemeClr w14:val="tx1"/>
            </w14:solidFill>
          </w14:textFill>
        </w:rPr>
      </w:pPr>
      <w:r>
        <w:rPr>
          <w:color w:val="000000" w:themeColor="text1"/>
          <w:szCs w:val="28"/>
          <w:lang w:val="zh-TW" w:eastAsia="zh-TW"/>
          <w14:textFill>
            <w14:solidFill>
              <w14:schemeClr w14:val="tx1"/>
            </w14:solidFill>
          </w14:textFill>
        </w:rPr>
        <w:t>矿区采剥及破碎作业采用间断工作制，年工作</w:t>
      </w:r>
      <w:r>
        <w:rPr>
          <w:color w:val="000000" w:themeColor="text1"/>
          <w:szCs w:val="28"/>
          <w14:textFill>
            <w14:solidFill>
              <w14:schemeClr w14:val="tx1"/>
            </w14:solidFill>
          </w14:textFill>
        </w:rPr>
        <w:t>300</w:t>
      </w:r>
      <w:r>
        <w:rPr>
          <w:color w:val="000000" w:themeColor="text1"/>
          <w:szCs w:val="28"/>
          <w:lang w:val="zh-TW" w:eastAsia="zh-TW"/>
          <w14:textFill>
            <w14:solidFill>
              <w14:schemeClr w14:val="tx1"/>
            </w14:solidFill>
          </w14:textFill>
        </w:rPr>
        <w:t>天，每天工作</w:t>
      </w:r>
      <w:r>
        <w:rPr>
          <w:color w:val="000000" w:themeColor="text1"/>
          <w:szCs w:val="28"/>
          <w:lang w:val="zh-TW"/>
          <w14:textFill>
            <w14:solidFill>
              <w14:schemeClr w14:val="tx1"/>
            </w14:solidFill>
          </w14:textFill>
        </w:rPr>
        <w:t>一班</w:t>
      </w:r>
      <w:r>
        <w:rPr>
          <w:color w:val="000000" w:themeColor="text1"/>
          <w:szCs w:val="28"/>
          <w:lang w:val="zh-TW" w:eastAsia="zh-TW"/>
          <w14:textFill>
            <w14:solidFill>
              <w14:schemeClr w14:val="tx1"/>
            </w14:solidFill>
          </w14:textFill>
        </w:rPr>
        <w:t>，每班工作8小时</w:t>
      </w:r>
      <w:r>
        <w:rPr>
          <w:rFonts w:hint="eastAsia"/>
          <w:color w:val="000000" w:themeColor="text1"/>
          <w:szCs w:val="28"/>
          <w:lang w:val="zh-TW"/>
          <w14:textFill>
            <w14:solidFill>
              <w14:schemeClr w14:val="tx1"/>
            </w14:solidFill>
          </w14:textFill>
        </w:rPr>
        <w:t>，</w:t>
      </w:r>
      <w:r>
        <w:rPr>
          <w:color w:val="000000" w:themeColor="text1"/>
          <w:szCs w:val="28"/>
          <w:lang w:val="zh-TW" w:eastAsia="zh-TW"/>
          <w14:textFill>
            <w14:solidFill>
              <w14:schemeClr w14:val="tx1"/>
            </w14:solidFill>
          </w14:textFill>
        </w:rPr>
        <w:t>辅助作业每天工作一班。</w:t>
      </w:r>
    </w:p>
    <w:p w14:paraId="53B1922E">
      <w:pPr>
        <w:pStyle w:val="5"/>
        <w:adjustRightInd w:val="0"/>
        <w:snapToGrid w:val="0"/>
        <w:spacing w:beforeAutospacing="0" w:after="120" w:line="360" w:lineRule="auto"/>
        <w:rPr>
          <w:color w:val="000000" w:themeColor="text1"/>
          <w:lang w:val="zh-TW" w:eastAsia="zh-TW"/>
          <w14:textFill>
            <w14:solidFill>
              <w14:schemeClr w14:val="tx1"/>
            </w14:solidFill>
          </w14:textFill>
        </w:rPr>
      </w:pPr>
      <w:bookmarkStart w:id="1760" w:name="_Toc14095"/>
      <w:bookmarkStart w:id="1761" w:name="_Toc32664"/>
      <w:bookmarkStart w:id="1762" w:name="_Toc22335"/>
      <w:bookmarkStart w:id="1763" w:name="_Toc13127"/>
      <w:bookmarkStart w:id="1764" w:name="_Toc4012"/>
      <w:bookmarkStart w:id="1765" w:name="_Toc1526"/>
      <w:bookmarkStart w:id="1766" w:name="_Toc11561"/>
      <w:bookmarkStart w:id="1767" w:name="_Toc215070227"/>
      <w:bookmarkStart w:id="1768" w:name="_Toc17436"/>
      <w:bookmarkStart w:id="1769" w:name="_Toc32683"/>
      <w:bookmarkStart w:id="1770" w:name="_Toc2304"/>
      <w:r>
        <w:rPr>
          <w:rFonts w:hint="eastAsia"/>
          <w:color w:val="000000" w:themeColor="text1"/>
          <w14:textFill>
            <w14:solidFill>
              <w14:schemeClr w14:val="tx1"/>
            </w14:solidFill>
          </w14:textFill>
        </w:rPr>
        <w:t>2.5</w:t>
      </w:r>
      <w:r>
        <w:rPr>
          <w:color w:val="000000" w:themeColor="text1"/>
          <w:lang w:val="zh-TW" w:eastAsia="zh-TW"/>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lang w:val="zh-TW" w:eastAsia="zh-TW"/>
          <w14:textFill>
            <w14:solidFill>
              <w14:schemeClr w14:val="tx1"/>
            </w14:solidFill>
          </w14:textFill>
        </w:rPr>
        <w:t>劳动定员</w:t>
      </w:r>
      <w:bookmarkEnd w:id="1760"/>
      <w:bookmarkEnd w:id="1761"/>
      <w:bookmarkEnd w:id="1762"/>
      <w:bookmarkEnd w:id="1763"/>
      <w:bookmarkEnd w:id="1764"/>
      <w:bookmarkEnd w:id="1765"/>
      <w:bookmarkEnd w:id="1766"/>
      <w:bookmarkEnd w:id="1767"/>
      <w:bookmarkEnd w:id="1768"/>
      <w:bookmarkEnd w:id="1769"/>
      <w:bookmarkEnd w:id="1770"/>
    </w:p>
    <w:p w14:paraId="5E41D091">
      <w:pPr>
        <w:pStyle w:val="18"/>
        <w:adjustRightInd w:val="0"/>
        <w:snapToGrid w:val="0"/>
        <w:spacing w:after="50"/>
        <w:ind w:firstLine="560"/>
        <w:jc w:val="both"/>
        <w:rPr>
          <w:color w:val="000000" w:themeColor="text1"/>
          <w:lang w:val="zh-TW" w:eastAsia="zh-TW"/>
          <w14:textFill>
            <w14:solidFill>
              <w14:schemeClr w14:val="tx1"/>
            </w14:solidFill>
          </w14:textFill>
        </w:rPr>
      </w:pPr>
      <w:bookmarkStart w:id="1771" w:name="_Toc70138254"/>
      <w:bookmarkStart w:id="1772" w:name="_Toc68399082"/>
      <w:bookmarkStart w:id="1773" w:name="_Toc68399488"/>
      <w:bookmarkStart w:id="1774" w:name="_Toc12981"/>
      <w:r>
        <w:rPr>
          <w:color w:val="000000" w:themeColor="text1"/>
          <w:szCs w:val="28"/>
          <w14:textFill>
            <w14:solidFill>
              <w14:schemeClr w14:val="tx1"/>
            </w14:solidFill>
          </w14:textFill>
        </w:rPr>
        <w:t>项目在册职工为</w:t>
      </w:r>
      <w:r>
        <w:rPr>
          <w:rFonts w:hint="eastAsia"/>
          <w:color w:val="000000" w:themeColor="text1"/>
          <w:szCs w:val="28"/>
          <w14:textFill>
            <w14:solidFill>
              <w14:schemeClr w14:val="tx1"/>
            </w14:solidFill>
          </w14:textFill>
        </w:rPr>
        <w:t>34</w:t>
      </w:r>
      <w:r>
        <w:rPr>
          <w:color w:val="000000" w:themeColor="text1"/>
          <w:szCs w:val="28"/>
          <w14:textFill>
            <w14:solidFill>
              <w14:schemeClr w14:val="tx1"/>
            </w14:solidFill>
          </w14:textFill>
        </w:rPr>
        <w:t>人，其中矿山工人</w:t>
      </w:r>
      <w:r>
        <w:rPr>
          <w:rFonts w:hint="eastAsia"/>
          <w:color w:val="000000" w:themeColor="text1"/>
          <w:szCs w:val="28"/>
          <w14:textFill>
            <w14:solidFill>
              <w14:schemeClr w14:val="tx1"/>
            </w14:solidFill>
          </w14:textFill>
        </w:rPr>
        <w:t>26</w:t>
      </w:r>
      <w:r>
        <w:rPr>
          <w:color w:val="000000" w:themeColor="text1"/>
          <w:szCs w:val="28"/>
          <w14:textFill>
            <w14:solidFill>
              <w14:schemeClr w14:val="tx1"/>
            </w14:solidFill>
          </w14:textFill>
        </w:rPr>
        <w:t>人，管理</w:t>
      </w:r>
      <w:r>
        <w:rPr>
          <w:rFonts w:hint="eastAsia"/>
          <w:color w:val="000000" w:themeColor="text1"/>
          <w:szCs w:val="28"/>
          <w14:textFill>
            <w14:solidFill>
              <w14:schemeClr w14:val="tx1"/>
            </w14:solidFill>
          </w14:textFill>
        </w:rPr>
        <w:t>及技术</w:t>
      </w:r>
      <w:r>
        <w:rPr>
          <w:color w:val="000000" w:themeColor="text1"/>
          <w:szCs w:val="28"/>
          <w14:textFill>
            <w14:solidFill>
              <w14:schemeClr w14:val="tx1"/>
            </w14:solidFill>
          </w14:textFill>
        </w:rPr>
        <w:t>人员</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人</w:t>
      </w:r>
      <w:r>
        <w:rPr>
          <w:color w:val="000000" w:themeColor="text1"/>
          <w:szCs w:val="28"/>
          <w:lang w:val="zh-TW" w:eastAsia="zh-TW"/>
          <w14:textFill>
            <w14:solidFill>
              <w14:schemeClr w14:val="tx1"/>
            </w14:solidFill>
          </w14:textFill>
        </w:rPr>
        <w:t>，岗位定员分布见表</w:t>
      </w:r>
      <w:r>
        <w:rPr>
          <w:rFonts w:hint="eastAsia"/>
          <w:color w:val="000000" w:themeColor="text1"/>
          <w:szCs w:val="28"/>
          <w14:textFill>
            <w14:solidFill>
              <w14:schemeClr w14:val="tx1"/>
            </w14:solidFill>
          </w14:textFill>
        </w:rPr>
        <w:t>2.5</w:t>
      </w:r>
      <w:r>
        <w:rPr>
          <w:color w:val="000000" w:themeColor="text1"/>
          <w:szCs w:val="28"/>
          <w:lang w:val="zh-TW" w:eastAsia="zh-TW"/>
          <w14:textFill>
            <w14:solidFill>
              <w14:schemeClr w14:val="tx1"/>
            </w14:solidFill>
          </w14:textFill>
        </w:rPr>
        <w:t>-1。</w:t>
      </w:r>
    </w:p>
    <w:p w14:paraId="1DEB2D0F">
      <w:pPr>
        <w:pStyle w:val="64"/>
        <w:adjustRightInd w:val="0"/>
        <w:snapToGrid w:val="0"/>
        <w:spacing w:before="120" w:after="120" w:line="240" w:lineRule="auto"/>
        <w:rPr>
          <w:color w:val="000000" w:themeColor="text1"/>
          <w:lang w:val="zh-TW" w:eastAsia="zh-TW"/>
          <w14:textFill>
            <w14:solidFill>
              <w14:schemeClr w14:val="tx1"/>
            </w14:solidFill>
          </w14:textFill>
        </w:rPr>
      </w:pPr>
      <w:r>
        <w:rPr>
          <w:color w:val="000000" w:themeColor="text1"/>
          <w:lang w:val="zh-TW" w:eastAsia="zh-TW"/>
          <w14:textFill>
            <w14:solidFill>
              <w14:schemeClr w14:val="tx1"/>
            </w14:solidFill>
          </w14:textFill>
        </w:rPr>
        <w:t>表</w:t>
      </w:r>
      <w:r>
        <w:rPr>
          <w:rFonts w:hint="eastAsia"/>
          <w:color w:val="000000" w:themeColor="text1"/>
          <w14:textFill>
            <w14:solidFill>
              <w14:schemeClr w14:val="tx1"/>
            </w14:solidFill>
          </w14:textFill>
        </w:rPr>
        <w:t>2.5</w:t>
      </w:r>
      <w:r>
        <w:rPr>
          <w:color w:val="000000" w:themeColor="text1"/>
          <w:lang w:val="zh-TW" w:eastAsia="zh-TW"/>
          <w14:textFill>
            <w14:solidFill>
              <w14:schemeClr w14:val="tx1"/>
            </w14:solidFill>
          </w14:textFill>
        </w:rPr>
        <w:t>-1</w:t>
      </w:r>
      <w:r>
        <w:rPr>
          <w:color w:val="000000" w:themeColor="text1"/>
          <w14:textFill>
            <w14:solidFill>
              <w14:schemeClr w14:val="tx1"/>
            </w14:solidFill>
          </w14:textFill>
        </w:rPr>
        <w:t xml:space="preserve">  </w:t>
      </w:r>
      <w:r>
        <w:rPr>
          <w:color w:val="000000" w:themeColor="text1"/>
          <w:lang w:val="zh-TW" w:eastAsia="zh-TW"/>
          <w14:textFill>
            <w14:solidFill>
              <w14:schemeClr w14:val="tx1"/>
            </w14:solidFill>
          </w14:textFill>
        </w:rPr>
        <w:t>矿山生产岗位定员明细表（单位：人）</w:t>
      </w:r>
    </w:p>
    <w:bookmarkEnd w:id="1771"/>
    <w:bookmarkEnd w:id="1772"/>
    <w:bookmarkEnd w:id="1773"/>
    <w:bookmarkEnd w:id="1774"/>
    <w:tbl>
      <w:tblPr>
        <w:tblStyle w:val="44"/>
        <w:tblW w:w="486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6" w:type="dxa"/>
          <w:left w:w="108" w:type="dxa"/>
          <w:bottom w:w="6" w:type="dxa"/>
          <w:right w:w="108" w:type="dxa"/>
        </w:tblCellMar>
      </w:tblPr>
      <w:tblGrid>
        <w:gridCol w:w="718"/>
        <w:gridCol w:w="2698"/>
        <w:gridCol w:w="849"/>
        <w:gridCol w:w="683"/>
        <w:gridCol w:w="955"/>
        <w:gridCol w:w="785"/>
        <w:gridCol w:w="2459"/>
      </w:tblGrid>
      <w:tr w14:paraId="1D466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vMerge w:val="restart"/>
            <w:noWrap/>
            <w:vAlign w:val="center"/>
          </w:tcPr>
          <w:p w14:paraId="622C5EE1">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bookmarkStart w:id="1775" w:name="_Toc14459"/>
            <w:bookmarkStart w:id="1776" w:name="_Toc13142"/>
            <w:bookmarkStart w:id="1777" w:name="_Toc8090"/>
            <w:bookmarkStart w:id="1778" w:name="_Toc1787"/>
            <w:bookmarkStart w:id="1779" w:name="_Toc14104"/>
            <w:bookmarkStart w:id="1780" w:name="_Toc14420"/>
            <w:bookmarkStart w:id="1781" w:name="_Toc11863"/>
            <w:bookmarkStart w:id="1782" w:name="_Toc15474"/>
            <w:r>
              <w:rPr>
                <w:rFonts w:hint="eastAsia" w:ascii="宋体" w:hAnsi="宋体" w:cs="宋体"/>
                <w:color w:val="000000" w:themeColor="text1"/>
                <w:sz w:val="20"/>
                <w:szCs w:val="20"/>
                <w14:textFill>
                  <w14:solidFill>
                    <w14:schemeClr w14:val="tx1"/>
                  </w14:solidFill>
                </w14:textFill>
              </w:rPr>
              <w:t>序号</w:t>
            </w:r>
          </w:p>
        </w:tc>
        <w:tc>
          <w:tcPr>
            <w:tcW w:w="1474" w:type="pct"/>
            <w:vMerge w:val="restart"/>
            <w:noWrap/>
            <w:vAlign w:val="center"/>
          </w:tcPr>
          <w:p w14:paraId="5B40D40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岗位或工种</w:t>
            </w:r>
          </w:p>
        </w:tc>
        <w:tc>
          <w:tcPr>
            <w:tcW w:w="1359" w:type="pct"/>
            <w:gridSpan w:val="3"/>
            <w:noWrap/>
            <w:vAlign w:val="center"/>
          </w:tcPr>
          <w:p w14:paraId="6113C94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班次及人数</w:t>
            </w:r>
          </w:p>
        </w:tc>
        <w:tc>
          <w:tcPr>
            <w:tcW w:w="429" w:type="pct"/>
            <w:vMerge w:val="restart"/>
            <w:vAlign w:val="center"/>
          </w:tcPr>
          <w:p w14:paraId="4F1E228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合计</w:t>
            </w:r>
          </w:p>
        </w:tc>
        <w:tc>
          <w:tcPr>
            <w:tcW w:w="1343" w:type="pct"/>
            <w:vMerge w:val="restart"/>
            <w:vAlign w:val="center"/>
          </w:tcPr>
          <w:p w14:paraId="521F7E8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备注</w:t>
            </w:r>
          </w:p>
        </w:tc>
      </w:tr>
      <w:tr w14:paraId="76F59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vMerge w:val="continue"/>
            <w:vAlign w:val="center"/>
          </w:tcPr>
          <w:p w14:paraId="3179E978">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474" w:type="pct"/>
            <w:vMerge w:val="continue"/>
            <w:vAlign w:val="center"/>
          </w:tcPr>
          <w:p w14:paraId="2CFE706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64" w:type="pct"/>
            <w:noWrap/>
            <w:vAlign w:val="center"/>
          </w:tcPr>
          <w:p w14:paraId="382A975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早</w:t>
            </w:r>
          </w:p>
        </w:tc>
        <w:tc>
          <w:tcPr>
            <w:tcW w:w="373" w:type="pct"/>
            <w:vAlign w:val="center"/>
          </w:tcPr>
          <w:p w14:paraId="54FC33AD">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中</w:t>
            </w:r>
          </w:p>
        </w:tc>
        <w:tc>
          <w:tcPr>
            <w:tcW w:w="521" w:type="pct"/>
            <w:vAlign w:val="center"/>
          </w:tcPr>
          <w:p w14:paraId="6A575C98">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轮岗</w:t>
            </w:r>
          </w:p>
        </w:tc>
        <w:tc>
          <w:tcPr>
            <w:tcW w:w="429" w:type="pct"/>
            <w:vMerge w:val="continue"/>
            <w:vAlign w:val="center"/>
          </w:tcPr>
          <w:p w14:paraId="348830E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Merge w:val="continue"/>
            <w:vAlign w:val="center"/>
          </w:tcPr>
          <w:p w14:paraId="67C7CC4D">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2EC79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46E3F5D1">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一</w:t>
            </w:r>
          </w:p>
        </w:tc>
        <w:tc>
          <w:tcPr>
            <w:tcW w:w="1474" w:type="pct"/>
            <w:noWrap/>
            <w:vAlign w:val="center"/>
          </w:tcPr>
          <w:p w14:paraId="325A237A">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采矿工区</w:t>
            </w:r>
          </w:p>
        </w:tc>
        <w:tc>
          <w:tcPr>
            <w:tcW w:w="464" w:type="pct"/>
            <w:noWrap/>
            <w:vAlign w:val="center"/>
          </w:tcPr>
          <w:p w14:paraId="470FBCE9">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13</w:t>
            </w:r>
          </w:p>
        </w:tc>
        <w:tc>
          <w:tcPr>
            <w:tcW w:w="373" w:type="pct"/>
            <w:vAlign w:val="center"/>
          </w:tcPr>
          <w:p w14:paraId="41CF1C53">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c>
          <w:tcPr>
            <w:tcW w:w="521" w:type="pct"/>
            <w:vAlign w:val="center"/>
          </w:tcPr>
          <w:p w14:paraId="417E6249">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4</w:t>
            </w:r>
          </w:p>
        </w:tc>
        <w:tc>
          <w:tcPr>
            <w:tcW w:w="429" w:type="pct"/>
            <w:vAlign w:val="center"/>
          </w:tcPr>
          <w:p w14:paraId="288D64F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17</w:t>
            </w:r>
          </w:p>
        </w:tc>
        <w:tc>
          <w:tcPr>
            <w:tcW w:w="1343" w:type="pct"/>
            <w:vAlign w:val="center"/>
          </w:tcPr>
          <w:p w14:paraId="5366EE0F">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r>
      <w:tr w14:paraId="491F9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398E930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474" w:type="pct"/>
            <w:noWrap/>
            <w:vAlign w:val="center"/>
          </w:tcPr>
          <w:p w14:paraId="2DAAFCC3">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挖掘机司机</w:t>
            </w:r>
          </w:p>
        </w:tc>
        <w:tc>
          <w:tcPr>
            <w:tcW w:w="464" w:type="pct"/>
            <w:noWrap/>
            <w:vAlign w:val="center"/>
          </w:tcPr>
          <w:p w14:paraId="13AF856E">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373" w:type="pct"/>
            <w:vAlign w:val="center"/>
          </w:tcPr>
          <w:p w14:paraId="4F9E967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11FF345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9" w:type="pct"/>
            <w:vAlign w:val="center"/>
          </w:tcPr>
          <w:p w14:paraId="0687B0A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1E91596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495B9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5AFBF32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474" w:type="pct"/>
            <w:noWrap/>
            <w:vAlign w:val="center"/>
          </w:tcPr>
          <w:p w14:paraId="0EAD4099">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自卸汽车司机</w:t>
            </w:r>
          </w:p>
        </w:tc>
        <w:tc>
          <w:tcPr>
            <w:tcW w:w="464" w:type="pct"/>
            <w:noWrap/>
            <w:vAlign w:val="center"/>
          </w:tcPr>
          <w:p w14:paraId="2793DDFD">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373" w:type="pct"/>
            <w:vAlign w:val="center"/>
          </w:tcPr>
          <w:p w14:paraId="6EB7F36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22025F2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9" w:type="pct"/>
            <w:vAlign w:val="center"/>
          </w:tcPr>
          <w:p w14:paraId="5008809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713996D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64FD64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5A986C7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1474" w:type="pct"/>
            <w:noWrap/>
            <w:vAlign w:val="center"/>
          </w:tcPr>
          <w:p w14:paraId="248572A9">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装载机司机</w:t>
            </w:r>
          </w:p>
        </w:tc>
        <w:tc>
          <w:tcPr>
            <w:tcW w:w="464" w:type="pct"/>
            <w:noWrap/>
            <w:vAlign w:val="center"/>
          </w:tcPr>
          <w:p w14:paraId="2E8C930A">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373" w:type="pct"/>
            <w:vAlign w:val="center"/>
          </w:tcPr>
          <w:p w14:paraId="61F1B1B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103B6D1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9" w:type="pct"/>
            <w:vAlign w:val="center"/>
          </w:tcPr>
          <w:p w14:paraId="52D5846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6445CE0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246D9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6810847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1474" w:type="pct"/>
            <w:noWrap/>
            <w:vAlign w:val="center"/>
          </w:tcPr>
          <w:p w14:paraId="5CB645A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钻机工</w:t>
            </w:r>
          </w:p>
        </w:tc>
        <w:tc>
          <w:tcPr>
            <w:tcW w:w="464" w:type="pct"/>
            <w:noWrap/>
            <w:vAlign w:val="center"/>
          </w:tcPr>
          <w:p w14:paraId="579A3C7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373" w:type="pct"/>
            <w:vAlign w:val="center"/>
          </w:tcPr>
          <w:p w14:paraId="530F1259">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043FCE1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1ED2994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104E3C5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42F6A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1AE2C8C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1474" w:type="pct"/>
            <w:noWrap/>
            <w:vAlign w:val="center"/>
          </w:tcPr>
          <w:p w14:paraId="093D24D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爆破工</w:t>
            </w:r>
          </w:p>
        </w:tc>
        <w:tc>
          <w:tcPr>
            <w:tcW w:w="464" w:type="pct"/>
            <w:noWrap/>
            <w:vAlign w:val="center"/>
          </w:tcPr>
          <w:p w14:paraId="09BB9FA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vAlign w:val="center"/>
          </w:tcPr>
          <w:p w14:paraId="7DE7B48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3D06C05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9" w:type="pct"/>
            <w:vAlign w:val="center"/>
          </w:tcPr>
          <w:p w14:paraId="470CD2B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51FBC66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CD19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0B97A7EC">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二</w:t>
            </w:r>
          </w:p>
        </w:tc>
        <w:tc>
          <w:tcPr>
            <w:tcW w:w="1474" w:type="pct"/>
            <w:noWrap/>
            <w:vAlign w:val="center"/>
          </w:tcPr>
          <w:p w14:paraId="5411CABF">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破碎加工工区</w:t>
            </w:r>
          </w:p>
        </w:tc>
        <w:tc>
          <w:tcPr>
            <w:tcW w:w="464" w:type="pct"/>
            <w:noWrap/>
            <w:vAlign w:val="center"/>
          </w:tcPr>
          <w:p w14:paraId="499BDC33">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4</w:t>
            </w:r>
          </w:p>
        </w:tc>
        <w:tc>
          <w:tcPr>
            <w:tcW w:w="373" w:type="pct"/>
            <w:noWrap/>
            <w:vAlign w:val="center"/>
          </w:tcPr>
          <w:p w14:paraId="7B5B700F">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c>
          <w:tcPr>
            <w:tcW w:w="521" w:type="pct"/>
            <w:vAlign w:val="center"/>
          </w:tcPr>
          <w:p w14:paraId="7DE6DFFD">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2</w:t>
            </w:r>
          </w:p>
        </w:tc>
        <w:tc>
          <w:tcPr>
            <w:tcW w:w="429" w:type="pct"/>
            <w:vAlign w:val="center"/>
          </w:tcPr>
          <w:p w14:paraId="1D2BE685">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6</w:t>
            </w:r>
          </w:p>
        </w:tc>
        <w:tc>
          <w:tcPr>
            <w:tcW w:w="1343" w:type="pct"/>
            <w:vAlign w:val="center"/>
          </w:tcPr>
          <w:p w14:paraId="38374EAA">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r>
      <w:tr w14:paraId="226DB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50395D3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474" w:type="pct"/>
            <w:noWrap/>
            <w:vAlign w:val="center"/>
          </w:tcPr>
          <w:p w14:paraId="43B9D61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破碎生产线工人</w:t>
            </w:r>
          </w:p>
        </w:tc>
        <w:tc>
          <w:tcPr>
            <w:tcW w:w="464" w:type="pct"/>
            <w:noWrap/>
            <w:vAlign w:val="center"/>
          </w:tcPr>
          <w:p w14:paraId="4B579C7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373" w:type="pct"/>
            <w:noWrap/>
            <w:vAlign w:val="center"/>
          </w:tcPr>
          <w:p w14:paraId="7B19F56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2DE7E2B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9" w:type="pct"/>
            <w:vAlign w:val="center"/>
          </w:tcPr>
          <w:p w14:paraId="33F10A7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412ACFA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BE53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651B24D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474" w:type="pct"/>
            <w:noWrap/>
            <w:vAlign w:val="center"/>
          </w:tcPr>
          <w:p w14:paraId="5D60D2C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装载机司机</w:t>
            </w:r>
          </w:p>
        </w:tc>
        <w:tc>
          <w:tcPr>
            <w:tcW w:w="464" w:type="pct"/>
            <w:noWrap/>
            <w:vAlign w:val="center"/>
          </w:tcPr>
          <w:p w14:paraId="6682D62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445DDF3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604A4841">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9" w:type="pct"/>
            <w:vAlign w:val="center"/>
          </w:tcPr>
          <w:p w14:paraId="1CC2D3A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793FB3E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46F75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42A62FB0">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三</w:t>
            </w:r>
          </w:p>
        </w:tc>
        <w:tc>
          <w:tcPr>
            <w:tcW w:w="1474" w:type="pct"/>
            <w:noWrap/>
            <w:vAlign w:val="center"/>
          </w:tcPr>
          <w:p w14:paraId="7C804DE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辅助人员</w:t>
            </w:r>
          </w:p>
        </w:tc>
        <w:tc>
          <w:tcPr>
            <w:tcW w:w="464" w:type="pct"/>
            <w:noWrap/>
            <w:vAlign w:val="center"/>
          </w:tcPr>
          <w:p w14:paraId="61395E0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3</w:t>
            </w:r>
          </w:p>
        </w:tc>
        <w:tc>
          <w:tcPr>
            <w:tcW w:w="373" w:type="pct"/>
            <w:noWrap/>
            <w:vAlign w:val="center"/>
          </w:tcPr>
          <w:p w14:paraId="70D8F48D">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c>
          <w:tcPr>
            <w:tcW w:w="521" w:type="pct"/>
            <w:vAlign w:val="center"/>
          </w:tcPr>
          <w:p w14:paraId="4E2AC66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c>
          <w:tcPr>
            <w:tcW w:w="429" w:type="pct"/>
            <w:vAlign w:val="center"/>
          </w:tcPr>
          <w:p w14:paraId="5A0A169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3</w:t>
            </w:r>
          </w:p>
        </w:tc>
        <w:tc>
          <w:tcPr>
            <w:tcW w:w="1343" w:type="pct"/>
            <w:vAlign w:val="center"/>
          </w:tcPr>
          <w:p w14:paraId="50116909">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r>
      <w:tr w14:paraId="37040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18F9477C">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474" w:type="pct"/>
            <w:noWrap/>
            <w:vAlign w:val="center"/>
          </w:tcPr>
          <w:p w14:paraId="2E382CB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调度工</w:t>
            </w:r>
          </w:p>
        </w:tc>
        <w:tc>
          <w:tcPr>
            <w:tcW w:w="464" w:type="pct"/>
            <w:noWrap/>
            <w:vAlign w:val="center"/>
          </w:tcPr>
          <w:p w14:paraId="3C17A1E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71AACA58">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40219159">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62D1D51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26E840A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596A89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3023179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474" w:type="pct"/>
            <w:noWrap/>
            <w:vAlign w:val="center"/>
          </w:tcPr>
          <w:p w14:paraId="4D4BB7C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材料仓库</w:t>
            </w:r>
          </w:p>
        </w:tc>
        <w:tc>
          <w:tcPr>
            <w:tcW w:w="464" w:type="pct"/>
            <w:noWrap/>
            <w:vAlign w:val="center"/>
          </w:tcPr>
          <w:p w14:paraId="6CD5CCD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612050D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2FCAF26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17C1EACE">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055999B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C2CC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6726D7D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1474" w:type="pct"/>
            <w:noWrap/>
            <w:vAlign w:val="center"/>
          </w:tcPr>
          <w:p w14:paraId="58322FC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后勤</w:t>
            </w:r>
          </w:p>
        </w:tc>
        <w:tc>
          <w:tcPr>
            <w:tcW w:w="464" w:type="pct"/>
            <w:noWrap/>
            <w:vAlign w:val="center"/>
          </w:tcPr>
          <w:p w14:paraId="185F269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1557D45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65798F2D">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0376AA7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7A752C2D">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BFAB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5C1A183D">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四</w:t>
            </w:r>
          </w:p>
        </w:tc>
        <w:tc>
          <w:tcPr>
            <w:tcW w:w="1474" w:type="pct"/>
            <w:noWrap/>
            <w:vAlign w:val="center"/>
          </w:tcPr>
          <w:p w14:paraId="7020D192">
            <w:pPr>
              <w:widowControl/>
              <w:spacing w:line="240" w:lineRule="auto"/>
              <w:ind w:firstLine="0" w:firstLineChars="0"/>
              <w:jc w:val="center"/>
              <w:textAlignment w:val="bottom"/>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kern w:val="0"/>
                <w:sz w:val="20"/>
                <w:szCs w:val="20"/>
                <w14:textFill>
                  <w14:solidFill>
                    <w14:schemeClr w14:val="tx1"/>
                  </w14:solidFill>
                </w14:textFill>
              </w:rPr>
              <w:t>生产技术科</w:t>
            </w:r>
          </w:p>
        </w:tc>
        <w:tc>
          <w:tcPr>
            <w:tcW w:w="464" w:type="pct"/>
            <w:noWrap/>
            <w:vAlign w:val="center"/>
          </w:tcPr>
          <w:p w14:paraId="3614C015">
            <w:pPr>
              <w:widowControl/>
              <w:spacing w:line="240" w:lineRule="auto"/>
              <w:ind w:firstLine="0" w:firstLineChars="0"/>
              <w:jc w:val="center"/>
              <w:textAlignment w:val="bottom"/>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4</w:t>
            </w:r>
          </w:p>
        </w:tc>
        <w:tc>
          <w:tcPr>
            <w:tcW w:w="373" w:type="pct"/>
            <w:noWrap/>
            <w:vAlign w:val="center"/>
          </w:tcPr>
          <w:p w14:paraId="5519AAC9">
            <w:pPr>
              <w:widowControl/>
              <w:spacing w:line="240" w:lineRule="auto"/>
              <w:ind w:firstLine="0" w:firstLineChars="0"/>
              <w:jc w:val="center"/>
              <w:textAlignment w:val="bottom"/>
              <w:rPr>
                <w:rFonts w:hint="eastAsia" w:ascii="宋体" w:hAnsi="宋体" w:cs="宋体"/>
                <w:b/>
                <w:color w:val="000000" w:themeColor="text1"/>
                <w:sz w:val="20"/>
                <w:szCs w:val="20"/>
                <w14:textFill>
                  <w14:solidFill>
                    <w14:schemeClr w14:val="tx1"/>
                  </w14:solidFill>
                </w14:textFill>
              </w:rPr>
            </w:pPr>
          </w:p>
        </w:tc>
        <w:tc>
          <w:tcPr>
            <w:tcW w:w="521" w:type="pct"/>
            <w:vAlign w:val="center"/>
          </w:tcPr>
          <w:p w14:paraId="54B9D3F5">
            <w:pPr>
              <w:widowControl/>
              <w:spacing w:line="240" w:lineRule="auto"/>
              <w:ind w:firstLine="0" w:firstLineChars="0"/>
              <w:jc w:val="center"/>
              <w:textAlignment w:val="bottom"/>
              <w:rPr>
                <w:rFonts w:hint="eastAsia" w:ascii="宋体" w:hAnsi="宋体" w:cs="宋体"/>
                <w:b/>
                <w:color w:val="000000" w:themeColor="text1"/>
                <w:sz w:val="20"/>
                <w:szCs w:val="20"/>
                <w14:textFill>
                  <w14:solidFill>
                    <w14:schemeClr w14:val="tx1"/>
                  </w14:solidFill>
                </w14:textFill>
              </w:rPr>
            </w:pPr>
          </w:p>
        </w:tc>
        <w:tc>
          <w:tcPr>
            <w:tcW w:w="429" w:type="pct"/>
            <w:vAlign w:val="center"/>
          </w:tcPr>
          <w:p w14:paraId="78055044">
            <w:pPr>
              <w:widowControl/>
              <w:spacing w:line="240" w:lineRule="auto"/>
              <w:ind w:firstLine="0" w:firstLineChars="0"/>
              <w:jc w:val="center"/>
              <w:textAlignment w:val="bottom"/>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kern w:val="0"/>
                <w:sz w:val="20"/>
                <w:szCs w:val="20"/>
                <w14:textFill>
                  <w14:solidFill>
                    <w14:schemeClr w14:val="tx1"/>
                  </w14:solidFill>
                </w14:textFill>
              </w:rPr>
              <w:t>4</w:t>
            </w:r>
          </w:p>
        </w:tc>
        <w:tc>
          <w:tcPr>
            <w:tcW w:w="1343" w:type="pct"/>
            <w:vAlign w:val="center"/>
          </w:tcPr>
          <w:p w14:paraId="7EE540FA">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r>
      <w:tr w14:paraId="5181F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1C1E3500">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474" w:type="pct"/>
            <w:noWrap/>
            <w:vAlign w:val="center"/>
          </w:tcPr>
          <w:p w14:paraId="4DE3F034">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采矿</w:t>
            </w:r>
          </w:p>
        </w:tc>
        <w:tc>
          <w:tcPr>
            <w:tcW w:w="464" w:type="pct"/>
            <w:noWrap/>
            <w:vAlign w:val="center"/>
          </w:tcPr>
          <w:p w14:paraId="3C82E55D">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373" w:type="pct"/>
            <w:noWrap/>
            <w:vAlign w:val="center"/>
          </w:tcPr>
          <w:p w14:paraId="04A5FEE6">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6F30766C">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313C0845">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6715FC6E">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4348F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03243495">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474" w:type="pct"/>
            <w:noWrap/>
            <w:vAlign w:val="center"/>
          </w:tcPr>
          <w:p w14:paraId="1F01EB15">
            <w:pPr>
              <w:widowControl/>
              <w:spacing w:line="240" w:lineRule="auto"/>
              <w:ind w:firstLine="0" w:firstLineChars="0"/>
              <w:jc w:val="center"/>
              <w:textAlignment w:val="bottom"/>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矿山地质</w:t>
            </w:r>
          </w:p>
        </w:tc>
        <w:tc>
          <w:tcPr>
            <w:tcW w:w="464" w:type="pct"/>
            <w:noWrap/>
            <w:vAlign w:val="center"/>
          </w:tcPr>
          <w:p w14:paraId="27A44BE4">
            <w:pPr>
              <w:widowControl/>
              <w:spacing w:line="240" w:lineRule="auto"/>
              <w:ind w:firstLine="0" w:firstLineChars="0"/>
              <w:jc w:val="center"/>
              <w:textAlignment w:val="bottom"/>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373" w:type="pct"/>
            <w:noWrap/>
            <w:vAlign w:val="center"/>
          </w:tcPr>
          <w:p w14:paraId="65002A57">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52653481">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0F9C1E18">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733B4167">
            <w:pPr>
              <w:widowControl/>
              <w:spacing w:line="240" w:lineRule="auto"/>
              <w:ind w:firstLine="0" w:firstLineChars="0"/>
              <w:jc w:val="center"/>
              <w:rPr>
                <w:rFonts w:hint="eastAsia" w:ascii="宋体" w:hAnsi="宋体" w:cs="宋体"/>
                <w:color w:val="000000" w:themeColor="text1"/>
                <w:spacing w:val="-4"/>
                <w:sz w:val="20"/>
                <w:szCs w:val="20"/>
                <w14:textFill>
                  <w14:solidFill>
                    <w14:schemeClr w14:val="tx1"/>
                  </w14:solidFill>
                </w14:textFill>
              </w:rPr>
            </w:pPr>
          </w:p>
        </w:tc>
      </w:tr>
      <w:tr w14:paraId="41D45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6281D802">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1474" w:type="pct"/>
            <w:noWrap/>
            <w:vAlign w:val="center"/>
          </w:tcPr>
          <w:p w14:paraId="2A48BF9C">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地形测量</w:t>
            </w:r>
          </w:p>
        </w:tc>
        <w:tc>
          <w:tcPr>
            <w:tcW w:w="464" w:type="pct"/>
            <w:noWrap/>
            <w:vAlign w:val="center"/>
          </w:tcPr>
          <w:p w14:paraId="43EB9951">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373" w:type="pct"/>
            <w:noWrap/>
            <w:vAlign w:val="center"/>
          </w:tcPr>
          <w:p w14:paraId="40658381">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1172C5DB">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7B1D1BCD">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26C07EFC">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B2F5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0A57B143">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1474" w:type="pct"/>
            <w:noWrap/>
            <w:vAlign w:val="center"/>
          </w:tcPr>
          <w:p w14:paraId="61381C59">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机电、给排水</w:t>
            </w:r>
          </w:p>
        </w:tc>
        <w:tc>
          <w:tcPr>
            <w:tcW w:w="464" w:type="pct"/>
            <w:noWrap/>
            <w:vAlign w:val="center"/>
          </w:tcPr>
          <w:p w14:paraId="40A46756">
            <w:pPr>
              <w:widowControl/>
              <w:spacing w:line="240" w:lineRule="auto"/>
              <w:ind w:firstLine="0" w:firstLineChars="0"/>
              <w:jc w:val="center"/>
              <w:textAlignment w:val="bottom"/>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373" w:type="pct"/>
            <w:noWrap/>
            <w:vAlign w:val="center"/>
          </w:tcPr>
          <w:p w14:paraId="7E1D2262">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3EBD0921">
            <w:pPr>
              <w:widowControl/>
              <w:spacing w:line="240" w:lineRule="auto"/>
              <w:ind w:firstLine="0" w:firstLineChars="0"/>
              <w:jc w:val="center"/>
              <w:textAlignment w:val="bottom"/>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751416D2">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1EBC5C58">
            <w:pPr>
              <w:widowControl/>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687D0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2351FFB5">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五</w:t>
            </w:r>
          </w:p>
        </w:tc>
        <w:tc>
          <w:tcPr>
            <w:tcW w:w="1474" w:type="pct"/>
            <w:noWrap/>
            <w:vAlign w:val="center"/>
          </w:tcPr>
          <w:p w14:paraId="1BCB7914">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矿办</w:t>
            </w:r>
          </w:p>
        </w:tc>
        <w:tc>
          <w:tcPr>
            <w:tcW w:w="464" w:type="pct"/>
            <w:noWrap/>
            <w:vAlign w:val="center"/>
          </w:tcPr>
          <w:p w14:paraId="67F0C230">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3</w:t>
            </w:r>
          </w:p>
        </w:tc>
        <w:tc>
          <w:tcPr>
            <w:tcW w:w="373" w:type="pct"/>
            <w:noWrap/>
            <w:vAlign w:val="center"/>
          </w:tcPr>
          <w:p w14:paraId="1A56A80C">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c>
          <w:tcPr>
            <w:tcW w:w="521" w:type="pct"/>
            <w:vAlign w:val="center"/>
          </w:tcPr>
          <w:p w14:paraId="09798A7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1</w:t>
            </w:r>
          </w:p>
        </w:tc>
        <w:tc>
          <w:tcPr>
            <w:tcW w:w="429" w:type="pct"/>
            <w:vAlign w:val="center"/>
          </w:tcPr>
          <w:p w14:paraId="16C189E4">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4</w:t>
            </w:r>
          </w:p>
        </w:tc>
        <w:tc>
          <w:tcPr>
            <w:tcW w:w="1343" w:type="pct"/>
            <w:vAlign w:val="center"/>
          </w:tcPr>
          <w:p w14:paraId="19D3AC13">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r>
      <w:tr w14:paraId="33B9D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1FF0C05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474" w:type="pct"/>
            <w:noWrap/>
            <w:vAlign w:val="center"/>
          </w:tcPr>
          <w:p w14:paraId="720F03D8">
            <w:pPr>
              <w:widowControl/>
              <w:spacing w:line="240" w:lineRule="auto"/>
              <w:ind w:firstLine="0" w:firstLineChars="0"/>
              <w:jc w:val="center"/>
              <w:textAlignment w:val="bottom"/>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矿长兼总经理</w:t>
            </w:r>
          </w:p>
        </w:tc>
        <w:tc>
          <w:tcPr>
            <w:tcW w:w="464" w:type="pct"/>
            <w:noWrap/>
            <w:vAlign w:val="center"/>
          </w:tcPr>
          <w:p w14:paraId="4513718D">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15F8004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662F2CE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3ADBACC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18814ED4">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51BC8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7B3BFD8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474" w:type="pct"/>
            <w:noWrap/>
            <w:vAlign w:val="center"/>
          </w:tcPr>
          <w:p w14:paraId="477AC1BF">
            <w:pPr>
              <w:widowControl/>
              <w:spacing w:line="240" w:lineRule="auto"/>
              <w:ind w:firstLine="0" w:firstLineChars="0"/>
              <w:jc w:val="center"/>
              <w:textAlignment w:val="bottom"/>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副矿长</w:t>
            </w:r>
          </w:p>
        </w:tc>
        <w:tc>
          <w:tcPr>
            <w:tcW w:w="464" w:type="pct"/>
            <w:noWrap/>
            <w:vAlign w:val="center"/>
          </w:tcPr>
          <w:p w14:paraId="4B6786CA">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5DAADB6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7EAF1CE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1EF5F0F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5C29FC2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2E2F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48FC07D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1474" w:type="pct"/>
            <w:noWrap/>
            <w:vAlign w:val="center"/>
          </w:tcPr>
          <w:p w14:paraId="07C6E06A">
            <w:pPr>
              <w:widowControl/>
              <w:spacing w:line="240" w:lineRule="auto"/>
              <w:ind w:firstLine="0" w:firstLineChars="0"/>
              <w:jc w:val="center"/>
              <w:textAlignment w:val="bottom"/>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专职安全生产管理人员</w:t>
            </w:r>
          </w:p>
        </w:tc>
        <w:tc>
          <w:tcPr>
            <w:tcW w:w="464" w:type="pct"/>
            <w:noWrap/>
            <w:vAlign w:val="center"/>
          </w:tcPr>
          <w:p w14:paraId="739BF349">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373" w:type="pct"/>
            <w:noWrap/>
            <w:vAlign w:val="center"/>
          </w:tcPr>
          <w:p w14:paraId="40D11AE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521" w:type="pct"/>
            <w:vAlign w:val="center"/>
          </w:tcPr>
          <w:p w14:paraId="3100D7D2">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429" w:type="pct"/>
            <w:vAlign w:val="center"/>
          </w:tcPr>
          <w:p w14:paraId="086461F8">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343" w:type="pct"/>
            <w:vAlign w:val="center"/>
          </w:tcPr>
          <w:p w14:paraId="0E0F0FEF">
            <w:pPr>
              <w:spacing w:line="240" w:lineRule="auto"/>
              <w:ind w:firstLine="0" w:firstLineChars="0"/>
              <w:jc w:val="center"/>
              <w:rPr>
                <w:rFonts w:hint="eastAsia" w:ascii="宋体" w:hAnsi="宋体" w:cs="宋体"/>
                <w:color w:val="000000" w:themeColor="text1"/>
                <w:spacing w:val="-4"/>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要求至少1人注册安全工程师</w:t>
            </w:r>
          </w:p>
        </w:tc>
      </w:tr>
      <w:tr w14:paraId="2E345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108" w:type="dxa"/>
            <w:bottom w:w="6" w:type="dxa"/>
            <w:right w:w="108" w:type="dxa"/>
          </w:tblCellMar>
        </w:tblPrEx>
        <w:trPr>
          <w:jc w:val="center"/>
        </w:trPr>
        <w:tc>
          <w:tcPr>
            <w:tcW w:w="392" w:type="pct"/>
            <w:noWrap/>
            <w:vAlign w:val="center"/>
          </w:tcPr>
          <w:p w14:paraId="082D7709">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474" w:type="pct"/>
            <w:noWrap/>
            <w:vAlign w:val="center"/>
          </w:tcPr>
          <w:p w14:paraId="533C53BC">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合 计</w:t>
            </w:r>
          </w:p>
        </w:tc>
        <w:tc>
          <w:tcPr>
            <w:tcW w:w="464" w:type="pct"/>
            <w:noWrap/>
            <w:vAlign w:val="center"/>
          </w:tcPr>
          <w:p w14:paraId="4C65275E">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27</w:t>
            </w:r>
          </w:p>
        </w:tc>
        <w:tc>
          <w:tcPr>
            <w:tcW w:w="373" w:type="pct"/>
            <w:noWrap/>
            <w:vAlign w:val="center"/>
          </w:tcPr>
          <w:p w14:paraId="5FA41358">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c>
          <w:tcPr>
            <w:tcW w:w="521" w:type="pct"/>
            <w:vAlign w:val="center"/>
          </w:tcPr>
          <w:p w14:paraId="3486FAC6">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7</w:t>
            </w:r>
          </w:p>
        </w:tc>
        <w:tc>
          <w:tcPr>
            <w:tcW w:w="429" w:type="pct"/>
            <w:vAlign w:val="center"/>
          </w:tcPr>
          <w:p w14:paraId="394F55AC">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34</w:t>
            </w:r>
          </w:p>
        </w:tc>
        <w:tc>
          <w:tcPr>
            <w:tcW w:w="1343" w:type="pct"/>
            <w:vAlign w:val="center"/>
          </w:tcPr>
          <w:p w14:paraId="339675DC">
            <w:pPr>
              <w:spacing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p>
        </w:tc>
      </w:tr>
    </w:tbl>
    <w:p w14:paraId="285214C6">
      <w:pPr>
        <w:pStyle w:val="5"/>
        <w:spacing w:after="120"/>
        <w:rPr>
          <w:color w:val="000000" w:themeColor="text1"/>
          <w14:textFill>
            <w14:solidFill>
              <w14:schemeClr w14:val="tx1"/>
            </w14:solidFill>
          </w14:textFill>
        </w:rPr>
      </w:pPr>
      <w:bookmarkStart w:id="1783" w:name="_Toc215070228"/>
      <w:r>
        <w:rPr>
          <w:rFonts w:hint="eastAsia"/>
          <w:color w:val="000000" w:themeColor="text1"/>
          <w14:textFill>
            <w14:solidFill>
              <w14:schemeClr w14:val="tx1"/>
            </w14:solidFill>
          </w14:textFill>
        </w:rPr>
        <w:t>2.5.4</w:t>
      </w:r>
      <w:r>
        <w:rPr>
          <w:color w:val="000000" w:themeColor="text1"/>
          <w14:textFill>
            <w14:solidFill>
              <w14:schemeClr w14:val="tx1"/>
            </w14:solidFill>
          </w14:textFill>
        </w:rPr>
        <w:t>劳动生产率</w:t>
      </w:r>
      <w:r>
        <w:rPr>
          <w:rFonts w:hint="eastAsia"/>
          <w:color w:val="000000" w:themeColor="text1"/>
          <w14:textFill>
            <w14:solidFill>
              <w14:schemeClr w14:val="tx1"/>
            </w14:solidFill>
          </w14:textFill>
        </w:rPr>
        <w:t>计算</w:t>
      </w:r>
      <w:bookmarkEnd w:id="1775"/>
      <w:bookmarkEnd w:id="1776"/>
      <w:bookmarkEnd w:id="1777"/>
      <w:bookmarkEnd w:id="1778"/>
      <w:bookmarkEnd w:id="1779"/>
      <w:bookmarkEnd w:id="1780"/>
      <w:bookmarkEnd w:id="1781"/>
      <w:bookmarkEnd w:id="1782"/>
      <w:bookmarkEnd w:id="1783"/>
    </w:p>
    <w:p w14:paraId="6FF3AB32">
      <w:pPr>
        <w:pStyle w:val="18"/>
        <w:adjustRightInd w:val="0"/>
        <w:snapToGrid w:val="0"/>
        <w:ind w:firstLine="420" w:firstLineChars="150"/>
        <w:jc w:val="both"/>
        <w:rPr>
          <w:color w:val="000000" w:themeColor="text1"/>
          <w:szCs w:val="28"/>
          <w:lang w:val="zh-TW" w:eastAsia="zh-TW"/>
          <w14:textFill>
            <w14:solidFill>
              <w14:schemeClr w14:val="tx1"/>
            </w14:solidFill>
          </w14:textFill>
        </w:rPr>
      </w:pPr>
      <w:r>
        <w:rPr>
          <w:color w:val="000000" w:themeColor="text1"/>
          <w:szCs w:val="28"/>
          <w14:textFill>
            <w14:solidFill>
              <w14:schemeClr w14:val="tx1"/>
            </w14:solidFill>
          </w14:textFill>
        </w:rPr>
        <w:t>生产工人工资及福利费按年薪</w:t>
      </w: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0000.00元/年·人计，管理技术人员工资及福利费按年薪</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0000.00元/年·人计</w:t>
      </w:r>
      <w:r>
        <w:rPr>
          <w:color w:val="000000" w:themeColor="text1"/>
          <w:szCs w:val="28"/>
          <w:lang w:val="zh-TW" w:eastAsia="zh-TW"/>
          <w14:textFill>
            <w14:solidFill>
              <w14:schemeClr w14:val="tx1"/>
            </w14:solidFill>
          </w14:textFill>
        </w:rPr>
        <w:t>。全员工资总额为</w:t>
      </w:r>
      <w:r>
        <w:rPr>
          <w:rFonts w:hint="eastAsia"/>
          <w:color w:val="000000" w:themeColor="text1"/>
          <w14:textFill>
            <w14:solidFill>
              <w14:schemeClr w14:val="tx1"/>
            </w14:solidFill>
          </w14:textFill>
        </w:rPr>
        <w:t>99.84</w:t>
      </w:r>
      <w:r>
        <w:rPr>
          <w:color w:val="000000" w:themeColor="text1"/>
          <w:szCs w:val="28"/>
          <w:lang w:val="zh-TW" w:eastAsia="zh-TW"/>
          <w14:textFill>
            <w14:solidFill>
              <w14:schemeClr w14:val="tx1"/>
            </w14:solidFill>
          </w14:textFill>
        </w:rPr>
        <w:t>万元/a。</w:t>
      </w:r>
    </w:p>
    <w:p w14:paraId="71FB9100">
      <w:pPr>
        <w:adjustRightInd w:val="0"/>
        <w:snapToGrid w:val="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工人实物劳动生产率：</w:t>
      </w:r>
    </w:p>
    <w:p w14:paraId="5AF6A64F">
      <w:pPr>
        <w:ind w:firstLine="560"/>
        <w:rPr>
          <w:color w:val="000000" w:themeColor="text1"/>
          <w:szCs w:val="28"/>
          <w14:textFill>
            <w14:solidFill>
              <w14:schemeClr w14:val="tx1"/>
            </w14:solidFill>
          </w14:textFill>
        </w:rPr>
      </w:pPr>
      <w:r>
        <w:rPr>
          <w:color w:val="000000" w:themeColor="text1"/>
          <w14:textFill>
            <w14:solidFill>
              <w14:schemeClr w14:val="tx1"/>
            </w14:solidFill>
          </w14:textFill>
        </w:rPr>
        <w:t>500000÷</w:t>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19230.77</w:t>
      </w:r>
      <w:r>
        <w:rPr>
          <w:color w:val="000000" w:themeColor="text1"/>
          <w14:textFill>
            <w14:solidFill>
              <w14:schemeClr w14:val="tx1"/>
            </w14:solidFill>
          </w14:textFill>
        </w:rPr>
        <w:t>（t/人•a）=</w:t>
      </w:r>
      <w:r>
        <w:rPr>
          <w:rFonts w:hint="eastAsia"/>
          <w:color w:val="000000" w:themeColor="text1"/>
          <w14:textFill>
            <w14:solidFill>
              <w14:schemeClr w14:val="tx1"/>
            </w14:solidFill>
          </w14:textFill>
        </w:rPr>
        <w:t>64.10</w:t>
      </w:r>
      <w:r>
        <w:rPr>
          <w:color w:val="000000" w:themeColor="text1"/>
          <w:szCs w:val="28"/>
          <w14:textFill>
            <w14:solidFill>
              <w14:schemeClr w14:val="tx1"/>
            </w14:solidFill>
          </w14:textFill>
        </w:rPr>
        <w:t>（t/人•天）。</w:t>
      </w:r>
    </w:p>
    <w:p w14:paraId="43570189">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全员实物生产率：</w:t>
      </w:r>
    </w:p>
    <w:p w14:paraId="7BE2C0A1">
      <w:pPr>
        <w:ind w:firstLine="560"/>
        <w:rPr>
          <w:color w:val="000000" w:themeColor="text1"/>
          <w:szCs w:val="28"/>
          <w14:textFill>
            <w14:solidFill>
              <w14:schemeClr w14:val="tx1"/>
            </w14:solidFill>
          </w14:textFill>
        </w:rPr>
      </w:pPr>
      <w:r>
        <w:rPr>
          <w:color w:val="000000" w:themeColor="text1"/>
          <w14:textFill>
            <w14:solidFill>
              <w14:schemeClr w14:val="tx1"/>
            </w14:solidFill>
          </w14:textFill>
        </w:rPr>
        <w:t>500000÷</w:t>
      </w:r>
      <w:r>
        <w:rPr>
          <w:rFonts w:hint="eastAsia"/>
          <w:color w:val="000000" w:themeColor="text1"/>
          <w14:textFill>
            <w14:solidFill>
              <w14:schemeClr w14:val="tx1"/>
            </w14:solidFill>
          </w14:textFill>
        </w:rPr>
        <w:t>34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14705.88</w:t>
      </w:r>
      <w:r>
        <w:rPr>
          <w:color w:val="000000" w:themeColor="text1"/>
          <w14:textFill>
            <w14:solidFill>
              <w14:schemeClr w14:val="tx1"/>
            </w14:solidFill>
          </w14:textFill>
        </w:rPr>
        <w:t>（ t/人•a）=</w:t>
      </w:r>
      <w:r>
        <w:rPr>
          <w:rFonts w:hint="eastAsia"/>
          <w:color w:val="000000" w:themeColor="text1"/>
          <w14:textFill>
            <w14:solidFill>
              <w14:schemeClr w14:val="tx1"/>
            </w14:solidFill>
          </w14:textFill>
        </w:rPr>
        <w:t>49.01</w:t>
      </w:r>
      <w:r>
        <w:rPr>
          <w:color w:val="000000" w:themeColor="text1"/>
          <w:szCs w:val="28"/>
          <w14:textFill>
            <w14:solidFill>
              <w14:schemeClr w14:val="tx1"/>
            </w14:solidFill>
          </w14:textFill>
        </w:rPr>
        <w:t>（t/人•天）。</w:t>
      </w:r>
    </w:p>
    <w:p w14:paraId="4504D4DA">
      <w:pPr>
        <w:pStyle w:val="5"/>
        <w:spacing w:after="120"/>
        <w:rPr>
          <w:color w:val="000000" w:themeColor="text1"/>
          <w14:textFill>
            <w14:solidFill>
              <w14:schemeClr w14:val="tx1"/>
            </w14:solidFill>
          </w14:textFill>
        </w:rPr>
      </w:pPr>
      <w:bookmarkStart w:id="1784" w:name="_Toc21778"/>
      <w:bookmarkStart w:id="1785" w:name="_Toc9319"/>
      <w:bookmarkStart w:id="1786" w:name="_Toc15978"/>
      <w:bookmarkStart w:id="1787" w:name="_Toc10784"/>
      <w:bookmarkStart w:id="1788" w:name="_Toc17077"/>
      <w:bookmarkStart w:id="1789" w:name="_Toc6015"/>
      <w:bookmarkStart w:id="1790" w:name="_Toc27078"/>
      <w:bookmarkStart w:id="1791" w:name="_Toc18515"/>
      <w:bookmarkStart w:id="1792" w:name="_Toc215070229"/>
      <w:r>
        <w:rPr>
          <w:rFonts w:hint="eastAsia"/>
          <w:color w:val="000000" w:themeColor="text1"/>
          <w14:textFill>
            <w14:solidFill>
              <w14:schemeClr w14:val="tx1"/>
            </w14:solidFill>
          </w14:textFill>
        </w:rPr>
        <w:t>2.5.5</w:t>
      </w:r>
      <w:r>
        <w:rPr>
          <w:color w:val="000000" w:themeColor="text1"/>
          <w14:textFill>
            <w14:solidFill>
              <w14:schemeClr w14:val="tx1"/>
            </w14:solidFill>
          </w14:textFill>
        </w:rPr>
        <w:t>职工培训</w:t>
      </w:r>
      <w:bookmarkEnd w:id="1784"/>
      <w:bookmarkEnd w:id="1785"/>
      <w:bookmarkEnd w:id="1786"/>
      <w:bookmarkEnd w:id="1787"/>
      <w:bookmarkEnd w:id="1788"/>
      <w:bookmarkEnd w:id="1789"/>
      <w:bookmarkEnd w:id="1790"/>
      <w:bookmarkEnd w:id="1791"/>
      <w:bookmarkEnd w:id="1792"/>
    </w:p>
    <w:p w14:paraId="65668C7B">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人员培训是为项目顺利投产、达到设计生产能力、发挥投资效益、取得良好经济效果的重要措施，因此要求对所有上岗人员需进行全面培训，向企业提供生产管理和生产操作的合格人员。</w:t>
      </w:r>
    </w:p>
    <w:p w14:paraId="2A2829FE">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培训工作在项目投产前即应开始，对于新进厂生产人员应首先系统学习各种专业理论知识，通过安全教育、操作规程、生产前后环节的协作、联系和事故处理等，</w:t>
      </w:r>
      <w:r>
        <w:rPr>
          <w:rFonts w:hint="eastAsia"/>
          <w:color w:val="000000" w:themeColor="text1"/>
          <w:szCs w:val="28"/>
          <w14:textFill>
            <w14:solidFill>
              <w14:schemeClr w14:val="tx1"/>
            </w14:solidFill>
          </w14:textFill>
        </w:rPr>
        <w:t>并</w:t>
      </w:r>
      <w:r>
        <w:rPr>
          <w:color w:val="000000" w:themeColor="text1"/>
          <w:szCs w:val="28"/>
          <w14:textFill>
            <w14:solidFill>
              <w14:schemeClr w14:val="tx1"/>
            </w14:solidFill>
          </w14:textFill>
        </w:rPr>
        <w:t>进行实际生产操作培训，培训结束后经过严格考核，取得操作合格证后才能上岗操作。</w:t>
      </w:r>
    </w:p>
    <w:p w14:paraId="61DFD0E9">
      <w:pPr>
        <w:pStyle w:val="5"/>
        <w:spacing w:after="120"/>
        <w:rPr>
          <w:color w:val="000000" w:themeColor="text1"/>
          <w14:textFill>
            <w14:solidFill>
              <w14:schemeClr w14:val="tx1"/>
            </w14:solidFill>
          </w14:textFill>
        </w:rPr>
      </w:pPr>
      <w:bookmarkStart w:id="1793" w:name="_Toc29391"/>
      <w:bookmarkStart w:id="1794" w:name="_Toc5453"/>
      <w:bookmarkStart w:id="1795" w:name="_Toc12905"/>
      <w:bookmarkStart w:id="1796" w:name="_Toc7205"/>
      <w:bookmarkStart w:id="1797" w:name="_Toc31102"/>
      <w:bookmarkStart w:id="1798" w:name="_Toc392680693"/>
      <w:bookmarkStart w:id="1799" w:name="_Toc23865"/>
      <w:bookmarkStart w:id="1800" w:name="_Toc29007"/>
      <w:bookmarkStart w:id="1801" w:name="_Toc17510"/>
      <w:bookmarkStart w:id="1802" w:name="_Toc5915"/>
      <w:bookmarkStart w:id="1803" w:name="_Toc4209"/>
      <w:bookmarkStart w:id="1804" w:name="_Toc30603"/>
      <w:bookmarkStart w:id="1805" w:name="_Toc215070230"/>
      <w:bookmarkStart w:id="1806" w:name="_Toc23909"/>
      <w:bookmarkStart w:id="1807" w:name="_Toc24968"/>
      <w:r>
        <w:rPr>
          <w:rFonts w:hint="eastAsia"/>
          <w:color w:val="000000" w:themeColor="text1"/>
          <w14:textFill>
            <w14:solidFill>
              <w14:schemeClr w14:val="tx1"/>
            </w14:solidFill>
          </w14:textFill>
        </w:rPr>
        <w:t>2.5.6安全管理制度</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625E5A1A">
      <w:pPr>
        <w:wordWrap w:val="0"/>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矿山应建立健全相应安全管理制度、安全生产责任制、安全操作规程。并按照《生产经营单位生产安全事故应急预案编制导则》（ GB/T29639 -2020）的要求编制生产安全事故应急预案，通过专家评审，并到当地应急管理局进行备案。并应配置相应的应急救援物资，定期组织进行应急演练。</w:t>
      </w:r>
    </w:p>
    <w:p w14:paraId="58B38105">
      <w:pPr>
        <w:pStyle w:val="5"/>
        <w:spacing w:after="120"/>
        <w:rPr>
          <w:color w:val="000000" w:themeColor="text1"/>
          <w14:textFill>
            <w14:solidFill>
              <w14:schemeClr w14:val="tx1"/>
            </w14:solidFill>
          </w14:textFill>
        </w:rPr>
      </w:pPr>
      <w:bookmarkStart w:id="1808" w:name="_Toc18398"/>
      <w:bookmarkStart w:id="1809" w:name="_Toc1449"/>
      <w:bookmarkStart w:id="1810" w:name="_Toc215070231"/>
      <w:bookmarkStart w:id="1811" w:name="_Toc30361"/>
      <w:bookmarkStart w:id="1812" w:name="_Toc15463"/>
      <w:bookmarkStart w:id="1813" w:name="_Toc13744"/>
      <w:bookmarkStart w:id="1814" w:name="_Toc13061"/>
      <w:bookmarkStart w:id="1815" w:name="_Toc17049"/>
      <w:bookmarkStart w:id="1816" w:name="_Toc27910"/>
      <w:r>
        <w:rPr>
          <w:rFonts w:hint="eastAsia"/>
          <w:color w:val="000000" w:themeColor="text1"/>
          <w14:textFill>
            <w14:solidFill>
              <w14:schemeClr w14:val="tx1"/>
            </w14:solidFill>
          </w14:textFill>
        </w:rPr>
        <w:t>2.5.7工伤保险、安全生产责任险</w:t>
      </w:r>
      <w:bookmarkEnd w:id="1808"/>
      <w:bookmarkEnd w:id="1809"/>
      <w:bookmarkEnd w:id="1810"/>
      <w:bookmarkEnd w:id="1811"/>
      <w:bookmarkEnd w:id="1812"/>
      <w:bookmarkEnd w:id="1813"/>
      <w:bookmarkEnd w:id="1814"/>
      <w:bookmarkEnd w:id="1815"/>
      <w:bookmarkEnd w:id="1816"/>
    </w:p>
    <w:p w14:paraId="79697408">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矿山应为员工缴纳工伤保险，并购买安全生产责任险。</w:t>
      </w:r>
    </w:p>
    <w:p w14:paraId="5D95413A">
      <w:pPr>
        <w:pStyle w:val="5"/>
        <w:spacing w:after="120"/>
        <w:rPr>
          <w:color w:val="000000" w:themeColor="text1"/>
          <w14:textFill>
            <w14:solidFill>
              <w14:schemeClr w14:val="tx1"/>
            </w14:solidFill>
          </w14:textFill>
        </w:rPr>
      </w:pPr>
      <w:bookmarkStart w:id="1817" w:name="_Toc5798"/>
      <w:bookmarkStart w:id="1818" w:name="_Toc215070232"/>
      <w:bookmarkStart w:id="1819" w:name="_Toc18300"/>
      <w:bookmarkStart w:id="1820" w:name="_Toc17689"/>
      <w:bookmarkStart w:id="1821" w:name="_Toc24040"/>
      <w:bookmarkStart w:id="1822" w:name="_Toc10087"/>
      <w:bookmarkStart w:id="1823" w:name="_Toc28072"/>
      <w:bookmarkStart w:id="1824" w:name="_Toc35"/>
      <w:bookmarkStart w:id="1825" w:name="_Toc16806"/>
      <w:bookmarkStart w:id="1826" w:name="_Toc30845"/>
      <w:bookmarkStart w:id="1827" w:name="_Toc7645"/>
      <w:bookmarkStart w:id="1828" w:name="_Toc17638"/>
      <w:bookmarkStart w:id="1829" w:name="_Toc392680694"/>
      <w:bookmarkStart w:id="1830" w:name="_Toc32008"/>
      <w:bookmarkStart w:id="1831" w:name="_Toc6211"/>
      <w:bookmarkStart w:id="1832" w:name="_Toc18998"/>
      <w:r>
        <w:rPr>
          <w:rFonts w:hint="eastAsia"/>
          <w:color w:val="000000" w:themeColor="text1"/>
          <w14:textFill>
            <w14:solidFill>
              <w14:schemeClr w14:val="tx1"/>
            </w14:solidFill>
          </w14:textFill>
        </w:rPr>
        <w:t>2.5.8安全专项投资</w:t>
      </w:r>
      <w:bookmarkEnd w:id="1645"/>
      <w:bookmarkEnd w:id="164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bookmarkEnd w:id="1647"/>
    <w:bookmarkEnd w:id="1648"/>
    <w:bookmarkEnd w:id="1649"/>
    <w:bookmarkEnd w:id="1650"/>
    <w:p w14:paraId="41F444AF">
      <w:pPr>
        <w:ind w:firstLine="560"/>
        <w:rPr>
          <w:color w:val="000000" w:themeColor="text1"/>
          <w14:textFill>
            <w14:solidFill>
              <w14:schemeClr w14:val="tx1"/>
            </w14:solidFill>
          </w14:textFill>
        </w:rPr>
      </w:pPr>
      <w:bookmarkStart w:id="1833" w:name="_Toc12313"/>
      <w:bookmarkStart w:id="1834" w:name="_Toc505"/>
      <w:bookmarkStart w:id="1835" w:name="_Toc30731"/>
      <w:bookmarkStart w:id="1836" w:name="_Toc153698763"/>
      <w:bookmarkStart w:id="1837" w:name="_Toc163831921"/>
      <w:bookmarkStart w:id="1838" w:name="_Toc30019"/>
      <w:bookmarkStart w:id="1839" w:name="_Toc10724"/>
      <w:bookmarkStart w:id="1840" w:name="_Toc6708"/>
      <w:bookmarkStart w:id="1841" w:name="_Toc10621"/>
      <w:bookmarkStart w:id="1842" w:name="_Toc3524"/>
      <w:bookmarkStart w:id="1843" w:name="_Toc392680749"/>
      <w:bookmarkStart w:id="1844" w:name="_Toc137793304"/>
      <w:bookmarkStart w:id="1845" w:name="_Toc140123983"/>
      <w:bookmarkStart w:id="1846" w:name="_Toc105675370"/>
      <w:bookmarkStart w:id="1847" w:name="_Toc105675850"/>
      <w:bookmarkStart w:id="1848" w:name="_Toc105730616"/>
      <w:bookmarkStart w:id="1849" w:name="_Toc105676251"/>
      <w:bookmarkStart w:id="1850" w:name="_Toc17119"/>
      <w:bookmarkStart w:id="1851" w:name="_Toc105730444"/>
      <w:bookmarkStart w:id="1852" w:name="_Toc392680695"/>
      <w:bookmarkStart w:id="1853" w:name="_Toc693"/>
      <w:bookmarkStart w:id="1854" w:name="_Toc140123930"/>
      <w:bookmarkStart w:id="1855" w:name="_Toc105674932"/>
      <w:bookmarkStart w:id="1856" w:name="_Toc31079"/>
      <w:bookmarkStart w:id="1857" w:name="_Toc105676079"/>
      <w:bookmarkStart w:id="1858" w:name="_Toc15390"/>
      <w:bookmarkStart w:id="1859" w:name="_Toc105675599"/>
      <w:bookmarkStart w:id="1860" w:name="_Toc137793212"/>
      <w:r>
        <w:rPr>
          <w:rFonts w:hint="eastAsia"/>
          <w:color w:val="000000" w:themeColor="text1"/>
          <w14:textFill>
            <w14:solidFill>
              <w14:schemeClr w14:val="tx1"/>
            </w14:solidFill>
          </w14:textFill>
        </w:rPr>
        <w:t>1、</w:t>
      </w:r>
      <w:r>
        <w:rPr>
          <w:color w:val="000000" w:themeColor="text1"/>
          <w14:textFill>
            <w14:solidFill>
              <w14:schemeClr w14:val="tx1"/>
            </w14:solidFill>
          </w14:textFill>
        </w:rPr>
        <w:t>安全直接投入</w:t>
      </w:r>
      <w:bookmarkEnd w:id="1833"/>
      <w:bookmarkEnd w:id="1834"/>
      <w:bookmarkEnd w:id="1835"/>
    </w:p>
    <w:p w14:paraId="52FBB5A8">
      <w:pPr>
        <w:ind w:firstLine="560"/>
        <w:rPr>
          <w:color w:val="000000" w:themeColor="text1"/>
          <w14:textFill>
            <w14:solidFill>
              <w14:schemeClr w14:val="tx1"/>
            </w14:solidFill>
          </w14:textFill>
        </w:rPr>
      </w:pPr>
      <w:r>
        <w:rPr>
          <w:color w:val="000000" w:themeColor="text1"/>
          <w:lang w:val="zh-TW" w:eastAsia="zh-TW"/>
          <w14:textFill>
            <w14:solidFill>
              <w14:schemeClr w14:val="tx1"/>
            </w14:solidFill>
          </w14:textFill>
        </w:rPr>
        <w:t>矿山安全直接投资</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4.8</w:t>
      </w:r>
      <w:r>
        <w:rPr>
          <w:color w:val="000000" w:themeColor="text1"/>
          <w:lang w:val="zh-TW" w:eastAsia="zh-TW"/>
          <w14:textFill>
            <w14:solidFill>
              <w14:schemeClr w14:val="tx1"/>
            </w14:solidFill>
          </w14:textFill>
        </w:rPr>
        <w:t>万元，占项目建设投资</w:t>
      </w:r>
      <w:r>
        <w:rPr>
          <w:rFonts w:hint="eastAsia"/>
          <w:color w:val="000000" w:themeColor="text1"/>
          <w14:textFill>
            <w14:solidFill>
              <w14:schemeClr w14:val="tx1"/>
            </w14:solidFill>
          </w14:textFill>
        </w:rPr>
        <w:t>409.65</w:t>
      </w:r>
      <w:r>
        <w:rPr>
          <w:color w:val="000000" w:themeColor="text1"/>
          <w:lang w:val="zh-TW" w:eastAsia="zh-TW"/>
          <w14:textFill>
            <w14:solidFill>
              <w14:schemeClr w14:val="tx1"/>
            </w14:solidFill>
          </w14:textFill>
        </w:rPr>
        <w:t>万元的</w:t>
      </w:r>
      <w:r>
        <w:rPr>
          <w:rFonts w:hint="eastAsia"/>
          <w:color w:val="000000" w:themeColor="text1"/>
          <w14:textFill>
            <w14:solidFill>
              <w14:schemeClr w14:val="tx1"/>
            </w14:solidFill>
          </w14:textFill>
        </w:rPr>
        <w:t>8.4</w:t>
      </w:r>
      <w:r>
        <w:rPr>
          <w:color w:val="000000" w:themeColor="text1"/>
          <w:lang w:val="zh-TW" w:eastAsia="zh-TW"/>
          <w14:textFill>
            <w14:solidFill>
              <w14:schemeClr w14:val="tx1"/>
            </w14:solidFill>
          </w14:textFill>
        </w:rPr>
        <w:t>%，见表</w:t>
      </w:r>
      <w:r>
        <w:rPr>
          <w:rFonts w:hint="eastAsia"/>
          <w:color w:val="000000" w:themeColor="text1"/>
          <w14:textFill>
            <w14:solidFill>
              <w14:schemeClr w14:val="tx1"/>
            </w14:solidFill>
          </w14:textFill>
        </w:rPr>
        <w:t>2.5-2</w:t>
      </w:r>
      <w:r>
        <w:rPr>
          <w:color w:val="000000" w:themeColor="text1"/>
          <w14:textFill>
            <w14:solidFill>
              <w14:schemeClr w14:val="tx1"/>
            </w14:solidFill>
          </w14:textFill>
        </w:rPr>
        <w:t>。</w:t>
      </w:r>
    </w:p>
    <w:p w14:paraId="1D74BDD5">
      <w:pPr>
        <w:ind w:firstLine="0"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2.5-2</w:t>
      </w:r>
      <w:r>
        <w:rPr>
          <w:b/>
          <w:bCs/>
          <w:color w:val="000000" w:themeColor="text1"/>
          <w:sz w:val="24"/>
          <w14:textFill>
            <w14:solidFill>
              <w14:schemeClr w14:val="tx1"/>
            </w14:solidFill>
          </w14:textFill>
        </w:rPr>
        <w:t xml:space="preserve">  安全直接投入表</w:t>
      </w:r>
    </w:p>
    <w:tbl>
      <w:tblPr>
        <w:tblStyle w:val="44"/>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3"/>
        <w:gridCol w:w="1057"/>
        <w:gridCol w:w="3962"/>
        <w:gridCol w:w="1063"/>
        <w:gridCol w:w="2396"/>
      </w:tblGrid>
      <w:tr w14:paraId="311680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Align w:val="center"/>
          </w:tcPr>
          <w:p w14:paraId="22A35904">
            <w:pPr>
              <w:adjustRightInd w:val="0"/>
              <w:snapToGrid w:val="0"/>
              <w:spacing w:before="36" w:beforeLines="15"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bookmarkStart w:id="1861" w:name="_Toc5800"/>
            <w:bookmarkStart w:id="1862" w:name="_Toc2876"/>
            <w:bookmarkStart w:id="1863" w:name="_Toc3795"/>
            <w:r>
              <w:rPr>
                <w:rFonts w:hint="eastAsia" w:ascii="宋体" w:hAnsi="宋体" w:cs="宋体"/>
                <w:b/>
                <w:color w:val="000000" w:themeColor="text1"/>
                <w:sz w:val="20"/>
                <w:szCs w:val="20"/>
                <w14:textFill>
                  <w14:solidFill>
                    <w14:schemeClr w14:val="tx1"/>
                  </w14:solidFill>
                </w14:textFill>
              </w:rPr>
              <w:t>序号</w:t>
            </w:r>
          </w:p>
        </w:tc>
        <w:tc>
          <w:tcPr>
            <w:tcW w:w="1057" w:type="dxa"/>
            <w:vAlign w:val="center"/>
          </w:tcPr>
          <w:p w14:paraId="6F9AB09D">
            <w:pPr>
              <w:adjustRightInd w:val="0"/>
              <w:snapToGrid w:val="0"/>
              <w:spacing w:before="36" w:beforeLines="15"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名称</w:t>
            </w:r>
          </w:p>
        </w:tc>
        <w:tc>
          <w:tcPr>
            <w:tcW w:w="3962" w:type="dxa"/>
            <w:vAlign w:val="center"/>
          </w:tcPr>
          <w:p w14:paraId="1C765FCA">
            <w:pPr>
              <w:adjustRightInd w:val="0"/>
              <w:snapToGrid w:val="0"/>
              <w:spacing w:before="36" w:beforeLines="15"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描述</w:t>
            </w:r>
          </w:p>
        </w:tc>
        <w:tc>
          <w:tcPr>
            <w:tcW w:w="1063" w:type="dxa"/>
            <w:vAlign w:val="center"/>
          </w:tcPr>
          <w:p w14:paraId="04457977">
            <w:pPr>
              <w:adjustRightInd w:val="0"/>
              <w:snapToGrid w:val="0"/>
              <w:spacing w:before="36" w:beforeLines="15"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投资</w:t>
            </w:r>
          </w:p>
          <w:p w14:paraId="78517CBB">
            <w:pPr>
              <w:adjustRightInd w:val="0"/>
              <w:snapToGrid w:val="0"/>
              <w:spacing w:before="36" w:beforeLines="15"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（万元）</w:t>
            </w:r>
          </w:p>
        </w:tc>
        <w:tc>
          <w:tcPr>
            <w:tcW w:w="2396" w:type="dxa"/>
            <w:vAlign w:val="center"/>
          </w:tcPr>
          <w:p w14:paraId="692AFC1B">
            <w:pPr>
              <w:adjustRightInd w:val="0"/>
              <w:snapToGrid w:val="0"/>
              <w:spacing w:before="36" w:beforeLines="15" w:line="240" w:lineRule="auto"/>
              <w:ind w:firstLine="0" w:firstLineChars="0"/>
              <w:jc w:val="center"/>
              <w:rPr>
                <w:rFonts w:hint="eastAsia" w:ascii="宋体" w:hAnsi="宋体" w:cs="宋体"/>
                <w:b/>
                <w:color w:val="000000" w:themeColor="text1"/>
                <w:sz w:val="20"/>
                <w:szCs w:val="20"/>
                <w14:textFill>
                  <w14:solidFill>
                    <w14:schemeClr w14:val="tx1"/>
                  </w14:solidFill>
                </w14:textFill>
              </w:rPr>
            </w:pPr>
            <w:r>
              <w:rPr>
                <w:rFonts w:hint="eastAsia" w:ascii="宋体" w:hAnsi="宋体" w:cs="宋体"/>
                <w:b/>
                <w:color w:val="000000" w:themeColor="text1"/>
                <w:sz w:val="20"/>
                <w:szCs w:val="20"/>
                <w14:textFill>
                  <w14:solidFill>
                    <w14:schemeClr w14:val="tx1"/>
                  </w14:solidFill>
                </w14:textFill>
              </w:rPr>
              <w:t>说明</w:t>
            </w:r>
          </w:p>
        </w:tc>
      </w:tr>
      <w:tr w14:paraId="38A5A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restart"/>
            <w:vAlign w:val="center"/>
          </w:tcPr>
          <w:p w14:paraId="474BE55F">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057" w:type="dxa"/>
            <w:vMerge w:val="restart"/>
            <w:vAlign w:val="center"/>
          </w:tcPr>
          <w:p w14:paraId="45AB3C9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露天采场</w:t>
            </w:r>
          </w:p>
        </w:tc>
        <w:tc>
          <w:tcPr>
            <w:tcW w:w="3962" w:type="dxa"/>
            <w:vAlign w:val="center"/>
          </w:tcPr>
          <w:p w14:paraId="553F2BFD">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边界安全护栏</w:t>
            </w:r>
          </w:p>
        </w:tc>
        <w:tc>
          <w:tcPr>
            <w:tcW w:w="1063" w:type="dxa"/>
            <w:vAlign w:val="center"/>
          </w:tcPr>
          <w:p w14:paraId="7387744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2.00</w:t>
            </w:r>
          </w:p>
        </w:tc>
        <w:tc>
          <w:tcPr>
            <w:tcW w:w="2396" w:type="dxa"/>
            <w:vAlign w:val="center"/>
          </w:tcPr>
          <w:p w14:paraId="2E84D329">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金属网、钢管立柱制</w:t>
            </w:r>
          </w:p>
        </w:tc>
      </w:tr>
      <w:tr w14:paraId="2B2BE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4F978C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319C09C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4A3088DD">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边坡主动防护网</w:t>
            </w:r>
          </w:p>
        </w:tc>
        <w:tc>
          <w:tcPr>
            <w:tcW w:w="1063" w:type="dxa"/>
            <w:vAlign w:val="center"/>
          </w:tcPr>
          <w:p w14:paraId="42FF512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20.00</w:t>
            </w:r>
          </w:p>
        </w:tc>
        <w:tc>
          <w:tcPr>
            <w:tcW w:w="2396" w:type="dxa"/>
            <w:vAlign w:val="center"/>
          </w:tcPr>
          <w:p w14:paraId="57D89729">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主动防护网</w:t>
            </w:r>
          </w:p>
        </w:tc>
      </w:tr>
      <w:tr w14:paraId="28DA8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F0473A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78D6670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543B2D57">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排水沟、截洪沟</w:t>
            </w:r>
          </w:p>
        </w:tc>
        <w:tc>
          <w:tcPr>
            <w:tcW w:w="1063" w:type="dxa"/>
            <w:vAlign w:val="center"/>
          </w:tcPr>
          <w:p w14:paraId="7D474CA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w:t>
            </w:r>
          </w:p>
        </w:tc>
        <w:tc>
          <w:tcPr>
            <w:tcW w:w="2396" w:type="dxa"/>
            <w:vAlign w:val="center"/>
          </w:tcPr>
          <w:p w14:paraId="3353972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29055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6229E55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7C51114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4D0FB6BD">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警示旗 </w:t>
            </w:r>
          </w:p>
        </w:tc>
        <w:tc>
          <w:tcPr>
            <w:tcW w:w="1063" w:type="dxa"/>
            <w:vAlign w:val="center"/>
          </w:tcPr>
          <w:p w14:paraId="6EE25F7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7D75BDF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手持红旗</w:t>
            </w:r>
          </w:p>
        </w:tc>
      </w:tr>
      <w:tr w14:paraId="63E2B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DCA28B1">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5F87E42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7B49259A">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报警器</w:t>
            </w:r>
          </w:p>
        </w:tc>
        <w:tc>
          <w:tcPr>
            <w:tcW w:w="1063" w:type="dxa"/>
            <w:vAlign w:val="center"/>
          </w:tcPr>
          <w:p w14:paraId="403478EF">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3810498F">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挂杆式喇叭</w:t>
            </w:r>
          </w:p>
        </w:tc>
      </w:tr>
      <w:tr w14:paraId="00800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BF4744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3C1E2B9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6C7A876F">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采装设备防护罩</w:t>
            </w:r>
          </w:p>
        </w:tc>
        <w:tc>
          <w:tcPr>
            <w:tcW w:w="1063" w:type="dxa"/>
            <w:vAlign w:val="center"/>
          </w:tcPr>
          <w:p w14:paraId="33AA8FC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315AB93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6265B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98D8A8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5607EDD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093BB755">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警示牌、告示牌</w:t>
            </w:r>
          </w:p>
        </w:tc>
        <w:tc>
          <w:tcPr>
            <w:tcW w:w="1063" w:type="dxa"/>
            <w:vAlign w:val="center"/>
          </w:tcPr>
          <w:p w14:paraId="52F4FF2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1BECB19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3B63D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restart"/>
            <w:vAlign w:val="center"/>
          </w:tcPr>
          <w:p w14:paraId="7388A1E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057" w:type="dxa"/>
            <w:vMerge w:val="restart"/>
            <w:vAlign w:val="center"/>
          </w:tcPr>
          <w:p w14:paraId="5BB82A6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汽车运输</w:t>
            </w:r>
          </w:p>
        </w:tc>
        <w:tc>
          <w:tcPr>
            <w:tcW w:w="3962" w:type="dxa"/>
            <w:vAlign w:val="center"/>
          </w:tcPr>
          <w:p w14:paraId="433FABA0">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安全护栏</w:t>
            </w:r>
          </w:p>
        </w:tc>
        <w:tc>
          <w:tcPr>
            <w:tcW w:w="1063" w:type="dxa"/>
            <w:vAlign w:val="center"/>
          </w:tcPr>
          <w:p w14:paraId="7CA7FCC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0.2</w:t>
            </w:r>
          </w:p>
        </w:tc>
        <w:tc>
          <w:tcPr>
            <w:tcW w:w="2396" w:type="dxa"/>
            <w:vAlign w:val="center"/>
          </w:tcPr>
          <w:p w14:paraId="53994E7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金属网、钢管立柱制</w:t>
            </w:r>
          </w:p>
        </w:tc>
      </w:tr>
      <w:tr w14:paraId="443D9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0EADCD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4D27AA9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05C7D4A0">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运输车辆</w:t>
            </w:r>
          </w:p>
        </w:tc>
        <w:tc>
          <w:tcPr>
            <w:tcW w:w="1063" w:type="dxa"/>
            <w:vAlign w:val="center"/>
          </w:tcPr>
          <w:p w14:paraId="5E34A96F">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2554E0B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安全设施，部分利旧</w:t>
            </w:r>
          </w:p>
        </w:tc>
      </w:tr>
      <w:tr w14:paraId="28048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A64DD8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5A92903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43B2FBC6">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声光报警器</w:t>
            </w:r>
          </w:p>
        </w:tc>
        <w:tc>
          <w:tcPr>
            <w:tcW w:w="1063" w:type="dxa"/>
            <w:vAlign w:val="center"/>
          </w:tcPr>
          <w:p w14:paraId="4471AF7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5864A46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5BCCF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Align w:val="center"/>
          </w:tcPr>
          <w:p w14:paraId="51D46D0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1057" w:type="dxa"/>
            <w:vAlign w:val="center"/>
          </w:tcPr>
          <w:p w14:paraId="5D686B5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教育培训</w:t>
            </w:r>
          </w:p>
        </w:tc>
        <w:tc>
          <w:tcPr>
            <w:tcW w:w="3962" w:type="dxa"/>
            <w:vAlign w:val="center"/>
          </w:tcPr>
          <w:p w14:paraId="09EA6D08">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安全教育培训</w:t>
            </w:r>
          </w:p>
        </w:tc>
        <w:tc>
          <w:tcPr>
            <w:tcW w:w="1063" w:type="dxa"/>
            <w:vAlign w:val="center"/>
          </w:tcPr>
          <w:p w14:paraId="0165748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w:t>
            </w:r>
          </w:p>
        </w:tc>
        <w:tc>
          <w:tcPr>
            <w:tcW w:w="2396" w:type="dxa"/>
            <w:vAlign w:val="center"/>
          </w:tcPr>
          <w:p w14:paraId="2C33D70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96FF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restart"/>
            <w:vAlign w:val="center"/>
          </w:tcPr>
          <w:p w14:paraId="6039E69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1057" w:type="dxa"/>
            <w:vMerge w:val="restart"/>
            <w:vAlign w:val="center"/>
          </w:tcPr>
          <w:p w14:paraId="2850FB6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供、配电设施</w:t>
            </w:r>
          </w:p>
        </w:tc>
        <w:tc>
          <w:tcPr>
            <w:tcW w:w="3962" w:type="dxa"/>
            <w:vAlign w:val="center"/>
          </w:tcPr>
          <w:p w14:paraId="45C8E373">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采矿场供电线路保护及避雷设施</w:t>
            </w:r>
          </w:p>
        </w:tc>
        <w:tc>
          <w:tcPr>
            <w:tcW w:w="1063" w:type="dxa"/>
            <w:vAlign w:val="center"/>
          </w:tcPr>
          <w:p w14:paraId="46CA8E7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63C937D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4012F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16AB3FC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42B9B5E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6984B3F0">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低压配电系统故障（间接接触）防护装置</w:t>
            </w:r>
          </w:p>
        </w:tc>
        <w:tc>
          <w:tcPr>
            <w:tcW w:w="1063" w:type="dxa"/>
            <w:vAlign w:val="center"/>
          </w:tcPr>
          <w:p w14:paraId="22F7E78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1B7A5B7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1F02C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3243C5B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6D04A2C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65E6311E">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裸带电体基本（直接接触）防护设施</w:t>
            </w:r>
          </w:p>
        </w:tc>
        <w:tc>
          <w:tcPr>
            <w:tcW w:w="1063" w:type="dxa"/>
            <w:vAlign w:val="center"/>
          </w:tcPr>
          <w:p w14:paraId="4AF730F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081EC1F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63749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7FA9EB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74A75A5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5341E4F1">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保护接地设施</w:t>
            </w:r>
          </w:p>
        </w:tc>
        <w:tc>
          <w:tcPr>
            <w:tcW w:w="1063" w:type="dxa"/>
            <w:vAlign w:val="center"/>
          </w:tcPr>
          <w:p w14:paraId="21F8DEE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638AEB6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473C7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BDCC94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3022534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2FE1A442">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地面建筑物防雷设施</w:t>
            </w:r>
          </w:p>
        </w:tc>
        <w:tc>
          <w:tcPr>
            <w:tcW w:w="1063" w:type="dxa"/>
            <w:vAlign w:val="center"/>
          </w:tcPr>
          <w:p w14:paraId="7E674D2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2396" w:type="dxa"/>
            <w:vAlign w:val="center"/>
          </w:tcPr>
          <w:p w14:paraId="5C08589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7833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restart"/>
            <w:vAlign w:val="center"/>
          </w:tcPr>
          <w:p w14:paraId="74E4B01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1057" w:type="dxa"/>
            <w:vMerge w:val="restart"/>
            <w:vAlign w:val="center"/>
          </w:tcPr>
          <w:p w14:paraId="0445087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监测设施</w:t>
            </w:r>
          </w:p>
        </w:tc>
        <w:tc>
          <w:tcPr>
            <w:tcW w:w="3962" w:type="dxa"/>
            <w:vAlign w:val="center"/>
          </w:tcPr>
          <w:p w14:paraId="6761FB5E">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边坡位移观测设备</w:t>
            </w:r>
          </w:p>
        </w:tc>
        <w:tc>
          <w:tcPr>
            <w:tcW w:w="1063" w:type="dxa"/>
            <w:vAlign w:val="center"/>
          </w:tcPr>
          <w:p w14:paraId="34F52BF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2396" w:type="dxa"/>
            <w:vAlign w:val="center"/>
          </w:tcPr>
          <w:p w14:paraId="3CA3EB3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BBCD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045B1A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0CBBF12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211F87EA">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信号系统</w:t>
            </w:r>
          </w:p>
        </w:tc>
        <w:tc>
          <w:tcPr>
            <w:tcW w:w="1063" w:type="dxa"/>
            <w:vAlign w:val="center"/>
          </w:tcPr>
          <w:p w14:paraId="51ADF1F1">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2396" w:type="dxa"/>
            <w:vAlign w:val="center"/>
          </w:tcPr>
          <w:p w14:paraId="1927824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74548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restart"/>
            <w:vAlign w:val="center"/>
          </w:tcPr>
          <w:p w14:paraId="365FF971">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1057" w:type="dxa"/>
            <w:vMerge w:val="restart"/>
            <w:vAlign w:val="center"/>
          </w:tcPr>
          <w:p w14:paraId="1AF138B9">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矿山应急救援器材及设备</w:t>
            </w:r>
          </w:p>
        </w:tc>
        <w:tc>
          <w:tcPr>
            <w:tcW w:w="3962" w:type="dxa"/>
            <w:vAlign w:val="center"/>
          </w:tcPr>
          <w:p w14:paraId="3319CE6D">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挖掘机</w:t>
            </w:r>
          </w:p>
        </w:tc>
        <w:tc>
          <w:tcPr>
            <w:tcW w:w="1063" w:type="dxa"/>
            <w:vAlign w:val="center"/>
          </w:tcPr>
          <w:p w14:paraId="0010EE7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0.2</w:t>
            </w:r>
          </w:p>
        </w:tc>
        <w:tc>
          <w:tcPr>
            <w:tcW w:w="2396" w:type="dxa"/>
            <w:vAlign w:val="center"/>
          </w:tcPr>
          <w:p w14:paraId="2497F31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安全设施维护</w:t>
            </w:r>
          </w:p>
        </w:tc>
      </w:tr>
      <w:tr w14:paraId="6DBF5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698DB62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7C92B16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22AC2963">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装载机</w:t>
            </w:r>
          </w:p>
        </w:tc>
        <w:tc>
          <w:tcPr>
            <w:tcW w:w="1063" w:type="dxa"/>
            <w:vAlign w:val="center"/>
          </w:tcPr>
          <w:p w14:paraId="41BC8FB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0.2</w:t>
            </w:r>
          </w:p>
        </w:tc>
        <w:tc>
          <w:tcPr>
            <w:tcW w:w="2396" w:type="dxa"/>
            <w:vAlign w:val="center"/>
          </w:tcPr>
          <w:p w14:paraId="79E1FD4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安全设施维护</w:t>
            </w:r>
          </w:p>
        </w:tc>
      </w:tr>
      <w:tr w14:paraId="672A3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60A1C5E9">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393257B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5B5C83D6">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担架</w:t>
            </w:r>
          </w:p>
        </w:tc>
        <w:tc>
          <w:tcPr>
            <w:tcW w:w="1063" w:type="dxa"/>
            <w:vAlign w:val="center"/>
          </w:tcPr>
          <w:p w14:paraId="073A9FF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6F172D1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5F77B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5A00001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4D0F85D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678F2229">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急救设备</w:t>
            </w:r>
          </w:p>
        </w:tc>
        <w:tc>
          <w:tcPr>
            <w:tcW w:w="1063" w:type="dxa"/>
            <w:vAlign w:val="center"/>
          </w:tcPr>
          <w:p w14:paraId="791E658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w:t>
            </w:r>
          </w:p>
        </w:tc>
        <w:tc>
          <w:tcPr>
            <w:tcW w:w="2396" w:type="dxa"/>
            <w:vAlign w:val="center"/>
          </w:tcPr>
          <w:p w14:paraId="1E2A7FD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37D7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100849D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2904AA2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33012C42">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药箱</w:t>
            </w:r>
          </w:p>
        </w:tc>
        <w:tc>
          <w:tcPr>
            <w:tcW w:w="1063" w:type="dxa"/>
            <w:vAlign w:val="center"/>
          </w:tcPr>
          <w:p w14:paraId="4F0BA46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0CAE3D9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A133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E948AB1">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33997DC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227BB841">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灭火沙箱</w:t>
            </w:r>
          </w:p>
        </w:tc>
        <w:tc>
          <w:tcPr>
            <w:tcW w:w="1063" w:type="dxa"/>
            <w:vAlign w:val="center"/>
          </w:tcPr>
          <w:p w14:paraId="7F58517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7A3ABA8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B6F7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F5E779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361E287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3E02D31E">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灭火器</w:t>
            </w:r>
          </w:p>
        </w:tc>
        <w:tc>
          <w:tcPr>
            <w:tcW w:w="1063" w:type="dxa"/>
            <w:vAlign w:val="center"/>
          </w:tcPr>
          <w:p w14:paraId="0D69EBBC">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0.3</w:t>
            </w:r>
          </w:p>
        </w:tc>
        <w:tc>
          <w:tcPr>
            <w:tcW w:w="2396" w:type="dxa"/>
            <w:vAlign w:val="center"/>
          </w:tcPr>
          <w:p w14:paraId="338549D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30532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Align w:val="center"/>
          </w:tcPr>
          <w:p w14:paraId="1D3A3C2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1057" w:type="dxa"/>
            <w:vAlign w:val="center"/>
          </w:tcPr>
          <w:p w14:paraId="5E22837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通信联络系统</w:t>
            </w:r>
          </w:p>
        </w:tc>
        <w:tc>
          <w:tcPr>
            <w:tcW w:w="3962" w:type="dxa"/>
            <w:vAlign w:val="center"/>
          </w:tcPr>
          <w:p w14:paraId="6D1ABAF5">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无线对讲机</w:t>
            </w:r>
          </w:p>
        </w:tc>
        <w:tc>
          <w:tcPr>
            <w:tcW w:w="1063" w:type="dxa"/>
            <w:vAlign w:val="center"/>
          </w:tcPr>
          <w:p w14:paraId="3583287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0.2</w:t>
            </w:r>
          </w:p>
        </w:tc>
        <w:tc>
          <w:tcPr>
            <w:tcW w:w="2396" w:type="dxa"/>
            <w:vAlign w:val="center"/>
          </w:tcPr>
          <w:p w14:paraId="03B4209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手机自备</w:t>
            </w:r>
          </w:p>
        </w:tc>
      </w:tr>
      <w:tr w14:paraId="58928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restart"/>
            <w:vAlign w:val="center"/>
          </w:tcPr>
          <w:p w14:paraId="00E5FCD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1057" w:type="dxa"/>
            <w:vMerge w:val="restart"/>
            <w:vAlign w:val="center"/>
          </w:tcPr>
          <w:p w14:paraId="1220622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个人安全防护用品</w:t>
            </w:r>
          </w:p>
        </w:tc>
        <w:tc>
          <w:tcPr>
            <w:tcW w:w="3962" w:type="dxa"/>
            <w:vAlign w:val="center"/>
          </w:tcPr>
          <w:p w14:paraId="7F611FB1">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安全帽</w:t>
            </w:r>
          </w:p>
        </w:tc>
        <w:tc>
          <w:tcPr>
            <w:tcW w:w="1063" w:type="dxa"/>
            <w:vAlign w:val="center"/>
          </w:tcPr>
          <w:p w14:paraId="4C09CC3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2EED16D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0DD6F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8A2977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6099951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7EF93332">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安全带</w:t>
            </w:r>
          </w:p>
        </w:tc>
        <w:tc>
          <w:tcPr>
            <w:tcW w:w="1063" w:type="dxa"/>
            <w:vAlign w:val="center"/>
          </w:tcPr>
          <w:p w14:paraId="392E0CEF">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36B30BC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4D81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09DA6AE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1B447AB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2D245A94">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安全鞋</w:t>
            </w:r>
          </w:p>
        </w:tc>
        <w:tc>
          <w:tcPr>
            <w:tcW w:w="1063" w:type="dxa"/>
            <w:vAlign w:val="center"/>
          </w:tcPr>
          <w:p w14:paraId="66B3BE0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0.2</w:t>
            </w:r>
          </w:p>
        </w:tc>
        <w:tc>
          <w:tcPr>
            <w:tcW w:w="2396" w:type="dxa"/>
            <w:vAlign w:val="center"/>
          </w:tcPr>
          <w:p w14:paraId="188DD95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2F93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Merge w:val="continue"/>
            <w:vAlign w:val="center"/>
          </w:tcPr>
          <w:p w14:paraId="42086F9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Merge w:val="continue"/>
            <w:vAlign w:val="center"/>
          </w:tcPr>
          <w:p w14:paraId="58ADD60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3962" w:type="dxa"/>
            <w:vAlign w:val="center"/>
          </w:tcPr>
          <w:p w14:paraId="1FF808FC">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耳塞</w:t>
            </w:r>
          </w:p>
        </w:tc>
        <w:tc>
          <w:tcPr>
            <w:tcW w:w="1063" w:type="dxa"/>
            <w:vAlign w:val="center"/>
          </w:tcPr>
          <w:p w14:paraId="097D6180">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0.1</w:t>
            </w:r>
          </w:p>
        </w:tc>
        <w:tc>
          <w:tcPr>
            <w:tcW w:w="2396" w:type="dxa"/>
            <w:vAlign w:val="center"/>
          </w:tcPr>
          <w:p w14:paraId="2A121696">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r w14:paraId="15203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Align w:val="center"/>
          </w:tcPr>
          <w:p w14:paraId="7EA51D6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9</w:t>
            </w:r>
          </w:p>
        </w:tc>
        <w:tc>
          <w:tcPr>
            <w:tcW w:w="1057" w:type="dxa"/>
            <w:vAlign w:val="center"/>
          </w:tcPr>
          <w:p w14:paraId="1F660FC7">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降尘</w:t>
            </w:r>
          </w:p>
        </w:tc>
        <w:tc>
          <w:tcPr>
            <w:tcW w:w="3962" w:type="dxa"/>
            <w:vAlign w:val="center"/>
          </w:tcPr>
          <w:p w14:paraId="2977F579">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降尘措施</w:t>
            </w:r>
          </w:p>
        </w:tc>
        <w:tc>
          <w:tcPr>
            <w:tcW w:w="1063" w:type="dxa"/>
            <w:vAlign w:val="center"/>
          </w:tcPr>
          <w:p w14:paraId="7A10F4E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77911D5B">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52990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Align w:val="center"/>
          </w:tcPr>
          <w:p w14:paraId="0FDB863E">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w:t>
            </w:r>
          </w:p>
        </w:tc>
        <w:tc>
          <w:tcPr>
            <w:tcW w:w="1057" w:type="dxa"/>
            <w:vAlign w:val="center"/>
          </w:tcPr>
          <w:p w14:paraId="73B9B942">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矿山、交通、电气安全标志</w:t>
            </w:r>
          </w:p>
        </w:tc>
        <w:tc>
          <w:tcPr>
            <w:tcW w:w="3962" w:type="dxa"/>
            <w:vAlign w:val="center"/>
          </w:tcPr>
          <w:p w14:paraId="370516C8">
            <w:pPr>
              <w:adjustRightInd w:val="0"/>
              <w:snapToGrid w:val="0"/>
              <w:spacing w:before="36" w:beforeLines="15"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安全警示标志</w:t>
            </w:r>
          </w:p>
        </w:tc>
        <w:tc>
          <w:tcPr>
            <w:tcW w:w="1063" w:type="dxa"/>
            <w:vAlign w:val="center"/>
          </w:tcPr>
          <w:p w14:paraId="5947CF98">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c>
          <w:tcPr>
            <w:tcW w:w="2396" w:type="dxa"/>
            <w:vAlign w:val="center"/>
          </w:tcPr>
          <w:p w14:paraId="32F3EB5D">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部分利旧</w:t>
            </w:r>
          </w:p>
        </w:tc>
      </w:tr>
      <w:tr w14:paraId="64EC4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3" w:type="dxa"/>
            <w:vAlign w:val="center"/>
          </w:tcPr>
          <w:p w14:paraId="5490C3A5">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57" w:type="dxa"/>
            <w:vAlign w:val="center"/>
          </w:tcPr>
          <w:p w14:paraId="50AE86F4">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合计</w:t>
            </w:r>
          </w:p>
        </w:tc>
        <w:tc>
          <w:tcPr>
            <w:tcW w:w="3962" w:type="dxa"/>
            <w:vAlign w:val="center"/>
          </w:tcPr>
          <w:p w14:paraId="527C1BB3">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063" w:type="dxa"/>
            <w:vAlign w:val="center"/>
          </w:tcPr>
          <w:p w14:paraId="7E3F92CA">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34.8</w:t>
            </w:r>
          </w:p>
        </w:tc>
        <w:tc>
          <w:tcPr>
            <w:tcW w:w="2396" w:type="dxa"/>
            <w:vAlign w:val="center"/>
          </w:tcPr>
          <w:p w14:paraId="67EF5DBF">
            <w:pPr>
              <w:adjustRightInd w:val="0"/>
              <w:snapToGrid w:val="0"/>
              <w:spacing w:before="36" w:beforeLines="15"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r>
    </w:tbl>
    <w:p w14:paraId="5761F4FB">
      <w:pPr>
        <w:ind w:firstLine="560"/>
        <w:rPr>
          <w:color w:val="000000" w:themeColor="text1"/>
          <w14:textFill>
            <w14:solidFill>
              <w14:schemeClr w14:val="tx1"/>
            </w14:solidFill>
          </w14:textFill>
        </w:rPr>
      </w:pPr>
    </w:p>
    <w:p w14:paraId="64002FDA">
      <w:pPr>
        <w:ind w:firstLine="560"/>
        <w:rPr>
          <w:color w:val="000000" w:themeColor="text1"/>
          <w14:textFill>
            <w14:solidFill>
              <w14:schemeClr w14:val="tx1"/>
            </w14:solidFill>
          </w14:textFill>
        </w:rPr>
      </w:pPr>
    </w:p>
    <w:p w14:paraId="7638A2E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应急物资</w:t>
      </w:r>
      <w:r>
        <w:rPr>
          <w:rFonts w:hint="eastAsia"/>
          <w:color w:val="000000" w:themeColor="text1"/>
          <w14:textFill>
            <w14:solidFill>
              <w14:schemeClr w14:val="tx1"/>
            </w14:solidFill>
          </w14:textFill>
        </w:rPr>
        <w:t>配置见表2.5-3：</w:t>
      </w:r>
      <w:bookmarkEnd w:id="1861"/>
      <w:bookmarkEnd w:id="1862"/>
      <w:bookmarkEnd w:id="1863"/>
    </w:p>
    <w:p w14:paraId="75CE3030">
      <w:pPr>
        <w:spacing w:before="120" w:beforeLines="50"/>
        <w:ind w:firstLine="361" w:firstLineChars="1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2.5-3</w:t>
      </w:r>
      <w:r>
        <w:rPr>
          <w:b/>
          <w:bCs/>
          <w:color w:val="000000" w:themeColor="text1"/>
          <w:sz w:val="24"/>
          <w14:textFill>
            <w14:solidFill>
              <w14:schemeClr w14:val="tx1"/>
            </w14:solidFill>
          </w14:textFill>
        </w:rPr>
        <w:t xml:space="preserve">  应急物资表</w:t>
      </w:r>
    </w:p>
    <w:tbl>
      <w:tblPr>
        <w:tblStyle w:val="44"/>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975"/>
        <w:gridCol w:w="3977"/>
        <w:gridCol w:w="972"/>
        <w:gridCol w:w="847"/>
      </w:tblGrid>
      <w:tr w14:paraId="78A1B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Align w:val="center"/>
          </w:tcPr>
          <w:p w14:paraId="021B8B2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类别</w:t>
            </w:r>
          </w:p>
        </w:tc>
        <w:tc>
          <w:tcPr>
            <w:tcW w:w="1975" w:type="dxa"/>
            <w:vAlign w:val="center"/>
          </w:tcPr>
          <w:p w14:paraId="75B6891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装备名称</w:t>
            </w:r>
          </w:p>
        </w:tc>
        <w:tc>
          <w:tcPr>
            <w:tcW w:w="3977" w:type="dxa"/>
            <w:vAlign w:val="center"/>
          </w:tcPr>
          <w:p w14:paraId="76B7534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要求及说明</w:t>
            </w:r>
          </w:p>
        </w:tc>
        <w:tc>
          <w:tcPr>
            <w:tcW w:w="972" w:type="dxa"/>
            <w:vAlign w:val="center"/>
          </w:tcPr>
          <w:p w14:paraId="720407F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单位</w:t>
            </w:r>
          </w:p>
        </w:tc>
        <w:tc>
          <w:tcPr>
            <w:tcW w:w="847" w:type="dxa"/>
            <w:vAlign w:val="center"/>
          </w:tcPr>
          <w:p w14:paraId="1FB1875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数量</w:t>
            </w:r>
          </w:p>
        </w:tc>
      </w:tr>
      <w:tr w14:paraId="49287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restart"/>
            <w:vAlign w:val="center"/>
          </w:tcPr>
          <w:p w14:paraId="703DEE0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车辆</w:t>
            </w:r>
          </w:p>
        </w:tc>
        <w:tc>
          <w:tcPr>
            <w:tcW w:w="1975" w:type="dxa"/>
            <w:vAlign w:val="center"/>
          </w:tcPr>
          <w:p w14:paraId="12E1FED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应急救援值班车</w:t>
            </w:r>
          </w:p>
        </w:tc>
        <w:tc>
          <w:tcPr>
            <w:tcW w:w="3977" w:type="dxa"/>
            <w:vAlign w:val="center"/>
          </w:tcPr>
          <w:p w14:paraId="02F9D4F9">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利用矿山自有车辆</w:t>
            </w:r>
          </w:p>
        </w:tc>
        <w:tc>
          <w:tcPr>
            <w:tcW w:w="972" w:type="dxa"/>
            <w:vAlign w:val="center"/>
          </w:tcPr>
          <w:p w14:paraId="456C12A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辆</w:t>
            </w:r>
          </w:p>
        </w:tc>
        <w:tc>
          <w:tcPr>
            <w:tcW w:w="847" w:type="dxa"/>
            <w:vAlign w:val="center"/>
          </w:tcPr>
          <w:p w14:paraId="5E143B0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r>
      <w:tr w14:paraId="268E1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308C609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14613C06">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装备车</w:t>
            </w:r>
          </w:p>
        </w:tc>
        <w:tc>
          <w:tcPr>
            <w:tcW w:w="3977" w:type="dxa"/>
            <w:vAlign w:val="center"/>
          </w:tcPr>
          <w:p w14:paraId="71485F22">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（利用生活物资车）</w:t>
            </w:r>
          </w:p>
        </w:tc>
        <w:tc>
          <w:tcPr>
            <w:tcW w:w="972" w:type="dxa"/>
            <w:vAlign w:val="center"/>
          </w:tcPr>
          <w:p w14:paraId="00769AF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辆</w:t>
            </w:r>
          </w:p>
        </w:tc>
        <w:tc>
          <w:tcPr>
            <w:tcW w:w="847" w:type="dxa"/>
            <w:vAlign w:val="center"/>
          </w:tcPr>
          <w:p w14:paraId="6123695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r>
      <w:tr w14:paraId="5F86E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restart"/>
            <w:vAlign w:val="center"/>
          </w:tcPr>
          <w:p w14:paraId="33F3291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通讯器材</w:t>
            </w:r>
          </w:p>
        </w:tc>
        <w:tc>
          <w:tcPr>
            <w:tcW w:w="1975" w:type="dxa"/>
            <w:vAlign w:val="center"/>
          </w:tcPr>
          <w:p w14:paraId="127CD118">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移动电话</w:t>
            </w:r>
          </w:p>
        </w:tc>
        <w:tc>
          <w:tcPr>
            <w:tcW w:w="3977" w:type="dxa"/>
            <w:vAlign w:val="center"/>
          </w:tcPr>
          <w:p w14:paraId="596E48D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指挥员1部，值班室1部，作业现场1部</w:t>
            </w:r>
          </w:p>
        </w:tc>
        <w:tc>
          <w:tcPr>
            <w:tcW w:w="972" w:type="dxa"/>
            <w:vAlign w:val="center"/>
          </w:tcPr>
          <w:p w14:paraId="76EDC9C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w:t>
            </w:r>
          </w:p>
        </w:tc>
        <w:tc>
          <w:tcPr>
            <w:tcW w:w="847" w:type="dxa"/>
            <w:vAlign w:val="center"/>
          </w:tcPr>
          <w:p w14:paraId="1B63D24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r>
      <w:tr w14:paraId="04276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54E9B26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246D1386">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对讲机</w:t>
            </w:r>
          </w:p>
        </w:tc>
        <w:tc>
          <w:tcPr>
            <w:tcW w:w="3977" w:type="dxa"/>
            <w:vAlign w:val="center"/>
          </w:tcPr>
          <w:p w14:paraId="0792BED2">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便携式</w:t>
            </w:r>
          </w:p>
        </w:tc>
        <w:tc>
          <w:tcPr>
            <w:tcW w:w="972" w:type="dxa"/>
            <w:vAlign w:val="center"/>
          </w:tcPr>
          <w:p w14:paraId="23AF282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部</w:t>
            </w:r>
          </w:p>
        </w:tc>
        <w:tc>
          <w:tcPr>
            <w:tcW w:w="847" w:type="dxa"/>
            <w:vAlign w:val="center"/>
          </w:tcPr>
          <w:p w14:paraId="11A50E6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r>
      <w:tr w14:paraId="0F399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Align w:val="center"/>
          </w:tcPr>
          <w:p w14:paraId="75DE3A7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灭火装备</w:t>
            </w:r>
          </w:p>
        </w:tc>
        <w:tc>
          <w:tcPr>
            <w:tcW w:w="1975" w:type="dxa"/>
            <w:vAlign w:val="center"/>
          </w:tcPr>
          <w:p w14:paraId="69761C7B">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灭火装备</w:t>
            </w:r>
          </w:p>
        </w:tc>
        <w:tc>
          <w:tcPr>
            <w:tcW w:w="3977" w:type="dxa"/>
            <w:vAlign w:val="center"/>
          </w:tcPr>
          <w:p w14:paraId="732F838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灭火器（干粉、泡沫、CO</w:t>
            </w:r>
            <w:r>
              <w:rPr>
                <w:rFonts w:hint="eastAsia" w:ascii="宋体" w:hAnsi="宋体" w:cs="宋体"/>
                <w:color w:val="000000" w:themeColor="text1"/>
                <w:sz w:val="20"/>
                <w:szCs w:val="20"/>
                <w:vertAlign w:val="subscript"/>
                <w14:textFill>
                  <w14:solidFill>
                    <w14:schemeClr w14:val="tx1"/>
                  </w14:solidFill>
                </w14:textFill>
              </w:rPr>
              <w:t>2</w:t>
            </w:r>
            <w:r>
              <w:rPr>
                <w:rFonts w:hint="eastAsia" w:ascii="宋体" w:hAnsi="宋体" w:cs="宋体"/>
                <w:color w:val="000000" w:themeColor="text1"/>
                <w:sz w:val="20"/>
                <w:szCs w:val="20"/>
                <w14:textFill>
                  <w14:solidFill>
                    <w14:schemeClr w14:val="tx1"/>
                  </w14:solidFill>
                </w14:textFill>
              </w:rPr>
              <w:t>）</w:t>
            </w:r>
          </w:p>
        </w:tc>
        <w:tc>
          <w:tcPr>
            <w:tcW w:w="972" w:type="dxa"/>
            <w:vAlign w:val="center"/>
          </w:tcPr>
          <w:p w14:paraId="00D4F07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台</w:t>
            </w:r>
          </w:p>
        </w:tc>
        <w:tc>
          <w:tcPr>
            <w:tcW w:w="847" w:type="dxa"/>
            <w:vAlign w:val="center"/>
          </w:tcPr>
          <w:p w14:paraId="041AB25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r>
      <w:tr w14:paraId="559AB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restart"/>
            <w:vAlign w:val="center"/>
          </w:tcPr>
          <w:p w14:paraId="2FE97B2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信息及其他处理设备</w:t>
            </w:r>
          </w:p>
        </w:tc>
        <w:tc>
          <w:tcPr>
            <w:tcW w:w="1975" w:type="dxa"/>
            <w:vAlign w:val="center"/>
          </w:tcPr>
          <w:p w14:paraId="2B2730E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笔记本电脑</w:t>
            </w:r>
          </w:p>
        </w:tc>
        <w:tc>
          <w:tcPr>
            <w:tcW w:w="3977" w:type="dxa"/>
            <w:vAlign w:val="center"/>
          </w:tcPr>
          <w:p w14:paraId="198C5C93">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972" w:type="dxa"/>
            <w:vAlign w:val="center"/>
          </w:tcPr>
          <w:p w14:paraId="38C8258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台</w:t>
            </w:r>
          </w:p>
        </w:tc>
        <w:tc>
          <w:tcPr>
            <w:tcW w:w="847" w:type="dxa"/>
            <w:vAlign w:val="center"/>
          </w:tcPr>
          <w:p w14:paraId="715499B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r>
      <w:tr w14:paraId="48169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2C8B226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70B44E9E">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氧气瓶</w:t>
            </w:r>
          </w:p>
        </w:tc>
        <w:tc>
          <w:tcPr>
            <w:tcW w:w="3977" w:type="dxa"/>
            <w:vAlign w:val="center"/>
          </w:tcPr>
          <w:p w14:paraId="5038E4E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40L；4h氧气呼吸器备用1个/台</w:t>
            </w:r>
          </w:p>
        </w:tc>
        <w:tc>
          <w:tcPr>
            <w:tcW w:w="972" w:type="dxa"/>
            <w:vAlign w:val="center"/>
          </w:tcPr>
          <w:p w14:paraId="31B171B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个</w:t>
            </w:r>
          </w:p>
        </w:tc>
        <w:tc>
          <w:tcPr>
            <w:tcW w:w="847" w:type="dxa"/>
            <w:vAlign w:val="center"/>
          </w:tcPr>
          <w:p w14:paraId="7F645B7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r>
      <w:tr w14:paraId="4BF44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2546986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2051F22D">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自救呼吸器</w:t>
            </w:r>
          </w:p>
        </w:tc>
        <w:tc>
          <w:tcPr>
            <w:tcW w:w="3977" w:type="dxa"/>
            <w:vAlign w:val="center"/>
          </w:tcPr>
          <w:p w14:paraId="02C46FC2">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2h呼吸器，备用</w:t>
            </w:r>
          </w:p>
        </w:tc>
        <w:tc>
          <w:tcPr>
            <w:tcW w:w="972" w:type="dxa"/>
            <w:vAlign w:val="center"/>
          </w:tcPr>
          <w:p w14:paraId="45001CE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个</w:t>
            </w:r>
          </w:p>
        </w:tc>
        <w:tc>
          <w:tcPr>
            <w:tcW w:w="847" w:type="dxa"/>
            <w:vAlign w:val="center"/>
          </w:tcPr>
          <w:p w14:paraId="3062737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r>
      <w:tr w14:paraId="4966A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76076B6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15B06CE5">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救生索</w:t>
            </w:r>
          </w:p>
        </w:tc>
        <w:tc>
          <w:tcPr>
            <w:tcW w:w="3977" w:type="dxa"/>
            <w:vAlign w:val="center"/>
          </w:tcPr>
          <w:p w14:paraId="2C4E4743">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长30m，抗压强度3066.67kg</w:t>
            </w:r>
          </w:p>
        </w:tc>
        <w:tc>
          <w:tcPr>
            <w:tcW w:w="972" w:type="dxa"/>
            <w:vAlign w:val="center"/>
          </w:tcPr>
          <w:p w14:paraId="5210A66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条</w:t>
            </w:r>
          </w:p>
        </w:tc>
        <w:tc>
          <w:tcPr>
            <w:tcW w:w="847" w:type="dxa"/>
            <w:vAlign w:val="center"/>
          </w:tcPr>
          <w:p w14:paraId="63CCF88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r>
      <w:tr w14:paraId="3351B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0265EFC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1BAC6715">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担架</w:t>
            </w:r>
          </w:p>
        </w:tc>
        <w:tc>
          <w:tcPr>
            <w:tcW w:w="3977" w:type="dxa"/>
            <w:vAlign w:val="center"/>
          </w:tcPr>
          <w:p w14:paraId="3FFB568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含2付负压多功能担架</w:t>
            </w:r>
          </w:p>
        </w:tc>
        <w:tc>
          <w:tcPr>
            <w:tcW w:w="972" w:type="dxa"/>
            <w:vAlign w:val="center"/>
          </w:tcPr>
          <w:p w14:paraId="2833C8A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副</w:t>
            </w:r>
          </w:p>
        </w:tc>
        <w:tc>
          <w:tcPr>
            <w:tcW w:w="847" w:type="dxa"/>
            <w:vAlign w:val="center"/>
          </w:tcPr>
          <w:p w14:paraId="65A62E7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r>
      <w:tr w14:paraId="4D45A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60D0E8C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497E674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保温毯</w:t>
            </w:r>
          </w:p>
        </w:tc>
        <w:tc>
          <w:tcPr>
            <w:tcW w:w="3977" w:type="dxa"/>
            <w:vAlign w:val="center"/>
          </w:tcPr>
          <w:p w14:paraId="114C8129">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棉织</w:t>
            </w:r>
          </w:p>
        </w:tc>
        <w:tc>
          <w:tcPr>
            <w:tcW w:w="972" w:type="dxa"/>
            <w:vAlign w:val="center"/>
          </w:tcPr>
          <w:p w14:paraId="3F03B31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条</w:t>
            </w:r>
          </w:p>
        </w:tc>
        <w:tc>
          <w:tcPr>
            <w:tcW w:w="847" w:type="dxa"/>
            <w:vAlign w:val="center"/>
          </w:tcPr>
          <w:p w14:paraId="0BFB931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r>
      <w:tr w14:paraId="648C0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054D986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0CDB5D3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绝缘手套</w:t>
            </w:r>
          </w:p>
        </w:tc>
        <w:tc>
          <w:tcPr>
            <w:tcW w:w="3977" w:type="dxa"/>
            <w:vAlign w:val="center"/>
          </w:tcPr>
          <w:p w14:paraId="5692CAC2">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972" w:type="dxa"/>
            <w:vAlign w:val="center"/>
          </w:tcPr>
          <w:p w14:paraId="587969E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副</w:t>
            </w:r>
          </w:p>
        </w:tc>
        <w:tc>
          <w:tcPr>
            <w:tcW w:w="847" w:type="dxa"/>
            <w:vAlign w:val="center"/>
          </w:tcPr>
          <w:p w14:paraId="44E01B8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w:t>
            </w:r>
          </w:p>
        </w:tc>
      </w:tr>
      <w:tr w14:paraId="7E690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6C3155C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3BB56D9E">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电工工具</w:t>
            </w:r>
          </w:p>
        </w:tc>
        <w:tc>
          <w:tcPr>
            <w:tcW w:w="3977" w:type="dxa"/>
            <w:vAlign w:val="center"/>
          </w:tcPr>
          <w:p w14:paraId="3A3B1FA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972" w:type="dxa"/>
            <w:vAlign w:val="center"/>
          </w:tcPr>
          <w:p w14:paraId="093996D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套</w:t>
            </w:r>
          </w:p>
        </w:tc>
        <w:tc>
          <w:tcPr>
            <w:tcW w:w="847" w:type="dxa"/>
            <w:vAlign w:val="center"/>
          </w:tcPr>
          <w:p w14:paraId="015D96A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r>
      <w:tr w14:paraId="42044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1DAB708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55098DD7">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灾区指路器</w:t>
            </w:r>
          </w:p>
        </w:tc>
        <w:tc>
          <w:tcPr>
            <w:tcW w:w="3977" w:type="dxa"/>
            <w:vAlign w:val="center"/>
          </w:tcPr>
          <w:p w14:paraId="6A9348EB">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或冷光管</w:t>
            </w:r>
          </w:p>
        </w:tc>
        <w:tc>
          <w:tcPr>
            <w:tcW w:w="972" w:type="dxa"/>
            <w:vAlign w:val="center"/>
          </w:tcPr>
          <w:p w14:paraId="2F615B1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只</w:t>
            </w:r>
          </w:p>
        </w:tc>
        <w:tc>
          <w:tcPr>
            <w:tcW w:w="847" w:type="dxa"/>
            <w:vAlign w:val="center"/>
          </w:tcPr>
          <w:p w14:paraId="44EFE3D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r>
      <w:tr w14:paraId="10CDD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3A05254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7275009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急救箱</w:t>
            </w:r>
          </w:p>
        </w:tc>
        <w:tc>
          <w:tcPr>
            <w:tcW w:w="3977" w:type="dxa"/>
            <w:vAlign w:val="center"/>
          </w:tcPr>
          <w:p w14:paraId="0DA3B5B6">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972" w:type="dxa"/>
            <w:vAlign w:val="center"/>
          </w:tcPr>
          <w:p w14:paraId="5C7EC47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个</w:t>
            </w:r>
          </w:p>
        </w:tc>
        <w:tc>
          <w:tcPr>
            <w:tcW w:w="847" w:type="dxa"/>
            <w:vAlign w:val="center"/>
          </w:tcPr>
          <w:p w14:paraId="064499D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r>
      <w:tr w14:paraId="3A79A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restart"/>
            <w:vAlign w:val="center"/>
          </w:tcPr>
          <w:p w14:paraId="450EFB5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药剂</w:t>
            </w:r>
          </w:p>
        </w:tc>
        <w:tc>
          <w:tcPr>
            <w:tcW w:w="1975" w:type="dxa"/>
            <w:vAlign w:val="center"/>
          </w:tcPr>
          <w:p w14:paraId="6ACCD97F">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泡沫药剂</w:t>
            </w:r>
          </w:p>
        </w:tc>
        <w:tc>
          <w:tcPr>
            <w:tcW w:w="3977" w:type="dxa"/>
            <w:vAlign w:val="center"/>
          </w:tcPr>
          <w:p w14:paraId="4FC0D35F">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972" w:type="dxa"/>
            <w:vAlign w:val="center"/>
          </w:tcPr>
          <w:p w14:paraId="3379D5A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t</w:t>
            </w:r>
          </w:p>
        </w:tc>
        <w:tc>
          <w:tcPr>
            <w:tcW w:w="847" w:type="dxa"/>
            <w:vAlign w:val="center"/>
          </w:tcPr>
          <w:p w14:paraId="64054D7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r>
      <w:tr w14:paraId="153BA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dxa"/>
            <w:vMerge w:val="continue"/>
            <w:vAlign w:val="center"/>
          </w:tcPr>
          <w:p w14:paraId="693FC00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1975" w:type="dxa"/>
            <w:vAlign w:val="center"/>
          </w:tcPr>
          <w:p w14:paraId="4DB7AEB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氢氧化钙</w:t>
            </w:r>
          </w:p>
        </w:tc>
        <w:tc>
          <w:tcPr>
            <w:tcW w:w="3977" w:type="dxa"/>
            <w:vAlign w:val="center"/>
          </w:tcPr>
          <w:p w14:paraId="1AB7070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972" w:type="dxa"/>
            <w:vAlign w:val="center"/>
          </w:tcPr>
          <w:p w14:paraId="7A94D81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t</w:t>
            </w:r>
          </w:p>
        </w:tc>
        <w:tc>
          <w:tcPr>
            <w:tcW w:w="847" w:type="dxa"/>
            <w:vAlign w:val="center"/>
          </w:tcPr>
          <w:p w14:paraId="3B3256E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0.5</w:t>
            </w:r>
          </w:p>
        </w:tc>
      </w:tr>
    </w:tbl>
    <w:p w14:paraId="2B8A03A8">
      <w:pPr>
        <w:pStyle w:val="3"/>
        <w:spacing w:before="480" w:after="240"/>
        <w:rPr>
          <w:rFonts w:hint="default"/>
          <w:color w:val="000000" w:themeColor="text1"/>
          <w14:textFill>
            <w14:solidFill>
              <w14:schemeClr w14:val="tx1"/>
            </w14:solidFill>
          </w14:textFill>
        </w:rPr>
      </w:pPr>
      <w:r>
        <w:rPr>
          <w:color w:val="000000" w:themeColor="text1"/>
          <w14:textFill>
            <w14:solidFill>
              <w14:schemeClr w14:val="tx1"/>
            </w14:solidFill>
          </w14:textFill>
        </w:rPr>
        <w:br w:type="page"/>
      </w:r>
      <w:bookmarkStart w:id="1864" w:name="_Toc7925"/>
      <w:bookmarkStart w:id="1865" w:name="_Toc23905"/>
      <w:bookmarkStart w:id="1866" w:name="_Toc22548"/>
      <w:bookmarkStart w:id="1867" w:name="_Toc28004"/>
      <w:bookmarkStart w:id="1868" w:name="_Toc21125"/>
      <w:bookmarkStart w:id="1869" w:name="_Toc20433"/>
      <w:bookmarkStart w:id="1870" w:name="_Toc16956"/>
      <w:bookmarkStart w:id="1871" w:name="_Toc28296"/>
      <w:bookmarkStart w:id="1872" w:name="_Toc26371"/>
      <w:bookmarkStart w:id="1873" w:name="_Toc19066"/>
      <w:bookmarkStart w:id="1874" w:name="_Toc215070233"/>
      <w:r>
        <w:rPr>
          <w:color w:val="000000" w:themeColor="text1"/>
          <w14:textFill>
            <w14:solidFill>
              <w14:schemeClr w14:val="tx1"/>
            </w14:solidFill>
          </w14:textFill>
        </w:rPr>
        <w:t>3.定性定量</w:t>
      </w:r>
      <w:bookmarkEnd w:id="1836"/>
      <w:bookmarkEnd w:id="1837"/>
      <w:r>
        <w:rPr>
          <w:color w:val="000000" w:themeColor="text1"/>
          <w14:textFill>
            <w14:solidFill>
              <w14:schemeClr w14:val="tx1"/>
            </w14:solidFill>
          </w14:textFill>
        </w:rPr>
        <w:t>评价</w:t>
      </w:r>
      <w:bookmarkEnd w:id="1838"/>
      <w:bookmarkEnd w:id="1839"/>
      <w:bookmarkEnd w:id="1840"/>
      <w:bookmarkEnd w:id="1841"/>
      <w:bookmarkEnd w:id="1842"/>
      <w:bookmarkEnd w:id="1843"/>
      <w:bookmarkEnd w:id="1864"/>
      <w:bookmarkEnd w:id="1865"/>
      <w:bookmarkEnd w:id="1866"/>
      <w:bookmarkEnd w:id="1867"/>
      <w:bookmarkEnd w:id="1868"/>
      <w:bookmarkEnd w:id="1869"/>
      <w:bookmarkEnd w:id="1870"/>
      <w:bookmarkEnd w:id="1871"/>
      <w:bookmarkEnd w:id="1872"/>
      <w:bookmarkEnd w:id="1873"/>
      <w:bookmarkEnd w:id="1874"/>
    </w:p>
    <w:p w14:paraId="68BB08BD">
      <w:pPr>
        <w:pStyle w:val="4"/>
        <w:spacing w:before="240" w:after="120"/>
        <w:rPr>
          <w:color w:val="000000" w:themeColor="text1"/>
          <w14:textFill>
            <w14:solidFill>
              <w14:schemeClr w14:val="tx1"/>
            </w14:solidFill>
          </w14:textFill>
        </w:rPr>
      </w:pPr>
      <w:bookmarkStart w:id="1875" w:name="_Toc11661"/>
      <w:bookmarkStart w:id="1876" w:name="_Toc15111"/>
      <w:bookmarkStart w:id="1877" w:name="_Toc9566"/>
      <w:bookmarkStart w:id="1878" w:name="_Toc25690"/>
      <w:bookmarkStart w:id="1879" w:name="_Toc15185"/>
      <w:bookmarkStart w:id="1880" w:name="_Toc30376"/>
      <w:bookmarkStart w:id="1881" w:name="_Toc14794"/>
      <w:bookmarkStart w:id="1882" w:name="_Toc31042"/>
      <w:bookmarkStart w:id="1883" w:name="_Toc32095"/>
      <w:bookmarkStart w:id="1884" w:name="_Toc26638"/>
      <w:bookmarkStart w:id="1885" w:name="_Toc17057"/>
      <w:bookmarkStart w:id="1886" w:name="_Toc15078"/>
      <w:bookmarkStart w:id="1887" w:name="_Toc215070234"/>
      <w:bookmarkStart w:id="1888" w:name="_Toc30343"/>
      <w:bookmarkStart w:id="1889" w:name="_Toc3031"/>
      <w:bookmarkStart w:id="1890" w:name="_Toc18755"/>
      <w:bookmarkStart w:id="1891" w:name="_Toc5176"/>
      <w:bookmarkStart w:id="1892" w:name="_Toc163831925"/>
      <w:bookmarkStart w:id="1893" w:name="_Toc153698773"/>
      <w:bookmarkStart w:id="1894" w:name="_Toc149748297"/>
      <w:bookmarkStart w:id="1895" w:name="_Toc19816"/>
      <w:bookmarkStart w:id="1896" w:name="_Toc392680754"/>
      <w:bookmarkStart w:id="1897" w:name="_Toc5657"/>
      <w:bookmarkStart w:id="1898" w:name="_Toc17456"/>
      <w:bookmarkStart w:id="1899" w:name="_Toc3976"/>
      <w:r>
        <w:rPr>
          <w:rFonts w:hint="eastAsia"/>
          <w:color w:val="000000" w:themeColor="text1"/>
          <w14:textFill>
            <w14:solidFill>
              <w14:schemeClr w14:val="tx1"/>
            </w14:solidFill>
          </w14:textFill>
        </w:rPr>
        <w:t>3.1评价方法的选择</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6A4B2A27">
      <w:pPr>
        <w:ind w:firstLine="560"/>
        <w:rPr>
          <w:color w:val="000000" w:themeColor="text1"/>
          <w14:textFill>
            <w14:solidFill>
              <w14:schemeClr w14:val="tx1"/>
            </w14:solidFill>
          </w14:textFill>
        </w:rPr>
      </w:pPr>
      <w:bookmarkStart w:id="1900" w:name="_Toc24729"/>
      <w:bookmarkStart w:id="1901" w:name="_Toc5640"/>
      <w:bookmarkStart w:id="1902" w:name="_Toc15166"/>
      <w:bookmarkStart w:id="1903" w:name="_Toc18846"/>
      <w:bookmarkStart w:id="1904" w:name="_Toc31576"/>
      <w:bookmarkStart w:id="1905" w:name="_Toc10136"/>
      <w:bookmarkStart w:id="1906" w:name="_Toc11241"/>
      <w:bookmarkStart w:id="1907" w:name="_Toc31782"/>
      <w:bookmarkStart w:id="1908" w:name="_Toc26017"/>
      <w:r>
        <w:rPr>
          <w:rFonts w:hint="eastAsia"/>
          <w:color w:val="000000" w:themeColor="text1"/>
          <w14:textFill>
            <w14:solidFill>
              <w14:schemeClr w14:val="tx1"/>
            </w14:solidFill>
          </w14:textFill>
        </w:rPr>
        <w:t>1、预先危险性分析法</w:t>
      </w:r>
      <w:bookmarkEnd w:id="1900"/>
      <w:bookmarkEnd w:id="1901"/>
      <w:bookmarkEnd w:id="1902"/>
    </w:p>
    <w:p w14:paraId="609CFEC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预先危险性分析法简介：预先危险性分析法（Preliminiary Harzard Analysis，简称PHA）是在进行某项工程活动（包括设计、施工、生产、维修等）之前，对系统存在的各种危害因素（类别、分布）、出现条件和事故可能造成的后果进行宏观、概略分析的系统安全分析法。其目的是早期发现系统的潜在危险因素，确定系统的危险性等级，提出相应的防范措施，防止这些危险因素发展成事故，避免考虑不周所造成的损失。</w:t>
      </w:r>
    </w:p>
    <w:p w14:paraId="01E7AFC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危险程度的等级主要依靠危险事件严重性等级划分，见下表3.1-1。</w:t>
      </w:r>
    </w:p>
    <w:p w14:paraId="304F2CB3">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表3.1-1危险事件严重性等级</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257"/>
        <w:gridCol w:w="5011"/>
      </w:tblGrid>
      <w:tr w14:paraId="788F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vAlign w:val="center"/>
          </w:tcPr>
          <w:p w14:paraId="6872ACD6">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等级</w:t>
            </w:r>
          </w:p>
        </w:tc>
        <w:tc>
          <w:tcPr>
            <w:tcW w:w="2257" w:type="dxa"/>
            <w:vAlign w:val="center"/>
          </w:tcPr>
          <w:p w14:paraId="125D8E79">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等级说明</w:t>
            </w:r>
          </w:p>
        </w:tc>
        <w:tc>
          <w:tcPr>
            <w:tcW w:w="5011" w:type="dxa"/>
            <w:vAlign w:val="center"/>
          </w:tcPr>
          <w:p w14:paraId="2A2F6DAF">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事故后果说明</w:t>
            </w:r>
          </w:p>
        </w:tc>
      </w:tr>
      <w:tr w14:paraId="5CDC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vAlign w:val="center"/>
          </w:tcPr>
          <w:p w14:paraId="367242BF">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I</w:t>
            </w:r>
          </w:p>
        </w:tc>
        <w:tc>
          <w:tcPr>
            <w:tcW w:w="2257" w:type="dxa"/>
            <w:vAlign w:val="center"/>
          </w:tcPr>
          <w:p w14:paraId="587772ED">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轻微的</w:t>
            </w:r>
          </w:p>
        </w:tc>
        <w:tc>
          <w:tcPr>
            <w:tcW w:w="5011" w:type="dxa"/>
            <w:vAlign w:val="center"/>
          </w:tcPr>
          <w:p w14:paraId="7980CA42">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人员受伤和系统损坏轻于II</w:t>
            </w:r>
          </w:p>
        </w:tc>
      </w:tr>
      <w:tr w14:paraId="0937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vAlign w:val="center"/>
          </w:tcPr>
          <w:p w14:paraId="06248B00">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II</w:t>
            </w:r>
          </w:p>
        </w:tc>
        <w:tc>
          <w:tcPr>
            <w:tcW w:w="2257" w:type="dxa"/>
            <w:vAlign w:val="center"/>
          </w:tcPr>
          <w:p w14:paraId="42F53972">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轻度的</w:t>
            </w:r>
          </w:p>
        </w:tc>
        <w:tc>
          <w:tcPr>
            <w:tcW w:w="5011" w:type="dxa"/>
            <w:vAlign w:val="center"/>
          </w:tcPr>
          <w:p w14:paraId="54A997F7">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人员轻度受伤、轻度职业病或系统轻度损坏</w:t>
            </w:r>
          </w:p>
        </w:tc>
      </w:tr>
      <w:tr w14:paraId="16B3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vAlign w:val="center"/>
          </w:tcPr>
          <w:p w14:paraId="39ADAAD7">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III</w:t>
            </w:r>
          </w:p>
        </w:tc>
        <w:tc>
          <w:tcPr>
            <w:tcW w:w="2257" w:type="dxa"/>
            <w:vAlign w:val="center"/>
          </w:tcPr>
          <w:p w14:paraId="567FD79D">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严重的</w:t>
            </w:r>
          </w:p>
        </w:tc>
        <w:tc>
          <w:tcPr>
            <w:tcW w:w="5011" w:type="dxa"/>
            <w:vAlign w:val="center"/>
          </w:tcPr>
          <w:p w14:paraId="017F9641">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人员严重受伤、严重职业病或系统严重损坏</w:t>
            </w:r>
          </w:p>
        </w:tc>
      </w:tr>
      <w:tr w14:paraId="1D6E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vAlign w:val="center"/>
          </w:tcPr>
          <w:p w14:paraId="0E52C944">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IV</w:t>
            </w:r>
          </w:p>
        </w:tc>
        <w:tc>
          <w:tcPr>
            <w:tcW w:w="2257" w:type="dxa"/>
            <w:vAlign w:val="center"/>
          </w:tcPr>
          <w:p w14:paraId="18FFF9DA">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灾难性的</w:t>
            </w:r>
          </w:p>
        </w:tc>
        <w:tc>
          <w:tcPr>
            <w:tcW w:w="5011" w:type="dxa"/>
            <w:vAlign w:val="center"/>
          </w:tcPr>
          <w:p w14:paraId="2F20EE9C">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人员死亡或系统报废</w:t>
            </w:r>
          </w:p>
        </w:tc>
      </w:tr>
    </w:tbl>
    <w:p w14:paraId="38166E9D">
      <w:pPr>
        <w:spacing w:before="240" w:beforeLines="100"/>
        <w:ind w:firstLine="560"/>
        <w:rPr>
          <w:color w:val="000000" w:themeColor="text1"/>
          <w14:textFill>
            <w14:solidFill>
              <w14:schemeClr w14:val="tx1"/>
            </w14:solidFill>
          </w14:textFill>
        </w:rPr>
      </w:pPr>
      <w:bookmarkStart w:id="1909" w:name="_Toc13996"/>
      <w:bookmarkStart w:id="1910" w:name="_Toc8988"/>
      <w:bookmarkStart w:id="1911" w:name="_Toc13332"/>
      <w:r>
        <w:rPr>
          <w:rFonts w:hint="eastAsia"/>
          <w:color w:val="000000" w:themeColor="text1"/>
          <w14:textFill>
            <w14:solidFill>
              <w14:schemeClr w14:val="tx1"/>
            </w14:solidFill>
          </w14:textFill>
        </w:rPr>
        <w:t>2、安全检查表法</w:t>
      </w:r>
      <w:bookmarkEnd w:id="1909"/>
      <w:bookmarkEnd w:id="1910"/>
      <w:bookmarkEnd w:id="1911"/>
    </w:p>
    <w:p w14:paraId="4F9E5ED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（1）安全检查表是为检查某一系统、设备以及各种操作、管理和组织措施中的不安全因素，事先将要检查的项目以提问方式编制成检查表，这种表就叫安全检查表。</w:t>
      </w:r>
    </w:p>
    <w:p w14:paraId="09A9C33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（2）安全检查表的主要依据是：</w:t>
      </w:r>
      <w:bookmarkStart w:id="1912" w:name="_Toc297416390"/>
      <w:bookmarkStart w:id="1913" w:name="_Toc297653237"/>
      <w:bookmarkStart w:id="1914" w:name="_Toc297452849"/>
      <w:r>
        <w:rPr>
          <w:rFonts w:hint="eastAsia"/>
          <w:color w:val="000000" w:themeColor="text1"/>
          <w14:textFill>
            <w14:solidFill>
              <w14:schemeClr w14:val="tx1"/>
            </w14:solidFill>
          </w14:textFill>
        </w:rPr>
        <w:t>有关标准、规程、规范及规定；</w:t>
      </w:r>
      <w:bookmarkEnd w:id="1912"/>
      <w:bookmarkEnd w:id="1913"/>
      <w:bookmarkEnd w:id="1914"/>
      <w:r>
        <w:rPr>
          <w:rFonts w:hint="eastAsia"/>
          <w:color w:val="000000" w:themeColor="text1"/>
          <w14:textFill>
            <w14:solidFill>
              <w14:schemeClr w14:val="tx1"/>
            </w14:solidFill>
          </w14:textFill>
        </w:rPr>
        <w:t>同类企业安全管理经验及国内外事故案例；</w:t>
      </w:r>
      <w:bookmarkStart w:id="1915" w:name="_Toc297416391"/>
      <w:bookmarkStart w:id="1916" w:name="_Toc297653238"/>
      <w:bookmarkStart w:id="1917" w:name="_Toc297452850"/>
      <w:r>
        <w:rPr>
          <w:rFonts w:hint="eastAsia"/>
          <w:color w:val="000000" w:themeColor="text1"/>
          <w14:textFill>
            <w14:solidFill>
              <w14:schemeClr w14:val="tx1"/>
            </w14:solidFill>
          </w14:textFill>
        </w:rPr>
        <w:t>通过系统安全分析确定的危险部位及防范措施；</w:t>
      </w:r>
      <w:bookmarkEnd w:id="1915"/>
      <w:bookmarkEnd w:id="1916"/>
      <w:bookmarkEnd w:id="1917"/>
    </w:p>
    <w:p w14:paraId="50B3C02B">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（3）定性安全检查表是列出检查要点逐项检查，检查结果以是否表示，这种否决型安全检查表是给一些特别重要的检查要点做出标记，这些检查要点如不满足，检查结果视为不合格，这样可以做到重点突出。</w:t>
      </w:r>
    </w:p>
    <w:p w14:paraId="1AE016A1">
      <w:pPr>
        <w:ind w:firstLine="560"/>
        <w:rPr>
          <w:color w:val="000000" w:themeColor="text1"/>
          <w14:textFill>
            <w14:solidFill>
              <w14:schemeClr w14:val="tx1"/>
            </w14:solidFill>
          </w14:textFill>
        </w:rPr>
      </w:pPr>
      <w:bookmarkStart w:id="1918" w:name="_Toc297452851"/>
      <w:bookmarkStart w:id="1919" w:name="_Toc23785"/>
      <w:bookmarkStart w:id="1920" w:name="_Toc15422"/>
      <w:bookmarkStart w:id="1921" w:name="_Toc12483"/>
      <w:bookmarkStart w:id="1922" w:name="_Toc297416392"/>
      <w:bookmarkStart w:id="1923" w:name="_Toc297653239"/>
      <w:r>
        <w:rPr>
          <w:rFonts w:hint="eastAsia"/>
          <w:color w:val="000000" w:themeColor="text1"/>
          <w14:textFill>
            <w14:solidFill>
              <w14:schemeClr w14:val="tx1"/>
            </w14:solidFill>
          </w14:textFill>
        </w:rPr>
        <w:t>3、安全检查法</w:t>
      </w:r>
      <w:bookmarkEnd w:id="1918"/>
      <w:bookmarkEnd w:id="1919"/>
      <w:bookmarkEnd w:id="1920"/>
      <w:bookmarkEnd w:id="1921"/>
      <w:bookmarkEnd w:id="1922"/>
      <w:bookmarkEnd w:id="1923"/>
    </w:p>
    <w:p w14:paraId="21D0CC4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安全检查法可以说是第一个安全评价方法，有时也称为“工艺安全审查”或“损失预防审查”，在本报告中，主要是对照有关规范和技术标准，分析项目中的危险有害因素并作出评价。</w:t>
      </w:r>
    </w:p>
    <w:p w14:paraId="62394C3B">
      <w:pPr>
        <w:ind w:firstLine="560"/>
        <w:rPr>
          <w:color w:val="000000" w:themeColor="text1"/>
          <w14:textFill>
            <w14:solidFill>
              <w14:schemeClr w14:val="tx1"/>
            </w14:solidFill>
          </w14:textFill>
        </w:rPr>
      </w:pPr>
      <w:bookmarkStart w:id="1924" w:name="_Toc20779"/>
      <w:bookmarkStart w:id="1925" w:name="_Toc21459"/>
      <w:bookmarkStart w:id="1926" w:name="_Toc31739"/>
      <w:r>
        <w:rPr>
          <w:rFonts w:hint="eastAsia"/>
          <w:color w:val="000000" w:themeColor="text1"/>
          <w14:textFill>
            <w14:solidFill>
              <w14:schemeClr w14:val="tx1"/>
            </w14:solidFill>
          </w14:textFill>
        </w:rPr>
        <w:t>4、各评价单元所采用的评价方法</w:t>
      </w:r>
      <w:bookmarkEnd w:id="1903"/>
      <w:bookmarkEnd w:id="1904"/>
      <w:bookmarkEnd w:id="1905"/>
      <w:bookmarkEnd w:id="1906"/>
      <w:bookmarkEnd w:id="1907"/>
      <w:bookmarkEnd w:id="1908"/>
      <w:bookmarkEnd w:id="1924"/>
      <w:bookmarkEnd w:id="1925"/>
      <w:bookmarkEnd w:id="1926"/>
    </w:p>
    <w:p w14:paraId="4B2E531E">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表3.1-2各评价单元采用的评价方法</w:t>
      </w:r>
    </w:p>
    <w:tbl>
      <w:tblPr>
        <w:tblStyle w:val="44"/>
        <w:tblW w:w="4871" w:type="pct"/>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837"/>
        <w:gridCol w:w="5497"/>
      </w:tblGrid>
      <w:tr w14:paraId="02F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blHeader/>
        </w:trPr>
        <w:tc>
          <w:tcPr>
            <w:tcW w:w="450" w:type="pct"/>
            <w:vAlign w:val="center"/>
          </w:tcPr>
          <w:p w14:paraId="4B377E04">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1549" w:type="pct"/>
            <w:vAlign w:val="center"/>
          </w:tcPr>
          <w:p w14:paraId="2AEA2A4F">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评价单元</w:t>
            </w:r>
          </w:p>
        </w:tc>
        <w:tc>
          <w:tcPr>
            <w:tcW w:w="3001" w:type="pct"/>
            <w:vAlign w:val="center"/>
          </w:tcPr>
          <w:p w14:paraId="7465DDC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选择的评价方法</w:t>
            </w:r>
          </w:p>
        </w:tc>
      </w:tr>
      <w:tr w14:paraId="11BF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52B54996">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1549" w:type="pct"/>
            <w:vAlign w:val="center"/>
          </w:tcPr>
          <w:p w14:paraId="0FD4E001">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总平面布置单元</w:t>
            </w:r>
          </w:p>
        </w:tc>
        <w:tc>
          <w:tcPr>
            <w:tcW w:w="3001" w:type="pct"/>
            <w:vAlign w:val="center"/>
          </w:tcPr>
          <w:p w14:paraId="74A24F0A">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预先危险性分析法、安全检查法、安全检查表法</w:t>
            </w:r>
          </w:p>
        </w:tc>
      </w:tr>
      <w:tr w14:paraId="6D7F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7027C0D0">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1549" w:type="pct"/>
            <w:vAlign w:val="center"/>
          </w:tcPr>
          <w:p w14:paraId="401CDE0E">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开拓运输单元</w:t>
            </w:r>
          </w:p>
        </w:tc>
        <w:tc>
          <w:tcPr>
            <w:tcW w:w="3001" w:type="pct"/>
            <w:vAlign w:val="center"/>
          </w:tcPr>
          <w:p w14:paraId="2E7F878B">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安全检查法、安全检查表法</w:t>
            </w:r>
          </w:p>
        </w:tc>
      </w:tr>
      <w:tr w14:paraId="0D7A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5" w:hRule="exact"/>
        </w:trPr>
        <w:tc>
          <w:tcPr>
            <w:tcW w:w="450" w:type="pct"/>
            <w:vAlign w:val="center"/>
          </w:tcPr>
          <w:p w14:paraId="55EDA152">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1549" w:type="pct"/>
            <w:vAlign w:val="center"/>
          </w:tcPr>
          <w:p w14:paraId="1852B144">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采剥单元</w:t>
            </w:r>
          </w:p>
        </w:tc>
        <w:tc>
          <w:tcPr>
            <w:tcW w:w="3001" w:type="pct"/>
            <w:vAlign w:val="center"/>
          </w:tcPr>
          <w:p w14:paraId="37673573">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预先危险性分析法、安全检查法、安全检查表法、边坡稳定性分析</w:t>
            </w:r>
          </w:p>
        </w:tc>
      </w:tr>
      <w:tr w14:paraId="2A0B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2A28B3C3">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1549" w:type="pct"/>
            <w:vAlign w:val="center"/>
          </w:tcPr>
          <w:p w14:paraId="7684FD0E">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防尘单元</w:t>
            </w:r>
          </w:p>
        </w:tc>
        <w:tc>
          <w:tcPr>
            <w:tcW w:w="3001" w:type="pct"/>
            <w:vAlign w:val="center"/>
          </w:tcPr>
          <w:p w14:paraId="66ECEB49">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安全检查法、安全检查表法</w:t>
            </w:r>
          </w:p>
        </w:tc>
      </w:tr>
      <w:tr w14:paraId="3A1F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0960FE8C">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1549" w:type="pct"/>
            <w:vAlign w:val="center"/>
          </w:tcPr>
          <w:p w14:paraId="6911E8CB">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供配电设施及通讯单元</w:t>
            </w:r>
          </w:p>
        </w:tc>
        <w:tc>
          <w:tcPr>
            <w:tcW w:w="3001" w:type="pct"/>
            <w:vAlign w:val="center"/>
          </w:tcPr>
          <w:p w14:paraId="6F1CACD4">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安全检查法、安全检查表法</w:t>
            </w:r>
          </w:p>
        </w:tc>
      </w:tr>
      <w:tr w14:paraId="7698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5963F221">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1549" w:type="pct"/>
            <w:vAlign w:val="center"/>
          </w:tcPr>
          <w:p w14:paraId="6A4CB3F4">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防排水与防灭火单元</w:t>
            </w:r>
          </w:p>
        </w:tc>
        <w:tc>
          <w:tcPr>
            <w:tcW w:w="3001" w:type="pct"/>
            <w:vAlign w:val="center"/>
          </w:tcPr>
          <w:p w14:paraId="1BA07AEC">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安全检查法、安全检查表法</w:t>
            </w:r>
          </w:p>
        </w:tc>
      </w:tr>
      <w:tr w14:paraId="317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530293AC">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1549" w:type="pct"/>
            <w:vAlign w:val="center"/>
          </w:tcPr>
          <w:p w14:paraId="24E804A1">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破碎车间单元</w:t>
            </w:r>
          </w:p>
        </w:tc>
        <w:tc>
          <w:tcPr>
            <w:tcW w:w="3001" w:type="pct"/>
            <w:vAlign w:val="center"/>
          </w:tcPr>
          <w:p w14:paraId="7406517A">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安全检查表法</w:t>
            </w:r>
          </w:p>
        </w:tc>
      </w:tr>
      <w:tr w14:paraId="72EF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4B1BF0FF">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c>
          <w:tcPr>
            <w:tcW w:w="1549" w:type="pct"/>
            <w:vAlign w:val="center"/>
          </w:tcPr>
          <w:p w14:paraId="09F9450D">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安全管理及其他单元</w:t>
            </w:r>
          </w:p>
        </w:tc>
        <w:tc>
          <w:tcPr>
            <w:tcW w:w="3001" w:type="pct"/>
            <w:vAlign w:val="center"/>
          </w:tcPr>
          <w:p w14:paraId="3ADAB21B">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安全检查法、安全检查表法</w:t>
            </w:r>
          </w:p>
        </w:tc>
      </w:tr>
      <w:tr w14:paraId="2327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450" w:type="pct"/>
            <w:vAlign w:val="center"/>
          </w:tcPr>
          <w:p w14:paraId="6827EA59">
            <w:pPr>
              <w:pStyle w:val="69"/>
              <w:rPr>
                <w:rFonts w:hint="default"/>
                <w:color w:val="000000" w:themeColor="text1"/>
                <w14:textFill>
                  <w14:solidFill>
                    <w14:schemeClr w14:val="tx1"/>
                  </w14:solidFill>
                </w14:textFill>
              </w:rPr>
            </w:pPr>
            <w:bookmarkStart w:id="1927" w:name="_Toc22349"/>
            <w:bookmarkStart w:id="1928" w:name="_Toc136"/>
            <w:bookmarkStart w:id="1929" w:name="_Toc28608"/>
            <w:bookmarkStart w:id="1930" w:name="_Toc5411"/>
            <w:bookmarkStart w:id="1931" w:name="_Toc30706"/>
            <w:bookmarkStart w:id="1932" w:name="_Toc12223"/>
            <w:bookmarkStart w:id="1933" w:name="_Toc2780"/>
            <w:bookmarkStart w:id="1934" w:name="_Toc31182"/>
            <w:bookmarkStart w:id="1935" w:name="_Toc12790"/>
            <w:bookmarkStart w:id="1936" w:name="_Toc14825"/>
            <w:r>
              <w:rPr>
                <w:color w:val="000000" w:themeColor="text1"/>
                <w14:textFill>
                  <w14:solidFill>
                    <w14:schemeClr w14:val="tx1"/>
                  </w14:solidFill>
                </w14:textFill>
              </w:rPr>
              <w:t>9</w:t>
            </w:r>
          </w:p>
        </w:tc>
        <w:tc>
          <w:tcPr>
            <w:tcW w:w="1549" w:type="pct"/>
            <w:vAlign w:val="center"/>
          </w:tcPr>
          <w:p w14:paraId="5E5659E2">
            <w:pPr>
              <w:pStyle w:val="69"/>
              <w:rPr>
                <w:rFonts w:hint="default"/>
                <w:color w:val="000000" w:themeColor="text1"/>
                <w14:textFill>
                  <w14:solidFill>
                    <w14:schemeClr w14:val="tx1"/>
                  </w14:solidFill>
                </w14:textFill>
              </w:rPr>
            </w:pPr>
            <w:r>
              <w:rPr>
                <w:color w:val="000000" w:themeColor="text1"/>
                <w14:textFill>
                  <w14:solidFill>
                    <w14:schemeClr w14:val="tx1"/>
                  </w14:solidFill>
                </w14:textFill>
              </w:rPr>
              <w:t>重大危险源辨识单元</w:t>
            </w:r>
          </w:p>
        </w:tc>
        <w:tc>
          <w:tcPr>
            <w:tcW w:w="3001" w:type="pct"/>
            <w:vAlign w:val="center"/>
          </w:tcPr>
          <w:p w14:paraId="31C30F1D">
            <w:pPr>
              <w:pStyle w:val="69"/>
              <w:rPr>
                <w:rFonts w:hint="default"/>
                <w:color w:val="000000" w:themeColor="text1"/>
                <w14:textFill>
                  <w14:solidFill>
                    <w14:schemeClr w14:val="tx1"/>
                  </w14:solidFill>
                </w14:textFill>
              </w:rPr>
            </w:pPr>
          </w:p>
        </w:tc>
      </w:tr>
    </w:tbl>
    <w:p w14:paraId="4350A1ED">
      <w:pPr>
        <w:pStyle w:val="4"/>
        <w:spacing w:before="480" w:beforeLines="200" w:after="120"/>
        <w:rPr>
          <w:color w:val="000000" w:themeColor="text1"/>
          <w14:textFill>
            <w14:solidFill>
              <w14:schemeClr w14:val="tx1"/>
            </w14:solidFill>
          </w14:textFill>
        </w:rPr>
      </w:pPr>
      <w:bookmarkStart w:id="1937" w:name="_Toc215070235"/>
      <w:r>
        <w:rPr>
          <w:rFonts w:hint="eastAsia"/>
          <w:color w:val="000000" w:themeColor="text1"/>
          <w14:textFill>
            <w14:solidFill>
              <w14:schemeClr w14:val="tx1"/>
            </w14:solidFill>
          </w14:textFill>
        </w:rPr>
        <w:t>3.2总平面布置</w:t>
      </w:r>
      <w:bookmarkEnd w:id="1892"/>
      <w:bookmarkEnd w:id="1893"/>
      <w:bookmarkEnd w:id="1894"/>
      <w:r>
        <w:rPr>
          <w:rFonts w:hint="eastAsia"/>
          <w:color w:val="000000" w:themeColor="text1"/>
          <w14:textFill>
            <w14:solidFill>
              <w14:schemeClr w14:val="tx1"/>
            </w14:solidFill>
          </w14:textFill>
        </w:rPr>
        <w:t>单元</w:t>
      </w:r>
      <w:bookmarkEnd w:id="1895"/>
      <w:bookmarkEnd w:id="1896"/>
      <w:bookmarkEnd w:id="1897"/>
      <w:bookmarkEnd w:id="1898"/>
      <w:bookmarkEnd w:id="1899"/>
      <w:bookmarkEnd w:id="1927"/>
      <w:bookmarkEnd w:id="1928"/>
      <w:bookmarkEnd w:id="1929"/>
      <w:bookmarkEnd w:id="1930"/>
      <w:bookmarkEnd w:id="1931"/>
      <w:bookmarkEnd w:id="1932"/>
      <w:bookmarkEnd w:id="1933"/>
      <w:bookmarkEnd w:id="1934"/>
      <w:bookmarkEnd w:id="1935"/>
      <w:bookmarkEnd w:id="1936"/>
      <w:bookmarkEnd w:id="1937"/>
    </w:p>
    <w:p w14:paraId="0760DA31">
      <w:pPr>
        <w:pStyle w:val="5"/>
        <w:spacing w:after="120"/>
        <w:rPr>
          <w:rFonts w:hint="eastAsia" w:ascii="宋体" w:hAnsi="宋体" w:cs="宋体"/>
          <w:color w:val="000000" w:themeColor="text1"/>
          <w:szCs w:val="28"/>
          <w14:textFill>
            <w14:solidFill>
              <w14:schemeClr w14:val="tx1"/>
            </w14:solidFill>
          </w14:textFill>
        </w:rPr>
      </w:pPr>
      <w:bookmarkStart w:id="1938" w:name="_Toc24902"/>
      <w:bookmarkStart w:id="1939" w:name="_Toc15406"/>
      <w:bookmarkStart w:id="1940" w:name="_Toc6663"/>
      <w:bookmarkStart w:id="1941" w:name="_Toc14507"/>
      <w:bookmarkStart w:id="1942" w:name="_Toc11981"/>
      <w:bookmarkStart w:id="1943" w:name="_Toc9607"/>
      <w:bookmarkStart w:id="1944" w:name="_Toc11408"/>
      <w:bookmarkStart w:id="1945" w:name="_Toc23861"/>
      <w:bookmarkStart w:id="1946" w:name="_Toc30267"/>
      <w:bookmarkStart w:id="1947" w:name="_Toc215070236"/>
      <w:bookmarkStart w:id="1948" w:name="_Toc1179"/>
      <w:bookmarkStart w:id="1949" w:name="_Toc149748298"/>
      <w:bookmarkStart w:id="1950" w:name="_Toc153698774"/>
      <w:bookmarkStart w:id="1951" w:name="_Toc392680755"/>
      <w:bookmarkStart w:id="1952" w:name="_Toc19911"/>
      <w:bookmarkStart w:id="1953" w:name="_Toc6280"/>
      <w:bookmarkStart w:id="1954" w:name="_Toc7164"/>
      <w:r>
        <w:rPr>
          <w:rFonts w:hint="eastAsia"/>
          <w:color w:val="000000" w:themeColor="text1"/>
          <w14:textFill>
            <w14:solidFill>
              <w14:schemeClr w14:val="tx1"/>
            </w14:solidFill>
          </w14:textFill>
        </w:rPr>
        <w:t>3.2.1总平面布置单元危险、有害因素辨识与分析</w:t>
      </w:r>
      <w:bookmarkEnd w:id="1938"/>
      <w:bookmarkEnd w:id="1939"/>
      <w:bookmarkEnd w:id="1940"/>
      <w:bookmarkEnd w:id="1941"/>
      <w:bookmarkEnd w:id="1942"/>
      <w:bookmarkEnd w:id="1943"/>
      <w:bookmarkEnd w:id="1944"/>
      <w:bookmarkEnd w:id="1945"/>
      <w:bookmarkEnd w:id="1946"/>
      <w:bookmarkEnd w:id="1947"/>
    </w:p>
    <w:p w14:paraId="299F3C2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可行性研究报告的总图布置，围绕总图的各组成部分及总平面布置情况。从工程地质、地形地貌、水文、气象条件、周围环境、交通运输条件、自然灾害等方面分析和辨识危险有害因素；从总平面布置的功能分区、安全距离、风向、建筑构筑物、设施、道路联系等方面分析和辨识地表生产辅助设施的危险有害因素。</w:t>
      </w:r>
    </w:p>
    <w:p w14:paraId="5CD3806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按危险因素的性质，总图布置方面的危险有害因素可划分为：物体打击、滑坡（坍塌）、车辆伤害、道路运输、火灾等几种，分析如下：</w:t>
      </w:r>
    </w:p>
    <w:p w14:paraId="38F1E043">
      <w:pPr>
        <w:ind w:firstLine="560"/>
        <w:rPr>
          <w:color w:val="000000" w:themeColor="text1"/>
          <w14:textFill>
            <w14:solidFill>
              <w14:schemeClr w14:val="tx1"/>
            </w14:solidFill>
          </w14:textFill>
        </w:rPr>
      </w:pPr>
      <w:bookmarkStart w:id="1955" w:name="_Toc27723"/>
      <w:bookmarkStart w:id="1956" w:name="_Toc29967"/>
      <w:bookmarkStart w:id="1957" w:name="_Toc31955"/>
      <w:r>
        <w:rPr>
          <w:rFonts w:hint="eastAsia"/>
          <w:color w:val="000000" w:themeColor="text1"/>
          <w14:textFill>
            <w14:solidFill>
              <w14:schemeClr w14:val="tx1"/>
            </w14:solidFill>
          </w14:textFill>
        </w:rPr>
        <w:t>1、物体打击</w:t>
      </w:r>
      <w:bookmarkEnd w:id="1955"/>
      <w:bookmarkEnd w:id="1956"/>
      <w:bookmarkEnd w:id="1957"/>
    </w:p>
    <w:p w14:paraId="323532F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矿山在采矿作业过程中，由于采场边坡浮石、运输道路边坡浮石等清理不完全或受雨季及大风得影响，或矿石在破碎、铲装过程中发生跌落、撞击等原因，造成物体打击事故。</w:t>
      </w:r>
    </w:p>
    <w:p w14:paraId="3DF04821">
      <w:pPr>
        <w:ind w:firstLine="560"/>
        <w:rPr>
          <w:color w:val="000000" w:themeColor="text1"/>
          <w14:textFill>
            <w14:solidFill>
              <w14:schemeClr w14:val="tx1"/>
            </w14:solidFill>
          </w14:textFill>
        </w:rPr>
      </w:pPr>
      <w:bookmarkStart w:id="1958" w:name="_Toc25791"/>
      <w:bookmarkStart w:id="1959" w:name="_Toc19137"/>
      <w:bookmarkStart w:id="1960" w:name="_Toc7540"/>
      <w:r>
        <w:rPr>
          <w:rFonts w:hint="eastAsia"/>
          <w:color w:val="000000" w:themeColor="text1"/>
          <w14:textFill>
            <w14:solidFill>
              <w14:schemeClr w14:val="tx1"/>
            </w14:solidFill>
          </w14:textFill>
        </w:rPr>
        <w:t>2、滑坡、坍塌</w:t>
      </w:r>
      <w:bookmarkEnd w:id="1958"/>
      <w:bookmarkEnd w:id="1959"/>
      <w:bookmarkEnd w:id="1960"/>
    </w:p>
    <w:p w14:paraId="460BE823">
      <w:pPr>
        <w:ind w:firstLine="560"/>
        <w:rPr>
          <w:color w:val="000000" w:themeColor="text1"/>
          <w14:textFill>
            <w14:solidFill>
              <w14:schemeClr w14:val="tx1"/>
            </w14:solidFill>
          </w14:textFill>
        </w:rPr>
      </w:pPr>
      <w:r>
        <w:rPr>
          <w:color w:val="000000" w:themeColor="text1"/>
          <w14:textFill>
            <w14:solidFill>
              <w14:schemeClr w14:val="tx1"/>
            </w14:solidFill>
          </w14:textFill>
        </w:rPr>
        <w:t>（1）选址不良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易受滑坡、滚石危害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建筑物抗震设计和施工质量不合格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易受</w:t>
      </w:r>
      <w:bookmarkStart w:id="1961" w:name="OLE_LINK2"/>
      <w:r>
        <w:rPr>
          <w:color w:val="000000" w:themeColor="text1"/>
          <w14:textFill>
            <w14:solidFill>
              <w14:schemeClr w14:val="tx1"/>
            </w14:solidFill>
          </w14:textFill>
        </w:rPr>
        <w:t>地震破坏导致人员伤亡和财产损失</w:t>
      </w:r>
      <w:bookmarkEnd w:id="1961"/>
      <w:r>
        <w:rPr>
          <w:rFonts w:hint="eastAsia"/>
          <w:color w:val="000000" w:themeColor="text1"/>
          <w14:textFill>
            <w14:solidFill>
              <w14:schemeClr w14:val="tx1"/>
            </w14:solidFill>
          </w14:textFill>
        </w:rPr>
        <w:t>。</w:t>
      </w:r>
    </w:p>
    <w:p w14:paraId="51D571DD">
      <w:pPr>
        <w:ind w:firstLine="560"/>
        <w:rPr>
          <w:color w:val="000000" w:themeColor="text1"/>
          <w:lang w:val="zh-CN"/>
          <w14:textFill>
            <w14:solidFill>
              <w14:schemeClr w14:val="tx1"/>
            </w14:solidFill>
          </w14:textFill>
        </w:rPr>
      </w:pPr>
      <w:r>
        <w:rPr>
          <w:color w:val="000000" w:themeColor="text1"/>
          <w14:textFill>
            <w14:solidFill>
              <w14:schemeClr w14:val="tx1"/>
            </w14:solidFill>
          </w14:textFill>
        </w:rPr>
        <w:t>（2）</w:t>
      </w:r>
      <w:r>
        <w:rPr>
          <w:color w:val="000000" w:themeColor="text1"/>
          <w:lang w:val="zh-CN"/>
          <w14:textFill>
            <w14:solidFill>
              <w14:schemeClr w14:val="tx1"/>
            </w14:solidFill>
          </w14:textFill>
        </w:rPr>
        <w:t>在露采过程中</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随着台阶的推进</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受构造影响可能会产生局部塌方</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露天开采结束后形成的最终边坡也可能产生局部塌方</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边坡岩石也可能出现塌落移动现象</w:t>
      </w:r>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特别是暴雨季节有发生滑坡的可能</w:t>
      </w:r>
      <w:r>
        <w:rPr>
          <w:rFonts w:hint="eastAsia"/>
          <w:color w:val="000000" w:themeColor="text1"/>
          <w:lang w:val="zh-CN"/>
          <w14:textFill>
            <w14:solidFill>
              <w14:schemeClr w14:val="tx1"/>
            </w14:solidFill>
          </w14:textFill>
        </w:rPr>
        <w:t>。</w:t>
      </w:r>
    </w:p>
    <w:p w14:paraId="047DFB63">
      <w:pPr>
        <w:ind w:firstLine="560"/>
        <w:rPr>
          <w:color w:val="000000" w:themeColor="text1"/>
          <w14:textFill>
            <w14:solidFill>
              <w14:schemeClr w14:val="tx1"/>
            </w14:solidFill>
          </w14:textFill>
        </w:rPr>
      </w:pPr>
      <w:r>
        <w:rPr>
          <w:color w:val="000000" w:themeColor="text1"/>
          <w14:textFill>
            <w14:solidFill>
              <w14:schemeClr w14:val="tx1"/>
            </w14:solidFill>
          </w14:textFill>
        </w:rPr>
        <w:t>（3）建构筑物布置于残积、坡积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断裂破碎带等不良工程地质地段</w:t>
      </w:r>
      <w:r>
        <w:rPr>
          <w:rFonts w:hint="eastAsia"/>
          <w:color w:val="000000" w:themeColor="text1"/>
          <w14:textFill>
            <w14:solidFill>
              <w14:schemeClr w14:val="tx1"/>
            </w14:solidFill>
          </w14:textFill>
        </w:rPr>
        <w:t>；</w:t>
      </w:r>
    </w:p>
    <w:p w14:paraId="7021BF1B">
      <w:pPr>
        <w:ind w:firstLine="560"/>
        <w:rPr>
          <w:color w:val="000000" w:themeColor="text1"/>
          <w14:textFill>
            <w14:solidFill>
              <w14:schemeClr w14:val="tx1"/>
            </w14:solidFill>
          </w14:textFill>
        </w:rPr>
      </w:pPr>
      <w:r>
        <w:rPr>
          <w:color w:val="000000" w:themeColor="text1"/>
          <w14:textFill>
            <w14:solidFill>
              <w14:schemeClr w14:val="tx1"/>
            </w14:solidFill>
          </w14:textFill>
        </w:rPr>
        <w:t>（4）建构筑物区存在不良工程地质现象</w:t>
      </w:r>
      <w:r>
        <w:rPr>
          <w:rFonts w:hint="eastAsia"/>
          <w:color w:val="000000" w:themeColor="text1"/>
          <w14:textFill>
            <w14:solidFill>
              <w14:schemeClr w14:val="tx1"/>
            </w14:solidFill>
          </w14:textFill>
        </w:rPr>
        <w:t>；</w:t>
      </w:r>
    </w:p>
    <w:p w14:paraId="59AD6D36">
      <w:pPr>
        <w:ind w:firstLine="560"/>
        <w:rPr>
          <w:color w:val="000000" w:themeColor="text1"/>
          <w14:textFill>
            <w14:solidFill>
              <w14:schemeClr w14:val="tx1"/>
            </w14:solidFill>
          </w14:textFill>
        </w:rPr>
      </w:pPr>
      <w:r>
        <w:rPr>
          <w:color w:val="000000" w:themeColor="text1"/>
          <w14:textFill>
            <w14:solidFill>
              <w14:schemeClr w14:val="tx1"/>
            </w14:solidFill>
          </w14:textFill>
        </w:rPr>
        <w:t>（5）风化剥蚀和降雨影响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陡崖岩体脱落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斜坡上坡积滑动</w:t>
      </w:r>
      <w:r>
        <w:rPr>
          <w:rFonts w:hint="eastAsia"/>
          <w:color w:val="000000" w:themeColor="text1"/>
          <w14:textFill>
            <w14:solidFill>
              <w14:schemeClr w14:val="tx1"/>
            </w14:solidFill>
          </w14:textFill>
        </w:rPr>
        <w:t>；</w:t>
      </w:r>
    </w:p>
    <w:p w14:paraId="6D439AF0">
      <w:pPr>
        <w:ind w:firstLine="560"/>
        <w:rPr>
          <w:color w:val="000000" w:themeColor="text1"/>
          <w14:textFill>
            <w14:solidFill>
              <w14:schemeClr w14:val="tx1"/>
            </w14:solidFill>
          </w14:textFill>
        </w:rPr>
      </w:pPr>
      <w:r>
        <w:rPr>
          <w:color w:val="000000" w:themeColor="text1"/>
          <w14:textFill>
            <w14:solidFill>
              <w14:schemeClr w14:val="tx1"/>
            </w14:solidFill>
          </w14:textFill>
        </w:rPr>
        <w:t>（6）场地道路的开挖边坡陡、缺乏有效支护</w:t>
      </w:r>
      <w:r>
        <w:rPr>
          <w:rFonts w:hint="eastAsia"/>
          <w:color w:val="000000" w:themeColor="text1"/>
          <w14:textFill>
            <w14:solidFill>
              <w14:schemeClr w14:val="tx1"/>
            </w14:solidFill>
          </w14:textFill>
        </w:rPr>
        <w:t>；</w:t>
      </w:r>
    </w:p>
    <w:p w14:paraId="559BDFB9">
      <w:pPr>
        <w:ind w:firstLine="560"/>
        <w:rPr>
          <w:color w:val="000000" w:themeColor="text1"/>
          <w14:textFill>
            <w14:solidFill>
              <w14:schemeClr w14:val="tx1"/>
            </w14:solidFill>
          </w14:textFill>
        </w:rPr>
      </w:pPr>
      <w:r>
        <w:rPr>
          <w:color w:val="000000" w:themeColor="text1"/>
          <w14:textFill>
            <w14:solidFill>
              <w14:schemeClr w14:val="tx1"/>
            </w14:solidFill>
          </w14:textFill>
        </w:rPr>
        <w:t>（7）施工、生产废土缺乏有效的堆弃措施和管理</w:t>
      </w:r>
      <w:r>
        <w:rPr>
          <w:rFonts w:hint="eastAsia"/>
          <w:color w:val="000000" w:themeColor="text1"/>
          <w14:textFill>
            <w14:solidFill>
              <w14:schemeClr w14:val="tx1"/>
            </w14:solidFill>
          </w14:textFill>
        </w:rPr>
        <w:t>；</w:t>
      </w:r>
    </w:p>
    <w:p w14:paraId="57E2A3D5">
      <w:pPr>
        <w:ind w:firstLine="560"/>
        <w:rPr>
          <w:color w:val="000000" w:themeColor="text1"/>
          <w14:textFill>
            <w14:solidFill>
              <w14:schemeClr w14:val="tx1"/>
            </w14:solidFill>
          </w14:textFill>
        </w:rPr>
      </w:pPr>
      <w:r>
        <w:rPr>
          <w:color w:val="000000" w:themeColor="text1"/>
          <w14:textFill>
            <w14:solidFill>
              <w14:schemeClr w14:val="tx1"/>
            </w14:solidFill>
          </w14:textFill>
        </w:rPr>
        <w:t>（8）气象条件不详实</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截排水设施不完善或失效</w:t>
      </w:r>
      <w:r>
        <w:rPr>
          <w:rFonts w:hint="eastAsia"/>
          <w:color w:val="000000" w:themeColor="text1"/>
          <w14:textFill>
            <w14:solidFill>
              <w14:schemeClr w14:val="tx1"/>
            </w14:solidFill>
          </w14:textFill>
        </w:rPr>
        <w:t>。</w:t>
      </w:r>
    </w:p>
    <w:p w14:paraId="2CB4043D">
      <w:pPr>
        <w:ind w:firstLine="560"/>
        <w:rPr>
          <w:color w:val="000000" w:themeColor="text1"/>
          <w:lang w:val="zh-CN"/>
          <w14:textFill>
            <w14:solidFill>
              <w14:schemeClr w14:val="tx1"/>
            </w14:solidFill>
          </w14:textFill>
        </w:rPr>
      </w:pPr>
      <w:r>
        <w:rPr>
          <w:color w:val="000000" w:themeColor="text1"/>
          <w14:textFill>
            <w14:solidFill>
              <w14:schemeClr w14:val="tx1"/>
            </w14:solidFill>
          </w14:textFill>
        </w:rPr>
        <w:t>（9）</w:t>
      </w:r>
      <w:r>
        <w:rPr>
          <w:color w:val="000000" w:themeColor="text1"/>
          <w:lang w:val="zh-CN"/>
          <w14:textFill>
            <w14:solidFill>
              <w14:schemeClr w14:val="tx1"/>
            </w14:solidFill>
          </w14:textFill>
        </w:rPr>
        <w:t>矿山采用露天开采方式</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开采对地表植被有一定损坏</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采矿权人应约束自身行为</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减少对林木的破坏</w:t>
      </w:r>
      <w:r>
        <w:rPr>
          <w:rFonts w:hint="eastAsia"/>
          <w:color w:val="000000" w:themeColor="text1"/>
          <w:lang w:val="zh-CN"/>
          <w14:textFill>
            <w14:solidFill>
              <w14:schemeClr w14:val="tx1"/>
            </w14:solidFill>
          </w14:textFill>
        </w:rPr>
        <w:t>。</w:t>
      </w:r>
    </w:p>
    <w:p w14:paraId="1113542E">
      <w:pPr>
        <w:ind w:firstLine="560"/>
        <w:rPr>
          <w:color w:val="000000" w:themeColor="text1"/>
          <w:szCs w:val="28"/>
          <w14:textFill>
            <w14:solidFill>
              <w14:schemeClr w14:val="tx1"/>
            </w14:solidFill>
          </w14:textFill>
        </w:rPr>
      </w:pPr>
      <w:r>
        <w:rPr>
          <w:rFonts w:hint="eastAsia"/>
          <w:color w:val="000000" w:themeColor="text1"/>
          <w:lang w:val="zh-CN"/>
          <w14:textFill>
            <w14:solidFill>
              <w14:schemeClr w14:val="tx1"/>
            </w14:solidFill>
          </w14:textFill>
        </w:rPr>
        <w:t>（10）</w:t>
      </w:r>
      <w:r>
        <w:rPr>
          <w:rFonts w:hint="eastAsia"/>
          <w:color w:val="000000" w:themeColor="text1"/>
          <w:szCs w:val="28"/>
          <w14:textFill>
            <w14:solidFill>
              <w14:schemeClr w14:val="tx1"/>
            </w14:solidFill>
          </w14:textFill>
        </w:rPr>
        <w:t>矿</w:t>
      </w:r>
      <w:r>
        <w:rPr>
          <w:color w:val="000000" w:themeColor="text1"/>
          <w:szCs w:val="28"/>
          <w14:textFill>
            <w14:solidFill>
              <w14:schemeClr w14:val="tx1"/>
            </w14:solidFill>
          </w14:textFill>
        </w:rPr>
        <w:t>区地震烈度为</w:t>
      </w: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度，</w:t>
      </w:r>
      <w:r>
        <w:rPr>
          <w:color w:val="000000" w:themeColor="text1"/>
          <w14:textFill>
            <w14:solidFill>
              <w14:schemeClr w14:val="tx1"/>
            </w14:solidFill>
          </w14:textFill>
        </w:rPr>
        <w:t>地震破坏导致</w:t>
      </w:r>
      <w:r>
        <w:rPr>
          <w:rFonts w:hint="eastAsia"/>
          <w:color w:val="000000" w:themeColor="text1"/>
          <w14:textFill>
            <w14:solidFill>
              <w14:schemeClr w14:val="tx1"/>
            </w14:solidFill>
          </w14:textFill>
        </w:rPr>
        <w:t>山体滑坡、</w:t>
      </w:r>
      <w:r>
        <w:rPr>
          <w:color w:val="000000" w:themeColor="text1"/>
          <w14:textFill>
            <w14:solidFill>
              <w14:schemeClr w14:val="tx1"/>
            </w14:solidFill>
          </w14:textFill>
        </w:rPr>
        <w:t>人员伤亡和财产损失</w:t>
      </w:r>
      <w:r>
        <w:rPr>
          <w:rFonts w:hint="eastAsia"/>
          <w:color w:val="000000" w:themeColor="text1"/>
          <w14:textFill>
            <w14:solidFill>
              <w14:schemeClr w14:val="tx1"/>
            </w14:solidFill>
          </w14:textFill>
        </w:rPr>
        <w:t>，</w:t>
      </w:r>
      <w:r>
        <w:rPr>
          <w:color w:val="000000" w:themeColor="text1"/>
          <w:szCs w:val="28"/>
          <w14:textFill>
            <w14:solidFill>
              <w14:schemeClr w14:val="tx1"/>
            </w14:solidFill>
          </w14:textFill>
        </w:rPr>
        <w:t>各类建筑物和构筑物均按</w:t>
      </w:r>
      <w:r>
        <w:rPr>
          <w:rFonts w:hint="eastAsia"/>
          <w:color w:val="000000" w:themeColor="text1"/>
          <w:szCs w:val="28"/>
          <w14:textFill>
            <w14:solidFill>
              <w14:schemeClr w14:val="tx1"/>
            </w14:solidFill>
          </w14:textFill>
        </w:rPr>
        <w:t>6</w:t>
      </w:r>
      <w:r>
        <w:rPr>
          <w:color w:val="000000" w:themeColor="text1"/>
          <w:szCs w:val="28"/>
          <w14:textFill>
            <w14:solidFill>
              <w14:schemeClr w14:val="tx1"/>
            </w14:solidFill>
          </w14:textFill>
        </w:rPr>
        <w:t>度设防。</w:t>
      </w:r>
    </w:p>
    <w:p w14:paraId="2D912F25">
      <w:pPr>
        <w:ind w:firstLine="560"/>
        <w:rPr>
          <w:color w:val="000000" w:themeColor="text1"/>
          <w14:textFill>
            <w14:solidFill>
              <w14:schemeClr w14:val="tx1"/>
            </w14:solidFill>
          </w14:textFill>
        </w:rPr>
      </w:pPr>
      <w:bookmarkStart w:id="1962" w:name="_Toc13899"/>
      <w:bookmarkStart w:id="1963" w:name="_Toc26628"/>
      <w:bookmarkStart w:id="1964" w:name="_Toc14188"/>
      <w:r>
        <w:rPr>
          <w:rFonts w:hint="eastAsia"/>
          <w:color w:val="000000" w:themeColor="text1"/>
          <w14:textFill>
            <w14:solidFill>
              <w14:schemeClr w14:val="tx1"/>
            </w14:solidFill>
          </w14:textFill>
        </w:rPr>
        <w:t>3、车辆伤害</w:t>
      </w:r>
      <w:bookmarkEnd w:id="1962"/>
      <w:bookmarkEnd w:id="1963"/>
      <w:bookmarkEnd w:id="1964"/>
    </w:p>
    <w:p w14:paraId="35CA6E6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若道路设计不符合厂矿道路设计规范，施工质量差、坡度过大、拐弯过急等，易导致运输车辆相撞、翻车、坠落、路基坍塌、边坡失稳及滚石等隐患。运输道路上下高差较大，且地形较陡，若运输道路边缘未设置安全车挡、警示标志等，车辆冲出道路发生车辆伤害事故。</w:t>
      </w:r>
    </w:p>
    <w:p w14:paraId="31F9C4E6">
      <w:pPr>
        <w:ind w:firstLine="560"/>
        <w:rPr>
          <w:color w:val="000000" w:themeColor="text1"/>
          <w14:textFill>
            <w14:solidFill>
              <w14:schemeClr w14:val="tx1"/>
            </w14:solidFill>
          </w14:textFill>
        </w:rPr>
      </w:pPr>
      <w:bookmarkStart w:id="1965" w:name="_Toc2528"/>
      <w:bookmarkStart w:id="1966" w:name="_Toc29065"/>
      <w:bookmarkStart w:id="1967" w:name="_Toc26488"/>
      <w:r>
        <w:rPr>
          <w:rFonts w:hint="eastAsia"/>
          <w:color w:val="000000" w:themeColor="text1"/>
          <w14:textFill>
            <w14:solidFill>
              <w14:schemeClr w14:val="tx1"/>
            </w14:solidFill>
          </w14:textFill>
        </w:rPr>
        <w:t>4、高处坠落</w:t>
      </w:r>
      <w:bookmarkEnd w:id="1965"/>
      <w:bookmarkEnd w:id="1966"/>
      <w:bookmarkEnd w:id="1967"/>
    </w:p>
    <w:p w14:paraId="56038BD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矿区地形较陡，开采过程中，采场台阶、运输道路边缘未设置安全车挡、警示标志等，易发生高处坠落事故。</w:t>
      </w:r>
    </w:p>
    <w:p w14:paraId="61187A3D">
      <w:pPr>
        <w:ind w:firstLine="560"/>
        <w:rPr>
          <w:color w:val="000000" w:themeColor="text1"/>
          <w14:textFill>
            <w14:solidFill>
              <w14:schemeClr w14:val="tx1"/>
            </w14:solidFill>
          </w14:textFill>
        </w:rPr>
      </w:pPr>
      <w:bookmarkStart w:id="1968" w:name="_Toc2696"/>
      <w:bookmarkStart w:id="1969" w:name="_Toc3515"/>
      <w:bookmarkStart w:id="1970" w:name="_Toc30788"/>
      <w:r>
        <w:rPr>
          <w:rFonts w:hint="eastAsia"/>
          <w:color w:val="000000" w:themeColor="text1"/>
          <w14:textFill>
            <w14:solidFill>
              <w14:schemeClr w14:val="tx1"/>
            </w14:solidFill>
          </w14:textFill>
        </w:rPr>
        <w:t>5、火灾</w:t>
      </w:r>
      <w:bookmarkEnd w:id="1968"/>
      <w:bookmarkEnd w:id="1969"/>
      <w:bookmarkEnd w:id="1970"/>
    </w:p>
    <w:p w14:paraId="03166CC7">
      <w:pPr>
        <w:ind w:firstLine="56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矿区周围为山林，开采过程中，野外违规使用明火，引发森林火灾事故，或车辆长时间在高温下工作、车轮胎发生火灾、油管漏油引发车辆火灾事故。</w:t>
      </w:r>
      <w:r>
        <w:rPr>
          <w:color w:val="000000" w:themeColor="text1"/>
          <w:szCs w:val="28"/>
          <w14:textFill>
            <w14:solidFill>
              <w14:schemeClr w14:val="tx1"/>
            </w14:solidFill>
          </w14:textFill>
        </w:rPr>
        <w:t>工业场地装设置独立的避雷针以</w:t>
      </w:r>
      <w:r>
        <w:rPr>
          <w:rFonts w:hint="eastAsia"/>
          <w:color w:val="000000" w:themeColor="text1"/>
          <w:szCs w:val="28"/>
          <w14:textFill>
            <w14:solidFill>
              <w14:schemeClr w14:val="tx1"/>
            </w14:solidFill>
          </w14:textFill>
        </w:rPr>
        <w:t>防止</w:t>
      </w:r>
      <w:r>
        <w:rPr>
          <w:color w:val="000000" w:themeColor="text1"/>
          <w:szCs w:val="28"/>
          <w14:textFill>
            <w14:solidFill>
              <w14:schemeClr w14:val="tx1"/>
            </w14:solidFill>
          </w14:textFill>
        </w:rPr>
        <w:t>接雷，并设置独立的接地装置，</w:t>
      </w:r>
      <w:r>
        <w:rPr>
          <w:rFonts w:hint="eastAsia"/>
          <w:color w:val="000000" w:themeColor="text1"/>
          <w:szCs w:val="28"/>
          <w14:textFill>
            <w14:solidFill>
              <w14:schemeClr w14:val="tx1"/>
            </w14:solidFill>
          </w14:textFill>
        </w:rPr>
        <w:t>其他</w:t>
      </w:r>
      <w:r>
        <w:rPr>
          <w:color w:val="000000" w:themeColor="text1"/>
          <w:szCs w:val="28"/>
          <w14:textFill>
            <w14:solidFill>
              <w14:schemeClr w14:val="tx1"/>
            </w14:solidFill>
          </w14:textFill>
        </w:rPr>
        <w:t>建筑物也考虑在屋顶上装设避雷网，防止爆炸、火灾或人员伤亡事故的发生，有利于安全生产。</w:t>
      </w:r>
    </w:p>
    <w:p w14:paraId="0E57B004">
      <w:pPr>
        <w:ind w:firstLine="560"/>
        <w:rPr>
          <w:color w:val="000000" w:themeColor="text1"/>
          <w14:textFill>
            <w14:solidFill>
              <w14:schemeClr w14:val="tx1"/>
            </w14:solidFill>
          </w14:textFill>
        </w:rPr>
      </w:pPr>
      <w:bookmarkStart w:id="1971" w:name="_Toc17774"/>
      <w:bookmarkStart w:id="1972" w:name="_Toc14545"/>
      <w:bookmarkStart w:id="1973" w:name="_Toc26467"/>
      <w:r>
        <w:rPr>
          <w:rFonts w:hint="eastAsia"/>
          <w:color w:val="000000" w:themeColor="text1"/>
          <w14:textFill>
            <w14:solidFill>
              <w14:schemeClr w14:val="tx1"/>
            </w14:solidFill>
          </w14:textFill>
        </w:rPr>
        <w:t>6、</w:t>
      </w:r>
      <w:r>
        <w:rPr>
          <w:color w:val="000000" w:themeColor="text1"/>
          <w14:textFill>
            <w14:solidFill>
              <w14:schemeClr w14:val="tx1"/>
            </w14:solidFill>
          </w14:textFill>
        </w:rPr>
        <w:t>粉尘</w:t>
      </w:r>
      <w:bookmarkEnd w:id="1971"/>
      <w:bookmarkEnd w:id="1972"/>
      <w:bookmarkEnd w:id="1973"/>
    </w:p>
    <w:p w14:paraId="550832E4">
      <w:pPr>
        <w:ind w:firstLine="560"/>
        <w:rPr>
          <w:color w:val="000000" w:themeColor="text1"/>
          <w14:textFill>
            <w14:solidFill>
              <w14:schemeClr w14:val="tx1"/>
            </w14:solidFill>
          </w14:textFill>
        </w:rPr>
      </w:pPr>
      <w:r>
        <w:rPr>
          <w:color w:val="000000" w:themeColor="text1"/>
          <w14:textFill>
            <w14:solidFill>
              <w14:schemeClr w14:val="tx1"/>
            </w14:solidFill>
          </w14:textFill>
        </w:rPr>
        <w:t>矿山开采作业及</w:t>
      </w:r>
      <w:r>
        <w:rPr>
          <w:rFonts w:hint="eastAsia"/>
          <w:color w:val="000000" w:themeColor="text1"/>
          <w14:textFill>
            <w14:solidFill>
              <w14:schemeClr w14:val="tx1"/>
            </w14:solidFill>
          </w14:textFill>
        </w:rPr>
        <w:t>铲装、</w:t>
      </w:r>
      <w:r>
        <w:rPr>
          <w:color w:val="000000" w:themeColor="text1"/>
          <w14:textFill>
            <w14:solidFill>
              <w14:schemeClr w14:val="tx1"/>
            </w14:solidFill>
          </w14:textFill>
        </w:rPr>
        <w:t>运输和加工过程中形成的粉尘污染</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对环境</w:t>
      </w:r>
      <w:r>
        <w:rPr>
          <w:rFonts w:hint="eastAsia"/>
          <w:color w:val="000000" w:themeColor="text1"/>
          <w14:textFill>
            <w14:solidFill>
              <w14:schemeClr w14:val="tx1"/>
            </w14:solidFill>
          </w14:textFill>
        </w:rPr>
        <w:t>和健康</w:t>
      </w:r>
      <w:r>
        <w:rPr>
          <w:color w:val="000000" w:themeColor="text1"/>
          <w14:textFill>
            <w14:solidFill>
              <w14:schemeClr w14:val="tx1"/>
            </w14:solidFill>
          </w14:textFill>
        </w:rPr>
        <w:t>的影响主要来源于开采矿石</w:t>
      </w:r>
      <w:r>
        <w:rPr>
          <w:rFonts w:hint="eastAsia"/>
          <w:color w:val="000000" w:themeColor="text1"/>
          <w14:textFill>
            <w14:solidFill>
              <w14:schemeClr w14:val="tx1"/>
            </w14:solidFill>
          </w14:textFill>
        </w:rPr>
        <w:t>。</w:t>
      </w:r>
    </w:p>
    <w:p w14:paraId="36953077">
      <w:pPr>
        <w:ind w:firstLine="560"/>
        <w:rPr>
          <w:color w:val="000000" w:themeColor="text1"/>
          <w14:textFill>
            <w14:solidFill>
              <w14:schemeClr w14:val="tx1"/>
            </w14:solidFill>
          </w14:textFill>
        </w:rPr>
      </w:pPr>
      <w:bookmarkStart w:id="1974" w:name="_Toc31422"/>
      <w:bookmarkStart w:id="1975" w:name="_Toc18963"/>
      <w:bookmarkStart w:id="1976" w:name="_Toc12141"/>
      <w:r>
        <w:rPr>
          <w:rFonts w:hint="eastAsia"/>
          <w:color w:val="000000" w:themeColor="text1"/>
          <w14:textFill>
            <w14:solidFill>
              <w14:schemeClr w14:val="tx1"/>
            </w14:solidFill>
          </w14:textFill>
        </w:rPr>
        <w:t>7、</w:t>
      </w:r>
      <w:r>
        <w:rPr>
          <w:color w:val="000000" w:themeColor="text1"/>
          <w14:textFill>
            <w14:solidFill>
              <w14:schemeClr w14:val="tx1"/>
            </w14:solidFill>
          </w14:textFill>
        </w:rPr>
        <w:t>不良工程地质危险</w:t>
      </w:r>
      <w:bookmarkEnd w:id="1974"/>
      <w:bookmarkEnd w:id="1975"/>
      <w:bookmarkEnd w:id="1976"/>
    </w:p>
    <w:p w14:paraId="147124B1">
      <w:pPr>
        <w:ind w:firstLine="560"/>
        <w:rPr>
          <w:color w:val="000000" w:themeColor="text1"/>
          <w14:textFill>
            <w14:solidFill>
              <w14:schemeClr w14:val="tx1"/>
            </w14:solidFill>
          </w14:textFill>
        </w:rPr>
      </w:pPr>
      <w:r>
        <w:rPr>
          <w:color w:val="000000" w:themeColor="text1"/>
          <w14:textFill>
            <w14:solidFill>
              <w14:schemeClr w14:val="tx1"/>
            </w14:solidFill>
          </w14:textFill>
        </w:rPr>
        <w:t>在矿区内未发现滑坡、泥石流等突出的环境地质问题</w:t>
      </w:r>
      <w:r>
        <w:rPr>
          <w:rFonts w:hint="eastAsia"/>
          <w:color w:val="000000" w:themeColor="text1"/>
          <w14:textFill>
            <w14:solidFill>
              <w14:schemeClr w14:val="tx1"/>
            </w14:solidFill>
          </w14:textFill>
        </w:rPr>
        <w:t>。</w:t>
      </w:r>
    </w:p>
    <w:p w14:paraId="53995D83">
      <w:pPr>
        <w:ind w:firstLine="560"/>
        <w:rPr>
          <w:color w:val="000000" w:themeColor="text1"/>
          <w14:textFill>
            <w14:solidFill>
              <w14:schemeClr w14:val="tx1"/>
            </w14:solidFill>
          </w14:textFill>
        </w:rPr>
      </w:pPr>
      <w:r>
        <w:rPr>
          <w:color w:val="000000" w:themeColor="text1"/>
          <w14:textFill>
            <w14:solidFill>
              <w14:schemeClr w14:val="tx1"/>
            </w14:solidFill>
          </w14:textFill>
        </w:rPr>
        <w:t>通过调查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矿区及周边无大规模的崩塌、滑坡、泥石流、地裂缝、地面塌陷等地质灾害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矿山适合采用露天开采方式开采</w:t>
      </w:r>
      <w:r>
        <w:rPr>
          <w:rFonts w:hint="eastAsia"/>
          <w:color w:val="000000" w:themeColor="text1"/>
          <w14:textFill>
            <w14:solidFill>
              <w14:schemeClr w14:val="tx1"/>
            </w14:solidFill>
          </w14:textFill>
        </w:rPr>
        <w:t>，但植被破坏</w:t>
      </w:r>
      <w:r>
        <w:rPr>
          <w:color w:val="000000" w:themeColor="text1"/>
          <w14:textFill>
            <w14:solidFill>
              <w14:schemeClr w14:val="tx1"/>
            </w14:solidFill>
          </w14:textFill>
        </w:rPr>
        <w:t>对地质环境破坏较大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现状下不良工程地质现象以冲沟、边坡失稳为主</w:t>
      </w:r>
      <w:r>
        <w:rPr>
          <w:rFonts w:hint="eastAsia"/>
          <w:color w:val="000000" w:themeColor="text1"/>
          <w14:textFill>
            <w14:solidFill>
              <w14:schemeClr w14:val="tx1"/>
            </w14:solidFill>
          </w14:textFill>
        </w:rPr>
        <w:t>。</w:t>
      </w:r>
    </w:p>
    <w:p w14:paraId="3DA541CF">
      <w:pPr>
        <w:pStyle w:val="5"/>
        <w:spacing w:after="120"/>
        <w:rPr>
          <w:color w:val="000000" w:themeColor="text1"/>
          <w14:textFill>
            <w14:solidFill>
              <w14:schemeClr w14:val="tx1"/>
            </w14:solidFill>
          </w14:textFill>
        </w:rPr>
      </w:pPr>
      <w:bookmarkStart w:id="1977" w:name="_Toc24939"/>
      <w:bookmarkStart w:id="1978" w:name="_Toc16959"/>
      <w:bookmarkStart w:id="1979" w:name="_Toc4495"/>
      <w:bookmarkStart w:id="1980" w:name="_Toc19843"/>
      <w:bookmarkStart w:id="1981" w:name="_Toc21524"/>
      <w:bookmarkStart w:id="1982" w:name="_Toc215070237"/>
      <w:bookmarkStart w:id="1983" w:name="_Toc19597"/>
      <w:bookmarkStart w:id="1984" w:name="_Toc27282"/>
      <w:bookmarkStart w:id="1985" w:name="_Toc28472"/>
      <w:bookmarkStart w:id="1986" w:name="_Toc13575"/>
      <w:r>
        <w:rPr>
          <w:rFonts w:hint="eastAsia"/>
          <w:color w:val="000000" w:themeColor="text1"/>
          <w14:textFill>
            <w14:solidFill>
              <w14:schemeClr w14:val="tx1"/>
            </w14:solidFill>
          </w14:textFill>
        </w:rPr>
        <w:t>3.2.2矿层地质方面的主要危险、有害因素辨识与分析</w:t>
      </w:r>
      <w:bookmarkEnd w:id="1977"/>
      <w:bookmarkEnd w:id="1978"/>
      <w:bookmarkEnd w:id="1979"/>
      <w:bookmarkEnd w:id="1980"/>
      <w:bookmarkEnd w:id="1981"/>
      <w:bookmarkEnd w:id="1982"/>
      <w:bookmarkEnd w:id="1983"/>
      <w:bookmarkEnd w:id="1984"/>
      <w:bookmarkEnd w:id="1985"/>
      <w:bookmarkEnd w:id="1986"/>
    </w:p>
    <w:p w14:paraId="07DA662A">
      <w:pPr>
        <w:adjustRightInd w:val="0"/>
        <w:snapToGrid w:val="0"/>
        <w:ind w:firstLine="560"/>
        <w:rPr>
          <w:color w:val="000000" w:themeColor="text1"/>
          <w14:textFill>
            <w14:solidFill>
              <w14:schemeClr w14:val="tx1"/>
            </w14:solidFill>
          </w14:textFill>
        </w:rPr>
      </w:pPr>
      <w:r>
        <w:rPr>
          <w:color w:val="000000" w:themeColor="text1"/>
          <w14:textFill>
            <w14:solidFill>
              <w14:schemeClr w14:val="tx1"/>
            </w14:solidFill>
          </w14:textFill>
        </w:rPr>
        <w:t>矿区内岩石呈层状产出、结构致密坚硬。在矿区范围内圈定矿体一条，即V1。矿体呈层状产出，在走向及倾向方向均延伸出矿区范围，出露宽度及长度都大于200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矿体上部裂隙发育较少，完整性较好，下部因受断层影响，裂隙发育，相对破碎。矿床类型应属沉积型碳酸盐岩矿床。矿体矿物成分较简单，主要为方解石，其次为石英、长石、岩屑等。矿石为粉晶—细晶结构，薄层-中厚层状及块状构造。矿石主要化学成分为CaO，还含有少量Si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、Fe</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、A1</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、CaO等。</w:t>
      </w:r>
      <w:r>
        <w:rPr>
          <w:rFonts w:hint="eastAsia"/>
          <w:color w:val="000000" w:themeColor="text1"/>
          <w14:textFill>
            <w14:solidFill>
              <w14:schemeClr w14:val="tx1"/>
            </w14:solidFill>
          </w14:textFill>
        </w:rPr>
        <w:t>矿</w:t>
      </w:r>
      <w:r>
        <w:rPr>
          <w:color w:val="000000" w:themeColor="text1"/>
          <w14:textFill>
            <w14:solidFill>
              <w14:schemeClr w14:val="tx1"/>
            </w14:solidFill>
          </w14:textFill>
        </w:rPr>
        <w:t>体围岩及夹石</w:t>
      </w:r>
      <w:r>
        <w:rPr>
          <w:rFonts w:hint="eastAsia"/>
          <w:color w:val="000000" w:themeColor="text1"/>
          <w14:textFill>
            <w14:solidFill>
              <w14:schemeClr w14:val="tx1"/>
            </w14:solidFill>
          </w14:textFill>
        </w:rPr>
        <w:t>呈</w:t>
      </w:r>
      <w:r>
        <w:rPr>
          <w:color w:val="000000" w:themeColor="text1"/>
          <w14:textFill>
            <w14:solidFill>
              <w14:schemeClr w14:val="tx1"/>
            </w14:solidFill>
          </w14:textFill>
        </w:rPr>
        <w:t>侏罗系中统勐戛组（J</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m）灰岩、细砂岩、页岩、砾岩分布。矿区圈定的矿体为普通建筑石料用灰岩矿，无其他共（伴）生矿产。</w:t>
      </w:r>
    </w:p>
    <w:p w14:paraId="608E0311">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color w:val="000000" w:themeColor="text1"/>
          <w14:textFill>
            <w14:solidFill>
              <w14:schemeClr w14:val="tx1"/>
            </w14:solidFill>
          </w14:textFill>
        </w:rPr>
        <w:t>矿石主要化学成分</w:t>
      </w:r>
      <w:r>
        <w:rPr>
          <w:rFonts w:hint="eastAsia"/>
          <w:color w:val="000000" w:themeColor="text1"/>
          <w14:textFill>
            <w14:solidFill>
              <w14:schemeClr w14:val="tx1"/>
            </w14:solidFill>
          </w14:textFill>
        </w:rPr>
        <w:t>没有有毒、有害及放射性物资，无中毒和其它伤害风险。</w:t>
      </w:r>
    </w:p>
    <w:p w14:paraId="43188AA7">
      <w:pPr>
        <w:pStyle w:val="5"/>
        <w:spacing w:after="120"/>
        <w:rPr>
          <w:color w:val="000000" w:themeColor="text1"/>
          <w14:textFill>
            <w14:solidFill>
              <w14:schemeClr w14:val="tx1"/>
            </w14:solidFill>
          </w14:textFill>
        </w:rPr>
      </w:pPr>
      <w:bookmarkStart w:id="1987" w:name="_Toc8936"/>
      <w:bookmarkStart w:id="1988" w:name="_Toc29568"/>
      <w:bookmarkStart w:id="1989" w:name="_Toc31863"/>
      <w:bookmarkStart w:id="1990" w:name="_Toc215070238"/>
      <w:bookmarkStart w:id="1991" w:name="_Toc30077"/>
      <w:bookmarkStart w:id="1992" w:name="_Toc28973"/>
      <w:bookmarkStart w:id="1993" w:name="_Toc24719"/>
      <w:bookmarkStart w:id="1994" w:name="_Toc4500"/>
      <w:bookmarkStart w:id="1995" w:name="_Toc8775"/>
      <w:bookmarkStart w:id="1996" w:name="_Toc18894"/>
      <w:bookmarkStart w:id="1997" w:name="_Toc21045"/>
      <w:r>
        <w:rPr>
          <w:rFonts w:hint="eastAsia"/>
          <w:color w:val="000000" w:themeColor="text1"/>
          <w14:textFill>
            <w14:solidFill>
              <w14:schemeClr w14:val="tx1"/>
            </w14:solidFill>
          </w14:textFill>
        </w:rPr>
        <w:t>3.2.3工程地质方面的主要危险、有害因素辨识与分析</w:t>
      </w:r>
      <w:bookmarkEnd w:id="1987"/>
      <w:bookmarkEnd w:id="1988"/>
      <w:bookmarkEnd w:id="1989"/>
      <w:bookmarkEnd w:id="1990"/>
      <w:bookmarkEnd w:id="1991"/>
      <w:bookmarkEnd w:id="1992"/>
      <w:bookmarkEnd w:id="1993"/>
      <w:bookmarkEnd w:id="1994"/>
      <w:bookmarkEnd w:id="1995"/>
      <w:bookmarkEnd w:id="1996"/>
      <w:bookmarkEnd w:id="1997"/>
    </w:p>
    <w:p w14:paraId="1F8BFC97">
      <w:pPr>
        <w:pStyle w:val="6"/>
        <w:spacing w:before="120" w:after="120"/>
        <w:rPr>
          <w:color w:val="000000" w:themeColor="text1"/>
          <w14:textFill>
            <w14:solidFill>
              <w14:schemeClr w14:val="tx1"/>
            </w14:solidFill>
          </w14:textFill>
        </w:rPr>
      </w:pPr>
      <w:bookmarkStart w:id="1998" w:name="_Toc215070239"/>
      <w:r>
        <w:rPr>
          <w:rFonts w:hint="eastAsia"/>
          <w:color w:val="000000" w:themeColor="text1"/>
          <w14:textFill>
            <w14:solidFill>
              <w14:schemeClr w14:val="tx1"/>
            </w14:solidFill>
          </w14:textFill>
        </w:rPr>
        <w:t>3.2.3.1工程地质方面的主要危险、有害因素辨识</w:t>
      </w:r>
      <w:bookmarkEnd w:id="1998"/>
    </w:p>
    <w:p w14:paraId="5865F11D">
      <w:pPr>
        <w:tabs>
          <w:tab w:val="left" w:pos="5415"/>
        </w:tabs>
        <w:ind w:firstLine="584"/>
        <w:rPr>
          <w:rFonts w:hint="eastAsia" w:ascii="宋体" w:hAnsi="宋体" w:cs="宋体"/>
          <w:color w:val="000000" w:themeColor="text1"/>
          <w:spacing w:val="-6"/>
          <w:szCs w:val="28"/>
          <w14:textFill>
            <w14:solidFill>
              <w14:schemeClr w14:val="tx1"/>
            </w14:solidFill>
          </w14:textFill>
        </w:rPr>
      </w:pPr>
      <w:r>
        <w:rPr>
          <w:color w:val="000000" w:themeColor="text1"/>
          <w:spacing w:val="6"/>
          <w:szCs w:val="28"/>
          <w14:textFill>
            <w14:solidFill>
              <w14:schemeClr w14:val="tx1"/>
            </w14:solidFill>
          </w14:textFill>
        </w:rPr>
        <w:t>根据目前矿床出露情况及开采条件，矿山开采为露天采矿，矿床无顶板岩石，底板为灰岩，属较坚硬中厚层状弱岩溶化可溶盐岩组</w:t>
      </w:r>
      <w:r>
        <w:rPr>
          <w:rFonts w:hint="eastAsia"/>
          <w:color w:val="000000" w:themeColor="text1"/>
          <w:spacing w:val="6"/>
          <w:szCs w:val="28"/>
          <w14:textFill>
            <w14:solidFill>
              <w14:schemeClr w14:val="tx1"/>
            </w14:solidFill>
          </w14:textFill>
        </w:rPr>
        <w:t>，</w:t>
      </w:r>
      <w:r>
        <w:rPr>
          <w:rFonts w:hint="eastAsia" w:ascii="宋体" w:hAnsi="宋体" w:cs="宋体"/>
          <w:color w:val="000000" w:themeColor="text1"/>
          <w:spacing w:val="-6"/>
          <w:szCs w:val="28"/>
          <w14:textFill>
            <w14:solidFill>
              <w14:schemeClr w14:val="tx1"/>
            </w14:solidFill>
          </w14:textFill>
        </w:rPr>
        <w:t>采矿过程中边坡较大时，可能会形成小规模的坍塌，崩塌等地质灾害。</w:t>
      </w:r>
      <w:r>
        <w:rPr>
          <w:color w:val="000000" w:themeColor="text1"/>
          <w:spacing w:val="6"/>
          <w:szCs w:val="28"/>
          <w14:textFill>
            <w14:solidFill>
              <w14:schemeClr w14:val="tx1"/>
            </w14:solidFill>
          </w14:textFill>
        </w:rPr>
        <w:t>地表有0.3-5</w:t>
      </w:r>
      <w:r>
        <w:rPr>
          <w:rFonts w:hint="eastAsia"/>
          <w:color w:val="000000" w:themeColor="text1"/>
          <w:spacing w:val="6"/>
          <w:szCs w:val="28"/>
          <w14:textFill>
            <w14:solidFill>
              <w14:schemeClr w14:val="tx1"/>
            </w14:solidFill>
          </w14:textFill>
        </w:rPr>
        <w:t>m</w:t>
      </w:r>
      <w:r>
        <w:rPr>
          <w:color w:val="000000" w:themeColor="text1"/>
          <w:spacing w:val="6"/>
          <w:szCs w:val="28"/>
          <w14:textFill>
            <w14:solidFill>
              <w14:schemeClr w14:val="tx1"/>
            </w14:solidFill>
          </w14:textFill>
        </w:rPr>
        <w:t>厚残坡积层，属松散岩组，开挖过程中易产生崩塌滑坡等不良工程地质现象。同时，矿区自然坡度陡，矿石内所夹的页岩夹层，因抗风化能力弱，随着矿山开采面积的不断增大，深度的不断增加，矿区工程地质条件可能向中等偏复杂类型转化，矿区应属于裂隙状岩类为主的中等类型。</w:t>
      </w:r>
    </w:p>
    <w:p w14:paraId="59DFD195">
      <w:pPr>
        <w:adjustRightInd w:val="0"/>
        <w:snapToGrid w:val="0"/>
        <w:ind w:firstLine="560"/>
        <w:jc w:val="both"/>
        <w:rPr>
          <w:color w:val="000000" w:themeColor="text1"/>
          <w:kern w:val="0"/>
          <w:szCs w:val="28"/>
          <w14:textFill>
            <w14:solidFill>
              <w14:schemeClr w14:val="tx1"/>
            </w14:solidFill>
          </w14:textFill>
        </w:rPr>
      </w:pPr>
      <w:r>
        <w:rPr>
          <w:rFonts w:hint="eastAsia"/>
          <w:color w:val="000000" w:themeColor="text1"/>
          <w14:textFill>
            <w14:solidFill>
              <w14:schemeClr w14:val="tx1"/>
            </w14:solidFill>
          </w14:textFill>
        </w:rPr>
        <w:t>1、根据矿山工程地质条件及现场照片来看，矿山开采存在顺坡情况，易导致滑坡产生。</w:t>
      </w:r>
      <w:r>
        <w:rPr>
          <w:color w:val="000000" w:themeColor="text1"/>
          <w:spacing w:val="11"/>
          <w:szCs w:val="28"/>
          <w14:textFill>
            <w14:solidFill>
              <w14:schemeClr w14:val="tx1"/>
            </w14:solidFill>
          </w14:textFill>
        </w:rPr>
        <w:t>矿区内出露的侏罗系中统勐戛组（J</w:t>
      </w:r>
      <w:r>
        <w:rPr>
          <w:color w:val="000000" w:themeColor="text1"/>
          <w:spacing w:val="11"/>
          <w:position w:val="-2"/>
          <w:szCs w:val="28"/>
          <w:vertAlign w:val="subscript"/>
          <w14:textFill>
            <w14:solidFill>
              <w14:schemeClr w14:val="tx1"/>
            </w14:solidFill>
          </w14:textFill>
        </w:rPr>
        <w:t>2</w:t>
      </w:r>
      <w:r>
        <w:rPr>
          <w:color w:val="000000" w:themeColor="text1"/>
          <w:spacing w:val="11"/>
          <w:szCs w:val="28"/>
          <w14:textFill>
            <w14:solidFill>
              <w14:schemeClr w14:val="tx1"/>
            </w14:solidFill>
          </w14:textFill>
        </w:rPr>
        <w:t>m）强风化</w:t>
      </w:r>
      <w:r>
        <w:rPr>
          <w:color w:val="000000" w:themeColor="text1"/>
          <w:spacing w:val="16"/>
          <w:szCs w:val="28"/>
          <w14:textFill>
            <w14:solidFill>
              <w14:schemeClr w14:val="tx1"/>
            </w14:solidFill>
          </w14:textFill>
        </w:rPr>
        <w:t>—</w:t>
      </w:r>
      <w:r>
        <w:rPr>
          <w:color w:val="000000" w:themeColor="text1"/>
          <w:spacing w:val="11"/>
          <w:szCs w:val="28"/>
          <w14:textFill>
            <w14:solidFill>
              <w14:schemeClr w14:val="tx1"/>
            </w14:solidFill>
          </w14:textFill>
        </w:rPr>
        <w:t>弱</w:t>
      </w:r>
      <w:r>
        <w:rPr>
          <w:color w:val="000000" w:themeColor="text1"/>
          <w:spacing w:val="10"/>
          <w:szCs w:val="28"/>
          <w14:textFill>
            <w14:solidFill>
              <w14:schemeClr w14:val="tx1"/>
            </w14:solidFill>
          </w14:textFill>
        </w:rPr>
        <w:t>风化灰岩</w:t>
      </w:r>
      <w:r>
        <w:rPr>
          <w:color w:val="000000" w:themeColor="text1"/>
          <w:spacing w:val="16"/>
          <w:szCs w:val="28"/>
          <w14:textFill>
            <w14:solidFill>
              <w14:schemeClr w14:val="tx1"/>
            </w14:solidFill>
          </w14:textFill>
        </w:rPr>
        <w:t>及碎屑岩，属于固结—半固结的松散岩组和较软碎裂—散体结构岩</w:t>
      </w:r>
      <w:r>
        <w:rPr>
          <w:color w:val="000000" w:themeColor="text1"/>
          <w:spacing w:val="2"/>
          <w:szCs w:val="28"/>
          <w14:textFill>
            <w14:solidFill>
              <w14:schemeClr w14:val="tx1"/>
            </w14:solidFill>
          </w14:textFill>
        </w:rPr>
        <w:t>组，在该岩组中岩体较破碎，节理裂隙较发育，稳固</w:t>
      </w:r>
      <w:r>
        <w:rPr>
          <w:color w:val="000000" w:themeColor="text1"/>
          <w:spacing w:val="1"/>
          <w:szCs w:val="28"/>
          <w14:textFill>
            <w14:solidFill>
              <w14:schemeClr w14:val="tx1"/>
            </w14:solidFill>
          </w14:textFill>
        </w:rPr>
        <w:t>性较差，在开挖</w:t>
      </w:r>
      <w:r>
        <w:rPr>
          <w:color w:val="000000" w:themeColor="text1"/>
          <w:spacing w:val="9"/>
          <w:szCs w:val="28"/>
          <w14:textFill>
            <w14:solidFill>
              <w14:schemeClr w14:val="tx1"/>
            </w14:solidFill>
          </w14:textFill>
        </w:rPr>
        <w:t>条件下，局部会出现崩塌、滑坡等不良工程地质现象。</w:t>
      </w:r>
      <w:r>
        <w:rPr>
          <w:rFonts w:hint="eastAsia"/>
          <w:color w:val="000000" w:themeColor="text1"/>
          <w:spacing w:val="9"/>
          <w:szCs w:val="28"/>
          <w14:textFill>
            <w14:solidFill>
              <w14:schemeClr w14:val="tx1"/>
            </w14:solidFill>
          </w14:textFill>
        </w:rPr>
        <w:t>经</w:t>
      </w:r>
      <w:r>
        <w:rPr>
          <w:color w:val="000000" w:themeColor="text1"/>
          <w:spacing w:val="9"/>
          <w:szCs w:val="28"/>
          <w14:textFill>
            <w14:solidFill>
              <w14:schemeClr w14:val="tx1"/>
            </w14:solidFill>
          </w14:textFill>
        </w:rPr>
        <w:t>现场调查</w:t>
      </w:r>
      <w:r>
        <w:rPr>
          <w:color w:val="000000" w:themeColor="text1"/>
          <w:spacing w:val="7"/>
          <w:szCs w:val="28"/>
          <w14:textFill>
            <w14:solidFill>
              <w14:schemeClr w14:val="tx1"/>
            </w14:solidFill>
          </w14:textFill>
        </w:rPr>
        <w:t>，该岩组分布不广，主要存在于近地表及岩溶洞穴中。</w:t>
      </w:r>
      <w:r>
        <w:rPr>
          <w:color w:val="000000" w:themeColor="text1"/>
          <w:spacing w:val="13"/>
          <w:szCs w:val="28"/>
          <w14:textFill>
            <w14:solidFill>
              <w14:schemeClr w14:val="tx1"/>
            </w14:solidFill>
          </w14:textFill>
        </w:rPr>
        <w:t>矿区内侏罗系中统勐戛组（J</w:t>
      </w:r>
      <w:r>
        <w:rPr>
          <w:color w:val="000000" w:themeColor="text1"/>
          <w:spacing w:val="13"/>
          <w:position w:val="-2"/>
          <w:szCs w:val="28"/>
          <w:vertAlign w:val="subscript"/>
          <w14:textFill>
            <w14:solidFill>
              <w14:schemeClr w14:val="tx1"/>
            </w14:solidFill>
          </w14:textFill>
        </w:rPr>
        <w:t>2</w:t>
      </w:r>
      <w:r>
        <w:rPr>
          <w:color w:val="000000" w:themeColor="text1"/>
          <w:spacing w:val="13"/>
          <w:szCs w:val="28"/>
          <w14:textFill>
            <w14:solidFill>
              <w14:schemeClr w14:val="tx1"/>
            </w14:solidFill>
          </w14:textFill>
        </w:rPr>
        <w:t>m）微风化或未风化岩体岩石</w:t>
      </w:r>
      <w:r>
        <w:rPr>
          <w:color w:val="000000" w:themeColor="text1"/>
          <w:spacing w:val="12"/>
          <w:szCs w:val="28"/>
          <w14:textFill>
            <w14:solidFill>
              <w14:schemeClr w14:val="tx1"/>
            </w14:solidFill>
          </w14:textFill>
        </w:rPr>
        <w:t>均属</w:t>
      </w:r>
      <w:r>
        <w:rPr>
          <w:color w:val="000000" w:themeColor="text1"/>
          <w:spacing w:val="2"/>
          <w:szCs w:val="28"/>
          <w14:textFill>
            <w14:solidFill>
              <w14:schemeClr w14:val="tx1"/>
            </w14:solidFill>
          </w14:textFill>
        </w:rPr>
        <w:t>较坚硬中厚层状弱岩溶化可溶盐岩组。岩石完整，节理裂隙</w:t>
      </w:r>
      <w:r>
        <w:rPr>
          <w:color w:val="000000" w:themeColor="text1"/>
          <w:spacing w:val="1"/>
          <w:szCs w:val="28"/>
          <w14:textFill>
            <w14:solidFill>
              <w14:schemeClr w14:val="tx1"/>
            </w14:solidFill>
          </w14:textFill>
        </w:rPr>
        <w:t>弱发育或</w:t>
      </w:r>
      <w:r>
        <w:rPr>
          <w:color w:val="000000" w:themeColor="text1"/>
          <w:spacing w:val="11"/>
          <w:szCs w:val="28"/>
          <w14:textFill>
            <w14:solidFill>
              <w14:schemeClr w14:val="tx1"/>
            </w14:solidFill>
          </w14:textFill>
        </w:rPr>
        <w:t>不发育，中厚层</w:t>
      </w:r>
      <w:r>
        <w:rPr>
          <w:color w:val="000000" w:themeColor="text1"/>
          <w:spacing w:val="16"/>
          <w:szCs w:val="28"/>
          <w14:textFill>
            <w14:solidFill>
              <w14:schemeClr w14:val="tx1"/>
            </w14:solidFill>
          </w14:textFill>
        </w:rPr>
        <w:t>—</w:t>
      </w:r>
      <w:r>
        <w:rPr>
          <w:color w:val="000000" w:themeColor="text1"/>
          <w:spacing w:val="11"/>
          <w:szCs w:val="28"/>
          <w14:textFill>
            <w14:solidFill>
              <w14:schemeClr w14:val="tx1"/>
            </w14:solidFill>
          </w14:textFill>
        </w:rPr>
        <w:t>块状层，岩体致密坚硬，稳固性好，不易产生不良</w:t>
      </w:r>
      <w:r>
        <w:rPr>
          <w:color w:val="000000" w:themeColor="text1"/>
          <w:spacing w:val="-2"/>
          <w:szCs w:val="28"/>
          <w14:textFill>
            <w14:solidFill>
              <w14:schemeClr w14:val="tx1"/>
            </w14:solidFill>
          </w14:textFill>
        </w:rPr>
        <w:t>工程地质现象</w:t>
      </w:r>
      <w:r>
        <w:rPr>
          <w:color w:val="000000" w:themeColor="text1"/>
          <w:kern w:val="0"/>
          <w:szCs w:val="28"/>
          <w14:textFill>
            <w14:solidFill>
              <w14:schemeClr w14:val="tx1"/>
            </w14:solidFill>
          </w14:textFill>
        </w:rPr>
        <w:t>。</w:t>
      </w:r>
    </w:p>
    <w:p w14:paraId="7A78181E">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2、矿床顶底板及露采边坡稳定性分析。</w:t>
      </w:r>
      <w:r>
        <w:rPr>
          <w:color w:val="000000" w:themeColor="text1"/>
          <w:spacing w:val="6"/>
          <w:szCs w:val="28"/>
          <w14:textFill>
            <w14:solidFill>
              <w14:schemeClr w14:val="tx1"/>
            </w14:solidFill>
          </w14:textFill>
        </w:rPr>
        <w:t>矿山在露采过程中，台阶高度、露采边坡严格按有关规范执行。</w:t>
      </w:r>
      <w:r>
        <w:rPr>
          <w:rFonts w:hint="eastAsia" w:ascii="宋体" w:hAnsi="宋体" w:cs="宋体"/>
          <w:color w:val="000000" w:themeColor="text1"/>
          <w:szCs w:val="28"/>
          <w14:textFill>
            <w14:solidFill>
              <w14:schemeClr w14:val="tx1"/>
            </w14:solidFill>
          </w14:textFill>
        </w:rPr>
        <w:t>到采矿后期，由于形成采空区，可能产生不良工程地质问题，在以后的开采过程中要加以注意，应按台阶式开采，留足边坡角，在雨季加强遮拦护挡工作，以免不良地质现象的发生。</w:t>
      </w:r>
    </w:p>
    <w:p w14:paraId="6C4232AD">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p>
    <w:p w14:paraId="429F19BF">
      <w:pPr>
        <w:pStyle w:val="6"/>
        <w:spacing w:before="120" w:after="120"/>
        <w:rPr>
          <w:color w:val="000000" w:themeColor="text1"/>
          <w14:textFill>
            <w14:solidFill>
              <w14:schemeClr w14:val="tx1"/>
            </w14:solidFill>
          </w14:textFill>
        </w:rPr>
      </w:pPr>
      <w:bookmarkStart w:id="1999" w:name="_Toc215070240"/>
      <w:r>
        <w:rPr>
          <w:rFonts w:hint="eastAsia"/>
          <w:color w:val="000000" w:themeColor="text1"/>
          <w14:textFill>
            <w14:solidFill>
              <w14:schemeClr w14:val="tx1"/>
            </w14:solidFill>
          </w14:textFill>
        </w:rPr>
        <w:t>3.2.3.2工程地质方面主要危险、有害因素评价</w:t>
      </w:r>
      <w:bookmarkEnd w:id="1999"/>
    </w:p>
    <w:p w14:paraId="6CAB9AD0">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1、雨季期间采场边坡、排土场边坡易发生滑坡、坍塌等事故伤害；</w:t>
      </w:r>
    </w:p>
    <w:p w14:paraId="0E5F0305">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2、采场边坡浮石清理不及时，发生物体打击事故；</w:t>
      </w:r>
    </w:p>
    <w:p w14:paraId="6E038831">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3、矿区运输道路挖方、填方路段容易产生滚石、坍塌伤害事故；</w:t>
      </w:r>
    </w:p>
    <w:p w14:paraId="188CB48B">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4、采场边坡受爆破影响，易发生边坡滚石、坍塌等。</w:t>
      </w:r>
    </w:p>
    <w:p w14:paraId="68F6EBF8">
      <w:pPr>
        <w:pStyle w:val="6"/>
        <w:spacing w:before="120" w:after="120"/>
        <w:rPr>
          <w:color w:val="000000" w:themeColor="text1"/>
          <w14:textFill>
            <w14:solidFill>
              <w14:schemeClr w14:val="tx1"/>
            </w14:solidFill>
          </w14:textFill>
        </w:rPr>
      </w:pPr>
      <w:bookmarkStart w:id="2000" w:name="_Toc215070241"/>
      <w:r>
        <w:rPr>
          <w:rFonts w:hint="eastAsia"/>
          <w:color w:val="000000" w:themeColor="text1"/>
          <w14:textFill>
            <w14:solidFill>
              <w14:schemeClr w14:val="tx1"/>
            </w14:solidFill>
          </w14:textFill>
        </w:rPr>
        <w:t>3.2.3.3工程地质灾害防、治措施及建议</w:t>
      </w:r>
      <w:bookmarkEnd w:id="2000"/>
    </w:p>
    <w:p w14:paraId="63C78121">
      <w:pPr>
        <w:ind w:firstLine="584"/>
        <w:jc w:val="both"/>
        <w:rPr>
          <w:color w:val="000000" w:themeColor="text1"/>
          <w:spacing w:val="6"/>
          <w:szCs w:val="28"/>
          <w14:textFill>
            <w14:solidFill>
              <w14:schemeClr w14:val="tx1"/>
            </w14:solidFill>
          </w14:textFill>
        </w:rPr>
      </w:pPr>
      <w:r>
        <w:rPr>
          <w:color w:val="000000" w:themeColor="text1"/>
          <w:spacing w:val="6"/>
          <w:szCs w:val="28"/>
          <w14:textFill>
            <w14:solidFill>
              <w14:schemeClr w14:val="tx1"/>
            </w14:solidFill>
          </w14:textFill>
        </w:rPr>
        <w:t>1、建立地质灾害监测网络，分析和掌握地质灾害发展趋势，作出预警预报，视其规模及危害，及时采取必要的工程处治措施。</w:t>
      </w:r>
    </w:p>
    <w:p w14:paraId="77B1A860">
      <w:pPr>
        <w:ind w:firstLine="584"/>
        <w:jc w:val="both"/>
        <w:rPr>
          <w:color w:val="000000" w:themeColor="text1"/>
          <w:spacing w:val="6"/>
          <w:szCs w:val="28"/>
          <w14:textFill>
            <w14:solidFill>
              <w14:schemeClr w14:val="tx1"/>
            </w14:solidFill>
          </w14:textFill>
        </w:rPr>
      </w:pPr>
      <w:r>
        <w:rPr>
          <w:color w:val="000000" w:themeColor="text1"/>
          <w:spacing w:val="6"/>
          <w:szCs w:val="28"/>
          <w14:textFill>
            <w14:solidFill>
              <w14:schemeClr w14:val="tx1"/>
            </w14:solidFill>
          </w14:textFill>
        </w:rPr>
        <w:t>2、</w:t>
      </w:r>
      <w:r>
        <w:rPr>
          <w:rFonts w:hint="eastAsia"/>
          <w:color w:val="000000" w:themeColor="text1"/>
          <w:spacing w:val="6"/>
          <w:szCs w:val="28"/>
          <w14:textFill>
            <w14:solidFill>
              <w14:schemeClr w14:val="tx1"/>
            </w14:solidFill>
          </w14:textFill>
        </w:rPr>
        <w:t>按照设计施工</w:t>
      </w:r>
      <w:r>
        <w:rPr>
          <w:color w:val="000000" w:themeColor="text1"/>
          <w:spacing w:val="6"/>
          <w:szCs w:val="28"/>
          <w14:textFill>
            <w14:solidFill>
              <w14:schemeClr w14:val="tx1"/>
            </w14:solidFill>
          </w14:textFill>
        </w:rPr>
        <w:t>，有序生产。</w:t>
      </w:r>
    </w:p>
    <w:p w14:paraId="75955F76">
      <w:pPr>
        <w:pStyle w:val="18"/>
        <w:ind w:firstLine="584"/>
        <w:rPr>
          <w:color w:val="000000" w:themeColor="text1"/>
          <w14:textFill>
            <w14:solidFill>
              <w14:schemeClr w14:val="tx1"/>
            </w14:solidFill>
          </w14:textFill>
        </w:rPr>
      </w:pPr>
      <w:r>
        <w:rPr>
          <w:color w:val="000000" w:themeColor="text1"/>
          <w:spacing w:val="6"/>
          <w:szCs w:val="28"/>
          <w14:textFill>
            <w14:solidFill>
              <w14:schemeClr w14:val="tx1"/>
            </w14:solidFill>
          </w14:textFill>
        </w:rPr>
        <w:t>3、</w:t>
      </w:r>
      <w:r>
        <w:rPr>
          <w:rFonts w:hint="eastAsia"/>
          <w:color w:val="000000" w:themeColor="text1"/>
          <w:spacing w:val="6"/>
          <w:szCs w:val="28"/>
          <w14:textFill>
            <w14:solidFill>
              <w14:schemeClr w14:val="tx1"/>
            </w14:solidFill>
          </w14:textFill>
        </w:rPr>
        <w:t>按规范开展</w:t>
      </w:r>
      <w:r>
        <w:rPr>
          <w:color w:val="000000" w:themeColor="text1"/>
          <w:spacing w:val="6"/>
          <w:szCs w:val="28"/>
          <w14:textFill>
            <w14:solidFill>
              <w14:schemeClr w14:val="tx1"/>
            </w14:solidFill>
          </w14:textFill>
        </w:rPr>
        <w:t>边坡的稳定性</w:t>
      </w:r>
      <w:r>
        <w:rPr>
          <w:rFonts w:hint="eastAsia"/>
          <w:color w:val="000000" w:themeColor="text1"/>
          <w:spacing w:val="6"/>
          <w:szCs w:val="28"/>
          <w14:textFill>
            <w14:solidFill>
              <w14:schemeClr w14:val="tx1"/>
            </w14:solidFill>
          </w14:textFill>
        </w:rPr>
        <w:t>和</w:t>
      </w:r>
      <w:r>
        <w:rPr>
          <w:color w:val="000000" w:themeColor="text1"/>
          <w:spacing w:val="6"/>
          <w:szCs w:val="28"/>
          <w14:textFill>
            <w14:solidFill>
              <w14:schemeClr w14:val="tx1"/>
            </w14:solidFill>
          </w14:textFill>
        </w:rPr>
        <w:t>监测</w:t>
      </w:r>
      <w:r>
        <w:rPr>
          <w:rFonts w:hint="eastAsia"/>
          <w:color w:val="000000" w:themeColor="text1"/>
          <w:spacing w:val="6"/>
          <w:szCs w:val="28"/>
          <w14:textFill>
            <w14:solidFill>
              <w14:schemeClr w14:val="tx1"/>
            </w14:solidFill>
          </w14:textFill>
        </w:rPr>
        <w:t>，加强安全检查，及时处理</w:t>
      </w:r>
      <w:r>
        <w:rPr>
          <w:rFonts w:hint="eastAsia"/>
          <w:color w:val="000000" w:themeColor="text1"/>
          <w14:textFill>
            <w14:solidFill>
              <w14:schemeClr w14:val="tx1"/>
            </w14:solidFill>
          </w14:textFill>
        </w:rPr>
        <w:t>危险、有害因素，预防地质灾害事故</w:t>
      </w:r>
      <w:r>
        <w:rPr>
          <w:rFonts w:hint="eastAsia"/>
          <w:color w:val="000000" w:themeColor="text1"/>
          <w:spacing w:val="6"/>
          <w:szCs w:val="28"/>
          <w14:textFill>
            <w14:solidFill>
              <w14:schemeClr w14:val="tx1"/>
            </w14:solidFill>
          </w14:textFill>
        </w:rPr>
        <w:t>。</w:t>
      </w:r>
    </w:p>
    <w:p w14:paraId="7E7C23FB">
      <w:pPr>
        <w:pStyle w:val="5"/>
        <w:spacing w:after="120"/>
        <w:rPr>
          <w:color w:val="000000" w:themeColor="text1"/>
          <w14:textFill>
            <w14:solidFill>
              <w14:schemeClr w14:val="tx1"/>
            </w14:solidFill>
          </w14:textFill>
        </w:rPr>
      </w:pPr>
      <w:bookmarkStart w:id="2001" w:name="_Toc32450"/>
      <w:bookmarkStart w:id="2002" w:name="_Toc13681"/>
      <w:bookmarkStart w:id="2003" w:name="_Toc7804"/>
      <w:bookmarkStart w:id="2004" w:name="_Toc1201"/>
      <w:bookmarkStart w:id="2005" w:name="_Toc24527"/>
      <w:bookmarkStart w:id="2006" w:name="_Toc10340"/>
      <w:bookmarkStart w:id="2007" w:name="_Toc13765"/>
      <w:bookmarkStart w:id="2008" w:name="_Toc19283"/>
      <w:bookmarkStart w:id="2009" w:name="_Toc215070242"/>
      <w:bookmarkStart w:id="2010" w:name="_Toc8731"/>
      <w:bookmarkStart w:id="2011" w:name="_Toc24678"/>
      <w:r>
        <w:rPr>
          <w:rFonts w:hint="eastAsia"/>
          <w:color w:val="000000" w:themeColor="text1"/>
          <w14:textFill>
            <w14:solidFill>
              <w14:schemeClr w14:val="tx1"/>
            </w14:solidFill>
          </w14:textFill>
        </w:rPr>
        <w:t>3.2.4环境地质方面的主要危险、有害因素辨识与分析</w:t>
      </w:r>
      <w:bookmarkEnd w:id="2001"/>
      <w:bookmarkEnd w:id="2002"/>
      <w:bookmarkEnd w:id="2003"/>
      <w:bookmarkEnd w:id="2004"/>
      <w:bookmarkEnd w:id="2005"/>
      <w:bookmarkEnd w:id="2006"/>
      <w:bookmarkEnd w:id="2007"/>
      <w:bookmarkEnd w:id="2008"/>
      <w:bookmarkEnd w:id="2009"/>
      <w:bookmarkEnd w:id="2010"/>
      <w:bookmarkEnd w:id="2011"/>
    </w:p>
    <w:p w14:paraId="7B7D4699">
      <w:pPr>
        <w:pStyle w:val="6"/>
        <w:spacing w:before="120" w:after="120"/>
        <w:rPr>
          <w:color w:val="000000" w:themeColor="text1"/>
          <w14:textFill>
            <w14:solidFill>
              <w14:schemeClr w14:val="tx1"/>
            </w14:solidFill>
          </w14:textFill>
        </w:rPr>
      </w:pPr>
      <w:bookmarkStart w:id="2012" w:name="_Toc25505"/>
      <w:bookmarkStart w:id="2013" w:name="_Toc6709"/>
      <w:bookmarkStart w:id="2014" w:name="_Toc31581"/>
      <w:bookmarkStart w:id="2015" w:name="_Toc3777"/>
      <w:bookmarkStart w:id="2016" w:name="_Toc3153"/>
      <w:bookmarkStart w:id="2017" w:name="_Toc2663"/>
      <w:bookmarkStart w:id="2018" w:name="_Toc215070243"/>
      <w:bookmarkStart w:id="2019" w:name="_Toc11948"/>
      <w:r>
        <w:rPr>
          <w:rFonts w:hint="eastAsia"/>
          <w:color w:val="000000" w:themeColor="text1"/>
          <w14:textFill>
            <w14:solidFill>
              <w14:schemeClr w14:val="tx1"/>
            </w14:solidFill>
          </w14:textFill>
        </w:rPr>
        <w:t>3.2.4.1</w:t>
      </w:r>
      <w:r>
        <w:rPr>
          <w:color w:val="000000" w:themeColor="text1"/>
          <w14:textFill>
            <w14:solidFill>
              <w14:schemeClr w14:val="tx1"/>
            </w14:solidFill>
          </w14:textFill>
        </w:rPr>
        <w:t>矿区环境地质分析</w:t>
      </w:r>
      <w:bookmarkEnd w:id="2012"/>
      <w:bookmarkEnd w:id="2013"/>
      <w:bookmarkEnd w:id="2014"/>
      <w:bookmarkEnd w:id="2015"/>
      <w:bookmarkEnd w:id="2016"/>
      <w:bookmarkEnd w:id="2017"/>
      <w:bookmarkEnd w:id="2018"/>
      <w:bookmarkEnd w:id="2019"/>
    </w:p>
    <w:p w14:paraId="100A4383">
      <w:pPr>
        <w:ind w:firstLine="584"/>
        <w:jc w:val="both"/>
        <w:rPr>
          <w:color w:val="000000" w:themeColor="text1"/>
          <w:szCs w:val="28"/>
          <w14:textFill>
            <w14:solidFill>
              <w14:schemeClr w14:val="tx1"/>
            </w14:solidFill>
          </w14:textFill>
        </w:rPr>
      </w:pPr>
      <w:r>
        <w:rPr>
          <w:color w:val="000000" w:themeColor="text1"/>
          <w:spacing w:val="6"/>
          <w:szCs w:val="28"/>
          <w14:textFill>
            <w14:solidFill>
              <w14:schemeClr w14:val="tx1"/>
            </w14:solidFill>
          </w14:textFill>
        </w:rPr>
        <w:t>根据《中国地</w:t>
      </w:r>
      <w:r>
        <w:rPr>
          <w:color w:val="000000" w:themeColor="text1"/>
          <w:spacing w:val="5"/>
          <w:szCs w:val="28"/>
          <w14:textFill>
            <w14:solidFill>
              <w14:schemeClr w14:val="tx1"/>
            </w14:solidFill>
          </w14:textFill>
        </w:rPr>
        <w:t>震参数</w:t>
      </w:r>
      <w:r>
        <w:rPr>
          <w:color w:val="000000" w:themeColor="text1"/>
          <w:spacing w:val="3"/>
          <w:szCs w:val="28"/>
          <w14:textFill>
            <w14:solidFill>
              <w14:schemeClr w14:val="tx1"/>
            </w14:solidFill>
          </w14:textFill>
        </w:rPr>
        <w:t>区划图（</w:t>
      </w:r>
      <w:r>
        <w:rPr>
          <w:color w:val="000000" w:themeColor="text1"/>
          <w:szCs w:val="28"/>
          <w14:textFill>
            <w14:solidFill>
              <w14:schemeClr w14:val="tx1"/>
            </w14:solidFill>
          </w14:textFill>
        </w:rPr>
        <w:t>GB</w:t>
      </w:r>
      <w:r>
        <w:rPr>
          <w:color w:val="000000" w:themeColor="text1"/>
          <w:spacing w:val="3"/>
          <w:szCs w:val="28"/>
          <w14:textFill>
            <w14:solidFill>
              <w14:schemeClr w14:val="tx1"/>
            </w14:solidFill>
          </w14:textFill>
        </w:rPr>
        <w:t>18306-2015）》的规定，该区属抗</w:t>
      </w:r>
      <w:r>
        <w:rPr>
          <w:color w:val="000000" w:themeColor="text1"/>
          <w:spacing w:val="2"/>
          <w:szCs w:val="28"/>
          <w14:textFill>
            <w14:solidFill>
              <w14:schemeClr w14:val="tx1"/>
            </w14:solidFill>
          </w14:textFill>
        </w:rPr>
        <w:t>震设防烈度</w:t>
      </w:r>
      <w:r>
        <w:rPr>
          <w:rFonts w:hint="eastAsia"/>
          <w:color w:val="000000" w:themeColor="text1"/>
          <w:spacing w:val="2"/>
          <w:szCs w:val="28"/>
          <w14:textFill>
            <w14:solidFill>
              <w14:schemeClr w14:val="tx1"/>
            </w14:solidFill>
          </w14:textFill>
        </w:rPr>
        <w:t>6</w:t>
      </w:r>
      <w:r>
        <w:rPr>
          <w:color w:val="000000" w:themeColor="text1"/>
          <w:spacing w:val="2"/>
          <w:szCs w:val="28"/>
          <w14:textFill>
            <w14:solidFill>
              <w14:schemeClr w14:val="tx1"/>
            </w14:solidFill>
          </w14:textFill>
        </w:rPr>
        <w:t>度</w:t>
      </w:r>
      <w:r>
        <w:rPr>
          <w:color w:val="000000" w:themeColor="text1"/>
          <w:spacing w:val="6"/>
          <w:szCs w:val="28"/>
          <w14:textFill>
            <w14:solidFill>
              <w14:schemeClr w14:val="tx1"/>
            </w14:solidFill>
          </w14:textFill>
        </w:rPr>
        <w:t>。按照云南省国土资源遥感综合项目成果《云南省</w:t>
      </w:r>
      <w:r>
        <w:rPr>
          <w:color w:val="000000" w:themeColor="text1"/>
          <w:spacing w:val="1"/>
          <w:szCs w:val="28"/>
          <w14:textFill>
            <w14:solidFill>
              <w14:schemeClr w14:val="tx1"/>
            </w14:solidFill>
          </w14:textFill>
        </w:rPr>
        <w:t>区域地壳稳定性评价图》，该区地壳稳定性属次稳定区。</w:t>
      </w:r>
      <w:r>
        <w:rPr>
          <w:color w:val="000000" w:themeColor="text1"/>
          <w:spacing w:val="9"/>
          <w:szCs w:val="28"/>
          <w14:textFill>
            <w14:solidFill>
              <w14:schemeClr w14:val="tx1"/>
            </w14:solidFill>
          </w14:textFill>
        </w:rPr>
        <w:t>矿区附</w:t>
      </w:r>
      <w:r>
        <w:rPr>
          <w:color w:val="000000" w:themeColor="text1"/>
          <w:spacing w:val="8"/>
          <w:szCs w:val="28"/>
          <w14:textFill>
            <w14:solidFill>
              <w14:schemeClr w14:val="tx1"/>
            </w14:solidFill>
          </w14:textFill>
        </w:rPr>
        <w:t>近地表分布灌木丛，</w:t>
      </w:r>
      <w:r>
        <w:rPr>
          <w:color w:val="000000" w:themeColor="text1"/>
          <w:spacing w:val="2"/>
          <w:szCs w:val="28"/>
          <w14:textFill>
            <w14:solidFill>
              <w14:schemeClr w14:val="tx1"/>
            </w14:solidFill>
          </w14:textFill>
        </w:rPr>
        <w:t>矿区几乎全部为植被覆盖，森林植被覆盖率高</w:t>
      </w:r>
      <w:r>
        <w:rPr>
          <w:color w:val="000000" w:themeColor="text1"/>
          <w:spacing w:val="1"/>
          <w:szCs w:val="28"/>
          <w14:textFill>
            <w14:solidFill>
              <w14:schemeClr w14:val="tx1"/>
            </w14:solidFill>
          </w14:textFill>
        </w:rPr>
        <w:t>，地表生态环境好，现</w:t>
      </w:r>
      <w:r>
        <w:rPr>
          <w:color w:val="000000" w:themeColor="text1"/>
          <w:spacing w:val="4"/>
          <w:szCs w:val="28"/>
          <w14:textFill>
            <w14:solidFill>
              <w14:schemeClr w14:val="tx1"/>
            </w14:solidFill>
          </w14:textFill>
        </w:rPr>
        <w:t>状水土流失现象不严重，地面变形、塌陷、滑坡、泥</w:t>
      </w:r>
      <w:r>
        <w:rPr>
          <w:color w:val="000000" w:themeColor="text1"/>
          <w:spacing w:val="3"/>
          <w:szCs w:val="28"/>
          <w14:textFill>
            <w14:solidFill>
              <w14:schemeClr w14:val="tx1"/>
            </w14:solidFill>
          </w14:textFill>
        </w:rPr>
        <w:t>石流等地质灾害</w:t>
      </w:r>
      <w:r>
        <w:rPr>
          <w:color w:val="000000" w:themeColor="text1"/>
          <w:spacing w:val="4"/>
          <w:szCs w:val="28"/>
          <w14:textFill>
            <w14:solidFill>
              <w14:schemeClr w14:val="tx1"/>
            </w14:solidFill>
          </w14:textFill>
        </w:rPr>
        <w:t>不发育，现状地质环境条件良好。</w:t>
      </w:r>
      <w:r>
        <w:rPr>
          <w:color w:val="000000" w:themeColor="text1"/>
          <w14:textFill>
            <w14:solidFill>
              <w14:schemeClr w14:val="tx1"/>
            </w14:solidFill>
          </w14:textFill>
        </w:rPr>
        <w:t>矿区范围内无工矿企业和耕地分布，人类活动轻微，现状人类工程活动不强烈。</w:t>
      </w:r>
      <w:r>
        <w:rPr>
          <w:color w:val="000000" w:themeColor="text1"/>
          <w:spacing w:val="4"/>
          <w:szCs w:val="28"/>
          <w14:textFill>
            <w14:solidFill>
              <w14:schemeClr w14:val="tx1"/>
            </w14:solidFill>
          </w14:textFill>
        </w:rPr>
        <w:t>矿区环境地质条件简单</w:t>
      </w:r>
      <w:r>
        <w:rPr>
          <w:color w:val="000000" w:themeColor="text1"/>
          <w:szCs w:val="28"/>
          <w14:textFill>
            <w14:solidFill>
              <w14:schemeClr w14:val="tx1"/>
            </w14:solidFill>
          </w14:textFill>
        </w:rPr>
        <w:t>。</w:t>
      </w:r>
    </w:p>
    <w:p w14:paraId="74CCA9AA">
      <w:pPr>
        <w:pStyle w:val="6"/>
        <w:spacing w:before="120" w:after="120"/>
        <w:rPr>
          <w:color w:val="000000" w:themeColor="text1"/>
          <w14:textFill>
            <w14:solidFill>
              <w14:schemeClr w14:val="tx1"/>
            </w14:solidFill>
          </w14:textFill>
        </w:rPr>
      </w:pPr>
      <w:bookmarkStart w:id="2020" w:name="_Toc1718"/>
      <w:bookmarkStart w:id="2021" w:name="_Toc17462"/>
      <w:bookmarkStart w:id="2022" w:name="_Toc4371"/>
      <w:bookmarkStart w:id="2023" w:name="_Toc10494"/>
      <w:bookmarkStart w:id="2024" w:name="_Toc8946"/>
      <w:bookmarkStart w:id="2025" w:name="_Toc23526"/>
      <w:bookmarkStart w:id="2026" w:name="_Toc215070244"/>
      <w:bookmarkStart w:id="2027" w:name="_Toc14944"/>
      <w:r>
        <w:rPr>
          <w:color w:val="000000" w:themeColor="text1"/>
          <w14:textFill>
            <w14:solidFill>
              <w14:schemeClr w14:val="tx1"/>
            </w14:solidFill>
          </w14:textFill>
        </w:rPr>
        <w:t>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.2环境地质</w:t>
      </w:r>
      <w:r>
        <w:rPr>
          <w:rFonts w:hint="eastAsia"/>
          <w:color w:val="000000" w:themeColor="text1"/>
          <w14:textFill>
            <w14:solidFill>
              <w14:schemeClr w14:val="tx1"/>
            </w14:solidFill>
          </w14:textFill>
        </w:rPr>
        <w:t>主要危险、有害因素辨识</w:t>
      </w:r>
      <w:bookmarkEnd w:id="2020"/>
      <w:bookmarkEnd w:id="2021"/>
      <w:bookmarkEnd w:id="2022"/>
      <w:bookmarkEnd w:id="2023"/>
      <w:bookmarkEnd w:id="2024"/>
      <w:bookmarkEnd w:id="2025"/>
      <w:bookmarkEnd w:id="2026"/>
      <w:bookmarkEnd w:id="2027"/>
    </w:p>
    <w:p w14:paraId="6A95DDFC">
      <w:pPr>
        <w:numPr>
          <w:ilvl w:val="0"/>
          <w:numId w:val="8"/>
        </w:numPr>
        <w:ind w:firstLine="560"/>
        <w:rPr>
          <w:color w:val="000000" w:themeColor="text1"/>
          <w14:textFill>
            <w14:solidFill>
              <w14:schemeClr w14:val="tx1"/>
            </w14:solidFill>
          </w14:textFill>
        </w:rPr>
      </w:pPr>
      <w:r>
        <w:rPr>
          <w:color w:val="000000" w:themeColor="text1"/>
          <w14:textFill>
            <w14:solidFill>
              <w14:schemeClr w14:val="tx1"/>
            </w14:solidFill>
          </w14:textFill>
        </w:rPr>
        <w:t>采石活动所开采的普通建筑石料用灰岩不易分解有害组份，对水资源环境污染小，对人体健康无影响和危害，矿区内及周边地下水无污染。</w:t>
      </w:r>
    </w:p>
    <w:p w14:paraId="1271F6E0">
      <w:pPr>
        <w:numPr>
          <w:ilvl w:val="0"/>
          <w:numId w:val="8"/>
        </w:numPr>
        <w:ind w:firstLine="560"/>
        <w:rPr>
          <w:color w:val="000000" w:themeColor="text1"/>
          <w14:textFill>
            <w14:solidFill>
              <w14:schemeClr w14:val="tx1"/>
            </w14:solidFill>
          </w14:textFill>
        </w:rPr>
      </w:pPr>
      <w:r>
        <w:rPr>
          <w:color w:val="000000" w:themeColor="text1"/>
          <w14:textFill>
            <w14:solidFill>
              <w14:schemeClr w14:val="tx1"/>
            </w14:solidFill>
          </w14:textFill>
        </w:rPr>
        <w:t>矿山的开发利用为普通建筑石料用灰岩矿，所采的矿石，不分解有毒有害物质</w:t>
      </w:r>
      <w:r>
        <w:rPr>
          <w:rFonts w:hint="eastAsia"/>
          <w:color w:val="000000" w:themeColor="text1"/>
          <w14:textFill>
            <w14:solidFill>
              <w14:schemeClr w14:val="tx1"/>
            </w14:solidFill>
          </w14:textFill>
        </w:rPr>
        <w:t>。</w:t>
      </w:r>
    </w:p>
    <w:p w14:paraId="39189930">
      <w:pPr>
        <w:numPr>
          <w:ilvl w:val="0"/>
          <w:numId w:val="8"/>
        </w:numPr>
        <w:ind w:firstLine="560"/>
        <w:rPr>
          <w:color w:val="000000" w:themeColor="text1"/>
          <w14:textFill>
            <w14:solidFill>
              <w14:schemeClr w14:val="tx1"/>
            </w14:solidFill>
          </w14:textFill>
        </w:rPr>
      </w:pPr>
      <w:r>
        <w:rPr>
          <w:color w:val="000000" w:themeColor="text1"/>
          <w14:textFill>
            <w14:solidFill>
              <w14:schemeClr w14:val="tx1"/>
            </w14:solidFill>
          </w14:textFill>
        </w:rPr>
        <w:t>采矿和矿石运输产生的粉尘对周围有一定的污染。但</w:t>
      </w:r>
      <w:r>
        <w:rPr>
          <w:rFonts w:hint="eastAsia"/>
          <w:color w:val="000000" w:themeColor="text1"/>
          <w14:textFill>
            <w14:solidFill>
              <w14:schemeClr w14:val="tx1"/>
            </w14:solidFill>
          </w14:textFill>
        </w:rPr>
        <w:t>只要采取降尘和防尘措施</w:t>
      </w:r>
      <w:r>
        <w:rPr>
          <w:color w:val="000000" w:themeColor="text1"/>
          <w14:textFill>
            <w14:solidFill>
              <w14:schemeClr w14:val="tx1"/>
            </w14:solidFill>
          </w14:textFill>
        </w:rPr>
        <w:t>，矿山开采基本适宜。</w:t>
      </w:r>
    </w:p>
    <w:p w14:paraId="7FB9878C">
      <w:pPr>
        <w:numPr>
          <w:ilvl w:val="0"/>
          <w:numId w:val="8"/>
        </w:numPr>
        <w:ind w:firstLine="560"/>
        <w:rPr>
          <w:color w:val="000000" w:themeColor="text1"/>
          <w14:textFill>
            <w14:solidFill>
              <w14:schemeClr w14:val="tx1"/>
            </w14:solidFill>
          </w14:textFill>
        </w:rPr>
      </w:pPr>
      <w:r>
        <w:rPr>
          <w:color w:val="000000" w:themeColor="text1"/>
          <w14:textFill>
            <w14:solidFill>
              <w14:schemeClr w14:val="tx1"/>
            </w14:solidFill>
          </w14:textFill>
        </w:rPr>
        <w:t>采矿过程中，由于对天然边坡的破坏，局部地段会出现滑坡，崩塌等不良工程地质现象</w:t>
      </w:r>
      <w:r>
        <w:rPr>
          <w:rFonts w:hint="eastAsia"/>
          <w:color w:val="000000" w:themeColor="text1"/>
          <w14:textFill>
            <w14:solidFill>
              <w14:schemeClr w14:val="tx1"/>
            </w14:solidFill>
          </w14:textFill>
        </w:rPr>
        <w:t>。</w:t>
      </w:r>
    </w:p>
    <w:p w14:paraId="0B92002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矿区由于施工采矿工程及修筑公路，对地表产生了一定的破坏，局部有滑坡、崩塌现象，废渣在斜坡上形成了不稳定边坡，存在一定的滑坡安全隐患。</w:t>
      </w:r>
    </w:p>
    <w:p w14:paraId="7B1C4FB3">
      <w:pPr>
        <w:pStyle w:val="6"/>
        <w:spacing w:before="120" w:after="120"/>
        <w:rPr>
          <w:color w:val="000000" w:themeColor="text1"/>
          <w14:textFill>
            <w14:solidFill>
              <w14:schemeClr w14:val="tx1"/>
            </w14:solidFill>
          </w14:textFill>
        </w:rPr>
      </w:pPr>
      <w:bookmarkStart w:id="2028" w:name="_Toc6795"/>
      <w:bookmarkStart w:id="2029" w:name="_Toc21384"/>
      <w:bookmarkStart w:id="2030" w:name="_Toc11297"/>
      <w:bookmarkStart w:id="2031" w:name="_Toc215070245"/>
      <w:bookmarkStart w:id="2032" w:name="_Toc29419"/>
      <w:bookmarkStart w:id="2033" w:name="_Toc3745"/>
      <w:bookmarkStart w:id="2034" w:name="_Toc239"/>
      <w:bookmarkStart w:id="2035" w:name="_Toc3149"/>
      <w:bookmarkStart w:id="2036" w:name="_Toc20184"/>
      <w:r>
        <w:rPr>
          <w:rFonts w:hint="eastAsia"/>
          <w:color w:val="000000" w:themeColor="text1"/>
          <w14:textFill>
            <w14:solidFill>
              <w14:schemeClr w14:val="tx1"/>
            </w14:solidFill>
          </w14:textFill>
        </w:rPr>
        <w:t>3.2.4.3</w:t>
      </w:r>
      <w:bookmarkEnd w:id="2028"/>
      <w:r>
        <w:rPr>
          <w:rFonts w:hint="eastAsia"/>
          <w:color w:val="000000" w:themeColor="text1"/>
          <w14:textFill>
            <w14:solidFill>
              <w14:schemeClr w14:val="tx1"/>
            </w14:solidFill>
          </w14:textFill>
        </w:rPr>
        <w:t>地质灾害防、治措施及建议</w:t>
      </w:r>
      <w:bookmarkEnd w:id="2029"/>
      <w:bookmarkEnd w:id="2030"/>
      <w:bookmarkEnd w:id="2031"/>
      <w:bookmarkEnd w:id="2032"/>
      <w:bookmarkEnd w:id="2033"/>
      <w:bookmarkEnd w:id="2034"/>
      <w:bookmarkEnd w:id="2035"/>
      <w:bookmarkEnd w:id="2036"/>
    </w:p>
    <w:p w14:paraId="082A7214">
      <w:pPr>
        <w:ind w:firstLine="584"/>
        <w:jc w:val="both"/>
        <w:rPr>
          <w:color w:val="000000" w:themeColor="text1"/>
          <w:spacing w:val="6"/>
          <w:szCs w:val="28"/>
          <w14:textFill>
            <w14:solidFill>
              <w14:schemeClr w14:val="tx1"/>
            </w14:solidFill>
          </w14:textFill>
        </w:rPr>
      </w:pPr>
      <w:r>
        <w:rPr>
          <w:color w:val="000000" w:themeColor="text1"/>
          <w:spacing w:val="6"/>
          <w:szCs w:val="28"/>
          <w14:textFill>
            <w14:solidFill>
              <w14:schemeClr w14:val="tx1"/>
            </w14:solidFill>
          </w14:textFill>
        </w:rPr>
        <w:t>1、建立地质灾害监测网络，分析和掌握地质灾害发展趋势，作出预警预报，视其规模及危害，及时采取必要的工程处治措施。</w:t>
      </w:r>
    </w:p>
    <w:p w14:paraId="5F671A0B">
      <w:pPr>
        <w:ind w:firstLine="584"/>
        <w:jc w:val="both"/>
        <w:rPr>
          <w:color w:val="000000" w:themeColor="text1"/>
          <w:spacing w:val="6"/>
          <w:szCs w:val="28"/>
          <w14:textFill>
            <w14:solidFill>
              <w14:schemeClr w14:val="tx1"/>
            </w14:solidFill>
          </w14:textFill>
        </w:rPr>
      </w:pPr>
      <w:r>
        <w:rPr>
          <w:color w:val="000000" w:themeColor="text1"/>
          <w:spacing w:val="6"/>
          <w:szCs w:val="28"/>
          <w14:textFill>
            <w14:solidFill>
              <w14:schemeClr w14:val="tx1"/>
            </w14:solidFill>
          </w14:textFill>
        </w:rPr>
        <w:t>2、加强环保意识，严密规划，有序生产。</w:t>
      </w:r>
    </w:p>
    <w:p w14:paraId="115EFB5B">
      <w:pPr>
        <w:ind w:firstLine="584"/>
        <w:jc w:val="both"/>
        <w:rPr>
          <w:color w:val="000000" w:themeColor="text1"/>
          <w:spacing w:val="6"/>
          <w:szCs w:val="28"/>
          <w14:textFill>
            <w14:solidFill>
              <w14:schemeClr w14:val="tx1"/>
            </w14:solidFill>
          </w14:textFill>
        </w:rPr>
      </w:pPr>
      <w:r>
        <w:rPr>
          <w:color w:val="000000" w:themeColor="text1"/>
          <w:spacing w:val="6"/>
          <w:szCs w:val="28"/>
          <w14:textFill>
            <w14:solidFill>
              <w14:schemeClr w14:val="tx1"/>
            </w14:solidFill>
          </w14:textFill>
        </w:rPr>
        <w:t>3、矿山采矿过程中注意边坡的稳定性，并对边坡进行监测</w:t>
      </w:r>
      <w:r>
        <w:rPr>
          <w:rFonts w:hint="eastAsia"/>
          <w:color w:val="000000" w:themeColor="text1"/>
          <w:spacing w:val="6"/>
          <w:szCs w:val="28"/>
          <w14:textFill>
            <w14:solidFill>
              <w14:schemeClr w14:val="tx1"/>
            </w14:solidFill>
          </w14:textFill>
        </w:rPr>
        <w:t>。</w:t>
      </w:r>
    </w:p>
    <w:p w14:paraId="03DD7FFE">
      <w:pPr>
        <w:pStyle w:val="5"/>
        <w:spacing w:after="120"/>
        <w:rPr>
          <w:color w:val="000000" w:themeColor="text1"/>
          <w14:textFill>
            <w14:solidFill>
              <w14:schemeClr w14:val="tx1"/>
            </w14:solidFill>
          </w14:textFill>
        </w:rPr>
      </w:pPr>
      <w:bookmarkStart w:id="2037" w:name="_Toc32659"/>
      <w:bookmarkStart w:id="2038" w:name="_Toc24128"/>
      <w:bookmarkStart w:id="2039" w:name="_Toc29990"/>
      <w:bookmarkStart w:id="2040" w:name="_Toc10103"/>
      <w:bookmarkStart w:id="2041" w:name="_Toc16955"/>
      <w:bookmarkStart w:id="2042" w:name="_Toc24913"/>
      <w:bookmarkStart w:id="2043" w:name="_Toc8883"/>
      <w:bookmarkStart w:id="2044" w:name="_Toc20593"/>
      <w:bookmarkStart w:id="2045" w:name="_Toc2649"/>
      <w:bookmarkStart w:id="2046" w:name="_Toc6158"/>
      <w:bookmarkStart w:id="2047" w:name="_Toc215070246"/>
      <w:r>
        <w:rPr>
          <w:rFonts w:hint="eastAsia"/>
          <w:color w:val="000000" w:themeColor="text1"/>
          <w14:textFill>
            <w14:solidFill>
              <w14:schemeClr w14:val="tx1"/>
            </w14:solidFill>
          </w14:textFill>
        </w:rPr>
        <w:t>3.2.5气象、水文地质的主要危险、有害因素辨识与分析</w:t>
      </w:r>
      <w:bookmarkEnd w:id="2037"/>
      <w:bookmarkEnd w:id="2038"/>
      <w:bookmarkEnd w:id="2039"/>
      <w:bookmarkEnd w:id="2040"/>
      <w:bookmarkEnd w:id="2041"/>
      <w:bookmarkEnd w:id="2042"/>
      <w:bookmarkEnd w:id="2043"/>
      <w:bookmarkEnd w:id="2044"/>
      <w:bookmarkEnd w:id="2045"/>
      <w:bookmarkEnd w:id="2046"/>
      <w:bookmarkEnd w:id="2047"/>
    </w:p>
    <w:p w14:paraId="6383F402">
      <w:pPr>
        <w:pStyle w:val="6"/>
        <w:spacing w:before="120" w:after="120"/>
        <w:rPr>
          <w:color w:val="000000" w:themeColor="text1"/>
          <w14:textFill>
            <w14:solidFill>
              <w14:schemeClr w14:val="tx1"/>
            </w14:solidFill>
          </w14:textFill>
        </w:rPr>
      </w:pPr>
      <w:bookmarkStart w:id="2048" w:name="_Toc4399"/>
      <w:bookmarkStart w:id="2049" w:name="_Toc9622"/>
      <w:bookmarkStart w:id="2050" w:name="_Toc31597"/>
      <w:bookmarkStart w:id="2051" w:name="_Toc26834"/>
      <w:bookmarkStart w:id="2052" w:name="_Toc9903"/>
      <w:bookmarkStart w:id="2053" w:name="_Toc7792"/>
      <w:bookmarkStart w:id="2054" w:name="_Toc1547"/>
      <w:bookmarkStart w:id="2055" w:name="_Toc215070247"/>
      <w:r>
        <w:rPr>
          <w:rFonts w:hint="eastAsia"/>
          <w:color w:val="000000" w:themeColor="text1"/>
          <w14:textFill>
            <w14:solidFill>
              <w14:schemeClr w14:val="tx1"/>
            </w14:solidFill>
          </w14:textFill>
        </w:rPr>
        <w:t>3.2.5.1</w:t>
      </w:r>
      <w:r>
        <w:rPr>
          <w:color w:val="000000" w:themeColor="text1"/>
          <w14:textFill>
            <w14:solidFill>
              <w14:schemeClr w14:val="tx1"/>
            </w14:solidFill>
          </w14:textFill>
        </w:rPr>
        <w:t>大气降水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地表水</w:t>
      </w:r>
      <w:bookmarkEnd w:id="2048"/>
      <w:bookmarkEnd w:id="2049"/>
      <w:bookmarkEnd w:id="2050"/>
      <w:bookmarkEnd w:id="2051"/>
      <w:bookmarkEnd w:id="2052"/>
      <w:bookmarkEnd w:id="2053"/>
      <w:bookmarkEnd w:id="2054"/>
      <w:bookmarkEnd w:id="2055"/>
    </w:p>
    <w:p w14:paraId="5834EE88">
      <w:pPr>
        <w:ind w:left="560" w:firstLine="560"/>
        <w:rPr>
          <w:color w:val="000000" w:themeColor="text1"/>
          <w14:textFill>
            <w14:solidFill>
              <w14:schemeClr w14:val="tx1"/>
            </w14:solidFill>
          </w14:textFill>
        </w:rPr>
      </w:pPr>
      <w:r>
        <w:rPr>
          <w:color w:val="000000" w:themeColor="text1"/>
          <w14:textFill>
            <w14:solidFill>
              <w14:schemeClr w14:val="tx1"/>
            </w14:solidFill>
          </w14:textFill>
        </w:rPr>
        <w:t>矿区属构造剥蚀</w:t>
      </w:r>
      <w:r>
        <w:rPr>
          <w:color w:val="000000" w:themeColor="text1"/>
          <w:szCs w:val="28"/>
          <w14:textFill>
            <w14:solidFill>
              <w14:schemeClr w14:val="tx1"/>
            </w14:solidFill>
          </w14:textFill>
        </w:rPr>
        <w:t>—</w:t>
      </w:r>
      <w:r>
        <w:rPr>
          <w:color w:val="000000" w:themeColor="text1"/>
          <w14:textFill>
            <w14:solidFill>
              <w14:schemeClr w14:val="tx1"/>
            </w14:solidFill>
          </w14:textFill>
        </w:rPr>
        <w:t>溶蚀低中山地貌区，微地貌形态为溶蚀沟谷地貌。总体地形东高西低，最高为矿区北东部山峰，标高1430m，最低为矿区西部矿1，标高1294m，最大高差136m。地形坡度20-35°，局部为陡崖，地形复杂程度为中等类型。矿区范围内植被较为发育，矿区地表水系不发育，无溪流及泉水出露。地表降水总体向矿区北西、北侧沿排水沟向公路水渠排泄。</w:t>
      </w:r>
    </w:p>
    <w:p w14:paraId="01AFB046">
      <w:pPr>
        <w:ind w:left="560" w:firstLine="560"/>
        <w:rPr>
          <w:color w:val="000000" w:themeColor="text1"/>
          <w14:textFill>
            <w14:solidFill>
              <w14:schemeClr w14:val="tx1"/>
            </w14:solidFill>
          </w14:textFill>
        </w:rPr>
      </w:pPr>
      <w:bookmarkStart w:id="2056" w:name="_Toc8244"/>
      <w:bookmarkStart w:id="2057" w:name="_Toc10753"/>
      <w:bookmarkStart w:id="2058" w:name="_Toc11219"/>
      <w:bookmarkStart w:id="2059" w:name="_Toc14145"/>
      <w:bookmarkStart w:id="2060" w:name="_Toc21228"/>
      <w:bookmarkStart w:id="2061" w:name="_Toc8315"/>
      <w:bookmarkStart w:id="2062" w:name="_Toc1037"/>
      <w:bookmarkStart w:id="2063" w:name="_Toc13905"/>
      <w:bookmarkStart w:id="2064" w:name="_Toc4395"/>
      <w:r>
        <w:rPr>
          <w:color w:val="000000" w:themeColor="text1"/>
          <w14:textFill>
            <w14:solidFill>
              <w14:schemeClr w14:val="tx1"/>
            </w14:solidFill>
          </w14:textFill>
        </w:rPr>
        <w:t>矿区地处滇东喀斯特高原山区东部，地形高差较大，气候垂直分带明显，有山顶凉，河谷热的立体气候特点。年均日照1875.7小时，年均日照1875.7小时（78.2天），年平均气温16.7℃，无霜期305天，年均降雨量1056.5mm，5月至10月为雨季；11月至次年4月为旱季，实际雨季为151天左右。冬无严寒、夏无酷暑，雨旱分明，雨热同季，年蒸发量1400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1796mm，年均相对湿度为70%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80%。广南县全年多为西南风，占全年风向的19%，夏季主导风向SSW或S，各占全年风向的10%，冬季主导风向SW，占全年风向的26%，年平均风速5.2m/s，最大风速24m/s。历年来最大积雪深度240mm，年最多雾日9天，年最多雹日数6天，冬季日照率57%。矿区灾害性气候频繁，主要灾害有霜冻、干旱、低温等</w:t>
      </w:r>
    </w:p>
    <w:p w14:paraId="4C0A313D">
      <w:pPr>
        <w:pStyle w:val="6"/>
        <w:spacing w:before="120" w:after="120"/>
        <w:rPr>
          <w:color w:val="000000" w:themeColor="text1"/>
          <w14:textFill>
            <w14:solidFill>
              <w14:schemeClr w14:val="tx1"/>
            </w14:solidFill>
          </w14:textFill>
        </w:rPr>
      </w:pPr>
      <w:bookmarkStart w:id="2065" w:name="_Toc215070248"/>
      <w:r>
        <w:rPr>
          <w:color w:val="000000" w:themeColor="text1"/>
          <w14:textFill>
            <w14:solidFill>
              <w14:schemeClr w14:val="tx1"/>
            </w14:solidFill>
          </w14:textFill>
        </w:rPr>
        <w:t>3.</w:t>
      </w:r>
      <w:bookmarkEnd w:id="2056"/>
      <w:bookmarkEnd w:id="2057"/>
      <w:r>
        <w:rPr>
          <w:rFonts w:hint="eastAsia"/>
          <w:color w:val="000000" w:themeColor="text1"/>
          <w14:textFill>
            <w14:solidFill>
              <w14:schemeClr w14:val="tx1"/>
            </w14:solidFill>
          </w14:textFill>
        </w:rPr>
        <w:t>2.5.2矿区含、隔水层</w:t>
      </w:r>
      <w:bookmarkEnd w:id="2058"/>
      <w:bookmarkEnd w:id="2059"/>
      <w:bookmarkEnd w:id="2060"/>
      <w:bookmarkEnd w:id="2061"/>
      <w:bookmarkEnd w:id="2062"/>
      <w:bookmarkEnd w:id="2063"/>
      <w:bookmarkEnd w:id="2064"/>
      <w:bookmarkEnd w:id="2065"/>
    </w:p>
    <w:p w14:paraId="3E0FD9C3">
      <w:pPr>
        <w:ind w:firstLine="560"/>
        <w:rPr>
          <w:color w:val="000000" w:themeColor="text1"/>
          <w:szCs w:val="28"/>
          <w14:textFill>
            <w14:solidFill>
              <w14:schemeClr w14:val="tx1"/>
            </w14:solidFill>
          </w14:textFill>
        </w:rPr>
      </w:pPr>
      <w:bookmarkStart w:id="2066" w:name="_Toc14231"/>
      <w:bookmarkStart w:id="2067" w:name="_Toc5548"/>
      <w:bookmarkStart w:id="2068" w:name="_Toc19904"/>
      <w:bookmarkStart w:id="2069" w:name="_Toc3504"/>
      <w:bookmarkStart w:id="2070" w:name="_Toc30520"/>
      <w:bookmarkStart w:id="2071" w:name="_Toc31443"/>
      <w:bookmarkStart w:id="2072" w:name="_Toc23451"/>
      <w:bookmarkStart w:id="2073" w:name="_Toc1699"/>
      <w:bookmarkStart w:id="2074" w:name="_Toc28197"/>
      <w:r>
        <w:rPr>
          <w:color w:val="000000" w:themeColor="text1"/>
          <w:szCs w:val="28"/>
          <w14:textFill>
            <w14:solidFill>
              <w14:schemeClr w14:val="tx1"/>
            </w14:solidFill>
          </w14:textFill>
        </w:rPr>
        <w:t>矿区地层简单，主要为二叠系上统吴家坪组灰岩地层（P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w），但除在陡坡上或地形较低处石灰岩出露外，部分地段被第四系坡残积层（Q</w:t>
      </w:r>
      <w:r>
        <w:rPr>
          <w:color w:val="000000" w:themeColor="text1"/>
          <w:szCs w:val="28"/>
          <w:vertAlign w:val="superscript"/>
          <w14:textFill>
            <w14:solidFill>
              <w14:schemeClr w14:val="tx1"/>
            </w14:solidFill>
          </w14:textFill>
        </w:rPr>
        <w:t>el+dl</w:t>
      </w:r>
      <w:r>
        <w:rPr>
          <w:color w:val="000000" w:themeColor="text1"/>
          <w:szCs w:val="28"/>
          <w14:textFill>
            <w14:solidFill>
              <w14:schemeClr w14:val="tx1"/>
            </w14:solidFill>
          </w14:textFill>
        </w:rPr>
        <w:t>）覆盖。主要有松散岩类孔隙弱含水层和岩溶裂隙含水层两种类型，各地层岩性含水层特征如下：</w:t>
      </w:r>
    </w:p>
    <w:p w14:paraId="0121EE34">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松散岩类孔隙含水层（Q</w:t>
      </w:r>
      <w:r>
        <w:rPr>
          <w:color w:val="000000" w:themeColor="text1"/>
          <w:szCs w:val="28"/>
          <w:vertAlign w:val="superscript"/>
          <w14:textFill>
            <w14:solidFill>
              <w14:schemeClr w14:val="tx1"/>
            </w14:solidFill>
          </w14:textFill>
        </w:rPr>
        <w:t>el+dl</w:t>
      </w:r>
      <w:r>
        <w:rPr>
          <w:color w:val="000000" w:themeColor="text1"/>
          <w:szCs w:val="28"/>
          <w14:textFill>
            <w14:solidFill>
              <w14:schemeClr w14:val="tx1"/>
            </w14:solidFill>
          </w14:textFill>
        </w:rPr>
        <w:t>）</w:t>
      </w:r>
    </w:p>
    <w:p w14:paraId="0DBBE4A3">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第四系坡残积层</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Q</w:t>
      </w:r>
      <w:r>
        <w:rPr>
          <w:color w:val="000000" w:themeColor="text1"/>
          <w:szCs w:val="28"/>
          <w:vertAlign w:val="superscript"/>
          <w14:textFill>
            <w14:solidFill>
              <w14:schemeClr w14:val="tx1"/>
            </w14:solidFill>
          </w14:textFill>
        </w:rPr>
        <w:t>el+dl</w:t>
      </w:r>
      <w:r>
        <w:rPr>
          <w:rFonts w:hint="eastAsia"/>
          <w:color w:val="000000" w:themeColor="text1"/>
          <w:szCs w:val="28"/>
          <w:vertAlign w:val="superscript"/>
          <w14:textFill>
            <w14:solidFill>
              <w14:schemeClr w14:val="tx1"/>
            </w14:solidFill>
          </w14:textFill>
        </w:rPr>
        <w:t>）</w:t>
      </w:r>
      <w:r>
        <w:rPr>
          <w:color w:val="000000" w:themeColor="text1"/>
          <w:szCs w:val="28"/>
          <w14:textFill>
            <w14:solidFill>
              <w14:schemeClr w14:val="tx1"/>
            </w14:solidFill>
          </w14:textFill>
        </w:rPr>
        <w:t>：广泛分布于地势低洼地带，含水层为第四系松散堆积层，由于矿区内的第四系少量松散堆积层为角砾砂质粘土，透水性强，富水性弱，补给来源为基岩裂隙水和大气降水。</w:t>
      </w:r>
    </w:p>
    <w:p w14:paraId="7C3EE6FA">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②溶蚀裂隙岩溶含水层(P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w:t>
      </w:r>
    </w:p>
    <w:p w14:paraId="142FFF2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二叠系上统吴家坪组</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：灰色厚层—块状灰岩，岩石块状致密坚硬，平均厚度一般118</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266.1m，可见厚度大于130m，透水、富水性取决于节理裂隙的分布与联通情况，具各向异性，富水性中等。补给来源于大气降水及孔隙水下渗，沿节理裂隙运移，径流途径较长，水循环较缓慢。</w:t>
      </w:r>
    </w:p>
    <w:p w14:paraId="105BE31F">
      <w:pPr>
        <w:pStyle w:val="6"/>
        <w:spacing w:before="120" w:after="120"/>
        <w:rPr>
          <w:color w:val="000000" w:themeColor="text1"/>
          <w14:textFill>
            <w14:solidFill>
              <w14:schemeClr w14:val="tx1"/>
            </w14:solidFill>
          </w14:textFill>
        </w:rPr>
      </w:pPr>
      <w:bookmarkStart w:id="2075" w:name="_Toc215070249"/>
      <w:r>
        <w:rPr>
          <w:color w:val="000000" w:themeColor="text1"/>
          <w14:textFill>
            <w14:solidFill>
              <w14:schemeClr w14:val="tx1"/>
            </w14:solidFill>
          </w14:textFill>
        </w:rPr>
        <w:t>3.</w:t>
      </w:r>
      <w:bookmarkEnd w:id="2066"/>
      <w:bookmarkEnd w:id="2067"/>
      <w:r>
        <w:rPr>
          <w:rFonts w:hint="eastAsia"/>
          <w:color w:val="000000" w:themeColor="text1"/>
          <w14:textFill>
            <w14:solidFill>
              <w14:schemeClr w14:val="tx1"/>
            </w14:solidFill>
          </w14:textFill>
        </w:rPr>
        <w:t>2.5.3</w:t>
      </w:r>
      <w:r>
        <w:rPr>
          <w:color w:val="000000" w:themeColor="text1"/>
          <w14:textFill>
            <w14:solidFill>
              <w14:schemeClr w14:val="tx1"/>
            </w14:solidFill>
          </w14:textFill>
        </w:rPr>
        <w:t>矿</w:t>
      </w:r>
      <w:r>
        <w:rPr>
          <w:rFonts w:hint="eastAsia"/>
          <w:color w:val="000000" w:themeColor="text1"/>
          <w14:textFill>
            <w14:solidFill>
              <w14:schemeClr w14:val="tx1"/>
            </w14:solidFill>
          </w14:textFill>
        </w:rPr>
        <w:t>坑涌水分析</w:t>
      </w:r>
      <w:bookmarkEnd w:id="2068"/>
      <w:bookmarkEnd w:id="2069"/>
      <w:bookmarkEnd w:id="2070"/>
      <w:bookmarkEnd w:id="2071"/>
      <w:bookmarkEnd w:id="2072"/>
      <w:bookmarkEnd w:id="2073"/>
      <w:bookmarkEnd w:id="2074"/>
      <w:bookmarkEnd w:id="2075"/>
    </w:p>
    <w:p w14:paraId="3024C3FA">
      <w:pPr>
        <w:ind w:firstLine="560"/>
        <w:rPr>
          <w:color w:val="000000" w:themeColor="text1"/>
          <w:szCs w:val="28"/>
          <w14:textFill>
            <w14:solidFill>
              <w14:schemeClr w14:val="tx1"/>
            </w14:solidFill>
          </w14:textFill>
        </w:rPr>
      </w:pPr>
      <w:bookmarkStart w:id="2076" w:name="_Toc12778"/>
      <w:bookmarkStart w:id="2077" w:name="_Toc10299"/>
      <w:bookmarkStart w:id="2078" w:name="_Toc18068"/>
      <w:bookmarkStart w:id="2079" w:name="_Toc21774"/>
      <w:bookmarkStart w:id="2080" w:name="_Toc18355"/>
      <w:bookmarkStart w:id="2081" w:name="_Toc3130"/>
      <w:bookmarkStart w:id="2082" w:name="_Toc30440"/>
      <w:bookmarkStart w:id="2083" w:name="_Toc2578"/>
      <w:bookmarkStart w:id="2084" w:name="_Toc3321"/>
      <w:bookmarkStart w:id="2085" w:name="_Toc22099"/>
      <w:r>
        <w:rPr>
          <w:color w:val="000000" w:themeColor="text1"/>
          <w:szCs w:val="28"/>
          <w14:textFill>
            <w14:solidFill>
              <w14:schemeClr w14:val="tx1"/>
            </w14:solidFill>
          </w14:textFill>
        </w:rPr>
        <w:t>矿床充水方式为直接充水，即矿层所含裂隙岩溶水、降落于矿坑中的雨水。开采采用露天开采方式，矿层底盘开采标高高于当地最低侵蚀基准面，有利于自然排水。</w:t>
      </w:r>
    </w:p>
    <w:p w14:paraId="0D7F0BA4">
      <w:pPr>
        <w:pStyle w:val="5"/>
        <w:spacing w:after="120"/>
        <w:rPr>
          <w:rFonts w:hint="eastAsia" w:ascii="宋体" w:hAnsi="宋体" w:cs="宋体"/>
          <w:color w:val="000000" w:themeColor="text1"/>
          <w:szCs w:val="28"/>
          <w14:textFill>
            <w14:solidFill>
              <w14:schemeClr w14:val="tx1"/>
            </w14:solidFill>
          </w14:textFill>
        </w:rPr>
      </w:pPr>
      <w:bookmarkStart w:id="2086" w:name="_Toc215070250"/>
      <w:r>
        <w:rPr>
          <w:rFonts w:hint="eastAsia"/>
          <w:color w:val="000000" w:themeColor="text1"/>
          <w14:textFill>
            <w14:solidFill>
              <w14:schemeClr w14:val="tx1"/>
            </w14:solidFill>
          </w14:textFill>
        </w:rPr>
        <w:t>3.2.6总平面布置单元预先危险性分析（PHA）</w:t>
      </w:r>
      <w:bookmarkEnd w:id="1948"/>
      <w:bookmarkEnd w:id="1949"/>
      <w:bookmarkEnd w:id="1950"/>
      <w:bookmarkEnd w:id="1951"/>
      <w:bookmarkEnd w:id="1952"/>
      <w:bookmarkEnd w:id="1953"/>
      <w:bookmarkEnd w:id="1954"/>
      <w:bookmarkEnd w:id="2076"/>
      <w:bookmarkEnd w:id="2077"/>
      <w:bookmarkEnd w:id="2078"/>
      <w:bookmarkEnd w:id="2079"/>
      <w:bookmarkEnd w:id="2080"/>
      <w:bookmarkEnd w:id="2081"/>
      <w:bookmarkEnd w:id="2082"/>
      <w:bookmarkEnd w:id="2083"/>
      <w:bookmarkEnd w:id="2084"/>
      <w:bookmarkEnd w:id="2085"/>
      <w:bookmarkEnd w:id="2086"/>
    </w:p>
    <w:p w14:paraId="5DEE406F">
      <w:pPr>
        <w:adjustRightInd w:val="0"/>
        <w:snapToGrid w:val="0"/>
        <w:spacing w:line="500" w:lineRule="exact"/>
        <w:ind w:firstLine="560"/>
        <w:rPr>
          <w:rFonts w:hint="eastAsia" w:ascii="宋体" w:hAnsi="宋体" w:cs="宋体"/>
          <w:snapToGrid w:val="0"/>
          <w:color w:val="000000" w:themeColor="text1"/>
          <w:kern w:val="0"/>
          <w:szCs w:val="28"/>
          <w14:textFill>
            <w14:solidFill>
              <w14:schemeClr w14:val="tx1"/>
            </w14:solidFill>
          </w14:textFill>
        </w:rPr>
      </w:pPr>
      <w:r>
        <w:rPr>
          <w:rFonts w:hint="eastAsia" w:ascii="宋体" w:hAnsi="宋体" w:cs="宋体"/>
          <w:snapToGrid w:val="0"/>
          <w:color w:val="000000" w:themeColor="text1"/>
          <w:kern w:val="0"/>
          <w:szCs w:val="28"/>
          <w14:textFill>
            <w14:solidFill>
              <w14:schemeClr w14:val="tx1"/>
            </w14:solidFill>
          </w14:textFill>
        </w:rPr>
        <w:t>根据危险有害因素辨识和分析结果，对已辨识的危险、有害因素进行PHA分析，鉴别危险产生的原因，预测事故出现对作业人员及生产过程产生的影响，判定已识别的危险性等级，并提出消除或控制危险性的措施。总图布置PHA分析，见表3.2-1。</w:t>
      </w:r>
    </w:p>
    <w:tbl>
      <w:tblPr>
        <w:tblStyle w:val="44"/>
        <w:tblW w:w="9006"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931"/>
        <w:gridCol w:w="1142"/>
        <w:gridCol w:w="680"/>
        <w:gridCol w:w="717"/>
        <w:gridCol w:w="2841"/>
      </w:tblGrid>
      <w:tr w14:paraId="5D829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95" w:type="dxa"/>
            <w:tcBorders>
              <w:left w:val="single" w:color="auto" w:sz="4" w:space="0"/>
            </w:tcBorders>
            <w:vAlign w:val="center"/>
          </w:tcPr>
          <w:p w14:paraId="182AC276">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危险有害因素</w:t>
            </w:r>
          </w:p>
        </w:tc>
        <w:tc>
          <w:tcPr>
            <w:tcW w:w="2931" w:type="dxa"/>
            <w:vAlign w:val="center"/>
          </w:tcPr>
          <w:p w14:paraId="3B72DE11">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诱发事故原因</w:t>
            </w:r>
          </w:p>
        </w:tc>
        <w:tc>
          <w:tcPr>
            <w:tcW w:w="1142" w:type="dxa"/>
            <w:vAlign w:val="center"/>
          </w:tcPr>
          <w:p w14:paraId="40BE0AAB">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事故模式</w:t>
            </w:r>
          </w:p>
        </w:tc>
        <w:tc>
          <w:tcPr>
            <w:tcW w:w="680" w:type="dxa"/>
            <w:vAlign w:val="center"/>
          </w:tcPr>
          <w:p w14:paraId="55AC0974">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事故后果</w:t>
            </w:r>
          </w:p>
        </w:tc>
        <w:tc>
          <w:tcPr>
            <w:tcW w:w="717" w:type="dxa"/>
            <w:vAlign w:val="center"/>
          </w:tcPr>
          <w:p w14:paraId="43F37DFC">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危险等级</w:t>
            </w:r>
          </w:p>
        </w:tc>
        <w:tc>
          <w:tcPr>
            <w:tcW w:w="2841" w:type="dxa"/>
            <w:tcBorders>
              <w:right w:val="single" w:color="auto" w:sz="4" w:space="0"/>
            </w:tcBorders>
            <w:vAlign w:val="center"/>
          </w:tcPr>
          <w:p w14:paraId="6F34F407">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对策措施</w:t>
            </w:r>
          </w:p>
        </w:tc>
      </w:tr>
      <w:tr w14:paraId="7A49A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tcBorders>
              <w:left w:val="single" w:color="auto" w:sz="4" w:space="0"/>
            </w:tcBorders>
            <w:vAlign w:val="center"/>
          </w:tcPr>
          <w:p w14:paraId="75A75077">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滚石滑坡坍塌</w:t>
            </w:r>
          </w:p>
        </w:tc>
        <w:tc>
          <w:tcPr>
            <w:tcW w:w="2931" w:type="dxa"/>
            <w:vAlign w:val="center"/>
          </w:tcPr>
          <w:p w14:paraId="2EC6D1BA">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风化剥蚀和降雨影响，陡崖岩体脱落，边坡上坡积滑动；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场地道路挖方、填方路段边坡陡、缺乏有效支护；</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施工、生产废土缺乏有效的堆弃措施和管理；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矿山境界外截水沟不完善；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采场台阶、排土场台阶产生不满足设计要求。</w:t>
            </w:r>
          </w:p>
        </w:tc>
        <w:tc>
          <w:tcPr>
            <w:tcW w:w="1142" w:type="dxa"/>
            <w:vAlign w:val="center"/>
          </w:tcPr>
          <w:p w14:paraId="1C68A703">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冲击、掩埋建构筑物、设施。</w:t>
            </w:r>
          </w:p>
          <w:p w14:paraId="75DBDAC7">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滑坡</w:t>
            </w:r>
          </w:p>
        </w:tc>
        <w:tc>
          <w:tcPr>
            <w:tcW w:w="680" w:type="dxa"/>
            <w:vAlign w:val="center"/>
          </w:tcPr>
          <w:p w14:paraId="0E650972">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17" w:type="dxa"/>
            <w:vAlign w:val="center"/>
          </w:tcPr>
          <w:p w14:paraId="55280559">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IV</w:t>
            </w:r>
          </w:p>
        </w:tc>
        <w:tc>
          <w:tcPr>
            <w:tcW w:w="2841" w:type="dxa"/>
            <w:tcBorders>
              <w:right w:val="single" w:color="auto" w:sz="4" w:space="0"/>
            </w:tcBorders>
            <w:vAlign w:val="center"/>
          </w:tcPr>
          <w:p w14:paraId="7B62043D">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各类场地、道路边坡采取加固措施，确保边坡稳固；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加强施工和生产中废土、废石的规划堆存和管理；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完善矿山境界外截水沟；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按设计要求进行开采、进行堆排废土。</w:t>
            </w:r>
          </w:p>
        </w:tc>
      </w:tr>
      <w:tr w14:paraId="244D76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695" w:type="dxa"/>
            <w:tcBorders>
              <w:left w:val="single" w:color="auto" w:sz="4" w:space="0"/>
            </w:tcBorders>
            <w:vAlign w:val="center"/>
          </w:tcPr>
          <w:p w14:paraId="75BFEA03">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物体打击</w:t>
            </w:r>
          </w:p>
        </w:tc>
        <w:tc>
          <w:tcPr>
            <w:tcW w:w="2931" w:type="dxa"/>
            <w:vAlign w:val="center"/>
          </w:tcPr>
          <w:p w14:paraId="5E8159B8">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采场边坡、运输道路边坡浮石清理不完善。</w:t>
            </w:r>
          </w:p>
        </w:tc>
        <w:tc>
          <w:tcPr>
            <w:tcW w:w="1142" w:type="dxa"/>
            <w:vAlign w:val="center"/>
          </w:tcPr>
          <w:p w14:paraId="235BBF96">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矿岩掉落</w:t>
            </w:r>
          </w:p>
        </w:tc>
        <w:tc>
          <w:tcPr>
            <w:tcW w:w="680" w:type="dxa"/>
            <w:vAlign w:val="center"/>
          </w:tcPr>
          <w:p w14:paraId="11D1ABDF">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33BB3D57">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717" w:type="dxa"/>
            <w:vAlign w:val="center"/>
          </w:tcPr>
          <w:p w14:paraId="312CF658">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III</w:t>
            </w:r>
          </w:p>
        </w:tc>
        <w:tc>
          <w:tcPr>
            <w:tcW w:w="2841" w:type="dxa"/>
            <w:tcBorders>
              <w:right w:val="single" w:color="auto" w:sz="4" w:space="0"/>
            </w:tcBorders>
            <w:vAlign w:val="center"/>
          </w:tcPr>
          <w:p w14:paraId="24F3493D">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定期清理采场边坡、运输道路边坡浮石。</w:t>
            </w:r>
          </w:p>
        </w:tc>
      </w:tr>
      <w:tr w14:paraId="3B2B4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95" w:type="dxa"/>
            <w:tcBorders>
              <w:left w:val="single" w:color="auto" w:sz="4" w:space="0"/>
            </w:tcBorders>
            <w:vAlign w:val="center"/>
          </w:tcPr>
          <w:p w14:paraId="4ACD1E03">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2931" w:type="dxa"/>
            <w:vAlign w:val="center"/>
          </w:tcPr>
          <w:p w14:paraId="3A0527EA">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道路存在坡度大、弯道大、路面窄、缺乏安全防护及警示；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车况差；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气候影响；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驾驶违章和操作失误。</w:t>
            </w:r>
          </w:p>
        </w:tc>
        <w:tc>
          <w:tcPr>
            <w:tcW w:w="1142" w:type="dxa"/>
            <w:vAlign w:val="center"/>
          </w:tcPr>
          <w:p w14:paraId="72D91924">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倾翻、坠落</w:t>
            </w:r>
          </w:p>
        </w:tc>
        <w:tc>
          <w:tcPr>
            <w:tcW w:w="680" w:type="dxa"/>
            <w:vAlign w:val="center"/>
          </w:tcPr>
          <w:p w14:paraId="0DA671D1">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17" w:type="dxa"/>
            <w:vAlign w:val="center"/>
          </w:tcPr>
          <w:p w14:paraId="45691C97">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III</w:t>
            </w:r>
          </w:p>
        </w:tc>
        <w:tc>
          <w:tcPr>
            <w:tcW w:w="2841" w:type="dxa"/>
            <w:tcBorders>
              <w:right w:val="single" w:color="auto" w:sz="4" w:space="0"/>
            </w:tcBorders>
            <w:vAlign w:val="center"/>
          </w:tcPr>
          <w:p w14:paraId="6C7AB980">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按照厂矿道路设计规范进行道路设计；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设置防护设施及警示标牌；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加强车辆维护保养；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驾驶员持证操作，杜绝违章驾驶。</w:t>
            </w:r>
          </w:p>
        </w:tc>
      </w:tr>
      <w:tr w14:paraId="03DFD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95" w:type="dxa"/>
            <w:tcBorders>
              <w:left w:val="single" w:color="auto" w:sz="4" w:space="0"/>
            </w:tcBorders>
            <w:vAlign w:val="center"/>
          </w:tcPr>
          <w:p w14:paraId="070AAB44">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火灾</w:t>
            </w:r>
          </w:p>
        </w:tc>
        <w:tc>
          <w:tcPr>
            <w:tcW w:w="2931" w:type="dxa"/>
            <w:vAlign w:val="center"/>
          </w:tcPr>
          <w:p w14:paraId="3F590FD8">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由于车辆伤害事故引发火灾事故；</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矿区周边森林覆盖率大，野外用火不当引发火灾。</w:t>
            </w:r>
          </w:p>
        </w:tc>
        <w:tc>
          <w:tcPr>
            <w:tcW w:w="1142" w:type="dxa"/>
            <w:vAlign w:val="center"/>
          </w:tcPr>
          <w:p w14:paraId="56C19787">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车辆柴油燃烧；森林火灾。</w:t>
            </w:r>
          </w:p>
        </w:tc>
        <w:tc>
          <w:tcPr>
            <w:tcW w:w="680" w:type="dxa"/>
            <w:vAlign w:val="center"/>
          </w:tcPr>
          <w:p w14:paraId="5BDEE983">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17" w:type="dxa"/>
            <w:vAlign w:val="center"/>
          </w:tcPr>
          <w:p w14:paraId="11B12DC5">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II</w:t>
            </w:r>
          </w:p>
        </w:tc>
        <w:tc>
          <w:tcPr>
            <w:tcW w:w="2841" w:type="dxa"/>
            <w:tcBorders>
              <w:right w:val="single" w:color="auto" w:sz="4" w:space="0"/>
            </w:tcBorders>
            <w:vAlign w:val="center"/>
          </w:tcPr>
          <w:p w14:paraId="5535969D">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运输车辆、挖掘机等需配置有效的灭火器；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加强矿区野外用火管理。</w:t>
            </w:r>
          </w:p>
        </w:tc>
      </w:tr>
      <w:tr w14:paraId="20EAA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95" w:type="dxa"/>
            <w:tcBorders>
              <w:left w:val="single" w:color="auto" w:sz="4" w:space="0"/>
            </w:tcBorders>
            <w:vAlign w:val="center"/>
          </w:tcPr>
          <w:p w14:paraId="3DB291D7">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2931" w:type="dxa"/>
            <w:vAlign w:val="center"/>
          </w:tcPr>
          <w:p w14:paraId="0691CA30">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台阶边缘未设置相应的安全防护设施、安全警示标志；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临边作业无专人指挥。</w:t>
            </w:r>
          </w:p>
        </w:tc>
        <w:tc>
          <w:tcPr>
            <w:tcW w:w="1142" w:type="dxa"/>
            <w:vAlign w:val="center"/>
          </w:tcPr>
          <w:p w14:paraId="22064830">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作业人员、设备坠落</w:t>
            </w:r>
          </w:p>
        </w:tc>
        <w:tc>
          <w:tcPr>
            <w:tcW w:w="680" w:type="dxa"/>
            <w:vAlign w:val="center"/>
          </w:tcPr>
          <w:p w14:paraId="660C2E7B">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17" w:type="dxa"/>
            <w:vAlign w:val="center"/>
          </w:tcPr>
          <w:p w14:paraId="7C6004BD">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III</w:t>
            </w:r>
          </w:p>
        </w:tc>
        <w:tc>
          <w:tcPr>
            <w:tcW w:w="2841" w:type="dxa"/>
            <w:tcBorders>
              <w:right w:val="single" w:color="auto" w:sz="4" w:space="0"/>
            </w:tcBorders>
            <w:vAlign w:val="center"/>
          </w:tcPr>
          <w:p w14:paraId="0AA2C19F">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台阶边缘设置相应的安全防护设施、安全警示标志；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临边作业由专人指挥。</w:t>
            </w:r>
          </w:p>
        </w:tc>
      </w:tr>
      <w:tr w14:paraId="353E30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95" w:type="dxa"/>
            <w:tcBorders>
              <w:left w:val="single" w:color="auto" w:sz="4" w:space="0"/>
            </w:tcBorders>
            <w:vAlign w:val="center"/>
          </w:tcPr>
          <w:p w14:paraId="6518C4EA">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放炮伤害</w:t>
            </w:r>
          </w:p>
        </w:tc>
        <w:tc>
          <w:tcPr>
            <w:tcW w:w="2931" w:type="dxa"/>
            <w:vAlign w:val="center"/>
          </w:tcPr>
          <w:p w14:paraId="0247419E">
            <w:pPr>
              <w:pStyle w:val="131"/>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爆破时，装药量过大；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爆破时，未做好爆破警戒工作，未疏散周边作业人员。</w:t>
            </w:r>
          </w:p>
        </w:tc>
        <w:tc>
          <w:tcPr>
            <w:tcW w:w="1142" w:type="dxa"/>
            <w:vAlign w:val="center"/>
          </w:tcPr>
          <w:p w14:paraId="02AD0080">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被爆轰波冲击，被爆破飞石击中。</w:t>
            </w:r>
          </w:p>
        </w:tc>
        <w:tc>
          <w:tcPr>
            <w:tcW w:w="680" w:type="dxa"/>
            <w:vAlign w:val="center"/>
          </w:tcPr>
          <w:p w14:paraId="41F8E786">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17" w:type="dxa"/>
            <w:vAlign w:val="center"/>
          </w:tcPr>
          <w:p w14:paraId="04D6D2ED">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III</w:t>
            </w:r>
          </w:p>
        </w:tc>
        <w:tc>
          <w:tcPr>
            <w:tcW w:w="2841" w:type="dxa"/>
            <w:tcBorders>
              <w:right w:val="single" w:color="auto" w:sz="4" w:space="0"/>
            </w:tcBorders>
            <w:vAlign w:val="center"/>
          </w:tcPr>
          <w:p w14:paraId="4066725D">
            <w:pPr>
              <w:pStyle w:val="131"/>
              <w:rPr>
                <w:color w:val="000000" w:themeColor="text1"/>
                <w14:textFill>
                  <w14:solidFill>
                    <w14:schemeClr w14:val="tx1"/>
                  </w14:solidFill>
                </w14:textFill>
              </w:rPr>
            </w:pPr>
            <w:r>
              <w:rPr>
                <w:rFonts w:hint="eastAsia"/>
                <w:color w:val="000000" w:themeColor="text1"/>
                <w14:textFill>
                  <w14:solidFill>
                    <w14:schemeClr w14:val="tx1"/>
                  </w14:solidFill>
                </w14:textFill>
              </w:rPr>
              <w:t>严格控制装药量，爆破做好爆破警戒工作，疏散周围作业人员（含农耕人员）。</w:t>
            </w:r>
          </w:p>
        </w:tc>
      </w:tr>
    </w:tbl>
    <w:p w14:paraId="2DD0D87D">
      <w:pPr>
        <w:ind w:firstLine="560"/>
        <w:rPr>
          <w:color w:val="000000" w:themeColor="text1"/>
          <w14:textFill>
            <w14:solidFill>
              <w14:schemeClr w14:val="tx1"/>
            </w14:solidFill>
          </w14:textFill>
        </w:rPr>
      </w:pPr>
      <w:bookmarkStart w:id="2087" w:name="_Toc105676129"/>
      <w:bookmarkStart w:id="2088" w:name="_Toc153698777"/>
      <w:bookmarkStart w:id="2089" w:name="_Toc105675686"/>
      <w:bookmarkStart w:id="2090" w:name="_Toc105675019"/>
      <w:bookmarkStart w:id="2091" w:name="_Toc105730494"/>
      <w:bookmarkStart w:id="2092" w:name="_Toc4059"/>
      <w:bookmarkStart w:id="2093" w:name="_Toc32741"/>
      <w:bookmarkStart w:id="2094" w:name="_Toc3709"/>
      <w:bookmarkStart w:id="2095" w:name="_Toc4837"/>
      <w:bookmarkStart w:id="2096" w:name="_Toc22423"/>
      <w:bookmarkStart w:id="2097" w:name="_Toc392680756"/>
      <w:bookmarkStart w:id="2098" w:name="_Toc134758428"/>
      <w:bookmarkStart w:id="2099" w:name="_Toc134758427"/>
      <w:bookmarkStart w:id="2100" w:name="_Toc140123970"/>
      <w:bookmarkStart w:id="2101" w:name="_Toc137793296"/>
      <w:bookmarkStart w:id="2102" w:name="_Toc141763868"/>
      <w:r>
        <w:rPr>
          <w:color w:val="000000" w:themeColor="text1"/>
          <w14:textFill>
            <w14:solidFill>
              <w14:schemeClr w14:val="tx1"/>
            </w14:solidFill>
          </w14:textFill>
        </w:rPr>
        <w:t>应根据矿区工程地质、环境地质、气象、地形地貌等条件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避免选址及布置过程中形成滚石、滑坡、泥石流等重大危险因素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对选址特殊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且条件限制的设施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应根据危险因素的诱发事故条件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采取措施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加以消除、预防和减弱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对运输可能造成的车辆伤害也应引起重视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加强预防和管理</w:t>
      </w:r>
      <w:r>
        <w:rPr>
          <w:rFonts w:hint="eastAsia"/>
          <w:color w:val="000000" w:themeColor="text1"/>
          <w14:textFill>
            <w14:solidFill>
              <w14:schemeClr w14:val="tx1"/>
            </w14:solidFill>
          </w14:textFill>
        </w:rPr>
        <w:t>。</w:t>
      </w:r>
    </w:p>
    <w:p w14:paraId="400E024F">
      <w:pPr>
        <w:pStyle w:val="5"/>
        <w:spacing w:after="120"/>
        <w:rPr>
          <w:color w:val="000000" w:themeColor="text1"/>
          <w14:textFill>
            <w14:solidFill>
              <w14:schemeClr w14:val="tx1"/>
            </w14:solidFill>
          </w14:textFill>
        </w:rPr>
      </w:pPr>
      <w:bookmarkStart w:id="2103" w:name="_Toc20106"/>
      <w:bookmarkStart w:id="2104" w:name="_Toc27979"/>
      <w:bookmarkStart w:id="2105" w:name="_Toc21318"/>
      <w:bookmarkStart w:id="2106" w:name="_Toc215070251"/>
      <w:bookmarkStart w:id="2107" w:name="_Toc10313"/>
      <w:bookmarkStart w:id="2108" w:name="_Toc6144"/>
      <w:bookmarkStart w:id="2109" w:name="_Toc30796"/>
      <w:bookmarkStart w:id="2110" w:name="_Toc24139"/>
      <w:bookmarkStart w:id="2111" w:name="_Toc18797"/>
      <w:bookmarkStart w:id="2112" w:name="_Toc2777"/>
      <w:r>
        <w:rPr>
          <w:rFonts w:hint="eastAsia"/>
          <w:color w:val="000000" w:themeColor="text1"/>
          <w14:textFill>
            <w14:solidFill>
              <w14:schemeClr w14:val="tx1"/>
            </w14:solidFill>
          </w14:textFill>
        </w:rPr>
        <w:t>3.2.7总平面布置</w:t>
      </w:r>
      <w:bookmarkEnd w:id="2087"/>
      <w:bookmarkEnd w:id="2088"/>
      <w:bookmarkEnd w:id="2089"/>
      <w:bookmarkEnd w:id="2090"/>
      <w:bookmarkEnd w:id="2091"/>
      <w:r>
        <w:rPr>
          <w:rFonts w:hint="eastAsia"/>
          <w:color w:val="000000" w:themeColor="text1"/>
          <w14:textFill>
            <w14:solidFill>
              <w14:schemeClr w14:val="tx1"/>
            </w14:solidFill>
          </w14:textFill>
        </w:rPr>
        <w:t>单元安全检查表</w:t>
      </w:r>
      <w:bookmarkEnd w:id="2092"/>
      <w:bookmarkEnd w:id="2093"/>
      <w:bookmarkEnd w:id="2094"/>
      <w:bookmarkEnd w:id="2095"/>
      <w:bookmarkEnd w:id="2096"/>
      <w:bookmarkEnd w:id="2097"/>
      <w:bookmarkEnd w:id="2103"/>
      <w:bookmarkEnd w:id="2104"/>
      <w:bookmarkEnd w:id="2105"/>
      <w:bookmarkEnd w:id="2106"/>
      <w:bookmarkEnd w:id="2107"/>
      <w:bookmarkEnd w:id="2108"/>
      <w:bookmarkEnd w:id="2109"/>
      <w:bookmarkEnd w:id="2110"/>
      <w:bookmarkEnd w:id="2111"/>
      <w:bookmarkEnd w:id="2112"/>
    </w:p>
    <w:p w14:paraId="747B74C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根据《工业企业总平面设计规范》（GB50187-2012）、《金属非金属矿山安全规程》（GB16423-2020）、《建筑灭火器配置设计规范》（GB50140 -2005）、</w:t>
      </w:r>
      <w:r>
        <w:fldChar w:fldCharType="begin"/>
      </w:r>
      <w:r>
        <w:instrText xml:space="preserve">HYPERLINK "http://www.baidu.com/link?url=EP1SqovvoPS9ZOidA-GIintlYk-Bn9uWan0LkREKonxpRb0q6WlsLjM4XAj1XcjNZwcfv-X20JykXWgfMX3Ko7i_lYJaW6MIgOCwA50KQPe" \t "https://www.baidu.com/_blank"</w:instrText>
      </w:r>
      <w:r>
        <w:fldChar w:fldCharType="separate"/>
      </w:r>
      <w:r>
        <w:rPr>
          <w:rFonts w:hint="eastAsia"/>
          <w:color w:val="000000" w:themeColor="text1"/>
          <w14:textFill>
            <w14:solidFill>
              <w14:schemeClr w14:val="tx1"/>
            </w14:solidFill>
          </w14:textFill>
        </w:rPr>
        <w:t>《消防设施通用规范》（GB55036-2022）</w:t>
      </w:r>
      <w:r>
        <w:fldChar w:fldCharType="end"/>
      </w:r>
      <w:r>
        <w:rPr>
          <w:rFonts w:hint="eastAsia"/>
          <w:color w:val="000000" w:themeColor="text1"/>
          <w14:textFill>
            <w14:solidFill>
              <w14:schemeClr w14:val="tx1"/>
            </w14:solidFill>
          </w14:textFill>
        </w:rPr>
        <w:t>的相关内容从总平面布置方面对通过安全检查表检查评价方案中总平面布置是否合理，见表3.2-2。</w:t>
      </w:r>
    </w:p>
    <w:p w14:paraId="3F3CD016">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表3.2-2总平面布置安全检查表</w:t>
      </w:r>
    </w:p>
    <w:tbl>
      <w:tblPr>
        <w:tblStyle w:val="4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3777"/>
        <w:gridCol w:w="1633"/>
        <w:gridCol w:w="2316"/>
        <w:gridCol w:w="677"/>
      </w:tblGrid>
      <w:tr w14:paraId="50BA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right"/>
        </w:trPr>
        <w:tc>
          <w:tcPr>
            <w:tcW w:w="464" w:type="dxa"/>
            <w:vAlign w:val="center"/>
          </w:tcPr>
          <w:p w14:paraId="1B07C053">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3777" w:type="dxa"/>
            <w:vAlign w:val="center"/>
          </w:tcPr>
          <w:p w14:paraId="1369EBF3">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检查内容</w:t>
            </w:r>
          </w:p>
        </w:tc>
        <w:tc>
          <w:tcPr>
            <w:tcW w:w="1633" w:type="dxa"/>
            <w:vAlign w:val="center"/>
          </w:tcPr>
          <w:p w14:paraId="618D7ACE">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依据标准条款</w:t>
            </w:r>
          </w:p>
        </w:tc>
        <w:tc>
          <w:tcPr>
            <w:tcW w:w="2316" w:type="dxa"/>
            <w:vAlign w:val="center"/>
          </w:tcPr>
          <w:p w14:paraId="0BAD0D27">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检查情况</w:t>
            </w:r>
          </w:p>
        </w:tc>
        <w:tc>
          <w:tcPr>
            <w:tcW w:w="677" w:type="dxa"/>
            <w:vAlign w:val="center"/>
          </w:tcPr>
          <w:p w14:paraId="08DE3C41">
            <w:pPr>
              <w:pStyle w:val="67"/>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检查结果</w:t>
            </w:r>
          </w:p>
        </w:tc>
      </w:tr>
      <w:tr w14:paraId="3B77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right"/>
        </w:trPr>
        <w:tc>
          <w:tcPr>
            <w:tcW w:w="464" w:type="dxa"/>
            <w:vAlign w:val="center"/>
          </w:tcPr>
          <w:p w14:paraId="1652EFAC">
            <w:pPr>
              <w:pStyle w:val="75"/>
              <w:rPr>
                <w:color w:val="000000" w:themeColor="text1"/>
                <w14:textFill>
                  <w14:solidFill>
                    <w14:schemeClr w14:val="tx1"/>
                  </w14:solidFill>
                </w14:textFill>
              </w:rPr>
            </w:pPr>
            <w:r>
              <w:rPr>
                <w:color w:val="000000" w:themeColor="text1"/>
                <w14:textFill>
                  <w14:solidFill>
                    <w14:schemeClr w14:val="tx1"/>
                  </w14:solidFill>
                </w14:textFill>
              </w:rPr>
              <w:t>1</w:t>
            </w:r>
          </w:p>
        </w:tc>
        <w:tc>
          <w:tcPr>
            <w:tcW w:w="3777" w:type="dxa"/>
            <w:vAlign w:val="center"/>
          </w:tcPr>
          <w:p w14:paraId="06C1641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总平面布置应节约集约用地</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提高土地利用率</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布置时并应符合下列要求：（1）在符合生产流程、操作要求和使用功能的前提下</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建筑物、构筑物等设施</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应采用联合、集中、多层布置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w:t>
            </w:r>
            <w:r>
              <w:rPr>
                <w:color w:val="000000" w:themeColor="text1"/>
                <w14:textFill>
                  <w14:solidFill>
                    <w14:schemeClr w14:val="tx1"/>
                  </w14:solidFill>
                </w14:textFill>
              </w:rPr>
              <w:t>2</w:t>
            </w:r>
            <w:r>
              <w:rPr>
                <w:rFonts w:hint="default"/>
                <w:color w:val="000000" w:themeColor="text1"/>
                <w14:textFill>
                  <w14:solidFill>
                    <w14:schemeClr w14:val="tx1"/>
                  </w14:solidFill>
                </w14:textFill>
              </w:rPr>
              <w:t>）应按企业规模和功能分区</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合理地确定通道宽度</w:t>
            </w:r>
            <w:r>
              <w:rPr>
                <w:color w:val="000000" w:themeColor="text1"/>
                <w14:textFill>
                  <w14:solidFill>
                    <w14:schemeClr w14:val="tx1"/>
                  </w14:solidFill>
                </w14:textFill>
              </w:rPr>
              <w:t>；</w:t>
            </w:r>
            <w:r>
              <w:rPr>
                <w:rFonts w:hint="default"/>
                <w:color w:val="000000" w:themeColor="text1"/>
                <w14:textFill>
                  <w14:solidFill>
                    <w14:schemeClr w14:val="tx1"/>
                  </w14:solidFill>
                </w14:textFill>
              </w:rPr>
              <w:t>（</w:t>
            </w:r>
            <w:r>
              <w:rPr>
                <w:color w:val="000000" w:themeColor="text1"/>
                <w14:textFill>
                  <w14:solidFill>
                    <w14:schemeClr w14:val="tx1"/>
                  </w14:solidFill>
                </w14:textFill>
              </w:rPr>
              <w:t>3</w:t>
            </w:r>
            <w:r>
              <w:rPr>
                <w:rFonts w:hint="default"/>
                <w:color w:val="000000" w:themeColor="text1"/>
                <w14:textFill>
                  <w14:solidFill>
                    <w14:schemeClr w14:val="tx1"/>
                  </w14:solidFill>
                </w14:textFill>
              </w:rPr>
              <w:t>）厂区功能分区及建筑物、构筑物的外形宜规整</w:t>
            </w:r>
            <w:r>
              <w:rPr>
                <w:color w:val="000000" w:themeColor="text1"/>
                <w14:textFill>
                  <w14:solidFill>
                    <w14:schemeClr w14:val="tx1"/>
                  </w14:solidFill>
                </w14:textFill>
              </w:rPr>
              <w:t>；</w:t>
            </w:r>
            <w:r>
              <w:rPr>
                <w:rFonts w:hint="default"/>
                <w:color w:val="000000" w:themeColor="text1"/>
                <w14:textFill>
                  <w14:solidFill>
                    <w14:schemeClr w14:val="tx1"/>
                  </w14:solidFill>
                </w14:textFill>
              </w:rPr>
              <w:t>（</w:t>
            </w:r>
            <w:r>
              <w:rPr>
                <w:color w:val="000000" w:themeColor="text1"/>
                <w14:textFill>
                  <w14:solidFill>
                    <w14:schemeClr w14:val="tx1"/>
                  </w14:solidFill>
                </w14:textFill>
              </w:rPr>
              <w:t>4</w:t>
            </w:r>
            <w:r>
              <w:rPr>
                <w:rFonts w:hint="default"/>
                <w:color w:val="000000" w:themeColor="text1"/>
                <w14:textFill>
                  <w14:solidFill>
                    <w14:schemeClr w14:val="tx1"/>
                  </w14:solidFill>
                </w14:textFill>
              </w:rPr>
              <w:t>）功能分区内各项设施的布置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应紧凑、合理</w:t>
            </w:r>
            <w:r>
              <w:rPr>
                <w:color w:val="000000" w:themeColor="text1"/>
                <w14:textFill>
                  <w14:solidFill>
                    <w14:schemeClr w14:val="tx1"/>
                  </w14:solidFill>
                </w14:textFill>
              </w:rPr>
              <w:t>。</w:t>
            </w:r>
          </w:p>
        </w:tc>
        <w:tc>
          <w:tcPr>
            <w:tcW w:w="1633" w:type="dxa"/>
            <w:vAlign w:val="center"/>
          </w:tcPr>
          <w:p w14:paraId="442A831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w:t>
            </w:r>
            <w:r>
              <w:rPr>
                <w:color w:val="000000" w:themeColor="text1"/>
                <w14:textFill>
                  <w14:solidFill>
                    <w14:schemeClr w14:val="tx1"/>
                  </w14:solidFill>
                </w14:textFill>
              </w:rPr>
              <w:t>-</w:t>
            </w:r>
            <w:r>
              <w:rPr>
                <w:rFonts w:hint="default"/>
                <w:color w:val="000000" w:themeColor="text1"/>
                <w14:textFill>
                  <w14:solidFill>
                    <w14:schemeClr w14:val="tx1"/>
                  </w14:solidFill>
                </w14:textFill>
              </w:rPr>
              <w:t>2012</w:t>
            </w:r>
          </w:p>
          <w:p w14:paraId="2DF3683D">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第5.1.2条</w:t>
            </w:r>
          </w:p>
        </w:tc>
        <w:tc>
          <w:tcPr>
            <w:tcW w:w="2316" w:type="dxa"/>
            <w:vAlign w:val="center"/>
          </w:tcPr>
          <w:p w14:paraId="6DF2BB0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可研</w:t>
            </w:r>
            <w:r>
              <w:rPr>
                <w:rFonts w:hint="default"/>
                <w:color w:val="000000" w:themeColor="text1"/>
                <w14:textFill>
                  <w14:solidFill>
                    <w14:schemeClr w14:val="tx1"/>
                  </w14:solidFill>
                </w14:textFill>
              </w:rPr>
              <w:t>中总平面布置</w:t>
            </w:r>
            <w:r>
              <w:rPr>
                <w:color w:val="000000" w:themeColor="text1"/>
                <w14:textFill>
                  <w14:solidFill>
                    <w14:schemeClr w14:val="tx1"/>
                  </w14:solidFill>
                </w14:textFill>
              </w:rPr>
              <w:t>利用原有</w:t>
            </w:r>
            <w:r>
              <w:rPr>
                <w:rFonts w:hint="default"/>
                <w:color w:val="000000" w:themeColor="text1"/>
                <w14:textFill>
                  <w14:solidFill>
                    <w14:schemeClr w14:val="tx1"/>
                  </w14:solidFill>
                </w14:textFill>
              </w:rPr>
              <w:t>功能分区</w:t>
            </w:r>
            <w:r>
              <w:rPr>
                <w:color w:val="000000" w:themeColor="text1"/>
                <w14:textFill>
                  <w14:solidFill>
                    <w14:schemeClr w14:val="tx1"/>
                  </w14:solidFill>
                </w14:textFill>
              </w:rPr>
              <w:t>。</w:t>
            </w:r>
          </w:p>
        </w:tc>
        <w:tc>
          <w:tcPr>
            <w:tcW w:w="677" w:type="dxa"/>
            <w:vAlign w:val="center"/>
          </w:tcPr>
          <w:p w14:paraId="13FF128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87F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77155BFE">
            <w:pPr>
              <w:pStyle w:val="75"/>
              <w:rPr>
                <w:color w:val="000000" w:themeColor="text1"/>
                <w14:textFill>
                  <w14:solidFill>
                    <w14:schemeClr w14:val="tx1"/>
                  </w14:solidFill>
                </w14:textFill>
              </w:rPr>
            </w:pPr>
            <w:r>
              <w:rPr>
                <w:color w:val="000000" w:themeColor="text1"/>
                <w14:textFill>
                  <w14:solidFill>
                    <w14:schemeClr w14:val="tx1"/>
                  </w14:solidFill>
                </w14:textFill>
              </w:rPr>
              <w:t>2</w:t>
            </w:r>
          </w:p>
        </w:tc>
        <w:tc>
          <w:tcPr>
            <w:tcW w:w="3777" w:type="dxa"/>
            <w:vAlign w:val="center"/>
          </w:tcPr>
          <w:p w14:paraId="097720D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总平面布置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应充分利用地形、地势、工程地质及水文地质条件</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布置建筑物、构筑物和有关设施</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应减少土（石）方工程量和基础工程费用</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并应符合下列要求：（1）当厂区地形坡度较大时</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建筑物、构筑物的长轴宜顺等高线布置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w:t>
            </w:r>
            <w:r>
              <w:rPr>
                <w:color w:val="000000" w:themeColor="text1"/>
                <w14:textFill>
                  <w14:solidFill>
                    <w14:schemeClr w14:val="tx1"/>
                  </w14:solidFill>
                </w14:textFill>
              </w:rPr>
              <w:t>2</w:t>
            </w:r>
            <w:r>
              <w:rPr>
                <w:rFonts w:hint="default"/>
                <w:color w:val="000000" w:themeColor="text1"/>
                <w14:textFill>
                  <w14:solidFill>
                    <w14:schemeClr w14:val="tx1"/>
                  </w14:solidFill>
                </w14:textFill>
              </w:rPr>
              <w:t>）应结合地形及竖向设计</w:t>
            </w:r>
            <w:r>
              <w:rPr>
                <w:color w:val="000000" w:themeColor="text1"/>
                <w14:textFill>
                  <w14:solidFill>
                    <w14:schemeClr w14:val="tx1"/>
                  </w14:solidFill>
                </w14:textFill>
              </w:rPr>
              <w:t>，</w:t>
            </w:r>
            <w:r>
              <w:rPr>
                <w:rFonts w:hint="default"/>
                <w:color w:val="000000" w:themeColor="text1"/>
                <w14:textFill>
                  <w14:solidFill>
                    <w14:schemeClr w14:val="tx1"/>
                  </w14:solidFill>
                </w14:textFill>
              </w:rPr>
              <w:t>为物料采用自流管道及高站台、低货位等设施创造条件</w:t>
            </w:r>
            <w:r>
              <w:rPr>
                <w:color w:val="000000" w:themeColor="text1"/>
                <w14:textFill>
                  <w14:solidFill>
                    <w14:schemeClr w14:val="tx1"/>
                  </w14:solidFill>
                </w14:textFill>
              </w:rPr>
              <w:t>。</w:t>
            </w:r>
          </w:p>
        </w:tc>
        <w:tc>
          <w:tcPr>
            <w:tcW w:w="1633" w:type="dxa"/>
            <w:vAlign w:val="center"/>
          </w:tcPr>
          <w:p w14:paraId="3A331ABD">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w:t>
            </w:r>
            <w:r>
              <w:rPr>
                <w:color w:val="000000" w:themeColor="text1"/>
                <w14:textFill>
                  <w14:solidFill>
                    <w14:schemeClr w14:val="tx1"/>
                  </w14:solidFill>
                </w14:textFill>
              </w:rPr>
              <w:t>-</w:t>
            </w:r>
            <w:r>
              <w:rPr>
                <w:rFonts w:hint="default"/>
                <w:color w:val="000000" w:themeColor="text1"/>
                <w14:textFill>
                  <w14:solidFill>
                    <w14:schemeClr w14:val="tx1"/>
                  </w14:solidFill>
                </w14:textFill>
              </w:rPr>
              <w:t>2012</w:t>
            </w:r>
          </w:p>
          <w:p w14:paraId="5595A791">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第5.1.5条</w:t>
            </w:r>
          </w:p>
        </w:tc>
        <w:tc>
          <w:tcPr>
            <w:tcW w:w="2316" w:type="dxa"/>
            <w:vAlign w:val="center"/>
          </w:tcPr>
          <w:p w14:paraId="694A3685">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矿山各构筑物布置合理</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充分考虑了地形条件</w:t>
            </w:r>
            <w:r>
              <w:rPr>
                <w:color w:val="000000" w:themeColor="text1"/>
                <w14:textFill>
                  <w14:solidFill>
                    <w14:schemeClr w14:val="tx1"/>
                  </w14:solidFill>
                </w14:textFill>
              </w:rPr>
              <w:t>。</w:t>
            </w:r>
          </w:p>
        </w:tc>
        <w:tc>
          <w:tcPr>
            <w:tcW w:w="677" w:type="dxa"/>
            <w:vAlign w:val="center"/>
          </w:tcPr>
          <w:p w14:paraId="5F1A8C2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D39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right"/>
        </w:trPr>
        <w:tc>
          <w:tcPr>
            <w:tcW w:w="464" w:type="dxa"/>
            <w:vAlign w:val="center"/>
          </w:tcPr>
          <w:p w14:paraId="644600D8">
            <w:pPr>
              <w:pStyle w:val="7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777" w:type="dxa"/>
            <w:vAlign w:val="center"/>
          </w:tcPr>
          <w:p w14:paraId="6C9B512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矿山企业的办公区、生活区、工业场地、地面建筑等，不应设在危崖、塌陷区、崩落区，不应设在受尘毒、污风影响区域内，不应受洪水、泥石流、爆破威胁。</w:t>
            </w:r>
          </w:p>
        </w:tc>
        <w:tc>
          <w:tcPr>
            <w:tcW w:w="1633" w:type="dxa"/>
            <w:vAlign w:val="center"/>
          </w:tcPr>
          <w:p w14:paraId="1D86557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《金属非金属矿山安全规程》（GB16423-2020）第4.6.1条</w:t>
            </w:r>
          </w:p>
        </w:tc>
        <w:tc>
          <w:tcPr>
            <w:tcW w:w="2316" w:type="dxa"/>
            <w:vAlign w:val="center"/>
          </w:tcPr>
          <w:p w14:paraId="458869C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利旧</w:t>
            </w:r>
            <w:r>
              <w:rPr>
                <w:color w:val="000000" w:themeColor="text1"/>
                <w14:textFill>
                  <w14:solidFill>
                    <w14:schemeClr w14:val="tx1"/>
                  </w14:solidFill>
                </w14:textFill>
              </w:rPr>
              <w:t>（1）</w:t>
            </w:r>
            <w:r>
              <w:rPr>
                <w:rFonts w:hint="default"/>
                <w:color w:val="000000" w:themeColor="text1"/>
                <w14:textFill>
                  <w14:solidFill>
                    <w14:schemeClr w14:val="tx1"/>
                  </w14:solidFill>
                </w14:textFill>
              </w:rPr>
              <w:t>矿山的</w:t>
            </w:r>
            <w:r>
              <w:rPr>
                <w:color w:val="000000" w:themeColor="text1"/>
                <w14:textFill>
                  <w14:solidFill>
                    <w14:schemeClr w14:val="tx1"/>
                  </w14:solidFill>
                </w14:textFill>
              </w:rPr>
              <w:t>临时</w:t>
            </w:r>
            <w:r>
              <w:rPr>
                <w:rFonts w:hint="default"/>
                <w:color w:val="000000" w:themeColor="text1"/>
                <w14:textFill>
                  <w14:solidFill>
                    <w14:schemeClr w14:val="tx1"/>
                  </w14:solidFill>
                </w14:textFill>
              </w:rPr>
              <w:t>办公区、生活区。</w:t>
            </w:r>
            <w:r>
              <w:rPr>
                <w:color w:val="000000" w:themeColor="text1"/>
                <w14:textFill>
                  <w14:solidFill>
                    <w14:schemeClr w14:val="tx1"/>
                  </w14:solidFill>
                </w14:textFill>
              </w:rPr>
              <w:t>（2）</w:t>
            </w:r>
            <w:r>
              <w:rPr>
                <w:rFonts w:hint="default"/>
                <w:color w:val="000000" w:themeColor="text1"/>
                <w14:textFill>
                  <w14:solidFill>
                    <w14:schemeClr w14:val="tx1"/>
                  </w14:solidFill>
                </w14:textFill>
              </w:rPr>
              <w:t>矿山现已建成工业场地，位于矿区西</w:t>
            </w:r>
            <w:r>
              <w:rPr>
                <w:color w:val="000000" w:themeColor="text1"/>
                <w14:textFill>
                  <w14:solidFill>
                    <w14:schemeClr w14:val="tx1"/>
                  </w14:solidFill>
                </w14:textFill>
              </w:rPr>
              <w:t>南</w:t>
            </w:r>
            <w:r>
              <w:rPr>
                <w:rFonts w:hint="default"/>
                <w:color w:val="000000" w:themeColor="text1"/>
                <w14:textFill>
                  <w14:solidFill>
                    <w14:schemeClr w14:val="tx1"/>
                  </w14:solidFill>
                </w14:textFill>
              </w:rPr>
              <w:t>侧，交通方便。工业场地内设破碎站、配电室、值班室等生产设施</w:t>
            </w:r>
            <w:r>
              <w:rPr>
                <w:color w:val="000000" w:themeColor="text1"/>
                <w14:textFill>
                  <w14:solidFill>
                    <w14:schemeClr w14:val="tx1"/>
                  </w14:solidFill>
                </w14:textFill>
              </w:rPr>
              <w:t>。</w:t>
            </w:r>
          </w:p>
        </w:tc>
        <w:tc>
          <w:tcPr>
            <w:tcW w:w="677" w:type="dxa"/>
            <w:vAlign w:val="center"/>
          </w:tcPr>
          <w:p w14:paraId="1D4DD035">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B90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26527F7D">
            <w:pPr>
              <w:pStyle w:val="7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777" w:type="dxa"/>
            <w:vAlign w:val="center"/>
          </w:tcPr>
          <w:p w14:paraId="45F199FA">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行政办公及生活服务设施的布置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应位于厂区全年最小频率风向的下风侧</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并应符合下列要求：（1）应布置在便于行政办公、环境洁净、靠近主要人流出入口、与城镇和居住区联系方便的位置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（2）行政办公及生活服务设施的用地面积</w:t>
            </w:r>
            <w:r>
              <w:rPr>
                <w:color w:val="000000" w:themeColor="text1"/>
                <w14:textFill>
                  <w14:solidFill>
                    <w14:schemeClr w14:val="tx1"/>
                  </w14:solidFill>
                </w14:textFill>
              </w:rPr>
              <w:t>，</w:t>
            </w:r>
            <w:r>
              <w:rPr>
                <w:rFonts w:hint="default"/>
                <w:color w:val="000000" w:themeColor="text1"/>
                <w14:textFill>
                  <w14:solidFill>
                    <w14:schemeClr w14:val="tx1"/>
                  </w14:solidFill>
                </w14:textFill>
              </w:rPr>
              <w:t>不得超过工业项目总用地面积的7%</w:t>
            </w:r>
            <w:r>
              <w:rPr>
                <w:color w:val="000000" w:themeColor="text1"/>
                <w14:textFill>
                  <w14:solidFill>
                    <w14:schemeClr w14:val="tx1"/>
                  </w14:solidFill>
                </w14:textFill>
              </w:rPr>
              <w:t>。</w:t>
            </w:r>
          </w:p>
        </w:tc>
        <w:tc>
          <w:tcPr>
            <w:tcW w:w="1633" w:type="dxa"/>
            <w:vAlign w:val="center"/>
          </w:tcPr>
          <w:p w14:paraId="60ACF52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w:t>
            </w:r>
            <w:r>
              <w:rPr>
                <w:color w:val="000000" w:themeColor="text1"/>
                <w14:textFill>
                  <w14:solidFill>
                    <w14:schemeClr w14:val="tx1"/>
                  </w14:solidFill>
                </w14:textFill>
              </w:rPr>
              <w:t>-</w:t>
            </w:r>
            <w:r>
              <w:rPr>
                <w:rFonts w:hint="default"/>
                <w:color w:val="000000" w:themeColor="text1"/>
                <w14:textFill>
                  <w14:solidFill>
                    <w14:schemeClr w14:val="tx1"/>
                  </w14:solidFill>
                </w14:textFill>
              </w:rPr>
              <w:t>2012</w:t>
            </w:r>
          </w:p>
          <w:p w14:paraId="66465B4B">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第5.7.1条</w:t>
            </w:r>
          </w:p>
        </w:tc>
        <w:tc>
          <w:tcPr>
            <w:tcW w:w="2316" w:type="dxa"/>
            <w:vAlign w:val="center"/>
          </w:tcPr>
          <w:p w14:paraId="342942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r>
              <w:rPr>
                <w:rFonts w:hint="default"/>
                <w:color w:val="000000" w:themeColor="text1"/>
                <w14:textFill>
                  <w14:solidFill>
                    <w14:schemeClr w14:val="tx1"/>
                  </w14:solidFill>
                </w14:textFill>
              </w:rPr>
              <w:t>办公生活区位于</w:t>
            </w:r>
            <w:r>
              <w:rPr>
                <w:color w:val="000000" w:themeColor="text1"/>
                <w14:textFill>
                  <w14:solidFill>
                    <w14:schemeClr w14:val="tx1"/>
                  </w14:solidFill>
                </w14:textFill>
              </w:rPr>
              <w:t>采场及</w:t>
            </w:r>
            <w:r>
              <w:rPr>
                <w:rFonts w:hint="default"/>
                <w:color w:val="000000" w:themeColor="text1"/>
                <w14:textFill>
                  <w14:solidFill>
                    <w14:schemeClr w14:val="tx1"/>
                  </w14:solidFill>
                </w14:textFill>
              </w:rPr>
              <w:t>破碎站</w:t>
            </w:r>
            <w:r>
              <w:rPr>
                <w:color w:val="000000" w:themeColor="text1"/>
                <w14:textFill>
                  <w14:solidFill>
                    <w14:schemeClr w14:val="tx1"/>
                  </w14:solidFill>
                </w14:textFill>
              </w:rPr>
              <w:t>的西南侧，该区全年最多风向为西南风，</w:t>
            </w:r>
            <w:r>
              <w:rPr>
                <w:rFonts w:hint="default"/>
                <w:color w:val="000000" w:themeColor="text1"/>
                <w14:textFill>
                  <w14:solidFill>
                    <w14:schemeClr w14:val="tx1"/>
                  </w14:solidFill>
                </w14:textFill>
              </w:rPr>
              <w:t>办公生活区位于全年最</w:t>
            </w:r>
            <w:r>
              <w:rPr>
                <w:color w:val="000000" w:themeColor="text1"/>
                <w14:textFill>
                  <w14:solidFill>
                    <w14:schemeClr w14:val="tx1"/>
                  </w14:solidFill>
                </w14:textFill>
              </w:rPr>
              <w:t>大</w:t>
            </w:r>
            <w:r>
              <w:rPr>
                <w:rFonts w:hint="default"/>
                <w:color w:val="000000" w:themeColor="text1"/>
                <w14:textFill>
                  <w14:solidFill>
                    <w14:schemeClr w14:val="tx1"/>
                  </w14:solidFill>
                </w14:textFill>
              </w:rPr>
              <w:t>频率风向的</w:t>
            </w:r>
            <w:r>
              <w:rPr>
                <w:color w:val="000000" w:themeColor="text1"/>
                <w14:textFill>
                  <w14:solidFill>
                    <w14:schemeClr w14:val="tx1"/>
                  </w14:solidFill>
                </w14:textFill>
              </w:rPr>
              <w:t>上</w:t>
            </w:r>
            <w:r>
              <w:rPr>
                <w:rFonts w:hint="default"/>
                <w:color w:val="000000" w:themeColor="text1"/>
                <w14:textFill>
                  <w14:solidFill>
                    <w14:schemeClr w14:val="tx1"/>
                  </w14:solidFill>
                </w14:textFill>
              </w:rPr>
              <w:t>风侧</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符合要求</w:t>
            </w:r>
            <w:r>
              <w:rPr>
                <w:color w:val="000000" w:themeColor="text1"/>
                <w14:textFill>
                  <w14:solidFill>
                    <w14:schemeClr w14:val="tx1"/>
                  </w14:solidFill>
                </w14:textFill>
              </w:rPr>
              <w:t>。（2）</w:t>
            </w:r>
            <w:r>
              <w:rPr>
                <w:rFonts w:hint="default"/>
                <w:color w:val="000000" w:themeColor="text1"/>
                <w14:textFill>
                  <w14:solidFill>
                    <w14:schemeClr w14:val="tx1"/>
                  </w14:solidFill>
                </w14:textFill>
              </w:rPr>
              <w:t>行政办公及生活服务设施的用地面积</w:t>
            </w:r>
            <w:r>
              <w:rPr>
                <w:color w:val="000000" w:themeColor="text1"/>
                <w14:textFill>
                  <w14:solidFill>
                    <w14:schemeClr w14:val="tx1"/>
                  </w14:solidFill>
                </w14:textFill>
              </w:rPr>
              <w:t>约为300 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，小于</w:t>
            </w:r>
            <w:r>
              <w:rPr>
                <w:rFonts w:hint="default"/>
                <w:color w:val="000000" w:themeColor="text1"/>
                <w14:textFill>
                  <w14:solidFill>
                    <w14:schemeClr w14:val="tx1"/>
                  </w14:solidFill>
                </w14:textFill>
              </w:rPr>
              <w:t>工业项目总用地面积的7%</w:t>
            </w:r>
            <w:r>
              <w:rPr>
                <w:color w:val="000000" w:themeColor="text1"/>
                <w14:textFill>
                  <w14:solidFill>
                    <w14:schemeClr w14:val="tx1"/>
                  </w14:solidFill>
                </w14:textFill>
              </w:rPr>
              <w:t>。</w:t>
            </w:r>
          </w:p>
        </w:tc>
        <w:tc>
          <w:tcPr>
            <w:tcW w:w="677" w:type="dxa"/>
            <w:vAlign w:val="center"/>
          </w:tcPr>
          <w:p w14:paraId="2DF999E0">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BD3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right"/>
        </w:trPr>
        <w:tc>
          <w:tcPr>
            <w:tcW w:w="464" w:type="dxa"/>
            <w:vAlign w:val="center"/>
          </w:tcPr>
          <w:p w14:paraId="62A2C818">
            <w:pPr>
              <w:pStyle w:val="7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777" w:type="dxa"/>
            <w:vAlign w:val="center"/>
          </w:tcPr>
          <w:p w14:paraId="19E325BA">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总平面布置应采取防止高温、有害气体、烟、雾、粉尘、强烈振动和高噪声对周围环境和人身安全的危害的安全保障措施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并应符合现行国家有关工业企业卫生设计标准的规定</w:t>
            </w:r>
            <w:r>
              <w:rPr>
                <w:rFonts w:hint="eastAsia"/>
                <w:color w:val="000000" w:themeColor="text1"/>
                <w:sz w:val="21"/>
                <w:szCs w:val="21"/>
                <w14:textFill>
                  <w14:solidFill>
                    <w14:schemeClr w14:val="tx1"/>
                  </w14:solidFill>
                </w14:textFill>
              </w:rPr>
              <w:t>。</w:t>
            </w:r>
          </w:p>
        </w:tc>
        <w:tc>
          <w:tcPr>
            <w:tcW w:w="1633" w:type="dxa"/>
            <w:vAlign w:val="center"/>
          </w:tcPr>
          <w:p w14:paraId="3A2AFE5A">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《工业企业总平面设计规范》GB50187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2012</w:t>
            </w:r>
          </w:p>
          <w:p w14:paraId="1E6C9BDD">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第5.1.7条</w:t>
            </w:r>
          </w:p>
        </w:tc>
        <w:tc>
          <w:tcPr>
            <w:tcW w:w="2316" w:type="dxa"/>
            <w:vAlign w:val="center"/>
          </w:tcPr>
          <w:p w14:paraId="47A4269B">
            <w:pPr>
              <w:pStyle w:val="131"/>
              <w:rPr>
                <w:color w:val="000000" w:themeColor="text1"/>
                <w:szCs w:val="21"/>
                <w14:textFill>
                  <w14:solidFill>
                    <w14:schemeClr w14:val="tx1"/>
                  </w14:solidFill>
                </w14:textFill>
              </w:rPr>
            </w:pPr>
            <w:r>
              <w:rPr>
                <w:color w:val="000000" w:themeColor="text1"/>
                <w14:textFill>
                  <w14:solidFill>
                    <w14:schemeClr w14:val="tx1"/>
                  </w14:solidFill>
                </w14:textFill>
              </w:rPr>
              <w:t>执行湿式凿岩，坚持矿山公路、废石场洒水降尘，超标噪声设备经隔声、消声、减震及采取个人防护措施</w:t>
            </w:r>
            <w:r>
              <w:rPr>
                <w:rFonts w:hint="eastAsia"/>
                <w:color w:val="000000" w:themeColor="text1"/>
                <w14:textFill>
                  <w14:solidFill>
                    <w14:schemeClr w14:val="tx1"/>
                  </w14:solidFill>
                </w14:textFill>
              </w:rPr>
              <w:t>。</w:t>
            </w:r>
          </w:p>
        </w:tc>
        <w:tc>
          <w:tcPr>
            <w:tcW w:w="677" w:type="dxa"/>
            <w:vAlign w:val="center"/>
          </w:tcPr>
          <w:p w14:paraId="7F69E06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5BF9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1BF3A74D">
            <w:pPr>
              <w:pStyle w:val="7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777" w:type="dxa"/>
            <w:vAlign w:val="center"/>
          </w:tcPr>
          <w:p w14:paraId="6D66018C">
            <w:pPr>
              <w:spacing w:line="240" w:lineRule="auto"/>
              <w:ind w:firstLine="0" w:firstLineChars="0"/>
              <w:rPr>
                <w:color w:val="000000" w:themeColor="text1"/>
                <w:sz w:val="21"/>
                <w:szCs w:val="21"/>
                <w14:textFill>
                  <w14:solidFill>
                    <w14:schemeClr w14:val="tx1"/>
                  </w14:solidFill>
                </w14:textFill>
              </w:rPr>
            </w:pPr>
            <w:r>
              <w:rPr>
                <w:rStyle w:val="132"/>
                <w:color w:val="000000" w:themeColor="text1"/>
                <w14:textFill>
                  <w14:solidFill>
                    <w14:schemeClr w14:val="tx1"/>
                  </w14:solidFill>
                </w14:textFill>
              </w:rPr>
              <w:t>（1）厂矿道路设计</w:t>
            </w:r>
            <w:r>
              <w:rPr>
                <w:rStyle w:val="132"/>
                <w:rFonts w:hint="eastAsia"/>
                <w:color w:val="000000" w:themeColor="text1"/>
                <w14:textFill>
                  <w14:solidFill>
                    <w14:schemeClr w14:val="tx1"/>
                  </w14:solidFill>
                </w14:textFill>
              </w:rPr>
              <w:t>，</w:t>
            </w:r>
            <w:r>
              <w:rPr>
                <w:rStyle w:val="132"/>
                <w:color w:val="000000" w:themeColor="text1"/>
                <w14:textFill>
                  <w14:solidFill>
                    <w14:schemeClr w14:val="tx1"/>
                  </w14:solidFill>
                </w14:textFill>
              </w:rPr>
              <w:t>应适合厂矿企业生产（包括检修、安装）和其它交通运输的需要</w:t>
            </w:r>
            <w:r>
              <w:rPr>
                <w:rStyle w:val="132"/>
                <w:rFonts w:hint="eastAsia"/>
                <w:color w:val="000000" w:themeColor="text1"/>
                <w14:textFill>
                  <w14:solidFill>
                    <w14:schemeClr w14:val="tx1"/>
                  </w14:solidFill>
                </w14:textFill>
              </w:rPr>
              <w:t>。</w:t>
            </w:r>
            <w:r>
              <w:rPr>
                <w:rStyle w:val="132"/>
                <w:color w:val="000000" w:themeColor="text1"/>
                <w14:textFill>
                  <w14:solidFill>
                    <w14:schemeClr w14:val="tx1"/>
                  </w14:solidFill>
                </w14:textFill>
              </w:rPr>
              <w:t>对厂矿基本建设期间的超</w:t>
            </w:r>
            <w:r>
              <w:rPr>
                <w:color w:val="000000" w:themeColor="text1"/>
                <w:kern w:val="0"/>
                <w:sz w:val="21"/>
                <w:szCs w:val="21"/>
                <w14:textFill>
                  <w14:solidFill>
                    <w14:schemeClr w14:val="tx1"/>
                  </w14:solidFill>
                </w14:textFill>
              </w:rPr>
              <w:t>限货物（大件、重件）运输</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可根据具体情况</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予以适当考虑</w:t>
            </w:r>
            <w:r>
              <w:rPr>
                <w:rFonts w:hint="eastAsia"/>
                <w:color w:val="000000" w:themeColor="text1"/>
                <w:kern w:val="0"/>
                <w:sz w:val="21"/>
                <w:szCs w:val="21"/>
                <w14:textFill>
                  <w14:solidFill>
                    <w14:schemeClr w14:val="tx1"/>
                  </w14:solidFill>
                </w14:textFill>
              </w:rPr>
              <w:t>。</w:t>
            </w:r>
            <w:r>
              <w:rPr>
                <w:rStyle w:val="132"/>
                <w:color w:val="000000" w:themeColor="text1"/>
                <w14:textFill>
                  <w14:solidFill>
                    <w14:schemeClr w14:val="tx1"/>
                  </w14:solidFill>
                </w14:textFill>
              </w:rPr>
              <w:t>（</w:t>
            </w:r>
            <w:r>
              <w:rPr>
                <w:rStyle w:val="132"/>
                <w:rFonts w:hint="eastAsia"/>
                <w:color w:val="000000" w:themeColor="text1"/>
                <w14:textFill>
                  <w14:solidFill>
                    <w14:schemeClr w14:val="tx1"/>
                  </w14:solidFill>
                </w14:textFill>
              </w:rPr>
              <w:t>2</w:t>
            </w:r>
            <w:r>
              <w:rPr>
                <w:rStyle w:val="132"/>
                <w:color w:val="000000" w:themeColor="text1"/>
                <w14:textFill>
                  <w14:solidFill>
                    <w14:schemeClr w14:val="tx1"/>
                  </w14:solidFill>
                </w14:textFill>
              </w:rPr>
              <w:t>）</w:t>
            </w:r>
            <w:r>
              <w:rPr>
                <w:color w:val="000000" w:themeColor="text1"/>
                <w:kern w:val="0"/>
                <w:sz w:val="21"/>
                <w:szCs w:val="21"/>
                <w14:textFill>
                  <w14:solidFill>
                    <w14:schemeClr w14:val="tx1"/>
                  </w14:solidFill>
                </w14:textFill>
              </w:rPr>
              <w:t>厂矿道路路线设计</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应符合厂矿企业总体规划或总平面布置的要求</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并应根据道路性质和使用要求</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合理利用地形</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正确运用技术指标</w:t>
            </w:r>
            <w:r>
              <w:rPr>
                <w:rFonts w:hint="eastAsia"/>
                <w:color w:val="000000" w:themeColor="text1"/>
                <w:kern w:val="0"/>
                <w:sz w:val="21"/>
                <w:szCs w:val="21"/>
                <w14:textFill>
                  <w14:solidFill>
                    <w14:schemeClr w14:val="tx1"/>
                  </w14:solidFill>
                </w14:textFill>
              </w:rPr>
              <w:t>。</w:t>
            </w:r>
          </w:p>
        </w:tc>
        <w:tc>
          <w:tcPr>
            <w:tcW w:w="1633" w:type="dxa"/>
            <w:vAlign w:val="center"/>
          </w:tcPr>
          <w:p w14:paraId="7D564A1F">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《厂矿道路设计规范》GBJ22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1987</w:t>
            </w:r>
          </w:p>
          <w:p w14:paraId="7266879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第1.0.5条</w:t>
            </w:r>
          </w:p>
        </w:tc>
        <w:tc>
          <w:tcPr>
            <w:tcW w:w="2316" w:type="dxa"/>
            <w:vAlign w:val="center"/>
          </w:tcPr>
          <w:p w14:paraId="626D71B8">
            <w:pPr>
              <w:pStyle w:val="131"/>
              <w:rPr>
                <w:color w:val="000000" w:themeColor="text1"/>
                <w:szCs w:val="21"/>
                <w14:textFill>
                  <w14:solidFill>
                    <w14:schemeClr w14:val="tx1"/>
                  </w14:solidFill>
                </w14:textFill>
              </w:rPr>
            </w:pPr>
            <w:r>
              <w:rPr>
                <w:color w:val="000000" w:themeColor="text1"/>
                <w14:textFill>
                  <w14:solidFill>
                    <w14:schemeClr w14:val="tx1"/>
                  </w14:solidFill>
                </w14:textFill>
              </w:rPr>
              <w:t>对矿山道路新建运输公路按露天矿山三级道路标准设计，</w:t>
            </w:r>
            <w:r>
              <w:rPr>
                <w:rFonts w:ascii="Times New Roman" w:hAnsi="Times New Roman"/>
                <w:color w:val="000000" w:themeColor="text1"/>
                <w:szCs w:val="28"/>
                <w14:textFill>
                  <w14:solidFill>
                    <w14:schemeClr w14:val="tx1"/>
                  </w14:solidFill>
                </w14:textFill>
              </w:rPr>
              <w:t>矿山由于运输距离短，坡度较缓，不设置错车道、缓坡道和避险车道</w:t>
            </w:r>
            <w:r>
              <w:rPr>
                <w:rFonts w:hint="eastAsia"/>
                <w:color w:val="000000" w:themeColor="text1"/>
                <w:szCs w:val="21"/>
                <w14:textFill>
                  <w14:solidFill>
                    <w14:schemeClr w14:val="tx1"/>
                  </w14:solidFill>
                </w14:textFill>
              </w:rPr>
              <w:t>。</w:t>
            </w:r>
          </w:p>
        </w:tc>
        <w:tc>
          <w:tcPr>
            <w:tcW w:w="677" w:type="dxa"/>
            <w:vAlign w:val="center"/>
          </w:tcPr>
          <w:p w14:paraId="1BB0780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E64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jc w:val="right"/>
        </w:trPr>
        <w:tc>
          <w:tcPr>
            <w:tcW w:w="464" w:type="dxa"/>
            <w:vAlign w:val="center"/>
          </w:tcPr>
          <w:p w14:paraId="17BE30A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3777" w:type="dxa"/>
            <w:vAlign w:val="center"/>
          </w:tcPr>
          <w:p w14:paraId="765E6F8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露天矿山道路的布置，应符合下列要求：（1）应满足开采工艺和顺序的要求，线路运输距离应短；（2）沿采场或排土场边缘布置时，应满足路基边坡稳定、装卸作业、生产安全的要求，并应采取防止大块石滚落等的措施；（3）深挖露天矿应结合开拓运输方案，合理选择出入沟的位置，并应减少扩帮量。</w:t>
            </w:r>
          </w:p>
        </w:tc>
        <w:tc>
          <w:tcPr>
            <w:tcW w:w="1633" w:type="dxa"/>
            <w:vAlign w:val="center"/>
          </w:tcPr>
          <w:p w14:paraId="1FEA8D7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《工业企业总平面设计规范》GB50187-2012第6.4.2条</w:t>
            </w:r>
          </w:p>
        </w:tc>
        <w:tc>
          <w:tcPr>
            <w:tcW w:w="2316" w:type="dxa"/>
            <w:vAlign w:val="center"/>
          </w:tcPr>
          <w:p w14:paraId="0441602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（1）从原有公路</w:t>
            </w:r>
            <w:bookmarkStart w:id="2113" w:name="OLE_LINK9"/>
            <w:r>
              <w:rPr>
                <w:bCs/>
                <w:iCs/>
                <w:color w:val="000000" w:themeColor="text1"/>
                <w:szCs w:val="28"/>
                <w14:textFill>
                  <w14:solidFill>
                    <w14:schemeClr w14:val="tx1"/>
                  </w14:solidFill>
                </w14:textFill>
              </w:rPr>
              <w:t>道路1由K1（+1300m标高）向北至采区东侧K2（+1400m标高），进行修整降坡，道路2由K1（+1300m标高）向西至采区南侧K3（+1350m标高），进行修整降坡。以K3（+1350m标高）为起点，新修筑开拓运输道路</w:t>
            </w:r>
            <w:r>
              <w:rPr>
                <w:color w:val="000000" w:themeColor="text1"/>
                <w:szCs w:val="28"/>
                <w14:textFill>
                  <w14:solidFill>
                    <w14:schemeClr w14:val="tx1"/>
                  </w14:solidFill>
                </w14:textFill>
              </w:rPr>
              <w:t>至1375m平台，标高1375m以上矿岩修建装载设备道路转运至1375m运输平台运</w:t>
            </w:r>
            <w:bookmarkEnd w:id="2113"/>
            <w:r>
              <w:rPr>
                <w:color w:val="000000" w:themeColor="text1"/>
                <w:szCs w:val="28"/>
                <w14:textFill>
                  <w14:solidFill>
                    <w14:schemeClr w14:val="tx1"/>
                  </w14:solidFill>
                </w14:textFill>
              </w:rPr>
              <w:t>输。</w:t>
            </w:r>
            <w:r>
              <w:rPr>
                <w:color w:val="000000" w:themeColor="text1"/>
                <w14:textFill>
                  <w14:solidFill>
                    <w14:schemeClr w14:val="tx1"/>
                  </w14:solidFill>
                </w14:textFill>
              </w:rPr>
              <w:t>（2）</w:t>
            </w:r>
            <w:r>
              <w:rPr>
                <w:rFonts w:hint="default"/>
                <w:color w:val="000000" w:themeColor="text1"/>
                <w14:textFill>
                  <w14:solidFill>
                    <w14:schemeClr w14:val="tx1"/>
                  </w14:solidFill>
                </w14:textFill>
              </w:rPr>
              <w:t>路外侧设置车档设施</w:t>
            </w:r>
            <w:r>
              <w:rPr>
                <w:color w:val="000000" w:themeColor="text1"/>
                <w14:textFill>
                  <w14:solidFill>
                    <w14:schemeClr w14:val="tx1"/>
                  </w14:solidFill>
                </w14:textFill>
              </w:rPr>
              <w:t>；（3）</w:t>
            </w:r>
            <w:r>
              <w:rPr>
                <w:rFonts w:hint="default"/>
                <w:color w:val="000000" w:themeColor="text1"/>
                <w14:textFill>
                  <w14:solidFill>
                    <w14:schemeClr w14:val="tx1"/>
                  </w14:solidFill>
                </w14:textFill>
              </w:rPr>
              <w:t>道路边坡的加固和防护措施</w:t>
            </w:r>
            <w:r>
              <w:rPr>
                <w:color w:val="000000" w:themeColor="text1"/>
                <w14:textFill>
                  <w14:solidFill>
                    <w14:schemeClr w14:val="tx1"/>
                  </w14:solidFill>
                </w14:textFill>
              </w:rPr>
              <w:t>；（4）对</w:t>
            </w:r>
            <w:r>
              <w:rPr>
                <w:rFonts w:hint="default"/>
                <w:color w:val="000000" w:themeColor="text1"/>
                <w14:textFill>
                  <w14:solidFill>
                    <w14:schemeClr w14:val="tx1"/>
                  </w14:solidFill>
                </w14:textFill>
              </w:rPr>
              <w:t>公路进行修建，公路边坡过高时则进行削降坡处理，内侧修建排水沟</w:t>
            </w:r>
            <w:r>
              <w:rPr>
                <w:color w:val="000000" w:themeColor="text1"/>
                <w14:textFill>
                  <w14:solidFill>
                    <w14:schemeClr w14:val="tx1"/>
                  </w14:solidFill>
                </w14:textFill>
              </w:rPr>
              <w:t>；（5）</w:t>
            </w:r>
            <w:r>
              <w:rPr>
                <w:rFonts w:hint="default"/>
                <w:color w:val="000000" w:themeColor="text1"/>
                <w14:textFill>
                  <w14:solidFill>
                    <w14:schemeClr w14:val="tx1"/>
                  </w14:solidFill>
                </w14:textFill>
              </w:rPr>
              <w:t>道路外侧挡车墙</w:t>
            </w:r>
            <w:r>
              <w:rPr>
                <w:color w:val="000000" w:themeColor="text1"/>
                <w14:textFill>
                  <w14:solidFill>
                    <w14:schemeClr w14:val="tx1"/>
                  </w14:solidFill>
                </w14:textFill>
              </w:rPr>
              <w:t>；（6）</w:t>
            </w:r>
            <w:r>
              <w:rPr>
                <w:rFonts w:hint="default"/>
                <w:color w:val="000000" w:themeColor="text1"/>
                <w14:textFill>
                  <w14:solidFill>
                    <w14:schemeClr w14:val="tx1"/>
                  </w14:solidFill>
                </w14:textFill>
              </w:rPr>
              <w:t>矿、岩卸载点</w:t>
            </w:r>
            <w:r>
              <w:rPr>
                <w:color w:val="000000" w:themeColor="text1"/>
                <w14:textFill>
                  <w14:solidFill>
                    <w14:schemeClr w14:val="tx1"/>
                  </w14:solidFill>
                </w14:textFill>
              </w:rPr>
              <w:t>设</w:t>
            </w:r>
            <w:r>
              <w:rPr>
                <w:rFonts w:hint="default"/>
                <w:color w:val="000000" w:themeColor="text1"/>
                <w14:textFill>
                  <w14:solidFill>
                    <w14:schemeClr w14:val="tx1"/>
                  </w14:solidFill>
                </w14:textFill>
              </w:rPr>
              <w:t>挡车设施</w:t>
            </w:r>
            <w:r>
              <w:rPr>
                <w:color w:val="000000" w:themeColor="text1"/>
                <w14:textFill>
                  <w14:solidFill>
                    <w14:schemeClr w14:val="tx1"/>
                  </w14:solidFill>
                </w14:textFill>
              </w:rPr>
              <w:t>。</w:t>
            </w:r>
          </w:p>
        </w:tc>
        <w:tc>
          <w:tcPr>
            <w:tcW w:w="677" w:type="dxa"/>
            <w:vAlign w:val="center"/>
          </w:tcPr>
          <w:p w14:paraId="5B1276CF">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3F5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28DA8423">
            <w:pPr>
              <w:pStyle w:val="7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777" w:type="dxa"/>
            <w:vAlign w:val="center"/>
          </w:tcPr>
          <w:p w14:paraId="620BEC2F">
            <w:pPr>
              <w:spacing w:line="240" w:lineRule="auto"/>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反映工业企业建筑群体的总平面图应包括总平面布置的建（构）筑物现状</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建筑物位置、道路、卫生防护、绿化等内容</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必须满足职业卫生评价要求</w:t>
            </w:r>
            <w:r>
              <w:rPr>
                <w:rFonts w:hint="eastAsia"/>
                <w:color w:val="000000" w:themeColor="text1"/>
                <w:kern w:val="0"/>
                <w:sz w:val="21"/>
                <w:szCs w:val="21"/>
                <w14:textFill>
                  <w14:solidFill>
                    <w14:schemeClr w14:val="tx1"/>
                  </w14:solidFill>
                </w14:textFill>
              </w:rPr>
              <w:t>。</w:t>
            </w:r>
          </w:p>
        </w:tc>
        <w:tc>
          <w:tcPr>
            <w:tcW w:w="1633" w:type="dxa"/>
            <w:vAlign w:val="center"/>
          </w:tcPr>
          <w:p w14:paraId="7E70AD20">
            <w:pPr>
              <w:pStyle w:val="131"/>
              <w:rPr>
                <w:color w:val="000000" w:themeColor="text1"/>
                <w14:textFill>
                  <w14:solidFill>
                    <w14:schemeClr w14:val="tx1"/>
                  </w14:solidFill>
                </w14:textFill>
              </w:rPr>
            </w:pPr>
            <w:r>
              <w:rPr>
                <w:color w:val="000000" w:themeColor="text1"/>
                <w14:textFill>
                  <w14:solidFill>
                    <w14:schemeClr w14:val="tx1"/>
                  </w14:solidFill>
                </w14:textFill>
              </w:rPr>
              <w:t>《工业企业设计卫生标准》GBZ1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2010</w:t>
            </w:r>
          </w:p>
          <w:p w14:paraId="43AE8D9A">
            <w:pPr>
              <w:pStyle w:val="131"/>
              <w:rPr>
                <w:color w:val="000000" w:themeColor="text1"/>
                <w14:textFill>
                  <w14:solidFill>
                    <w14:schemeClr w14:val="tx1"/>
                  </w14:solidFill>
                </w14:textFill>
              </w:rPr>
            </w:pPr>
            <w:r>
              <w:rPr>
                <w:color w:val="000000" w:themeColor="text1"/>
                <w14:textFill>
                  <w14:solidFill>
                    <w14:schemeClr w14:val="tx1"/>
                  </w14:solidFill>
                </w14:textFill>
              </w:rPr>
              <w:t>第5.2.1.2条</w:t>
            </w:r>
          </w:p>
        </w:tc>
        <w:tc>
          <w:tcPr>
            <w:tcW w:w="2316" w:type="dxa"/>
            <w:vAlign w:val="center"/>
          </w:tcPr>
          <w:p w14:paraId="1A7B12DB">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进行了说明</w:t>
            </w:r>
            <w:r>
              <w:rPr>
                <w:rFonts w:hint="eastAsia"/>
                <w:color w:val="000000" w:themeColor="text1"/>
                <w:sz w:val="21"/>
                <w:szCs w:val="21"/>
                <w14:textFill>
                  <w14:solidFill>
                    <w14:schemeClr w14:val="tx1"/>
                  </w14:solidFill>
                </w14:textFill>
              </w:rPr>
              <w:t>。</w:t>
            </w:r>
          </w:p>
        </w:tc>
        <w:tc>
          <w:tcPr>
            <w:tcW w:w="677" w:type="dxa"/>
            <w:vAlign w:val="center"/>
          </w:tcPr>
          <w:p w14:paraId="7E8F211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7EF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0741AFAB">
            <w:pPr>
              <w:pStyle w:val="75"/>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777" w:type="dxa"/>
            <w:vAlign w:val="center"/>
          </w:tcPr>
          <w:p w14:paraId="7DFCEF83">
            <w:pPr>
              <w:autoSpaceDE w:val="0"/>
              <w:autoSpaceDN w:val="0"/>
              <w:spacing w:line="240" w:lineRule="auto"/>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厂内道路路面宽度应根据车辆、行人通行和消防需要确定</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并宜按现行国家标准《厂矿道路设计规范》GBJ22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1987</w:t>
            </w:r>
            <w:r>
              <w:rPr>
                <w:color w:val="000000" w:themeColor="text1"/>
                <w:kern w:val="0"/>
                <w:sz w:val="21"/>
                <w:szCs w:val="21"/>
                <w14:textFill>
                  <w14:solidFill>
                    <w14:schemeClr w14:val="tx1"/>
                  </w14:solidFill>
                </w14:textFill>
              </w:rPr>
              <w:t>的有关规定执行</w:t>
            </w:r>
            <w:r>
              <w:rPr>
                <w:rFonts w:hint="eastAsia"/>
                <w:color w:val="000000" w:themeColor="text1"/>
                <w:kern w:val="0"/>
                <w:sz w:val="21"/>
                <w:szCs w:val="21"/>
                <w14:textFill>
                  <w14:solidFill>
                    <w14:schemeClr w14:val="tx1"/>
                  </w14:solidFill>
                </w14:textFill>
              </w:rPr>
              <w:t>。</w:t>
            </w:r>
          </w:p>
        </w:tc>
        <w:tc>
          <w:tcPr>
            <w:tcW w:w="1633" w:type="dxa"/>
            <w:vAlign w:val="center"/>
          </w:tcPr>
          <w:p w14:paraId="6B7D5DDD">
            <w:pPr>
              <w:pStyle w:val="131"/>
              <w:rPr>
                <w:color w:val="000000" w:themeColor="text1"/>
                <w14:textFill>
                  <w14:solidFill>
                    <w14:schemeClr w14:val="tx1"/>
                  </w14:solidFill>
                </w14:textFill>
              </w:rPr>
            </w:pPr>
            <w:r>
              <w:rPr>
                <w:color w:val="000000" w:themeColor="text1"/>
                <w14:textFill>
                  <w14:solidFill>
                    <w14:schemeClr w14:val="tx1"/>
                  </w14:solidFill>
                </w14:textFill>
              </w:rPr>
              <w:t>《工业企业总平面设计规范》GB50187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2012</w:t>
            </w:r>
          </w:p>
          <w:p w14:paraId="4386C911">
            <w:pPr>
              <w:pStyle w:val="131"/>
              <w:rPr>
                <w:color w:val="000000" w:themeColor="text1"/>
                <w14:textFill>
                  <w14:solidFill>
                    <w14:schemeClr w14:val="tx1"/>
                  </w14:solidFill>
                </w14:textFill>
              </w:rPr>
            </w:pPr>
            <w:r>
              <w:rPr>
                <w:color w:val="000000" w:themeColor="text1"/>
                <w14:textFill>
                  <w14:solidFill>
                    <w14:schemeClr w14:val="tx1"/>
                  </w14:solidFill>
                </w14:textFill>
              </w:rPr>
              <w:t>第6.4.5条</w:t>
            </w:r>
          </w:p>
        </w:tc>
        <w:tc>
          <w:tcPr>
            <w:tcW w:w="2316" w:type="dxa"/>
            <w:vAlign w:val="center"/>
          </w:tcPr>
          <w:p w14:paraId="24DC6CAA">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总平面图中</w:t>
            </w:r>
            <w:r>
              <w:rPr>
                <w:rFonts w:hint="eastAsia"/>
                <w:color w:val="000000" w:themeColor="text1"/>
                <w:sz w:val="21"/>
                <w:szCs w:val="21"/>
                <w14:textFill>
                  <w14:solidFill>
                    <w14:schemeClr w14:val="tx1"/>
                  </w14:solidFill>
                </w14:textFill>
              </w:rPr>
              <w:t>利用原有道路，并新建道路。</w:t>
            </w:r>
          </w:p>
        </w:tc>
        <w:tc>
          <w:tcPr>
            <w:tcW w:w="677" w:type="dxa"/>
            <w:vAlign w:val="center"/>
          </w:tcPr>
          <w:p w14:paraId="3741874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8F9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6EF15723">
            <w:pPr>
              <w:pStyle w:val="7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777" w:type="dxa"/>
            <w:vAlign w:val="center"/>
          </w:tcPr>
          <w:p w14:paraId="3BA8CB15">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产生高噪声的生产设施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总图宜符合下列要求：（1）宜相对集中布置在远离人员集中和有安静要求的场所</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（2）产生高噪声的车间应与低噪声的车间分开布置</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（3）产生噪声生产设施的周围宜布置对噪声较不敏感、高大、朝向有利于隔声的建筑物、构筑物和堆场等</w:t>
            </w:r>
            <w:r>
              <w:rPr>
                <w:rFonts w:hint="eastAsia"/>
                <w:color w:val="000000" w:themeColor="text1"/>
                <w:sz w:val="21"/>
                <w:szCs w:val="21"/>
                <w14:textFill>
                  <w14:solidFill>
                    <w14:schemeClr w14:val="tx1"/>
                  </w14:solidFill>
                </w14:textFill>
              </w:rPr>
              <w:t>。</w:t>
            </w:r>
          </w:p>
        </w:tc>
        <w:tc>
          <w:tcPr>
            <w:tcW w:w="1633" w:type="dxa"/>
            <w:vAlign w:val="center"/>
          </w:tcPr>
          <w:p w14:paraId="5583B7B9">
            <w:pPr>
              <w:pStyle w:val="131"/>
              <w:rPr>
                <w:color w:val="000000" w:themeColor="text1"/>
                <w14:textFill>
                  <w14:solidFill>
                    <w14:schemeClr w14:val="tx1"/>
                  </w14:solidFill>
                </w14:textFill>
              </w:rPr>
            </w:pPr>
            <w:r>
              <w:rPr>
                <w:color w:val="000000" w:themeColor="text1"/>
                <w14:textFill>
                  <w14:solidFill>
                    <w14:schemeClr w14:val="tx1"/>
                  </w14:solidFill>
                </w14:textFill>
              </w:rPr>
              <w:t>《工业企业总平面设计规范》GB50187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2012</w:t>
            </w:r>
          </w:p>
          <w:p w14:paraId="392C1EE8">
            <w:pPr>
              <w:pStyle w:val="131"/>
              <w:rPr>
                <w:color w:val="000000" w:themeColor="text1"/>
                <w14:textFill>
                  <w14:solidFill>
                    <w14:schemeClr w14:val="tx1"/>
                  </w14:solidFill>
                </w14:textFill>
              </w:rPr>
            </w:pPr>
            <w:r>
              <w:rPr>
                <w:color w:val="000000" w:themeColor="text1"/>
                <w14:textFill>
                  <w14:solidFill>
                    <w14:schemeClr w14:val="tx1"/>
                  </w14:solidFill>
                </w14:textFill>
              </w:rPr>
              <w:t>第5.2.5条</w:t>
            </w:r>
          </w:p>
        </w:tc>
        <w:tc>
          <w:tcPr>
            <w:tcW w:w="2316" w:type="dxa"/>
            <w:vAlign w:val="center"/>
          </w:tcPr>
          <w:p w14:paraId="6CAA76EE">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设计中</w:t>
            </w:r>
            <w:r>
              <w:rPr>
                <w:rFonts w:hint="eastAsia"/>
                <w:color w:val="000000" w:themeColor="text1"/>
                <w:sz w:val="21"/>
                <w:szCs w:val="21"/>
                <w14:textFill>
                  <w14:solidFill>
                    <w14:schemeClr w14:val="tx1"/>
                  </w14:solidFill>
                </w14:textFill>
              </w:rPr>
              <w:t>按原有建筑</w:t>
            </w:r>
            <w:r>
              <w:rPr>
                <w:color w:val="000000" w:themeColor="text1"/>
                <w:sz w:val="21"/>
                <w:szCs w:val="21"/>
                <w14:textFill>
                  <w14:solidFill>
                    <w14:schemeClr w14:val="tx1"/>
                  </w14:solidFill>
                </w14:textFill>
              </w:rPr>
              <w:t>要求布置</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远离人员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高低噪声车间分开布置</w:t>
            </w:r>
            <w:r>
              <w:rPr>
                <w:rFonts w:hint="eastAsia"/>
                <w:color w:val="000000" w:themeColor="text1"/>
                <w:sz w:val="21"/>
                <w:szCs w:val="21"/>
                <w14:textFill>
                  <w14:solidFill>
                    <w14:schemeClr w14:val="tx1"/>
                  </w14:solidFill>
                </w14:textFill>
              </w:rPr>
              <w:t>，符合设计规范。</w:t>
            </w:r>
          </w:p>
        </w:tc>
        <w:tc>
          <w:tcPr>
            <w:tcW w:w="677" w:type="dxa"/>
            <w:vAlign w:val="center"/>
          </w:tcPr>
          <w:p w14:paraId="62A181B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66B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41D5A44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3777" w:type="dxa"/>
            <w:vAlign w:val="center"/>
          </w:tcPr>
          <w:p w14:paraId="3C0B67D8">
            <w:pPr>
              <w:spacing w:line="240" w:lineRule="auto"/>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产生粉尘、毒物的工作场所</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其发生源的布置</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应符合下列要求：放散不同有毒物质的生产过程布置在同一建筑物内时</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毒性大与毒性小的应隔开</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粉尘、毒物的发生源</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应布置在工作地点的自然通风的下风侧</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如布置在多层建筑物内时</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放散有害气体的生产过程应布置在建筑物的上层</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如布置在下层时</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应采取有效措施防止污染上层的空气</w:t>
            </w:r>
            <w:r>
              <w:rPr>
                <w:rFonts w:hint="eastAsia"/>
                <w:color w:val="000000" w:themeColor="text1"/>
                <w:kern w:val="0"/>
                <w:sz w:val="21"/>
                <w:szCs w:val="21"/>
                <w14:textFill>
                  <w14:solidFill>
                    <w14:schemeClr w14:val="tx1"/>
                  </w14:solidFill>
                </w14:textFill>
              </w:rPr>
              <w:t>。</w:t>
            </w:r>
          </w:p>
        </w:tc>
        <w:tc>
          <w:tcPr>
            <w:tcW w:w="1633" w:type="dxa"/>
            <w:vAlign w:val="center"/>
          </w:tcPr>
          <w:p w14:paraId="1C9BAA94">
            <w:pPr>
              <w:pStyle w:val="131"/>
              <w:rPr>
                <w:color w:val="000000" w:themeColor="text1"/>
                <w14:textFill>
                  <w14:solidFill>
                    <w14:schemeClr w14:val="tx1"/>
                  </w14:solidFill>
                </w14:textFill>
              </w:rPr>
            </w:pPr>
            <w:r>
              <w:rPr>
                <w:color w:val="000000" w:themeColor="text1"/>
                <w14:textFill>
                  <w14:solidFill>
                    <w14:schemeClr w14:val="tx1"/>
                  </w14:solidFill>
                </w14:textFill>
              </w:rPr>
              <w:t>《工业企业设计卫生标准》GBZ1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2010</w:t>
            </w:r>
          </w:p>
          <w:p w14:paraId="1AEBB2D4">
            <w:pPr>
              <w:pStyle w:val="131"/>
              <w:rPr>
                <w:color w:val="000000" w:themeColor="text1"/>
                <w14:textFill>
                  <w14:solidFill>
                    <w14:schemeClr w14:val="tx1"/>
                  </w14:solidFill>
                </w14:textFill>
              </w:rPr>
            </w:pPr>
            <w:r>
              <w:rPr>
                <w:color w:val="000000" w:themeColor="text1"/>
                <w14:textFill>
                  <w14:solidFill>
                    <w14:schemeClr w14:val="tx1"/>
                  </w14:solidFill>
                </w14:textFill>
              </w:rPr>
              <w:t>第6.1.1.2条</w:t>
            </w:r>
          </w:p>
        </w:tc>
        <w:tc>
          <w:tcPr>
            <w:tcW w:w="2316" w:type="dxa"/>
            <w:vAlign w:val="center"/>
          </w:tcPr>
          <w:p w14:paraId="5F38384B">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矿山开采产生的主要有害因素为噪声、粉尘等</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提出了相应措施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如洒水降尘、采用收尘设备收尘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同时加强个体防护</w:t>
            </w:r>
            <w:r>
              <w:rPr>
                <w:rFonts w:hint="eastAsia"/>
                <w:color w:val="000000" w:themeColor="text1"/>
                <w:sz w:val="21"/>
                <w:szCs w:val="21"/>
                <w14:textFill>
                  <w14:solidFill>
                    <w14:schemeClr w14:val="tx1"/>
                  </w14:solidFill>
                </w14:textFill>
              </w:rPr>
              <w:t>。</w:t>
            </w:r>
          </w:p>
        </w:tc>
        <w:tc>
          <w:tcPr>
            <w:tcW w:w="677" w:type="dxa"/>
            <w:vAlign w:val="center"/>
          </w:tcPr>
          <w:p w14:paraId="0AD487D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ED9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22D18311">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r>
              <w:rPr>
                <w:rFonts w:hint="eastAsia"/>
                <w:color w:val="000000" w:themeColor="text1"/>
                <w:kern w:val="0"/>
                <w:sz w:val="21"/>
                <w:szCs w:val="21"/>
                <w14:textFill>
                  <w14:solidFill>
                    <w14:schemeClr w14:val="tx1"/>
                  </w14:solidFill>
                </w14:textFill>
              </w:rPr>
              <w:t>2</w:t>
            </w:r>
          </w:p>
        </w:tc>
        <w:tc>
          <w:tcPr>
            <w:tcW w:w="3777" w:type="dxa"/>
            <w:vAlign w:val="center"/>
          </w:tcPr>
          <w:p w14:paraId="5A9DF9F1">
            <w:pPr>
              <w:spacing w:line="240" w:lineRule="auto"/>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任何单位和个人不得在距电力设施周围</w:t>
            </w:r>
            <w:r>
              <w:rPr>
                <w:rFonts w:hint="eastAsia"/>
                <w:color w:val="000000" w:themeColor="text1"/>
                <w:kern w:val="0"/>
                <w:sz w:val="21"/>
                <w:szCs w:val="21"/>
                <w14:textFill>
                  <w14:solidFill>
                    <w14:schemeClr w14:val="tx1"/>
                  </w14:solidFill>
                </w14:textFill>
              </w:rPr>
              <w:t>500m</w:t>
            </w:r>
            <w:r>
              <w:rPr>
                <w:color w:val="000000" w:themeColor="text1"/>
                <w:kern w:val="0"/>
                <w:sz w:val="21"/>
                <w:szCs w:val="21"/>
                <w14:textFill>
                  <w14:solidFill>
                    <w14:schemeClr w14:val="tx1"/>
                  </w14:solidFill>
                </w14:textFill>
              </w:rPr>
              <w:t>范围内（指水平距离）进行爆破作业</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因工作需要必须进行爆破作业时</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应当按国家颁发的有关爆破作业的法律法规</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采取可靠的安全防范措施</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确保电力设施安全</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并征得当地电力设施产权单位或管理部门的书面同意</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报经政府有关管理部门批准</w:t>
            </w:r>
            <w:r>
              <w:rPr>
                <w:rFonts w:hint="eastAsia"/>
                <w:color w:val="000000" w:themeColor="text1"/>
                <w:kern w:val="0"/>
                <w:sz w:val="21"/>
                <w:szCs w:val="21"/>
                <w14:textFill>
                  <w14:solidFill>
                    <w14:schemeClr w14:val="tx1"/>
                  </w14:solidFill>
                </w14:textFill>
              </w:rPr>
              <w:t>。</w:t>
            </w:r>
          </w:p>
        </w:tc>
        <w:tc>
          <w:tcPr>
            <w:tcW w:w="1633" w:type="dxa"/>
            <w:vAlign w:val="center"/>
          </w:tcPr>
          <w:p w14:paraId="798A796D">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《中华人民共和国电力设施保护条例实施细则》（中华人民共和国经贸委、公安部令第8号）第十条</w:t>
            </w:r>
          </w:p>
        </w:tc>
        <w:tc>
          <w:tcPr>
            <w:tcW w:w="2316" w:type="dxa"/>
            <w:vAlign w:val="center"/>
          </w:tcPr>
          <w:p w14:paraId="5061337F">
            <w:pPr>
              <w:spacing w:line="240" w:lineRule="auto"/>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矿区500m范围内无电力设施</w:t>
            </w:r>
            <w:r>
              <w:rPr>
                <w:rFonts w:hint="eastAsia"/>
                <w:color w:val="000000" w:themeColor="text1"/>
                <w:kern w:val="0"/>
                <w:sz w:val="21"/>
                <w:szCs w:val="21"/>
                <w14:textFill>
                  <w14:solidFill>
                    <w14:schemeClr w14:val="tx1"/>
                  </w14:solidFill>
                </w14:textFill>
              </w:rPr>
              <w:t>。</w:t>
            </w:r>
          </w:p>
        </w:tc>
        <w:tc>
          <w:tcPr>
            <w:tcW w:w="677" w:type="dxa"/>
            <w:vAlign w:val="center"/>
          </w:tcPr>
          <w:p w14:paraId="3C01745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DC1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2BC56A8C">
            <w:pPr>
              <w:pStyle w:val="77"/>
              <w:rPr>
                <w:rFonts w:hint="eastAsia"/>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13</w:t>
            </w:r>
          </w:p>
        </w:tc>
        <w:tc>
          <w:tcPr>
            <w:tcW w:w="3777" w:type="dxa"/>
            <w:vAlign w:val="center"/>
          </w:tcPr>
          <w:p w14:paraId="4F95374E">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料场及尾矿场的规划，应符合下列规定：（1）应位于居住区和厂区全年最小频率风向的上风侧；（2）与居住区的卫生防护距离应符合现行国家有关工业企业设计卫生标准等的规定；（3）含有有害有毒物质的废料场，应选在地下水位较低和不受地面水穿的地段，必须采取防扬散、防流失和其他防止污染的措施；（4）含有放射性物质的废料场，还应符合下列要求：</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 1 \* GB3 \* MERGEFORMAT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①</w:t>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应选在远离城镇及居住区的偏僻地段；</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 2 \* GB3 \* MERGEFORMAT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②</w:t>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应确保其地面及地下水不被污染；</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 3 \* GB3 \* MERGEFORMAT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③</w:t>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应符合现行国家标准《电离辐射防护与辐射源安全基本标准》GB18871的有关规定。</w:t>
            </w:r>
          </w:p>
        </w:tc>
        <w:tc>
          <w:tcPr>
            <w:tcW w:w="1633" w:type="dxa"/>
            <w:vAlign w:val="center"/>
          </w:tcPr>
          <w:p w14:paraId="2A7778E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《工业企业总平面设计规范》GB50187-2012第4.6.2条</w:t>
            </w:r>
          </w:p>
        </w:tc>
        <w:tc>
          <w:tcPr>
            <w:tcW w:w="2316" w:type="dxa"/>
            <w:vAlign w:val="center"/>
          </w:tcPr>
          <w:p w14:paraId="4465763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依据矿区地形及现有场地条件，在</w:t>
            </w:r>
            <w:r>
              <w:rPr>
                <w:color w:val="000000" w:themeColor="text1"/>
                <w:szCs w:val="28"/>
                <w14:textFill>
                  <w14:solidFill>
                    <w14:schemeClr w14:val="tx1"/>
                  </w14:solidFill>
                </w14:textFill>
              </w:rPr>
              <w:t>矿北东侧采坑设置临时表土场</w:t>
            </w:r>
            <w:r>
              <w:rPr>
                <w:color w:val="000000" w:themeColor="text1"/>
                <w14:textFill>
                  <w14:solidFill>
                    <w14:schemeClr w14:val="tx1"/>
                  </w14:solidFill>
                </w14:textFill>
              </w:rPr>
              <w:t>，用于堆存矿山建设与开采剥离的废土临时堆场。该区全年</w:t>
            </w:r>
            <w:r>
              <w:rPr>
                <w:bCs/>
                <w:color w:val="000000" w:themeColor="text1"/>
                <w:szCs w:val="28"/>
                <w14:textFill>
                  <w14:solidFill>
                    <w14:schemeClr w14:val="tx1"/>
                  </w14:solidFill>
                </w14:textFill>
              </w:rPr>
              <w:t>年最多风向为西南风和东南风。</w:t>
            </w:r>
          </w:p>
        </w:tc>
        <w:tc>
          <w:tcPr>
            <w:tcW w:w="677" w:type="dxa"/>
            <w:vAlign w:val="center"/>
          </w:tcPr>
          <w:p w14:paraId="0375802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086D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17932AEC">
            <w:pPr>
              <w:pStyle w:val="77"/>
              <w:rPr>
                <w:rFonts w:hint="eastAsia"/>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14</w:t>
            </w:r>
          </w:p>
        </w:tc>
        <w:tc>
          <w:tcPr>
            <w:tcW w:w="3777" w:type="dxa"/>
            <w:vAlign w:val="center"/>
          </w:tcPr>
          <w:p w14:paraId="03E26F0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排土场应利用沟谷、荒地、劣地，不占良田、少占耕地，宜避免迁移村庄。</w:t>
            </w:r>
          </w:p>
        </w:tc>
        <w:tc>
          <w:tcPr>
            <w:tcW w:w="1633" w:type="dxa"/>
            <w:vAlign w:val="center"/>
          </w:tcPr>
          <w:p w14:paraId="20C9805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《工业企业总平面设计规范》GB50187-2012第4.7.1条</w:t>
            </w:r>
          </w:p>
        </w:tc>
        <w:tc>
          <w:tcPr>
            <w:tcW w:w="2316" w:type="dxa"/>
            <w:vAlign w:val="center"/>
          </w:tcPr>
          <w:p w14:paraId="6D4C35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依据矿区地形及现有场地条件，在</w:t>
            </w:r>
            <w:r>
              <w:rPr>
                <w:color w:val="000000" w:themeColor="text1"/>
                <w:szCs w:val="28"/>
                <w14:textFill>
                  <w14:solidFill>
                    <w14:schemeClr w14:val="tx1"/>
                  </w14:solidFill>
                </w14:textFill>
              </w:rPr>
              <w:t>矿区北东侧采坑设置临时表土场</w:t>
            </w:r>
            <w:r>
              <w:rPr>
                <w:color w:val="000000" w:themeColor="text1"/>
                <w14:textFill>
                  <w14:solidFill>
                    <w14:schemeClr w14:val="tx1"/>
                  </w14:solidFill>
                </w14:textFill>
              </w:rPr>
              <w:t>，用于堆存矿山建设与开采剥离的废土临时堆场。</w:t>
            </w:r>
          </w:p>
        </w:tc>
        <w:tc>
          <w:tcPr>
            <w:tcW w:w="677" w:type="dxa"/>
            <w:vAlign w:val="center"/>
          </w:tcPr>
          <w:p w14:paraId="1FB546E2">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17BB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5BE87C28">
            <w:pPr>
              <w:pStyle w:val="77"/>
              <w:rPr>
                <w:rFonts w:hint="eastAsia"/>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3777" w:type="dxa"/>
            <w:vAlign w:val="center"/>
          </w:tcPr>
          <w:p w14:paraId="00EFEBB8">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排土场宜靠近露天采掘场地表境界以外设置。对分期开采的矿山，经技术经济比较合理时，可设在远期开采境界以内；在条件允许的矿山，应利用露天采空区作为排土场。</w:t>
            </w:r>
          </w:p>
        </w:tc>
        <w:tc>
          <w:tcPr>
            <w:tcW w:w="1633" w:type="dxa"/>
            <w:vAlign w:val="center"/>
          </w:tcPr>
          <w:p w14:paraId="0F32958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《工业企业总平面设计规范》GB50187-2012第4.7.2条</w:t>
            </w:r>
          </w:p>
        </w:tc>
        <w:tc>
          <w:tcPr>
            <w:tcW w:w="2316" w:type="dxa"/>
            <w:vAlign w:val="center"/>
          </w:tcPr>
          <w:p w14:paraId="229E87C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部分内排使用复坑，部分临时堆存，矿山企业实行边开采、边治理、边复垦，临时堆场内临时堆存的部分表土在生产过程中要及时运出对靠帮台阶、废弃场地覆土进行复垦，因此临时堆场能满足矿山剥离物的堆存需要。</w:t>
            </w:r>
          </w:p>
        </w:tc>
        <w:tc>
          <w:tcPr>
            <w:tcW w:w="677" w:type="dxa"/>
            <w:vAlign w:val="center"/>
          </w:tcPr>
          <w:p w14:paraId="36CAA8D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DF7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1518400B">
            <w:pPr>
              <w:pStyle w:val="77"/>
              <w:rPr>
                <w:rFonts w:hint="eastAsia"/>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16</w:t>
            </w:r>
          </w:p>
        </w:tc>
        <w:tc>
          <w:tcPr>
            <w:tcW w:w="3777" w:type="dxa"/>
            <w:vAlign w:val="center"/>
          </w:tcPr>
          <w:p w14:paraId="5E5D9BB8">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总平面布置应采取防止高温、有害气体、烟、雾、粉尘、强烈振动和高噪声对周围环境和人身安全的危害的安全保障措施，并应符合现行国家有关工业企业卫生设计标准的规定。</w:t>
            </w:r>
          </w:p>
        </w:tc>
        <w:tc>
          <w:tcPr>
            <w:tcW w:w="1633" w:type="dxa"/>
            <w:vAlign w:val="center"/>
          </w:tcPr>
          <w:p w14:paraId="482BC4C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《工业企业总平面设计规范》GB50187-2012第5.1.7条</w:t>
            </w:r>
          </w:p>
        </w:tc>
        <w:tc>
          <w:tcPr>
            <w:tcW w:w="2316" w:type="dxa"/>
            <w:vAlign w:val="center"/>
          </w:tcPr>
          <w:p w14:paraId="5227CA99">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总平布置满足要求，对采场粉尘等进行洒水降尘、采用带</w:t>
            </w:r>
            <w:r>
              <w:rPr>
                <w:color w:val="000000" w:themeColor="text1"/>
                <w14:textFill>
                  <w14:solidFill>
                    <w14:schemeClr w14:val="tx1"/>
                  </w14:solidFill>
                </w14:textFill>
              </w:rPr>
              <w:t>湿</w:t>
            </w:r>
            <w:r>
              <w:rPr>
                <w:rFonts w:hint="default"/>
                <w:color w:val="000000" w:themeColor="text1"/>
                <w14:textFill>
                  <w14:solidFill>
                    <w14:schemeClr w14:val="tx1"/>
                  </w14:solidFill>
                </w14:textFill>
              </w:rPr>
              <w:t>尘装置的潜孔钻进行穿孔。</w:t>
            </w:r>
          </w:p>
        </w:tc>
        <w:tc>
          <w:tcPr>
            <w:tcW w:w="677" w:type="dxa"/>
            <w:vAlign w:val="center"/>
          </w:tcPr>
          <w:p w14:paraId="5B94290C">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23DD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7BF1BD3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17</w:t>
            </w:r>
          </w:p>
        </w:tc>
        <w:tc>
          <w:tcPr>
            <w:tcW w:w="3777" w:type="dxa"/>
            <w:vAlign w:val="center"/>
          </w:tcPr>
          <w:p w14:paraId="03F4D9B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下列区域内不得设置有人员值守的建构筑物：（1）受露天爆破威胁区域；（2）储存爆破器材的危险区域；（3）矿山防洪区域；（4）受岩体变形、塌陷、滑坡、泥石流等地质灾害影响区域。</w:t>
            </w:r>
          </w:p>
        </w:tc>
        <w:tc>
          <w:tcPr>
            <w:tcW w:w="1633" w:type="dxa"/>
            <w:vAlign w:val="center"/>
          </w:tcPr>
          <w:p w14:paraId="63505F19">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《金属非金属矿山安全规程》（GB16423-</w:t>
            </w:r>
            <w:r>
              <w:rPr>
                <w:color w:val="000000" w:themeColor="text1"/>
                <w14:textFill>
                  <w14:solidFill>
                    <w14:schemeClr w14:val="tx1"/>
                  </w14:solidFill>
                </w14:textFill>
              </w:rPr>
              <w:t xml:space="preserve"> </w:t>
            </w:r>
            <w:r>
              <w:rPr>
                <w:rFonts w:hint="default"/>
                <w:color w:val="000000" w:themeColor="text1"/>
                <w14:textFill>
                  <w14:solidFill>
                    <w14:schemeClr w14:val="tx1"/>
                  </w14:solidFill>
                </w14:textFill>
              </w:rPr>
              <w:t>2020）第5.5.1条</w:t>
            </w:r>
          </w:p>
        </w:tc>
        <w:tc>
          <w:tcPr>
            <w:tcW w:w="2316" w:type="dxa"/>
            <w:vAlign w:val="center"/>
          </w:tcPr>
          <w:p w14:paraId="1D5D2F54">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矿山</w:t>
            </w:r>
            <w:r>
              <w:rPr>
                <w:color w:val="000000" w:themeColor="text1"/>
                <w14:textFill>
                  <w14:solidFill>
                    <w14:schemeClr w14:val="tx1"/>
                  </w14:solidFill>
                </w14:textFill>
              </w:rPr>
              <w:t>临时办公室</w:t>
            </w:r>
            <w:r>
              <w:rPr>
                <w:rFonts w:hint="default"/>
                <w:color w:val="000000" w:themeColor="text1"/>
                <w14:textFill>
                  <w14:solidFill>
                    <w14:schemeClr w14:val="tx1"/>
                  </w14:solidFill>
                </w14:textFill>
              </w:rPr>
              <w:t>在</w:t>
            </w:r>
            <w:r>
              <w:rPr>
                <w:color w:val="000000" w:themeColor="text1"/>
                <w14:textFill>
                  <w14:solidFill>
                    <w14:schemeClr w14:val="tx1"/>
                  </w14:solidFill>
                </w14:textFill>
              </w:rPr>
              <w:t>200m</w:t>
            </w:r>
            <w:r>
              <w:rPr>
                <w:rFonts w:hint="default"/>
                <w:color w:val="000000" w:themeColor="text1"/>
                <w14:textFill>
                  <w14:solidFill>
                    <w14:schemeClr w14:val="tx1"/>
                  </w14:solidFill>
                </w14:textFill>
              </w:rPr>
              <w:t>爆破警戒线范围内。</w:t>
            </w:r>
          </w:p>
        </w:tc>
        <w:tc>
          <w:tcPr>
            <w:tcW w:w="677" w:type="dxa"/>
            <w:vAlign w:val="center"/>
          </w:tcPr>
          <w:p w14:paraId="1AED7CE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w:t>
            </w:r>
            <w:r>
              <w:rPr>
                <w:rFonts w:hint="default"/>
                <w:color w:val="000000" w:themeColor="text1"/>
                <w14:textFill>
                  <w14:solidFill>
                    <w14:schemeClr w14:val="tx1"/>
                  </w14:solidFill>
                </w14:textFill>
              </w:rPr>
              <w:t>符合</w:t>
            </w:r>
          </w:p>
        </w:tc>
      </w:tr>
      <w:tr w14:paraId="6430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64" w:type="dxa"/>
            <w:vAlign w:val="center"/>
          </w:tcPr>
          <w:p w14:paraId="10884BB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18</w:t>
            </w:r>
          </w:p>
        </w:tc>
        <w:tc>
          <w:tcPr>
            <w:tcW w:w="3777" w:type="dxa"/>
            <w:vAlign w:val="center"/>
          </w:tcPr>
          <w:p w14:paraId="57CDF2F0">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矿山的建（构）筑物和重要设备，应按GBJl6和国家发布的其他有关防火规定，以及当地消防部门的要求，建立消防隔离设施，设置消防设备和器材。消防通道上不应堆放杂物。</w:t>
            </w:r>
          </w:p>
        </w:tc>
        <w:tc>
          <w:tcPr>
            <w:tcW w:w="1633" w:type="dxa"/>
            <w:vAlign w:val="center"/>
          </w:tcPr>
          <w:p w14:paraId="12EDCF43">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《金属非金属矿山安全规程》GB16423-2020第5.9.2.1条</w:t>
            </w:r>
          </w:p>
        </w:tc>
        <w:tc>
          <w:tcPr>
            <w:tcW w:w="2316" w:type="dxa"/>
            <w:vAlign w:val="center"/>
          </w:tcPr>
          <w:p w14:paraId="4834EA4C">
            <w:pPr>
              <w:pStyle w:val="71"/>
              <w:rPr>
                <w:rFonts w:hint="default"/>
                <w:color w:val="000000" w:themeColor="text1"/>
                <w14:textFill>
                  <w14:solidFill>
                    <w14:schemeClr w14:val="tx1"/>
                  </w14:solidFill>
                </w14:textFill>
              </w:rPr>
            </w:pPr>
            <w:r>
              <w:rPr>
                <w:color w:val="000000" w:themeColor="text1"/>
                <w:lang w:val="zh-TW"/>
                <w14:textFill>
                  <w14:solidFill>
                    <w14:schemeClr w14:val="tx1"/>
                  </w14:solidFill>
                </w14:textFill>
              </w:rPr>
              <w:t>（</w:t>
            </w:r>
            <w:r>
              <w:rPr>
                <w:color w:val="000000" w:themeColor="text1"/>
                <w14:textFill>
                  <w14:solidFill>
                    <w14:schemeClr w14:val="tx1"/>
                  </w14:solidFill>
                </w14:textFill>
              </w:rPr>
              <w:t>1）</w:t>
            </w:r>
            <w:r>
              <w:rPr>
                <w:rFonts w:hint="default"/>
                <w:color w:val="000000" w:themeColor="text1"/>
                <w:lang w:val="zh-TW" w:eastAsia="zh-TW"/>
                <w14:textFill>
                  <w14:solidFill>
                    <w14:schemeClr w14:val="tx1"/>
                  </w14:solidFill>
                </w14:textFill>
              </w:rPr>
              <w:t>各防火地点，均按规定设有灭火器材、报火警仪器。</w:t>
            </w:r>
            <w:r>
              <w:rPr>
                <w:color w:val="000000" w:themeColor="text1"/>
                <w:lang w:val="zh-TW"/>
                <w14:textFill>
                  <w14:solidFill>
                    <w14:schemeClr w14:val="tx1"/>
                  </w14:solidFill>
                </w14:textFill>
              </w:rPr>
              <w:t>（</w:t>
            </w:r>
            <w:r>
              <w:rPr>
                <w:color w:val="000000" w:themeColor="text1"/>
                <w14:textFill>
                  <w14:solidFill>
                    <w14:schemeClr w14:val="tx1"/>
                  </w14:solidFill>
                </w14:textFill>
              </w:rPr>
              <w:t>2）</w:t>
            </w:r>
            <w:r>
              <w:rPr>
                <w:rFonts w:hint="default"/>
                <w:color w:val="000000" w:themeColor="text1"/>
                <w:lang w:val="zh-TW" w:eastAsia="zh-TW"/>
                <w14:textFill>
                  <w14:solidFill>
                    <w14:schemeClr w14:val="tx1"/>
                  </w14:solidFill>
                </w14:textFill>
              </w:rPr>
              <w:t>电缆沟、配电室均按防火规范要求</w:t>
            </w:r>
            <w:r>
              <w:rPr>
                <w:color w:val="000000" w:themeColor="text1"/>
                <w14:textFill>
                  <w14:solidFill>
                    <w14:schemeClr w14:val="tx1"/>
                  </w14:solidFill>
                </w14:textFill>
              </w:rPr>
              <w:t>整改</w:t>
            </w:r>
            <w:r>
              <w:rPr>
                <w:rFonts w:hint="default"/>
                <w:color w:val="000000" w:themeColor="text1"/>
                <w:lang w:val="zh-TW" w:eastAsia="zh-TW"/>
                <w14:textFill>
                  <w14:solidFill>
                    <w14:schemeClr w14:val="tx1"/>
                  </w14:solidFill>
                </w14:textFill>
              </w:rPr>
              <w:t>。</w:t>
            </w:r>
          </w:p>
        </w:tc>
        <w:tc>
          <w:tcPr>
            <w:tcW w:w="677" w:type="dxa"/>
            <w:vAlign w:val="center"/>
          </w:tcPr>
          <w:p w14:paraId="310D3EDA">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bl>
    <w:p w14:paraId="44ACF60B">
      <w:pPr>
        <w:pStyle w:val="5"/>
        <w:spacing w:after="120"/>
        <w:rPr>
          <w:color w:val="000000" w:themeColor="text1"/>
          <w14:textFill>
            <w14:solidFill>
              <w14:schemeClr w14:val="tx1"/>
            </w14:solidFill>
          </w14:textFill>
        </w:rPr>
      </w:pPr>
      <w:bookmarkStart w:id="2114" w:name="_Toc10877"/>
      <w:bookmarkStart w:id="2115" w:name="_Toc27192"/>
      <w:bookmarkStart w:id="2116" w:name="_Toc10390"/>
      <w:bookmarkStart w:id="2117" w:name="_Toc15639"/>
      <w:bookmarkStart w:id="2118" w:name="_Toc25159"/>
      <w:bookmarkStart w:id="2119" w:name="_Toc21264"/>
      <w:bookmarkStart w:id="2120" w:name="_Toc29074"/>
      <w:bookmarkStart w:id="2121" w:name="_Toc22218"/>
      <w:bookmarkStart w:id="2122" w:name="_Toc9274"/>
      <w:bookmarkStart w:id="2123" w:name="_Toc215070252"/>
      <w:bookmarkStart w:id="2124" w:name="_Toc26187"/>
      <w:bookmarkStart w:id="2125" w:name="_Toc29905"/>
      <w:bookmarkStart w:id="2126" w:name="_Toc392680757"/>
      <w:bookmarkStart w:id="2127" w:name="_Toc12606"/>
      <w:bookmarkStart w:id="2128" w:name="_Toc31406"/>
      <w:bookmarkStart w:id="2129" w:name="_Toc7082"/>
      <w:bookmarkStart w:id="2130" w:name="_Toc105676130"/>
      <w:bookmarkStart w:id="2131" w:name="_Toc153698778"/>
      <w:bookmarkStart w:id="2132" w:name="_Toc105675687"/>
      <w:bookmarkStart w:id="2133" w:name="_Toc105675020"/>
      <w:bookmarkStart w:id="2134" w:name="_Toc105730495"/>
      <w:r>
        <w:rPr>
          <w:rFonts w:hint="eastAsia"/>
          <w:color w:val="000000" w:themeColor="text1"/>
          <w14:textFill>
            <w14:solidFill>
              <w14:schemeClr w14:val="tx1"/>
            </w14:solidFill>
          </w14:textFill>
        </w:rPr>
        <w:t>3.2.8矿山开采对周边环境相互影响评价</w:t>
      </w:r>
      <w:bookmarkEnd w:id="2114"/>
      <w:bookmarkEnd w:id="2115"/>
      <w:bookmarkEnd w:id="2116"/>
      <w:bookmarkEnd w:id="2117"/>
      <w:bookmarkEnd w:id="2118"/>
      <w:bookmarkEnd w:id="2119"/>
      <w:bookmarkEnd w:id="2120"/>
      <w:bookmarkEnd w:id="2121"/>
      <w:bookmarkEnd w:id="2122"/>
      <w:bookmarkEnd w:id="2123"/>
      <w:bookmarkEnd w:id="2124"/>
    </w:p>
    <w:p w14:paraId="3A67CF3A">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bookmarkStart w:id="2135" w:name="_Toc4177"/>
      <w:r>
        <w:rPr>
          <w:rFonts w:hint="eastAsia" w:ascii="宋体" w:hAnsi="宋体" w:cs="宋体"/>
          <w:color w:val="000000" w:themeColor="text1"/>
          <w:szCs w:val="21"/>
          <w14:textFill>
            <w14:solidFill>
              <w14:schemeClr w14:val="tx1"/>
            </w14:solidFill>
          </w14:textFill>
        </w:rPr>
        <w:t>1、矿区北西侧：矿区北西侧有珠西公路（G246）从旁经过，其距矿界最短平面距离为118m；</w:t>
      </w:r>
    </w:p>
    <w:p w14:paraId="3B85A5A2">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2、矿区西侧：矿区西侧最短平面距离926m处有一搅拌站，相互影响较小；</w:t>
      </w:r>
    </w:p>
    <w:p w14:paraId="11300F39">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3、矿区南东侧：矿区南东侧为董湖村，该村距矿界最短平面距离为820m，相互影响较小；</w:t>
      </w:r>
    </w:p>
    <w:p w14:paraId="7BC4A93D">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4、矿区西南侧：矿区西南侧有一中国石化加油站，该加油站距矿界最短平面距离为875m，相互影响较小；</w:t>
      </w:r>
    </w:p>
    <w:p w14:paraId="429D7774">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5、矿区东侧：矿区东侧为西洋江，其距矿界最短平面距离为810m，相互影响较小；</w:t>
      </w:r>
    </w:p>
    <w:p w14:paraId="2DFC855E">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6、另外，在本矿区西北侧630m处有“移动专线”的高压线经过，相互影响较小。</w:t>
      </w:r>
    </w:p>
    <w:p w14:paraId="4B953406">
      <w:pPr>
        <w:adjustRightInd w:val="0"/>
        <w:snapToGrid w:val="0"/>
        <w:spacing w:line="500" w:lineRule="exact"/>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7、除上述设施外，该矿周边50m范围内无其他乡村道路经过，100m范围内无其他县道、省道、国道以及高速公路通过，300m范围内无其他生产生活设施以及在生产矿山，500m范围内无其他电力设施，1000m范围内无铁路。</w:t>
      </w:r>
    </w:p>
    <w:p w14:paraId="35F9B1F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矿山破碎车间安全评价。矿山破碎车间位于矿区范围内，当爆破点距破碎车间不足爆破警戒距离，爆破作业时，应提前停止破碎作业，断开电源并对电气设施做好防护工作，对破碎车间的工人和重要设施疏散至爆破警戒以外。</w:t>
      </w:r>
    </w:p>
    <w:p w14:paraId="472CCD6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9、在矿山开采过程中仍可能会发生火灾和放炮伤害。矿区周围均有山林，在开采过程中，作业人员在林地内违规使用明火，可能会引发森林火灾。矿区周围为山林，会存在有村民进入山林活动，矿山在开采过程中进行爆破作业时，产生的爆轰波、爆破飞石或者爆破飞石滚落等对进入矿区周围山林人员、乡道过往车辆等造成伤害。</w:t>
      </w:r>
    </w:p>
    <w:p w14:paraId="1CD1F577">
      <w:pPr>
        <w:pStyle w:val="5"/>
        <w:spacing w:after="120"/>
        <w:rPr>
          <w:color w:val="000000" w:themeColor="text1"/>
          <w14:textFill>
            <w14:solidFill>
              <w14:schemeClr w14:val="tx1"/>
            </w14:solidFill>
          </w14:textFill>
        </w:rPr>
      </w:pPr>
      <w:bookmarkStart w:id="2136" w:name="_Toc26586"/>
      <w:bookmarkStart w:id="2137" w:name="_Toc29217"/>
      <w:bookmarkStart w:id="2138" w:name="_Toc24522"/>
      <w:bookmarkStart w:id="2139" w:name="_Toc4574"/>
      <w:bookmarkStart w:id="2140" w:name="_Toc14629"/>
      <w:bookmarkStart w:id="2141" w:name="_Toc9396"/>
      <w:bookmarkStart w:id="2142" w:name="_Toc215070253"/>
      <w:bookmarkStart w:id="2143" w:name="_Toc31815"/>
      <w:bookmarkStart w:id="2144" w:name="_Toc4205"/>
      <w:bookmarkStart w:id="2145" w:name="_Toc26033"/>
      <w:r>
        <w:rPr>
          <w:rFonts w:hint="eastAsia"/>
          <w:color w:val="000000" w:themeColor="text1"/>
          <w14:textFill>
            <w14:solidFill>
              <w14:schemeClr w14:val="tx1"/>
            </w14:solidFill>
          </w14:textFill>
        </w:rPr>
        <w:t>3.2.9单元小结</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14:paraId="3DC29D6A">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可行性研究报告中对总平面布置单元进行了设计说明，总平面布置单元符合《工业企业总平面设计规范》（GB50187-2012）、《金属非金属矿山安全规程》（GB16423-2020）等的要求。</w:t>
      </w:r>
    </w:p>
    <w:p w14:paraId="6E1DB469">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在下一步安全设施设计时，应补充完善明确以下方面内容：</w:t>
      </w:r>
    </w:p>
    <w:p w14:paraId="049F163C">
      <w:pPr>
        <w:adjustRightInd w:val="0"/>
        <w:snapToGrid w:val="0"/>
        <w:spacing w:line="500" w:lineRule="exact"/>
        <w:ind w:firstLine="560"/>
        <w:rPr>
          <w:rFonts w:hint="eastAsia" w:ascii="宋体" w:hAnsi="宋体" w:cs="宋体"/>
          <w:color w:val="000000" w:themeColor="text1"/>
          <w:kern w:val="0"/>
          <w:szCs w:val="28"/>
          <w14:textFill>
            <w14:solidFill>
              <w14:schemeClr w14:val="tx1"/>
            </w14:solidFill>
          </w14:textFill>
        </w:rPr>
      </w:pPr>
      <w:bookmarkStart w:id="2146" w:name="OLE_LINK10"/>
      <w:r>
        <w:rPr>
          <w:rFonts w:hint="eastAsia" w:ascii="宋体" w:hAnsi="宋体" w:cs="宋体"/>
          <w:color w:val="000000" w:themeColor="text1"/>
          <w:kern w:val="0"/>
          <w:szCs w:val="28"/>
          <w14:textFill>
            <w14:solidFill>
              <w14:schemeClr w14:val="tx1"/>
            </w14:solidFill>
          </w14:textFill>
        </w:rPr>
        <w:t>1、应明确采场爆破作业时，对警戒区域内的办公局部设施、</w:t>
      </w:r>
      <w:r>
        <w:rPr>
          <w:rFonts w:hint="eastAsia"/>
          <w:color w:val="000000" w:themeColor="text1"/>
          <w14:textFill>
            <w14:solidFill>
              <w14:schemeClr w14:val="tx1"/>
            </w14:solidFill>
          </w14:textFill>
        </w:rPr>
        <w:t>生活区</w:t>
      </w:r>
      <w:r>
        <w:rPr>
          <w:rFonts w:hint="eastAsia" w:ascii="宋体" w:hAnsi="宋体" w:cs="宋体"/>
          <w:color w:val="000000" w:themeColor="text1"/>
          <w:kern w:val="0"/>
          <w:szCs w:val="28"/>
          <w14:textFill>
            <w14:solidFill>
              <w14:schemeClr w14:val="tx1"/>
            </w14:solidFill>
          </w14:textFill>
        </w:rPr>
        <w:t>等设施的人员和财产的处置措施。</w:t>
      </w:r>
    </w:p>
    <w:p w14:paraId="6624B976">
      <w:pPr>
        <w:adjustRightInd w:val="0"/>
        <w:snapToGrid w:val="0"/>
        <w:spacing w:line="500" w:lineRule="exact"/>
        <w:ind w:firstLine="560"/>
        <w:rPr>
          <w:rFonts w:hint="eastAsia"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2、按照《工业企业总平面设计规范》GB50187-2012第5.1.2条的要求，明确配电室、机修车间、材料房、卸矿平台等辅助设施建筑基础结构形式。</w:t>
      </w:r>
    </w:p>
    <w:p w14:paraId="29EBD084">
      <w:pPr>
        <w:adjustRightInd w:val="0"/>
        <w:snapToGrid w:val="0"/>
        <w:spacing w:line="500" w:lineRule="exact"/>
        <w:ind w:firstLine="560"/>
        <w:rPr>
          <w:rFonts w:hint="eastAsia" w:ascii="宋体" w:hAnsi="宋体" w:cs="宋体"/>
          <w:color w:val="000000" w:themeColor="text1"/>
          <w:kern w:val="0"/>
          <w:szCs w:val="28"/>
          <w14:textFill>
            <w14:solidFill>
              <w14:schemeClr w14:val="tx1"/>
            </w14:solidFill>
          </w14:textFill>
        </w:rPr>
      </w:pPr>
      <w:r>
        <w:rPr>
          <w:rFonts w:hint="eastAsia" w:ascii="宋体" w:hAnsi="宋体" w:cs="宋体"/>
          <w:color w:val="000000" w:themeColor="text1"/>
          <w:kern w:val="0"/>
          <w:szCs w:val="28"/>
          <w14:textFill>
            <w14:solidFill>
              <w14:schemeClr w14:val="tx1"/>
            </w14:solidFill>
          </w14:textFill>
        </w:rPr>
        <w:t>3、按照《金属非金属矿山安全规程》（GB16423-2020）第5.3.1条的要求，对卸矿口设置卸料指示和报警信号装置、视频监控设施、安全车挡、喷雾降尘措施等进行说明。</w:t>
      </w:r>
    </w:p>
    <w:bookmarkEnd w:id="2146"/>
    <w:p w14:paraId="56AB19F7">
      <w:pPr>
        <w:pStyle w:val="4"/>
        <w:spacing w:before="240" w:after="120"/>
        <w:rPr>
          <w:color w:val="000000" w:themeColor="text1"/>
          <w14:textFill>
            <w14:solidFill>
              <w14:schemeClr w14:val="tx1"/>
            </w14:solidFill>
          </w14:textFill>
        </w:rPr>
      </w:pPr>
      <w:bookmarkStart w:id="2147" w:name="_Toc17053"/>
      <w:bookmarkStart w:id="2148" w:name="_Toc25925"/>
      <w:bookmarkStart w:id="2149" w:name="_Toc12932"/>
      <w:bookmarkStart w:id="2150" w:name="_Toc30322"/>
      <w:bookmarkStart w:id="2151" w:name="_Toc392680758"/>
      <w:bookmarkStart w:id="2152" w:name="_Toc31704"/>
      <w:bookmarkStart w:id="2153" w:name="_Toc18694"/>
      <w:bookmarkStart w:id="2154" w:name="_Toc22689"/>
      <w:bookmarkStart w:id="2155" w:name="_Toc11797"/>
      <w:bookmarkStart w:id="2156" w:name="_Toc8684"/>
      <w:bookmarkStart w:id="2157" w:name="_Toc23535"/>
      <w:bookmarkStart w:id="2158" w:name="_Toc14093"/>
      <w:bookmarkStart w:id="2159" w:name="_Toc11296"/>
      <w:bookmarkStart w:id="2160" w:name="_Toc215070254"/>
      <w:bookmarkStart w:id="2161" w:name="_Toc12079"/>
      <w:bookmarkStart w:id="2162" w:name="_Toc27936"/>
      <w:r>
        <w:rPr>
          <w:rFonts w:hint="eastAsia"/>
          <w:color w:val="000000" w:themeColor="text1"/>
          <w14:textFill>
            <w14:solidFill>
              <w14:schemeClr w14:val="tx1"/>
            </w14:solidFill>
          </w14:textFill>
        </w:rPr>
        <w:t>3.</w:t>
      </w:r>
      <w:bookmarkEnd w:id="2147"/>
      <w:bookmarkEnd w:id="2148"/>
      <w:bookmarkEnd w:id="2149"/>
      <w:bookmarkEnd w:id="2150"/>
      <w:bookmarkEnd w:id="2151"/>
      <w:r>
        <w:rPr>
          <w:rFonts w:hint="eastAsia"/>
          <w:color w:val="000000" w:themeColor="text1"/>
          <w14:textFill>
            <w14:solidFill>
              <w14:schemeClr w14:val="tx1"/>
            </w14:solidFill>
          </w14:textFill>
        </w:rPr>
        <w:t>3开拓运输单元</w:t>
      </w:r>
      <w:bookmarkEnd w:id="2152"/>
      <w:bookmarkEnd w:id="2153"/>
      <w:bookmarkEnd w:id="2154"/>
      <w:bookmarkEnd w:id="2155"/>
      <w:bookmarkEnd w:id="2156"/>
      <w:bookmarkEnd w:id="2157"/>
      <w:bookmarkEnd w:id="2158"/>
      <w:bookmarkEnd w:id="2159"/>
      <w:bookmarkEnd w:id="2160"/>
      <w:bookmarkEnd w:id="2161"/>
      <w:bookmarkEnd w:id="2162"/>
    </w:p>
    <w:p w14:paraId="7D0FF38A">
      <w:pPr>
        <w:pStyle w:val="5"/>
        <w:spacing w:after="120"/>
        <w:rPr>
          <w:color w:val="000000" w:themeColor="text1"/>
          <w14:textFill>
            <w14:solidFill>
              <w14:schemeClr w14:val="tx1"/>
            </w14:solidFill>
          </w14:textFill>
        </w:rPr>
      </w:pPr>
      <w:bookmarkStart w:id="2163" w:name="_Toc29059"/>
      <w:bookmarkStart w:id="2164" w:name="_Toc4299"/>
      <w:bookmarkStart w:id="2165" w:name="_Toc20858"/>
      <w:bookmarkStart w:id="2166" w:name="_Toc27988"/>
      <w:bookmarkStart w:id="2167" w:name="_Toc32430"/>
      <w:bookmarkStart w:id="2168" w:name="_Toc30974"/>
      <w:bookmarkStart w:id="2169" w:name="_Toc215070255"/>
      <w:bookmarkStart w:id="2170" w:name="_Toc1010"/>
      <w:bookmarkStart w:id="2171" w:name="_Toc2666"/>
      <w:bookmarkStart w:id="2172" w:name="_Toc6965"/>
      <w:bookmarkStart w:id="2173" w:name="_Toc95414118"/>
      <w:bookmarkStart w:id="2174" w:name="_Toc26821"/>
      <w:r>
        <w:rPr>
          <w:rFonts w:hint="eastAsia"/>
          <w:color w:val="000000" w:themeColor="text1"/>
          <w14:textFill>
            <w14:solidFill>
              <w14:schemeClr w14:val="tx1"/>
            </w14:solidFill>
          </w14:textFill>
        </w:rPr>
        <w:t>3.3.1开拓运输危险有害因素</w:t>
      </w:r>
      <w:bookmarkEnd w:id="2163"/>
      <w:bookmarkEnd w:id="2164"/>
      <w:bookmarkEnd w:id="2165"/>
      <w:bookmarkEnd w:id="2166"/>
      <w:bookmarkEnd w:id="2167"/>
      <w:bookmarkEnd w:id="2168"/>
      <w:bookmarkEnd w:id="2169"/>
      <w:bookmarkEnd w:id="2170"/>
      <w:bookmarkEnd w:id="2171"/>
      <w:bookmarkEnd w:id="2172"/>
      <w:bookmarkEnd w:id="2173"/>
      <w:bookmarkEnd w:id="2174"/>
    </w:p>
    <w:p w14:paraId="67FEFB07">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矿山采用公路汽车开拓运输方式，自上而下分台阶顺序开采。在开采过程中，可能存在如下危险。</w:t>
      </w:r>
    </w:p>
    <w:p w14:paraId="3BF12C29">
      <w:pPr>
        <w:ind w:firstLine="560"/>
        <w:rPr>
          <w:color w:val="000000" w:themeColor="text1"/>
          <w14:textFill>
            <w14:solidFill>
              <w14:schemeClr w14:val="tx1"/>
            </w14:solidFill>
          </w14:textFill>
        </w:rPr>
      </w:pPr>
      <w:bookmarkStart w:id="2175" w:name="_Toc31214"/>
      <w:bookmarkStart w:id="2176" w:name="_Toc23558"/>
      <w:bookmarkStart w:id="2177" w:name="_Toc16724"/>
      <w:r>
        <w:rPr>
          <w:rFonts w:hint="eastAsia"/>
          <w:color w:val="000000" w:themeColor="text1"/>
          <w14:textFill>
            <w14:solidFill>
              <w14:schemeClr w14:val="tx1"/>
            </w14:solidFill>
          </w14:textFill>
        </w:rPr>
        <w:t>1、物体打击</w:t>
      </w:r>
      <w:bookmarkEnd w:id="2175"/>
      <w:bookmarkEnd w:id="2176"/>
      <w:bookmarkEnd w:id="2177"/>
    </w:p>
    <w:p w14:paraId="2E37FAF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矿山的开拓运输作业过程中，矿岩会发生掉落，导致物体打击事故。本单元发生物体打击事故的原因有：</w:t>
      </w:r>
    </w:p>
    <w:p w14:paraId="34A36F9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（1）潜孔钻在穿孔作业过程中，由于钻杆等掉落等，发生物体打击事故。</w:t>
      </w:r>
    </w:p>
    <w:p w14:paraId="7CFC742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（2）安全帽等劳保用品穿戴不齐或未按照规范佩戴等。</w:t>
      </w:r>
    </w:p>
    <w:p w14:paraId="7C00F1E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（3）台阶边坡形成伞岩，自然掉落，发生物体打击事故。</w:t>
      </w:r>
    </w:p>
    <w:p w14:paraId="4B4C2C5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（4）采场台阶边坡浮石掉落，发生物体打击事故。</w:t>
      </w:r>
    </w:p>
    <w:p w14:paraId="444ECDB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（5）采场下部有运输道路，由于边坡浮石未清理或者铲装过程中，矿岩滚落，易发生物体打击事故。</w:t>
      </w:r>
    </w:p>
    <w:p w14:paraId="1E36CED5">
      <w:pPr>
        <w:ind w:firstLine="560"/>
        <w:rPr>
          <w:color w:val="000000" w:themeColor="text1"/>
          <w14:textFill>
            <w14:solidFill>
              <w14:schemeClr w14:val="tx1"/>
            </w14:solidFill>
          </w14:textFill>
        </w:rPr>
      </w:pPr>
      <w:bookmarkStart w:id="2178" w:name="_Toc23041"/>
      <w:bookmarkStart w:id="2179" w:name="_Toc31100"/>
      <w:bookmarkStart w:id="2180" w:name="_Toc21594"/>
      <w:r>
        <w:rPr>
          <w:rFonts w:hint="eastAsia"/>
          <w:color w:val="000000" w:themeColor="text1"/>
          <w14:textFill>
            <w14:solidFill>
              <w14:schemeClr w14:val="tx1"/>
            </w14:solidFill>
          </w14:textFill>
        </w:rPr>
        <w:t>2、车辆伤害</w:t>
      </w:r>
      <w:bookmarkEnd w:id="2178"/>
      <w:bookmarkEnd w:id="2179"/>
      <w:bookmarkEnd w:id="2180"/>
    </w:p>
    <w:p w14:paraId="37A983B1">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矿山的运输道路会发生车辆伤害事故，车辆伤害事故发生与路况、车况、驾驶技术、天气条件等有关。针对本项目设计来辨识发生车辆伤害事故的原因有：</w:t>
      </w:r>
    </w:p>
    <w:p w14:paraId="7D2DED9F">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运输车辆、挖掘机、潜孔钻等在行驶过程中，由于道路为重车长下坡，坡陡弯急，若行车速度快、车辆故障、制动失灵、信号标志缺失、运输线路及路面设计不合理、道路局部坍塌、下沉、路况质量差、狭窄、路不平等，易发生翻车、撞坏设备和撞伤人员等车辆伤害事故。</w:t>
      </w:r>
    </w:p>
    <w:p w14:paraId="6601E22C">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（2）铲装作业过程中，司机操作失误或违章作业；铲装作业时铲斗经过自卸汽车驾驶室，矿岩掉落，发生物体打击事故。</w:t>
      </w:r>
    </w:p>
    <w:p w14:paraId="714EA419">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（3）装载机、运输车辆、挖掘机在行走过程中操作失误，矿岩掉落导致伤人。</w:t>
      </w:r>
    </w:p>
    <w:p w14:paraId="70FA456C">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（4）运输车辆、挖掘机、潜孔钻等本身缺陷，维护保养不到位，易发生车辆伤害事故。</w:t>
      </w:r>
    </w:p>
    <w:p w14:paraId="4C462144">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（5）操作人员未按规程操作或违规操作，超载运输，疏忽大意，易发生车辆伤害事故。</w:t>
      </w:r>
    </w:p>
    <w:p w14:paraId="3977103C">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（6）疲劳驾驶、酒后驾驶、无证驾驶、人货混装驾驶等违章作业。</w:t>
      </w:r>
    </w:p>
    <w:p w14:paraId="27B6A22B">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（7）雨天及下雪天未采取防滑措施导致车辆伤害事故。</w:t>
      </w:r>
    </w:p>
    <w:p w14:paraId="24781354">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（8）采场台阶作业平台宽度不够，平台边沿岩土松散、不稳固，挖掘机、潜孔钻等设备沿平台边缘行驶作业，易发生设备倾翻、坠落，导致人员伤害、设备损坏。</w:t>
      </w:r>
    </w:p>
    <w:p w14:paraId="2D8A50D6">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（9）驾驶不当或出现异常情况，与建筑物、堆积物及其他车辆之间发生碰撞造成事故。</w:t>
      </w:r>
    </w:p>
    <w:p w14:paraId="2E4BFAFC">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（10）自卸汽车在运行过程中，因道路凹凸不平，导致汽车倾斜，矿岩</w:t>
      </w:r>
      <w:r>
        <w:rPr>
          <w:rFonts w:hint="eastAsia" w:ascii="宋体" w:hAnsi="宋体" w:cs="宋体"/>
          <w:color w:val="000000" w:themeColor="text1"/>
          <w:szCs w:val="28"/>
          <w:lang w:val="zh-CN"/>
          <w14:textFill>
            <w14:solidFill>
              <w14:schemeClr w14:val="tx1"/>
            </w14:solidFill>
          </w14:textFill>
        </w:rPr>
        <w:t>坠落，</w:t>
      </w:r>
      <w:r>
        <w:rPr>
          <w:rFonts w:hint="eastAsia" w:ascii="宋体" w:hAnsi="宋体" w:cs="宋体"/>
          <w:color w:val="000000" w:themeColor="text1"/>
          <w:szCs w:val="28"/>
          <w14:textFill>
            <w14:solidFill>
              <w14:schemeClr w14:val="tx1"/>
            </w14:solidFill>
          </w14:textFill>
        </w:rPr>
        <w:t>发生车辆伤害事故。</w:t>
      </w:r>
    </w:p>
    <w:p w14:paraId="33E855D6">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（11）运输道路上下高差较大，且地形较陡，有回头弯，若运输道路边缘未设置安全车挡、警示标志等，车辆冲出道路发生车辆伤害事故。</w:t>
      </w:r>
    </w:p>
    <w:p w14:paraId="7331C6B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（12）基建期间，由于局部基建台阶最小工作平台宽度不足，若未设置相应的安全警示标识和专人指挥等，运输车辆、挖掘机、潜孔钻等设备在行走或掉头等过程中，易发生车辆伤害事故。</w:t>
      </w:r>
    </w:p>
    <w:p w14:paraId="57A20BE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（13）至卸矿平台为下坡路段，如未设置相应的挡车设施，在运矿过程中，易发生车辆伤害事故。</w:t>
      </w:r>
    </w:p>
    <w:p w14:paraId="7EAEEB63">
      <w:pPr>
        <w:ind w:firstLine="560"/>
        <w:rPr>
          <w:color w:val="000000" w:themeColor="text1"/>
          <w14:textFill>
            <w14:solidFill>
              <w14:schemeClr w14:val="tx1"/>
            </w14:solidFill>
          </w14:textFill>
        </w:rPr>
      </w:pPr>
      <w:bookmarkStart w:id="2181" w:name="_Toc13627"/>
      <w:bookmarkStart w:id="2182" w:name="_Toc6717"/>
      <w:bookmarkStart w:id="2183" w:name="_Toc11068"/>
      <w:r>
        <w:rPr>
          <w:rFonts w:hint="eastAsia"/>
          <w:color w:val="000000" w:themeColor="text1"/>
          <w14:textFill>
            <w14:solidFill>
              <w14:schemeClr w14:val="tx1"/>
            </w14:solidFill>
          </w14:textFill>
        </w:rPr>
        <w:t>（14）料仓卸料口发生车辆伤害事故。</w:t>
      </w:r>
      <w:bookmarkEnd w:id="2181"/>
      <w:bookmarkEnd w:id="2182"/>
      <w:bookmarkEnd w:id="2183"/>
    </w:p>
    <w:p w14:paraId="178932B3">
      <w:pPr>
        <w:ind w:firstLine="560"/>
        <w:rPr>
          <w:color w:val="000000" w:themeColor="text1"/>
          <w14:textFill>
            <w14:solidFill>
              <w14:schemeClr w14:val="tx1"/>
            </w14:solidFill>
          </w14:textFill>
        </w:rPr>
      </w:pPr>
      <w:bookmarkStart w:id="2184" w:name="_Toc30869"/>
      <w:bookmarkStart w:id="2185" w:name="_Toc4937"/>
      <w:bookmarkStart w:id="2186" w:name="_Toc28280"/>
      <w:r>
        <w:rPr>
          <w:rFonts w:hint="eastAsia"/>
          <w:color w:val="000000" w:themeColor="text1"/>
          <w14:textFill>
            <w14:solidFill>
              <w14:schemeClr w14:val="tx1"/>
            </w14:solidFill>
          </w14:textFill>
        </w:rPr>
        <w:t>3、高处坠落</w:t>
      </w:r>
      <w:bookmarkEnd w:id="2184"/>
      <w:bookmarkEnd w:id="2185"/>
      <w:bookmarkEnd w:id="2186"/>
    </w:p>
    <w:p w14:paraId="056AA8B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矿山的开拓运输过程中，在台阶边缘等位置作业时，易发生高处坠落事故，本单元发生高处坠落事故的原因有：</w:t>
      </w:r>
    </w:p>
    <w:p w14:paraId="67D723F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（1）在穿孔、铲装和运输过程中，设备靠近台阶边缘时，易发生高处坠落事故。</w:t>
      </w:r>
    </w:p>
    <w:p w14:paraId="438C5A8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（2）因道路宽度不够，道路外侧未设置安全车挡设施，车辆冲出道路而引发高处坠落事故。</w:t>
      </w:r>
    </w:p>
    <w:p w14:paraId="7A79E10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（3）铲装作业的平台宽度不够，作业过程中，易引发高处坠落事故。</w:t>
      </w:r>
    </w:p>
    <w:p w14:paraId="30BAD0A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（4）作业人员进行作业过程中，台阶边缘未设置相应的安全警示标识等，易发生高处坠落事故。</w:t>
      </w:r>
    </w:p>
    <w:p w14:paraId="09E2EA3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（5）运输车辆、挖掘机、潜孔钻等设备临边违规停放，易发生高处坠落事故。</w:t>
      </w:r>
    </w:p>
    <w:p w14:paraId="6140E4A6">
      <w:pPr>
        <w:ind w:firstLine="560"/>
        <w:rPr>
          <w:rFonts w:hint="eastAsia" w:ascii="宋体" w:hAnsi="宋体"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（6）采场东面</w:t>
      </w:r>
      <w:r>
        <w:rPr>
          <w:rFonts w:hint="eastAsia" w:ascii="宋体" w:hAnsi="宋体" w:cs="宋体"/>
          <w:color w:val="000000" w:themeColor="text1"/>
          <w:szCs w:val="28"/>
          <w14:textFill>
            <w14:solidFill>
              <w14:schemeClr w14:val="tx1"/>
            </w14:solidFill>
          </w14:textFill>
        </w:rPr>
        <w:t>、南面为临边作业，边坡较高，若未采取相应的临边管理措施或专人指挥，易发生高处坠落事故。</w:t>
      </w:r>
    </w:p>
    <w:p w14:paraId="1190A0E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（7）采场开采后期，需借助台阶作为运输道路，若临边未设置安全车挡、安全警示标识等，运输过程中，易发生高处坠落事故。</w:t>
      </w:r>
    </w:p>
    <w:p w14:paraId="747892C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（8）至卸矿平台临边卸矿过程中，如未设置相应的挡车设施或无专人指挥，易发生高处坠落事故。</w:t>
      </w:r>
    </w:p>
    <w:p w14:paraId="50A3E197">
      <w:pPr>
        <w:ind w:firstLine="560"/>
        <w:rPr>
          <w:color w:val="000000" w:themeColor="text1"/>
          <w14:textFill>
            <w14:solidFill>
              <w14:schemeClr w14:val="tx1"/>
            </w14:solidFill>
          </w14:textFill>
        </w:rPr>
      </w:pPr>
      <w:bookmarkStart w:id="2187" w:name="_Toc32570"/>
      <w:bookmarkStart w:id="2188" w:name="_Toc21709"/>
      <w:bookmarkStart w:id="2189" w:name="_Toc19309"/>
      <w:r>
        <w:rPr>
          <w:rFonts w:hint="eastAsia"/>
          <w:color w:val="000000" w:themeColor="text1"/>
          <w14:textFill>
            <w14:solidFill>
              <w14:schemeClr w14:val="tx1"/>
            </w14:solidFill>
          </w14:textFill>
        </w:rPr>
        <w:t>4、滑坡、坍塌</w:t>
      </w:r>
      <w:bookmarkEnd w:id="2187"/>
      <w:bookmarkEnd w:id="2188"/>
      <w:bookmarkEnd w:id="2189"/>
    </w:p>
    <w:p w14:paraId="3A123D1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（1）由于运输道路存在挖方、填方，若未按要求对道路边坡进行加固，受雨季或爆破震动影响，容易形成坍塌、滑坡现象，影响作业的人员及设备，造成人员伤害及设备损坏。</w:t>
      </w:r>
    </w:p>
    <w:p w14:paraId="68BE7006">
      <w:pPr>
        <w:ind w:firstLine="560"/>
        <w:rPr>
          <w:rFonts w:hint="eastAsia" w:ascii="宋体" w:hAnsi="宋体"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（2）采场边坡浮石未清理</w:t>
      </w:r>
      <w:r>
        <w:rPr>
          <w:rFonts w:hint="eastAsia" w:ascii="宋体" w:hAnsi="宋体" w:cs="宋体"/>
          <w:color w:val="000000" w:themeColor="text1"/>
          <w:szCs w:val="28"/>
          <w14:textFill>
            <w14:solidFill>
              <w14:schemeClr w14:val="tx1"/>
            </w14:solidFill>
          </w14:textFill>
        </w:rPr>
        <w:t>完全，受雨季或爆破震动影响，容易形成坍塌、滑坡现象，影响作业的人员及设备，造成人员伤害及设备损坏。</w:t>
      </w:r>
    </w:p>
    <w:p w14:paraId="6CDC79C2">
      <w:pPr>
        <w:pStyle w:val="5"/>
        <w:spacing w:after="120"/>
        <w:rPr>
          <w:color w:val="000000" w:themeColor="text1"/>
          <w14:textFill>
            <w14:solidFill>
              <w14:schemeClr w14:val="tx1"/>
            </w14:solidFill>
          </w14:textFill>
        </w:rPr>
      </w:pPr>
      <w:bookmarkStart w:id="2190" w:name="_Toc7979"/>
      <w:bookmarkStart w:id="2191" w:name="_Toc32575"/>
      <w:bookmarkStart w:id="2192" w:name="_Toc10578"/>
      <w:bookmarkStart w:id="2193" w:name="_Toc31485"/>
      <w:bookmarkStart w:id="2194" w:name="_Toc215070256"/>
      <w:bookmarkStart w:id="2195" w:name="_Toc22923"/>
      <w:bookmarkStart w:id="2196" w:name="_Toc12592"/>
      <w:bookmarkStart w:id="2197" w:name="_Toc23043"/>
      <w:bookmarkStart w:id="2198" w:name="_Toc29290"/>
      <w:bookmarkStart w:id="2199" w:name="_Toc6735"/>
      <w:bookmarkStart w:id="2200" w:name="_Toc27063"/>
      <w:r>
        <w:rPr>
          <w:rFonts w:hint="eastAsia"/>
          <w:color w:val="000000" w:themeColor="text1"/>
          <w14:textFill>
            <w14:solidFill>
              <w14:schemeClr w14:val="tx1"/>
            </w14:solidFill>
          </w14:textFill>
        </w:rPr>
        <w:t>3.3.2安全检查表</w:t>
      </w:r>
      <w:bookmarkEnd w:id="2190"/>
      <w:bookmarkEnd w:id="2191"/>
      <w:bookmarkEnd w:id="2192"/>
      <w:bookmarkEnd w:id="2193"/>
      <w:bookmarkEnd w:id="2194"/>
      <w:bookmarkEnd w:id="2195"/>
      <w:bookmarkEnd w:id="2196"/>
      <w:bookmarkEnd w:id="2197"/>
      <w:bookmarkEnd w:id="2198"/>
      <w:bookmarkEnd w:id="2199"/>
      <w:bookmarkEnd w:id="2200"/>
    </w:p>
    <w:p w14:paraId="6137F0AD">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表3.3-1开拓运输单元安全检查表</w:t>
      </w:r>
    </w:p>
    <w:tbl>
      <w:tblPr>
        <w:tblStyle w:val="44"/>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3904"/>
        <w:gridCol w:w="1419"/>
        <w:gridCol w:w="1899"/>
        <w:gridCol w:w="1016"/>
      </w:tblGrid>
      <w:tr w14:paraId="2A53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67" w:type="dxa"/>
            <w:vAlign w:val="center"/>
          </w:tcPr>
          <w:p w14:paraId="3A18F796">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3904" w:type="dxa"/>
            <w:vAlign w:val="center"/>
          </w:tcPr>
          <w:p w14:paraId="6ADF0E0E">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检查内容</w:t>
            </w:r>
          </w:p>
        </w:tc>
        <w:tc>
          <w:tcPr>
            <w:tcW w:w="1419" w:type="dxa"/>
            <w:vAlign w:val="center"/>
          </w:tcPr>
          <w:p w14:paraId="0A2B23C1">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标准依据</w:t>
            </w:r>
          </w:p>
        </w:tc>
        <w:tc>
          <w:tcPr>
            <w:tcW w:w="1899" w:type="dxa"/>
            <w:vAlign w:val="center"/>
          </w:tcPr>
          <w:p w14:paraId="34074F8C">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1016" w:type="dxa"/>
            <w:vAlign w:val="center"/>
          </w:tcPr>
          <w:p w14:paraId="17837CB0">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检查结果</w:t>
            </w:r>
          </w:p>
        </w:tc>
      </w:tr>
      <w:tr w14:paraId="491A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Align w:val="center"/>
          </w:tcPr>
          <w:p w14:paraId="526771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3904" w:type="dxa"/>
            <w:vAlign w:val="center"/>
          </w:tcPr>
          <w:p w14:paraId="6579AC4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厂矿道路设计，应坚持节约用地的原则，不占或少占耕地，便利农田排灌，重视水土保持和环境保护；应贯彻因地制宜就地取材的原则，充分利用工业副产品和废渣，降低工程造价。</w:t>
            </w:r>
          </w:p>
        </w:tc>
        <w:tc>
          <w:tcPr>
            <w:tcW w:w="1419" w:type="dxa"/>
            <w:vAlign w:val="center"/>
          </w:tcPr>
          <w:p w14:paraId="07D3719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《厂矿道路设计规范》GBJ22-87第1.0.4条</w:t>
            </w:r>
          </w:p>
        </w:tc>
        <w:tc>
          <w:tcPr>
            <w:tcW w:w="1899" w:type="dxa"/>
            <w:vAlign w:val="center"/>
          </w:tcPr>
          <w:p w14:paraId="55B99E7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矿山运输道路主要在矿区范围内修建，不占用耕地较少。</w:t>
            </w:r>
          </w:p>
        </w:tc>
        <w:tc>
          <w:tcPr>
            <w:tcW w:w="1016" w:type="dxa"/>
            <w:vAlign w:val="center"/>
          </w:tcPr>
          <w:p w14:paraId="4D01620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B6A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667" w:type="dxa"/>
            <w:vAlign w:val="center"/>
          </w:tcPr>
          <w:p w14:paraId="0F252FB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3904" w:type="dxa"/>
            <w:vAlign w:val="center"/>
          </w:tcPr>
          <w:p w14:paraId="20A4753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等级及其主要技术指标的采用，应根据厂矿规模、企业类型、道路性质、使用要求（包括道路服务年限）、交通量（包括行人），车种和车型，并综合考虑将来的发展确定。当道路较长且沿线情况变化较大时，可按不同的等级和技术指标分段设计。</w:t>
            </w:r>
          </w:p>
        </w:tc>
        <w:tc>
          <w:tcPr>
            <w:tcW w:w="1419" w:type="dxa"/>
            <w:vAlign w:val="center"/>
          </w:tcPr>
          <w:p w14:paraId="6030C05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《厂矿道路设计规范》GBJ22-87第1.0.5条</w:t>
            </w:r>
          </w:p>
        </w:tc>
        <w:tc>
          <w:tcPr>
            <w:tcW w:w="1899" w:type="dxa"/>
            <w:vAlign w:val="center"/>
          </w:tcPr>
          <w:p w14:paraId="4950179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根据矿山车辆设计矿山道路。</w:t>
            </w:r>
          </w:p>
        </w:tc>
        <w:tc>
          <w:tcPr>
            <w:tcW w:w="1016" w:type="dxa"/>
            <w:vAlign w:val="center"/>
          </w:tcPr>
          <w:p w14:paraId="20A595A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E22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667" w:type="dxa"/>
            <w:vAlign w:val="center"/>
          </w:tcPr>
          <w:p w14:paraId="0370171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3904" w:type="dxa"/>
            <w:vAlign w:val="center"/>
          </w:tcPr>
          <w:p w14:paraId="7E339A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设计，应根据矿山地形、地质、开采境界、开采推进方向、各开采台阶（阶段）标高以及卸矿点和废石场（排土场）位置，并密切配合采矿工艺，全面考虑山坡开采或深部开采要求，合理布设路线。当地形或地质复杂时，采用纸上定线后，应到现场核实，校正。在矿山开采境界线内，宜采用挖方路基。</w:t>
            </w:r>
          </w:p>
        </w:tc>
        <w:tc>
          <w:tcPr>
            <w:tcW w:w="1419" w:type="dxa"/>
            <w:vAlign w:val="center"/>
          </w:tcPr>
          <w:p w14:paraId="1CC3168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《厂矿道路设计规范》GBJ22-87第2.1.6条</w:t>
            </w:r>
          </w:p>
        </w:tc>
        <w:tc>
          <w:tcPr>
            <w:tcW w:w="1899" w:type="dxa"/>
            <w:vAlign w:val="center"/>
          </w:tcPr>
          <w:p w14:paraId="03440DCA">
            <w:pPr>
              <w:pStyle w:val="71"/>
              <w:rPr>
                <w:rFonts w:hint="default"/>
                <w:color w:val="000000" w:themeColor="text1"/>
                <w14:textFill>
                  <w14:solidFill>
                    <w14:schemeClr w14:val="tx1"/>
                  </w14:solidFill>
                </w14:textFill>
              </w:rPr>
            </w:pPr>
            <w:r>
              <w:rPr>
                <w:bCs/>
                <w:iCs/>
                <w:color w:val="000000" w:themeColor="text1"/>
                <w:szCs w:val="28"/>
                <w14:textFill>
                  <w14:solidFill>
                    <w14:schemeClr w14:val="tx1"/>
                  </w14:solidFill>
                </w14:textFill>
              </w:rPr>
              <w:t>道路1由K1（+1300m标高）向北至采区东侧K2（+1400m标高），进行修整降坡，道路2由K1（+1300m标高）向西至采区南侧K3（+1350m标高），进行修整降坡。以K3（+1350m标高）为起点，新修筑开拓运输道路</w:t>
            </w:r>
            <w:r>
              <w:rPr>
                <w:color w:val="000000" w:themeColor="text1"/>
                <w:szCs w:val="28"/>
                <w14:textFill>
                  <w14:solidFill>
                    <w14:schemeClr w14:val="tx1"/>
                  </w14:solidFill>
                </w14:textFill>
              </w:rPr>
              <w:t>至1375m平台，标高1375m以上矿岩修建装载设备道路转运至1375m运输平台运</w:t>
            </w:r>
            <w:r>
              <w:rPr>
                <w:color w:val="000000" w:themeColor="text1"/>
                <w14:textFill>
                  <w14:solidFill>
                    <w14:schemeClr w14:val="tx1"/>
                  </w14:solidFill>
                </w14:textFill>
              </w:rPr>
              <w:t>，均采用挖方路基。</w:t>
            </w:r>
          </w:p>
        </w:tc>
        <w:tc>
          <w:tcPr>
            <w:tcW w:w="1016" w:type="dxa"/>
            <w:vAlign w:val="center"/>
          </w:tcPr>
          <w:p w14:paraId="64D1C29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296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jc w:val="center"/>
        </w:trPr>
        <w:tc>
          <w:tcPr>
            <w:tcW w:w="667" w:type="dxa"/>
            <w:vAlign w:val="center"/>
          </w:tcPr>
          <w:p w14:paraId="5D42F33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3904" w:type="dxa"/>
            <w:vAlign w:val="center"/>
          </w:tcPr>
          <w:p w14:paraId="6C79EA6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宜划分为生产干线、生产支线，联络线和辅助线。（1）生产干线为采矿场各开采台阶通往卸矿点或废石场的共用道路。（2）生产支线为开采台阶或废石场与生产干线相连接的道路；或一个开采台阶直接到卸矿点或废石场的道路。（3）联络线为经常行驶露天矿生产所用自卸汽车的其他道路。（4）辅助线为通往矿区范围内的附属厂（车间）和各种辅助设施行驶各类汽车的道路。</w:t>
            </w:r>
          </w:p>
        </w:tc>
        <w:tc>
          <w:tcPr>
            <w:tcW w:w="1419" w:type="dxa"/>
            <w:vAlign w:val="center"/>
          </w:tcPr>
          <w:p w14:paraId="1C229F0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《厂矿道路设计规范》GBJ22-87第2.4.1条</w:t>
            </w:r>
          </w:p>
        </w:tc>
        <w:tc>
          <w:tcPr>
            <w:tcW w:w="1899" w:type="dxa"/>
            <w:vAlign w:val="center"/>
          </w:tcPr>
          <w:p w14:paraId="773BA42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矿山内道路较短和平缓，道路按运输道路和挖掘机道路进行区分。</w:t>
            </w:r>
          </w:p>
        </w:tc>
        <w:tc>
          <w:tcPr>
            <w:tcW w:w="1016" w:type="dxa"/>
            <w:vAlign w:val="center"/>
          </w:tcPr>
          <w:p w14:paraId="4614AF5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926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5" w:hRule="atLeast"/>
          <w:jc w:val="center"/>
        </w:trPr>
        <w:tc>
          <w:tcPr>
            <w:tcW w:w="667" w:type="dxa"/>
            <w:vAlign w:val="center"/>
          </w:tcPr>
          <w:p w14:paraId="13942C5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3904" w:type="dxa"/>
            <w:vAlign w:val="center"/>
          </w:tcPr>
          <w:p w14:paraId="367521E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等级的采用，宜符合下列规定：（1）汽车的小时单向交通量在85辆以上的生产干线，可采用一级露天矿山道路。（2）汽车的小时单向交通量在85～25（15）辆的生产干线、支线，可采用二级露天矿山道路。当条件较好且交通量接近上限时，可采用一级露天矿山道路；当条件困难且交通量接近下限时，可采用三级露天矿山道路。（3）汽车的小时单向交通量在25（15）辆以下的生产干线、支线和联络线、辅助线，可采用三级露天矿山道路。（注：①条文中括号内的数值，适用于运量较小部门的矿山。当条件较好且交通量稍小于15辆时，可采用二级露天矿山道路。②当露天矿山道路同时具有厂外道路性质时，应同时符合相当等级厂外道路的要求。）</w:t>
            </w:r>
          </w:p>
        </w:tc>
        <w:tc>
          <w:tcPr>
            <w:tcW w:w="1419" w:type="dxa"/>
            <w:vAlign w:val="center"/>
          </w:tcPr>
          <w:p w14:paraId="46A1714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《厂矿道路设计规范》GBJ22-87第2.4.2条</w:t>
            </w:r>
          </w:p>
        </w:tc>
        <w:tc>
          <w:tcPr>
            <w:tcW w:w="1899" w:type="dxa"/>
            <w:vAlign w:val="center"/>
          </w:tcPr>
          <w:p w14:paraId="3A83A801">
            <w:pPr>
              <w:pStyle w:val="71"/>
              <w:rPr>
                <w:rFonts w:hint="default"/>
                <w:color w:val="000000" w:themeColor="text1"/>
                <w14:textFill>
                  <w14:solidFill>
                    <w14:schemeClr w14:val="tx1"/>
                  </w14:solidFill>
                </w14:textFill>
              </w:rPr>
            </w:pPr>
            <w:bookmarkStart w:id="2201" w:name="_Hlk35785557"/>
            <w:r>
              <w:rPr>
                <w:color w:val="000000" w:themeColor="text1"/>
                <w14:textFill>
                  <w14:solidFill>
                    <w14:schemeClr w14:val="tx1"/>
                  </w14:solidFill>
                </w14:textFill>
              </w:rPr>
              <w:t>行车密度约为15辆/h</w:t>
            </w:r>
            <w:bookmarkEnd w:id="2201"/>
            <w:r>
              <w:rPr>
                <w:color w:val="000000" w:themeColor="text1"/>
                <w14:textFill>
                  <w14:solidFill>
                    <w14:schemeClr w14:val="tx1"/>
                  </w14:solidFill>
                </w14:textFill>
              </w:rPr>
              <w:t>，运输道路等级为三级矿用运输道路。</w:t>
            </w:r>
          </w:p>
        </w:tc>
        <w:tc>
          <w:tcPr>
            <w:tcW w:w="1016" w:type="dxa"/>
            <w:vAlign w:val="center"/>
          </w:tcPr>
          <w:p w14:paraId="67D107D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3B0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667" w:type="dxa"/>
            <w:vAlign w:val="center"/>
          </w:tcPr>
          <w:p w14:paraId="276E504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3904" w:type="dxa"/>
            <w:vAlign w:val="center"/>
          </w:tcPr>
          <w:p w14:paraId="4E09739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露天矿山道路的计算行车速度宜按表2.4.3的规定采用。</w:t>
            </w:r>
          </w:p>
          <w:p w14:paraId="5BA4B8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5040" cy="457200"/>
                  <wp:effectExtent l="0" t="0" r="0" b="0"/>
                  <wp:docPr id="12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25040" cy="457200"/>
                          </a:xfrm>
                          <a:prstGeom prst="rect">
                            <a:avLst/>
                          </a:prstGeom>
                          <a:noFill/>
                          <a:ln>
                            <a:noFill/>
                          </a:ln>
                          <a:effectLst/>
                        </pic:spPr>
                      </pic:pic>
                    </a:graphicData>
                  </a:graphic>
                </wp:inline>
              </w:drawing>
            </w:r>
          </w:p>
        </w:tc>
        <w:tc>
          <w:tcPr>
            <w:tcW w:w="1419" w:type="dxa"/>
            <w:vAlign w:val="center"/>
          </w:tcPr>
          <w:p w14:paraId="593F6E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《厂矿道路设计规范》GBJ22-87第2.4.3条</w:t>
            </w:r>
          </w:p>
        </w:tc>
        <w:tc>
          <w:tcPr>
            <w:tcW w:w="1899" w:type="dxa"/>
            <w:vAlign w:val="center"/>
          </w:tcPr>
          <w:p w14:paraId="7183548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矿山行车平均速度为16km/h。</w:t>
            </w:r>
          </w:p>
        </w:tc>
        <w:tc>
          <w:tcPr>
            <w:tcW w:w="1016" w:type="dxa"/>
            <w:vAlign w:val="center"/>
          </w:tcPr>
          <w:p w14:paraId="564F850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DE6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667" w:type="dxa"/>
            <w:vAlign w:val="center"/>
          </w:tcPr>
          <w:p w14:paraId="5E0217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3904" w:type="dxa"/>
            <w:vAlign w:val="center"/>
          </w:tcPr>
          <w:p w14:paraId="114EB10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路面宽度，宜按表2.4.4的规定采用。生产线（除单向环行者外）和联络线宜按双车道设计，联络线在条件困难时，可按单车道设计；辅助线可根据需要按单车道或双车道设计；当单车道需要同时双向行车时，应在适当的间隔距离内设置错车道、错车道的设置，应符合附录二的规定。天矿山道路路面宽度表2.4.4</w:t>
            </w:r>
          </w:p>
          <w:p w14:paraId="12EA187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5040" cy="624840"/>
                  <wp:effectExtent l="0" t="0" r="0" b="0"/>
                  <wp:docPr id="12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25040" cy="624840"/>
                          </a:xfrm>
                          <a:prstGeom prst="rect">
                            <a:avLst/>
                          </a:prstGeom>
                          <a:noFill/>
                          <a:ln>
                            <a:noFill/>
                          </a:ln>
                          <a:effectLst/>
                        </pic:spPr>
                      </pic:pic>
                    </a:graphicData>
                  </a:graphic>
                </wp:inline>
              </w:drawing>
            </w:r>
          </w:p>
        </w:tc>
        <w:tc>
          <w:tcPr>
            <w:tcW w:w="1419" w:type="dxa"/>
            <w:vAlign w:val="center"/>
          </w:tcPr>
          <w:p w14:paraId="39BA16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《厂矿道路设计规范》GBJ22-87第2.4.4条</w:t>
            </w:r>
          </w:p>
        </w:tc>
        <w:tc>
          <w:tcPr>
            <w:tcW w:w="1899" w:type="dxa"/>
            <w:vAlign w:val="center"/>
          </w:tcPr>
          <w:p w14:paraId="3305C01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矿山的年运量、道路等级、运输设备（20t矿车车宽2.5m）以及矿山的地形条件，运输道路采用单车道，路宽选取为路基6m，路面4m。设计有缓坡和错车道。</w:t>
            </w:r>
          </w:p>
        </w:tc>
        <w:tc>
          <w:tcPr>
            <w:tcW w:w="1016" w:type="dxa"/>
            <w:vAlign w:val="center"/>
          </w:tcPr>
          <w:p w14:paraId="7EA653B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D5B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667" w:type="dxa"/>
            <w:vAlign w:val="center"/>
          </w:tcPr>
          <w:p w14:paraId="251DAB5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8</w:t>
            </w:r>
          </w:p>
          <w:p w14:paraId="7E42355D">
            <w:pPr>
              <w:pStyle w:val="71"/>
              <w:rPr>
                <w:rFonts w:hint="default"/>
                <w:color w:val="000000" w:themeColor="text1"/>
                <w14:textFill>
                  <w14:solidFill>
                    <w14:schemeClr w14:val="tx1"/>
                  </w14:solidFill>
                </w14:textFill>
              </w:rPr>
            </w:pPr>
          </w:p>
        </w:tc>
        <w:tc>
          <w:tcPr>
            <w:tcW w:w="3904" w:type="dxa"/>
            <w:vAlign w:val="center"/>
          </w:tcPr>
          <w:p w14:paraId="4D06230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露天矿山道路路肩宽度，宜按表2.4.5的规定采用。</w:t>
            </w:r>
          </w:p>
          <w:p w14:paraId="7F7B83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5040" cy="411480"/>
                  <wp:effectExtent l="0" t="0" r="0" b="0"/>
                  <wp:docPr id="122"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225040" cy="411480"/>
                          </a:xfrm>
                          <a:prstGeom prst="rect">
                            <a:avLst/>
                          </a:prstGeom>
                          <a:noFill/>
                          <a:ln>
                            <a:noFill/>
                          </a:ln>
                          <a:effectLst/>
                        </pic:spPr>
                      </pic:pic>
                    </a:graphicData>
                  </a:graphic>
                </wp:inline>
              </w:drawing>
            </w:r>
          </w:p>
        </w:tc>
        <w:tc>
          <w:tcPr>
            <w:tcW w:w="1419" w:type="dxa"/>
            <w:vAlign w:val="center"/>
          </w:tcPr>
          <w:p w14:paraId="4078BC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《厂矿道路设计规范》GBJ22-87第2.4.5条</w:t>
            </w:r>
          </w:p>
        </w:tc>
        <w:tc>
          <w:tcPr>
            <w:tcW w:w="1899" w:type="dxa"/>
            <w:vAlign w:val="center"/>
          </w:tcPr>
          <w:p w14:paraId="72ECFCB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路肩宽度1m。</w:t>
            </w:r>
          </w:p>
        </w:tc>
        <w:tc>
          <w:tcPr>
            <w:tcW w:w="1016" w:type="dxa"/>
            <w:vAlign w:val="center"/>
          </w:tcPr>
          <w:p w14:paraId="08A7EDD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8DA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667" w:type="dxa"/>
            <w:vAlign w:val="center"/>
          </w:tcPr>
          <w:p w14:paraId="2404C6E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9</w:t>
            </w:r>
          </w:p>
        </w:tc>
        <w:tc>
          <w:tcPr>
            <w:tcW w:w="3904" w:type="dxa"/>
            <w:vAlign w:val="center"/>
          </w:tcPr>
          <w:p w14:paraId="664E356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露天矿山道路，宜采用较大的圆曲线半径。当受地形或其他条件限制时，可采用表2.4.6所列最小圆曲线半径。</w:t>
            </w:r>
          </w:p>
          <w:p w14:paraId="6163627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5040" cy="350520"/>
                  <wp:effectExtent l="0" t="0" r="0" b="0"/>
                  <wp:docPr id="12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25040" cy="350520"/>
                          </a:xfrm>
                          <a:prstGeom prst="rect">
                            <a:avLst/>
                          </a:prstGeom>
                          <a:noFill/>
                          <a:ln>
                            <a:noFill/>
                          </a:ln>
                          <a:effectLst/>
                        </pic:spPr>
                      </pic:pic>
                    </a:graphicData>
                  </a:graphic>
                </wp:inline>
              </w:drawing>
            </w:r>
          </w:p>
        </w:tc>
        <w:tc>
          <w:tcPr>
            <w:tcW w:w="1419" w:type="dxa"/>
            <w:vAlign w:val="center"/>
          </w:tcPr>
          <w:p w14:paraId="3CC57C5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《厂矿道路设计规范》（GBJ22-87）第2.4.6条</w:t>
            </w:r>
          </w:p>
        </w:tc>
        <w:tc>
          <w:tcPr>
            <w:tcW w:w="1899" w:type="dxa"/>
            <w:vAlign w:val="center"/>
          </w:tcPr>
          <w:p w14:paraId="7F3F30C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对公路最小圆曲线半径为15m。</w:t>
            </w:r>
          </w:p>
        </w:tc>
        <w:tc>
          <w:tcPr>
            <w:tcW w:w="1016" w:type="dxa"/>
            <w:vAlign w:val="center"/>
          </w:tcPr>
          <w:p w14:paraId="363E233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6DB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9" w:hRule="atLeast"/>
          <w:jc w:val="center"/>
        </w:trPr>
        <w:tc>
          <w:tcPr>
            <w:tcW w:w="667" w:type="dxa"/>
            <w:vAlign w:val="center"/>
          </w:tcPr>
          <w:p w14:paraId="2ECD84A9">
            <w:pPr>
              <w:pStyle w:val="71"/>
              <w:rPr>
                <w:rFonts w:hint="default"/>
                <w:color w:val="000000" w:themeColor="text1"/>
                <w14:textFill>
                  <w14:solidFill>
                    <w14:schemeClr w14:val="tx1"/>
                  </w14:solidFill>
                </w14:textFill>
              </w:rPr>
            </w:pPr>
            <w:bookmarkStart w:id="2202" w:name="_Toc23461"/>
            <w:bookmarkStart w:id="2203" w:name="_Toc11259"/>
            <w:r>
              <w:rPr>
                <w:color w:val="000000" w:themeColor="text1"/>
                <w14:textFill>
                  <w14:solidFill>
                    <w14:schemeClr w14:val="tx1"/>
                  </w14:solidFill>
                </w14:textFill>
              </w:rPr>
              <w:t>10</w:t>
            </w:r>
          </w:p>
        </w:tc>
        <w:tc>
          <w:tcPr>
            <w:tcW w:w="3904" w:type="dxa"/>
            <w:vAlign w:val="center"/>
          </w:tcPr>
          <w:p w14:paraId="1D67009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当圆曲线半径等于或小于200m时，应在圆曲线内侧加宽路面。双车道路面加宽值，应按表2.4.8的规定采用；单车道路面加宽值，应按表列数值的50%采用。在工程艰巨的路段，可将加宽值的50%设在弯道外侧。路面加宽后，路肩宽度仍应符合本规范第2.4.5条的规定。双车道路面加宽值表2.4.8</w:t>
            </w:r>
          </w:p>
          <w:p w14:paraId="138D84D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40280" cy="1828800"/>
                  <wp:effectExtent l="0" t="0" r="0" b="0"/>
                  <wp:docPr id="124"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40280" cy="1828800"/>
                          </a:xfrm>
                          <a:prstGeom prst="rect">
                            <a:avLst/>
                          </a:prstGeom>
                          <a:noFill/>
                          <a:ln>
                            <a:noFill/>
                          </a:ln>
                          <a:effectLst/>
                        </pic:spPr>
                      </pic:pic>
                    </a:graphicData>
                  </a:graphic>
                </wp:inline>
              </w:drawing>
            </w:r>
          </w:p>
        </w:tc>
        <w:tc>
          <w:tcPr>
            <w:tcW w:w="1419" w:type="dxa"/>
            <w:vAlign w:val="center"/>
          </w:tcPr>
          <w:p w14:paraId="372E98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《厂矿道路设计规范》GBJ22-87第2.4.8条</w:t>
            </w:r>
          </w:p>
        </w:tc>
        <w:tc>
          <w:tcPr>
            <w:tcW w:w="1899" w:type="dxa"/>
            <w:vAlign w:val="center"/>
          </w:tcPr>
          <w:p w14:paraId="11A3295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未明确露天矿山道路圆曲线半径，未明确运输道路曲线加宽值。</w:t>
            </w:r>
          </w:p>
        </w:tc>
        <w:tc>
          <w:tcPr>
            <w:tcW w:w="1016" w:type="dxa"/>
            <w:vAlign w:val="center"/>
          </w:tcPr>
          <w:p w14:paraId="3B76C7C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09DF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jc w:val="center"/>
        </w:trPr>
        <w:tc>
          <w:tcPr>
            <w:tcW w:w="667" w:type="dxa"/>
            <w:vAlign w:val="center"/>
          </w:tcPr>
          <w:p w14:paraId="4ABAC3C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11</w:t>
            </w:r>
          </w:p>
        </w:tc>
        <w:tc>
          <w:tcPr>
            <w:tcW w:w="3904" w:type="dxa"/>
            <w:vAlign w:val="center"/>
          </w:tcPr>
          <w:p w14:paraId="79F4E8D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露天矿山道路在圆曲线和竖曲线处的视距，不应小于表2.4.11的规定。</w:t>
            </w:r>
            <w:r>
              <w:rPr>
                <w:color w:val="000000" w:themeColor="text1"/>
                <w14:textFill>
                  <w14:solidFill>
                    <w14:schemeClr w14:val="tx1"/>
                  </w14:solidFill>
                </w14:textFill>
              </w:rPr>
              <w:drawing>
                <wp:inline distT="0" distB="0" distL="0" distR="0">
                  <wp:extent cx="2194560" cy="335280"/>
                  <wp:effectExtent l="0" t="0" r="0" b="0"/>
                  <wp:docPr id="1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94560" cy="335280"/>
                          </a:xfrm>
                          <a:prstGeom prst="rect">
                            <a:avLst/>
                          </a:prstGeom>
                          <a:noFill/>
                          <a:ln>
                            <a:noFill/>
                          </a:ln>
                          <a:effectLst/>
                        </pic:spPr>
                      </pic:pic>
                    </a:graphicData>
                  </a:graphic>
                </wp:inline>
              </w:drawing>
            </w:r>
          </w:p>
          <w:p w14:paraId="4395EB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在工程艰巨或受地形条件限制的路段，可采用停车视距，但必须设置分道行驶的设施或其他设施（如反光镜、限制速度标志、鸣喇叭标志等）。</w:t>
            </w:r>
          </w:p>
        </w:tc>
        <w:tc>
          <w:tcPr>
            <w:tcW w:w="1419" w:type="dxa"/>
            <w:vAlign w:val="center"/>
          </w:tcPr>
          <w:p w14:paraId="6970EFC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《厂矿道路设计规范》GBJ22-87第2.4.11条</w:t>
            </w:r>
          </w:p>
        </w:tc>
        <w:tc>
          <w:tcPr>
            <w:tcW w:w="1899" w:type="dxa"/>
            <w:vAlign w:val="center"/>
          </w:tcPr>
          <w:p w14:paraId="2CAB29A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明确矿内各种汽车道路，应根据具体情况设置反光路标和限速标志，矿内各种车辆为采剥汽车让行。受采掘条件限制、达不到规定的宽度时，必须视道路距离设置相应数量的会车线。</w:t>
            </w:r>
          </w:p>
        </w:tc>
        <w:tc>
          <w:tcPr>
            <w:tcW w:w="1016" w:type="dxa"/>
            <w:vAlign w:val="center"/>
          </w:tcPr>
          <w:p w14:paraId="3D69409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0AA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6" w:hRule="atLeast"/>
          <w:jc w:val="center"/>
        </w:trPr>
        <w:tc>
          <w:tcPr>
            <w:tcW w:w="667" w:type="dxa"/>
            <w:vAlign w:val="center"/>
          </w:tcPr>
          <w:p w14:paraId="5EBDCFE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12</w:t>
            </w:r>
          </w:p>
        </w:tc>
        <w:tc>
          <w:tcPr>
            <w:tcW w:w="3904" w:type="dxa"/>
            <w:vAlign w:val="center"/>
          </w:tcPr>
          <w:p w14:paraId="32DDDF6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露天矿山道路采用回头曲线时，其主要技术指标应按表2.4.12的规定采用，并设置限制速度标志和在其外侧设置挡车堆等安全设施。回头曲线主要技术指标表2.4.12</w:t>
            </w:r>
          </w:p>
          <w:p w14:paraId="04D16B3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5040" cy="1463040"/>
                  <wp:effectExtent l="0" t="0" r="0" b="0"/>
                  <wp:docPr id="12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25040" cy="1463040"/>
                          </a:xfrm>
                          <a:prstGeom prst="rect">
                            <a:avLst/>
                          </a:prstGeom>
                          <a:noFill/>
                          <a:ln>
                            <a:noFill/>
                          </a:ln>
                          <a:effectLst/>
                        </pic:spPr>
                      </pic:pic>
                    </a:graphicData>
                  </a:graphic>
                </wp:inline>
              </w:drawing>
            </w:r>
          </w:p>
        </w:tc>
        <w:tc>
          <w:tcPr>
            <w:tcW w:w="1419" w:type="dxa"/>
            <w:vAlign w:val="center"/>
          </w:tcPr>
          <w:p w14:paraId="710BA25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《厂矿道路设计规范》GBJ22-87第2.4.12条</w:t>
            </w:r>
          </w:p>
        </w:tc>
        <w:tc>
          <w:tcPr>
            <w:tcW w:w="1899" w:type="dxa"/>
            <w:vAlign w:val="center"/>
          </w:tcPr>
          <w:p w14:paraId="665F5F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在运输道路边缘设置相应的安全车挡、安全警示标志等设施。</w:t>
            </w:r>
          </w:p>
        </w:tc>
        <w:tc>
          <w:tcPr>
            <w:tcW w:w="1016" w:type="dxa"/>
            <w:vAlign w:val="center"/>
          </w:tcPr>
          <w:p w14:paraId="73F031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853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667" w:type="dxa"/>
            <w:vAlign w:val="center"/>
          </w:tcPr>
          <w:p w14:paraId="79426BD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13</w:t>
            </w:r>
          </w:p>
        </w:tc>
        <w:tc>
          <w:tcPr>
            <w:tcW w:w="3904" w:type="dxa"/>
            <w:vAlign w:val="center"/>
          </w:tcPr>
          <w:p w14:paraId="042EFA3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露天矿山道路的纵坡，不应大于表2.4.13的规定。</w:t>
            </w:r>
          </w:p>
          <w:p w14:paraId="19418F9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5040" cy="274320"/>
                  <wp:effectExtent l="0" t="0" r="0" b="0"/>
                  <wp:docPr id="12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225040" cy="274320"/>
                          </a:xfrm>
                          <a:prstGeom prst="rect">
                            <a:avLst/>
                          </a:prstGeom>
                          <a:noFill/>
                          <a:ln>
                            <a:noFill/>
                          </a:ln>
                          <a:effectLst/>
                        </pic:spPr>
                      </pic:pic>
                    </a:graphicData>
                  </a:graphic>
                </wp:inline>
              </w:drawing>
            </w:r>
          </w:p>
          <w:p w14:paraId="032F0AA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在工程艰巨或受开采条件限制时，重车上坡的二、三级露天矿山道路生产干线、支线的最大纵坡可增加1%；深凹露天矿开采底部的较短路段的最大纵坡可增加2％；山坡露天矿开采山头的较短路段的最大纵坡可增加1％。联络线、辅助线的最大纵坡可增加2％。但在海拔2000m以上地区的露天矿山道路的最大纵坡，不得增加。</w:t>
            </w:r>
          </w:p>
        </w:tc>
        <w:tc>
          <w:tcPr>
            <w:tcW w:w="1419" w:type="dxa"/>
            <w:vAlign w:val="center"/>
          </w:tcPr>
          <w:p w14:paraId="3EB9286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《厂矿道路设计规范》GBJ22-87第2.4.13条</w:t>
            </w:r>
          </w:p>
        </w:tc>
        <w:tc>
          <w:tcPr>
            <w:tcW w:w="1899" w:type="dxa"/>
            <w:vAlign w:val="center"/>
          </w:tcPr>
          <w:p w14:paraId="604FA89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最大纵坡为9%，平均纵坡不大于8%%。</w:t>
            </w:r>
          </w:p>
        </w:tc>
        <w:tc>
          <w:tcPr>
            <w:tcW w:w="1016" w:type="dxa"/>
            <w:vAlign w:val="center"/>
          </w:tcPr>
          <w:p w14:paraId="6B02DFD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DFB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6430C04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14</w:t>
            </w:r>
          </w:p>
        </w:tc>
        <w:tc>
          <w:tcPr>
            <w:tcW w:w="3904" w:type="dxa"/>
            <w:vAlign w:val="center"/>
          </w:tcPr>
          <w:p w14:paraId="3D4DF05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露天矿山道路纵坡，应在不大于下表规定的长度处设置缓和坡段。</w:t>
            </w:r>
            <w:r>
              <w:rPr>
                <w:color w:val="000000" w:themeColor="text1"/>
                <w14:textFill>
                  <w14:solidFill>
                    <w14:schemeClr w14:val="tx1"/>
                  </w14:solidFill>
                </w14:textFill>
              </w:rPr>
              <w:drawing>
                <wp:inline distT="0" distB="0" distL="0" distR="0">
                  <wp:extent cx="2240280" cy="975360"/>
                  <wp:effectExtent l="0" t="0" r="0" b="0"/>
                  <wp:docPr id="128"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240280" cy="975360"/>
                          </a:xfrm>
                          <a:prstGeom prst="rect">
                            <a:avLst/>
                          </a:prstGeom>
                          <a:noFill/>
                          <a:ln>
                            <a:noFill/>
                          </a:ln>
                        </pic:spPr>
                      </pic:pic>
                    </a:graphicData>
                  </a:graphic>
                </wp:inline>
              </w:drawing>
            </w:r>
          </w:p>
          <w:p w14:paraId="7209ED1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缓和坡段的坡度不应大于3％，长度不应小于下表的规定。</w:t>
            </w:r>
          </w:p>
          <w:p w14:paraId="01D910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40280" cy="762000"/>
                  <wp:effectExtent l="0" t="0" r="0" b="0"/>
                  <wp:docPr id="12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40280" cy="762000"/>
                          </a:xfrm>
                          <a:prstGeom prst="rect">
                            <a:avLst/>
                          </a:prstGeom>
                          <a:noFill/>
                          <a:ln>
                            <a:noFill/>
                          </a:ln>
                          <a:effectLst/>
                        </pic:spPr>
                      </pic:pic>
                    </a:graphicData>
                  </a:graphic>
                </wp:inline>
              </w:drawing>
            </w:r>
          </w:p>
        </w:tc>
        <w:tc>
          <w:tcPr>
            <w:tcW w:w="1419" w:type="dxa"/>
            <w:vAlign w:val="center"/>
          </w:tcPr>
          <w:p w14:paraId="7F5333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《厂矿道路设计规范》GBJ22-87第2.4.14条</w:t>
            </w:r>
          </w:p>
        </w:tc>
        <w:tc>
          <w:tcPr>
            <w:tcW w:w="1899" w:type="dxa"/>
            <w:vAlign w:val="center"/>
          </w:tcPr>
          <w:p w14:paraId="35EC04C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中设置缓和坡段和错车道。</w:t>
            </w:r>
          </w:p>
        </w:tc>
        <w:tc>
          <w:tcPr>
            <w:tcW w:w="1016" w:type="dxa"/>
            <w:vAlign w:val="center"/>
          </w:tcPr>
          <w:p w14:paraId="3A7F3A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518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667" w:type="dxa"/>
            <w:vAlign w:val="center"/>
          </w:tcPr>
          <w:p w14:paraId="014E54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15</w:t>
            </w:r>
          </w:p>
        </w:tc>
        <w:tc>
          <w:tcPr>
            <w:tcW w:w="3904" w:type="dxa"/>
            <w:vAlign w:val="center"/>
          </w:tcPr>
          <w:p w14:paraId="35071F6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在挖方、低填方以及不填不挖的路段，应设置边沟。</w:t>
            </w:r>
          </w:p>
        </w:tc>
        <w:tc>
          <w:tcPr>
            <w:tcW w:w="1419" w:type="dxa"/>
            <w:vAlign w:val="center"/>
          </w:tcPr>
          <w:p w14:paraId="6D4C34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《厂矿道路设计规范》GBJ22-87第3.5.2条</w:t>
            </w:r>
          </w:p>
        </w:tc>
        <w:tc>
          <w:tcPr>
            <w:tcW w:w="1899" w:type="dxa"/>
            <w:vAlign w:val="center"/>
          </w:tcPr>
          <w:p w14:paraId="1F8A747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说明在公路内侧修筑排水沟。</w:t>
            </w:r>
          </w:p>
        </w:tc>
        <w:tc>
          <w:tcPr>
            <w:tcW w:w="1016" w:type="dxa"/>
            <w:vAlign w:val="center"/>
          </w:tcPr>
          <w:p w14:paraId="1DA2AEC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8CB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667" w:type="dxa"/>
            <w:vAlign w:val="center"/>
          </w:tcPr>
          <w:p w14:paraId="27CE5CE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w:t>
            </w:r>
          </w:p>
        </w:tc>
        <w:tc>
          <w:tcPr>
            <w:tcW w:w="3904" w:type="dxa"/>
            <w:vAlign w:val="center"/>
          </w:tcPr>
          <w:p w14:paraId="32CFC8D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路面等级及其所属的面层类型，可按下表划分。</w:t>
            </w:r>
            <w:r>
              <w:rPr>
                <w:color w:val="000000" w:themeColor="text1"/>
                <w14:textFill>
                  <w14:solidFill>
                    <w14:schemeClr w14:val="tx1"/>
                  </w14:solidFill>
                </w14:textFill>
              </w:rPr>
              <w:br w:type="textWrapping"/>
            </w:r>
            <w:r>
              <w:rPr>
                <w:color w:val="000000" w:themeColor="text1"/>
                <w14:textFill>
                  <w14:solidFill>
                    <w14:schemeClr w14:val="tx1"/>
                  </w14:solidFill>
                </w14:textFill>
              </w:rPr>
              <w:drawing>
                <wp:inline distT="0" distB="0" distL="0" distR="0">
                  <wp:extent cx="2209800" cy="1386840"/>
                  <wp:effectExtent l="0" t="0" r="0" b="0"/>
                  <wp:docPr id="13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209800" cy="1386840"/>
                          </a:xfrm>
                          <a:prstGeom prst="rect">
                            <a:avLst/>
                          </a:prstGeom>
                          <a:noFill/>
                          <a:ln>
                            <a:noFill/>
                          </a:ln>
                          <a:effectLst/>
                        </pic:spPr>
                      </pic:pic>
                    </a:graphicData>
                  </a:graphic>
                </wp:inline>
              </w:drawing>
            </w:r>
          </w:p>
        </w:tc>
        <w:tc>
          <w:tcPr>
            <w:tcW w:w="1419" w:type="dxa"/>
            <w:vAlign w:val="center"/>
          </w:tcPr>
          <w:p w14:paraId="6857AFC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《厂矿道路设计规范》GBJ22-87第4.1.2条</w:t>
            </w:r>
          </w:p>
        </w:tc>
        <w:tc>
          <w:tcPr>
            <w:tcW w:w="1899" w:type="dxa"/>
            <w:vAlign w:val="center"/>
          </w:tcPr>
          <w:p w14:paraId="070015F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运输道路</w:t>
            </w:r>
            <w:r>
              <w:rPr>
                <w:rFonts w:hint="default"/>
                <w:color w:val="000000" w:themeColor="text1"/>
                <w14:textFill>
                  <w14:solidFill>
                    <w14:schemeClr w14:val="tx1"/>
                  </w14:solidFill>
                </w14:textFill>
              </w:rPr>
              <w:t>面</w:t>
            </w:r>
            <w:r>
              <w:rPr>
                <w:color w:val="000000" w:themeColor="text1"/>
                <w14:textFill>
                  <w14:solidFill>
                    <w14:schemeClr w14:val="tx1"/>
                  </w14:solidFill>
                </w14:textFill>
              </w:rPr>
              <w:t>为泥结石路面。</w:t>
            </w:r>
          </w:p>
        </w:tc>
        <w:tc>
          <w:tcPr>
            <w:tcW w:w="1016" w:type="dxa"/>
            <w:vAlign w:val="center"/>
          </w:tcPr>
          <w:p w14:paraId="2956FA3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1A2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667" w:type="dxa"/>
            <w:vAlign w:val="center"/>
          </w:tcPr>
          <w:p w14:paraId="73283C9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17</w:t>
            </w:r>
          </w:p>
        </w:tc>
        <w:tc>
          <w:tcPr>
            <w:tcW w:w="3904" w:type="dxa"/>
            <w:vAlign w:val="center"/>
          </w:tcPr>
          <w:p w14:paraId="69A97E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 xml:space="preserve">采场运输道路以及供电、通信线路均应设置在稳定区域内。 </w:t>
            </w:r>
          </w:p>
        </w:tc>
        <w:tc>
          <w:tcPr>
            <w:tcW w:w="1419" w:type="dxa"/>
            <w:vAlign w:val="center"/>
          </w:tcPr>
          <w:p w14:paraId="2661AC6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l6423-2020第5.2.1.5条</w:t>
            </w:r>
          </w:p>
        </w:tc>
        <w:tc>
          <w:tcPr>
            <w:tcW w:w="1899" w:type="dxa"/>
            <w:vAlign w:val="center"/>
          </w:tcPr>
          <w:p w14:paraId="0C1F8D2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设置在稳定区域内。</w:t>
            </w:r>
          </w:p>
        </w:tc>
        <w:tc>
          <w:tcPr>
            <w:tcW w:w="1016" w:type="dxa"/>
            <w:vAlign w:val="center"/>
          </w:tcPr>
          <w:p w14:paraId="3176478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D39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667" w:type="dxa"/>
            <w:vAlign w:val="center"/>
          </w:tcPr>
          <w:p w14:paraId="6C06FE0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18</w:t>
            </w:r>
          </w:p>
        </w:tc>
        <w:tc>
          <w:tcPr>
            <w:tcW w:w="3904" w:type="dxa"/>
            <w:vAlign w:val="center"/>
          </w:tcPr>
          <w:p w14:paraId="634BC83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不应用自卸汽车运载易燃、易爆物品；</w:t>
            </w:r>
          </w:p>
        </w:tc>
        <w:tc>
          <w:tcPr>
            <w:tcW w:w="1419" w:type="dxa"/>
            <w:vAlign w:val="center"/>
          </w:tcPr>
          <w:p w14:paraId="6D4C4A5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l6423-2020第5.4.2.1条</w:t>
            </w:r>
          </w:p>
        </w:tc>
        <w:tc>
          <w:tcPr>
            <w:tcW w:w="1899" w:type="dxa"/>
            <w:vAlign w:val="center"/>
          </w:tcPr>
          <w:p w14:paraId="22CC77B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明确要求不应用自卸汽车运载易燃、易爆物品。</w:t>
            </w:r>
          </w:p>
        </w:tc>
        <w:tc>
          <w:tcPr>
            <w:tcW w:w="1016" w:type="dxa"/>
            <w:vAlign w:val="center"/>
          </w:tcPr>
          <w:p w14:paraId="191A9E5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FDD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667" w:type="dxa"/>
            <w:vAlign w:val="center"/>
          </w:tcPr>
          <w:p w14:paraId="13D0185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19</w:t>
            </w:r>
          </w:p>
        </w:tc>
        <w:tc>
          <w:tcPr>
            <w:tcW w:w="3904" w:type="dxa"/>
            <w:vAlign w:val="center"/>
          </w:tcPr>
          <w:p w14:paraId="3142958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自卸汽车装载应遵守如下规定：（1）停在铲装设备回转范围0.5以外；（2）驾驶员不离开驾驶室，不将身体任何部位伸出驾驶室外；（3）不在装载时检查、维护车辆。</w:t>
            </w:r>
          </w:p>
        </w:tc>
        <w:tc>
          <w:tcPr>
            <w:tcW w:w="1419" w:type="dxa"/>
            <w:vAlign w:val="center"/>
          </w:tcPr>
          <w:p w14:paraId="626F20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l6423-2020第5.4.2.2条</w:t>
            </w:r>
          </w:p>
        </w:tc>
        <w:tc>
          <w:tcPr>
            <w:tcW w:w="1899" w:type="dxa"/>
            <w:vAlign w:val="center"/>
          </w:tcPr>
          <w:p w14:paraId="5C37160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矿山应制定驾驶员安全操作规程。自卸汽车司机自觉。</w:t>
            </w:r>
          </w:p>
        </w:tc>
        <w:tc>
          <w:tcPr>
            <w:tcW w:w="1016" w:type="dxa"/>
            <w:vAlign w:val="center"/>
          </w:tcPr>
          <w:p w14:paraId="485494C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1FA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241AEFF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20</w:t>
            </w:r>
          </w:p>
        </w:tc>
        <w:tc>
          <w:tcPr>
            <w:tcW w:w="3904" w:type="dxa"/>
            <w:vAlign w:val="center"/>
          </w:tcPr>
          <w:p w14:paraId="38738A4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运输道路的高陡路基路段，或者弯道、坡度较大的填方地段，远离山体一侧应设置高度不小于车轮轮胎直径1/2的护栏、挡车墙等安全设施及醒目的警示标志。</w:t>
            </w:r>
          </w:p>
        </w:tc>
        <w:tc>
          <w:tcPr>
            <w:tcW w:w="1419" w:type="dxa"/>
            <w:vAlign w:val="center"/>
          </w:tcPr>
          <w:p w14:paraId="438B9E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《金属非金属矿山安全规程》GBl6423-2020第5.4.2.4条</w:t>
            </w:r>
          </w:p>
        </w:tc>
        <w:tc>
          <w:tcPr>
            <w:tcW w:w="1899" w:type="dxa"/>
            <w:vAlign w:val="center"/>
          </w:tcPr>
          <w:p w14:paraId="5E5436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矿山道路危险地段设置护堤，高度为汽车轮胎直径的2/5-3/5，底部宽度不应小于3m；矿内各种汽车道路，应根据弯度、坡度、危险地段设置反光路标和限速标志。</w:t>
            </w:r>
          </w:p>
        </w:tc>
        <w:tc>
          <w:tcPr>
            <w:tcW w:w="1016" w:type="dxa"/>
            <w:vAlign w:val="center"/>
          </w:tcPr>
          <w:p w14:paraId="5FCE21F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50A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667" w:type="dxa"/>
            <w:vAlign w:val="center"/>
          </w:tcPr>
          <w:p w14:paraId="07380BA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21</w:t>
            </w:r>
          </w:p>
        </w:tc>
        <w:tc>
          <w:tcPr>
            <w:tcW w:w="3904" w:type="dxa"/>
            <w:vAlign w:val="center"/>
          </w:tcPr>
          <w:p w14:paraId="0C2487C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汽车运行应遵守下列规定：驾驶室外禁止乘人；（1）运行时不升降车斗；（2）不采用溜车方式发动车辆；（3）不空挡滑行；（4）不弯道超车；（5）下坡车速不超过25km/h；（6）不在主运输道路和坡道上停车；（7）不在供电线路下停车；（8）拖挂车辆行驶时采取可靠的安全措施，并有专人指挥；（9）通过道口之前驾驶员减速观望，确认安全后再通过；（10）不超载运行。</w:t>
            </w:r>
          </w:p>
        </w:tc>
        <w:tc>
          <w:tcPr>
            <w:tcW w:w="1419" w:type="dxa"/>
            <w:vAlign w:val="center"/>
          </w:tcPr>
          <w:p w14:paraId="707A846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l6423-2020第5.4.2.6条</w:t>
            </w:r>
          </w:p>
        </w:tc>
        <w:tc>
          <w:tcPr>
            <w:tcW w:w="1899" w:type="dxa"/>
            <w:vAlign w:val="center"/>
          </w:tcPr>
          <w:p w14:paraId="273726B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矿山已有驾驶员安全操作规程，司机严格遵守。</w:t>
            </w:r>
          </w:p>
        </w:tc>
        <w:tc>
          <w:tcPr>
            <w:tcW w:w="1016" w:type="dxa"/>
            <w:vAlign w:val="center"/>
          </w:tcPr>
          <w:p w14:paraId="09D3FF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4BD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667" w:type="dxa"/>
            <w:vAlign w:val="center"/>
          </w:tcPr>
          <w:p w14:paraId="1E5DBAB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22</w:t>
            </w:r>
          </w:p>
        </w:tc>
        <w:tc>
          <w:tcPr>
            <w:tcW w:w="3904" w:type="dxa"/>
            <w:vAlign w:val="center"/>
          </w:tcPr>
          <w:p w14:paraId="0CD0A4F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现场检修车辆时，应采取可靠的安全措施。</w:t>
            </w:r>
          </w:p>
        </w:tc>
        <w:tc>
          <w:tcPr>
            <w:tcW w:w="1419" w:type="dxa"/>
            <w:vAlign w:val="center"/>
          </w:tcPr>
          <w:p w14:paraId="3B568C0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l6423-2020第5.4.2.7条</w:t>
            </w:r>
          </w:p>
        </w:tc>
        <w:tc>
          <w:tcPr>
            <w:tcW w:w="1899" w:type="dxa"/>
            <w:vAlign w:val="center"/>
          </w:tcPr>
          <w:p w14:paraId="0247982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矿山已有驾驶员安全操作规程，司机严格遵守。</w:t>
            </w:r>
          </w:p>
        </w:tc>
        <w:tc>
          <w:tcPr>
            <w:tcW w:w="1016" w:type="dxa"/>
            <w:vAlign w:val="center"/>
          </w:tcPr>
          <w:p w14:paraId="0FA4EA4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39AB8103">
      <w:pPr>
        <w:pStyle w:val="5"/>
        <w:spacing w:before="240" w:beforeLines="100" w:beforeAutospacing="0" w:after="120"/>
        <w:rPr>
          <w:color w:val="000000" w:themeColor="text1"/>
          <w14:textFill>
            <w14:solidFill>
              <w14:schemeClr w14:val="tx1"/>
            </w14:solidFill>
          </w14:textFill>
        </w:rPr>
      </w:pPr>
      <w:bookmarkStart w:id="2204" w:name="_Toc14892"/>
      <w:bookmarkStart w:id="2205" w:name="_Toc8910"/>
      <w:bookmarkStart w:id="2206" w:name="_Toc6296"/>
      <w:bookmarkStart w:id="2207" w:name="_Toc215070257"/>
      <w:bookmarkStart w:id="2208" w:name="_Toc25307"/>
      <w:bookmarkStart w:id="2209" w:name="_Toc28827"/>
      <w:bookmarkStart w:id="2210" w:name="_Toc14595"/>
      <w:bookmarkStart w:id="2211" w:name="_Toc2252"/>
      <w:bookmarkStart w:id="2212" w:name="_Toc23913"/>
      <w:bookmarkStart w:id="2213" w:name="_Toc11584"/>
      <w:bookmarkStart w:id="2214" w:name="_Toc10145"/>
      <w:r>
        <w:rPr>
          <w:rFonts w:hint="eastAsia"/>
          <w:color w:val="000000" w:themeColor="text1"/>
          <w14:textFill>
            <w14:solidFill>
              <w14:schemeClr w14:val="tx1"/>
            </w14:solidFill>
          </w14:textFill>
        </w:rPr>
        <w:t>3.3.3单元小结</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14:paraId="038116C0">
      <w:pPr>
        <w:ind w:firstLine="56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开发利用方案和可行性研究报告</w:t>
      </w:r>
      <w:r>
        <w:rPr>
          <w:rFonts w:hint="eastAsia"/>
          <w:color w:val="000000" w:themeColor="text1"/>
          <w14:textFill>
            <w14:solidFill>
              <w14:schemeClr w14:val="tx1"/>
            </w14:solidFill>
          </w14:textFill>
        </w:rPr>
        <w:t>中对开拓运输单元进行了说明，开拓运输单元符合《金属非金属矿山安全规程》（GB16423-2020）、《厂矿道路设计规范》（GBJ22-87）的要求。矿山开拓运输方式为山坡露天开采常用开拓运输方式，工艺成熟，安全性较高，根据矿山矿岩性质可满足矿山建设及生产需要，可满足将来安全生产的要求。</w:t>
      </w:r>
    </w:p>
    <w:p w14:paraId="0A52823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在下一步安全设施设计时，应补充以下内容：</w:t>
      </w:r>
    </w:p>
    <w:p w14:paraId="1A5B4AB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按照《金属非金属矿山安全规程》GBl6423-2020第5.4.2.1条、第5.4.2.2条、第5.4.2.6条、第5.4.2.7条对自卸汽车装载、运行、现场检修车辆时，应采取可靠的安全措施进行相关要求，明确不应用自卸汽车运载易燃、易爆物品。</w:t>
      </w:r>
    </w:p>
    <w:p w14:paraId="3B4EC957">
      <w:pPr>
        <w:ind w:firstLine="560"/>
        <w:rPr>
          <w:highlight w:val="red"/>
        </w:rPr>
      </w:pPr>
      <w:bookmarkStart w:id="2215" w:name="_Toc25356"/>
      <w:bookmarkStart w:id="2216" w:name="_Toc6155"/>
      <w:bookmarkStart w:id="2217" w:name="_Toc15344"/>
      <w:r>
        <w:rPr>
          <w:rFonts w:hint="eastAsia"/>
        </w:rPr>
        <w:t>2</w:t>
      </w:r>
      <w:r>
        <w:rPr>
          <w:rFonts w:hint="eastAsia"/>
          <w:color w:val="000000" w:themeColor="text1"/>
          <w14:textFill>
            <w14:solidFill>
              <w14:schemeClr w14:val="tx1"/>
            </w14:solidFill>
          </w14:textFill>
        </w:rPr>
        <w:t>、</w:t>
      </w:r>
      <w:r>
        <w:t>未明确露天矿山道路圆曲线半径，未明确运输道路曲线加宽值</w:t>
      </w:r>
      <w:r>
        <w:rPr>
          <w:rFonts w:hint="eastAsia"/>
        </w:rPr>
        <w:t>，下一步安全设施设计完善</w:t>
      </w:r>
      <w:bookmarkEnd w:id="2215"/>
      <w:bookmarkEnd w:id="2216"/>
      <w:bookmarkEnd w:id="2217"/>
      <w:r>
        <w:rPr>
          <w:rFonts w:hint="eastAsia"/>
        </w:rPr>
        <w:t>。</w:t>
      </w:r>
    </w:p>
    <w:p w14:paraId="588EED8A">
      <w:pPr>
        <w:pStyle w:val="4"/>
        <w:spacing w:before="240" w:after="120"/>
        <w:rPr>
          <w:color w:val="000000" w:themeColor="text1"/>
          <w14:textFill>
            <w14:solidFill>
              <w14:schemeClr w14:val="tx1"/>
            </w14:solidFill>
          </w14:textFill>
        </w:rPr>
      </w:pPr>
      <w:bookmarkStart w:id="2218" w:name="_Toc12704"/>
      <w:bookmarkStart w:id="2219" w:name="_Toc15600"/>
      <w:bookmarkStart w:id="2220" w:name="_Toc23087"/>
      <w:bookmarkStart w:id="2221" w:name="_Toc11599"/>
      <w:bookmarkStart w:id="2222" w:name="_Toc9713"/>
      <w:bookmarkStart w:id="2223" w:name="_Toc19653"/>
      <w:bookmarkStart w:id="2224" w:name="_Toc8272"/>
      <w:bookmarkStart w:id="2225" w:name="_Toc17835"/>
      <w:bookmarkStart w:id="2226" w:name="_Toc19887"/>
      <w:bookmarkStart w:id="2227" w:name="_Toc4405"/>
      <w:bookmarkStart w:id="2228" w:name="_Toc3617"/>
      <w:bookmarkStart w:id="2229" w:name="_Toc392680760"/>
      <w:bookmarkStart w:id="2230" w:name="_Toc215070258"/>
      <w:bookmarkStart w:id="2231" w:name="_Toc28839"/>
      <w:bookmarkStart w:id="2232" w:name="_Toc8223"/>
      <w:bookmarkStart w:id="2233" w:name="_Toc12638"/>
      <w:r>
        <w:rPr>
          <w:rFonts w:hint="eastAsia"/>
          <w:color w:val="000000" w:themeColor="text1"/>
          <w14:textFill>
            <w14:solidFill>
              <w14:schemeClr w14:val="tx1"/>
            </w14:solidFill>
          </w14:textFill>
        </w:rPr>
        <w:t>3.4采剥单元</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14:paraId="7E3BA64A">
      <w:pPr>
        <w:pStyle w:val="5"/>
        <w:spacing w:after="120"/>
        <w:rPr>
          <w:color w:val="000000" w:themeColor="text1"/>
          <w14:textFill>
            <w14:solidFill>
              <w14:schemeClr w14:val="tx1"/>
            </w14:solidFill>
          </w14:textFill>
        </w:rPr>
      </w:pPr>
      <w:bookmarkStart w:id="2234" w:name="_Toc215070259"/>
      <w:bookmarkStart w:id="2235" w:name="_Toc20242"/>
      <w:bookmarkStart w:id="2236" w:name="_Toc22253"/>
      <w:bookmarkStart w:id="2237" w:name="_Toc12681"/>
      <w:bookmarkStart w:id="2238" w:name="_Toc25593"/>
      <w:bookmarkStart w:id="2239" w:name="_Toc20208"/>
      <w:bookmarkStart w:id="2240" w:name="_Toc23340"/>
      <w:bookmarkStart w:id="2241" w:name="_Toc17899"/>
      <w:bookmarkStart w:id="2242" w:name="_Toc10650"/>
      <w:bookmarkStart w:id="2243" w:name="_Toc13069"/>
      <w:bookmarkStart w:id="2244" w:name="_Toc5326"/>
      <w:bookmarkStart w:id="2245" w:name="_Toc851"/>
      <w:r>
        <w:rPr>
          <w:rFonts w:hint="eastAsia"/>
          <w:color w:val="000000" w:themeColor="text1"/>
          <w14:textFill>
            <w14:solidFill>
              <w14:schemeClr w14:val="tx1"/>
            </w14:solidFill>
          </w14:textFill>
        </w:rPr>
        <w:t>3.4.1露天采场子单元</w:t>
      </w:r>
      <w:bookmarkEnd w:id="2234"/>
      <w:bookmarkEnd w:id="2235"/>
      <w:bookmarkEnd w:id="2236"/>
      <w:bookmarkEnd w:id="2237"/>
      <w:bookmarkEnd w:id="2238"/>
      <w:bookmarkEnd w:id="2239"/>
      <w:bookmarkEnd w:id="2240"/>
      <w:bookmarkEnd w:id="2241"/>
      <w:bookmarkEnd w:id="2242"/>
      <w:bookmarkEnd w:id="2243"/>
    </w:p>
    <w:p w14:paraId="516758F2">
      <w:pPr>
        <w:pStyle w:val="6"/>
        <w:spacing w:before="120" w:after="120"/>
        <w:rPr>
          <w:color w:val="000000" w:themeColor="text1"/>
          <w14:textFill>
            <w14:solidFill>
              <w14:schemeClr w14:val="tx1"/>
            </w14:solidFill>
          </w14:textFill>
        </w:rPr>
      </w:pPr>
      <w:bookmarkStart w:id="2246" w:name="_Toc12298"/>
      <w:bookmarkStart w:id="2247" w:name="_Toc21350"/>
      <w:bookmarkStart w:id="2248" w:name="_Toc21386"/>
      <w:bookmarkStart w:id="2249" w:name="_Toc14174"/>
      <w:bookmarkStart w:id="2250" w:name="_Toc30313"/>
      <w:bookmarkStart w:id="2251" w:name="_Toc5077"/>
      <w:bookmarkStart w:id="2252" w:name="_Toc1030"/>
      <w:bookmarkStart w:id="2253" w:name="_Toc31272"/>
      <w:bookmarkStart w:id="2254" w:name="_Toc215070260"/>
      <w:r>
        <w:rPr>
          <w:rFonts w:hint="eastAsia"/>
          <w:color w:val="000000" w:themeColor="text1"/>
          <w14:textFill>
            <w14:solidFill>
              <w14:schemeClr w14:val="tx1"/>
            </w14:solidFill>
          </w14:textFill>
        </w:rPr>
        <w:t>3.4.1.1露天采场</w:t>
      </w:r>
      <w:bookmarkEnd w:id="2246"/>
      <w:bookmarkEnd w:id="2247"/>
      <w:r>
        <w:rPr>
          <w:rFonts w:hint="eastAsia"/>
          <w:color w:val="000000" w:themeColor="text1"/>
          <w14:textFill>
            <w14:solidFill>
              <w14:schemeClr w14:val="tx1"/>
            </w14:solidFill>
          </w14:textFill>
        </w:rPr>
        <w:t>危险因素辨识</w:t>
      </w:r>
      <w:bookmarkEnd w:id="2248"/>
      <w:bookmarkEnd w:id="2249"/>
      <w:bookmarkEnd w:id="2250"/>
      <w:bookmarkEnd w:id="2251"/>
      <w:bookmarkEnd w:id="2252"/>
      <w:bookmarkEnd w:id="2253"/>
      <w:bookmarkEnd w:id="2254"/>
    </w:p>
    <w:p w14:paraId="04CC23B2">
      <w:pPr>
        <w:ind w:firstLine="560"/>
        <w:rPr>
          <w:color w:val="000000" w:themeColor="text1"/>
          <w14:textFill>
            <w14:solidFill>
              <w14:schemeClr w14:val="tx1"/>
            </w14:solidFill>
          </w14:textFill>
        </w:rPr>
      </w:pPr>
      <w:bookmarkStart w:id="2255" w:name="_Toc30170"/>
      <w:bookmarkStart w:id="2256" w:name="_Toc7582"/>
      <w:bookmarkStart w:id="2257" w:name="_Toc20155"/>
      <w:r>
        <w:rPr>
          <w:rFonts w:hint="eastAsia"/>
          <w:color w:val="000000" w:themeColor="text1"/>
          <w14:textFill>
            <w14:solidFill>
              <w14:schemeClr w14:val="tx1"/>
            </w14:solidFill>
          </w14:textFill>
        </w:rPr>
        <w:t>1</w:t>
      </w:r>
      <w:bookmarkEnd w:id="2244"/>
      <w:bookmarkEnd w:id="2245"/>
      <w:bookmarkEnd w:id="2255"/>
      <w:bookmarkEnd w:id="2256"/>
      <w:bookmarkEnd w:id="2257"/>
      <w:bookmarkStart w:id="2258" w:name="_Toc9092"/>
      <w:bookmarkStart w:id="2259" w:name="_Toc21479"/>
      <w:bookmarkStart w:id="2260" w:name="_Toc26639"/>
      <w:bookmarkStart w:id="2261" w:name="_Toc4020"/>
      <w:bookmarkStart w:id="2262" w:name="_Toc23709"/>
      <w:bookmarkStart w:id="2263" w:name="_Toc29706"/>
      <w:bookmarkStart w:id="2264" w:name="_Toc16391"/>
      <w:bookmarkStart w:id="2265" w:name="_Toc28263"/>
      <w:bookmarkStart w:id="2266" w:name="_Toc23510"/>
      <w:bookmarkStart w:id="2267" w:name="_Toc8385"/>
      <w:bookmarkStart w:id="2268" w:name="_Toc141763870"/>
      <w:bookmarkStart w:id="2269" w:name="_Toc392680761"/>
      <w:bookmarkStart w:id="2270" w:name="_Toc162236662"/>
      <w:bookmarkStart w:id="2271" w:name="_Toc9483"/>
      <w:bookmarkStart w:id="2272" w:name="_Toc14783"/>
      <w:bookmarkStart w:id="2273" w:name="_Toc24085"/>
      <w:bookmarkStart w:id="2274" w:name="_Toc2506"/>
      <w:r>
        <w:rPr>
          <w:rFonts w:hint="eastAsia"/>
          <w:color w:val="000000" w:themeColor="text1"/>
          <w14:textFill>
            <w14:solidFill>
              <w14:schemeClr w14:val="tx1"/>
            </w14:solidFill>
          </w14:textFill>
        </w:rPr>
        <w:t>用安全检查法分析露天采场子单元危险和有害因素。</w:t>
      </w:r>
    </w:p>
    <w:p w14:paraId="268206B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露天采场子单元</w:t>
      </w:r>
      <w:r>
        <w:rPr>
          <w:color w:val="000000" w:themeColor="text1"/>
          <w14:textFill>
            <w14:solidFill>
              <w14:schemeClr w14:val="tx1"/>
            </w14:solidFill>
          </w14:textFill>
        </w:rPr>
        <w:t>存在的主要危险有害因素</w:t>
      </w:r>
      <w:r>
        <w:rPr>
          <w:rFonts w:hint="eastAsia"/>
          <w:color w:val="000000" w:themeColor="text1"/>
          <w14:textFill>
            <w14:solidFill>
              <w14:schemeClr w14:val="tx1"/>
            </w14:solidFill>
          </w14:textFill>
        </w:rPr>
        <w:t>根据《生产过程危险和有害因素分类与代码》（GB/T13681-2022）对人造成伤亡，影响人的身体健康甚至导致疾病的因素可划分为：人的不安全行为、物的不安全状态以及环境因素、管理的缺陷。按事故发生的类别，可分为</w:t>
      </w:r>
      <w:r>
        <w:rPr>
          <w:color w:val="000000" w:themeColor="text1"/>
          <w14:textFill>
            <w14:solidFill>
              <w14:schemeClr w14:val="tx1"/>
            </w14:solidFill>
          </w14:textFill>
        </w:rPr>
        <w:t>：高处坠落、物体打击、机械伤害、</w:t>
      </w:r>
      <w:r>
        <w:rPr>
          <w:rFonts w:hint="eastAsia"/>
          <w:color w:val="000000" w:themeColor="text1"/>
          <w14:textFill>
            <w14:solidFill>
              <w14:schemeClr w14:val="tx1"/>
            </w14:solidFill>
          </w14:textFill>
        </w:rPr>
        <w:t>车辆伤害、</w:t>
      </w:r>
      <w:r>
        <w:rPr>
          <w:color w:val="000000" w:themeColor="text1"/>
          <w14:textFill>
            <w14:solidFill>
              <w14:schemeClr w14:val="tx1"/>
            </w14:solidFill>
          </w14:textFill>
        </w:rPr>
        <w:t>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高温、低温以及暴雨</w:t>
      </w:r>
      <w:r>
        <w:rPr>
          <w:rFonts w:hint="eastAsia"/>
          <w:color w:val="000000" w:themeColor="text1"/>
          <w14:textFill>
            <w14:solidFill>
              <w14:schemeClr w14:val="tx1"/>
            </w14:solidFill>
          </w14:textFill>
        </w:rPr>
        <w:t>、雷电</w:t>
      </w:r>
      <w:r>
        <w:rPr>
          <w:color w:val="000000" w:themeColor="text1"/>
          <w14:textFill>
            <w14:solidFill>
              <w14:schemeClr w14:val="tx1"/>
            </w14:solidFill>
          </w14:textFill>
        </w:rPr>
        <w:t>危害等</w:t>
      </w:r>
      <w:r>
        <w:rPr>
          <w:rFonts w:hint="eastAsia"/>
          <w:color w:val="000000" w:themeColor="text1"/>
          <w14:textFill>
            <w14:solidFill>
              <w14:schemeClr w14:val="tx1"/>
            </w14:solidFill>
          </w14:textFill>
        </w:rPr>
        <w:t>。</w:t>
      </w:r>
    </w:p>
    <w:p w14:paraId="65490E12">
      <w:pPr>
        <w:ind w:firstLine="560"/>
        <w:rPr>
          <w:color w:val="000000" w:themeColor="text1"/>
          <w14:textFill>
            <w14:solidFill>
              <w14:schemeClr w14:val="tx1"/>
            </w14:solidFill>
          </w14:textFill>
        </w:rPr>
      </w:pPr>
      <w:bookmarkStart w:id="2275" w:name="_Toc10193"/>
      <w:bookmarkStart w:id="2276" w:name="_Toc13727"/>
      <w:bookmarkStart w:id="2277" w:name="_Toc12287"/>
      <w:r>
        <w:rPr>
          <w:rFonts w:hint="eastAsia"/>
          <w:color w:val="000000" w:themeColor="text1"/>
          <w14:textFill>
            <w14:solidFill>
              <w14:schemeClr w14:val="tx1"/>
            </w14:solidFill>
          </w14:textFill>
        </w:rPr>
        <w:t>1、高处坠落</w:t>
      </w:r>
      <w:bookmarkEnd w:id="2275"/>
      <w:bookmarkEnd w:id="2276"/>
      <w:bookmarkEnd w:id="2277"/>
    </w:p>
    <w:p w14:paraId="3EADB616">
      <w:pPr>
        <w:ind w:firstLine="560"/>
        <w:rPr>
          <w:color w:val="000000" w:themeColor="text1"/>
          <w14:textFill>
            <w14:solidFill>
              <w14:schemeClr w14:val="tx1"/>
            </w14:solidFill>
          </w14:textFill>
        </w:rPr>
      </w:pPr>
      <w:r>
        <w:rPr>
          <w:color w:val="000000" w:themeColor="text1"/>
          <w14:textFill>
            <w14:solidFill>
              <w14:schemeClr w14:val="tx1"/>
            </w14:solidFill>
          </w14:textFill>
        </w:rPr>
        <w:t>高处坠落是指在高处作业中发生坠落造成的伤亡事故</w:t>
      </w:r>
      <w:r>
        <w:rPr>
          <w:rFonts w:hint="eastAsia"/>
          <w:color w:val="000000" w:themeColor="text1"/>
          <w14:textFill>
            <w14:solidFill>
              <w14:schemeClr w14:val="tx1"/>
            </w14:solidFill>
          </w14:textFill>
        </w:rPr>
        <w:t>。</w:t>
      </w:r>
    </w:p>
    <w:p w14:paraId="292F32E6">
      <w:pPr>
        <w:ind w:firstLine="560"/>
        <w:rPr>
          <w:color w:val="000000" w:themeColor="text1"/>
          <w14:textFill>
            <w14:solidFill>
              <w14:schemeClr w14:val="tx1"/>
            </w14:solidFill>
          </w14:textFill>
        </w:rPr>
      </w:pPr>
      <w:r>
        <w:rPr>
          <w:color w:val="000000" w:themeColor="text1"/>
          <w14:textFill>
            <w14:solidFill>
              <w14:schemeClr w14:val="tx1"/>
            </w14:solidFill>
          </w14:textFill>
        </w:rPr>
        <w:t>露天开采过程中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由于要在台阶上进行清理浮石、穿孔爆破作业等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在陡壁悬崖边作业时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人员、设备防护不好等均可能发生高处坠落伤亡事故</w:t>
      </w:r>
      <w:r>
        <w:rPr>
          <w:rFonts w:hint="eastAsia"/>
          <w:color w:val="000000" w:themeColor="text1"/>
          <w14:textFill>
            <w14:solidFill>
              <w14:schemeClr w14:val="tx1"/>
            </w14:solidFill>
          </w14:textFill>
        </w:rPr>
        <w:t>。</w:t>
      </w:r>
    </w:p>
    <w:p w14:paraId="12C07148">
      <w:pPr>
        <w:ind w:firstLine="560"/>
        <w:rPr>
          <w:color w:val="000000" w:themeColor="text1"/>
          <w14:textFill>
            <w14:solidFill>
              <w14:schemeClr w14:val="tx1"/>
            </w14:solidFill>
          </w14:textFill>
        </w:rPr>
      </w:pPr>
      <w:r>
        <w:rPr>
          <w:color w:val="000000" w:themeColor="text1"/>
          <w14:textFill>
            <w14:solidFill>
              <w14:schemeClr w14:val="tx1"/>
            </w14:solidFill>
          </w14:textFill>
        </w:rPr>
        <w:t>该项目高处坠落主要存在于边坡作业</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各类相对于坠落基准面2m及以上的作业平台等处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w:t>
      </w:r>
      <w:r>
        <w:rPr>
          <w:rFonts w:hint="eastAsia"/>
          <w:color w:val="000000" w:themeColor="text1"/>
          <w14:textFill>
            <w14:solidFill>
              <w14:schemeClr w14:val="tx1"/>
            </w14:solidFill>
          </w14:textFill>
        </w:rPr>
        <w:t>佩戴</w:t>
      </w:r>
      <w:r>
        <w:rPr>
          <w:color w:val="000000" w:themeColor="text1"/>
          <w14:textFill>
            <w14:solidFill>
              <w14:schemeClr w14:val="tx1"/>
            </w14:solidFill>
          </w14:textFill>
        </w:rPr>
        <w:t>安全带或设置安全网、护栏等防护设施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易发生高处坠落伤亡事故</w:t>
      </w:r>
      <w:r>
        <w:rPr>
          <w:rFonts w:hint="eastAsia"/>
          <w:color w:val="000000" w:themeColor="text1"/>
          <w14:textFill>
            <w14:solidFill>
              <w14:schemeClr w14:val="tx1"/>
            </w14:solidFill>
          </w14:textFill>
        </w:rPr>
        <w:t>。</w:t>
      </w:r>
    </w:p>
    <w:p w14:paraId="7BC694D2">
      <w:pPr>
        <w:ind w:firstLine="560"/>
        <w:rPr>
          <w:color w:val="000000" w:themeColor="text1"/>
          <w14:textFill>
            <w14:solidFill>
              <w14:schemeClr w14:val="tx1"/>
            </w14:solidFill>
          </w14:textFill>
        </w:rPr>
      </w:pPr>
      <w:r>
        <w:rPr>
          <w:color w:val="000000" w:themeColor="text1"/>
          <w14:textFill>
            <w14:solidFill>
              <w14:schemeClr w14:val="tx1"/>
            </w14:solidFill>
          </w14:textFill>
        </w:rPr>
        <w:t>造成高处坠落的主要因素有：</w:t>
      </w:r>
    </w:p>
    <w:p w14:paraId="0C4828F0">
      <w:pPr>
        <w:ind w:firstLine="560"/>
        <w:rPr>
          <w:color w:val="000000" w:themeColor="text1"/>
          <w14:textFill>
            <w14:solidFill>
              <w14:schemeClr w14:val="tx1"/>
            </w14:solidFill>
          </w14:textFill>
        </w:rPr>
      </w:pPr>
      <w:r>
        <w:rPr>
          <w:color w:val="000000" w:themeColor="text1"/>
          <w14:textFill>
            <w14:solidFill>
              <w14:schemeClr w14:val="tx1"/>
            </w14:solidFill>
          </w14:textFill>
        </w:rPr>
        <w:t>（1）在边坡上进行高处作业人员没有按要求使用安全带或安全绳、安全带未正确、牢靠固定即进行作业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由于失重、高温、大风或作业人员生理因素等导致作业人员坠落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而造成伤亡事故</w:t>
      </w:r>
      <w:r>
        <w:rPr>
          <w:rFonts w:hint="eastAsia"/>
          <w:color w:val="000000" w:themeColor="text1"/>
          <w14:textFill>
            <w14:solidFill>
              <w14:schemeClr w14:val="tx1"/>
            </w14:solidFill>
          </w14:textFill>
        </w:rPr>
        <w:t>；</w:t>
      </w:r>
    </w:p>
    <w:p w14:paraId="47574159">
      <w:pPr>
        <w:ind w:firstLine="560"/>
        <w:rPr>
          <w:color w:val="000000" w:themeColor="text1"/>
          <w14:textFill>
            <w14:solidFill>
              <w14:schemeClr w14:val="tx1"/>
            </w14:solidFill>
          </w14:textFill>
        </w:rPr>
      </w:pPr>
      <w:r>
        <w:rPr>
          <w:color w:val="000000" w:themeColor="text1"/>
          <w14:textFill>
            <w14:solidFill>
              <w14:schemeClr w14:val="tx1"/>
            </w14:solidFill>
          </w14:textFill>
        </w:rPr>
        <w:t>（2）因采场危险区域内、采场顶部等未设置安全警示标志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外来人员、牲畜进入采场上部危险区域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夜间作业未设置照明设施</w:t>
      </w:r>
      <w:r>
        <w:rPr>
          <w:rFonts w:hint="eastAsia"/>
          <w:color w:val="000000" w:themeColor="text1"/>
          <w14:textFill>
            <w14:solidFill>
              <w14:schemeClr w14:val="tx1"/>
            </w14:solidFill>
          </w14:textFill>
        </w:rPr>
        <w:t>；</w:t>
      </w:r>
    </w:p>
    <w:p w14:paraId="7972DC14">
      <w:pPr>
        <w:ind w:firstLine="560"/>
        <w:rPr>
          <w:color w:val="000000" w:themeColor="text1"/>
          <w14:textFill>
            <w14:solidFill>
              <w14:schemeClr w14:val="tx1"/>
            </w14:solidFill>
          </w14:textFill>
        </w:rPr>
      </w:pPr>
      <w:r>
        <w:rPr>
          <w:color w:val="000000" w:themeColor="text1"/>
          <w14:textFill>
            <w14:solidFill>
              <w14:schemeClr w14:val="tx1"/>
            </w14:solidFill>
          </w14:textFill>
        </w:rPr>
        <w:t>（3）人行坡度太陡</w:t>
      </w:r>
      <w:r>
        <w:rPr>
          <w:rFonts w:hint="eastAsia"/>
          <w:color w:val="000000" w:themeColor="text1"/>
          <w14:textFill>
            <w14:solidFill>
              <w14:schemeClr w14:val="tx1"/>
            </w14:solidFill>
          </w14:textFill>
        </w:rPr>
        <w:t>；</w:t>
      </w:r>
    </w:p>
    <w:p w14:paraId="4671E8EC">
      <w:pPr>
        <w:ind w:firstLine="560"/>
        <w:rPr>
          <w:color w:val="000000" w:themeColor="text1"/>
          <w14:textFill>
            <w14:solidFill>
              <w14:schemeClr w14:val="tx1"/>
            </w14:solidFill>
          </w14:textFill>
        </w:rPr>
      </w:pPr>
      <w:r>
        <w:rPr>
          <w:color w:val="000000" w:themeColor="text1"/>
          <w14:textFill>
            <w14:solidFill>
              <w14:schemeClr w14:val="tx1"/>
            </w14:solidFill>
          </w14:textFill>
        </w:rPr>
        <w:t>（4）高处作业未制定作业规程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现场安全管理不到位</w:t>
      </w:r>
      <w:r>
        <w:rPr>
          <w:rFonts w:hint="eastAsia"/>
          <w:color w:val="000000" w:themeColor="text1"/>
          <w14:textFill>
            <w14:solidFill>
              <w14:schemeClr w14:val="tx1"/>
            </w14:solidFill>
          </w14:textFill>
        </w:rPr>
        <w:t>；</w:t>
      </w:r>
    </w:p>
    <w:p w14:paraId="1B0170BD">
      <w:pPr>
        <w:ind w:firstLine="560"/>
        <w:rPr>
          <w:color w:val="000000" w:themeColor="text1"/>
          <w14:textFill>
            <w14:solidFill>
              <w14:schemeClr w14:val="tx1"/>
            </w14:solidFill>
          </w14:textFill>
        </w:rPr>
      </w:pPr>
      <w:r>
        <w:rPr>
          <w:color w:val="000000" w:themeColor="text1"/>
          <w14:textFill>
            <w14:solidFill>
              <w14:schemeClr w14:val="tx1"/>
            </w14:solidFill>
          </w14:textFill>
        </w:rPr>
        <w:t>（5）作业时安全防护设施损坏</w:t>
      </w:r>
      <w:r>
        <w:rPr>
          <w:rFonts w:hint="eastAsia"/>
          <w:color w:val="000000" w:themeColor="text1"/>
          <w14:textFill>
            <w14:solidFill>
              <w14:schemeClr w14:val="tx1"/>
            </w14:solidFill>
          </w14:textFill>
        </w:rPr>
        <w:t>；</w:t>
      </w:r>
    </w:p>
    <w:p w14:paraId="214ED5AF">
      <w:pPr>
        <w:ind w:firstLine="560"/>
        <w:rPr>
          <w:color w:val="000000" w:themeColor="text1"/>
          <w14:textFill>
            <w14:solidFill>
              <w14:schemeClr w14:val="tx1"/>
            </w14:solidFill>
          </w14:textFill>
        </w:rPr>
      </w:pPr>
      <w:r>
        <w:rPr>
          <w:color w:val="000000" w:themeColor="text1"/>
          <w14:textFill>
            <w14:solidFill>
              <w14:schemeClr w14:val="tx1"/>
            </w14:solidFill>
          </w14:textFill>
        </w:rPr>
        <w:t>（6）主观判断失误</w:t>
      </w:r>
      <w:r>
        <w:rPr>
          <w:rFonts w:hint="eastAsia"/>
          <w:color w:val="000000" w:themeColor="text1"/>
          <w14:textFill>
            <w14:solidFill>
              <w14:schemeClr w14:val="tx1"/>
            </w14:solidFill>
          </w14:textFill>
        </w:rPr>
        <w:t>；</w:t>
      </w:r>
    </w:p>
    <w:p w14:paraId="686857F0">
      <w:pPr>
        <w:ind w:firstLine="560"/>
        <w:rPr>
          <w:color w:val="000000" w:themeColor="text1"/>
          <w14:textFill>
            <w14:solidFill>
              <w14:schemeClr w14:val="tx1"/>
            </w14:solidFill>
          </w14:textFill>
        </w:rPr>
      </w:pPr>
      <w:r>
        <w:rPr>
          <w:color w:val="000000" w:themeColor="text1"/>
          <w14:textFill>
            <w14:solidFill>
              <w14:schemeClr w14:val="tx1"/>
            </w14:solidFill>
          </w14:textFill>
        </w:rPr>
        <w:t>（7）作业人员疏忽大意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疲劳过度</w:t>
      </w:r>
      <w:r>
        <w:rPr>
          <w:rFonts w:hint="eastAsia"/>
          <w:color w:val="000000" w:themeColor="text1"/>
          <w14:textFill>
            <w14:solidFill>
              <w14:schemeClr w14:val="tx1"/>
            </w14:solidFill>
          </w14:textFill>
        </w:rPr>
        <w:t>；</w:t>
      </w:r>
    </w:p>
    <w:p w14:paraId="06028954">
      <w:pPr>
        <w:ind w:firstLine="560"/>
        <w:rPr>
          <w:color w:val="000000" w:themeColor="text1"/>
          <w14:textFill>
            <w14:solidFill>
              <w14:schemeClr w14:val="tx1"/>
            </w14:solidFill>
          </w14:textFill>
        </w:rPr>
      </w:pPr>
      <w:r>
        <w:rPr>
          <w:color w:val="000000" w:themeColor="text1"/>
          <w14:textFill>
            <w14:solidFill>
              <w14:schemeClr w14:val="tx1"/>
            </w14:solidFill>
          </w14:textFill>
        </w:rPr>
        <w:t>（8）高处作业时无人监护</w:t>
      </w:r>
      <w:r>
        <w:rPr>
          <w:rFonts w:hint="eastAsia"/>
          <w:color w:val="000000" w:themeColor="text1"/>
          <w14:textFill>
            <w14:solidFill>
              <w14:schemeClr w14:val="tx1"/>
            </w14:solidFill>
          </w14:textFill>
        </w:rPr>
        <w:t>。</w:t>
      </w:r>
    </w:p>
    <w:p w14:paraId="2A5B07A6">
      <w:pPr>
        <w:ind w:firstLine="560"/>
        <w:rPr>
          <w:color w:val="000000" w:themeColor="text1"/>
          <w14:textFill>
            <w14:solidFill>
              <w14:schemeClr w14:val="tx1"/>
            </w14:solidFill>
          </w14:textFill>
        </w:rPr>
      </w:pPr>
      <w:r>
        <w:rPr>
          <w:color w:val="000000" w:themeColor="text1"/>
          <w14:textFill>
            <w14:solidFill>
              <w14:schemeClr w14:val="tx1"/>
            </w14:solidFill>
          </w14:textFill>
        </w:rPr>
        <w:t>（9）高于2m的操作平台未设置防护栏或无警示标志</w:t>
      </w:r>
      <w:r>
        <w:rPr>
          <w:rFonts w:hint="eastAsia"/>
          <w:color w:val="000000" w:themeColor="text1"/>
          <w14:textFill>
            <w14:solidFill>
              <w14:schemeClr w14:val="tx1"/>
            </w14:solidFill>
          </w14:textFill>
        </w:rPr>
        <w:t>。</w:t>
      </w:r>
    </w:p>
    <w:p w14:paraId="014144A0">
      <w:pPr>
        <w:ind w:firstLine="560"/>
        <w:rPr>
          <w:color w:val="000000" w:themeColor="text1"/>
          <w14:textFill>
            <w14:solidFill>
              <w14:schemeClr w14:val="tx1"/>
            </w14:solidFill>
          </w14:textFill>
        </w:rPr>
      </w:pPr>
      <w:r>
        <w:rPr>
          <w:color w:val="000000" w:themeColor="text1"/>
          <w14:textFill>
            <w14:solidFill>
              <w14:schemeClr w14:val="tx1"/>
            </w14:solidFill>
          </w14:textFill>
        </w:rPr>
        <w:t>整个采剥作业地点属于高差大于2m的作业场所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另外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清理浮石也需登高作业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一旦发生意外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就有可能发生坠落或跌落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造成安全事故</w:t>
      </w:r>
      <w:r>
        <w:rPr>
          <w:rFonts w:hint="eastAsia"/>
          <w:color w:val="000000" w:themeColor="text1"/>
          <w14:textFill>
            <w14:solidFill>
              <w14:schemeClr w14:val="tx1"/>
            </w14:solidFill>
          </w14:textFill>
        </w:rPr>
        <w:t>；</w:t>
      </w:r>
    </w:p>
    <w:p w14:paraId="3FF24F05">
      <w:pPr>
        <w:ind w:firstLine="560"/>
        <w:rPr>
          <w:color w:val="000000" w:themeColor="text1"/>
          <w14:textFill>
            <w14:solidFill>
              <w14:schemeClr w14:val="tx1"/>
            </w14:solidFill>
          </w14:textFill>
        </w:rPr>
      </w:pPr>
      <w:r>
        <w:rPr>
          <w:color w:val="000000" w:themeColor="text1"/>
          <w14:textFill>
            <w14:solidFill>
              <w14:schemeClr w14:val="tx1"/>
            </w14:solidFill>
          </w14:textFill>
        </w:rPr>
        <w:t>本项目可能发生高处坠落的部位：采场边坡、铲装作业平台及运输公路、破碎站及高于地面2m以上的作业面</w:t>
      </w:r>
      <w:r>
        <w:rPr>
          <w:rFonts w:hint="eastAsia"/>
          <w:color w:val="000000" w:themeColor="text1"/>
          <w14:textFill>
            <w14:solidFill>
              <w14:schemeClr w14:val="tx1"/>
            </w14:solidFill>
          </w14:textFill>
        </w:rPr>
        <w:t>。</w:t>
      </w:r>
    </w:p>
    <w:p w14:paraId="4DCE42B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2、物体打击</w:t>
      </w:r>
    </w:p>
    <w:p w14:paraId="7CE1575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针对矿山设计的台阶高度15m，其发生物体打击事故的原因有：</w:t>
      </w:r>
    </w:p>
    <w:p w14:paraId="6BE18D88">
      <w:pPr>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（1）台阶</w:t>
      </w:r>
      <w:r>
        <w:rPr>
          <w:rFonts w:hint="eastAsia"/>
          <w:color w:val="000000" w:themeColor="text1"/>
          <w:lang w:val="zh-CN"/>
          <w14:textFill>
            <w14:solidFill>
              <w14:schemeClr w14:val="tx1"/>
            </w14:solidFill>
          </w14:textFill>
        </w:rPr>
        <w:t>边坡浮石清理不及时、排浮不净或排浮不按规程操作，</w:t>
      </w:r>
      <w:r>
        <w:rPr>
          <w:rFonts w:hint="eastAsia"/>
          <w:color w:val="000000" w:themeColor="text1"/>
          <w14:textFill>
            <w14:solidFill>
              <w14:schemeClr w14:val="tx1"/>
            </w14:solidFill>
          </w14:textFill>
        </w:rPr>
        <w:t>矿岩掉落</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发生物体打击事故</w:t>
      </w:r>
      <w:r>
        <w:rPr>
          <w:rFonts w:hint="eastAsia"/>
          <w:color w:val="000000" w:themeColor="text1"/>
          <w:lang w:val="zh-CN"/>
          <w14:textFill>
            <w14:solidFill>
              <w14:schemeClr w14:val="tx1"/>
            </w14:solidFill>
          </w14:textFill>
        </w:rPr>
        <w:t>。</w:t>
      </w:r>
    </w:p>
    <w:p w14:paraId="46FF994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（2）挖掘机在采剥过程中，未严格按操作规程操作，周围环境观察不清，操作失误，导致矿岩掉落，易发生物体打击事故。</w:t>
      </w:r>
    </w:p>
    <w:p w14:paraId="56A766BF">
      <w:pPr>
        <w:ind w:firstLine="560"/>
        <w:rPr>
          <w:color w:val="000000" w:themeColor="text1"/>
          <w14:textFill>
            <w14:solidFill>
              <w14:schemeClr w14:val="tx1"/>
            </w14:solidFill>
          </w14:textFill>
        </w:rPr>
      </w:pPr>
      <w:bookmarkStart w:id="2278" w:name="_Toc2000"/>
      <w:bookmarkStart w:id="2279" w:name="_Toc2059"/>
      <w:bookmarkStart w:id="2280" w:name="_Toc28937"/>
      <w:r>
        <w:rPr>
          <w:rFonts w:hint="eastAsia"/>
          <w:color w:val="000000" w:themeColor="text1"/>
          <w14:textFill>
            <w14:solidFill>
              <w14:schemeClr w14:val="tx1"/>
            </w14:solidFill>
          </w14:textFill>
        </w:rPr>
        <w:t>（3）作业人员未按要求佩戴劳动防护用品，易发生物体打击事故。</w:t>
      </w:r>
      <w:bookmarkEnd w:id="2278"/>
      <w:bookmarkEnd w:id="2279"/>
      <w:bookmarkEnd w:id="2280"/>
    </w:p>
    <w:p w14:paraId="6F1D8B32">
      <w:pPr>
        <w:ind w:firstLine="560"/>
        <w:rPr>
          <w:color w:val="000000" w:themeColor="text1"/>
          <w14:textFill>
            <w14:solidFill>
              <w14:schemeClr w14:val="tx1"/>
            </w14:solidFill>
          </w14:textFill>
        </w:rPr>
      </w:pPr>
      <w:bookmarkStart w:id="2281" w:name="_Toc18644"/>
      <w:bookmarkStart w:id="2282" w:name="_Toc30183"/>
      <w:bookmarkStart w:id="2283" w:name="_Toc14494"/>
      <w:r>
        <w:rPr>
          <w:rFonts w:hint="eastAsia"/>
          <w:color w:val="000000" w:themeColor="text1"/>
          <w14:textFill>
            <w14:solidFill>
              <w14:schemeClr w14:val="tx1"/>
            </w14:solidFill>
          </w14:textFill>
        </w:rPr>
        <w:t>3、</w:t>
      </w:r>
      <w:r>
        <w:rPr>
          <w:color w:val="000000" w:themeColor="text1"/>
          <w14:textFill>
            <w14:solidFill>
              <w14:schemeClr w14:val="tx1"/>
            </w14:solidFill>
          </w14:textFill>
        </w:rPr>
        <w:t>机械伤害</w:t>
      </w:r>
    </w:p>
    <w:p w14:paraId="5B71E6E3">
      <w:pPr>
        <w:ind w:firstLine="560"/>
        <w:rPr>
          <w:color w:val="000000" w:themeColor="text1"/>
          <w14:textFill>
            <w14:solidFill>
              <w14:schemeClr w14:val="tx1"/>
            </w14:solidFill>
          </w14:textFill>
        </w:rPr>
      </w:pPr>
      <w:r>
        <w:rPr>
          <w:color w:val="000000" w:themeColor="text1"/>
          <w14:textFill>
            <w14:solidFill>
              <w14:schemeClr w14:val="tx1"/>
            </w14:solidFill>
          </w14:textFill>
        </w:rPr>
        <w:t>机械伤害是指机械设备运动（静止）部件、工具、加工件直接与人体接触引起的夹击、碰撞、剪切、卷入、绞、碾、割、刺等伤害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不包括车辆引起的机械伤害</w:t>
      </w:r>
      <w:r>
        <w:rPr>
          <w:rFonts w:hint="eastAsia"/>
          <w:color w:val="000000" w:themeColor="text1"/>
          <w14:textFill>
            <w14:solidFill>
              <w14:schemeClr w14:val="tx1"/>
            </w14:solidFill>
          </w14:textFill>
        </w:rPr>
        <w:t>。</w:t>
      </w:r>
    </w:p>
    <w:p w14:paraId="3BB377B2">
      <w:pPr>
        <w:ind w:firstLine="560"/>
        <w:rPr>
          <w:color w:val="000000" w:themeColor="text1"/>
          <w14:textFill>
            <w14:solidFill>
              <w14:schemeClr w14:val="tx1"/>
            </w14:solidFill>
          </w14:textFill>
        </w:rPr>
      </w:pPr>
      <w:r>
        <w:rPr>
          <w:color w:val="000000" w:themeColor="text1"/>
          <w14:textFill>
            <w14:solidFill>
              <w14:schemeClr w14:val="tx1"/>
            </w14:solidFill>
          </w14:textFill>
        </w:rPr>
        <w:t>矿山造成的机械伤害事故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主要是由于人的违章指挥、违章操作造成的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常见的因素有：</w:t>
      </w:r>
    </w:p>
    <w:p w14:paraId="6F03AA59">
      <w:pPr>
        <w:ind w:firstLine="56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佩</w:t>
      </w:r>
      <w:r>
        <w:rPr>
          <w:color w:val="000000" w:themeColor="text1"/>
          <w14:textFill>
            <w14:solidFill>
              <w14:schemeClr w14:val="tx1"/>
            </w14:solidFill>
          </w14:textFill>
        </w:rPr>
        <w:t>戴不符合安全规定的服</w:t>
      </w:r>
      <w:r>
        <w:rPr>
          <w:rFonts w:hint="eastAsia"/>
          <w:color w:val="000000" w:themeColor="text1"/>
          <w14:textFill>
            <w14:solidFill>
              <w14:schemeClr w14:val="tx1"/>
            </w14:solidFill>
          </w14:textFill>
        </w:rPr>
        <w:t>饰；</w:t>
      </w:r>
    </w:p>
    <w:p w14:paraId="7AAB0B7E">
      <w:pPr>
        <w:ind w:firstLine="560"/>
        <w:rPr>
          <w:color w:val="000000" w:themeColor="text1"/>
          <w14:textFill>
            <w14:solidFill>
              <w14:schemeClr w14:val="tx1"/>
            </w14:solidFill>
          </w14:textFill>
        </w:rPr>
      </w:pPr>
      <w:r>
        <w:rPr>
          <w:color w:val="000000" w:themeColor="text1"/>
          <w14:textFill>
            <w14:solidFill>
              <w14:schemeClr w14:val="tx1"/>
            </w14:solidFill>
          </w14:textFill>
        </w:rPr>
        <w:t>（2）违章操作</w:t>
      </w:r>
      <w:r>
        <w:rPr>
          <w:rFonts w:hint="eastAsia"/>
          <w:color w:val="000000" w:themeColor="text1"/>
          <w14:textFill>
            <w14:solidFill>
              <w14:schemeClr w14:val="tx1"/>
            </w14:solidFill>
          </w14:textFill>
        </w:rPr>
        <w:t>；</w:t>
      </w:r>
    </w:p>
    <w:p w14:paraId="0EE4E806">
      <w:pPr>
        <w:ind w:firstLine="560"/>
        <w:rPr>
          <w:color w:val="000000" w:themeColor="text1"/>
          <w14:textFill>
            <w14:solidFill>
              <w14:schemeClr w14:val="tx1"/>
            </w14:solidFill>
          </w14:textFill>
        </w:rPr>
      </w:pPr>
      <w:r>
        <w:rPr>
          <w:color w:val="000000" w:themeColor="text1"/>
          <w14:textFill>
            <w14:solidFill>
              <w14:schemeClr w14:val="tx1"/>
            </w14:solidFill>
          </w14:textFill>
        </w:rPr>
        <w:t>（3）机械设备安全防护装置缺乏、被拆除或损坏等</w:t>
      </w:r>
      <w:r>
        <w:rPr>
          <w:rFonts w:hint="eastAsia"/>
          <w:color w:val="000000" w:themeColor="text1"/>
          <w14:textFill>
            <w14:solidFill>
              <w14:schemeClr w14:val="tx1"/>
            </w14:solidFill>
          </w14:textFill>
        </w:rPr>
        <w:t>；</w:t>
      </w:r>
    </w:p>
    <w:p w14:paraId="7EA5DC68">
      <w:pPr>
        <w:ind w:firstLine="560"/>
        <w:rPr>
          <w:color w:val="000000" w:themeColor="text1"/>
          <w14:textFill>
            <w14:solidFill>
              <w14:schemeClr w14:val="tx1"/>
            </w14:solidFill>
          </w14:textFill>
        </w:rPr>
      </w:pPr>
      <w:r>
        <w:rPr>
          <w:color w:val="000000" w:themeColor="text1"/>
          <w14:textFill>
            <w14:solidFill>
              <w14:schemeClr w14:val="tx1"/>
            </w14:solidFill>
          </w14:textFill>
        </w:rPr>
        <w:t>（4）操作过程中衣物、头发、工具进入运转机械导致身体被运动机械拖带伤害</w:t>
      </w:r>
      <w:r>
        <w:rPr>
          <w:rFonts w:hint="eastAsia"/>
          <w:color w:val="000000" w:themeColor="text1"/>
          <w14:textFill>
            <w14:solidFill>
              <w14:schemeClr w14:val="tx1"/>
            </w14:solidFill>
          </w14:textFill>
        </w:rPr>
        <w:t>；</w:t>
      </w:r>
    </w:p>
    <w:p w14:paraId="3C0584C2">
      <w:pPr>
        <w:ind w:firstLine="560"/>
        <w:rPr>
          <w:color w:val="000000" w:themeColor="text1"/>
          <w14:textFill>
            <w14:solidFill>
              <w14:schemeClr w14:val="tx1"/>
            </w14:solidFill>
          </w14:textFill>
        </w:rPr>
      </w:pPr>
      <w:r>
        <w:rPr>
          <w:color w:val="000000" w:themeColor="text1"/>
          <w14:textFill>
            <w14:solidFill>
              <w14:schemeClr w14:val="tx1"/>
            </w14:solidFill>
          </w14:textFill>
        </w:rPr>
        <w:t>（5）操作人员疏忽大意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身体进入机械危险部位</w:t>
      </w:r>
      <w:r>
        <w:rPr>
          <w:rFonts w:hint="eastAsia"/>
          <w:color w:val="000000" w:themeColor="text1"/>
          <w14:textFill>
            <w14:solidFill>
              <w14:schemeClr w14:val="tx1"/>
            </w14:solidFill>
          </w14:textFill>
        </w:rPr>
        <w:t>；</w:t>
      </w:r>
    </w:p>
    <w:p w14:paraId="3AC2CD6F">
      <w:pPr>
        <w:ind w:firstLine="560"/>
        <w:rPr>
          <w:color w:val="000000" w:themeColor="text1"/>
          <w14:textFill>
            <w14:solidFill>
              <w14:schemeClr w14:val="tx1"/>
            </w14:solidFill>
          </w14:textFill>
        </w:rPr>
      </w:pPr>
      <w:r>
        <w:rPr>
          <w:color w:val="000000" w:themeColor="text1"/>
          <w14:textFill>
            <w14:solidFill>
              <w14:schemeClr w14:val="tx1"/>
            </w14:solidFill>
          </w14:textFill>
        </w:rPr>
        <w:t>（6）在检修和正常工作时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机器突然被别人随意启动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导致事故发生</w:t>
      </w:r>
      <w:r>
        <w:rPr>
          <w:rFonts w:hint="eastAsia"/>
          <w:color w:val="000000" w:themeColor="text1"/>
          <w14:textFill>
            <w14:solidFill>
              <w14:schemeClr w14:val="tx1"/>
            </w14:solidFill>
          </w14:textFill>
        </w:rPr>
        <w:t>；</w:t>
      </w:r>
    </w:p>
    <w:p w14:paraId="5E4FF5B0">
      <w:pPr>
        <w:ind w:firstLine="560"/>
        <w:rPr>
          <w:color w:val="000000" w:themeColor="text1"/>
          <w14:textFill>
            <w14:solidFill>
              <w14:schemeClr w14:val="tx1"/>
            </w14:solidFill>
          </w14:textFill>
        </w:rPr>
      </w:pPr>
      <w:r>
        <w:rPr>
          <w:color w:val="000000" w:themeColor="text1"/>
          <w14:textFill>
            <w14:solidFill>
              <w14:schemeClr w14:val="tx1"/>
            </w14:solidFill>
          </w14:textFill>
        </w:rPr>
        <w:t>（7）在不安全的机械上停留、休息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导致事故发生</w:t>
      </w:r>
      <w:r>
        <w:rPr>
          <w:rFonts w:hint="eastAsia"/>
          <w:color w:val="000000" w:themeColor="text1"/>
          <w14:textFill>
            <w14:solidFill>
              <w14:schemeClr w14:val="tx1"/>
            </w14:solidFill>
          </w14:textFill>
        </w:rPr>
        <w:t>；</w:t>
      </w:r>
    </w:p>
    <w:p w14:paraId="3C913D06">
      <w:pPr>
        <w:ind w:firstLine="560"/>
        <w:rPr>
          <w:color w:val="000000" w:themeColor="text1"/>
          <w14:textFill>
            <w14:solidFill>
              <w14:schemeClr w14:val="tx1"/>
            </w14:solidFill>
          </w14:textFill>
        </w:rPr>
      </w:pPr>
      <w:r>
        <w:rPr>
          <w:color w:val="000000" w:themeColor="text1"/>
          <w14:textFill>
            <w14:solidFill>
              <w14:schemeClr w14:val="tx1"/>
            </w14:solidFill>
          </w14:textFill>
        </w:rPr>
        <w:t>（8）凿岩机砸、夹、挤伤人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断钎伤人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钻架倾倒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风、水管摆动或飞出伤人等</w:t>
      </w:r>
      <w:r>
        <w:rPr>
          <w:rFonts w:hint="eastAsia"/>
          <w:color w:val="000000" w:themeColor="text1"/>
          <w14:textFill>
            <w14:solidFill>
              <w14:schemeClr w14:val="tx1"/>
            </w14:solidFill>
          </w14:textFill>
        </w:rPr>
        <w:t>；</w:t>
      </w:r>
    </w:p>
    <w:p w14:paraId="2ADEF216">
      <w:pPr>
        <w:ind w:firstLine="560"/>
        <w:rPr>
          <w:color w:val="000000" w:themeColor="text1"/>
          <w14:textFill>
            <w14:solidFill>
              <w14:schemeClr w14:val="tx1"/>
            </w14:solidFill>
          </w14:textFill>
        </w:rPr>
      </w:pPr>
      <w:r>
        <w:rPr>
          <w:color w:val="000000" w:themeColor="text1"/>
          <w14:textFill>
            <w14:solidFill>
              <w14:schemeClr w14:val="tx1"/>
            </w14:solidFill>
          </w14:textFill>
        </w:rPr>
        <w:t>（9）设备设施设计、选型不合理或安装存在缺陷</w:t>
      </w:r>
      <w:r>
        <w:rPr>
          <w:rFonts w:hint="eastAsia"/>
          <w:color w:val="000000" w:themeColor="text1"/>
          <w14:textFill>
            <w14:solidFill>
              <w14:schemeClr w14:val="tx1"/>
            </w14:solidFill>
          </w14:textFill>
        </w:rPr>
        <w:t>；</w:t>
      </w:r>
    </w:p>
    <w:p w14:paraId="45FA06D7">
      <w:pPr>
        <w:ind w:firstLine="560"/>
        <w:rPr>
          <w:color w:val="000000" w:themeColor="text1"/>
          <w14:textFill>
            <w14:solidFill>
              <w14:schemeClr w14:val="tx1"/>
            </w14:solidFill>
          </w14:textFill>
        </w:rPr>
      </w:pPr>
      <w:r>
        <w:rPr>
          <w:color w:val="000000" w:themeColor="text1"/>
          <w14:textFill>
            <w14:solidFill>
              <w14:schemeClr w14:val="tx1"/>
            </w14:solidFill>
          </w14:textFill>
        </w:rPr>
        <w:t>（10）设备设施没有按规定进行维护或特种设备没有定期检测检验</w:t>
      </w:r>
      <w:r>
        <w:rPr>
          <w:rFonts w:hint="eastAsia"/>
          <w:color w:val="000000" w:themeColor="text1"/>
          <w14:textFill>
            <w14:solidFill>
              <w14:schemeClr w14:val="tx1"/>
            </w14:solidFill>
          </w14:textFill>
        </w:rPr>
        <w:t>；</w:t>
      </w:r>
    </w:p>
    <w:p w14:paraId="23E53F92">
      <w:pPr>
        <w:ind w:firstLine="560"/>
        <w:rPr>
          <w:color w:val="000000" w:themeColor="text1"/>
          <w14:textFill>
            <w14:solidFill>
              <w14:schemeClr w14:val="tx1"/>
            </w14:solidFill>
          </w14:textFill>
        </w:rPr>
      </w:pPr>
      <w:r>
        <w:rPr>
          <w:color w:val="000000" w:themeColor="text1"/>
          <w14:textFill>
            <w14:solidFill>
              <w14:schemeClr w14:val="tx1"/>
            </w14:solidFill>
          </w14:textFill>
        </w:rPr>
        <w:t>（11）安全管理上存在不足</w:t>
      </w:r>
      <w:r>
        <w:rPr>
          <w:rFonts w:hint="eastAsia"/>
          <w:color w:val="000000" w:themeColor="text1"/>
          <w14:textFill>
            <w14:solidFill>
              <w14:schemeClr w14:val="tx1"/>
            </w14:solidFill>
          </w14:textFill>
        </w:rPr>
        <w:t>。</w:t>
      </w:r>
    </w:p>
    <w:p w14:paraId="2CC4993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潜孔钻机、空压机</w:t>
      </w:r>
      <w:r>
        <w:rPr>
          <w:rFonts w:hint="eastAsia"/>
          <w:color w:val="000000" w:themeColor="text1"/>
          <w14:textFill>
            <w14:solidFill>
              <w14:schemeClr w14:val="tx1"/>
            </w14:solidFill>
          </w14:textFill>
        </w:rPr>
        <w:t>及其他</w:t>
      </w:r>
      <w:r>
        <w:rPr>
          <w:color w:val="000000" w:themeColor="text1"/>
          <w14:textFill>
            <w14:solidFill>
              <w14:schemeClr w14:val="tx1"/>
            </w14:solidFill>
          </w14:textFill>
        </w:rPr>
        <w:t>机械设备在使用和检修过程中</w:t>
      </w:r>
      <w:r>
        <w:rPr>
          <w:rFonts w:hint="eastAsia"/>
          <w:color w:val="000000" w:themeColor="text1"/>
          <w14:textFill>
            <w14:solidFill>
              <w14:schemeClr w14:val="tx1"/>
            </w14:solidFill>
          </w14:textFill>
        </w:rPr>
        <w:t>发生</w:t>
      </w:r>
      <w:r>
        <w:rPr>
          <w:color w:val="000000" w:themeColor="text1"/>
          <w14:textFill>
            <w14:solidFill>
              <w14:schemeClr w14:val="tx1"/>
            </w14:solidFill>
          </w14:textFill>
        </w:rPr>
        <w:t>机械伤害</w:t>
      </w:r>
      <w:r>
        <w:rPr>
          <w:rFonts w:hint="eastAsia"/>
          <w:color w:val="000000" w:themeColor="text1"/>
          <w14:textFill>
            <w14:solidFill>
              <w14:schemeClr w14:val="tx1"/>
            </w14:solidFill>
          </w14:textFill>
        </w:rPr>
        <w:t>。</w:t>
      </w:r>
    </w:p>
    <w:p w14:paraId="0D375A6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4、车辆伤害</w:t>
      </w:r>
      <w:bookmarkEnd w:id="2281"/>
      <w:bookmarkEnd w:id="2282"/>
      <w:bookmarkEnd w:id="2283"/>
    </w:p>
    <w:p w14:paraId="1F94FA51">
      <w:pPr>
        <w:ind w:firstLine="560"/>
        <w:rPr>
          <w:color w:val="000000" w:themeColor="text1"/>
          <w14:textFill>
            <w14:solidFill>
              <w14:schemeClr w14:val="tx1"/>
            </w14:solidFill>
          </w14:textFill>
        </w:rPr>
      </w:pPr>
      <w:r>
        <w:rPr>
          <w:color w:val="000000" w:themeColor="text1"/>
          <w14:textFill>
            <w14:solidFill>
              <w14:schemeClr w14:val="tx1"/>
            </w14:solidFill>
          </w14:textFill>
        </w:rPr>
        <w:t>车辆伤害是指</w:t>
      </w:r>
      <w:r>
        <w:rPr>
          <w:rFonts w:hint="eastAsia"/>
          <w:color w:val="000000" w:themeColor="text1"/>
          <w14:textFill>
            <w14:solidFill>
              <w14:schemeClr w14:val="tx1"/>
            </w14:solidFill>
          </w14:textFill>
        </w:rPr>
        <w:t>矿山</w:t>
      </w:r>
      <w:r>
        <w:rPr>
          <w:color w:val="000000" w:themeColor="text1"/>
          <w14:textFill>
            <w14:solidFill>
              <w14:schemeClr w14:val="tx1"/>
            </w14:solidFill>
          </w14:textFill>
        </w:rPr>
        <w:t>机动车辆在行驶中引起的人体坠落和物体倒塌、下落、挤压伤亡事故</w:t>
      </w:r>
      <w:r>
        <w:rPr>
          <w:rFonts w:hint="eastAsia"/>
          <w:color w:val="000000" w:themeColor="text1"/>
          <w14:textFill>
            <w14:solidFill>
              <w14:schemeClr w14:val="tx1"/>
            </w14:solidFill>
          </w14:textFill>
        </w:rPr>
        <w:t>。</w:t>
      </w:r>
    </w:p>
    <w:p w14:paraId="3153AC6D">
      <w:pPr>
        <w:ind w:firstLine="560"/>
        <w:rPr>
          <w:color w:val="000000" w:themeColor="text1"/>
          <w14:textFill>
            <w14:solidFill>
              <w14:schemeClr w14:val="tx1"/>
            </w14:solidFill>
          </w14:textFill>
        </w:rPr>
      </w:pPr>
      <w:r>
        <w:rPr>
          <w:color w:val="000000" w:themeColor="text1"/>
          <w14:textFill>
            <w14:solidFill>
              <w14:schemeClr w14:val="tx1"/>
            </w14:solidFill>
          </w14:textFill>
        </w:rPr>
        <w:t>采场内运输、装载设备有故障、操作失误或指挥不当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有造成车辆伤害的危险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矿山使用汽车进行运输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由于驾驶员违章驾驶等造成车辆伤害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车辆伤害包括</w:t>
      </w:r>
      <w:r>
        <w:rPr>
          <w:rFonts w:hint="eastAsia"/>
          <w:color w:val="000000" w:themeColor="text1"/>
          <w14:textFill>
            <w14:solidFill>
              <w14:schemeClr w14:val="tx1"/>
            </w14:solidFill>
          </w14:textFill>
        </w:rPr>
        <w:t>运输</w:t>
      </w:r>
      <w:r>
        <w:rPr>
          <w:color w:val="000000" w:themeColor="text1"/>
          <w14:textFill>
            <w14:solidFill>
              <w14:schemeClr w14:val="tx1"/>
            </w14:solidFill>
          </w14:textFill>
        </w:rPr>
        <w:t>汽车、装载机、挖掘机等车辆的伤害</w:t>
      </w:r>
      <w:r>
        <w:rPr>
          <w:rFonts w:hint="eastAsia"/>
          <w:color w:val="000000" w:themeColor="text1"/>
          <w14:textFill>
            <w14:solidFill>
              <w14:schemeClr w14:val="tx1"/>
            </w14:solidFill>
          </w14:textFill>
        </w:rPr>
        <w:t>。</w:t>
      </w:r>
    </w:p>
    <w:p w14:paraId="720A918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运输车辆、挖掘机、潜孔钻、推土机等在行驶过程中，由于道路坡陡弯急，若行车速度快、车辆故障、制动失灵、信号标志缺失、运输线路及路面设计不合理、道路局部坍塌、下沉、路况质量差、狭窄、路不平等，易发生翻车、撞坏设备和撞伤人员等车辆伤害事故。</w:t>
      </w:r>
    </w:p>
    <w:p w14:paraId="1A7D261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（2）运输车辆、挖掘机、推土机等本身缺陷，维护保养不到位，易发生车辆伤害事故。</w:t>
      </w:r>
    </w:p>
    <w:p w14:paraId="4E2BB9A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（3）操作人员未按规程操作或违规操作，超载运输，疏忽大意，易发生车辆伤害事故。</w:t>
      </w:r>
    </w:p>
    <w:p w14:paraId="7E7DAEA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（4）疲劳驾驶、酒后驾驶、无证驾驶、人货混装驾驶等违章作业。</w:t>
      </w:r>
    </w:p>
    <w:p w14:paraId="36A13F7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（5）雨天及下雪天未采取防滑措施导致车辆伤害事故。</w:t>
      </w:r>
    </w:p>
    <w:p w14:paraId="630C7E2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（6）台阶运输道路宽度不足、采场台阶作业平台宽度不够，平台边沿岩土松散、不稳固，运输车辆、挖掘机、推土机等设备沿平台边缘行驶作业，易发生设备倾翻、坠落，导致人员伤害、设备损坏。</w:t>
      </w:r>
    </w:p>
    <w:p w14:paraId="714FF09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（7）自卸汽车在运行过程中，因道路凹凸不平，导致汽车倾斜，矿岩</w:t>
      </w:r>
      <w:r>
        <w:rPr>
          <w:rFonts w:hint="eastAsia"/>
          <w:color w:val="000000" w:themeColor="text1"/>
          <w:lang w:val="zh-CN"/>
          <w14:textFill>
            <w14:solidFill>
              <w14:schemeClr w14:val="tx1"/>
            </w14:solidFill>
          </w14:textFill>
        </w:rPr>
        <w:t>坠落，</w:t>
      </w:r>
      <w:r>
        <w:rPr>
          <w:rFonts w:hint="eastAsia"/>
          <w:color w:val="000000" w:themeColor="text1"/>
          <w14:textFill>
            <w14:solidFill>
              <w14:schemeClr w14:val="tx1"/>
            </w14:solidFill>
          </w14:textFill>
        </w:rPr>
        <w:t>发生车辆伤害事故。</w:t>
      </w:r>
    </w:p>
    <w:p w14:paraId="22CE801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（8）采场运输道路未设置安全车挡、安全避险车道、警示标志等，车辆故障等原因冲出道路，发生车辆伤害事故。</w:t>
      </w:r>
    </w:p>
    <w:p w14:paraId="6714D01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（9）挖掘机、运输车辆、推土机等在台阶临边作业时，无人指挥，可能发生车辆坠落事故。</w:t>
      </w:r>
    </w:p>
    <w:p w14:paraId="247FE51D">
      <w:pPr>
        <w:ind w:firstLine="560"/>
        <w:rPr>
          <w:color w:val="000000" w:themeColor="text1"/>
          <w14:textFill>
            <w14:solidFill>
              <w14:schemeClr w14:val="tx1"/>
            </w14:solidFill>
          </w14:textFill>
        </w:rPr>
      </w:pPr>
      <w:r>
        <w:rPr>
          <w:color w:val="000000" w:themeColor="text1"/>
          <w14:textFill>
            <w14:solidFill>
              <w14:schemeClr w14:val="tx1"/>
            </w14:solidFill>
          </w14:textFill>
        </w:rPr>
        <w:t>本项目可能发生车辆伤害的部位：</w:t>
      </w:r>
      <w:r>
        <w:rPr>
          <w:rFonts w:hint="eastAsia"/>
          <w:color w:val="000000" w:themeColor="text1"/>
          <w14:textFill>
            <w14:solidFill>
              <w14:schemeClr w14:val="tx1"/>
            </w14:solidFill>
          </w14:textFill>
        </w:rPr>
        <w:t>采矿作业</w:t>
      </w:r>
      <w:r>
        <w:rPr>
          <w:color w:val="000000" w:themeColor="text1"/>
          <w14:textFill>
            <w14:solidFill>
              <w14:schemeClr w14:val="tx1"/>
            </w14:solidFill>
          </w14:textFill>
        </w:rPr>
        <w:t>过程中的各种车辆设备、铲装作业平台及矿山</w:t>
      </w:r>
      <w:r>
        <w:rPr>
          <w:rFonts w:hint="eastAsia"/>
          <w:color w:val="000000" w:themeColor="text1"/>
          <w14:textFill>
            <w14:solidFill>
              <w14:schemeClr w14:val="tx1"/>
            </w14:solidFill>
          </w14:textFill>
        </w:rPr>
        <w:t>挖掘机</w:t>
      </w:r>
      <w:r>
        <w:rPr>
          <w:color w:val="000000" w:themeColor="text1"/>
          <w14:textFill>
            <w14:solidFill>
              <w14:schemeClr w14:val="tx1"/>
            </w14:solidFill>
          </w14:textFill>
        </w:rPr>
        <w:t>道路等</w:t>
      </w:r>
      <w:r>
        <w:rPr>
          <w:rFonts w:hint="eastAsia"/>
          <w:color w:val="000000" w:themeColor="text1"/>
          <w14:textFill>
            <w14:solidFill>
              <w14:schemeClr w14:val="tx1"/>
            </w14:solidFill>
          </w14:textFill>
        </w:rPr>
        <w:t>。</w:t>
      </w:r>
    </w:p>
    <w:p w14:paraId="59854C72">
      <w:pPr>
        <w:ind w:firstLine="560"/>
        <w:rPr>
          <w:color w:val="000000" w:themeColor="text1"/>
          <w14:textFill>
            <w14:solidFill>
              <w14:schemeClr w14:val="tx1"/>
            </w14:solidFill>
          </w14:textFill>
        </w:rPr>
      </w:pPr>
      <w:bookmarkStart w:id="2284" w:name="_Toc29783"/>
      <w:bookmarkStart w:id="2285" w:name="_Toc26735"/>
      <w:bookmarkStart w:id="2286" w:name="_Toc28375"/>
      <w:r>
        <w:rPr>
          <w:rFonts w:hint="eastAsia"/>
          <w:color w:val="000000" w:themeColor="text1"/>
          <w14:textFill>
            <w14:solidFill>
              <w14:schemeClr w14:val="tx1"/>
            </w14:solidFill>
          </w14:textFill>
        </w:rPr>
        <w:t>5、</w:t>
      </w:r>
      <w:bookmarkEnd w:id="2284"/>
      <w:bookmarkEnd w:id="2285"/>
      <w:bookmarkEnd w:id="2286"/>
      <w:r>
        <w:rPr>
          <w:color w:val="000000" w:themeColor="text1"/>
          <w14:textFill>
            <w14:solidFill>
              <w14:schemeClr w14:val="tx1"/>
            </w14:solidFill>
          </w14:textFill>
        </w:rPr>
        <w:t>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w:t>
      </w:r>
    </w:p>
    <w:p w14:paraId="69D2931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边坡滑坡（坍塌）事故是最常见的露天矿山安全事故之一，主要原因是进行采剥作业破坏了原矿（岩）石的初始平衡状态，导致矿（岩）体内部应力集中，当重新分布的应力超过矿（岩）体或其构造的强度时，将会发生矿（岩）体失稳，如果不及时采取措施或措施方法不当，就会发生边坡</w:t>
      </w:r>
      <w:r>
        <w:rPr>
          <w:color w:val="000000" w:themeColor="text1"/>
          <w14:textFill>
            <w14:solidFill>
              <w14:schemeClr w14:val="tx1"/>
            </w14:solidFill>
          </w14:textFill>
        </w:rPr>
        <w:t>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）。造成边坡</w:t>
      </w:r>
      <w:r>
        <w:rPr>
          <w:color w:val="000000" w:themeColor="text1"/>
          <w14:textFill>
            <w14:solidFill>
              <w14:schemeClr w14:val="tx1"/>
            </w14:solidFill>
          </w14:textFill>
        </w:rPr>
        <w:t>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）事故的主要因素：</w:t>
      </w:r>
    </w:p>
    <w:p w14:paraId="4E62E0B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（1）受地质构造变化的影响，使岩体结构强度降低，导致岩体本身稳定性差，矿山开采过程中对岩体的二次破坏，致使岩体失稳加剧。</w:t>
      </w:r>
    </w:p>
    <w:p w14:paraId="42534E6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（2）采矿顺序或采剥工艺不合理，改变了岩体应力的分布失稳产生滑坡（坍塌）等事故。</w:t>
      </w:r>
    </w:p>
    <w:p w14:paraId="10F4A12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（3）采场矿体倾向与边坡一致，为顺层坡，若设计台阶参数不合理或者爆破技术参数不合理，爆破装药量过大等原因，可能导致</w:t>
      </w:r>
      <w:r>
        <w:rPr>
          <w:color w:val="000000" w:themeColor="text1"/>
          <w14:textFill>
            <w14:solidFill>
              <w14:schemeClr w14:val="tx1"/>
            </w14:solidFill>
          </w14:textFill>
        </w:rPr>
        <w:t>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）事故的发生。</w:t>
      </w:r>
    </w:p>
    <w:p w14:paraId="13D77B8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（4）采场开采后期，部分地段将形成110m高的边坡，若未按设计要求设置相应的台阶参数，加之排水设施不完善或失效，边坡易发生滑坡或坍塌事故。</w:t>
      </w:r>
    </w:p>
    <w:p w14:paraId="4CAA0D5B">
      <w:pPr>
        <w:pStyle w:val="1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可能存在滑坡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的部位：采场边坡、</w:t>
      </w:r>
      <w:r>
        <w:rPr>
          <w:rFonts w:hint="eastAsia"/>
          <w:color w:val="000000" w:themeColor="text1"/>
          <w14:textFill>
            <w14:solidFill>
              <w14:schemeClr w14:val="tx1"/>
            </w14:solidFill>
          </w14:textFill>
        </w:rPr>
        <w:t>道</w:t>
      </w:r>
      <w:r>
        <w:rPr>
          <w:color w:val="000000" w:themeColor="text1"/>
          <w14:textFill>
            <w14:solidFill>
              <w14:schemeClr w14:val="tx1"/>
            </w14:solidFill>
          </w14:textFill>
        </w:rPr>
        <w:t>路</w:t>
      </w:r>
      <w:r>
        <w:rPr>
          <w:rFonts w:hint="eastAsia"/>
          <w:color w:val="000000" w:themeColor="text1"/>
          <w14:textFill>
            <w14:solidFill>
              <w14:schemeClr w14:val="tx1"/>
            </w14:solidFill>
          </w14:textFill>
        </w:rPr>
        <w:t>、堆矿场</w:t>
      </w:r>
      <w:r>
        <w:rPr>
          <w:color w:val="000000" w:themeColor="text1"/>
          <w14:textFill>
            <w14:solidFill>
              <w14:schemeClr w14:val="tx1"/>
            </w14:solidFill>
          </w14:textFill>
        </w:rPr>
        <w:t>以及地表山坡地段等</w:t>
      </w:r>
      <w:r>
        <w:rPr>
          <w:rFonts w:hint="eastAsia"/>
          <w:color w:val="000000" w:themeColor="text1"/>
          <w14:textFill>
            <w14:solidFill>
              <w14:schemeClr w14:val="tx1"/>
            </w14:solidFill>
          </w14:textFill>
        </w:rPr>
        <w:t>。</w:t>
      </w:r>
    </w:p>
    <w:p w14:paraId="32CF41D0">
      <w:pPr>
        <w:ind w:firstLine="560"/>
        <w:rPr>
          <w:color w:val="000000" w:themeColor="text1"/>
          <w14:textFill>
            <w14:solidFill>
              <w14:schemeClr w14:val="tx1"/>
            </w14:solidFill>
          </w14:textFill>
        </w:rPr>
      </w:pPr>
      <w:bookmarkStart w:id="2287" w:name="_Toc9112"/>
      <w:bookmarkStart w:id="2288" w:name="_Toc17012"/>
      <w:bookmarkStart w:id="2289" w:name="_Toc9029"/>
      <w:r>
        <w:rPr>
          <w:rFonts w:hint="eastAsia"/>
          <w:color w:val="000000" w:themeColor="text1"/>
          <w14:textFill>
            <w14:solidFill>
              <w14:schemeClr w14:val="tx1"/>
            </w14:solidFill>
          </w14:textFill>
        </w:rPr>
        <w:t>6、</w:t>
      </w:r>
      <w:r>
        <w:rPr>
          <w:color w:val="000000" w:themeColor="text1"/>
          <w14:textFill>
            <w14:solidFill>
              <w14:schemeClr w14:val="tx1"/>
            </w14:solidFill>
          </w14:textFill>
        </w:rPr>
        <w:t>高温、低温以及暴雨</w:t>
      </w:r>
      <w:r>
        <w:rPr>
          <w:rFonts w:hint="eastAsia"/>
          <w:color w:val="000000" w:themeColor="text1"/>
          <w14:textFill>
            <w14:solidFill>
              <w14:schemeClr w14:val="tx1"/>
            </w14:solidFill>
          </w14:textFill>
        </w:rPr>
        <w:t>、雷电</w:t>
      </w:r>
    </w:p>
    <w:p w14:paraId="541C95AA">
      <w:pPr>
        <w:ind w:firstLine="560"/>
        <w:rPr>
          <w:color w:val="000000" w:themeColor="text1"/>
          <w14:textFill>
            <w14:solidFill>
              <w14:schemeClr w14:val="tx1"/>
            </w14:solidFill>
          </w14:textFill>
        </w:rPr>
      </w:pPr>
      <w:r>
        <w:rPr>
          <w:color w:val="000000" w:themeColor="text1"/>
          <w14:textFill>
            <w14:solidFill>
              <w14:schemeClr w14:val="tx1"/>
            </w14:solidFill>
          </w14:textFill>
        </w:rPr>
        <w:t>高温工作环境可以使人体产生中暑症状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如头痛、头晕、恶心、呕吐、体温升高等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甚至可能出现皮肤湿冷、血压下降等</w:t>
      </w:r>
      <w:r>
        <w:rPr>
          <w:rFonts w:hint="eastAsia"/>
          <w:color w:val="000000" w:themeColor="text1"/>
          <w14:textFill>
            <w14:solidFill>
              <w14:schemeClr w14:val="tx1"/>
            </w14:solidFill>
          </w14:textFill>
        </w:rPr>
        <w:t>。</w:t>
      </w:r>
    </w:p>
    <w:p w14:paraId="67A67113">
      <w:pPr>
        <w:ind w:firstLine="560"/>
        <w:rPr>
          <w:color w:val="000000" w:themeColor="text1"/>
          <w14:textFill>
            <w14:solidFill>
              <w14:schemeClr w14:val="tx1"/>
            </w14:solidFill>
          </w14:textFill>
        </w:rPr>
      </w:pPr>
      <w:r>
        <w:rPr>
          <w:color w:val="000000" w:themeColor="text1"/>
          <w14:textFill>
            <w14:solidFill>
              <w14:schemeClr w14:val="tx1"/>
            </w14:solidFill>
          </w14:textFill>
        </w:rPr>
        <w:t>低温可以引起人体皮肤或肢体的冻伤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在严寒的气温下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如果不注意保暖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就会使裸露部位的毛细血管收缩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循环不好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产生冻疮或冻伤</w:t>
      </w:r>
      <w:r>
        <w:rPr>
          <w:rFonts w:hint="eastAsia"/>
          <w:color w:val="000000" w:themeColor="text1"/>
          <w14:textFill>
            <w14:solidFill>
              <w14:schemeClr w14:val="tx1"/>
            </w14:solidFill>
          </w14:textFill>
        </w:rPr>
        <w:t>。</w:t>
      </w:r>
    </w:p>
    <w:p w14:paraId="774CC954">
      <w:pPr>
        <w:ind w:firstLine="560"/>
        <w:rPr>
          <w:color w:val="000000" w:themeColor="text1"/>
          <w14:textFill>
            <w14:solidFill>
              <w14:schemeClr w14:val="tx1"/>
            </w14:solidFill>
          </w14:textFill>
        </w:rPr>
      </w:pPr>
      <w:r>
        <w:rPr>
          <w:color w:val="000000" w:themeColor="text1"/>
          <w14:textFill>
            <w14:solidFill>
              <w14:schemeClr w14:val="tx1"/>
            </w14:solidFill>
          </w14:textFill>
        </w:rPr>
        <w:t>若采区排水不畅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暴雨容易引起采石场的洪涝灾害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同时也影响采场的边坡稳定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甚至导致边坡滑坡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事故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采石场应保持排水畅通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特别是夏季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严格关注天气预报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暴雨天气禁止进入采场作业</w:t>
      </w:r>
      <w:r>
        <w:rPr>
          <w:rFonts w:hint="eastAsia"/>
          <w:color w:val="000000" w:themeColor="text1"/>
          <w14:textFill>
            <w14:solidFill>
              <w14:schemeClr w14:val="tx1"/>
            </w14:solidFill>
          </w14:textFill>
        </w:rPr>
        <w:t>。</w:t>
      </w:r>
    </w:p>
    <w:p w14:paraId="57D49D24">
      <w:pPr>
        <w:ind w:firstLine="560"/>
        <w:rPr>
          <w:color w:val="000000" w:themeColor="text1"/>
          <w14:textFill>
            <w14:solidFill>
              <w14:schemeClr w14:val="tx1"/>
            </w14:solidFill>
          </w14:textFill>
        </w:rPr>
      </w:pPr>
      <w:r>
        <w:rPr>
          <w:color w:val="000000" w:themeColor="text1"/>
          <w14:textFill>
            <w14:solidFill>
              <w14:schemeClr w14:val="tx1"/>
            </w14:solidFill>
          </w14:textFill>
        </w:rPr>
        <w:t>该项目高温作业主要是夏天户外作业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低温作业主要是冬天户外作业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暴雨主要发生在夏季多雨季节</w:t>
      </w:r>
      <w:r>
        <w:rPr>
          <w:rFonts w:hint="eastAsia"/>
          <w:color w:val="000000" w:themeColor="text1"/>
          <w14:textFill>
            <w14:solidFill>
              <w14:schemeClr w14:val="tx1"/>
            </w14:solidFill>
          </w14:textFill>
        </w:rPr>
        <w:t>。</w:t>
      </w:r>
    </w:p>
    <w:p w14:paraId="129D5136">
      <w:pPr>
        <w:ind w:firstLine="560"/>
        <w:rPr>
          <w:color w:val="000000" w:themeColor="text1"/>
          <w14:textFill>
            <w14:solidFill>
              <w14:schemeClr w14:val="tx1"/>
            </w14:solidFill>
          </w14:textFill>
        </w:rPr>
      </w:pPr>
      <w:r>
        <w:rPr>
          <w:color w:val="000000" w:themeColor="text1"/>
          <w14:textFill>
            <w14:solidFill>
              <w14:schemeClr w14:val="tx1"/>
            </w14:solidFill>
          </w14:textFill>
        </w:rPr>
        <w:t>暴雨天气</w:t>
      </w:r>
      <w:r>
        <w:rPr>
          <w:rFonts w:hint="eastAsia"/>
          <w:color w:val="000000" w:themeColor="text1"/>
          <w14:textFill>
            <w14:solidFill>
              <w14:schemeClr w14:val="tx1"/>
            </w14:solidFill>
          </w14:textFill>
        </w:rPr>
        <w:t>采坑集水池可能导致淹溺事故。</w:t>
      </w:r>
    </w:p>
    <w:p w14:paraId="38414402">
      <w:pPr>
        <w:ind w:left="56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矿区位于山区，可能发生雷电伤害。</w:t>
      </w:r>
    </w:p>
    <w:p w14:paraId="3ADACDD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7、粉尘危害</w:t>
      </w:r>
    </w:p>
    <w:p w14:paraId="7717145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采剥、穿孔、爆破过程中会产生大量的灰岩粉尘及放炮烟尘，长期吸入可能会在肺组织中呈异物反应，并继续轻微纤维化。操作过程中人员若未正确穿戴劳动防护用品，或防护用品失效，操作人员长期吸入粉尘，会使人受到粉尘危害。</w:t>
      </w:r>
    </w:p>
    <w:p w14:paraId="4B73E44F">
      <w:pPr>
        <w:ind w:left="56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8、岩溶危害</w:t>
      </w:r>
    </w:p>
    <w:p w14:paraId="380A860A">
      <w:pPr>
        <w:ind w:firstLine="560"/>
        <w:rPr>
          <w:color w:val="000000" w:themeColor="text1"/>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矿区和采矿活动有关的地层为松散软弱岩组和</w:t>
      </w:r>
      <w:r>
        <w:rPr>
          <w:rFonts w:hint="eastAsia" w:ascii="宋体" w:hAnsi="宋体" w:cs="宋体"/>
          <w:color w:val="000000" w:themeColor="text1"/>
          <w:spacing w:val="-6"/>
          <w:szCs w:val="28"/>
          <w14:textFill>
            <w14:solidFill>
              <w14:schemeClr w14:val="tx1"/>
            </w14:solidFill>
          </w14:textFill>
        </w:rPr>
        <w:t>坚硬厚层块状中等岩溶化石灰岩岩组</w:t>
      </w:r>
      <w:r>
        <w:rPr>
          <w:rFonts w:hint="eastAsia"/>
          <w:color w:val="000000" w:themeColor="text1"/>
          <w:spacing w:val="2"/>
          <w:szCs w:val="28"/>
          <w14:textFill>
            <w14:solidFill>
              <w14:schemeClr w14:val="tx1"/>
            </w14:solidFill>
          </w14:textFill>
        </w:rPr>
        <w:t>，</w:t>
      </w:r>
      <w:r>
        <w:rPr>
          <w:color w:val="000000" w:themeColor="text1"/>
          <w14:textFill>
            <w14:solidFill>
              <w14:schemeClr w14:val="tx1"/>
            </w14:solidFill>
          </w14:textFill>
        </w:rPr>
        <w:t>在岩溶发育地区，开采可能导致地下溶洞与矿山开采区域连通，大量地下水涌入矿山，造成淹没事故。</w:t>
      </w:r>
    </w:p>
    <w:bookmarkEnd w:id="2287"/>
    <w:bookmarkEnd w:id="2288"/>
    <w:bookmarkEnd w:id="2289"/>
    <w:p w14:paraId="06C4F139">
      <w:pPr>
        <w:pStyle w:val="6"/>
        <w:spacing w:before="120" w:after="120"/>
        <w:rPr>
          <w:color w:val="000000" w:themeColor="text1"/>
          <w14:textFill>
            <w14:solidFill>
              <w14:schemeClr w14:val="tx1"/>
            </w14:solidFill>
          </w14:textFill>
        </w:rPr>
      </w:pPr>
      <w:bookmarkStart w:id="2290" w:name="_Toc28063"/>
      <w:bookmarkStart w:id="2291" w:name="_Toc15711"/>
      <w:bookmarkStart w:id="2292" w:name="_Toc6959"/>
      <w:bookmarkStart w:id="2293" w:name="_Toc22462"/>
      <w:bookmarkStart w:id="2294" w:name="_Toc15231"/>
      <w:bookmarkStart w:id="2295" w:name="_Toc28108"/>
      <w:bookmarkStart w:id="2296" w:name="_Toc4004"/>
      <w:bookmarkStart w:id="2297" w:name="_Toc14896"/>
      <w:bookmarkStart w:id="2298" w:name="_Toc23917"/>
      <w:bookmarkStart w:id="2299" w:name="_Toc215070261"/>
      <w:r>
        <w:rPr>
          <w:rFonts w:hint="eastAsia"/>
          <w:color w:val="000000" w:themeColor="text1"/>
          <w14:textFill>
            <w14:solidFill>
              <w14:schemeClr w14:val="tx1"/>
            </w14:solidFill>
          </w14:textFill>
        </w:rPr>
        <w:t>3.4.1.2露天采场子单元预先危险性分析</w:t>
      </w:r>
      <w:bookmarkEnd w:id="2290"/>
      <w:bookmarkEnd w:id="2291"/>
      <w:bookmarkEnd w:id="2292"/>
      <w:bookmarkEnd w:id="2293"/>
      <w:bookmarkEnd w:id="2294"/>
      <w:bookmarkEnd w:id="2295"/>
      <w:bookmarkEnd w:id="2296"/>
      <w:bookmarkEnd w:id="2297"/>
      <w:r>
        <w:rPr>
          <w:rFonts w:hint="eastAsia"/>
          <w:color w:val="000000" w:themeColor="text1"/>
          <w14:textFill>
            <w14:solidFill>
              <w14:schemeClr w14:val="tx1"/>
            </w14:solidFill>
          </w14:textFill>
        </w:rPr>
        <w:t>（PHA）</w:t>
      </w:r>
      <w:bookmarkEnd w:id="2298"/>
      <w:bookmarkEnd w:id="2299"/>
    </w:p>
    <w:p w14:paraId="4C66C50A">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表3.3-1露天采场子单元预先危险性分析（PHA）表</w:t>
      </w:r>
    </w:p>
    <w:tbl>
      <w:tblPr>
        <w:tblStyle w:val="44"/>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261"/>
        <w:gridCol w:w="992"/>
        <w:gridCol w:w="1134"/>
        <w:gridCol w:w="425"/>
        <w:gridCol w:w="2880"/>
      </w:tblGrid>
      <w:tr w14:paraId="0C17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2" w:type="dxa"/>
            <w:vAlign w:val="center"/>
          </w:tcPr>
          <w:p w14:paraId="1DA1E65A">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危险有害因素</w:t>
            </w:r>
          </w:p>
        </w:tc>
        <w:tc>
          <w:tcPr>
            <w:tcW w:w="3261" w:type="dxa"/>
            <w:vAlign w:val="center"/>
          </w:tcPr>
          <w:p w14:paraId="670EDCBD">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诱发事故原因</w:t>
            </w:r>
          </w:p>
        </w:tc>
        <w:tc>
          <w:tcPr>
            <w:tcW w:w="992" w:type="dxa"/>
            <w:vAlign w:val="center"/>
          </w:tcPr>
          <w:p w14:paraId="40373AE4">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事故</w:t>
            </w:r>
          </w:p>
          <w:p w14:paraId="21DB1CD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模式</w:t>
            </w:r>
          </w:p>
        </w:tc>
        <w:tc>
          <w:tcPr>
            <w:tcW w:w="1134" w:type="dxa"/>
            <w:vAlign w:val="center"/>
          </w:tcPr>
          <w:p w14:paraId="6DED253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事故后果</w:t>
            </w:r>
          </w:p>
        </w:tc>
        <w:tc>
          <w:tcPr>
            <w:tcW w:w="425" w:type="dxa"/>
            <w:vAlign w:val="center"/>
          </w:tcPr>
          <w:p w14:paraId="3DB8832C">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危险</w:t>
            </w:r>
          </w:p>
          <w:p w14:paraId="6A8CF5A4">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等级</w:t>
            </w:r>
          </w:p>
        </w:tc>
        <w:tc>
          <w:tcPr>
            <w:tcW w:w="2880" w:type="dxa"/>
            <w:vAlign w:val="center"/>
          </w:tcPr>
          <w:p w14:paraId="3CB8796F">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对策措施</w:t>
            </w:r>
          </w:p>
        </w:tc>
      </w:tr>
      <w:tr w14:paraId="1731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562" w:type="dxa"/>
            <w:vAlign w:val="center"/>
          </w:tcPr>
          <w:p w14:paraId="776C0BCF">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其他管理因素缺陷</w:t>
            </w:r>
          </w:p>
        </w:tc>
        <w:tc>
          <w:tcPr>
            <w:tcW w:w="3261" w:type="dxa"/>
            <w:vAlign w:val="center"/>
          </w:tcPr>
          <w:p w14:paraId="070E098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（1）地质勘查工作对开采技术条件了解深度不够。导致确定的台阶及边帮参数不合理。（2）采掘推进面平行矿体走向，存在层间滑动。</w:t>
            </w:r>
          </w:p>
        </w:tc>
        <w:tc>
          <w:tcPr>
            <w:tcW w:w="992" w:type="dxa"/>
            <w:vAlign w:val="center"/>
          </w:tcPr>
          <w:p w14:paraId="408F2C5F">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134" w:type="dxa"/>
            <w:vAlign w:val="center"/>
          </w:tcPr>
          <w:p w14:paraId="4FA60D2E">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3054814B">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425" w:type="dxa"/>
            <w:vAlign w:val="center"/>
          </w:tcPr>
          <w:p w14:paraId="34F0DD15">
            <w:pPr>
              <w:pStyle w:val="148"/>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fldChar w:fldCharType="begin"/>
            </w:r>
            <w:r>
              <w:rPr>
                <w:rFonts w:hint="eastAsia" w:ascii="宋体" w:hAnsi="宋体" w:cs="宋体"/>
                <w:color w:val="000000" w:themeColor="text1"/>
                <w14:textFill>
                  <w14:solidFill>
                    <w14:schemeClr w14:val="tx1"/>
                  </w14:solidFill>
                </w14:textFill>
              </w:rPr>
              <w:instrText xml:space="preserve"> = 4 \* ROMAN \* MERGEFORMAT </w:instrText>
            </w:r>
            <w:r>
              <w:rPr>
                <w:rFonts w:hint="eastAsia" w:ascii="宋体" w:hAnsi="宋体" w:cs="宋体"/>
                <w:color w:val="000000" w:themeColor="text1"/>
                <w14:textFill>
                  <w14:solidFill>
                    <w14:schemeClr w14:val="tx1"/>
                  </w14:solidFill>
                </w14:textFill>
              </w:rPr>
              <w:fldChar w:fldCharType="separate"/>
            </w:r>
            <w:r>
              <w:rPr>
                <w:color w:val="000000" w:themeColor="text1"/>
                <w14:textFill>
                  <w14:solidFill>
                    <w14:schemeClr w14:val="tx1"/>
                  </w14:solidFill>
                </w14:textFill>
              </w:rPr>
              <w:t>IV</w:t>
            </w:r>
            <w:r>
              <w:rPr>
                <w:rFonts w:hint="eastAsia" w:ascii="宋体" w:hAnsi="宋体" w:cs="宋体"/>
                <w:color w:val="000000" w:themeColor="text1"/>
                <w14:textFill>
                  <w14:solidFill>
                    <w14:schemeClr w14:val="tx1"/>
                  </w14:solidFill>
                </w14:textFill>
              </w:rPr>
              <w:fldChar w:fldCharType="end"/>
            </w:r>
          </w:p>
        </w:tc>
        <w:tc>
          <w:tcPr>
            <w:tcW w:w="2880" w:type="dxa"/>
            <w:vAlign w:val="center"/>
          </w:tcPr>
          <w:p w14:paraId="175E495F">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进一步对矿区地质进行勘查了解，按照采矿设计推荐的台阶及边帮参数结合建设及生产地段的实际沿层情况确定合理的台阶高度及宽度。</w:t>
            </w:r>
          </w:p>
        </w:tc>
      </w:tr>
      <w:tr w14:paraId="7991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562" w:type="dxa"/>
            <w:vAlign w:val="center"/>
          </w:tcPr>
          <w:p w14:paraId="5F3101C7">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操作错误</w:t>
            </w:r>
          </w:p>
        </w:tc>
        <w:tc>
          <w:tcPr>
            <w:tcW w:w="3261" w:type="dxa"/>
            <w:vAlign w:val="center"/>
          </w:tcPr>
          <w:p w14:paraId="761E2860">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未按设计推荐的台阶及边帮参数布置采场台阶；（2）在建设及建成后的生产中超挖、掏底、台阶高度过高、安全清扫平台宽度不足等。（3）未坚持从上到下的开采顺序，无计划、无条理地开采；导致开采顺序和推进方向错误。（4）未按设计推荐的防排水措施设置防排水设施疏于管理，地表水对台阶的不断冲刷、浸入。</w:t>
            </w:r>
          </w:p>
        </w:tc>
        <w:tc>
          <w:tcPr>
            <w:tcW w:w="992" w:type="dxa"/>
            <w:vAlign w:val="center"/>
          </w:tcPr>
          <w:p w14:paraId="7DFFD917">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坍塌 、物体打击</w:t>
            </w:r>
          </w:p>
        </w:tc>
        <w:tc>
          <w:tcPr>
            <w:tcW w:w="1134" w:type="dxa"/>
            <w:vAlign w:val="center"/>
          </w:tcPr>
          <w:p w14:paraId="5B384F0D">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1A3D7DC4">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425" w:type="dxa"/>
            <w:vAlign w:val="center"/>
          </w:tcPr>
          <w:p w14:paraId="440E8C17">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fldChar w:fldCharType="end"/>
            </w:r>
          </w:p>
        </w:tc>
        <w:tc>
          <w:tcPr>
            <w:tcW w:w="2880" w:type="dxa"/>
            <w:vAlign w:val="center"/>
          </w:tcPr>
          <w:p w14:paraId="7D21178F">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定期进行边坡稳定性分析及监测，预防因层间滑动导致的滑坡。（2）按规划开采；严禁无计划、无条理、超挖或掏底开采；（3）在建设及建成后的生产中按规范、规程要求坚持从上到下的开采顺序；（4）按规范、规程及设计推荐的防排水措施结合采场实际设置疏排水沟。</w:t>
            </w:r>
          </w:p>
        </w:tc>
      </w:tr>
      <w:tr w14:paraId="5B4C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562" w:type="dxa"/>
            <w:vAlign w:val="center"/>
          </w:tcPr>
          <w:p w14:paraId="65C83267">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操作错误</w:t>
            </w:r>
          </w:p>
        </w:tc>
        <w:tc>
          <w:tcPr>
            <w:tcW w:w="3261" w:type="dxa"/>
            <w:vAlign w:val="center"/>
          </w:tcPr>
          <w:p w14:paraId="4C4287A3">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工作帮坡面上因安全检查不严格及浮石、危石清理不彻底</w:t>
            </w:r>
            <w:r>
              <w:rPr>
                <w:rFonts w:hint="eastAsia"/>
                <w:color w:val="000000" w:themeColor="text1"/>
                <w14:textFill>
                  <w14:solidFill>
                    <w14:schemeClr w14:val="tx1"/>
                  </w14:solidFill>
                </w14:textFill>
              </w:rPr>
              <w:t>；（2）挖掘机在采剥过程中，未严格按操作规程操作，周围环境观察不清，操作失误或</w:t>
            </w:r>
            <w:r>
              <w:rPr>
                <w:color w:val="000000" w:themeColor="text1"/>
                <w14:textFill>
                  <w14:solidFill>
                    <w14:schemeClr w14:val="tx1"/>
                  </w14:solidFill>
                </w14:textFill>
              </w:rPr>
              <w:t>台阶过高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与铲装设备（工艺）不配套</w:t>
            </w:r>
            <w:r>
              <w:rPr>
                <w:rFonts w:hint="eastAsia"/>
                <w:color w:val="000000" w:themeColor="text1"/>
                <w14:textFill>
                  <w14:solidFill>
                    <w14:schemeClr w14:val="tx1"/>
                  </w14:solidFill>
                </w14:textFill>
              </w:rPr>
              <w:t>；因矿山边坡较陡，未设置防滚石设施，采场边坡矿岩发生掉落、滚石等，导致矿岩掉落，发生物体打击事故。</w:t>
            </w:r>
          </w:p>
        </w:tc>
        <w:tc>
          <w:tcPr>
            <w:tcW w:w="992" w:type="dxa"/>
            <w:vAlign w:val="center"/>
          </w:tcPr>
          <w:p w14:paraId="2F5A5979">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物体打击</w:t>
            </w:r>
          </w:p>
        </w:tc>
        <w:tc>
          <w:tcPr>
            <w:tcW w:w="1134" w:type="dxa"/>
            <w:vAlign w:val="center"/>
          </w:tcPr>
          <w:p w14:paraId="382747F5">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425" w:type="dxa"/>
            <w:vAlign w:val="center"/>
          </w:tcPr>
          <w:p w14:paraId="5600430A">
            <w:pPr>
              <w:pStyle w:val="14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III</w:t>
            </w:r>
            <w:r>
              <w:rPr>
                <w:rFonts w:hint="eastAsia"/>
                <w:color w:val="000000" w:themeColor="text1"/>
                <w14:textFill>
                  <w14:solidFill>
                    <w14:schemeClr w14:val="tx1"/>
                  </w14:solidFill>
                </w14:textFill>
              </w:rPr>
              <w:fldChar w:fldCharType="end"/>
            </w:r>
          </w:p>
        </w:tc>
        <w:tc>
          <w:tcPr>
            <w:tcW w:w="2880" w:type="dxa"/>
            <w:vAlign w:val="center"/>
          </w:tcPr>
          <w:p w14:paraId="6318C9F2">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（1）定期清理台阶</w:t>
            </w:r>
            <w:r>
              <w:rPr>
                <w:rFonts w:hint="eastAsia"/>
                <w:color w:val="000000" w:themeColor="text1"/>
                <w:lang w:val="zh-CN"/>
                <w14:textFill>
                  <w14:solidFill>
                    <w14:schemeClr w14:val="tx1"/>
                  </w14:solidFill>
                </w14:textFill>
              </w:rPr>
              <w:t>边坡浮石。</w:t>
            </w:r>
            <w:r>
              <w:rPr>
                <w:rFonts w:hint="eastAsia"/>
                <w:color w:val="000000" w:themeColor="text1"/>
                <w14:textFill>
                  <w14:solidFill>
                    <w14:schemeClr w14:val="tx1"/>
                  </w14:solidFill>
                </w14:textFill>
              </w:rPr>
              <w:t>（2）挖掘机在采剥过程中，严格按操作规程操作。（3）作业人员按要求正确佩戴劳动防护用品。</w:t>
            </w:r>
          </w:p>
          <w:p w14:paraId="490837A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（4）矿界边缘设置防滚石设施。</w:t>
            </w:r>
          </w:p>
        </w:tc>
      </w:tr>
      <w:tr w14:paraId="3AD2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562" w:type="dxa"/>
            <w:vAlign w:val="center"/>
          </w:tcPr>
          <w:p w14:paraId="109CBAE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防护不当</w:t>
            </w:r>
          </w:p>
        </w:tc>
        <w:tc>
          <w:tcPr>
            <w:tcW w:w="3261" w:type="dxa"/>
            <w:vAlign w:val="center"/>
          </w:tcPr>
          <w:p w14:paraId="67BB19F0">
            <w:pPr>
              <w:pStyle w:val="148"/>
              <w:rPr>
                <w:color w:val="000000" w:themeColor="text1"/>
                <w14:textFill>
                  <w14:solidFill>
                    <w14:schemeClr w14:val="tx1"/>
                  </w14:solidFill>
                </w14:textFill>
              </w:rPr>
            </w:pPr>
            <w:r>
              <w:rPr>
                <w:color w:val="000000" w:themeColor="text1"/>
                <w14:textFill>
                  <w14:solidFill>
                    <w14:schemeClr w14:val="tx1"/>
                  </w14:solidFill>
                </w14:textFill>
              </w:rPr>
              <w:t>雨水冲刷</w:t>
            </w:r>
            <w:r>
              <w:rPr>
                <w:rFonts w:hint="eastAsia"/>
                <w:color w:val="000000" w:themeColor="text1"/>
                <w14:textFill>
                  <w14:solidFill>
                    <w14:schemeClr w14:val="tx1"/>
                  </w14:solidFill>
                </w14:textFill>
              </w:rPr>
              <w:t>导致矿岩掉落；</w:t>
            </w:r>
          </w:p>
        </w:tc>
        <w:tc>
          <w:tcPr>
            <w:tcW w:w="992" w:type="dxa"/>
            <w:vAlign w:val="center"/>
          </w:tcPr>
          <w:p w14:paraId="0FDF0D3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物体打击</w:t>
            </w:r>
          </w:p>
        </w:tc>
        <w:tc>
          <w:tcPr>
            <w:tcW w:w="1134" w:type="dxa"/>
            <w:vAlign w:val="center"/>
          </w:tcPr>
          <w:p w14:paraId="7B0AC893">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425" w:type="dxa"/>
            <w:vAlign w:val="center"/>
          </w:tcPr>
          <w:p w14:paraId="67BDA82F">
            <w:pPr>
              <w:pStyle w:val="14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rFonts w:hint="eastAsia"/>
                <w:color w:val="000000" w:themeColor="text1"/>
                <w14:textFill>
                  <w14:solidFill>
                    <w14:schemeClr w14:val="tx1"/>
                  </w14:solidFill>
                </w14:textFill>
              </w:rPr>
              <w:fldChar w:fldCharType="end"/>
            </w:r>
          </w:p>
        </w:tc>
        <w:tc>
          <w:tcPr>
            <w:tcW w:w="2880" w:type="dxa"/>
            <w:vAlign w:val="center"/>
          </w:tcPr>
          <w:p w14:paraId="71EA0BC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生产作业前对工作帮边坡上的单体危岩和伞檐进行处理</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建立边坡安全检查制度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及时清理浮石</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合理构筑防排水设施</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确定合理的台阶高度</w:t>
            </w:r>
            <w:r>
              <w:rPr>
                <w:rFonts w:hint="eastAsia"/>
                <w:color w:val="000000" w:themeColor="text1"/>
                <w14:textFill>
                  <w14:solidFill>
                    <w14:schemeClr w14:val="tx1"/>
                  </w14:solidFill>
                </w14:textFill>
              </w:rPr>
              <w:t>；</w:t>
            </w:r>
          </w:p>
        </w:tc>
      </w:tr>
      <w:tr w14:paraId="5113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562" w:type="dxa"/>
            <w:vAlign w:val="center"/>
          </w:tcPr>
          <w:p w14:paraId="4850BDB4">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监护失误</w:t>
            </w:r>
          </w:p>
        </w:tc>
        <w:tc>
          <w:tcPr>
            <w:tcW w:w="3261" w:type="dxa"/>
            <w:vAlign w:val="center"/>
          </w:tcPr>
          <w:p w14:paraId="5C8A7F73">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边坡维护无人监护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人员在工作地点下部的道路停留或通过</w:t>
            </w:r>
            <w:r>
              <w:rPr>
                <w:rFonts w:hint="eastAsia"/>
                <w:color w:val="000000" w:themeColor="text1"/>
                <w14:textFill>
                  <w14:solidFill>
                    <w14:schemeClr w14:val="tx1"/>
                  </w14:solidFill>
                </w14:textFill>
              </w:rPr>
              <w:t>。（2）作业人员未按要求佩戴劳动防护用品，发生物体打击事故。（3）挖掘机、潜孔钻机、运输车辆、推土机在台阶临边作业时，无人指挥，极可能发生车辆坠落事故。</w:t>
            </w:r>
          </w:p>
        </w:tc>
        <w:tc>
          <w:tcPr>
            <w:tcW w:w="992" w:type="dxa"/>
            <w:vAlign w:val="center"/>
          </w:tcPr>
          <w:p w14:paraId="48484F8B">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物体打击</w:t>
            </w:r>
          </w:p>
        </w:tc>
        <w:tc>
          <w:tcPr>
            <w:tcW w:w="1134" w:type="dxa"/>
            <w:vAlign w:val="center"/>
          </w:tcPr>
          <w:p w14:paraId="19206F8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425" w:type="dxa"/>
            <w:vAlign w:val="center"/>
          </w:tcPr>
          <w:p w14:paraId="0C62397A">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rFonts w:hint="eastAsia"/>
                <w:color w:val="000000" w:themeColor="text1"/>
                <w14:textFill>
                  <w14:solidFill>
                    <w14:schemeClr w14:val="tx1"/>
                  </w14:solidFill>
                </w14:textFill>
              </w:rPr>
              <w:fldChar w:fldCharType="end"/>
            </w:r>
          </w:p>
        </w:tc>
        <w:tc>
          <w:tcPr>
            <w:tcW w:w="2880" w:type="dxa"/>
            <w:vAlign w:val="center"/>
          </w:tcPr>
          <w:p w14:paraId="2F43A4BC">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（1）作业人员按要求正确佩戴劳动防护用品。（2）矿界边缘设置防滚石设施。（3）</w:t>
            </w:r>
            <w:r>
              <w:rPr>
                <w:color w:val="000000" w:themeColor="text1"/>
                <w14:textFill>
                  <w14:solidFill>
                    <w14:schemeClr w14:val="tx1"/>
                  </w14:solidFill>
                </w14:textFill>
              </w:rPr>
              <w:t>生产作业前对工作帮边坡上的单体危岩和伞檐进行处理</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建立边坡安全检查制度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及时清理浮石</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作业范围设置明显安全警示标志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防止人、畜进入</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边坡维护时应有专人在工作点下方危险范围外监护</w:t>
            </w:r>
            <w:r>
              <w:rPr>
                <w:rFonts w:hint="eastAsia"/>
                <w:color w:val="000000" w:themeColor="text1"/>
                <w14:textFill>
                  <w14:solidFill>
                    <w14:schemeClr w14:val="tx1"/>
                  </w14:solidFill>
                </w14:textFill>
              </w:rPr>
              <w:t>。</w:t>
            </w:r>
          </w:p>
        </w:tc>
      </w:tr>
      <w:tr w14:paraId="4C13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4" w:hRule="atLeast"/>
          <w:jc w:val="center"/>
        </w:trPr>
        <w:tc>
          <w:tcPr>
            <w:tcW w:w="562" w:type="dxa"/>
            <w:vAlign w:val="center"/>
          </w:tcPr>
          <w:p w14:paraId="756C60A5">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操作错误</w:t>
            </w:r>
          </w:p>
        </w:tc>
        <w:tc>
          <w:tcPr>
            <w:tcW w:w="3261" w:type="dxa"/>
            <w:vAlign w:val="center"/>
          </w:tcPr>
          <w:p w14:paraId="59C49EF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挖掘机、潜孔钻、运输车辆、推土机等设备电动机转动部位防护设施缺失或失效，发生车辆伤害事故。（2）挖掘机、潜孔钻、运输车辆、推土机等设备作业时，周围环境观察不清，盲目启动，发生车辆伤害事故。（3）违反挖掘机、装载机操作规程；（4）</w:t>
            </w:r>
            <w:r>
              <w:rPr>
                <w:color w:val="000000" w:themeColor="text1"/>
                <w14:textFill>
                  <w14:solidFill>
                    <w14:schemeClr w14:val="tx1"/>
                  </w14:solidFill>
                </w14:textFill>
              </w:rPr>
              <w:t>在挖掘机、装载机、推土机、自卸汽车的检修和正常工作时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机器突然被别人随意启动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导致事故发生</w:t>
            </w:r>
            <w:r>
              <w:rPr>
                <w:rFonts w:hint="eastAsia"/>
                <w:color w:val="000000" w:themeColor="text1"/>
                <w14:textFill>
                  <w14:solidFill>
                    <w14:schemeClr w14:val="tx1"/>
                  </w14:solidFill>
                </w14:textFill>
              </w:rPr>
              <w:t>。</w:t>
            </w:r>
          </w:p>
        </w:tc>
        <w:tc>
          <w:tcPr>
            <w:tcW w:w="992" w:type="dxa"/>
            <w:vAlign w:val="center"/>
          </w:tcPr>
          <w:p w14:paraId="671246E9">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134" w:type="dxa"/>
            <w:vAlign w:val="center"/>
          </w:tcPr>
          <w:p w14:paraId="43373DCC">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394A9D31">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425" w:type="dxa"/>
            <w:vAlign w:val="center"/>
          </w:tcPr>
          <w:p w14:paraId="7E7D31B8">
            <w:pPr>
              <w:pStyle w:val="14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rFonts w:hint="eastAsia"/>
                <w:color w:val="000000" w:themeColor="text1"/>
                <w14:textFill>
                  <w14:solidFill>
                    <w14:schemeClr w14:val="tx1"/>
                  </w14:solidFill>
                </w14:textFill>
              </w:rPr>
              <w:fldChar w:fldCharType="end"/>
            </w:r>
          </w:p>
        </w:tc>
        <w:tc>
          <w:tcPr>
            <w:tcW w:w="2880" w:type="dxa"/>
            <w:vAlign w:val="center"/>
          </w:tcPr>
          <w:p w14:paraId="23E966A4">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（1）设备转动部位设置安全防护设施</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（2）设备在采剥过程中，严格按操作规程操作。（3）设备运行时，不进行检维修作业。</w:t>
            </w:r>
          </w:p>
        </w:tc>
      </w:tr>
      <w:tr w14:paraId="0988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562" w:type="dxa"/>
            <w:vAlign w:val="center"/>
          </w:tcPr>
          <w:p w14:paraId="2125188C">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设备、设施、工具、附件缺陷</w:t>
            </w:r>
          </w:p>
        </w:tc>
        <w:tc>
          <w:tcPr>
            <w:tcW w:w="3261" w:type="dxa"/>
            <w:vAlign w:val="center"/>
          </w:tcPr>
          <w:p w14:paraId="272B7792">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汽车、挖掘机、装载机故障；</w:t>
            </w:r>
          </w:p>
        </w:tc>
        <w:tc>
          <w:tcPr>
            <w:tcW w:w="992" w:type="dxa"/>
            <w:vAlign w:val="center"/>
          </w:tcPr>
          <w:p w14:paraId="4996E52B">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134" w:type="dxa"/>
            <w:vAlign w:val="center"/>
          </w:tcPr>
          <w:p w14:paraId="3CE2874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596B79EA">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425" w:type="dxa"/>
            <w:vAlign w:val="center"/>
          </w:tcPr>
          <w:p w14:paraId="0B30F3C8">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rFonts w:hint="eastAsia"/>
                <w:color w:val="000000" w:themeColor="text1"/>
                <w14:textFill>
                  <w14:solidFill>
                    <w14:schemeClr w14:val="tx1"/>
                  </w14:solidFill>
                </w14:textFill>
              </w:rPr>
              <w:fldChar w:fldCharType="end"/>
            </w:r>
          </w:p>
        </w:tc>
        <w:tc>
          <w:tcPr>
            <w:tcW w:w="2880" w:type="dxa"/>
            <w:vAlign w:val="center"/>
          </w:tcPr>
          <w:p w14:paraId="7004F71A">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（1）设备转动部位设置安全防护设施</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（2）设备在采剥过程中，严格按操作规程操作。（3）设备运行时，不进行检维修作业。</w:t>
            </w:r>
          </w:p>
        </w:tc>
      </w:tr>
      <w:tr w14:paraId="666C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62" w:type="dxa"/>
            <w:vAlign w:val="center"/>
          </w:tcPr>
          <w:p w14:paraId="562978D9">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设备、设施、工具、附件缺陷</w:t>
            </w:r>
          </w:p>
        </w:tc>
        <w:tc>
          <w:tcPr>
            <w:tcW w:w="3261" w:type="dxa"/>
            <w:vAlign w:val="center"/>
          </w:tcPr>
          <w:p w14:paraId="100E05E2">
            <w:pPr>
              <w:pStyle w:val="148"/>
              <w:rPr>
                <w:color w:val="000000" w:themeColor="text1"/>
                <w14:textFill>
                  <w14:solidFill>
                    <w14:schemeClr w14:val="tx1"/>
                  </w14:solidFill>
                </w14:textFill>
              </w:rPr>
            </w:pPr>
            <w:r>
              <w:rPr>
                <w:color w:val="000000" w:themeColor="text1"/>
                <w14:textFill>
                  <w14:solidFill>
                    <w14:schemeClr w14:val="tx1"/>
                  </w14:solidFill>
                </w14:textFill>
              </w:rPr>
              <w:t>无避雷装置或避雷装置不合格、失效</w:t>
            </w:r>
            <w:r>
              <w:rPr>
                <w:rFonts w:hint="eastAsia"/>
                <w:color w:val="000000" w:themeColor="text1"/>
                <w14:textFill>
                  <w14:solidFill>
                    <w14:schemeClr w14:val="tx1"/>
                  </w14:solidFill>
                </w14:textFill>
              </w:rPr>
              <w:t>；</w:t>
            </w:r>
          </w:p>
        </w:tc>
        <w:tc>
          <w:tcPr>
            <w:tcW w:w="992" w:type="dxa"/>
            <w:vAlign w:val="center"/>
          </w:tcPr>
          <w:p w14:paraId="05047BE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雷电伤害</w:t>
            </w:r>
          </w:p>
        </w:tc>
        <w:tc>
          <w:tcPr>
            <w:tcW w:w="1134" w:type="dxa"/>
            <w:vAlign w:val="center"/>
          </w:tcPr>
          <w:p w14:paraId="18122DBA">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0C710620">
            <w:pPr>
              <w:pStyle w:val="148"/>
              <w:rPr>
                <w:color w:val="000000" w:themeColor="text1"/>
                <w14:textFill>
                  <w14:solidFill>
                    <w14:schemeClr w14:val="tx1"/>
                  </w14:solidFill>
                </w14:textFill>
              </w:rPr>
            </w:pPr>
          </w:p>
        </w:tc>
        <w:tc>
          <w:tcPr>
            <w:tcW w:w="425" w:type="dxa"/>
            <w:vAlign w:val="center"/>
          </w:tcPr>
          <w:p w14:paraId="6704AD06">
            <w:pPr>
              <w:pStyle w:val="14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rFonts w:hint="eastAsia"/>
                <w:color w:val="000000" w:themeColor="text1"/>
                <w14:textFill>
                  <w14:solidFill>
                    <w14:schemeClr w14:val="tx1"/>
                  </w14:solidFill>
                </w14:textFill>
              </w:rPr>
              <w:fldChar w:fldCharType="end"/>
            </w:r>
          </w:p>
        </w:tc>
        <w:tc>
          <w:tcPr>
            <w:tcW w:w="2880" w:type="dxa"/>
            <w:vAlign w:val="center"/>
          </w:tcPr>
          <w:p w14:paraId="396EB03F">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安装避雷针或避雷器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定期进行检验检查</w:t>
            </w:r>
            <w:r>
              <w:rPr>
                <w:rFonts w:hint="eastAsia"/>
                <w:color w:val="000000" w:themeColor="text1"/>
                <w14:textFill>
                  <w14:solidFill>
                    <w14:schemeClr w14:val="tx1"/>
                  </w14:solidFill>
                </w14:textFill>
              </w:rPr>
              <w:t>。（2）雷雨天停止作业。</w:t>
            </w:r>
          </w:p>
        </w:tc>
      </w:tr>
      <w:tr w14:paraId="441A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562" w:type="dxa"/>
            <w:vAlign w:val="center"/>
          </w:tcPr>
          <w:p w14:paraId="61A29CE7">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操作错误</w:t>
            </w:r>
          </w:p>
        </w:tc>
        <w:tc>
          <w:tcPr>
            <w:tcW w:w="3261" w:type="dxa"/>
            <w:vAlign w:val="center"/>
          </w:tcPr>
          <w:p w14:paraId="366A3F8E">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在采剥过程中，由于违章载人、违章作业，而导致人员坠落事故。（3）作业人员在进行排险作业时，未系安全绳，可能发生高处坠落事故。（4）安全管理人员在安全检查作业过程中，可能发生高处坠落事故。（5）采场边缘未设置相应的安全警示标志等，作业人员临边作业时，易发生高处坠落事故。</w:t>
            </w:r>
          </w:p>
        </w:tc>
        <w:tc>
          <w:tcPr>
            <w:tcW w:w="992" w:type="dxa"/>
            <w:vAlign w:val="center"/>
          </w:tcPr>
          <w:p w14:paraId="25150B2C">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134" w:type="dxa"/>
            <w:vAlign w:val="center"/>
          </w:tcPr>
          <w:p w14:paraId="335A4FA2">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p w14:paraId="2AADB99E">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425" w:type="dxa"/>
            <w:vAlign w:val="center"/>
          </w:tcPr>
          <w:p w14:paraId="65B6ABFA">
            <w:pPr>
              <w:pStyle w:val="148"/>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ROMAN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rFonts w:hint="eastAsia"/>
                <w:color w:val="000000" w:themeColor="text1"/>
                <w14:textFill>
                  <w14:solidFill>
                    <w14:schemeClr w14:val="tx1"/>
                  </w14:solidFill>
                </w14:textFill>
              </w:rPr>
              <w:fldChar w:fldCharType="end"/>
            </w:r>
          </w:p>
        </w:tc>
        <w:tc>
          <w:tcPr>
            <w:tcW w:w="2880" w:type="dxa"/>
            <w:vAlign w:val="center"/>
          </w:tcPr>
          <w:p w14:paraId="2BF07DE6">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（1）挖掘机、潜孔钻机、运输车辆、推土机在台阶临边作业时，专人指挥</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（2）作业人员在进行排险作业时，系安全绳。（3）采场边缘需设置相应的安全警示标志等。</w:t>
            </w:r>
          </w:p>
        </w:tc>
      </w:tr>
      <w:tr w14:paraId="4F77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562" w:type="dxa"/>
            <w:vAlign w:val="center"/>
          </w:tcPr>
          <w:p w14:paraId="4C6594CA">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标志标识缺陷</w:t>
            </w:r>
          </w:p>
        </w:tc>
        <w:tc>
          <w:tcPr>
            <w:tcW w:w="3261" w:type="dxa"/>
            <w:vAlign w:val="center"/>
          </w:tcPr>
          <w:p w14:paraId="7009F86D">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采场边坡作业条件差</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外来人、畜进入边坡上部危险区域</w:t>
            </w:r>
            <w:r>
              <w:rPr>
                <w:rFonts w:hint="eastAsia"/>
                <w:color w:val="000000" w:themeColor="text1"/>
                <w14:textFill>
                  <w14:solidFill>
                    <w14:schemeClr w14:val="tx1"/>
                  </w14:solidFill>
                </w14:textFill>
              </w:rPr>
              <w:t>；</w:t>
            </w:r>
          </w:p>
        </w:tc>
        <w:tc>
          <w:tcPr>
            <w:tcW w:w="992" w:type="dxa"/>
            <w:vAlign w:val="center"/>
          </w:tcPr>
          <w:p w14:paraId="498C4EC8">
            <w:pPr>
              <w:pStyle w:val="148"/>
              <w:rPr>
                <w:color w:val="000000" w:themeColor="text1"/>
                <w14:textFill>
                  <w14:solidFill>
                    <w14:schemeClr w14:val="tx1"/>
                  </w14:solidFill>
                </w14:textFill>
              </w:rPr>
            </w:pPr>
            <w:r>
              <w:rPr>
                <w:color w:val="000000" w:themeColor="text1"/>
                <w14:textFill>
                  <w14:solidFill>
                    <w14:schemeClr w14:val="tx1"/>
                  </w14:solidFill>
                </w14:textFill>
              </w:rPr>
              <w:t>人员、设备坠落</w:t>
            </w:r>
          </w:p>
        </w:tc>
        <w:tc>
          <w:tcPr>
            <w:tcW w:w="1134" w:type="dxa"/>
            <w:vAlign w:val="center"/>
          </w:tcPr>
          <w:p w14:paraId="26B718C3">
            <w:pPr>
              <w:pStyle w:val="148"/>
              <w:rPr>
                <w:color w:val="000000" w:themeColor="text1"/>
                <w14:textFill>
                  <w14:solidFill>
                    <w14:schemeClr w14:val="tx1"/>
                  </w14:solidFill>
                </w14:textFill>
              </w:rPr>
            </w:pPr>
            <w:r>
              <w:rPr>
                <w:color w:val="000000" w:themeColor="text1"/>
                <w14:textFill>
                  <w14:solidFill>
                    <w14:schemeClr w14:val="tx1"/>
                  </w14:solidFill>
                </w14:textFill>
              </w:rPr>
              <w:t>人员伤害、设备损毁</w:t>
            </w:r>
          </w:p>
        </w:tc>
        <w:tc>
          <w:tcPr>
            <w:tcW w:w="425" w:type="dxa"/>
            <w:vAlign w:val="center"/>
          </w:tcPr>
          <w:p w14:paraId="593DBCF7">
            <w:pPr>
              <w:pStyle w:val="148"/>
              <w:ind w:firstLine="560"/>
              <w:jc w:val="center"/>
              <w:rPr>
                <w:color w:val="000000" w:themeColor="text1"/>
                <w14:textFill>
                  <w14:solidFill>
                    <w14:schemeClr w14:val="tx1"/>
                  </w14:solidFill>
                </w14:textFill>
              </w:rPr>
            </w:pPr>
            <w:r>
              <w:rPr>
                <w:color w:val="000000" w:themeColor="text1"/>
                <w14:textFill>
                  <w14:solidFill>
                    <w14:schemeClr w14:val="tx1"/>
                  </w14:solidFill>
                </w14:textFill>
              </w:rPr>
              <w:t>II</w:t>
            </w:r>
          </w:p>
        </w:tc>
        <w:tc>
          <w:tcPr>
            <w:tcW w:w="2880" w:type="dxa"/>
            <w:vAlign w:val="center"/>
          </w:tcPr>
          <w:p w14:paraId="30873E8D">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（1）作业</w:t>
            </w:r>
            <w:r>
              <w:rPr>
                <w:color w:val="000000" w:themeColor="text1"/>
                <w14:textFill>
                  <w14:solidFill>
                    <w14:schemeClr w14:val="tx1"/>
                  </w14:solidFill>
                </w14:textFill>
              </w:rPr>
              <w:t>前对工作面的安全处理</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在危险区域设置安全警示标志</w:t>
            </w:r>
            <w:r>
              <w:rPr>
                <w:rFonts w:hint="eastAsia"/>
                <w:color w:val="000000" w:themeColor="text1"/>
                <w14:textFill>
                  <w14:solidFill>
                    <w14:schemeClr w14:val="tx1"/>
                  </w14:solidFill>
                </w14:textFill>
              </w:rPr>
              <w:t>。</w:t>
            </w:r>
          </w:p>
        </w:tc>
      </w:tr>
      <w:tr w14:paraId="457C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562" w:type="dxa"/>
            <w:vAlign w:val="center"/>
          </w:tcPr>
          <w:p w14:paraId="3496CBE5">
            <w:pPr>
              <w:pStyle w:val="148"/>
              <w:rPr>
                <w:color w:val="000000" w:themeColor="text1"/>
                <w14:textFill>
                  <w14:solidFill>
                    <w14:schemeClr w14:val="tx1"/>
                  </w14:solidFill>
                </w14:textFill>
              </w:rPr>
            </w:pPr>
            <w:bookmarkStart w:id="2300" w:name="_Toc9905"/>
            <w:bookmarkStart w:id="2301" w:name="_Toc24828"/>
            <w:bookmarkStart w:id="2302" w:name="_Toc1016"/>
            <w:bookmarkStart w:id="2303" w:name="_Toc26569"/>
            <w:bookmarkStart w:id="2304" w:name="_Toc490"/>
            <w:bookmarkStart w:id="2305" w:name="_Toc65"/>
            <w:bookmarkStart w:id="2306" w:name="_Toc17245"/>
            <w:bookmarkStart w:id="2307" w:name="_Toc23046"/>
            <w:r>
              <w:rPr>
                <w:rFonts w:hint="eastAsia"/>
                <w:color w:val="000000" w:themeColor="text1"/>
                <w14:textFill>
                  <w14:solidFill>
                    <w14:schemeClr w14:val="tx1"/>
                  </w14:solidFill>
                </w14:textFill>
              </w:rPr>
              <w:t>操作错误</w:t>
            </w:r>
          </w:p>
        </w:tc>
        <w:tc>
          <w:tcPr>
            <w:tcW w:w="3261" w:type="dxa"/>
            <w:vAlign w:val="center"/>
          </w:tcPr>
          <w:p w14:paraId="1818D43B">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操作不熟练</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操作地点不安全</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作业前安全检查、处理不到位</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在2m及以上高处作业不系安全带进行边坡处理</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工作面参数选择不合理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不能满足设备安全要求</w:t>
            </w:r>
            <w:r>
              <w:rPr>
                <w:rFonts w:hint="eastAsia"/>
                <w:color w:val="000000" w:themeColor="text1"/>
                <w14:textFill>
                  <w14:solidFill>
                    <w14:schemeClr w14:val="tx1"/>
                  </w14:solidFill>
                </w14:textFill>
              </w:rPr>
              <w:t>。</w:t>
            </w:r>
          </w:p>
        </w:tc>
        <w:tc>
          <w:tcPr>
            <w:tcW w:w="992" w:type="dxa"/>
            <w:vAlign w:val="center"/>
          </w:tcPr>
          <w:p w14:paraId="0B928C37">
            <w:pPr>
              <w:pStyle w:val="148"/>
              <w:rPr>
                <w:color w:val="000000" w:themeColor="text1"/>
                <w14:textFill>
                  <w14:solidFill>
                    <w14:schemeClr w14:val="tx1"/>
                  </w14:solidFill>
                </w14:textFill>
              </w:rPr>
            </w:pPr>
            <w:r>
              <w:rPr>
                <w:color w:val="000000" w:themeColor="text1"/>
                <w14:textFill>
                  <w14:solidFill>
                    <w14:schemeClr w14:val="tx1"/>
                  </w14:solidFill>
                </w14:textFill>
              </w:rPr>
              <w:t>人员、设备坠落</w:t>
            </w:r>
          </w:p>
        </w:tc>
        <w:tc>
          <w:tcPr>
            <w:tcW w:w="1134" w:type="dxa"/>
            <w:vAlign w:val="center"/>
          </w:tcPr>
          <w:p w14:paraId="1019D6FA">
            <w:pPr>
              <w:pStyle w:val="148"/>
              <w:rPr>
                <w:color w:val="000000" w:themeColor="text1"/>
                <w14:textFill>
                  <w14:solidFill>
                    <w14:schemeClr w14:val="tx1"/>
                  </w14:solidFill>
                </w14:textFill>
              </w:rPr>
            </w:pPr>
            <w:r>
              <w:rPr>
                <w:color w:val="000000" w:themeColor="text1"/>
                <w14:textFill>
                  <w14:solidFill>
                    <w14:schemeClr w14:val="tx1"/>
                  </w14:solidFill>
                </w14:textFill>
              </w:rPr>
              <w:t>人员伤害、设备损毁</w:t>
            </w:r>
          </w:p>
        </w:tc>
        <w:tc>
          <w:tcPr>
            <w:tcW w:w="425" w:type="dxa"/>
            <w:vAlign w:val="center"/>
          </w:tcPr>
          <w:p w14:paraId="4A58E2C0">
            <w:pPr>
              <w:pStyle w:val="148"/>
              <w:jc w:val="center"/>
              <w:rPr>
                <w:color w:val="000000" w:themeColor="text1"/>
                <w14:textFill>
                  <w14:solidFill>
                    <w14:schemeClr w14:val="tx1"/>
                  </w14:solidFill>
                </w14:textFill>
              </w:rPr>
            </w:pPr>
            <w:r>
              <w:rPr>
                <w:color w:val="000000" w:themeColor="text1"/>
                <w14:textFill>
                  <w14:solidFill>
                    <w14:schemeClr w14:val="tx1"/>
                  </w14:solidFill>
                </w14:textFill>
              </w:rPr>
              <w:t>II</w:t>
            </w:r>
          </w:p>
        </w:tc>
        <w:tc>
          <w:tcPr>
            <w:tcW w:w="2880" w:type="dxa"/>
            <w:vAlign w:val="center"/>
          </w:tcPr>
          <w:p w14:paraId="4EFFC6DA">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严格执行操作规程</w:t>
            </w:r>
            <w:r>
              <w:rPr>
                <w:rFonts w:hint="eastAsia"/>
                <w:color w:val="000000" w:themeColor="text1"/>
                <w14:textFill>
                  <w14:solidFill>
                    <w14:schemeClr w14:val="tx1"/>
                  </w14:solidFill>
                </w14:textFill>
              </w:rPr>
              <w:t>；（2）作业</w:t>
            </w:r>
            <w:r>
              <w:rPr>
                <w:color w:val="000000" w:themeColor="text1"/>
                <w14:textFill>
                  <w14:solidFill>
                    <w14:schemeClr w14:val="tx1"/>
                  </w14:solidFill>
                </w14:textFill>
              </w:rPr>
              <w:t>前对工作面的安全处理</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在距坠落高度基准面2m以上（含2m）的高处作业时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w:t>
            </w:r>
            <w:r>
              <w:rPr>
                <w:rFonts w:hint="eastAsia"/>
                <w:color w:val="000000" w:themeColor="text1"/>
                <w14:textFill>
                  <w14:solidFill>
                    <w14:schemeClr w14:val="tx1"/>
                  </w14:solidFill>
                </w14:textFill>
              </w:rPr>
              <w:t>佩戴</w:t>
            </w:r>
            <w:r>
              <w:rPr>
                <w:color w:val="000000" w:themeColor="text1"/>
                <w14:textFill>
                  <w14:solidFill>
                    <w14:schemeClr w14:val="tx1"/>
                  </w14:solidFill>
                </w14:textFill>
              </w:rPr>
              <w:t>安全带或设置安全网、护栏等防护设施</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依据作业设备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确定合理台阶高度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最小工作平台宽度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最小工作线长度</w:t>
            </w:r>
            <w:r>
              <w:rPr>
                <w:rFonts w:hint="eastAsia"/>
                <w:color w:val="000000" w:themeColor="text1"/>
                <w14:textFill>
                  <w14:solidFill>
                    <w14:schemeClr w14:val="tx1"/>
                  </w14:solidFill>
                </w14:textFill>
              </w:rPr>
              <w:t>；</w:t>
            </w:r>
          </w:p>
        </w:tc>
      </w:tr>
      <w:tr w14:paraId="2BE3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vAlign w:val="center"/>
          </w:tcPr>
          <w:p w14:paraId="51F9F614">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其他行为性危险和有害因素</w:t>
            </w:r>
          </w:p>
        </w:tc>
        <w:tc>
          <w:tcPr>
            <w:tcW w:w="3261" w:type="dxa"/>
            <w:vAlign w:val="center"/>
          </w:tcPr>
          <w:p w14:paraId="7D624770">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暴雨排水不及时</w:t>
            </w:r>
          </w:p>
        </w:tc>
        <w:tc>
          <w:tcPr>
            <w:tcW w:w="992" w:type="dxa"/>
            <w:vAlign w:val="center"/>
          </w:tcPr>
          <w:p w14:paraId="3E5B7C4A">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落水</w:t>
            </w:r>
          </w:p>
        </w:tc>
        <w:tc>
          <w:tcPr>
            <w:tcW w:w="1134" w:type="dxa"/>
            <w:vAlign w:val="center"/>
          </w:tcPr>
          <w:p w14:paraId="56BBEC3D">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425" w:type="dxa"/>
            <w:vAlign w:val="center"/>
          </w:tcPr>
          <w:p w14:paraId="0262B356">
            <w:pPr>
              <w:pStyle w:val="148"/>
              <w:ind w:firstLine="560"/>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ROMAN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ROMAN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p>
        </w:tc>
        <w:tc>
          <w:tcPr>
            <w:tcW w:w="2880" w:type="dxa"/>
            <w:vAlign w:val="center"/>
          </w:tcPr>
          <w:p w14:paraId="1F868F2F">
            <w:pPr>
              <w:pStyle w:val="148"/>
              <w:numPr>
                <w:ilvl w:val="0"/>
                <w:numId w:val="9"/>
              </w:num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及时排水 </w:t>
            </w:r>
          </w:p>
          <w:p w14:paraId="082FC69C">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（2）设置警示标识。</w:t>
            </w:r>
          </w:p>
        </w:tc>
      </w:tr>
      <w:tr w14:paraId="3D2E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2" w:type="dxa"/>
            <w:vAlign w:val="center"/>
          </w:tcPr>
          <w:p w14:paraId="414BC128">
            <w:pPr>
              <w:pStyle w:val="148"/>
              <w:ind w:firstLine="560"/>
              <w:rPr>
                <w:color w:val="000000" w:themeColor="text1"/>
                <w14:textFill>
                  <w14:solidFill>
                    <w14:schemeClr w14:val="tx1"/>
                  </w14:solidFill>
                </w14:textFill>
              </w:rPr>
            </w:pPr>
            <w:bookmarkStart w:id="2308" w:name="_Toc14903"/>
            <w:bookmarkStart w:id="2309" w:name="_Toc19853"/>
            <w:bookmarkStart w:id="2310" w:name="_Toc6856"/>
            <w:bookmarkStart w:id="2311" w:name="_Toc31537"/>
            <w:bookmarkStart w:id="2312" w:name="_Toc21320"/>
            <w:bookmarkStart w:id="2313" w:name="_Toc12664"/>
            <w:bookmarkStart w:id="2314" w:name="_Toc6811"/>
            <w:bookmarkStart w:id="2315" w:name="_Toc24599"/>
            <w:r>
              <w:rPr>
                <w:rFonts w:hint="eastAsia"/>
                <w:color w:val="000000" w:themeColor="text1"/>
                <w14:textFill>
                  <w14:solidFill>
                    <w14:schemeClr w14:val="tx1"/>
                  </w14:solidFill>
                </w14:textFill>
              </w:rPr>
              <w:t>易燃固体</w:t>
            </w:r>
          </w:p>
        </w:tc>
        <w:tc>
          <w:tcPr>
            <w:tcW w:w="3261" w:type="dxa"/>
            <w:vAlign w:val="center"/>
          </w:tcPr>
          <w:p w14:paraId="123DE0C5">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采场区域堆放清理的树木和植物等可燃物资</w:t>
            </w:r>
          </w:p>
        </w:tc>
        <w:tc>
          <w:tcPr>
            <w:tcW w:w="992" w:type="dxa"/>
            <w:vAlign w:val="center"/>
          </w:tcPr>
          <w:p w14:paraId="6AE492BF">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森林火灾</w:t>
            </w:r>
          </w:p>
        </w:tc>
        <w:tc>
          <w:tcPr>
            <w:tcW w:w="1134" w:type="dxa"/>
            <w:vAlign w:val="center"/>
          </w:tcPr>
          <w:p w14:paraId="5DDE978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财产损失</w:t>
            </w:r>
          </w:p>
        </w:tc>
        <w:tc>
          <w:tcPr>
            <w:tcW w:w="425" w:type="dxa"/>
            <w:vAlign w:val="center"/>
          </w:tcPr>
          <w:p w14:paraId="3F6816D8">
            <w:pPr>
              <w:pStyle w:val="148"/>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ROMAN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p>
        </w:tc>
        <w:tc>
          <w:tcPr>
            <w:tcW w:w="2880" w:type="dxa"/>
            <w:vAlign w:val="center"/>
          </w:tcPr>
          <w:p w14:paraId="17413F87">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及时清理采场内杂物。</w:t>
            </w:r>
          </w:p>
        </w:tc>
      </w:t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tbl>
    <w:p w14:paraId="48E66474">
      <w:pPr>
        <w:pStyle w:val="6"/>
        <w:spacing w:before="120" w:after="120"/>
        <w:rPr>
          <w:color w:val="000000" w:themeColor="text1"/>
          <w14:textFill>
            <w14:solidFill>
              <w14:schemeClr w14:val="tx1"/>
            </w14:solidFill>
          </w14:textFill>
        </w:rPr>
      </w:pPr>
      <w:bookmarkStart w:id="2316" w:name="_Toc31251"/>
      <w:bookmarkStart w:id="2317" w:name="_Toc215070262"/>
      <w:bookmarkStart w:id="2318" w:name="_Toc25577"/>
      <w:bookmarkStart w:id="2319" w:name="_Toc123845884"/>
      <w:bookmarkStart w:id="2320" w:name="_Toc17537"/>
      <w:bookmarkStart w:id="2321" w:name="_Toc17060"/>
      <w:bookmarkStart w:id="2322" w:name="_Toc12569"/>
      <w:bookmarkStart w:id="2323" w:name="_Toc9796"/>
      <w:bookmarkStart w:id="2324" w:name="_Toc15736"/>
      <w:bookmarkStart w:id="2325" w:name="_Toc9983"/>
      <w:bookmarkStart w:id="2326" w:name="_Toc20545"/>
      <w:bookmarkStart w:id="2327" w:name="_Toc22279"/>
      <w:bookmarkStart w:id="2328" w:name="_Toc19569"/>
      <w:bookmarkStart w:id="2329" w:name="_Toc6912"/>
      <w:r>
        <w:rPr>
          <w:rFonts w:hint="eastAsia"/>
          <w:color w:val="000000" w:themeColor="text1"/>
          <w14:textFill>
            <w14:solidFill>
              <w14:schemeClr w14:val="tx1"/>
            </w14:solidFill>
          </w14:textFill>
        </w:rPr>
        <w:t>3.4.1.3露天采场子单元安全检查表法分析</w:t>
      </w:r>
      <w:bookmarkEnd w:id="2316"/>
      <w:bookmarkEnd w:id="2317"/>
    </w:p>
    <w:p w14:paraId="49A88C15">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表3.3-2露天采场子单元安全检查表</w:t>
      </w:r>
    </w:p>
    <w:tbl>
      <w:tblPr>
        <w:tblStyle w:val="44"/>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050"/>
        <w:gridCol w:w="2031"/>
        <w:gridCol w:w="2541"/>
        <w:gridCol w:w="1024"/>
      </w:tblGrid>
      <w:tr w14:paraId="5A83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988" w:type="dxa"/>
            <w:vAlign w:val="center"/>
          </w:tcPr>
          <w:p w14:paraId="6212E894">
            <w:pPr>
              <w:pStyle w:val="67"/>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3050" w:type="dxa"/>
            <w:vAlign w:val="center"/>
          </w:tcPr>
          <w:p w14:paraId="0A7165A3">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检查内容</w:t>
            </w:r>
          </w:p>
        </w:tc>
        <w:tc>
          <w:tcPr>
            <w:tcW w:w="2031" w:type="dxa"/>
            <w:vAlign w:val="center"/>
          </w:tcPr>
          <w:p w14:paraId="3B54D8F6">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依据标准条款</w:t>
            </w:r>
          </w:p>
        </w:tc>
        <w:tc>
          <w:tcPr>
            <w:tcW w:w="2541" w:type="dxa"/>
            <w:vAlign w:val="center"/>
          </w:tcPr>
          <w:p w14:paraId="4114186E">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1024" w:type="dxa"/>
            <w:vAlign w:val="center"/>
          </w:tcPr>
          <w:p w14:paraId="3AF9FD3E">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w:t>
            </w:r>
          </w:p>
          <w:p w14:paraId="2374FFBA">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结果</w:t>
            </w:r>
          </w:p>
        </w:tc>
      </w:tr>
      <w:tr w14:paraId="2056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988" w:type="dxa"/>
            <w:vAlign w:val="center"/>
          </w:tcPr>
          <w:p w14:paraId="7AED6BCA">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3050" w:type="dxa"/>
            <w:vAlign w:val="center"/>
          </w:tcPr>
          <w:p w14:paraId="014D218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露天开采应遵循自上而下的开采顺序，分台阶开采。生产台阶高度应符合表1（</w:t>
            </w:r>
            <w:r>
              <w:rPr>
                <w:rFonts w:hint="default"/>
                <w:color w:val="000000" w:themeColor="text1"/>
                <w14:textFill>
                  <w14:solidFill>
                    <w14:schemeClr w14:val="tx1"/>
                  </w14:solidFill>
                </w14:textFill>
              </w:rPr>
              <w:t>生产台阶高度</w:t>
            </w:r>
            <w:r>
              <w:rPr>
                <w:color w:val="000000" w:themeColor="text1"/>
                <w14:textFill>
                  <w14:solidFill>
                    <w14:schemeClr w14:val="tx1"/>
                  </w14:solidFill>
                </w14:textFill>
              </w:rPr>
              <w:t>）的规定。</w:t>
            </w:r>
          </w:p>
        </w:tc>
        <w:tc>
          <w:tcPr>
            <w:tcW w:w="2031" w:type="dxa"/>
            <w:vAlign w:val="center"/>
          </w:tcPr>
          <w:p w14:paraId="070B859F">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《金属非金属矿山安全规程》GB16423 -2020第5.2.1.1条</w:t>
            </w:r>
          </w:p>
        </w:tc>
        <w:tc>
          <w:tcPr>
            <w:tcW w:w="2541" w:type="dxa"/>
            <w:vAlign w:val="center"/>
          </w:tcPr>
          <w:p w14:paraId="6011CED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矿山遵守自上而下的开采顺序，台阶高度不大于挖掘机最大挖掘高度。</w:t>
            </w:r>
          </w:p>
        </w:tc>
        <w:tc>
          <w:tcPr>
            <w:tcW w:w="1024" w:type="dxa"/>
            <w:vAlign w:val="center"/>
          </w:tcPr>
          <w:p w14:paraId="263A298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200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988" w:type="dxa"/>
            <w:vAlign w:val="center"/>
          </w:tcPr>
          <w:p w14:paraId="40B3E19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3050" w:type="dxa"/>
            <w:vAlign w:val="center"/>
          </w:tcPr>
          <w:p w14:paraId="4FE28672">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露天矿山应该采用机械方式进行开采。</w:t>
            </w:r>
          </w:p>
        </w:tc>
        <w:tc>
          <w:tcPr>
            <w:tcW w:w="2031" w:type="dxa"/>
            <w:vAlign w:val="center"/>
          </w:tcPr>
          <w:p w14:paraId="404C916A">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《金属非金属矿山安全规程》GB16423 -2020第5.2.1.2条</w:t>
            </w:r>
          </w:p>
        </w:tc>
        <w:tc>
          <w:tcPr>
            <w:tcW w:w="2541" w:type="dxa"/>
            <w:vAlign w:val="center"/>
          </w:tcPr>
          <w:p w14:paraId="54736CB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采用机械开采方式。</w:t>
            </w:r>
          </w:p>
        </w:tc>
        <w:tc>
          <w:tcPr>
            <w:tcW w:w="1024" w:type="dxa"/>
            <w:vAlign w:val="center"/>
          </w:tcPr>
          <w:p w14:paraId="6B1EA72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95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988" w:type="dxa"/>
            <w:vAlign w:val="center"/>
          </w:tcPr>
          <w:p w14:paraId="3B80EB9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3050" w:type="dxa"/>
            <w:vAlign w:val="center"/>
          </w:tcPr>
          <w:p w14:paraId="5BDBBAB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多台阶并段时并段数量不超过3个，且不应影响边坡稳定性及下部作业安全。</w:t>
            </w:r>
          </w:p>
        </w:tc>
        <w:tc>
          <w:tcPr>
            <w:tcW w:w="2031" w:type="dxa"/>
            <w:vAlign w:val="center"/>
          </w:tcPr>
          <w:p w14:paraId="17966EF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《金属非金属矿山安全规程》GB16423 -2020第5.2.1.3条</w:t>
            </w:r>
          </w:p>
        </w:tc>
        <w:tc>
          <w:tcPr>
            <w:tcW w:w="2541" w:type="dxa"/>
            <w:vAlign w:val="center"/>
          </w:tcPr>
          <w:p w14:paraId="012C094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矿山台阶并段不超过2个。</w:t>
            </w:r>
          </w:p>
        </w:tc>
        <w:tc>
          <w:tcPr>
            <w:tcW w:w="1024" w:type="dxa"/>
            <w:vAlign w:val="center"/>
          </w:tcPr>
          <w:p w14:paraId="116D5CF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65F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88" w:type="dxa"/>
            <w:vAlign w:val="center"/>
          </w:tcPr>
          <w:p w14:paraId="0F651A57">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3050" w:type="dxa"/>
            <w:vAlign w:val="center"/>
          </w:tcPr>
          <w:p w14:paraId="34B0369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露天采场应设安全平台和清扫平台。人工清扫平台宽度不小于6m，机械清扫平台宽度应满足设备要求且不小于8m。</w:t>
            </w:r>
          </w:p>
        </w:tc>
        <w:tc>
          <w:tcPr>
            <w:tcW w:w="2031" w:type="dxa"/>
            <w:vAlign w:val="center"/>
          </w:tcPr>
          <w:p w14:paraId="672BED4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《金属非金属矿山安全规程》GB16423 -2020第5.2.1.4条</w:t>
            </w:r>
          </w:p>
        </w:tc>
        <w:tc>
          <w:tcPr>
            <w:tcW w:w="2541" w:type="dxa"/>
            <w:vAlign w:val="center"/>
          </w:tcPr>
          <w:p w14:paraId="1B3B976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安全平台宽度5m，清扫平台宽度8m，2个安全平台设置一个清扫平台。</w:t>
            </w:r>
          </w:p>
        </w:tc>
        <w:tc>
          <w:tcPr>
            <w:tcW w:w="1024" w:type="dxa"/>
            <w:vAlign w:val="center"/>
          </w:tcPr>
          <w:p w14:paraId="582B0B5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30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988" w:type="dxa"/>
            <w:vAlign w:val="center"/>
          </w:tcPr>
          <w:p w14:paraId="1153069A">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3050" w:type="dxa"/>
            <w:vAlign w:val="center"/>
          </w:tcPr>
          <w:p w14:paraId="3930F8B8">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露天边坡应符合设计要求，保证边坡整体的安全稳定。</w:t>
            </w:r>
          </w:p>
        </w:tc>
        <w:tc>
          <w:tcPr>
            <w:tcW w:w="2031" w:type="dxa"/>
            <w:vAlign w:val="center"/>
          </w:tcPr>
          <w:p w14:paraId="26C27C3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《金属非金属矿山安全规程》GB16423 -2020第5.2.4.1条</w:t>
            </w:r>
          </w:p>
        </w:tc>
        <w:tc>
          <w:tcPr>
            <w:tcW w:w="2541" w:type="dxa"/>
            <w:vAlign w:val="center"/>
          </w:tcPr>
          <w:p w14:paraId="0E242DD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按照设计要求施工建设。</w:t>
            </w:r>
          </w:p>
        </w:tc>
        <w:tc>
          <w:tcPr>
            <w:tcW w:w="1024" w:type="dxa"/>
            <w:vAlign w:val="center"/>
          </w:tcPr>
          <w:p w14:paraId="1D002FA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6ED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88" w:type="dxa"/>
            <w:vAlign w:val="center"/>
          </w:tcPr>
          <w:p w14:paraId="70E5F9DF">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3050" w:type="dxa"/>
            <w:vAlign w:val="center"/>
          </w:tcPr>
          <w:p w14:paraId="41AFC697">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临近最终边坡作业应遵守下列规定：（1）采用控制爆破减震；（2）保持台阶的安全坡面角，不应超挖坡底。</w:t>
            </w:r>
          </w:p>
        </w:tc>
        <w:tc>
          <w:tcPr>
            <w:tcW w:w="2031" w:type="dxa"/>
            <w:vAlign w:val="center"/>
          </w:tcPr>
          <w:p w14:paraId="0F625BF6">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《金属非金属矿山安全规程》GB16423 -2020第5.2.4.2条</w:t>
            </w:r>
          </w:p>
        </w:tc>
        <w:tc>
          <w:tcPr>
            <w:tcW w:w="2541" w:type="dxa"/>
            <w:vAlign w:val="center"/>
          </w:tcPr>
          <w:p w14:paraId="4B6E9C52">
            <w:pPr>
              <w:pStyle w:val="71"/>
              <w:ind w:firstLine="56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靠帮时采用预裂爆破</w:t>
            </w:r>
            <w:r>
              <w:rPr>
                <w:color w:val="000000" w:themeColor="text1"/>
                <w14:textFill>
                  <w14:solidFill>
                    <w14:schemeClr w14:val="tx1"/>
                  </w14:solidFill>
                </w14:textFill>
              </w:rPr>
              <w:t>，</w:t>
            </w:r>
            <w:r>
              <w:rPr>
                <w:rFonts w:hint="default"/>
                <w:color w:val="000000" w:themeColor="text1"/>
                <w14:textFill>
                  <w14:solidFill>
                    <w14:schemeClr w14:val="tx1"/>
                  </w14:solidFill>
                </w14:textFill>
              </w:rPr>
              <w:t>以减小爆破地震波对边坡的破坏</w:t>
            </w:r>
            <w:r>
              <w:rPr>
                <w:color w:val="000000" w:themeColor="text1"/>
                <w14:textFill>
                  <w14:solidFill>
                    <w14:schemeClr w14:val="tx1"/>
                  </w14:solidFill>
                </w14:textFill>
              </w:rPr>
              <w:t>。</w:t>
            </w:r>
          </w:p>
        </w:tc>
        <w:tc>
          <w:tcPr>
            <w:tcW w:w="1024" w:type="dxa"/>
            <w:vAlign w:val="center"/>
          </w:tcPr>
          <w:p w14:paraId="6D6FD93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B0D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988" w:type="dxa"/>
            <w:vAlign w:val="center"/>
          </w:tcPr>
          <w:p w14:paraId="003C6171">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3050" w:type="dxa"/>
            <w:vAlign w:val="center"/>
          </w:tcPr>
          <w:p w14:paraId="2772EB8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遇有下列情况时，应采取有效的安全措施：（1）岩层内倾于采场，且设计边坡角大于岩层倾角；（2）有多组节理、裂隙空间组合结构面内倾于采场；（3）有较大软弱结构面切割边坡；（4）构成不稳定的潜在滑坡体的边坡。</w:t>
            </w:r>
          </w:p>
        </w:tc>
        <w:tc>
          <w:tcPr>
            <w:tcW w:w="2031" w:type="dxa"/>
            <w:vAlign w:val="center"/>
          </w:tcPr>
          <w:p w14:paraId="7EC1FB05">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72C7F5C2">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第5.2.4.3条</w:t>
            </w:r>
          </w:p>
        </w:tc>
        <w:tc>
          <w:tcPr>
            <w:tcW w:w="2541" w:type="dxa"/>
            <w:vAlign w:val="center"/>
          </w:tcPr>
          <w:p w14:paraId="7C2C18EC">
            <w:pPr>
              <w:pStyle w:val="71"/>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w:t>
            </w:r>
            <w:r>
              <w:rPr>
                <w:color w:val="000000" w:themeColor="text1"/>
                <w14:textFill>
                  <w14:solidFill>
                    <w14:schemeClr w14:val="tx1"/>
                  </w14:solidFill>
                </w14:textFill>
              </w:rPr>
              <w:t>云南省广南县者太普通建筑石料用石灰岩矿资源量核实报告（2023 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评审意见书，矿区属构造剥蚀—溶蚀低中山地貌区，微地貌形态为溶蚀沟谷地貌。总体地形东高西低，最高为矿区北东部矿3附近，标高1430m，最低为矿1附近，标高1294m，最大相对高差136m。地形坡度一般20—35°，局部为陡崖，地势较陡，地形复杂程度为中等类型。</w:t>
            </w:r>
          </w:p>
        </w:tc>
        <w:tc>
          <w:tcPr>
            <w:tcW w:w="1024" w:type="dxa"/>
            <w:vAlign w:val="center"/>
          </w:tcPr>
          <w:p w14:paraId="42C502E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F67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988" w:type="dxa"/>
            <w:vAlign w:val="center"/>
          </w:tcPr>
          <w:p w14:paraId="67FAC5F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c>
          <w:tcPr>
            <w:tcW w:w="3050" w:type="dxa"/>
            <w:vAlign w:val="center"/>
          </w:tcPr>
          <w:p w14:paraId="1A88FFAE">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边坡浮石清除完毕之前不应在边坡底部作业；人员和设备不应在边坡底部停留。</w:t>
            </w:r>
          </w:p>
        </w:tc>
        <w:tc>
          <w:tcPr>
            <w:tcW w:w="2031" w:type="dxa"/>
            <w:vAlign w:val="center"/>
          </w:tcPr>
          <w:p w14:paraId="14C5681E">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《金属非金属矿山安全规程》GB16423 -2020第5.2.4.4条</w:t>
            </w:r>
          </w:p>
        </w:tc>
        <w:tc>
          <w:tcPr>
            <w:tcW w:w="2541" w:type="dxa"/>
            <w:vAlign w:val="center"/>
          </w:tcPr>
          <w:p w14:paraId="7437F95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对边坡浮石进行清理，开采区域正上方为巡查重点区域，边坡浮石清除完毕之前不应在边坡底部作业。</w:t>
            </w:r>
          </w:p>
        </w:tc>
        <w:tc>
          <w:tcPr>
            <w:tcW w:w="1024" w:type="dxa"/>
            <w:vAlign w:val="center"/>
          </w:tcPr>
          <w:p w14:paraId="2264C85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CB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Align w:val="center"/>
          </w:tcPr>
          <w:p w14:paraId="05D3BCA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9</w:t>
            </w:r>
          </w:p>
        </w:tc>
        <w:tc>
          <w:tcPr>
            <w:tcW w:w="3050" w:type="dxa"/>
            <w:vAlign w:val="center"/>
          </w:tcPr>
          <w:p w14:paraId="26F88FE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露天采场工作边坡应每季度检查1次，运输或者行人的非工作边坡每半年检查1次；边坡出现滑坡或者坍塌迹象时，应立即停止受影响区域的生产作业，撤出相关人员和设备，采取安全措施；高度超过200m的露天边坡应进行在线监测，对承受水压的边坡应进行水压监测。</w:t>
            </w:r>
          </w:p>
        </w:tc>
        <w:tc>
          <w:tcPr>
            <w:tcW w:w="2031" w:type="dxa"/>
            <w:vAlign w:val="center"/>
          </w:tcPr>
          <w:p w14:paraId="28B59731">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《金属非金属矿山安全规程》GB16423 -2020第5.2.4.6条</w:t>
            </w:r>
          </w:p>
        </w:tc>
        <w:tc>
          <w:tcPr>
            <w:tcW w:w="2541" w:type="dxa"/>
            <w:vAlign w:val="center"/>
          </w:tcPr>
          <w:p w14:paraId="5975F97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终了边坡高度小于110m，不需要进行在线监测，矿山建立了《边坡安全管理制度》。但矿山还需要建立《边坡安全检查制度》。</w:t>
            </w:r>
          </w:p>
        </w:tc>
        <w:tc>
          <w:tcPr>
            <w:tcW w:w="1024" w:type="dxa"/>
            <w:vAlign w:val="center"/>
          </w:tcPr>
          <w:p w14:paraId="1DEFE25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3011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988" w:type="dxa"/>
            <w:vAlign w:val="center"/>
          </w:tcPr>
          <w:p w14:paraId="1E3766E6">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10</w:t>
            </w:r>
          </w:p>
        </w:tc>
        <w:tc>
          <w:tcPr>
            <w:tcW w:w="3050" w:type="dxa"/>
            <w:vAlign w:val="center"/>
          </w:tcPr>
          <w:p w14:paraId="4E733E20">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露天采场内建（构）筑物与露天采场边坡的距离应符合下列规定：（1）露天采场内的建（构）筑物与露天采场边坡的距离应符合现行国家标准《建筑边坡工程技术规范》GB50330的有关规定，并应保证其影响区域的总体边坡的稳定性。（2）重型设备平盘距稳定边坡的安全距离应通过计算确定。</w:t>
            </w:r>
          </w:p>
        </w:tc>
        <w:tc>
          <w:tcPr>
            <w:tcW w:w="2031" w:type="dxa"/>
            <w:vAlign w:val="center"/>
          </w:tcPr>
          <w:p w14:paraId="362330C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《冶金矿山采矿设计规范》GB50830- 2013第6.2.11条</w:t>
            </w:r>
          </w:p>
        </w:tc>
        <w:tc>
          <w:tcPr>
            <w:tcW w:w="2541" w:type="dxa"/>
            <w:vAlign w:val="center"/>
          </w:tcPr>
          <w:p w14:paraId="7F135CB7">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露天采场内建（构）筑物为厂区道路，无重型设备，基础稳固。</w:t>
            </w:r>
          </w:p>
        </w:tc>
        <w:tc>
          <w:tcPr>
            <w:tcW w:w="1024" w:type="dxa"/>
            <w:vAlign w:val="center"/>
          </w:tcPr>
          <w:p w14:paraId="24D8E68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76B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988" w:type="dxa"/>
            <w:vAlign w:val="center"/>
          </w:tcPr>
          <w:p w14:paraId="2283670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11</w:t>
            </w:r>
          </w:p>
        </w:tc>
        <w:tc>
          <w:tcPr>
            <w:tcW w:w="3050" w:type="dxa"/>
            <w:vAlign w:val="center"/>
          </w:tcPr>
          <w:p w14:paraId="26152488">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掏底崩落、掏挖开采、不分层的”“一面墙”开采（金属非金属露天矿山自发布之日起立即禁止使用）</w:t>
            </w:r>
          </w:p>
        </w:tc>
        <w:tc>
          <w:tcPr>
            <w:tcW w:w="2031" w:type="dxa"/>
            <w:vAlign w:val="center"/>
          </w:tcPr>
          <w:p w14:paraId="142741D6">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《国家安全监管总局关于发布金属非金属矿山禁止使用的设备及工艺目录（第二批）的通知》（安监总管-〔2015〕13号）</w:t>
            </w:r>
          </w:p>
        </w:tc>
        <w:tc>
          <w:tcPr>
            <w:tcW w:w="2541" w:type="dxa"/>
            <w:vAlign w:val="center"/>
          </w:tcPr>
          <w:p w14:paraId="41156C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矿山采用自上而下分层进行开采。</w:t>
            </w:r>
          </w:p>
        </w:tc>
        <w:tc>
          <w:tcPr>
            <w:tcW w:w="1024" w:type="dxa"/>
            <w:vAlign w:val="center"/>
          </w:tcPr>
          <w:p w14:paraId="6DF83DE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008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988" w:type="dxa"/>
            <w:vAlign w:val="center"/>
          </w:tcPr>
          <w:p w14:paraId="3237C328">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12</w:t>
            </w:r>
          </w:p>
        </w:tc>
        <w:tc>
          <w:tcPr>
            <w:tcW w:w="3050" w:type="dxa"/>
            <w:vAlign w:val="center"/>
          </w:tcPr>
          <w:p w14:paraId="2046ADF3">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矿山宜有专人负责有关边坡数据的搜集和整理、边坡日常维护、边坡监测及相关的管理工作。</w:t>
            </w:r>
          </w:p>
        </w:tc>
        <w:tc>
          <w:tcPr>
            <w:tcW w:w="2031" w:type="dxa"/>
            <w:vAlign w:val="center"/>
          </w:tcPr>
          <w:p w14:paraId="528C03A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《非煤露天矿边坡工程技术规范》GB51016 -2014第7.1.1条</w:t>
            </w:r>
          </w:p>
        </w:tc>
        <w:tc>
          <w:tcPr>
            <w:tcW w:w="2541" w:type="dxa"/>
            <w:vAlign w:val="center"/>
          </w:tcPr>
          <w:p w14:paraId="6074858A">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对采场边坡应进行定点、定期观测，并做好观测记录，发现问题要及时处理。</w:t>
            </w:r>
          </w:p>
        </w:tc>
        <w:tc>
          <w:tcPr>
            <w:tcW w:w="1024" w:type="dxa"/>
            <w:vAlign w:val="center"/>
          </w:tcPr>
          <w:p w14:paraId="7133EC9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5DE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988" w:type="dxa"/>
            <w:vAlign w:val="center"/>
          </w:tcPr>
          <w:p w14:paraId="19911CB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13</w:t>
            </w:r>
          </w:p>
        </w:tc>
        <w:tc>
          <w:tcPr>
            <w:tcW w:w="3050" w:type="dxa"/>
            <w:vAlign w:val="center"/>
          </w:tcPr>
          <w:p w14:paraId="6F0815A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金属非金属露天矿山应根据GB16423和GB51016的要求和矿山实际建设实施采场边坡安全监测。</w:t>
            </w:r>
          </w:p>
        </w:tc>
        <w:tc>
          <w:tcPr>
            <w:tcW w:w="2031" w:type="dxa"/>
            <w:vAlign w:val="center"/>
          </w:tcPr>
          <w:p w14:paraId="2433EB88">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《金属非金属露天矿山高陡边坡安全监测技术规范》AQ/T2063 -2018第4.1.1条</w:t>
            </w:r>
          </w:p>
        </w:tc>
        <w:tc>
          <w:tcPr>
            <w:tcW w:w="2541" w:type="dxa"/>
            <w:vAlign w:val="center"/>
          </w:tcPr>
          <w:p w14:paraId="76DF930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采场终了边坡高度不大于 110m，建立边坡检查制度按要求开展边坡检查。</w:t>
            </w:r>
          </w:p>
        </w:tc>
        <w:tc>
          <w:tcPr>
            <w:tcW w:w="1024" w:type="dxa"/>
            <w:vAlign w:val="center"/>
          </w:tcPr>
          <w:p w14:paraId="7A1940F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770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988" w:type="dxa"/>
            <w:vAlign w:val="center"/>
          </w:tcPr>
          <w:p w14:paraId="3261232F">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14</w:t>
            </w:r>
          </w:p>
        </w:tc>
        <w:tc>
          <w:tcPr>
            <w:tcW w:w="3050" w:type="dxa"/>
            <w:vAlign w:val="center"/>
          </w:tcPr>
          <w:p w14:paraId="538F855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当没有形成最终边坡时，应在采场边坡设置临时监测点；形成最终边坡时，在最终边坡上设置长期监测点。</w:t>
            </w:r>
          </w:p>
        </w:tc>
        <w:tc>
          <w:tcPr>
            <w:tcW w:w="2031" w:type="dxa"/>
            <w:vAlign w:val="center"/>
          </w:tcPr>
          <w:p w14:paraId="43FBF89B">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《金属非金属露天矿山高陡边坡安全监测技术规范》AQ/T2063 -2018第4.1.3条</w:t>
            </w:r>
          </w:p>
        </w:tc>
        <w:tc>
          <w:tcPr>
            <w:tcW w:w="2541" w:type="dxa"/>
            <w:vAlign w:val="center"/>
          </w:tcPr>
          <w:p w14:paraId="347D3883">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采场边坡定点、定期监测按设计设置。</w:t>
            </w:r>
          </w:p>
        </w:tc>
        <w:tc>
          <w:tcPr>
            <w:tcW w:w="1024" w:type="dxa"/>
            <w:vAlign w:val="center"/>
          </w:tcPr>
          <w:p w14:paraId="42EDCA2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519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988" w:type="dxa"/>
            <w:vAlign w:val="center"/>
          </w:tcPr>
          <w:p w14:paraId="729E79C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15</w:t>
            </w:r>
          </w:p>
        </w:tc>
        <w:tc>
          <w:tcPr>
            <w:tcW w:w="3050" w:type="dxa"/>
            <w:vAlign w:val="center"/>
          </w:tcPr>
          <w:p w14:paraId="44B3739B">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新建、改建、扩建的金属非金属地下矿山一律禁止使用得设备及工艺，现有生产地下矿山在用的下列设备及工艺（金属非金属露天矿山自发布之日起一年后禁止使用）</w:t>
            </w:r>
          </w:p>
        </w:tc>
        <w:tc>
          <w:tcPr>
            <w:tcW w:w="2031" w:type="dxa"/>
            <w:vAlign w:val="center"/>
          </w:tcPr>
          <w:p w14:paraId="3366DBC0">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《国家安全监管总局关于发布金属非金属矿山禁止使用的设备及工艺目录（第一批）的通知》（国家安全监管总局2013年9月6日安监总管—〔2013〕101号）</w:t>
            </w:r>
          </w:p>
        </w:tc>
        <w:tc>
          <w:tcPr>
            <w:tcW w:w="2541" w:type="dxa"/>
            <w:vAlign w:val="center"/>
          </w:tcPr>
          <w:p w14:paraId="0C091172">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c>
          <w:tcPr>
            <w:tcW w:w="1024" w:type="dxa"/>
            <w:vAlign w:val="center"/>
          </w:tcPr>
          <w:p w14:paraId="52EEFA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bl>
    <w:p w14:paraId="36403DAD">
      <w:pPr>
        <w:pStyle w:val="6"/>
        <w:spacing w:before="120" w:after="120"/>
        <w:rPr>
          <w:color w:val="000000" w:themeColor="text1"/>
          <w14:textFill>
            <w14:solidFill>
              <w14:schemeClr w14:val="tx1"/>
            </w14:solidFill>
          </w14:textFill>
        </w:rPr>
      </w:pPr>
      <w:bookmarkStart w:id="2330" w:name="_Toc21586"/>
      <w:bookmarkStart w:id="2331" w:name="_Toc215070263"/>
      <w:r>
        <w:rPr>
          <w:color w:val="000000" w:themeColor="text1"/>
          <w14:textFill>
            <w14:solidFill>
              <w14:schemeClr w14:val="tx1"/>
            </w14:solidFill>
          </w14:textFill>
        </w:rPr>
        <w:t>3.</w:t>
      </w:r>
      <w:r>
        <w:rPr>
          <w:rFonts w:hint="eastAsia"/>
          <w:color w:val="000000" w:themeColor="text1"/>
          <w14:textFill>
            <w14:solidFill>
              <w14:schemeClr w14:val="tx1"/>
            </w14:solidFill>
          </w14:textFill>
        </w:rPr>
        <w:t>4.1.4</w:t>
      </w:r>
      <w:r>
        <w:rPr>
          <w:color w:val="000000" w:themeColor="text1"/>
          <w14:textFill>
            <w14:solidFill>
              <w14:schemeClr w14:val="tx1"/>
            </w14:solidFill>
          </w14:textFill>
        </w:rPr>
        <w:t>边坡高处坠落事故树分析</w:t>
      </w:r>
      <w:bookmarkEnd w:id="2318"/>
      <w:bookmarkEnd w:id="2319"/>
      <w:bookmarkEnd w:id="2330"/>
      <w:bookmarkEnd w:id="2331"/>
    </w:p>
    <w:p w14:paraId="598AD66F">
      <w:pPr>
        <w:ind w:firstLine="560"/>
        <w:rPr>
          <w:color w:val="000000" w:themeColor="text1"/>
          <w14:textFill>
            <w14:solidFill>
              <w14:schemeClr w14:val="tx1"/>
            </w14:solidFill>
          </w14:textFill>
        </w:rPr>
      </w:pPr>
      <w:r>
        <w:rPr>
          <w:color w:val="000000" w:themeColor="text1"/>
          <w14:textFill>
            <w14:solidFill>
              <w14:schemeClr w14:val="tx1"/>
            </w14:solidFill>
          </w14:textFill>
        </w:rPr>
        <w:t>在露天边坡上进行浮石清理、装药、</w:t>
      </w:r>
      <w:r>
        <w:rPr>
          <w:rFonts w:hint="eastAsia"/>
          <w:color w:val="000000" w:themeColor="text1"/>
          <w14:textFill>
            <w14:solidFill>
              <w14:schemeClr w14:val="tx1"/>
            </w14:solidFill>
          </w14:textFill>
        </w:rPr>
        <w:t>连线</w:t>
      </w:r>
      <w:r>
        <w:rPr>
          <w:color w:val="000000" w:themeColor="text1"/>
          <w14:textFill>
            <w14:solidFill>
              <w14:schemeClr w14:val="tx1"/>
            </w14:solidFill>
          </w14:textFill>
        </w:rPr>
        <w:t>等作业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因作业条件差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安全防护措施不可靠等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极易发生人员高处坠落事故</w:t>
      </w:r>
      <w:r>
        <w:rPr>
          <w:rFonts w:hint="eastAsia"/>
          <w:color w:val="000000" w:themeColor="text1"/>
          <w14:textFill>
            <w14:solidFill>
              <w14:schemeClr w14:val="tx1"/>
            </w14:solidFill>
          </w14:textFill>
        </w:rPr>
        <w:t>。</w:t>
      </w:r>
    </w:p>
    <w:p w14:paraId="3E515031">
      <w:pPr>
        <w:ind w:firstLine="560"/>
        <w:rPr>
          <w:color w:val="000000" w:themeColor="text1"/>
          <w14:textFill>
            <w14:solidFill>
              <w14:schemeClr w14:val="tx1"/>
            </w14:solidFill>
          </w14:textFill>
        </w:rPr>
      </w:pPr>
      <w:r>
        <w:rPr>
          <w:color w:val="000000" w:themeColor="text1"/>
          <w14:textFill>
            <w14:solidFill>
              <w14:schemeClr w14:val="tx1"/>
            </w14:solidFill>
          </w14:textFill>
        </w:rPr>
        <w:t>露天采场边坡高处坠落死亡（重伤）事故树</w:t>
      </w:r>
      <w:r>
        <w:rPr>
          <w:rFonts w:hint="eastAsia"/>
          <w:color w:val="000000" w:themeColor="text1"/>
          <w14:textFill>
            <w14:solidFill>
              <w14:schemeClr w14:val="tx1"/>
            </w14:solidFill>
          </w14:textFill>
        </w:rPr>
        <w:t>（见</w:t>
      </w:r>
      <w:r>
        <w:rPr>
          <w:color w:val="000000" w:themeColor="text1"/>
          <w14:textFill>
            <w14:solidFill>
              <w14:schemeClr w14:val="tx1"/>
            </w14:solidFill>
          </w14:textFill>
        </w:rPr>
        <w:t>图3.3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tbl>
      <w:tblPr>
        <w:tblStyle w:val="4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1"/>
      </w:tblGrid>
      <w:tr w14:paraId="35764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1" w:type="dxa"/>
            <w:tcBorders>
              <w:tl2br w:val="nil"/>
              <w:tr2bl w:val="nil"/>
            </w:tcBorders>
          </w:tcPr>
          <w:p w14:paraId="507E48E8">
            <w:pPr>
              <w:ind w:firstLine="0" w:firstLineChars="0"/>
              <w:jc w:val="both"/>
              <w:rPr>
                <w:color w:val="000000" w:themeColor="text1"/>
                <w14:textFill>
                  <w14:solidFill>
                    <w14:schemeClr w14:val="tx1"/>
                  </w14:solidFill>
                </w14:textFill>
              </w:rPr>
            </w:pPr>
            <w:r>
              <w:rPr>
                <w:color w:val="000000" w:themeColor="text1"/>
                <w:sz w:val="24"/>
                <w14:textFill>
                  <w14:solidFill>
                    <w14:schemeClr w14:val="tx1"/>
                  </w14:solidFill>
                </w14:textFill>
              </w:rPr>
              <w:object>
                <v:shape id="_x0000_i1025" o:spt="75" type="#_x0000_t75" style="height:285.25pt;width:451.1pt;" o:ole="t" filled="f" o:preferrelative="t" stroked="f" coordsize="21600,21600">
                  <v:path/>
                  <v:fill on="f" focussize="0,0"/>
                  <v:stroke on="f" joinstyle="miter"/>
                  <v:imagedata r:id="rId47" cropleft="3849f" cropright="9218f" o:title=""/>
                  <o:lock v:ext="edit" aspectratio="t"/>
                  <w10:wrap type="none"/>
                  <w10:anchorlock/>
                </v:shape>
                <o:OLEObject Type="Embed" ProgID="Word.Picture.8" ShapeID="_x0000_i1025" DrawAspect="Content" ObjectID="_1468075725" r:id="rId46">
                  <o:LockedField>false</o:LockedField>
                </o:OLEObject>
              </w:object>
            </w:r>
          </w:p>
          <w:p w14:paraId="17BFD5B5">
            <w:pPr>
              <w:ind w:firstLine="482"/>
              <w:jc w:val="center"/>
              <w:rPr>
                <w:color w:val="000000" w:themeColor="text1"/>
                <w14:textFill>
                  <w14:solidFill>
                    <w14:schemeClr w14:val="tx1"/>
                  </w14:solidFill>
                </w14:textFill>
              </w:rPr>
            </w:pPr>
            <w:r>
              <w:rPr>
                <w:b/>
                <w:bCs/>
                <w:color w:val="000000" w:themeColor="text1"/>
                <w:sz w:val="24"/>
                <w14:textFill>
                  <w14:solidFill>
                    <w14:schemeClr w14:val="tx1"/>
                  </w14:solidFill>
                </w14:textFill>
              </w:rPr>
              <w:t>图3.3</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  采场边坡高处坠落死亡（重伤）事故树</w:t>
            </w:r>
          </w:p>
        </w:tc>
      </w:tr>
    </w:tbl>
    <w:p w14:paraId="16030779">
      <w:pPr>
        <w:ind w:firstLine="0" w:firstLineChars="0"/>
        <w:jc w:val="center"/>
        <w:rPr>
          <w:color w:val="000000" w:themeColor="text1"/>
          <w:sz w:val="24"/>
          <w14:textFill>
            <w14:solidFill>
              <w14:schemeClr w14:val="tx1"/>
            </w14:solidFill>
          </w14:textFill>
        </w:rPr>
      </w:pPr>
    </w:p>
    <w:p w14:paraId="0D427C62">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针对露天采场边坡人员高处坠落死亡（重伤）事故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采用事故树分析方法进行研究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探索相应的措施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尽量避免该类事故发生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b/>
      </w:r>
    </w:p>
    <w:p w14:paraId="4AAA83C2">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据事故树图3.3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列出其逻辑代数式：</w:t>
      </w:r>
    </w:p>
    <w:p w14:paraId="0A8D803F">
      <w:pPr>
        <w:spacing w:line="520" w:lineRule="exact"/>
        <w:ind w:firstLine="560"/>
        <w:rPr>
          <w:color w:val="000000" w:themeColor="text1"/>
          <w14:textFill>
            <w14:solidFill>
              <w14:schemeClr w14:val="tx1"/>
            </w14:solidFill>
          </w14:textFill>
        </w:rPr>
      </w:pPr>
      <w:r>
        <w:rPr>
          <w:color w:val="000000" w:themeColor="text1"/>
          <w14:textFill>
            <w14:solidFill>
              <w14:schemeClr w14:val="tx1"/>
            </w14:solidFill>
          </w14:textFill>
        </w:rPr>
        <w:t>T=A</w:t>
      </w:r>
      <w:r>
        <w:rPr>
          <w:rFonts w:hint="eastAsia"/>
          <w:color w:val="000000" w:themeColor="text1"/>
          <w:vertAlign w:val="subscript"/>
          <w14:textFill>
            <w14:solidFill>
              <w14:schemeClr w14:val="tx1"/>
            </w14:solidFill>
          </w14:textFill>
        </w:rPr>
        <w:t>1</w:t>
      </w:r>
      <w:r>
        <w:rPr>
          <w:color w:val="000000" w:themeColor="text1"/>
          <w14:textFill>
            <w14:solidFill>
              <w14:schemeClr w14:val="tx1"/>
            </w14:solidFill>
          </w14:textFill>
        </w:rPr>
        <w:t>·X</w:t>
      </w:r>
      <w:r>
        <w:rPr>
          <w:color w:val="000000" w:themeColor="text1"/>
          <w:vertAlign w:val="subscript"/>
          <w14:textFill>
            <w14:solidFill>
              <w14:schemeClr w14:val="tx1"/>
            </w14:solidFill>
          </w14:textFill>
        </w:rPr>
        <w:t>8</w:t>
      </w:r>
    </w:p>
    <w:p w14:paraId="717DB166">
      <w:pPr>
        <w:spacing w:line="520" w:lineRule="exact"/>
        <w:ind w:firstLine="840" w:firstLineChars="300"/>
        <w:rPr>
          <w:color w:val="000000" w:themeColor="text1"/>
          <w14:textFill>
            <w14:solidFill>
              <w14:schemeClr w14:val="tx1"/>
            </w14:solidFill>
          </w14:textFill>
        </w:rPr>
      </w:pPr>
      <w:r>
        <w:rPr>
          <w:color w:val="000000" w:themeColor="text1"/>
          <w14:textFill>
            <w14:solidFill>
              <w14:schemeClr w14:val="tx1"/>
            </w14:solidFill>
          </w14:textFill>
        </w:rPr>
        <w:t>=A₂·A</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·X</w:t>
      </w:r>
      <w:r>
        <w:rPr>
          <w:color w:val="000000" w:themeColor="text1"/>
          <w:vertAlign w:val="subscript"/>
          <w14:textFill>
            <w14:solidFill>
              <w14:schemeClr w14:val="tx1"/>
            </w14:solidFill>
          </w14:textFill>
        </w:rPr>
        <w:t>8</w:t>
      </w:r>
    </w:p>
    <w:p w14:paraId="7E0B7EF3">
      <w:pPr>
        <w:spacing w:line="520" w:lineRule="exact"/>
        <w:ind w:firstLine="840" w:firstLineChars="3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A₃+A</w:t>
      </w:r>
      <w:r>
        <w:rPr>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·X</w:t>
      </w:r>
      <w:r>
        <w:rPr>
          <w:color w:val="000000" w:themeColor="text1"/>
          <w:vertAlign w:val="subscript"/>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·X</w:t>
      </w:r>
      <w:r>
        <w:rPr>
          <w:color w:val="000000" w:themeColor="text1"/>
          <w:vertAlign w:val="subscript"/>
          <w14:textFill>
            <w14:solidFill>
              <w14:schemeClr w14:val="tx1"/>
            </w14:solidFill>
          </w14:textFill>
        </w:rPr>
        <w:t>8</w:t>
      </w:r>
    </w:p>
    <w:p w14:paraId="1A123BDF">
      <w:pPr>
        <w:spacing w:line="520" w:lineRule="exact"/>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X</w:t>
      </w:r>
      <w:r>
        <w:rPr>
          <w:rFonts w:hint="eastAsia"/>
          <w:color w:val="000000" w:themeColor="text1"/>
          <w:vertAlign w:val="subscript"/>
          <w14:textFill>
            <w14:solidFill>
              <w14:schemeClr w14:val="tx1"/>
            </w14:solidFill>
          </w14:textFill>
        </w:rPr>
        <w:t>8</w:t>
      </w:r>
    </w:p>
    <w:p w14:paraId="488F9CC6">
      <w:pPr>
        <w:ind w:firstLine="560"/>
        <w:rPr>
          <w:bCs/>
          <w:color w:val="000000" w:themeColor="text1"/>
          <w14:textFill>
            <w14:solidFill>
              <w14:schemeClr w14:val="tx1"/>
            </w14:solidFill>
          </w14:textFill>
        </w:rPr>
      </w:pPr>
      <w:r>
        <w:rPr>
          <w:bCs/>
          <w:color w:val="000000" w:themeColor="text1"/>
          <w14:textFill>
            <w14:solidFill>
              <w14:schemeClr w14:val="tx1"/>
            </w14:solidFill>
          </w14:textFill>
        </w:rPr>
        <w:t>求得最小径集有四个：</w:t>
      </w:r>
    </w:p>
    <w:p w14:paraId="487E2BB3">
      <w:pPr>
        <w:ind w:firstLine="560"/>
        <w:rPr>
          <w:bCs/>
          <w:color w:val="000000" w:themeColor="text1"/>
          <w14:textFill>
            <w14:solidFill>
              <w14:schemeClr w14:val="tx1"/>
            </w14:solidFill>
          </w14:textFill>
        </w:rPr>
      </w:pP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1</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3</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4</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5</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6</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p>
    <w:p w14:paraId="2B5F4EB7">
      <w:pPr>
        <w:ind w:firstLine="560"/>
        <w:rPr>
          <w:bCs/>
          <w:color w:val="000000" w:themeColor="text1"/>
          <w14:textFill>
            <w14:solidFill>
              <w14:schemeClr w14:val="tx1"/>
            </w14:solidFill>
          </w14:textFill>
        </w:rPr>
      </w:pPr>
      <w:r>
        <w:rPr>
          <w:bCs/>
          <w:color w:val="000000" w:themeColor="text1"/>
          <w14:textFill>
            <w14:solidFill>
              <w14:schemeClr w14:val="tx1"/>
            </w14:solidFill>
          </w14:textFill>
        </w:rPr>
        <w:t>展开逻辑代数式求得最小割集有八个：</w:t>
      </w:r>
    </w:p>
    <w:p w14:paraId="025B9069">
      <w:pPr>
        <w:ind w:firstLine="560"/>
        <w:rPr>
          <w:bCs/>
          <w:color w:val="000000" w:themeColor="text1"/>
          <w14:textFill>
            <w14:solidFill>
              <w14:schemeClr w14:val="tx1"/>
            </w14:solidFill>
          </w14:textFill>
        </w:rPr>
      </w:pP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1</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5</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1</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6</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5</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p>
    <w:p w14:paraId="0DBFBC07">
      <w:pPr>
        <w:ind w:firstLine="560"/>
        <w:rPr>
          <w:bCs/>
          <w:color w:val="000000" w:themeColor="text1"/>
          <w14:textFill>
            <w14:solidFill>
              <w14:schemeClr w14:val="tx1"/>
            </w14:solidFill>
          </w14:textFill>
        </w:rPr>
      </w:pP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6</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3</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5</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3</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6</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p>
    <w:p w14:paraId="0F9D0EA6">
      <w:pPr>
        <w:ind w:firstLine="560"/>
        <w:rPr>
          <w:bCs/>
          <w:color w:val="000000" w:themeColor="text1"/>
          <w14:textFill>
            <w14:solidFill>
              <w14:schemeClr w14:val="tx1"/>
            </w14:solidFill>
          </w14:textFill>
        </w:rPr>
      </w:pP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4</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5</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4</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6</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7</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X</w:t>
      </w:r>
      <w:r>
        <w:rPr>
          <w:bCs/>
          <w:color w:val="000000" w:themeColor="text1"/>
          <w:vertAlign w:val="subscript"/>
          <w14:textFill>
            <w14:solidFill>
              <w14:schemeClr w14:val="tx1"/>
            </w14:solidFill>
          </w14:textFill>
        </w:rPr>
        <w:t>8</w:t>
      </w:r>
      <w:r>
        <w:rPr>
          <w:bCs/>
          <w:color w:val="000000" w:themeColor="text1"/>
          <w14:textFill>
            <w14:solidFill>
              <w14:schemeClr w14:val="tx1"/>
            </w14:solidFill>
          </w14:textFill>
        </w:rPr>
        <w:t>｝</w:t>
      </w:r>
    </w:p>
    <w:p w14:paraId="17479FF8">
      <w:pPr>
        <w:ind w:firstLine="560"/>
        <w:rPr>
          <w:color w:val="000000" w:themeColor="text1"/>
          <w14:textFill>
            <w14:solidFill>
              <w14:schemeClr w14:val="tx1"/>
            </w14:solidFill>
          </w14:textFill>
        </w:rPr>
      </w:pPr>
      <w:r>
        <w:rPr>
          <w:color w:val="000000" w:themeColor="text1"/>
          <w14:textFill>
            <w14:solidFill>
              <w14:schemeClr w14:val="tx1"/>
            </w14:solidFill>
          </w14:textFill>
        </w:rPr>
        <w:t>从最小割集、最小径集判断得知各基本事件在故障树的结构中所占有的重要程度排列如下：</w:t>
      </w:r>
    </w:p>
    <w:p w14:paraId="31D0A045">
      <w:pPr>
        <w:ind w:firstLine="560"/>
        <w:rPr>
          <w:color w:val="000000" w:themeColor="text1"/>
          <w14:textFill>
            <w14:solidFill>
              <w14:schemeClr w14:val="tx1"/>
            </w14:solidFill>
          </w14:textFill>
        </w:rPr>
      </w:pPr>
      <w:r>
        <w:rPr>
          <w:color w:val="000000" w:themeColor="text1"/>
          <w14:textFill>
            <w14:solidFill>
              <w14:schemeClr w14:val="tx1"/>
            </w14:solidFill>
          </w14:textFill>
        </w:rPr>
        <w:t>Iφ</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（8）&gt;</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（6）&gt;</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=Iφ</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要求作业人员在边坡作业中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不滑倒以及滑倒后要抓稳是不负责任的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所以首先要消除出现边坡过高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且作业位置具有高度的情况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再依次解决可靠使用安全带等</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问题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可使该事故的发生概率降低到最低程度</w:t>
      </w:r>
      <w:r>
        <w:rPr>
          <w:rFonts w:hint="eastAsia"/>
          <w:color w:val="000000" w:themeColor="text1"/>
          <w14:textFill>
            <w14:solidFill>
              <w14:schemeClr w14:val="tx1"/>
            </w14:solidFill>
          </w14:textFill>
        </w:rPr>
        <w:t>。</w:t>
      </w:r>
    </w:p>
    <w:p w14:paraId="2BA1533B">
      <w:pPr>
        <w:ind w:firstLine="56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可能导致本项目边坡高处坠落的影响因素</w:t>
      </w:r>
    </w:p>
    <w:p w14:paraId="6702C1F1">
      <w:pPr>
        <w:ind w:firstLine="560"/>
        <w:rPr>
          <w:color w:val="000000" w:themeColor="text1"/>
          <w14:textFill>
            <w14:solidFill>
              <w14:schemeClr w14:val="tx1"/>
            </w14:solidFill>
          </w14:textFill>
        </w:rPr>
      </w:pPr>
      <w:r>
        <w:rPr>
          <w:color w:val="000000" w:themeColor="text1"/>
          <w14:textFill>
            <w14:solidFill>
              <w14:schemeClr w14:val="tx1"/>
            </w14:solidFill>
          </w14:textFill>
        </w:rPr>
        <w:t>（1）露天边坡设计台阶高度1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台阶坡面角6</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在清理浮石、危石过程中有高处坠落的可能性</w:t>
      </w:r>
      <w:r>
        <w:rPr>
          <w:rFonts w:hint="eastAsia"/>
          <w:color w:val="000000" w:themeColor="text1"/>
          <w14:textFill>
            <w14:solidFill>
              <w14:schemeClr w14:val="tx1"/>
            </w14:solidFill>
          </w14:textFill>
        </w:rPr>
        <w:t>。</w:t>
      </w:r>
    </w:p>
    <w:p w14:paraId="6FD72DA3">
      <w:pPr>
        <w:ind w:firstLine="560"/>
        <w:rPr>
          <w:color w:val="000000" w:themeColor="text1"/>
          <w14:textFill>
            <w14:solidFill>
              <w14:schemeClr w14:val="tx1"/>
            </w14:solidFill>
          </w14:textFill>
        </w:rPr>
      </w:pPr>
      <w:r>
        <w:rPr>
          <w:color w:val="000000" w:themeColor="text1"/>
          <w14:textFill>
            <w14:solidFill>
              <w14:schemeClr w14:val="tx1"/>
            </w14:solidFill>
          </w14:textFill>
        </w:rPr>
        <w:t>（2）在距坠落高度基准面2m以上（含2m）的高处作业时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w:t>
      </w:r>
      <w:r>
        <w:rPr>
          <w:rFonts w:hint="eastAsia"/>
          <w:color w:val="000000" w:themeColor="text1"/>
          <w14:textFill>
            <w14:solidFill>
              <w14:schemeClr w14:val="tx1"/>
            </w14:solidFill>
          </w14:textFill>
        </w:rPr>
        <w:t>佩戴</w:t>
      </w:r>
      <w:r>
        <w:rPr>
          <w:color w:val="000000" w:themeColor="text1"/>
          <w14:textFill>
            <w14:solidFill>
              <w14:schemeClr w14:val="tx1"/>
            </w14:solidFill>
          </w14:textFill>
        </w:rPr>
        <w:t>安全带或设置安全网、护栏等防护设施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或使用安全带时未牢靠固定或使用不符合质量要求的安全带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也有发生高处坠落的可能</w:t>
      </w:r>
      <w:r>
        <w:rPr>
          <w:rFonts w:hint="eastAsia"/>
          <w:color w:val="000000" w:themeColor="text1"/>
          <w14:textFill>
            <w14:solidFill>
              <w14:schemeClr w14:val="tx1"/>
            </w14:solidFill>
          </w14:textFill>
        </w:rPr>
        <w:t>。</w:t>
      </w:r>
    </w:p>
    <w:p w14:paraId="2CFEC66B">
      <w:pPr>
        <w:ind w:firstLine="560"/>
        <w:rPr>
          <w:color w:val="000000" w:themeColor="text1"/>
          <w14:textFill>
            <w14:solidFill>
              <w14:schemeClr w14:val="tx1"/>
            </w14:solidFill>
          </w14:textFill>
        </w:rPr>
      </w:pPr>
      <w:r>
        <w:rPr>
          <w:color w:val="000000" w:themeColor="text1"/>
          <w14:textFill>
            <w14:solidFill>
              <w14:schemeClr w14:val="tx1"/>
            </w14:solidFill>
          </w14:textFill>
        </w:rPr>
        <w:t>（3）作业人员未经过教育培训、安全意识不强烈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违章作业、疲劳作业和酒后作业有可能导致高处坠落事故</w:t>
      </w:r>
      <w:r>
        <w:rPr>
          <w:rFonts w:hint="eastAsia"/>
          <w:color w:val="000000" w:themeColor="text1"/>
          <w14:textFill>
            <w14:solidFill>
              <w14:schemeClr w14:val="tx1"/>
            </w14:solidFill>
          </w14:textFill>
        </w:rPr>
        <w:t>；</w:t>
      </w:r>
    </w:p>
    <w:p w14:paraId="450EC89E">
      <w:pPr>
        <w:ind w:firstLine="560"/>
        <w:rPr>
          <w:color w:val="000000" w:themeColor="text1"/>
          <w14:textFill>
            <w14:solidFill>
              <w14:schemeClr w14:val="tx1"/>
            </w14:solidFill>
          </w14:textFill>
        </w:rPr>
      </w:pPr>
      <w:r>
        <w:rPr>
          <w:color w:val="000000" w:themeColor="text1"/>
          <w14:textFill>
            <w14:solidFill>
              <w14:schemeClr w14:val="tx1"/>
            </w14:solidFill>
          </w14:textFill>
        </w:rPr>
        <w:t>（4）采场顶部及危险区域内未设置安全警示标志或标志不明显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误入人员有发生高处坠落的可能</w:t>
      </w:r>
      <w:r>
        <w:rPr>
          <w:rFonts w:hint="eastAsia"/>
          <w:color w:val="000000" w:themeColor="text1"/>
          <w14:textFill>
            <w14:solidFill>
              <w14:schemeClr w14:val="tx1"/>
            </w14:solidFill>
          </w14:textFill>
        </w:rPr>
        <w:t>。</w:t>
      </w:r>
    </w:p>
    <w:p w14:paraId="633335C1">
      <w:pPr>
        <w:pStyle w:val="6"/>
        <w:spacing w:before="120" w:after="120"/>
        <w:rPr>
          <w:color w:val="000000" w:themeColor="text1"/>
          <w14:textFill>
            <w14:solidFill>
              <w14:schemeClr w14:val="tx1"/>
            </w14:solidFill>
          </w14:textFill>
        </w:rPr>
      </w:pPr>
      <w:bookmarkStart w:id="2332" w:name="_Toc215070264"/>
      <w:bookmarkStart w:id="2333" w:name="_Toc29943"/>
      <w:r>
        <w:rPr>
          <w:rFonts w:hint="eastAsia"/>
          <w:color w:val="000000" w:themeColor="text1"/>
          <w14:textFill>
            <w14:solidFill>
              <w14:schemeClr w14:val="tx1"/>
            </w14:solidFill>
          </w14:textFill>
        </w:rPr>
        <w:t>3.4.1.5边坡稳定性影响</w:t>
      </w:r>
      <w:bookmarkEnd w:id="2332"/>
      <w:bookmarkEnd w:id="2333"/>
    </w:p>
    <w:p w14:paraId="3EA21D95">
      <w:pPr>
        <w:ind w:firstLine="560"/>
        <w:rPr>
          <w:color w:val="000000" w:themeColor="text1"/>
          <w14:textFill>
            <w14:solidFill>
              <w14:schemeClr w14:val="tx1"/>
            </w14:solidFill>
          </w14:textFill>
        </w:rPr>
      </w:pPr>
      <w:bookmarkStart w:id="2334" w:name="_Toc11529"/>
      <w:bookmarkStart w:id="2335" w:name="_Toc8606"/>
      <w:bookmarkStart w:id="2336" w:name="_Toc25518"/>
      <w:bookmarkStart w:id="2337" w:name="_Toc2122"/>
      <w:bookmarkStart w:id="2338" w:name="_Toc27220"/>
      <w:bookmarkStart w:id="2339" w:name="_Toc21473"/>
      <w:r>
        <w:rPr>
          <w:color w:val="000000" w:themeColor="text1"/>
          <w14:textFill>
            <w14:solidFill>
              <w14:schemeClr w14:val="tx1"/>
            </w14:solidFill>
          </w14:textFill>
        </w:rPr>
        <w:t>1、影响边坡稳定性的因素</w:t>
      </w:r>
      <w:bookmarkEnd w:id="2334"/>
      <w:bookmarkEnd w:id="2335"/>
      <w:bookmarkEnd w:id="2336"/>
    </w:p>
    <w:p w14:paraId="6C55A94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岩石的物理力学性质。岩体是由矿物组成的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矿物的强度、矿物的结构构造在一定程度上决定岩体的强度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试验参数包括：岩石体积密度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岩石抗压、抗拉、抗剪强度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内聚力和内摩擦角等。</w:t>
      </w:r>
    </w:p>
    <w:p w14:paraId="2D4B116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岩体构造。包括各种地质不连续面、破碎带、断层、节理裂隙和层理面构成的弱面、不稳的软岩夹层以及遇水膨胀的软岩等。</w:t>
      </w:r>
    </w:p>
    <w:p w14:paraId="33E89BA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水文地质条件。包括地下水的静压和动压力</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渗透系数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地下水活动的影响。</w:t>
      </w:r>
    </w:p>
    <w:p w14:paraId="7DA91934">
      <w:pPr>
        <w:ind w:firstLine="560"/>
        <w:rPr>
          <w:color w:val="000000" w:themeColor="text1"/>
          <w14:textFill>
            <w14:solidFill>
              <w14:schemeClr w14:val="tx1"/>
            </w14:solidFill>
          </w14:textFill>
        </w:rPr>
      </w:pPr>
      <w:bookmarkStart w:id="2340" w:name="_Toc20814"/>
      <w:bookmarkStart w:id="2341" w:name="_Toc14439"/>
      <w:bookmarkStart w:id="2342" w:name="_Toc31944"/>
      <w:r>
        <w:rPr>
          <w:rFonts w:hint="eastAsia"/>
          <w:color w:val="000000" w:themeColor="text1"/>
          <w14:textFill>
            <w14:solidFill>
              <w14:schemeClr w14:val="tx1"/>
            </w14:solidFill>
          </w14:textFill>
        </w:rPr>
        <w:t>（4）</w:t>
      </w:r>
      <w:r>
        <w:rPr>
          <w:color w:val="000000" w:themeColor="text1"/>
          <w14:textFill>
            <w14:solidFill>
              <w14:schemeClr w14:val="tx1"/>
            </w14:solidFill>
          </w14:textFill>
        </w:rPr>
        <w:t>强烈地震区地震的影响。</w:t>
      </w:r>
      <w:bookmarkEnd w:id="2340"/>
      <w:bookmarkEnd w:id="2341"/>
      <w:bookmarkEnd w:id="2342"/>
    </w:p>
    <w:p w14:paraId="5B38EC8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开采工艺技术条件特别是爆破震动的影响以及边帮存在的时间。</w:t>
      </w:r>
    </w:p>
    <w:p w14:paraId="31D6F500">
      <w:pPr>
        <w:ind w:left="560" w:leftChars="200" w:firstLine="0" w:firstLineChars="0"/>
        <w:rPr>
          <w:color w:val="000000" w:themeColor="text1"/>
          <w14:textFill>
            <w14:solidFill>
              <w14:schemeClr w14:val="tx1"/>
            </w14:solidFill>
          </w14:textFill>
        </w:rPr>
      </w:pPr>
      <w:bookmarkStart w:id="2343" w:name="_Toc21854"/>
      <w:bookmarkStart w:id="2344" w:name="_Toc2430"/>
      <w:bookmarkStart w:id="2345" w:name="_Toc6377"/>
      <w:r>
        <w:rPr>
          <w:rFonts w:hint="eastAsia"/>
          <w:color w:val="000000" w:themeColor="text1"/>
          <w14:textFill>
            <w14:solidFill>
              <w14:schemeClr w14:val="tx1"/>
            </w14:solidFill>
          </w14:textFill>
        </w:rPr>
        <w:t>2、边坡稳定性分析</w:t>
      </w:r>
      <w:bookmarkEnd w:id="2343"/>
      <w:bookmarkEnd w:id="2344"/>
      <w:bookmarkEnd w:id="2345"/>
    </w:p>
    <w:p w14:paraId="1E81C17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可研未进行边坡稳定性分析。根据现场勘查，矿山山体平缓，结构稳固，未发现坍塌和滑坡坡体，但采矿平台下面的山坡上有少量浮土和浮石，需要及时清理。</w:t>
      </w:r>
    </w:p>
    <w:bookmarkEnd w:id="2337"/>
    <w:bookmarkEnd w:id="2338"/>
    <w:bookmarkEnd w:id="2339"/>
    <w:p w14:paraId="72E6C79E">
      <w:pPr>
        <w:pStyle w:val="6"/>
        <w:spacing w:before="120" w:after="120"/>
        <w:rPr>
          <w:color w:val="000000" w:themeColor="text1"/>
          <w14:textFill>
            <w14:solidFill>
              <w14:schemeClr w14:val="tx1"/>
            </w14:solidFill>
          </w14:textFill>
        </w:rPr>
      </w:pPr>
      <w:bookmarkStart w:id="2346" w:name="_Toc1296"/>
      <w:bookmarkStart w:id="2347" w:name="_Toc215070265"/>
      <w:r>
        <w:rPr>
          <w:rFonts w:hint="eastAsia"/>
          <w:color w:val="000000" w:themeColor="text1"/>
          <w14:textFill>
            <w14:solidFill>
              <w14:schemeClr w14:val="tx1"/>
            </w14:solidFill>
          </w14:textFill>
        </w:rPr>
        <w:t>3.4.1.6边坡监测</w:t>
      </w:r>
      <w:bookmarkEnd w:id="2346"/>
      <w:bookmarkEnd w:id="2347"/>
    </w:p>
    <w:p w14:paraId="1A84E1C0">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边坡监测的目的在于探明露天矿边坡的可能不稳定地段，以便采取适当的补救措施。其</w:t>
      </w:r>
      <w:r>
        <w:rPr>
          <w:rFonts w:hint="eastAsia"/>
          <w:color w:val="000000" w:themeColor="text1"/>
          <w:szCs w:val="28"/>
          <w14:textFill>
            <w14:solidFill>
              <w14:schemeClr w14:val="tx1"/>
            </w14:solidFill>
          </w14:textFill>
        </w:rPr>
        <w:t>重点</w:t>
      </w:r>
      <w:r>
        <w:rPr>
          <w:color w:val="000000" w:themeColor="text1"/>
          <w:szCs w:val="28"/>
          <w14:textFill>
            <w14:solidFill>
              <w14:schemeClr w14:val="tx1"/>
            </w14:solidFill>
          </w14:textFill>
        </w:rPr>
        <w:t>在于保护矿工和设备的安全。监测的内容主要是测量边坡位移，其次是地下水动态的影响。边坡</w:t>
      </w:r>
      <w:r>
        <w:rPr>
          <w:rFonts w:hint="eastAsia"/>
          <w:color w:val="000000" w:themeColor="text1"/>
          <w:szCs w:val="28"/>
          <w14:textFill>
            <w14:solidFill>
              <w14:schemeClr w14:val="tx1"/>
            </w14:solidFill>
          </w14:textFill>
        </w:rPr>
        <w:t>监测</w:t>
      </w:r>
      <w:r>
        <w:rPr>
          <w:color w:val="000000" w:themeColor="text1"/>
          <w:szCs w:val="28"/>
          <w14:textFill>
            <w14:solidFill>
              <w14:schemeClr w14:val="tx1"/>
            </w14:solidFill>
          </w14:textFill>
        </w:rPr>
        <w:t>的方式可以采用人工巡视、裂缝观测、坡面观测和水平位移观测的方式。</w:t>
      </w:r>
    </w:p>
    <w:p w14:paraId="76D54535">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人工巡视和裂缝观测：人工巡视和裂缝观测是一项经常性的工作，矿山应安排专职人员每天进行巡视，当坡体表面发现裂缝时，通过观测裂缝的变</w:t>
      </w:r>
      <w:r>
        <w:rPr>
          <w:rFonts w:hint="eastAsia"/>
          <w:color w:val="000000" w:themeColor="text1"/>
          <w:szCs w:val="28"/>
          <w14:textFill>
            <w14:solidFill>
              <w14:schemeClr w14:val="tx1"/>
            </w14:solidFill>
          </w14:textFill>
        </w:rPr>
        <w:t>化</w:t>
      </w:r>
      <w:r>
        <w:rPr>
          <w:color w:val="000000" w:themeColor="text1"/>
          <w:szCs w:val="28"/>
          <w14:textFill>
            <w14:solidFill>
              <w14:schemeClr w14:val="tx1"/>
            </w14:solidFill>
          </w14:textFill>
        </w:rPr>
        <w:t>程</w:t>
      </w:r>
      <w:r>
        <w:rPr>
          <w:rFonts w:hint="eastAsia"/>
          <w:color w:val="000000" w:themeColor="text1"/>
          <w:szCs w:val="28"/>
          <w14:textFill>
            <w14:solidFill>
              <w14:schemeClr w14:val="tx1"/>
            </w14:solidFill>
          </w14:textFill>
        </w:rPr>
        <w:t>度</w:t>
      </w:r>
      <w:r>
        <w:rPr>
          <w:color w:val="000000" w:themeColor="text1"/>
          <w:szCs w:val="28"/>
          <w14:textFill>
            <w14:solidFill>
              <w14:schemeClr w14:val="tx1"/>
            </w14:solidFill>
          </w14:textFill>
        </w:rPr>
        <w:t>和变化规律来分析坡体的变化情况和破坏趋势。</w:t>
      </w:r>
    </w:p>
    <w:p w14:paraId="6ECD06E0">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坡面观测：在平台上设置坡面变形观测点，</w:t>
      </w:r>
      <w:r>
        <w:rPr>
          <w:rFonts w:hint="eastAsia"/>
          <w:color w:val="000000" w:themeColor="text1"/>
          <w:szCs w:val="28"/>
          <w14:textFill>
            <w14:solidFill>
              <w14:schemeClr w14:val="tx1"/>
            </w14:solidFill>
          </w14:textFill>
        </w:rPr>
        <w:t>采用直角</w:t>
      </w:r>
      <w:r>
        <w:rPr>
          <w:color w:val="000000" w:themeColor="text1"/>
          <w:szCs w:val="28"/>
          <w14:textFill>
            <w14:solidFill>
              <w14:schemeClr w14:val="tx1"/>
            </w14:solidFill>
          </w14:textFill>
        </w:rPr>
        <w:t>坐标法量测，分析坡面几何外观的变化情况，绘制坡面各点在施工过程中的水平位移变化情况，从而了解边坡滑动范围和滑动情况，提供预警信息。</w:t>
      </w:r>
    </w:p>
    <w:p w14:paraId="4A8DACB2">
      <w:pPr>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水平位移观测：主要观测边坡在水平地面的位移情况，建议在采场边坡、平台底部设边坡监测点，判断边坡的变化情况。</w:t>
      </w:r>
    </w:p>
    <w:p w14:paraId="3827031A">
      <w:pPr>
        <w:pStyle w:val="6"/>
        <w:spacing w:before="120" w:after="120"/>
        <w:rPr>
          <w:color w:val="000000" w:themeColor="text1"/>
          <w14:textFill>
            <w14:solidFill>
              <w14:schemeClr w14:val="tx1"/>
            </w14:solidFill>
          </w14:textFill>
        </w:rPr>
      </w:pPr>
      <w:bookmarkStart w:id="2348" w:name="_Toc15897"/>
      <w:bookmarkStart w:id="2349" w:name="_Toc215070266"/>
      <w:r>
        <w:rPr>
          <w:rFonts w:hint="eastAsia"/>
          <w:color w:val="000000" w:themeColor="text1"/>
          <w14:textFill>
            <w14:solidFill>
              <w14:schemeClr w14:val="tx1"/>
            </w14:solidFill>
          </w14:textFill>
        </w:rPr>
        <w:t>3.4.1.7边坡维护与管理</w:t>
      </w:r>
      <w:bookmarkEnd w:id="2348"/>
      <w:bookmarkEnd w:id="2349"/>
    </w:p>
    <w:p w14:paraId="4BAEDF80">
      <w:pPr>
        <w:ind w:firstLine="560"/>
        <w:rPr>
          <w:color w:val="000000" w:themeColor="text1"/>
          <w:lang w:val="zh-CN"/>
          <w14:textFill>
            <w14:solidFill>
              <w14:schemeClr w14:val="tx1"/>
            </w14:solidFill>
          </w14:textFill>
        </w:rPr>
      </w:pPr>
      <w:r>
        <w:rPr>
          <w:color w:val="000000" w:themeColor="text1"/>
          <w14:textFill>
            <w14:solidFill>
              <w14:schemeClr w14:val="tx1"/>
            </w14:solidFill>
          </w14:textFill>
        </w:rPr>
        <w:t>边坡重点区域位于</w:t>
      </w:r>
      <w:r>
        <w:rPr>
          <w:rFonts w:hint="eastAsia"/>
          <w:color w:val="000000" w:themeColor="text1"/>
          <w14:textFill>
            <w14:solidFill>
              <w14:schemeClr w14:val="tx1"/>
            </w14:solidFill>
          </w14:textFill>
        </w:rPr>
        <w:t>东部和东南</w:t>
      </w:r>
      <w:r>
        <w:rPr>
          <w:color w:val="000000" w:themeColor="text1"/>
          <w14:textFill>
            <w14:solidFill>
              <w14:schemeClr w14:val="tx1"/>
            </w14:solidFill>
          </w14:textFill>
        </w:rPr>
        <w:t>部边坡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受边坡岩体风化破碎影响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矿山边坡极易产生不稳定浮石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为防止浮石滚落影响下部开采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应加强坡顶浮石的人工巡查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及时对边坡浮石进行清理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开采区域正上方为巡查重点区域；同时应实时监测其表面位移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一旦监测系统出现异常值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应立即启动应急预案</w:t>
      </w:r>
      <w:r>
        <w:rPr>
          <w:rFonts w:hint="eastAsia"/>
          <w:color w:val="000000" w:themeColor="text1"/>
          <w14:textFill>
            <w14:solidFill>
              <w14:schemeClr w14:val="tx1"/>
            </w14:solidFill>
          </w14:textFill>
        </w:rPr>
        <w:t>，采取相应</w:t>
      </w:r>
      <w:r>
        <w:rPr>
          <w:color w:val="000000" w:themeColor="text1"/>
          <w14:textFill>
            <w14:solidFill>
              <w14:schemeClr w14:val="tx1"/>
            </w14:solidFill>
          </w14:textFill>
        </w:rPr>
        <w:t>的紧急措施；其次应加强工作面及运输道路上方边坡巡查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一旦出现边坡失稳征兆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及时进行处理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防止局部边坡破坏影响作业安全。针对有可能出现的边坡滑坡、失稳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制定边坡滑坡处置专项应急预案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并组织进行应急演练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落实应急处置措施</w:t>
      </w:r>
      <w:r>
        <w:rPr>
          <w:rFonts w:hint="eastAsia"/>
          <w:color w:val="000000" w:themeColor="text1"/>
          <w:lang w:val="zh-CN"/>
          <w14:textFill>
            <w14:solidFill>
              <w14:schemeClr w14:val="tx1"/>
            </w14:solidFill>
          </w14:textFill>
        </w:rPr>
        <w:t>。</w:t>
      </w:r>
    </w:p>
    <w:p w14:paraId="0EC1104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1、边坡维护</w:t>
      </w:r>
    </w:p>
    <w:p w14:paraId="1F9A91BE">
      <w:pPr>
        <w:ind w:firstLine="560"/>
        <w:rPr>
          <w:color w:val="000000" w:themeColor="text1"/>
          <w:lang w:val="zh-TW" w:eastAsia="zh-TW"/>
          <w14:textFill>
            <w14:solidFill>
              <w14:schemeClr w14:val="tx1"/>
            </w14:solidFill>
          </w14:textFill>
        </w:rPr>
      </w:pPr>
      <w:r>
        <w:rPr>
          <w:color w:val="000000" w:themeColor="text1"/>
          <w:lang w:val="zh-TW" w:eastAsia="zh-TW"/>
          <w14:textFill>
            <w14:solidFill>
              <w14:schemeClr w14:val="tx1"/>
            </w14:solidFill>
          </w14:textFill>
        </w:rPr>
        <w:t>为保证开采边坡的安全</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在矿山生产中应加强</w:t>
      </w:r>
      <w:r>
        <w:rPr>
          <w:rFonts w:hint="eastAsia"/>
          <w:color w:val="000000" w:themeColor="text1"/>
          <w14:textFill>
            <w14:solidFill>
              <w14:schemeClr w14:val="tx1"/>
            </w14:solidFill>
          </w14:textFill>
        </w:rPr>
        <w:t>边坡维护</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确保边坡的稳定性。</w:t>
      </w:r>
    </w:p>
    <w:p w14:paraId="07D5FBF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）清理高陡边坡的浮石及平台。</w:t>
      </w:r>
    </w:p>
    <w:p w14:paraId="373019A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（2）自上而下分台阶开采，对高陡边坡进行分台，并设置警戒线及警示标志。</w:t>
      </w:r>
    </w:p>
    <w:p w14:paraId="4B561814">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lang w:val="zh-TW" w:eastAsia="zh-TW"/>
          <w14:textFill>
            <w14:solidFill>
              <w14:schemeClr w14:val="tx1"/>
            </w14:solidFill>
          </w14:textFill>
        </w:rPr>
        <w:t>在开采过程中不得在顺向坡矿体底板切坡</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保持底板的完整性。局部不得不切坡处</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应视其需要采取适当的加固处理</w:t>
      </w:r>
      <w:r>
        <w:rPr>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如挡墙）。</w:t>
      </w:r>
    </w:p>
    <w:p w14:paraId="40E6985F">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lang w:val="zh-TW" w:eastAsia="zh-TW"/>
          <w14:textFill>
            <w14:solidFill>
              <w14:schemeClr w14:val="tx1"/>
            </w14:solidFill>
          </w14:textFill>
        </w:rPr>
        <w:t>对软弱边坡、坚硬岩层边坡上的破碎、岩块松动、断层错开部位</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应进行水泥护面、洞隙灌浆</w:t>
      </w:r>
      <w:r>
        <w:rPr>
          <w:rFonts w:hint="eastAsia"/>
          <w:color w:val="000000" w:themeColor="text1"/>
          <w:lang w:val="zh-TW"/>
          <w14:textFill>
            <w14:solidFill>
              <w14:schemeClr w14:val="tx1"/>
            </w14:solidFill>
          </w14:textFill>
        </w:rPr>
        <w:t>予以</w:t>
      </w:r>
      <w:r>
        <w:rPr>
          <w:color w:val="000000" w:themeColor="text1"/>
          <w:lang w:val="zh-TW" w:eastAsia="zh-TW"/>
          <w14:textFill>
            <w14:solidFill>
              <w14:schemeClr w14:val="tx1"/>
            </w14:solidFill>
          </w14:textFill>
        </w:rPr>
        <w:t>加固</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必要时应削坡或留保安矿柱。</w:t>
      </w:r>
    </w:p>
    <w:p w14:paraId="69705DE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2、边坡管理</w:t>
      </w:r>
    </w:p>
    <w:p w14:paraId="16D0897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（1）建立并执行《边坡检查制度》，安全员做好边坡检查和记录，发现异常及时处理。</w:t>
      </w:r>
    </w:p>
    <w:p w14:paraId="59368CCB">
      <w:pPr>
        <w:ind w:firstLine="560"/>
        <w:rPr>
          <w:color w:val="000000" w:themeColor="text1"/>
          <w:lang w:val="zh-TW" w:eastAsia="zh-TW"/>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lang w:val="zh-TW" w:eastAsia="zh-TW"/>
          <w14:textFill>
            <w14:solidFill>
              <w14:schemeClr w14:val="tx1"/>
            </w14:solidFill>
          </w14:textFill>
        </w:rPr>
        <w:t>建立长期的边坡观测网</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对不良地段、断层进行定时、定点观测</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发现异常及时进行处理。</w:t>
      </w:r>
    </w:p>
    <w:p w14:paraId="1CC43D89">
      <w:pPr>
        <w:ind w:firstLine="560"/>
        <w:rPr>
          <w:bCs/>
          <w:color w:val="000000" w:themeColor="text1"/>
          <w:szCs w:val="28"/>
          <w14:textFill>
            <w14:solidFill>
              <w14:schemeClr w14:val="tx1"/>
            </w14:solidFill>
          </w14:textFill>
        </w:rPr>
      </w:pPr>
      <w:r>
        <w:rPr>
          <w:rFonts w:hint="eastAsia"/>
          <w:color w:val="000000" w:themeColor="text1"/>
          <w:lang w:val="zh-TW"/>
          <w14:textFill>
            <w14:solidFill>
              <w14:schemeClr w14:val="tx1"/>
            </w14:solidFill>
          </w14:textFill>
        </w:rPr>
        <w:t>（</w:t>
      </w:r>
      <w:r>
        <w:rPr>
          <w:rFonts w:hint="eastAsia"/>
          <w:color w:val="000000" w:themeColor="text1"/>
          <w14:textFill>
            <w14:solidFill>
              <w14:schemeClr w14:val="tx1"/>
            </w14:solidFill>
          </w14:textFill>
        </w:rPr>
        <w:t>3）</w:t>
      </w:r>
      <w:r>
        <w:rPr>
          <w:rFonts w:hint="eastAsia"/>
          <w:bCs/>
          <w:color w:val="000000" w:themeColor="text1"/>
          <w:szCs w:val="28"/>
          <w14:textFill>
            <w14:solidFill>
              <w14:schemeClr w14:val="tx1"/>
            </w14:solidFill>
          </w14:textFill>
        </w:rPr>
        <w:t>根据《中共中央办公厅</w:t>
      </w:r>
      <w:r>
        <w:rPr>
          <w:bCs/>
          <w:color w:val="000000" w:themeColor="text1"/>
          <w:szCs w:val="28"/>
          <w14:textFill>
            <w14:solidFill>
              <w14:schemeClr w14:val="tx1"/>
            </w14:solidFill>
          </w14:textFill>
        </w:rPr>
        <w:t> 国务院办公厅关于进一步加强矿山安全生产工作的意见</w:t>
      </w:r>
      <w:r>
        <w:rPr>
          <w:rFonts w:hint="eastAsia"/>
          <w:bCs/>
          <w:color w:val="000000" w:themeColor="text1"/>
          <w:szCs w:val="28"/>
          <w14:textFill>
            <w14:solidFill>
              <w14:schemeClr w14:val="tx1"/>
            </w14:solidFill>
          </w14:textFill>
        </w:rPr>
        <w:t>》的要求，金属非金属露天矿山采场及排土场边坡高度大于</w:t>
      </w:r>
      <w:r>
        <w:rPr>
          <w:bCs/>
          <w:color w:val="000000" w:themeColor="text1"/>
          <w:szCs w:val="28"/>
          <w14:textFill>
            <w14:solidFill>
              <w14:schemeClr w14:val="tx1"/>
            </w14:solidFill>
          </w14:textFill>
        </w:rPr>
        <w:t>100</w:t>
      </w:r>
      <w:r>
        <w:rPr>
          <w:rFonts w:hint="eastAsia"/>
          <w:bCs/>
          <w:color w:val="000000" w:themeColor="text1"/>
          <w:szCs w:val="28"/>
          <w14:textFill>
            <w14:solidFill>
              <w14:schemeClr w14:val="tx1"/>
            </w14:solidFill>
          </w14:textFill>
        </w:rPr>
        <w:t>m</w:t>
      </w:r>
      <w:r>
        <w:rPr>
          <w:bCs/>
          <w:color w:val="000000" w:themeColor="text1"/>
          <w:szCs w:val="28"/>
          <w14:textFill>
            <w14:solidFill>
              <w14:schemeClr w14:val="tx1"/>
            </w14:solidFill>
          </w14:textFill>
        </w:rPr>
        <w:t>的，应当逐年进行边坡稳定性分析</w:t>
      </w:r>
      <w:r>
        <w:rPr>
          <w:rFonts w:hint="eastAsia"/>
          <w:bCs/>
          <w:color w:val="000000" w:themeColor="text1"/>
          <w:szCs w:val="28"/>
          <w14:textFill>
            <w14:solidFill>
              <w14:schemeClr w14:val="tx1"/>
            </w14:solidFill>
          </w14:textFill>
        </w:rPr>
        <w:t>。当矿山边坡高度达到1</w:t>
      </w:r>
      <w:r>
        <w:rPr>
          <w:bCs/>
          <w:color w:val="000000" w:themeColor="text1"/>
          <w:szCs w:val="28"/>
          <w14:textFill>
            <w14:solidFill>
              <w14:schemeClr w14:val="tx1"/>
            </w14:solidFill>
          </w14:textFill>
        </w:rPr>
        <w:t>00</w:t>
      </w:r>
      <w:r>
        <w:rPr>
          <w:rFonts w:hint="eastAsia"/>
          <w:bCs/>
          <w:color w:val="000000" w:themeColor="text1"/>
          <w:szCs w:val="28"/>
          <w14:textFill>
            <w14:solidFill>
              <w14:schemeClr w14:val="tx1"/>
            </w14:solidFill>
          </w14:textFill>
        </w:rPr>
        <w:t>m时应逐年</w:t>
      </w:r>
      <w:r>
        <w:rPr>
          <w:bCs/>
          <w:color w:val="000000" w:themeColor="text1"/>
          <w:szCs w:val="28"/>
          <w14:textFill>
            <w14:solidFill>
              <w14:schemeClr w14:val="tx1"/>
            </w14:solidFill>
          </w14:textFill>
        </w:rPr>
        <w:t>进行边坡稳定性分析</w:t>
      </w:r>
      <w:r>
        <w:rPr>
          <w:rFonts w:hint="eastAsia"/>
          <w:bCs/>
          <w:color w:val="000000" w:themeColor="text1"/>
          <w:szCs w:val="28"/>
          <w14:textFill>
            <w14:solidFill>
              <w14:schemeClr w14:val="tx1"/>
            </w14:solidFill>
          </w14:textFill>
        </w:rPr>
        <w:t>。</w:t>
      </w:r>
    </w:p>
    <w:p w14:paraId="2F7978ED">
      <w:pPr>
        <w:ind w:firstLine="560"/>
        <w:rPr>
          <w:bCs/>
          <w:color w:val="000000" w:themeColor="text1"/>
          <w:szCs w:val="28"/>
          <w14:textFill>
            <w14:solidFill>
              <w14:schemeClr w14:val="tx1"/>
            </w14:solidFill>
          </w14:textFill>
        </w:rPr>
      </w:pPr>
      <w:r>
        <w:rPr>
          <w:rFonts w:hint="eastAsia"/>
          <w:color w:val="000000" w:themeColor="text1"/>
          <w14:textFill>
            <w14:solidFill>
              <w14:schemeClr w14:val="tx1"/>
            </w14:solidFill>
          </w14:textFill>
        </w:rPr>
        <w:t>（4）根据《金属非金属露天矿山高陡边坡安全监测技术规范》（AQ/T 2063 -2018）第4.1.1条，金属非金属露天矿山应根据《</w:t>
      </w:r>
      <w:r>
        <w:rPr>
          <w:color w:val="000000" w:themeColor="text1"/>
          <w14:textFill>
            <w14:solidFill>
              <w14:schemeClr w14:val="tx1"/>
            </w14:solidFill>
          </w14:textFill>
        </w:rPr>
        <w:t>金属非金属矿山安全规程</w:t>
      </w:r>
      <w:r>
        <w:rPr>
          <w:rFonts w:hint="eastAsia"/>
          <w:color w:val="000000" w:themeColor="text1"/>
          <w14:textFill>
            <w14:solidFill>
              <w14:schemeClr w14:val="tx1"/>
            </w14:solidFill>
          </w14:textFill>
        </w:rPr>
        <w:t>》（GB16423-2020）和</w:t>
      </w:r>
      <w:r>
        <w:rPr>
          <w:color w:val="000000" w:themeColor="text1"/>
          <w14:textFill>
            <w14:solidFill>
              <w14:schemeClr w14:val="tx1"/>
            </w14:solidFill>
          </w14:textFill>
        </w:rPr>
        <w:t>《非煤露天矿边坡工程技术规范》</w:t>
      </w:r>
      <w:r>
        <w:rPr>
          <w:rFonts w:hint="eastAsia"/>
          <w:color w:val="000000" w:themeColor="text1"/>
          <w14:textFill>
            <w14:solidFill>
              <w14:schemeClr w14:val="tx1"/>
            </w14:solidFill>
          </w14:textFill>
        </w:rPr>
        <w:t>（GB51016 -2014）的要求和矿山实际建设实施采场边坡安全监测。</w:t>
      </w:r>
    </w:p>
    <w:p w14:paraId="6220F2D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3、矿山边坡</w:t>
      </w:r>
      <w:r>
        <w:rPr>
          <w:color w:val="000000" w:themeColor="text1"/>
          <w14:textFill>
            <w14:solidFill>
              <w14:schemeClr w14:val="tx1"/>
            </w14:solidFill>
          </w14:textFill>
        </w:rPr>
        <w:t>存在问题</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处理意见</w:t>
      </w:r>
    </w:p>
    <w:p w14:paraId="2511EF2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存在问题</w:t>
      </w:r>
    </w:p>
    <w:p w14:paraId="3C10E0CB">
      <w:pPr>
        <w:ind w:firstLine="56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szCs w:val="28"/>
          <w14:textFill>
            <w14:solidFill>
              <w14:schemeClr w14:val="tx1"/>
            </w14:solidFill>
          </w14:textFill>
        </w:rPr>
        <w:t>矿区</w:t>
      </w:r>
      <w:r>
        <w:rPr>
          <w:rFonts w:hint="eastAsia"/>
          <w:color w:val="000000" w:themeColor="text1"/>
          <w:szCs w:val="28"/>
          <w14:textFill>
            <w14:solidFill>
              <w14:schemeClr w14:val="tx1"/>
            </w14:solidFill>
          </w14:textFill>
        </w:rPr>
        <w:t>西</w:t>
      </w:r>
      <w:r>
        <w:rPr>
          <w:color w:val="000000" w:themeColor="text1"/>
          <w:szCs w:val="28"/>
          <w14:textFill>
            <w14:solidFill>
              <w14:schemeClr w14:val="tx1"/>
            </w14:solidFill>
          </w14:textFill>
        </w:rPr>
        <w:t>北部形成</w:t>
      </w:r>
      <w:r>
        <w:rPr>
          <w:rFonts w:hint="eastAsia"/>
          <w:color w:val="000000" w:themeColor="text1"/>
          <w:szCs w:val="28"/>
          <w14:textFill>
            <w14:solidFill>
              <w14:schemeClr w14:val="tx1"/>
            </w14:solidFill>
          </w14:textFill>
        </w:rPr>
        <w:t>5</w:t>
      </w:r>
      <w:r>
        <w:rPr>
          <w:color w:val="000000" w:themeColor="text1"/>
          <w:szCs w:val="28"/>
          <w14:textFill>
            <w14:solidFill>
              <w14:schemeClr w14:val="tx1"/>
            </w14:solidFill>
          </w14:textFill>
        </w:rPr>
        <w:t>个不规则平台</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开采最终边坡高度最高有130m高，如形成较高而陡的开采面，易诱发掉块、滑坡、崩塌等地质灾害，对生产安全危险性较大</w:t>
      </w:r>
      <w:r>
        <w:rPr>
          <w:rFonts w:hint="eastAsia"/>
          <w:color w:val="000000" w:themeColor="text1"/>
          <w:szCs w:val="28"/>
          <w14:textFill>
            <w14:solidFill>
              <w14:schemeClr w14:val="tx1"/>
            </w14:solidFill>
          </w14:textFill>
        </w:rPr>
        <w:t>。</w:t>
      </w:r>
    </w:p>
    <w:p w14:paraId="6E8CB0F9">
      <w:pPr>
        <w:ind w:firstLine="56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②</w:t>
      </w:r>
      <w:bookmarkStart w:id="2350" w:name="OLE_LINK22"/>
      <w:r>
        <w:rPr>
          <w:rFonts w:hint="eastAsia"/>
          <w:color w:val="000000" w:themeColor="text1"/>
          <w:szCs w:val="28"/>
          <w14:textFill>
            <w14:solidFill>
              <w14:schemeClr w14:val="tx1"/>
            </w14:solidFill>
          </w14:textFill>
        </w:rPr>
        <w:t>在矿界外形成一边坡，属历史遗留采区，长约190米，高约30～50m米。</w:t>
      </w:r>
      <w:r>
        <w:rPr>
          <w:color w:val="000000" w:themeColor="text1"/>
          <w14:textFill>
            <w14:solidFill>
              <w14:schemeClr w14:val="tx1"/>
            </w14:solidFill>
          </w14:textFill>
        </w:rPr>
        <w:t>经现场勘查</w:t>
      </w:r>
      <w:r>
        <w:rPr>
          <w:rFonts w:hint="eastAsia"/>
          <w:color w:val="000000" w:themeColor="text1"/>
          <w14:textFill>
            <w14:solidFill>
              <w14:schemeClr w14:val="tx1"/>
            </w14:solidFill>
          </w14:textFill>
        </w:rPr>
        <w:t>及边坡稳定性分析</w:t>
      </w:r>
      <w:r>
        <w:rPr>
          <w:color w:val="000000" w:themeColor="text1"/>
          <w14:textFill>
            <w14:solidFill>
              <w14:schemeClr w14:val="tx1"/>
            </w14:solidFill>
          </w14:textFill>
        </w:rPr>
        <w:t>，形成的台阶</w:t>
      </w:r>
      <w:r>
        <w:rPr>
          <w:rFonts w:hint="eastAsia"/>
          <w:color w:val="000000" w:themeColor="text1"/>
          <w14:textFill>
            <w14:solidFill>
              <w14:schemeClr w14:val="tx1"/>
            </w14:solidFill>
          </w14:textFill>
        </w:rPr>
        <w:t>、边坡</w:t>
      </w:r>
      <w:r>
        <w:rPr>
          <w:color w:val="000000" w:themeColor="text1"/>
          <w14:textFill>
            <w14:solidFill>
              <w14:schemeClr w14:val="tx1"/>
            </w14:solidFill>
          </w14:textFill>
        </w:rPr>
        <w:t>较稳定，矿区范围内</w:t>
      </w:r>
      <w:r>
        <w:rPr>
          <w:rFonts w:hint="eastAsia"/>
          <w:color w:val="000000" w:themeColor="text1"/>
          <w14:textFill>
            <w14:solidFill>
              <w14:schemeClr w14:val="tx1"/>
            </w14:solidFill>
          </w14:textFill>
        </w:rPr>
        <w:t>有可能</w:t>
      </w:r>
      <w:r>
        <w:rPr>
          <w:color w:val="000000" w:themeColor="text1"/>
          <w14:textFill>
            <w14:solidFill>
              <w14:schemeClr w14:val="tx1"/>
            </w14:solidFill>
          </w14:textFill>
        </w:rPr>
        <w:t>发生崩塌、滑坡、泥石流等地质</w:t>
      </w:r>
      <w:r>
        <w:rPr>
          <w:rFonts w:hint="eastAsia"/>
          <w:color w:val="000000" w:themeColor="text1"/>
          <w14:textFill>
            <w14:solidFill>
              <w14:schemeClr w14:val="tx1"/>
            </w14:solidFill>
          </w14:textFill>
        </w:rPr>
        <w:t>灾害</w:t>
      </w:r>
      <w:r>
        <w:rPr>
          <w:color w:val="000000" w:themeColor="text1"/>
          <w:szCs w:val="28"/>
          <w14:textFill>
            <w14:solidFill>
              <w14:schemeClr w14:val="tx1"/>
            </w14:solidFill>
          </w14:textFill>
        </w:rPr>
        <w:t>。</w:t>
      </w:r>
    </w:p>
    <w:bookmarkEnd w:id="2350"/>
    <w:p w14:paraId="266E298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处理意见</w:t>
      </w:r>
    </w:p>
    <w:p w14:paraId="6B3B2D2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①加强安全管理，严格按要求开采，做好排水系统。在下步安全设施设计时对该陡坡可采用在坡脚堆填废土或筑砌长度和宽度大于该陡坡的毛石挡墙做好支撑防护。</w:t>
      </w:r>
    </w:p>
    <w:p w14:paraId="58410617">
      <w:pPr>
        <w:ind w:firstLine="56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szCs w:val="28"/>
          <w14:textFill>
            <w14:solidFill>
              <w14:schemeClr w14:val="tx1"/>
            </w14:solidFill>
          </w14:textFill>
        </w:rPr>
        <w:t>矿山要加强汛期间防汛及演练工作，重点加强边坡专项安全检查，如采场靠帮边坡、运输道路旁边坡及破碎站处边坡等重要部位的隐患排查，发现隐患及时采取加固治理措施。</w:t>
      </w:r>
    </w:p>
    <w:p w14:paraId="51938C2D">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加强地质灾害监测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设专职人员对地质灾害、水保设施、环境进行监督监测。</w:t>
      </w:r>
    </w:p>
    <w:p w14:paraId="247582CD">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w:instrText>
      </w:r>
      <w:r>
        <w:rPr>
          <w:rFonts w:hint="eastAsia"/>
          <w:color w:val="000000" w:themeColor="text1"/>
          <w:szCs w:val="28"/>
          <w14:textFill>
            <w14:solidFill>
              <w14:schemeClr w14:val="tx1"/>
            </w14:solidFill>
          </w14:textFill>
        </w:rPr>
        <w:instrText xml:space="preserve">= 4 \* GB3</w:instrText>
      </w:r>
      <w:r>
        <w:rPr>
          <w:color w:val="000000" w:themeColor="text1"/>
          <w:szCs w:val="28"/>
          <w14:textFill>
            <w14:solidFill>
              <w14:schemeClr w14:val="tx1"/>
            </w14:solidFill>
          </w14:textFill>
        </w:rPr>
        <w:instrText xml:space="preserve"> </w:instrText>
      </w:r>
      <w:r>
        <w:rPr>
          <w:color w:val="000000" w:themeColor="text1"/>
          <w:szCs w:val="28"/>
          <w14:textFill>
            <w14:solidFill>
              <w14:schemeClr w14:val="tx1"/>
            </w14:solidFill>
          </w14:textFill>
        </w:rPr>
        <w:fldChar w:fldCharType="separate"/>
      </w:r>
      <w:r>
        <w:rPr>
          <w:rFonts w:hint="eastAsia"/>
          <w:color w:val="000000" w:themeColor="text1"/>
          <w:szCs w:val="28"/>
          <w14:textFill>
            <w14:solidFill>
              <w14:schemeClr w14:val="tx1"/>
            </w14:solidFill>
          </w14:textFill>
        </w:rPr>
        <w:t>④</w:t>
      </w:r>
      <w:r>
        <w:rPr>
          <w:color w:val="000000" w:themeColor="text1"/>
          <w:szCs w:val="28"/>
          <w14:textFill>
            <w14:solidFill>
              <w14:schemeClr w14:val="tx1"/>
            </w14:solidFill>
          </w14:textFill>
        </w:rPr>
        <w:fldChar w:fldCharType="end"/>
      </w:r>
      <w:r>
        <w:rPr>
          <w:color w:val="000000" w:themeColor="text1"/>
          <w:szCs w:val="28"/>
          <w14:textFill>
            <w14:solidFill>
              <w14:schemeClr w14:val="tx1"/>
            </w14:solidFill>
          </w14:textFill>
        </w:rPr>
        <w:t>建议矿山</w:t>
      </w:r>
      <w:r>
        <w:rPr>
          <w:rFonts w:hint="eastAsia"/>
          <w:color w:val="000000" w:themeColor="text1"/>
          <w:szCs w:val="28"/>
          <w14:textFill>
            <w14:solidFill>
              <w14:schemeClr w14:val="tx1"/>
            </w14:solidFill>
          </w14:textFill>
        </w:rPr>
        <w:t>设计</w:t>
      </w:r>
      <w:r>
        <w:rPr>
          <w:color w:val="000000" w:themeColor="text1"/>
          <w:szCs w:val="28"/>
          <w14:textFill>
            <w14:solidFill>
              <w14:schemeClr w14:val="tx1"/>
            </w14:solidFill>
          </w14:textFill>
        </w:rPr>
        <w:t>时采场边坡角不大于65°。严格分台阶从上到下开采，台阶高度不大于15m，每三个台阶留一个安全平台，最终形成台阶式边坡。</w:t>
      </w:r>
    </w:p>
    <w:p w14:paraId="4B27ADE4">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t>建议矿山</w:t>
      </w:r>
      <w:r>
        <w:rPr>
          <w:rFonts w:hint="eastAsia"/>
          <w:color w:val="000000" w:themeColor="text1"/>
          <w:szCs w:val="28"/>
          <w14:textFill>
            <w14:solidFill>
              <w14:schemeClr w14:val="tx1"/>
            </w14:solidFill>
          </w14:textFill>
        </w:rPr>
        <w:t>设计</w:t>
      </w:r>
      <w:r>
        <w:rPr>
          <w:color w:val="000000" w:themeColor="text1"/>
          <w:szCs w:val="28"/>
          <w14:textFill>
            <w14:solidFill>
              <w14:schemeClr w14:val="tx1"/>
            </w14:solidFill>
          </w14:textFill>
        </w:rPr>
        <w:t>时</w:t>
      </w:r>
      <w:r>
        <w:rPr>
          <w:color w:val="000000" w:themeColor="text1"/>
          <w14:textFill>
            <w14:solidFill>
              <w14:schemeClr w14:val="tx1"/>
            </w14:solidFill>
          </w14:textFill>
        </w:rPr>
        <w:t>临近采空区开采时，采用松动爆破，尽量靠帮作业（向后推进），保留足够的安全平台，并应有专人现场进行指挥。</w:t>
      </w:r>
    </w:p>
    <w:p w14:paraId="4C46DF3D">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bookmarkStart w:id="2351" w:name="OLE_LINK25"/>
      <w:r>
        <w:rPr>
          <w:color w:val="000000" w:themeColor="text1"/>
          <w:szCs w:val="28"/>
          <w14:textFill>
            <w14:solidFill>
              <w14:schemeClr w14:val="tx1"/>
            </w14:solidFill>
          </w14:textFill>
        </w:rPr>
        <w:t>建议矿山</w:t>
      </w:r>
      <w:r>
        <w:rPr>
          <w:rFonts w:hint="eastAsia"/>
          <w:color w:val="000000" w:themeColor="text1"/>
          <w:szCs w:val="28"/>
          <w14:textFill>
            <w14:solidFill>
              <w14:schemeClr w14:val="tx1"/>
            </w14:solidFill>
          </w14:textFill>
        </w:rPr>
        <w:t>设计</w:t>
      </w:r>
      <w:bookmarkEnd w:id="2351"/>
      <w:r>
        <w:rPr>
          <w:color w:val="000000" w:themeColor="text1"/>
          <w:szCs w:val="28"/>
          <w14:textFill>
            <w14:solidFill>
              <w14:schemeClr w14:val="tx1"/>
            </w14:solidFill>
          </w14:textFill>
        </w:rPr>
        <w:t>时</w:t>
      </w:r>
      <w:r>
        <w:rPr>
          <w:color w:val="000000" w:themeColor="text1"/>
          <w14:textFill>
            <w14:solidFill>
              <w14:schemeClr w14:val="tx1"/>
            </w14:solidFill>
          </w14:textFill>
        </w:rPr>
        <w:t>对高陡边坡进行降坡处理，不稳定边坡采取有效防护措施。必要时应进行机械加固，并疏导排水。边坡较高时，及时削坡减载，保证安全。</w:t>
      </w:r>
    </w:p>
    <w:p w14:paraId="55EF1813">
      <w:pPr>
        <w:adjustRightInd w:val="0"/>
        <w:snapToGrid w:val="0"/>
        <w:ind w:firstLine="840" w:firstLineChars="300"/>
        <w:jc w:val="both"/>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7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t>建议矿山</w:t>
      </w:r>
      <w:r>
        <w:rPr>
          <w:rFonts w:hint="eastAsia"/>
          <w:color w:val="000000" w:themeColor="text1"/>
          <w:szCs w:val="28"/>
          <w14:textFill>
            <w14:solidFill>
              <w14:schemeClr w14:val="tx1"/>
            </w14:solidFill>
          </w14:textFill>
        </w:rPr>
        <w:t>设计采用</w:t>
      </w:r>
      <w:r>
        <w:rPr>
          <w:rFonts w:hint="eastAsia"/>
          <w:color w:val="000000" w:themeColor="text1"/>
          <w14:textFill>
            <w14:solidFill>
              <w14:schemeClr w14:val="tx1"/>
            </w14:solidFill>
          </w14:textFill>
        </w:rPr>
        <w:t>以下几种监测方法：</w:t>
      </w:r>
    </w:p>
    <w:p w14:paraId="507B86D7">
      <w:pPr>
        <w:adjustRightInd w:val="0"/>
        <w:snapToGrid w:val="0"/>
        <w:ind w:firstLine="840" w:firstLineChars="3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表面位移：采用</w:t>
      </w:r>
      <w:r>
        <w:rPr>
          <w:rFonts w:hint="eastAsia"/>
          <w:color w:val="000000" w:themeColor="text1"/>
          <w14:textFill>
            <w14:solidFill>
              <w14:schemeClr w14:val="tx1"/>
            </w14:solidFill>
          </w14:textFill>
        </w:rPr>
        <w:t>RTK测量仪</w:t>
      </w:r>
      <w:r>
        <w:rPr>
          <w:color w:val="000000" w:themeColor="text1"/>
          <w14:textFill>
            <w14:solidFill>
              <w14:schemeClr w14:val="tx1"/>
            </w14:solidFill>
          </w14:textFill>
        </w:rPr>
        <w:t>人工监测</w:t>
      </w:r>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 xml:space="preserve"> 边坡高度小于150m，采用人工监测</w:t>
      </w:r>
      <w:r>
        <w:rPr>
          <w:color w:val="000000" w:themeColor="text1"/>
          <w14:textFill>
            <w14:solidFill>
              <w14:schemeClr w14:val="tx1"/>
            </w14:solidFill>
          </w14:textFill>
        </w:rPr>
        <w:t>。</w:t>
      </w:r>
    </w:p>
    <w:p w14:paraId="2DF0BC33">
      <w:pPr>
        <w:adjustRightInd w:val="0"/>
        <w:snapToGrid w:val="0"/>
        <w:ind w:firstLine="840" w:firstLineChars="3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B.爆破振动：移动式爆破测振仪。</w:t>
      </w:r>
    </w:p>
    <w:p w14:paraId="0770BF0E">
      <w:pPr>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降雨量：采用降雨量监测仪。</w:t>
      </w:r>
    </w:p>
    <w:p w14:paraId="0B5E3D5A">
      <w:pPr>
        <w:ind w:firstLine="84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视频监控：由前端摄像头、视频监控平台组成。</w:t>
      </w:r>
    </w:p>
    <w:p w14:paraId="39646130">
      <w:pPr>
        <w:pStyle w:val="6"/>
        <w:spacing w:before="120" w:after="120"/>
        <w:rPr>
          <w:color w:val="000000" w:themeColor="text1"/>
          <w14:textFill>
            <w14:solidFill>
              <w14:schemeClr w14:val="tx1"/>
            </w14:solidFill>
          </w14:textFill>
        </w:rPr>
      </w:pPr>
      <w:bookmarkStart w:id="2352" w:name="_Toc215070267"/>
      <w:r>
        <w:rPr>
          <w:rFonts w:hint="eastAsia"/>
          <w:color w:val="000000" w:themeColor="text1"/>
          <w14:textFill>
            <w14:solidFill>
              <w14:schemeClr w14:val="tx1"/>
            </w14:solidFill>
          </w14:textFill>
        </w:rPr>
        <w:t>3.4.1.8设备</w:t>
      </w:r>
      <w:r>
        <w:rPr>
          <w:color w:val="000000" w:themeColor="text1"/>
          <w14:textFill>
            <w14:solidFill>
              <w14:schemeClr w14:val="tx1"/>
            </w14:solidFill>
          </w14:textFill>
        </w:rPr>
        <w:t>生产能力</w:t>
      </w:r>
      <w:bookmarkEnd w:id="2352"/>
    </w:p>
    <w:p w14:paraId="5AF150D1">
      <w:pPr>
        <w:ind w:firstLine="420" w:firstLineChars="150"/>
        <w:rPr>
          <w:color w:val="000000" w:themeColor="text1"/>
          <w:szCs w:val="28"/>
          <w:lang w:val="zh-TW" w:eastAsia="zh-TW"/>
          <w14:textFill>
            <w14:solidFill>
              <w14:schemeClr w14:val="tx1"/>
            </w14:solidFill>
          </w14:textFill>
        </w:rPr>
      </w:pPr>
      <w:r>
        <w:rPr>
          <w:color w:val="000000" w:themeColor="text1"/>
          <w:szCs w:val="28"/>
          <w:lang w:val="zh-TW"/>
          <w14:textFill>
            <w14:solidFill>
              <w14:schemeClr w14:val="tx1"/>
            </w14:solidFill>
          </w14:textFill>
        </w:rPr>
        <w:t>本矿山</w:t>
      </w:r>
      <w:r>
        <w:rPr>
          <w:color w:val="000000" w:themeColor="text1"/>
          <w:szCs w:val="28"/>
          <w:lang w:val="zh-TW" w:eastAsia="zh-TW"/>
          <w14:textFill>
            <w14:solidFill>
              <w14:schemeClr w14:val="tx1"/>
            </w14:solidFill>
          </w14:textFill>
        </w:rPr>
        <w:t>为山坡露天开采，矿体内的夹石量不大，矿山只对初期生产能力进行验证。对于一个规模已确定的</w:t>
      </w:r>
      <w:r>
        <w:rPr>
          <w:color w:val="000000" w:themeColor="text1"/>
          <w:szCs w:val="28"/>
          <w14:textFill>
            <w14:solidFill>
              <w14:schemeClr w14:val="tx1"/>
            </w14:solidFill>
          </w14:textFill>
        </w:rPr>
        <w:t>建筑</w:t>
      </w:r>
      <w:r>
        <w:rPr>
          <w:color w:val="000000" w:themeColor="text1"/>
          <w:szCs w:val="28"/>
          <w:lang w:val="zh-TW" w:eastAsia="zh-TW"/>
          <w14:textFill>
            <w14:solidFill>
              <w14:schemeClr w14:val="tx1"/>
            </w14:solidFill>
          </w14:textFill>
        </w:rPr>
        <w:t>用</w:t>
      </w:r>
      <w:r>
        <w:rPr>
          <w:color w:val="000000" w:themeColor="text1"/>
          <w14:textFill>
            <w14:solidFill>
              <w14:schemeClr w14:val="tx1"/>
            </w14:solidFill>
          </w14:textFill>
        </w:rPr>
        <w:t>砂岩</w:t>
      </w:r>
      <w:r>
        <w:rPr>
          <w:color w:val="000000" w:themeColor="text1"/>
          <w:szCs w:val="28"/>
          <w:lang w:val="zh-TW" w:eastAsia="zh-TW"/>
          <w14:textFill>
            <w14:solidFill>
              <w14:schemeClr w14:val="tx1"/>
            </w14:solidFill>
          </w14:textFill>
        </w:rPr>
        <w:t>原料露天矿山，则主要考虑采矿设备、</w:t>
      </w:r>
      <w:r>
        <w:rPr>
          <w:rFonts w:hint="eastAsia"/>
          <w:color w:val="000000" w:themeColor="text1"/>
          <w:szCs w:val="28"/>
          <w:lang w:val="zh-TW" w:eastAsia="zh-TW"/>
          <w14:textFill>
            <w14:solidFill>
              <w14:schemeClr w14:val="tx1"/>
            </w14:solidFill>
          </w14:textFill>
        </w:rPr>
        <w:t>运输设备的选用</w:t>
      </w:r>
      <w:r>
        <w:rPr>
          <w:rFonts w:hint="eastAsia"/>
          <w:color w:val="000000" w:themeColor="text1"/>
          <w:szCs w:val="28"/>
          <w:lang w:val="zh-TW"/>
          <w14:textFill>
            <w14:solidFill>
              <w14:schemeClr w14:val="tx1"/>
            </w14:solidFill>
          </w14:textFill>
        </w:rPr>
        <w:t>。</w:t>
      </w:r>
    </w:p>
    <w:p w14:paraId="76B64EB8">
      <w:pPr>
        <w:ind w:firstLine="420" w:firstLineChars="150"/>
        <w:rPr>
          <w:color w:val="000000" w:themeColor="text1"/>
          <w:szCs w:val="28"/>
          <w:lang w:val="zh-TW"/>
          <w14:textFill>
            <w14:solidFill>
              <w14:schemeClr w14:val="tx1"/>
            </w14:solidFill>
          </w14:textFill>
        </w:rPr>
      </w:pPr>
      <w:r>
        <w:rPr>
          <w:color w:val="000000" w:themeColor="text1"/>
          <w:szCs w:val="28"/>
          <w:lang w:val="zh-TW" w:eastAsia="zh-TW"/>
          <w14:textFill>
            <w14:solidFill>
              <w14:schemeClr w14:val="tx1"/>
            </w14:solidFill>
          </w14:textFill>
        </w:rPr>
        <w:t>根据</w:t>
      </w:r>
      <w:r>
        <w:rPr>
          <w:color w:val="000000" w:themeColor="text1"/>
          <w:szCs w:val="28"/>
          <w14:textFill>
            <w14:solidFill>
              <w14:schemeClr w14:val="tx1"/>
            </w14:solidFill>
          </w14:textFill>
        </w:rPr>
        <w:t>矿山</w:t>
      </w:r>
      <w:r>
        <w:rPr>
          <w:color w:val="000000" w:themeColor="text1"/>
          <w:szCs w:val="28"/>
          <w:lang w:val="zh-TW" w:eastAsia="zh-TW"/>
          <w14:textFill>
            <w14:solidFill>
              <w14:schemeClr w14:val="tx1"/>
            </w14:solidFill>
          </w14:textFill>
        </w:rPr>
        <w:t>生产能力，年</w:t>
      </w:r>
      <w:r>
        <w:rPr>
          <w:rFonts w:hint="eastAsia"/>
          <w:color w:val="000000" w:themeColor="text1"/>
          <w:szCs w:val="28"/>
          <w14:textFill>
            <w14:solidFill>
              <w14:schemeClr w14:val="tx1"/>
            </w14:solidFill>
          </w14:textFill>
        </w:rPr>
        <w:t>产量5</w:t>
      </w:r>
      <w:r>
        <w:rPr>
          <w:color w:val="000000" w:themeColor="text1"/>
          <w:szCs w:val="28"/>
          <w14:textFill>
            <w14:solidFill>
              <w14:schemeClr w14:val="tx1"/>
            </w14:solidFill>
          </w14:textFill>
        </w:rPr>
        <w:t>0万t</w:t>
      </w:r>
      <w:r>
        <w:rPr>
          <w:rFonts w:hint="eastAsia"/>
          <w:color w:val="000000" w:themeColor="text1"/>
          <w:szCs w:val="28"/>
          <w14:textFill>
            <w14:solidFill>
              <w14:schemeClr w14:val="tx1"/>
            </w14:solidFill>
          </w14:textFill>
        </w:rPr>
        <w:t>/a</w:t>
      </w:r>
      <w:r>
        <w:rPr>
          <w:color w:val="000000" w:themeColor="text1"/>
          <w:szCs w:val="28"/>
          <w:lang w:val="zh-TW"/>
          <w14:textFill>
            <w14:solidFill>
              <w14:schemeClr w14:val="tx1"/>
            </w14:solidFill>
          </w14:textFill>
        </w:rPr>
        <w:t>。</w:t>
      </w:r>
    </w:p>
    <w:p w14:paraId="4AF6DF28">
      <w:pPr>
        <w:ind w:firstLine="420" w:firstLineChars="150"/>
        <w:rPr>
          <w:color w:val="000000" w:themeColor="text1"/>
          <w:szCs w:val="28"/>
          <w:lang w:val="zh-TW" w:eastAsia="zh-TW"/>
          <w14:textFill>
            <w14:solidFill>
              <w14:schemeClr w14:val="tx1"/>
            </w14:solidFill>
          </w14:textFill>
        </w:rPr>
      </w:pPr>
      <w:r>
        <w:rPr>
          <w:color w:val="000000" w:themeColor="text1"/>
          <w:szCs w:val="28"/>
          <w14:textFill>
            <w14:solidFill>
              <w14:schemeClr w14:val="tx1"/>
            </w14:solidFill>
          </w14:textFill>
        </w:rPr>
        <w:t>1.</w:t>
      </w:r>
      <w:r>
        <w:rPr>
          <w:color w:val="000000" w:themeColor="text1"/>
          <w:szCs w:val="28"/>
          <w:lang w:val="zh-TW" w:eastAsia="zh-TW"/>
          <w14:textFill>
            <w14:solidFill>
              <w14:schemeClr w14:val="tx1"/>
            </w14:solidFill>
          </w14:textFill>
        </w:rPr>
        <w:t>穿爆设备生产能力验证</w:t>
      </w:r>
    </w:p>
    <w:p w14:paraId="7BDBD42D">
      <w:pPr>
        <w:ind w:firstLine="420" w:firstLineChars="150"/>
        <w:rPr>
          <w:color w:val="000000" w:themeColor="text1"/>
          <w14:textFill>
            <w14:solidFill>
              <w14:schemeClr w14:val="tx1"/>
            </w14:solidFill>
          </w14:textFill>
        </w:rPr>
      </w:pPr>
      <w:r>
        <w:rPr>
          <w:color w:val="000000" w:themeColor="text1"/>
          <w14:textFill>
            <w14:solidFill>
              <w14:schemeClr w14:val="tx1"/>
            </w14:solidFill>
          </w14:textFill>
        </w:rPr>
        <w:t>采用的主要穿孔设备为</w:t>
      </w:r>
      <w:r>
        <w:rPr>
          <w:rFonts w:hint="eastAsia"/>
          <w:color w:val="000000" w:themeColor="text1"/>
          <w14:textFill>
            <w14:solidFill>
              <w14:schemeClr w14:val="tx1"/>
            </w14:solidFill>
          </w14:textFill>
        </w:rPr>
        <w:t>矿山原有设备ZG415-1潜孔钻机</w:t>
      </w:r>
      <w:r>
        <w:rPr>
          <w:color w:val="000000" w:themeColor="text1"/>
          <w14:textFill>
            <w14:solidFill>
              <w14:schemeClr w14:val="tx1"/>
            </w14:solidFill>
          </w14:textFill>
        </w:rPr>
        <w:t>，钻孔直径90</w:t>
      </w:r>
      <w:r>
        <w:rPr>
          <w:rFonts w:hint="eastAsia"/>
          <w:color w:val="000000" w:themeColor="text1"/>
          <w14:textFill>
            <w14:solidFill>
              <w14:schemeClr w14:val="tx1"/>
            </w14:solidFill>
          </w14:textFill>
        </w:rPr>
        <w:t>～105</w:t>
      </w:r>
      <w:r>
        <w:rPr>
          <w:color w:val="000000" w:themeColor="text1"/>
          <w14:textFill>
            <w14:solidFill>
              <w14:schemeClr w14:val="tx1"/>
            </w14:solidFill>
          </w14:textFill>
        </w:rPr>
        <w:t>mm</w:t>
      </w:r>
      <w:r>
        <w:rPr>
          <w:rFonts w:hint="eastAsia"/>
          <w:color w:val="000000" w:themeColor="text1"/>
          <w14:textFill>
            <w14:solidFill>
              <w14:schemeClr w14:val="tx1"/>
            </w14:solidFill>
          </w14:textFill>
        </w:rPr>
        <w:t>。钻机需要量见表5.6-1。</w:t>
      </w:r>
    </w:p>
    <w:p w14:paraId="3B67A999">
      <w:pPr>
        <w:tabs>
          <w:tab w:val="left" w:pos="5327"/>
          <w:tab w:val="left" w:pos="6326"/>
          <w:tab w:val="left" w:pos="7230"/>
          <w:tab w:val="left" w:pos="9301"/>
        </w:tabs>
        <w:ind w:firstLine="422"/>
        <w:jc w:val="center"/>
        <w:rPr>
          <w:color w:val="000000" w:themeColor="text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表5.6-1潜孔钻机需要量计算表</w:t>
      </w:r>
    </w:p>
    <w:tbl>
      <w:tblPr>
        <w:tblStyle w:val="44"/>
        <w:tblW w:w="4937" w:type="pct"/>
        <w:tblInd w:w="108" w:type="dxa"/>
        <w:tblLayout w:type="autofit"/>
        <w:tblCellMar>
          <w:top w:w="0" w:type="dxa"/>
          <w:left w:w="108" w:type="dxa"/>
          <w:bottom w:w="0" w:type="dxa"/>
          <w:right w:w="108" w:type="dxa"/>
        </w:tblCellMar>
      </w:tblPr>
      <w:tblGrid>
        <w:gridCol w:w="2232"/>
        <w:gridCol w:w="2351"/>
        <w:gridCol w:w="2351"/>
        <w:gridCol w:w="2349"/>
      </w:tblGrid>
      <w:tr w14:paraId="785D446E">
        <w:tblPrEx>
          <w:tblCellMar>
            <w:top w:w="0" w:type="dxa"/>
            <w:left w:w="108" w:type="dxa"/>
            <w:bottom w:w="0" w:type="dxa"/>
            <w:right w:w="108" w:type="dxa"/>
          </w:tblCellMar>
        </w:tblPrEx>
        <w:trPr>
          <w:trHeight w:val="435" w:hRule="atLeast"/>
        </w:trPr>
        <w:tc>
          <w:tcPr>
            <w:tcW w:w="1202" w:type="pct"/>
            <w:tcBorders>
              <w:top w:val="single" w:color="auto" w:sz="4" w:space="0"/>
              <w:left w:val="single" w:color="auto" w:sz="4" w:space="0"/>
              <w:bottom w:val="single" w:color="auto" w:sz="4" w:space="0"/>
              <w:right w:val="single" w:color="auto" w:sz="4" w:space="0"/>
            </w:tcBorders>
            <w:vAlign w:val="center"/>
          </w:tcPr>
          <w:p w14:paraId="12E2381D">
            <w:pPr>
              <w:ind w:firstLine="402"/>
              <w:jc w:val="center"/>
              <w:rPr>
                <w:rFonts w:hint="eastAsia" w:ascii="宋体" w:hAnsi="宋体" w:cs="宋体"/>
                <w:b/>
                <w:color w:val="000000" w:themeColor="text1"/>
                <w:sz w:val="20"/>
                <w14:textFill>
                  <w14:solidFill>
                    <w14:schemeClr w14:val="tx1"/>
                  </w14:solidFill>
                </w14:textFill>
              </w:rPr>
            </w:pPr>
            <w:r>
              <w:rPr>
                <w:rFonts w:hint="eastAsia" w:ascii="宋体" w:hAnsi="宋体" w:cs="宋体"/>
                <w:b/>
                <w:color w:val="000000" w:themeColor="text1"/>
                <w:sz w:val="20"/>
                <w14:textFill>
                  <w14:solidFill>
                    <w14:schemeClr w14:val="tx1"/>
                  </w14:solidFill>
                </w14:textFill>
              </w:rPr>
              <w:t>序号</w:t>
            </w:r>
          </w:p>
        </w:tc>
        <w:tc>
          <w:tcPr>
            <w:tcW w:w="1266" w:type="pct"/>
            <w:tcBorders>
              <w:top w:val="single" w:color="auto" w:sz="4" w:space="0"/>
              <w:left w:val="single" w:color="auto" w:sz="4" w:space="0"/>
              <w:bottom w:val="single" w:color="auto" w:sz="4" w:space="0"/>
              <w:right w:val="single" w:color="auto" w:sz="4" w:space="0"/>
            </w:tcBorders>
            <w:vAlign w:val="center"/>
          </w:tcPr>
          <w:p w14:paraId="0B8F68BC">
            <w:pPr>
              <w:ind w:firstLine="402"/>
              <w:jc w:val="center"/>
              <w:rPr>
                <w:rFonts w:hint="eastAsia" w:ascii="宋体" w:hAnsi="宋体" w:cs="宋体"/>
                <w:b/>
                <w:color w:val="000000" w:themeColor="text1"/>
                <w:sz w:val="20"/>
                <w14:textFill>
                  <w14:solidFill>
                    <w14:schemeClr w14:val="tx1"/>
                  </w14:solidFill>
                </w14:textFill>
              </w:rPr>
            </w:pPr>
            <w:r>
              <w:rPr>
                <w:rFonts w:hint="eastAsia" w:ascii="宋体" w:hAnsi="宋体" w:cs="宋体"/>
                <w:b/>
                <w:color w:val="000000" w:themeColor="text1"/>
                <w:sz w:val="20"/>
                <w14:textFill>
                  <w14:solidFill>
                    <w14:schemeClr w14:val="tx1"/>
                  </w14:solidFill>
                </w14:textFill>
              </w:rPr>
              <w:t>项  目</w:t>
            </w:r>
          </w:p>
        </w:tc>
        <w:tc>
          <w:tcPr>
            <w:tcW w:w="1266" w:type="pct"/>
            <w:tcBorders>
              <w:top w:val="single" w:color="auto" w:sz="4" w:space="0"/>
              <w:left w:val="single" w:color="auto" w:sz="4" w:space="0"/>
              <w:bottom w:val="single" w:color="auto" w:sz="4" w:space="0"/>
              <w:right w:val="single" w:color="auto" w:sz="4" w:space="0"/>
            </w:tcBorders>
            <w:vAlign w:val="center"/>
          </w:tcPr>
          <w:p w14:paraId="17B1B09E">
            <w:pPr>
              <w:ind w:firstLine="402"/>
              <w:jc w:val="center"/>
              <w:rPr>
                <w:rFonts w:hint="eastAsia" w:ascii="宋体" w:hAnsi="宋体" w:cs="宋体"/>
                <w:b/>
                <w:color w:val="000000" w:themeColor="text1"/>
                <w:sz w:val="20"/>
                <w14:textFill>
                  <w14:solidFill>
                    <w14:schemeClr w14:val="tx1"/>
                  </w14:solidFill>
                </w14:textFill>
              </w:rPr>
            </w:pPr>
            <w:r>
              <w:rPr>
                <w:rFonts w:hint="eastAsia" w:ascii="宋体" w:hAnsi="宋体" w:cs="宋体"/>
                <w:b/>
                <w:color w:val="000000" w:themeColor="text1"/>
                <w:sz w:val="20"/>
                <w14:textFill>
                  <w14:solidFill>
                    <w14:schemeClr w14:val="tx1"/>
                  </w14:solidFill>
                </w14:textFill>
              </w:rPr>
              <w:t>单  位</w:t>
            </w:r>
          </w:p>
        </w:tc>
        <w:tc>
          <w:tcPr>
            <w:tcW w:w="1265" w:type="pct"/>
            <w:tcBorders>
              <w:top w:val="single" w:color="auto" w:sz="4" w:space="0"/>
              <w:left w:val="single" w:color="auto" w:sz="4" w:space="0"/>
              <w:bottom w:val="single" w:color="auto" w:sz="4" w:space="0"/>
              <w:right w:val="single" w:color="auto" w:sz="4" w:space="0"/>
            </w:tcBorders>
            <w:vAlign w:val="center"/>
          </w:tcPr>
          <w:p w14:paraId="16D15958">
            <w:pPr>
              <w:ind w:firstLine="402"/>
              <w:jc w:val="center"/>
              <w:rPr>
                <w:rFonts w:hint="eastAsia" w:ascii="宋体" w:hAnsi="宋体" w:cs="宋体"/>
                <w:b/>
                <w:color w:val="000000" w:themeColor="text1"/>
                <w:sz w:val="20"/>
                <w14:textFill>
                  <w14:solidFill>
                    <w14:schemeClr w14:val="tx1"/>
                  </w14:solidFill>
                </w14:textFill>
              </w:rPr>
            </w:pPr>
            <w:r>
              <w:rPr>
                <w:rFonts w:hint="eastAsia" w:ascii="宋体" w:hAnsi="宋体" w:cs="宋体"/>
                <w:b/>
                <w:color w:val="000000" w:themeColor="text1"/>
                <w:sz w:val="20"/>
                <w14:textFill>
                  <w14:solidFill>
                    <w14:schemeClr w14:val="tx1"/>
                  </w14:solidFill>
                </w14:textFill>
              </w:rPr>
              <w:t>指  标</w:t>
            </w:r>
          </w:p>
        </w:tc>
      </w:tr>
      <w:tr w14:paraId="57211FCC">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2D172A6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w:t>
            </w:r>
          </w:p>
        </w:tc>
        <w:tc>
          <w:tcPr>
            <w:tcW w:w="1266" w:type="pct"/>
            <w:tcBorders>
              <w:top w:val="nil"/>
              <w:left w:val="nil"/>
              <w:bottom w:val="single" w:color="auto" w:sz="4" w:space="0"/>
              <w:right w:val="single" w:color="auto" w:sz="4" w:space="0"/>
            </w:tcBorders>
            <w:vAlign w:val="center"/>
          </w:tcPr>
          <w:p w14:paraId="6CC2370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爆破作业量</w:t>
            </w:r>
          </w:p>
        </w:tc>
        <w:tc>
          <w:tcPr>
            <w:tcW w:w="1266" w:type="pct"/>
            <w:tcBorders>
              <w:top w:val="nil"/>
              <w:left w:val="nil"/>
              <w:bottom w:val="single" w:color="auto" w:sz="4" w:space="0"/>
              <w:right w:val="single" w:color="auto" w:sz="4" w:space="0"/>
            </w:tcBorders>
            <w:vAlign w:val="center"/>
          </w:tcPr>
          <w:p w14:paraId="71C6460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万m</w:t>
            </w:r>
            <w:r>
              <w:rPr>
                <w:rFonts w:hint="eastAsia" w:ascii="宋体" w:hAnsi="宋体" w:cs="宋体"/>
                <w:color w:val="000000" w:themeColor="text1"/>
                <w:sz w:val="20"/>
                <w:vertAlign w:val="superscript"/>
                <w14:textFill>
                  <w14:solidFill>
                    <w14:schemeClr w14:val="tx1"/>
                  </w14:solidFill>
                </w14:textFill>
              </w:rPr>
              <w:t>3</w:t>
            </w:r>
            <w:r>
              <w:rPr>
                <w:rFonts w:hint="eastAsia" w:ascii="宋体" w:hAnsi="宋体" w:cs="宋体"/>
                <w:color w:val="000000" w:themeColor="text1"/>
                <w:sz w:val="20"/>
                <w14:textFill>
                  <w14:solidFill>
                    <w14:schemeClr w14:val="tx1"/>
                  </w14:solidFill>
                </w14:textFill>
              </w:rPr>
              <w:t>／a</w:t>
            </w:r>
          </w:p>
        </w:tc>
        <w:tc>
          <w:tcPr>
            <w:tcW w:w="1265" w:type="pct"/>
            <w:tcBorders>
              <w:top w:val="nil"/>
              <w:left w:val="nil"/>
              <w:bottom w:val="single" w:color="auto" w:sz="4" w:space="0"/>
              <w:right w:val="single" w:color="auto" w:sz="4" w:space="0"/>
            </w:tcBorders>
            <w:vAlign w:val="center"/>
          </w:tcPr>
          <w:p w14:paraId="5E78B0B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19.23</w:t>
            </w:r>
          </w:p>
        </w:tc>
      </w:tr>
      <w:tr w14:paraId="2884D777">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2CCDA67C">
            <w:pPr>
              <w:ind w:firstLine="400"/>
              <w:jc w:val="center"/>
              <w:rPr>
                <w:rFonts w:hint="eastAsia" w:ascii="宋体" w:hAnsi="宋体" w:cs="宋体"/>
                <w:color w:val="000000" w:themeColor="text1"/>
                <w:sz w:val="20"/>
                <w14:textFill>
                  <w14:solidFill>
                    <w14:schemeClr w14:val="tx1"/>
                  </w14:solidFill>
                </w14:textFill>
              </w:rPr>
            </w:pPr>
          </w:p>
        </w:tc>
        <w:tc>
          <w:tcPr>
            <w:tcW w:w="1266" w:type="pct"/>
            <w:tcBorders>
              <w:top w:val="nil"/>
              <w:left w:val="nil"/>
              <w:bottom w:val="single" w:color="auto" w:sz="4" w:space="0"/>
              <w:right w:val="single" w:color="auto" w:sz="4" w:space="0"/>
            </w:tcBorders>
            <w:vAlign w:val="center"/>
          </w:tcPr>
          <w:p w14:paraId="6878A09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w:t>
            </w:r>
          </w:p>
        </w:tc>
        <w:tc>
          <w:tcPr>
            <w:tcW w:w="1266" w:type="pct"/>
            <w:tcBorders>
              <w:top w:val="nil"/>
              <w:left w:val="nil"/>
              <w:bottom w:val="single" w:color="auto" w:sz="4" w:space="0"/>
              <w:right w:val="single" w:color="auto" w:sz="4" w:space="0"/>
            </w:tcBorders>
            <w:vAlign w:val="center"/>
          </w:tcPr>
          <w:p w14:paraId="76B4930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万t／a</w:t>
            </w:r>
          </w:p>
        </w:tc>
        <w:tc>
          <w:tcPr>
            <w:tcW w:w="1265" w:type="pct"/>
            <w:tcBorders>
              <w:top w:val="nil"/>
              <w:left w:val="nil"/>
              <w:bottom w:val="single" w:color="auto" w:sz="4" w:space="0"/>
              <w:right w:val="single" w:color="auto" w:sz="4" w:space="0"/>
            </w:tcBorders>
            <w:vAlign w:val="center"/>
          </w:tcPr>
          <w:p w14:paraId="0879177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50</w:t>
            </w:r>
          </w:p>
        </w:tc>
      </w:tr>
      <w:tr w14:paraId="787F0A83">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0B4AB76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w:t>
            </w:r>
          </w:p>
        </w:tc>
        <w:tc>
          <w:tcPr>
            <w:tcW w:w="1266" w:type="pct"/>
            <w:tcBorders>
              <w:top w:val="nil"/>
              <w:left w:val="nil"/>
              <w:bottom w:val="single" w:color="auto" w:sz="4" w:space="0"/>
              <w:right w:val="single" w:color="auto" w:sz="4" w:space="0"/>
            </w:tcBorders>
            <w:vAlign w:val="center"/>
          </w:tcPr>
          <w:p w14:paraId="4C6B266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钻机直径</w:t>
            </w:r>
          </w:p>
        </w:tc>
        <w:tc>
          <w:tcPr>
            <w:tcW w:w="1266" w:type="pct"/>
            <w:tcBorders>
              <w:top w:val="nil"/>
              <w:left w:val="nil"/>
              <w:bottom w:val="single" w:color="auto" w:sz="4" w:space="0"/>
              <w:right w:val="single" w:color="auto" w:sz="4" w:space="0"/>
            </w:tcBorders>
            <w:vAlign w:val="center"/>
          </w:tcPr>
          <w:p w14:paraId="45AD803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mm</w:t>
            </w:r>
          </w:p>
        </w:tc>
        <w:tc>
          <w:tcPr>
            <w:tcW w:w="1265" w:type="pct"/>
            <w:tcBorders>
              <w:top w:val="nil"/>
              <w:left w:val="nil"/>
              <w:bottom w:val="single" w:color="auto" w:sz="4" w:space="0"/>
              <w:right w:val="single" w:color="auto" w:sz="4" w:space="0"/>
            </w:tcBorders>
            <w:vAlign w:val="center"/>
          </w:tcPr>
          <w:p w14:paraId="2C1D3B7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w:t>
            </w:r>
          </w:p>
        </w:tc>
      </w:tr>
      <w:tr w14:paraId="7A661D4A">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3CC32BF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w:t>
            </w:r>
          </w:p>
        </w:tc>
        <w:tc>
          <w:tcPr>
            <w:tcW w:w="1266" w:type="pct"/>
            <w:tcBorders>
              <w:top w:val="nil"/>
              <w:left w:val="nil"/>
              <w:bottom w:val="single" w:color="auto" w:sz="4" w:space="0"/>
              <w:right w:val="single" w:color="auto" w:sz="4" w:space="0"/>
            </w:tcBorders>
          </w:tcPr>
          <w:p w14:paraId="267A7D9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台阶高度</w:t>
            </w:r>
          </w:p>
        </w:tc>
        <w:tc>
          <w:tcPr>
            <w:tcW w:w="1266" w:type="pct"/>
            <w:tcBorders>
              <w:top w:val="nil"/>
              <w:left w:val="nil"/>
              <w:bottom w:val="single" w:color="auto" w:sz="4" w:space="0"/>
              <w:right w:val="single" w:color="auto" w:sz="4" w:space="0"/>
            </w:tcBorders>
          </w:tcPr>
          <w:p w14:paraId="4431FCE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1265" w:type="pct"/>
            <w:tcBorders>
              <w:top w:val="nil"/>
              <w:left w:val="nil"/>
              <w:bottom w:val="single" w:color="auto" w:sz="4" w:space="0"/>
              <w:right w:val="single" w:color="auto" w:sz="4" w:space="0"/>
            </w:tcBorders>
            <w:vAlign w:val="center"/>
          </w:tcPr>
          <w:p w14:paraId="4CBFEFF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15</w:t>
            </w:r>
          </w:p>
        </w:tc>
      </w:tr>
      <w:tr w14:paraId="4F512D9E">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3A7E870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4</w:t>
            </w:r>
          </w:p>
        </w:tc>
        <w:tc>
          <w:tcPr>
            <w:tcW w:w="1266" w:type="pct"/>
            <w:tcBorders>
              <w:top w:val="nil"/>
              <w:left w:val="nil"/>
              <w:bottom w:val="single" w:color="auto" w:sz="4" w:space="0"/>
              <w:right w:val="single" w:color="auto" w:sz="4" w:space="0"/>
            </w:tcBorders>
            <w:vAlign w:val="center"/>
          </w:tcPr>
          <w:p w14:paraId="231028F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布孔参数</w:t>
            </w:r>
          </w:p>
        </w:tc>
        <w:tc>
          <w:tcPr>
            <w:tcW w:w="1266" w:type="pct"/>
            <w:tcBorders>
              <w:top w:val="nil"/>
              <w:left w:val="nil"/>
              <w:bottom w:val="single" w:color="auto" w:sz="4" w:space="0"/>
              <w:right w:val="single" w:color="auto" w:sz="4" w:space="0"/>
            </w:tcBorders>
            <w:vAlign w:val="center"/>
          </w:tcPr>
          <w:p w14:paraId="3DFF348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w:t>
            </w:r>
          </w:p>
        </w:tc>
        <w:tc>
          <w:tcPr>
            <w:tcW w:w="1265" w:type="pct"/>
            <w:tcBorders>
              <w:top w:val="nil"/>
              <w:left w:val="nil"/>
              <w:bottom w:val="single" w:color="auto" w:sz="4" w:space="0"/>
              <w:right w:val="single" w:color="auto" w:sz="4" w:space="0"/>
            </w:tcBorders>
            <w:vAlign w:val="center"/>
          </w:tcPr>
          <w:p w14:paraId="028F523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w:t>
            </w:r>
          </w:p>
        </w:tc>
      </w:tr>
      <w:tr w14:paraId="76D44691">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784FDDF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w:t>
            </w:r>
          </w:p>
        </w:tc>
        <w:tc>
          <w:tcPr>
            <w:tcW w:w="1266" w:type="pct"/>
            <w:tcBorders>
              <w:top w:val="nil"/>
              <w:left w:val="nil"/>
              <w:bottom w:val="single" w:color="auto" w:sz="4" w:space="0"/>
              <w:right w:val="single" w:color="auto" w:sz="4" w:space="0"/>
            </w:tcBorders>
            <w:vAlign w:val="center"/>
          </w:tcPr>
          <w:p w14:paraId="2B0430B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孔间距</w:t>
            </w:r>
          </w:p>
        </w:tc>
        <w:tc>
          <w:tcPr>
            <w:tcW w:w="1266" w:type="pct"/>
            <w:tcBorders>
              <w:top w:val="nil"/>
              <w:left w:val="nil"/>
              <w:bottom w:val="single" w:color="auto" w:sz="4" w:space="0"/>
              <w:right w:val="single" w:color="auto" w:sz="4" w:space="0"/>
            </w:tcBorders>
            <w:vAlign w:val="center"/>
          </w:tcPr>
          <w:p w14:paraId="5ACDB56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1265" w:type="pct"/>
            <w:tcBorders>
              <w:top w:val="nil"/>
              <w:left w:val="nil"/>
              <w:bottom w:val="single" w:color="auto" w:sz="4" w:space="0"/>
              <w:right w:val="single" w:color="auto" w:sz="4" w:space="0"/>
            </w:tcBorders>
            <w:vAlign w:val="center"/>
          </w:tcPr>
          <w:p w14:paraId="20B5BB0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4.5</w:t>
            </w:r>
          </w:p>
        </w:tc>
      </w:tr>
      <w:tr w14:paraId="0E57550F">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48A418C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6</w:t>
            </w:r>
          </w:p>
        </w:tc>
        <w:tc>
          <w:tcPr>
            <w:tcW w:w="1266" w:type="pct"/>
            <w:tcBorders>
              <w:top w:val="nil"/>
              <w:left w:val="nil"/>
              <w:bottom w:val="single" w:color="auto" w:sz="4" w:space="0"/>
              <w:right w:val="single" w:color="auto" w:sz="4" w:space="0"/>
            </w:tcBorders>
            <w:vAlign w:val="center"/>
          </w:tcPr>
          <w:p w14:paraId="5A570D3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排间距</w:t>
            </w:r>
          </w:p>
        </w:tc>
        <w:tc>
          <w:tcPr>
            <w:tcW w:w="1266" w:type="pct"/>
            <w:tcBorders>
              <w:top w:val="nil"/>
              <w:left w:val="nil"/>
              <w:bottom w:val="single" w:color="auto" w:sz="4" w:space="0"/>
              <w:right w:val="single" w:color="auto" w:sz="4" w:space="0"/>
            </w:tcBorders>
            <w:vAlign w:val="center"/>
          </w:tcPr>
          <w:p w14:paraId="58A2D40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1265" w:type="pct"/>
            <w:tcBorders>
              <w:top w:val="nil"/>
              <w:left w:val="nil"/>
              <w:bottom w:val="single" w:color="auto" w:sz="4" w:space="0"/>
              <w:right w:val="single" w:color="auto" w:sz="4" w:space="0"/>
            </w:tcBorders>
            <w:vAlign w:val="center"/>
          </w:tcPr>
          <w:p w14:paraId="79AD746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w:t>
            </w:r>
          </w:p>
        </w:tc>
      </w:tr>
      <w:tr w14:paraId="045E2854">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4766D86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7</w:t>
            </w:r>
          </w:p>
        </w:tc>
        <w:tc>
          <w:tcPr>
            <w:tcW w:w="1266" w:type="pct"/>
            <w:tcBorders>
              <w:top w:val="nil"/>
              <w:left w:val="nil"/>
              <w:bottom w:val="single" w:color="auto" w:sz="4" w:space="0"/>
              <w:right w:val="single" w:color="auto" w:sz="4" w:space="0"/>
            </w:tcBorders>
            <w:vAlign w:val="center"/>
          </w:tcPr>
          <w:p w14:paraId="4F89750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xml:space="preserve">孔深 </w:t>
            </w:r>
          </w:p>
        </w:tc>
        <w:tc>
          <w:tcPr>
            <w:tcW w:w="1266" w:type="pct"/>
            <w:tcBorders>
              <w:top w:val="nil"/>
              <w:left w:val="nil"/>
              <w:bottom w:val="single" w:color="auto" w:sz="4" w:space="0"/>
              <w:right w:val="single" w:color="auto" w:sz="4" w:space="0"/>
            </w:tcBorders>
            <w:vAlign w:val="center"/>
          </w:tcPr>
          <w:p w14:paraId="675ABC6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p>
        </w:tc>
        <w:tc>
          <w:tcPr>
            <w:tcW w:w="1265" w:type="pct"/>
            <w:tcBorders>
              <w:top w:val="nil"/>
              <w:left w:val="nil"/>
              <w:bottom w:val="single" w:color="auto" w:sz="4" w:space="0"/>
              <w:right w:val="single" w:color="auto" w:sz="4" w:space="0"/>
            </w:tcBorders>
            <w:vAlign w:val="center"/>
          </w:tcPr>
          <w:p w14:paraId="1EFA536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18.35</w:t>
            </w:r>
          </w:p>
        </w:tc>
      </w:tr>
      <w:tr w14:paraId="529B81A2">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2B3DE1C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8</w:t>
            </w:r>
          </w:p>
        </w:tc>
        <w:tc>
          <w:tcPr>
            <w:tcW w:w="1266" w:type="pct"/>
            <w:tcBorders>
              <w:top w:val="nil"/>
              <w:left w:val="nil"/>
              <w:bottom w:val="single" w:color="auto" w:sz="4" w:space="0"/>
              <w:right w:val="single" w:color="auto" w:sz="4" w:space="0"/>
            </w:tcBorders>
            <w:vAlign w:val="center"/>
          </w:tcPr>
          <w:p w14:paraId="000C53A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每米爆破量</w:t>
            </w:r>
          </w:p>
        </w:tc>
        <w:tc>
          <w:tcPr>
            <w:tcW w:w="1266" w:type="pct"/>
            <w:tcBorders>
              <w:top w:val="nil"/>
              <w:left w:val="nil"/>
              <w:bottom w:val="single" w:color="auto" w:sz="4" w:space="0"/>
              <w:right w:val="single" w:color="auto" w:sz="4" w:space="0"/>
            </w:tcBorders>
            <w:vAlign w:val="center"/>
          </w:tcPr>
          <w:p w14:paraId="73F23A3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m</w:t>
            </w:r>
            <w:r>
              <w:rPr>
                <w:rFonts w:hint="eastAsia" w:ascii="宋体" w:hAnsi="宋体" w:cs="宋体"/>
                <w:color w:val="000000" w:themeColor="text1"/>
                <w:sz w:val="20"/>
                <w:vertAlign w:val="superscript"/>
                <w14:textFill>
                  <w14:solidFill>
                    <w14:schemeClr w14:val="tx1"/>
                  </w14:solidFill>
                </w14:textFill>
              </w:rPr>
              <w:t>3</w:t>
            </w:r>
            <w:r>
              <w:rPr>
                <w:rFonts w:hint="eastAsia" w:ascii="宋体" w:hAnsi="宋体" w:cs="宋体"/>
                <w:color w:val="000000" w:themeColor="text1"/>
                <w:sz w:val="20"/>
                <w14:textFill>
                  <w14:solidFill>
                    <w14:schemeClr w14:val="tx1"/>
                  </w14:solidFill>
                </w14:textFill>
              </w:rPr>
              <w:t>/m</w:t>
            </w:r>
          </w:p>
        </w:tc>
        <w:tc>
          <w:tcPr>
            <w:tcW w:w="1265" w:type="pct"/>
            <w:tcBorders>
              <w:top w:val="nil"/>
              <w:left w:val="nil"/>
              <w:bottom w:val="single" w:color="auto" w:sz="4" w:space="0"/>
              <w:right w:val="single" w:color="auto" w:sz="4" w:space="0"/>
            </w:tcBorders>
            <w:vAlign w:val="center"/>
          </w:tcPr>
          <w:p w14:paraId="2EB0E05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18</w:t>
            </w:r>
          </w:p>
        </w:tc>
      </w:tr>
      <w:tr w14:paraId="61AA09E3">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32C912BF">
            <w:pPr>
              <w:ind w:firstLine="400"/>
              <w:jc w:val="center"/>
              <w:rPr>
                <w:rFonts w:hint="eastAsia" w:ascii="宋体" w:hAnsi="宋体" w:cs="宋体"/>
                <w:color w:val="000000" w:themeColor="text1"/>
                <w:sz w:val="20"/>
                <w14:textFill>
                  <w14:solidFill>
                    <w14:schemeClr w14:val="tx1"/>
                  </w14:solidFill>
                </w14:textFill>
              </w:rPr>
            </w:pPr>
          </w:p>
        </w:tc>
        <w:tc>
          <w:tcPr>
            <w:tcW w:w="1266" w:type="pct"/>
            <w:tcBorders>
              <w:top w:val="nil"/>
              <w:left w:val="nil"/>
              <w:bottom w:val="single" w:color="auto" w:sz="4" w:space="0"/>
              <w:right w:val="single" w:color="auto" w:sz="4" w:space="0"/>
            </w:tcBorders>
            <w:vAlign w:val="center"/>
          </w:tcPr>
          <w:p w14:paraId="66E0FCA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　</w:t>
            </w:r>
          </w:p>
        </w:tc>
        <w:tc>
          <w:tcPr>
            <w:tcW w:w="1266" w:type="pct"/>
            <w:tcBorders>
              <w:top w:val="nil"/>
              <w:left w:val="nil"/>
              <w:bottom w:val="single" w:color="auto" w:sz="4" w:space="0"/>
              <w:right w:val="single" w:color="auto" w:sz="4" w:space="0"/>
            </w:tcBorders>
            <w:vAlign w:val="center"/>
          </w:tcPr>
          <w:p w14:paraId="6048A51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t/m</w:t>
            </w:r>
          </w:p>
        </w:tc>
        <w:tc>
          <w:tcPr>
            <w:tcW w:w="1265" w:type="pct"/>
            <w:tcBorders>
              <w:top w:val="nil"/>
              <w:left w:val="nil"/>
              <w:bottom w:val="single" w:color="auto" w:sz="4" w:space="0"/>
              <w:right w:val="single" w:color="auto" w:sz="4" w:space="0"/>
            </w:tcBorders>
            <w:vAlign w:val="center"/>
          </w:tcPr>
          <w:p w14:paraId="5DF3810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46.8</w:t>
            </w:r>
          </w:p>
        </w:tc>
      </w:tr>
      <w:tr w14:paraId="4181BDB1">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534A3E9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9</w:t>
            </w:r>
          </w:p>
        </w:tc>
        <w:tc>
          <w:tcPr>
            <w:tcW w:w="1266" w:type="pct"/>
            <w:tcBorders>
              <w:top w:val="nil"/>
              <w:left w:val="nil"/>
              <w:bottom w:val="single" w:color="auto" w:sz="4" w:space="0"/>
              <w:right w:val="single" w:color="auto" w:sz="4" w:space="0"/>
            </w:tcBorders>
            <w:vAlign w:val="center"/>
          </w:tcPr>
          <w:p w14:paraId="624F89E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废孔率</w:t>
            </w:r>
          </w:p>
        </w:tc>
        <w:tc>
          <w:tcPr>
            <w:tcW w:w="1266" w:type="pct"/>
            <w:tcBorders>
              <w:top w:val="nil"/>
              <w:left w:val="nil"/>
              <w:bottom w:val="single" w:color="auto" w:sz="4" w:space="0"/>
              <w:right w:val="single" w:color="auto" w:sz="4" w:space="0"/>
            </w:tcBorders>
            <w:vAlign w:val="center"/>
          </w:tcPr>
          <w:p w14:paraId="206B6B5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w:t>
            </w:r>
          </w:p>
        </w:tc>
        <w:tc>
          <w:tcPr>
            <w:tcW w:w="1265" w:type="pct"/>
            <w:tcBorders>
              <w:top w:val="nil"/>
              <w:left w:val="nil"/>
              <w:bottom w:val="single" w:color="auto" w:sz="4" w:space="0"/>
              <w:right w:val="single" w:color="auto" w:sz="4" w:space="0"/>
            </w:tcBorders>
            <w:vAlign w:val="center"/>
          </w:tcPr>
          <w:p w14:paraId="5400E5E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w:t>
            </w:r>
          </w:p>
        </w:tc>
      </w:tr>
      <w:tr w14:paraId="37A89EE3">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29570E2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w:t>
            </w:r>
          </w:p>
        </w:tc>
        <w:tc>
          <w:tcPr>
            <w:tcW w:w="1266" w:type="pct"/>
            <w:tcBorders>
              <w:top w:val="nil"/>
              <w:left w:val="nil"/>
              <w:bottom w:val="single" w:color="auto" w:sz="4" w:space="0"/>
              <w:right w:val="single" w:color="auto" w:sz="4" w:space="0"/>
            </w:tcBorders>
            <w:vAlign w:val="center"/>
          </w:tcPr>
          <w:p w14:paraId="0BC7131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年需要钻孔量</w:t>
            </w:r>
          </w:p>
        </w:tc>
        <w:tc>
          <w:tcPr>
            <w:tcW w:w="1266" w:type="pct"/>
            <w:tcBorders>
              <w:top w:val="nil"/>
              <w:left w:val="nil"/>
              <w:bottom w:val="single" w:color="auto" w:sz="4" w:space="0"/>
              <w:right w:val="single" w:color="auto" w:sz="4" w:space="0"/>
            </w:tcBorders>
            <w:vAlign w:val="center"/>
          </w:tcPr>
          <w:p w14:paraId="6F3404D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万m／a</w:t>
            </w:r>
          </w:p>
        </w:tc>
        <w:tc>
          <w:tcPr>
            <w:tcW w:w="1265" w:type="pct"/>
            <w:tcBorders>
              <w:top w:val="nil"/>
              <w:left w:val="nil"/>
              <w:bottom w:val="single" w:color="auto" w:sz="4" w:space="0"/>
              <w:right w:val="single" w:color="auto" w:sz="4" w:space="0"/>
            </w:tcBorders>
            <w:vAlign w:val="center"/>
          </w:tcPr>
          <w:p w14:paraId="39A986E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1.06</w:t>
            </w:r>
          </w:p>
        </w:tc>
      </w:tr>
      <w:tr w14:paraId="7983FD83">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5AE43DE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11</w:t>
            </w:r>
          </w:p>
        </w:tc>
        <w:tc>
          <w:tcPr>
            <w:tcW w:w="1266" w:type="pct"/>
            <w:tcBorders>
              <w:top w:val="nil"/>
              <w:left w:val="nil"/>
              <w:bottom w:val="single" w:color="auto" w:sz="4" w:space="0"/>
              <w:right w:val="single" w:color="auto" w:sz="4" w:space="0"/>
            </w:tcBorders>
            <w:vAlign w:val="center"/>
          </w:tcPr>
          <w:p w14:paraId="0128E10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钻孔效率</w:t>
            </w:r>
          </w:p>
        </w:tc>
        <w:tc>
          <w:tcPr>
            <w:tcW w:w="1266" w:type="pct"/>
            <w:tcBorders>
              <w:top w:val="nil"/>
              <w:left w:val="nil"/>
              <w:bottom w:val="single" w:color="auto" w:sz="4" w:space="0"/>
              <w:right w:val="single" w:color="auto" w:sz="4" w:space="0"/>
            </w:tcBorders>
            <w:vAlign w:val="center"/>
          </w:tcPr>
          <w:p w14:paraId="184C9B6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万m／台。a</w:t>
            </w:r>
          </w:p>
        </w:tc>
        <w:tc>
          <w:tcPr>
            <w:tcW w:w="1265" w:type="pct"/>
            <w:tcBorders>
              <w:top w:val="nil"/>
              <w:left w:val="nil"/>
              <w:bottom w:val="single" w:color="auto" w:sz="4" w:space="0"/>
              <w:right w:val="single" w:color="auto" w:sz="4" w:space="0"/>
            </w:tcBorders>
            <w:vAlign w:val="center"/>
          </w:tcPr>
          <w:p w14:paraId="4DF2DFE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1.5</w:t>
            </w:r>
          </w:p>
        </w:tc>
      </w:tr>
      <w:tr w14:paraId="1E01CCE2">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57A17E4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12</w:t>
            </w:r>
          </w:p>
        </w:tc>
        <w:tc>
          <w:tcPr>
            <w:tcW w:w="1266" w:type="pct"/>
            <w:tcBorders>
              <w:top w:val="nil"/>
              <w:left w:val="nil"/>
              <w:bottom w:val="single" w:color="auto" w:sz="4" w:space="0"/>
              <w:right w:val="single" w:color="auto" w:sz="4" w:space="0"/>
            </w:tcBorders>
            <w:vAlign w:val="center"/>
          </w:tcPr>
          <w:p w14:paraId="6976550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钻机数量</w:t>
            </w:r>
          </w:p>
        </w:tc>
        <w:tc>
          <w:tcPr>
            <w:tcW w:w="1266" w:type="pct"/>
            <w:tcBorders>
              <w:top w:val="nil"/>
              <w:left w:val="nil"/>
              <w:bottom w:val="single" w:color="auto" w:sz="4" w:space="0"/>
              <w:right w:val="single" w:color="auto" w:sz="4" w:space="0"/>
            </w:tcBorders>
            <w:vAlign w:val="center"/>
          </w:tcPr>
          <w:p w14:paraId="7BA8518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台</w:t>
            </w:r>
          </w:p>
        </w:tc>
        <w:tc>
          <w:tcPr>
            <w:tcW w:w="1265" w:type="pct"/>
            <w:tcBorders>
              <w:top w:val="nil"/>
              <w:left w:val="nil"/>
              <w:bottom w:val="single" w:color="auto" w:sz="4" w:space="0"/>
              <w:right w:val="single" w:color="auto" w:sz="4" w:space="0"/>
            </w:tcBorders>
            <w:vAlign w:val="center"/>
          </w:tcPr>
          <w:p w14:paraId="034C37B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w:t>
            </w:r>
          </w:p>
        </w:tc>
      </w:tr>
      <w:tr w14:paraId="7CEB8F6D">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461DC17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13</w:t>
            </w:r>
          </w:p>
        </w:tc>
        <w:tc>
          <w:tcPr>
            <w:tcW w:w="1266" w:type="pct"/>
            <w:tcBorders>
              <w:top w:val="nil"/>
              <w:left w:val="nil"/>
              <w:bottom w:val="single" w:color="auto" w:sz="4" w:space="0"/>
              <w:right w:val="single" w:color="auto" w:sz="4" w:space="0"/>
            </w:tcBorders>
            <w:vAlign w:val="center"/>
          </w:tcPr>
          <w:p w14:paraId="7E92AD2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备 用</w:t>
            </w:r>
          </w:p>
        </w:tc>
        <w:tc>
          <w:tcPr>
            <w:tcW w:w="1266" w:type="pct"/>
            <w:tcBorders>
              <w:top w:val="nil"/>
              <w:left w:val="nil"/>
              <w:bottom w:val="single" w:color="auto" w:sz="4" w:space="0"/>
              <w:right w:val="single" w:color="auto" w:sz="4" w:space="0"/>
            </w:tcBorders>
            <w:vAlign w:val="center"/>
          </w:tcPr>
          <w:p w14:paraId="5C0A2F66">
            <w:pPr>
              <w:ind w:firstLine="400"/>
              <w:jc w:val="center"/>
              <w:rPr>
                <w:rFonts w:hint="eastAsia" w:ascii="宋体" w:hAnsi="宋体" w:cs="宋体"/>
                <w:color w:val="000000" w:themeColor="text1"/>
                <w:sz w:val="20"/>
                <w14:textFill>
                  <w14:solidFill>
                    <w14:schemeClr w14:val="tx1"/>
                  </w14:solidFill>
                </w14:textFill>
              </w:rPr>
            </w:pPr>
          </w:p>
        </w:tc>
        <w:tc>
          <w:tcPr>
            <w:tcW w:w="1265" w:type="pct"/>
            <w:tcBorders>
              <w:top w:val="nil"/>
              <w:left w:val="nil"/>
              <w:bottom w:val="single" w:color="auto" w:sz="4" w:space="0"/>
              <w:right w:val="single" w:color="auto" w:sz="4" w:space="0"/>
            </w:tcBorders>
            <w:vAlign w:val="center"/>
          </w:tcPr>
          <w:p w14:paraId="0DC941B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w:t>
            </w:r>
          </w:p>
        </w:tc>
      </w:tr>
      <w:tr w14:paraId="64A08DFA">
        <w:tblPrEx>
          <w:tblCellMar>
            <w:top w:w="0" w:type="dxa"/>
            <w:left w:w="108" w:type="dxa"/>
            <w:bottom w:w="0" w:type="dxa"/>
            <w:right w:w="108" w:type="dxa"/>
          </w:tblCellMar>
        </w:tblPrEx>
        <w:trPr>
          <w:trHeight w:val="113" w:hRule="atLeast"/>
        </w:trPr>
        <w:tc>
          <w:tcPr>
            <w:tcW w:w="1202" w:type="pct"/>
            <w:tcBorders>
              <w:top w:val="nil"/>
              <w:left w:val="single" w:color="auto" w:sz="4" w:space="0"/>
              <w:bottom w:val="single" w:color="auto" w:sz="4" w:space="0"/>
              <w:right w:val="single" w:color="auto" w:sz="4" w:space="0"/>
            </w:tcBorders>
          </w:tcPr>
          <w:p w14:paraId="73EA496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14</w:t>
            </w:r>
          </w:p>
        </w:tc>
        <w:tc>
          <w:tcPr>
            <w:tcW w:w="1266" w:type="pct"/>
            <w:tcBorders>
              <w:top w:val="nil"/>
              <w:left w:val="nil"/>
              <w:bottom w:val="single" w:color="auto" w:sz="4" w:space="0"/>
              <w:right w:val="single" w:color="auto" w:sz="4" w:space="0"/>
            </w:tcBorders>
            <w:vAlign w:val="center"/>
          </w:tcPr>
          <w:p w14:paraId="7E0EB12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钻机数量</w:t>
            </w:r>
          </w:p>
        </w:tc>
        <w:tc>
          <w:tcPr>
            <w:tcW w:w="1266" w:type="pct"/>
            <w:tcBorders>
              <w:top w:val="nil"/>
              <w:left w:val="nil"/>
              <w:bottom w:val="single" w:color="auto" w:sz="4" w:space="0"/>
              <w:right w:val="single" w:color="auto" w:sz="4" w:space="0"/>
            </w:tcBorders>
            <w:vAlign w:val="center"/>
          </w:tcPr>
          <w:p w14:paraId="14B03DE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台</w:t>
            </w:r>
          </w:p>
        </w:tc>
        <w:tc>
          <w:tcPr>
            <w:tcW w:w="1265" w:type="pct"/>
            <w:tcBorders>
              <w:top w:val="nil"/>
              <w:left w:val="nil"/>
              <w:bottom w:val="single" w:color="auto" w:sz="4" w:space="0"/>
              <w:right w:val="single" w:color="auto" w:sz="4" w:space="0"/>
            </w:tcBorders>
            <w:vAlign w:val="center"/>
          </w:tcPr>
          <w:p w14:paraId="48439B10">
            <w:pPr>
              <w:ind w:firstLine="402"/>
              <w:jc w:val="center"/>
              <w:rPr>
                <w:rFonts w:hint="eastAsia" w:ascii="宋体" w:hAnsi="宋体" w:cs="宋体"/>
                <w:b/>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2</w:t>
            </w:r>
          </w:p>
        </w:tc>
      </w:tr>
    </w:tbl>
    <w:p w14:paraId="7E738F80">
      <w:pPr>
        <w:ind w:firstLine="560"/>
        <w:rPr>
          <w:color w:val="000000" w:themeColor="text1"/>
          <w14:textFill>
            <w14:solidFill>
              <w14:schemeClr w14:val="tx1"/>
            </w14:solidFill>
          </w14:textFill>
        </w:rPr>
      </w:pPr>
    </w:p>
    <w:p w14:paraId="32551FFB">
      <w:pPr>
        <w:ind w:firstLine="420" w:firstLineChars="150"/>
        <w:rPr>
          <w:color w:val="000000" w:themeColor="text1"/>
          <w:szCs w:val="28"/>
          <w:lang w:val="zh-TW" w:eastAsia="zh-TW"/>
          <w14:textFill>
            <w14:solidFill>
              <w14:schemeClr w14:val="tx1"/>
            </w14:solidFill>
          </w14:textFill>
        </w:rPr>
      </w:pPr>
      <w:r>
        <w:rPr>
          <w:color w:val="000000" w:themeColor="text1"/>
          <w:szCs w:val="28"/>
          <w14:textFill>
            <w14:solidFill>
              <w14:schemeClr w14:val="tx1"/>
            </w14:solidFill>
          </w14:textFill>
        </w:rPr>
        <w:t>2.</w:t>
      </w:r>
      <w:r>
        <w:rPr>
          <w:color w:val="000000" w:themeColor="text1"/>
          <w:szCs w:val="28"/>
          <w:lang w:val="zh-TW" w:eastAsia="zh-TW"/>
          <w14:textFill>
            <w14:solidFill>
              <w14:schemeClr w14:val="tx1"/>
            </w14:solidFill>
          </w14:textFill>
        </w:rPr>
        <w:t>挖掘设备生产能力验证</w:t>
      </w:r>
    </w:p>
    <w:p w14:paraId="06B8AB0A">
      <w:pPr>
        <w:pStyle w:val="146"/>
        <w:spacing w:line="360" w:lineRule="auto"/>
        <w:rPr>
          <w:rFonts w:ascii="Times New Roman" w:hAnsi="Times New Roman"/>
          <w:color w:val="000000" w:themeColor="text1"/>
          <w:lang w:val="zh-TW"/>
          <w14:textFill>
            <w14:solidFill>
              <w14:schemeClr w14:val="tx1"/>
            </w14:solidFill>
          </w14:textFill>
        </w:rPr>
      </w:pPr>
      <w:r>
        <w:rPr>
          <w:rFonts w:ascii="Times New Roman" w:hAnsi="Times New Roman"/>
          <w:color w:val="000000" w:themeColor="text1"/>
          <w:kern w:val="2"/>
          <w:lang w:val="en-US"/>
          <w14:textFill>
            <w14:solidFill>
              <w14:schemeClr w14:val="tx1"/>
            </w14:solidFill>
          </w14:textFill>
        </w:rPr>
        <w:t>采用</w:t>
      </w:r>
      <w:r>
        <w:rPr>
          <w:rFonts w:hint="eastAsia" w:ascii="Times New Roman" w:hAnsi="Times New Roman"/>
          <w:color w:val="000000" w:themeColor="text1"/>
          <w:kern w:val="2"/>
          <w:lang w:val="en-US"/>
          <w14:textFill>
            <w14:solidFill>
              <w14:schemeClr w14:val="tx1"/>
            </w14:solidFill>
          </w14:textFill>
        </w:rPr>
        <w:t>矿山原有设备</w:t>
      </w:r>
      <w:r>
        <w:rPr>
          <w:rFonts w:ascii="Times New Roman" w:hAnsi="Times New Roman"/>
          <w:color w:val="000000" w:themeColor="text1"/>
          <w:lang w:val="en-US"/>
          <w14:textFill>
            <w14:solidFill>
              <w14:schemeClr w14:val="tx1"/>
            </w14:solidFill>
          </w14:textFill>
        </w:rPr>
        <w:t>卡特320型挖掘机作为辅助挖掘设备，用作破碎</w:t>
      </w:r>
      <w:r>
        <w:rPr>
          <w:rFonts w:hint="eastAsia" w:ascii="Times New Roman" w:hAnsi="Times New Roman"/>
          <w:color w:val="000000" w:themeColor="text1"/>
          <w:lang w:val="en-US"/>
          <w14:textFill>
            <w14:solidFill>
              <w14:schemeClr w14:val="tx1"/>
            </w14:solidFill>
          </w14:textFill>
        </w:rPr>
        <w:t>。</w:t>
      </w:r>
      <w:r>
        <w:rPr>
          <w:rFonts w:ascii="Times New Roman" w:hAnsi="Times New Roman"/>
          <w:color w:val="000000" w:themeColor="text1"/>
          <w:lang w:val="en-US"/>
          <w14:textFill>
            <w14:solidFill>
              <w14:schemeClr w14:val="tx1"/>
            </w14:solidFill>
          </w14:textFill>
        </w:rPr>
        <w:t>卡特320型挖掘机</w:t>
      </w:r>
      <w:r>
        <w:rPr>
          <w:rFonts w:hint="eastAsia" w:ascii="Times New Roman" w:hAnsi="Times New Roman"/>
          <w:color w:val="000000" w:themeColor="text1"/>
          <w:lang w:val="en-US"/>
          <w14:textFill>
            <w14:solidFill>
              <w14:schemeClr w14:val="tx1"/>
            </w14:solidFill>
          </w14:textFill>
        </w:rPr>
        <w:t>最大挖掘半径9.8m，铲斗容量1.2</w:t>
      </w:r>
      <w:r>
        <w:rPr>
          <w:rFonts w:ascii="Times New Roman" w:hAnsi="Times New Roman"/>
          <w:bCs/>
          <w:color w:val="000000" w:themeColor="text1"/>
          <w14:textFill>
            <w14:solidFill>
              <w14:schemeClr w14:val="tx1"/>
            </w14:solidFill>
          </w14:textFill>
        </w:rPr>
        <w:t>m³</w:t>
      </w:r>
      <w:r>
        <w:rPr>
          <w:rFonts w:hint="eastAsia" w:ascii="Times New Roman" w:hAnsi="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挖掘机生产</w:t>
      </w:r>
      <w:r>
        <w:rPr>
          <w:rFonts w:ascii="Times New Roman" w:hAnsi="Times New Roman"/>
          <w:color w:val="000000" w:themeColor="text1"/>
          <w:lang w:val="zh-TW" w:eastAsia="zh-TW"/>
          <w14:textFill>
            <w14:solidFill>
              <w14:schemeClr w14:val="tx1"/>
            </w14:solidFill>
          </w14:textFill>
        </w:rPr>
        <w:t>能力可达</w:t>
      </w:r>
      <w:r>
        <w:rPr>
          <w:rFonts w:hint="eastAsia" w:ascii="Times New Roman" w:hAnsi="Times New Roman"/>
          <w:color w:val="000000" w:themeColor="text1"/>
          <w:lang w:val="en-US"/>
          <w14:textFill>
            <w14:solidFill>
              <w14:schemeClr w14:val="tx1"/>
            </w14:solidFill>
          </w14:textFill>
        </w:rPr>
        <w:t>20万m³</w:t>
      </w:r>
      <w:r>
        <w:rPr>
          <w:rFonts w:ascii="Times New Roman" w:hAnsi="Times New Roman"/>
          <w:color w:val="000000" w:themeColor="text1"/>
          <w:lang w:val="zh-TW" w:eastAsia="zh-TW"/>
          <w14:textFill>
            <w14:solidFill>
              <w14:schemeClr w14:val="tx1"/>
            </w14:solidFill>
          </w14:textFill>
        </w:rPr>
        <w:t>/a</w:t>
      </w:r>
      <w:r>
        <w:rPr>
          <w:rFonts w:ascii="Times New Roman" w:hAnsi="Times New Roman"/>
          <w:color w:val="000000" w:themeColor="text1"/>
          <w:lang w:val="zh-TW"/>
          <w14:textFill>
            <w14:solidFill>
              <w14:schemeClr w14:val="tx1"/>
            </w14:solidFill>
          </w14:textFill>
        </w:rPr>
        <w:t>，</w:t>
      </w:r>
      <w:r>
        <w:rPr>
          <w:rFonts w:ascii="Times New Roman" w:hAnsi="Times New Roman"/>
          <w:color w:val="000000" w:themeColor="text1"/>
          <w:lang w:val="zh-TW" w:eastAsia="zh-TW"/>
          <w14:textFill>
            <w14:solidFill>
              <w14:schemeClr w14:val="tx1"/>
            </w14:solidFill>
          </w14:textFill>
        </w:rPr>
        <w:t>可以满足矿山年产</w:t>
      </w:r>
      <w:r>
        <w:rPr>
          <w:rFonts w:hint="eastAsia" w:ascii="Times New Roman" w:hAnsi="Times New Roman"/>
          <w:color w:val="000000" w:themeColor="text1"/>
          <w:lang w:val="en-US"/>
          <w14:textFill>
            <w14:solidFill>
              <w14:schemeClr w14:val="tx1"/>
            </w14:solidFill>
          </w14:textFill>
        </w:rPr>
        <w:t>5</w:t>
      </w:r>
      <w:r>
        <w:rPr>
          <w:rFonts w:ascii="Times New Roman" w:hAnsi="Times New Roman"/>
          <w:color w:val="000000" w:themeColor="text1"/>
          <w:lang w:val="en-US"/>
          <w14:textFill>
            <w14:solidFill>
              <w14:schemeClr w14:val="tx1"/>
            </w14:solidFill>
          </w14:textFill>
        </w:rPr>
        <w:t>0</w:t>
      </w:r>
      <w:r>
        <w:rPr>
          <w:rFonts w:ascii="Times New Roman" w:hAnsi="Times New Roman"/>
          <w:color w:val="000000" w:themeColor="text1"/>
          <w14:textFill>
            <w14:solidFill>
              <w14:schemeClr w14:val="tx1"/>
            </w14:solidFill>
          </w14:textFill>
        </w:rPr>
        <w:t>万t</w:t>
      </w:r>
      <w:r>
        <w:rPr>
          <w:rFonts w:ascii="Times New Roman" w:hAnsi="Times New Roman"/>
          <w:color w:val="000000" w:themeColor="text1"/>
          <w:lang w:val="zh-TW" w:eastAsia="zh-TW"/>
          <w14:textFill>
            <w14:solidFill>
              <w14:schemeClr w14:val="tx1"/>
            </w14:solidFill>
          </w14:textFill>
        </w:rPr>
        <w:t>的生产能力需要。</w:t>
      </w:r>
    </w:p>
    <w:p w14:paraId="758663B7">
      <w:pPr>
        <w:adjustRightInd w:val="0"/>
        <w:snapToGrid w:val="0"/>
        <w:ind w:firstLine="56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矿山所采矿体为坚硬稳固的矿石，采用机械铲装，深孔爆破，台阶高度应不大于机械最大挖掘高度的1.5倍。矿山拟采用卡特320型液压挖掘机，其最大挖掘高度为9.8m，台阶高度H=15m，可以满足矿山生产要求。</w:t>
      </w:r>
    </w:p>
    <w:p w14:paraId="3FAC4F74">
      <w:pPr>
        <w:ind w:firstLine="560"/>
        <w:rPr>
          <w:color w:val="000000" w:themeColor="text1"/>
          <w:szCs w:val="28"/>
          <w14:textFill>
            <w14:solidFill>
              <w14:schemeClr w14:val="tx1"/>
            </w14:solidFill>
          </w14:textFill>
        </w:rPr>
      </w:pPr>
      <w:bookmarkStart w:id="2353" w:name="_Hlk208847487"/>
      <w:bookmarkStart w:id="2354" w:name="_Hlk208847450"/>
      <w:r>
        <w:rPr>
          <w:rFonts w:hint="eastAsia"/>
          <w:color w:val="000000" w:themeColor="text1"/>
          <w14:textFill>
            <w14:solidFill>
              <w14:schemeClr w14:val="tx1"/>
            </w14:solidFill>
          </w14:textFill>
        </w:rPr>
        <w:t>3.</w:t>
      </w:r>
      <w:r>
        <w:rPr>
          <w:color w:val="000000" w:themeColor="text1"/>
          <w14:textFill>
            <w14:solidFill>
              <w14:schemeClr w14:val="tx1"/>
            </w14:solidFill>
          </w14:textFill>
        </w:rPr>
        <w:t>利旧矿山</w:t>
      </w:r>
      <w:r>
        <w:rPr>
          <w:rFonts w:hint="eastAsia"/>
          <w:color w:val="000000" w:themeColor="text1"/>
          <w14:textFill>
            <w14:solidFill>
              <w14:schemeClr w14:val="tx1"/>
            </w14:solidFill>
          </w14:textFill>
        </w:rPr>
        <w:t>已有设备</w:t>
      </w:r>
      <w:r>
        <w:rPr>
          <w:rFonts w:hint="eastAsia"/>
          <w:color w:val="000000" w:themeColor="text1"/>
          <w:szCs w:val="28"/>
          <w14:textFill>
            <w14:solidFill>
              <w14:schemeClr w14:val="tx1"/>
            </w14:solidFill>
          </w14:textFill>
        </w:rPr>
        <w:t>自卸</w:t>
      </w:r>
      <w:r>
        <w:rPr>
          <w:color w:val="000000" w:themeColor="text1"/>
          <w:szCs w:val="28"/>
          <w14:textFill>
            <w14:solidFill>
              <w14:schemeClr w14:val="tx1"/>
            </w14:solidFill>
          </w14:textFill>
        </w:rPr>
        <w:t>汽车8台</w:t>
      </w:r>
      <w:r>
        <w:rPr>
          <w:rFonts w:hint="eastAsia"/>
          <w:color w:val="000000" w:themeColor="text1"/>
          <w:szCs w:val="28"/>
          <w14:textFill>
            <w14:solidFill>
              <w14:schemeClr w14:val="tx1"/>
            </w14:solidFill>
          </w14:textFill>
        </w:rPr>
        <w:t>进行运输</w:t>
      </w:r>
      <w:r>
        <w:rPr>
          <w:color w:val="000000" w:themeColor="text1"/>
          <w:szCs w:val="28"/>
          <w14:textFill>
            <w14:solidFill>
              <w14:schemeClr w14:val="tx1"/>
            </w14:solidFill>
          </w14:textFill>
        </w:rPr>
        <w:t>，车斗规格5.4m，宽2.35m，高1.6m</w:t>
      </w:r>
      <w:r>
        <w:rPr>
          <w:rFonts w:hint="eastAsia"/>
          <w:color w:val="000000" w:themeColor="text1"/>
          <w:szCs w:val="28"/>
          <w14:textFill>
            <w14:solidFill>
              <w14:schemeClr w14:val="tx1"/>
            </w14:solidFill>
          </w14:textFill>
        </w:rPr>
        <w:t>，额定载重10t。</w:t>
      </w:r>
      <w:bookmarkEnd w:id="2353"/>
    </w:p>
    <w:bookmarkEnd w:id="2354"/>
    <w:p w14:paraId="5070E53D">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自卸载重汽车运输能力验算</w:t>
      </w:r>
    </w:p>
    <w:p w14:paraId="161735AC">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（1）台班生产能力</w:t>
      </w:r>
    </w:p>
    <w:p w14:paraId="1372B92A">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A=η</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60qT/t</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k1=0.9×</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60×</w:t>
      </w:r>
      <w:r>
        <w:rPr>
          <w:rFonts w:hint="eastAsia"/>
          <w:color w:val="000000" w:themeColor="text1"/>
          <w:szCs w:val="28"/>
          <w14:textFill>
            <w14:solidFill>
              <w14:schemeClr w14:val="tx1"/>
            </w14:solidFill>
          </w14:textFill>
        </w:rPr>
        <w:t>10</w:t>
      </w: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20)</w:t>
      </w:r>
      <w:r>
        <w:rPr>
          <w:color w:val="000000" w:themeColor="text1"/>
          <w:szCs w:val="28"/>
          <w14:textFill>
            <w14:solidFill>
              <w14:schemeClr w14:val="tx1"/>
            </w14:solidFill>
          </w14:textFill>
        </w:rPr>
        <w:t>×0.9</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172.8</w:t>
      </w:r>
      <w:r>
        <w:rPr>
          <w:color w:val="000000" w:themeColor="text1"/>
          <w:szCs w:val="28"/>
          <w14:textFill>
            <w14:solidFill>
              <w14:schemeClr w14:val="tx1"/>
            </w14:solidFill>
          </w14:textFill>
        </w:rPr>
        <w:t>t</w:t>
      </w:r>
    </w:p>
    <w:p w14:paraId="3336442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式中：A——自卸汽车台班生产能力，t/台•班；</w:t>
      </w:r>
    </w:p>
    <w:p w14:paraId="43E108A5">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q——自卸汽车载重量，q=</w:t>
      </w:r>
      <w:r>
        <w:rPr>
          <w:rFonts w:hint="eastAsia"/>
          <w:color w:val="000000" w:themeColor="text1"/>
          <w:szCs w:val="28"/>
          <w14:textFill>
            <w14:solidFill>
              <w14:schemeClr w14:val="tx1"/>
            </w14:solidFill>
          </w14:textFill>
        </w:rPr>
        <w:t xml:space="preserve">10 </w:t>
      </w:r>
      <w:r>
        <w:rPr>
          <w:color w:val="000000" w:themeColor="text1"/>
          <w:szCs w:val="28"/>
          <w14:textFill>
            <w14:solidFill>
              <w14:schemeClr w14:val="tx1"/>
            </w14:solidFill>
          </w14:textFill>
        </w:rPr>
        <w:t>t；</w:t>
      </w:r>
    </w:p>
    <w:p w14:paraId="2B158D8A">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T——班工作时间，T=8小时；</w:t>
      </w:r>
    </w:p>
    <w:p w14:paraId="74E3BAAD">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t——自卸汽车运输周期，t=</w:t>
      </w:r>
      <w:r>
        <w:rPr>
          <w:rFonts w:hint="eastAsia"/>
          <w:color w:val="000000" w:themeColor="text1"/>
          <w:szCs w:val="28"/>
          <w14:textFill>
            <w14:solidFill>
              <w14:schemeClr w14:val="tx1"/>
            </w14:solidFill>
          </w14:textFill>
        </w:rPr>
        <w:t>20</w:t>
      </w:r>
      <w:r>
        <w:rPr>
          <w:color w:val="000000" w:themeColor="text1"/>
          <w:szCs w:val="28"/>
          <w14:textFill>
            <w14:solidFill>
              <w14:schemeClr w14:val="tx1"/>
            </w14:solidFill>
          </w14:textFill>
        </w:rPr>
        <w:t>min；</w:t>
      </w:r>
    </w:p>
    <w:p w14:paraId="5F7D6CFE">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k</w:t>
      </w:r>
      <w:r>
        <w:rPr>
          <w:color w:val="000000" w:themeColor="text1"/>
          <w:szCs w:val="28"/>
          <w:vertAlign w:val="subscript"/>
          <w14:textFill>
            <w14:solidFill>
              <w14:schemeClr w14:val="tx1"/>
            </w14:solidFill>
          </w14:textFill>
        </w:rPr>
        <w:t>1</w:t>
      </w:r>
      <w:r>
        <w:rPr>
          <w:color w:val="000000" w:themeColor="text1"/>
          <w:szCs w:val="28"/>
          <w14:textFill>
            <w14:solidFill>
              <w14:schemeClr w14:val="tx1"/>
            </w14:solidFill>
          </w14:textFill>
        </w:rPr>
        <w:t>——自卸汽车工作时间利用系数，k1=0.</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w:t>
      </w:r>
    </w:p>
    <w:p w14:paraId="69CB26B6">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η——自卸汽车班工作时间利用系数，取η＝0.9。</w:t>
      </w:r>
    </w:p>
    <w:p w14:paraId="3198F72C">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（2）所需自卸汽车数量</w:t>
      </w:r>
    </w:p>
    <w:p w14:paraId="544F31C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N=K</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Qb/AK</w:t>
      </w:r>
      <w:r>
        <w:rPr>
          <w:color w:val="000000" w:themeColor="text1"/>
          <w:szCs w:val="28"/>
          <w:vertAlign w:val="subscript"/>
          <w14:textFill>
            <w14:solidFill>
              <w14:schemeClr w14:val="tx1"/>
            </w14:solidFill>
          </w14:textFill>
        </w:rPr>
        <w:t>3</w:t>
      </w:r>
      <w:r>
        <w:rPr>
          <w:color w:val="000000" w:themeColor="text1"/>
          <w:szCs w:val="28"/>
          <w14:textFill>
            <w14:solidFill>
              <w14:schemeClr w14:val="tx1"/>
            </w14:solidFill>
          </w14:textFill>
        </w:rPr>
        <w:t>Ks=1.05×</w:t>
      </w:r>
      <w:r>
        <w:rPr>
          <w:rFonts w:hint="eastAsia"/>
          <w:color w:val="000000" w:themeColor="text1"/>
          <w:szCs w:val="28"/>
          <w14:textFill>
            <w14:solidFill>
              <w14:schemeClr w14:val="tx1"/>
            </w14:solidFill>
          </w14:textFill>
        </w:rPr>
        <w:t>1667</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172.8</w:t>
      </w:r>
      <w:r>
        <w:rPr>
          <w:color w:val="000000" w:themeColor="text1"/>
          <w:szCs w:val="28"/>
          <w14:textFill>
            <w14:solidFill>
              <w14:schemeClr w14:val="tx1"/>
            </w14:solidFill>
          </w14:textFill>
        </w:rPr>
        <w:t>×0.9×1.5）=</w:t>
      </w:r>
      <w:r>
        <w:rPr>
          <w:rFonts w:hint="eastAsia"/>
          <w:color w:val="000000" w:themeColor="text1"/>
          <w:szCs w:val="28"/>
          <w14:textFill>
            <w14:solidFill>
              <w14:schemeClr w14:val="tx1"/>
            </w14:solidFill>
          </w14:textFill>
        </w:rPr>
        <w:t>7.5</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台</w:t>
      </w:r>
    </w:p>
    <w:p w14:paraId="7D3523C9">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式中：N——自卸汽车数量，台；</w:t>
      </w:r>
    </w:p>
    <w:p w14:paraId="7AAAD253">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K</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——自卸汽车不均衡系数，K</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=1.05；</w:t>
      </w:r>
    </w:p>
    <w:p w14:paraId="0653A12F">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Qb——班产量，取Qb=</w:t>
      </w:r>
      <w:r>
        <w:rPr>
          <w:rFonts w:hint="eastAsia"/>
          <w:color w:val="000000" w:themeColor="text1"/>
          <w:szCs w:val="28"/>
          <w14:textFill>
            <w14:solidFill>
              <w14:schemeClr w14:val="tx1"/>
            </w14:solidFill>
          </w14:textFill>
        </w:rPr>
        <w:t>1667</w:t>
      </w:r>
      <w:r>
        <w:rPr>
          <w:color w:val="000000" w:themeColor="text1"/>
          <w:szCs w:val="28"/>
          <w14:textFill>
            <w14:solidFill>
              <w14:schemeClr w14:val="tx1"/>
            </w14:solidFill>
          </w14:textFill>
        </w:rPr>
        <w:t>t/班；</w:t>
      </w:r>
    </w:p>
    <w:p w14:paraId="515B3242">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A——自卸汽车班生产能力，A=</w:t>
      </w:r>
      <w:r>
        <w:rPr>
          <w:rFonts w:hint="eastAsia"/>
          <w:color w:val="000000" w:themeColor="text1"/>
          <w:szCs w:val="28"/>
          <w14:textFill>
            <w14:solidFill>
              <w14:schemeClr w14:val="tx1"/>
            </w14:solidFill>
          </w14:textFill>
        </w:rPr>
        <w:t>172.8</w:t>
      </w:r>
      <w:r>
        <w:rPr>
          <w:color w:val="000000" w:themeColor="text1"/>
          <w:szCs w:val="28"/>
          <w14:textFill>
            <w14:solidFill>
              <w14:schemeClr w14:val="tx1"/>
            </w14:solidFill>
          </w14:textFill>
        </w:rPr>
        <w:t>t；</w:t>
      </w:r>
    </w:p>
    <w:p w14:paraId="32A3F1EF">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K</w:t>
      </w:r>
      <w:r>
        <w:rPr>
          <w:color w:val="000000" w:themeColor="text1"/>
          <w:szCs w:val="28"/>
          <w:vertAlign w:val="subscript"/>
          <w14:textFill>
            <w14:solidFill>
              <w14:schemeClr w14:val="tx1"/>
            </w14:solidFill>
          </w14:textFill>
        </w:rPr>
        <w:t>3</w:t>
      </w:r>
      <w:r>
        <w:rPr>
          <w:color w:val="000000" w:themeColor="text1"/>
          <w:szCs w:val="28"/>
          <w14:textFill>
            <w14:solidFill>
              <w14:schemeClr w14:val="tx1"/>
            </w14:solidFill>
          </w14:textFill>
        </w:rPr>
        <w:t>——出车率，K</w:t>
      </w:r>
      <w:r>
        <w:rPr>
          <w:color w:val="000000" w:themeColor="text1"/>
          <w:szCs w:val="28"/>
          <w:vertAlign w:val="subscript"/>
          <w14:textFill>
            <w14:solidFill>
              <w14:schemeClr w14:val="tx1"/>
            </w14:solidFill>
          </w14:textFill>
        </w:rPr>
        <w:t>3</w:t>
      </w:r>
      <w:r>
        <w:rPr>
          <w:color w:val="000000" w:themeColor="text1"/>
          <w:szCs w:val="28"/>
          <w14:textFill>
            <w14:solidFill>
              <w14:schemeClr w14:val="tx1"/>
            </w14:solidFill>
          </w14:textFill>
        </w:rPr>
        <w:t>=0.</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w:t>
      </w:r>
    </w:p>
    <w:p w14:paraId="56851D23">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K</w:t>
      </w:r>
      <w:r>
        <w:rPr>
          <w:color w:val="000000" w:themeColor="text1"/>
          <w:szCs w:val="28"/>
          <w:vertAlign w:val="subscript"/>
          <w14:textFill>
            <w14:solidFill>
              <w14:schemeClr w14:val="tx1"/>
            </w14:solidFill>
          </w14:textFill>
        </w:rPr>
        <w:t>s</w:t>
      </w:r>
      <w:r>
        <w:rPr>
          <w:color w:val="000000" w:themeColor="text1"/>
          <w:szCs w:val="28"/>
          <w14:textFill>
            <w14:solidFill>
              <w14:schemeClr w14:val="tx1"/>
            </w14:solidFill>
          </w14:textFill>
        </w:rPr>
        <w:t>——碎胀系数，K</w:t>
      </w:r>
      <w:r>
        <w:rPr>
          <w:color w:val="000000" w:themeColor="text1"/>
          <w:szCs w:val="28"/>
          <w:vertAlign w:val="subscript"/>
          <w14:textFill>
            <w14:solidFill>
              <w14:schemeClr w14:val="tx1"/>
            </w14:solidFill>
          </w14:textFill>
        </w:rPr>
        <w:t>s</w:t>
      </w:r>
      <w:r>
        <w:rPr>
          <w:color w:val="000000" w:themeColor="text1"/>
          <w:szCs w:val="28"/>
          <w14:textFill>
            <w14:solidFill>
              <w14:schemeClr w14:val="tx1"/>
            </w14:solidFill>
          </w14:textFill>
        </w:rPr>
        <w:t>=1.5。</w:t>
      </w:r>
    </w:p>
    <w:p w14:paraId="4BBBB436">
      <w:pPr>
        <w:pStyle w:val="146"/>
        <w:spacing w:line="360" w:lineRule="auto"/>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经计算，矿山配备10t自卸式汽车</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辆，可以满足矿山生产需求，外销利用社会车辆。</w:t>
      </w:r>
      <w:r>
        <w:rPr>
          <w:rFonts w:hint="eastAsia"/>
          <w:color w:val="000000" w:themeColor="text1"/>
          <w14:textFill>
            <w14:solidFill>
              <w14:schemeClr w14:val="tx1"/>
            </w14:solidFill>
          </w14:textFill>
        </w:rPr>
        <w:t>建议再购入2台备用。</w:t>
      </w:r>
    </w:p>
    <w:p w14:paraId="7AFD560D">
      <w:pPr>
        <w:pStyle w:val="6"/>
        <w:spacing w:before="120" w:after="120"/>
        <w:rPr>
          <w:color w:val="000000" w:themeColor="text1"/>
          <w14:textFill>
            <w14:solidFill>
              <w14:schemeClr w14:val="tx1"/>
            </w14:solidFill>
          </w14:textFill>
        </w:rPr>
      </w:pPr>
      <w:bookmarkStart w:id="2355" w:name="_Toc22703"/>
      <w:bookmarkStart w:id="2356" w:name="_Toc215070268"/>
      <w:r>
        <w:rPr>
          <w:rFonts w:hint="eastAsia"/>
          <w:color w:val="000000" w:themeColor="text1"/>
          <w14:textFill>
            <w14:solidFill>
              <w14:schemeClr w14:val="tx1"/>
            </w14:solidFill>
          </w14:textFill>
        </w:rPr>
        <w:t>3.4.1.9露天采场子单元小结</w:t>
      </w:r>
      <w:bookmarkEnd w:id="2320"/>
      <w:bookmarkEnd w:id="2321"/>
      <w:bookmarkEnd w:id="2322"/>
      <w:bookmarkEnd w:id="2323"/>
      <w:bookmarkEnd w:id="2324"/>
      <w:bookmarkEnd w:id="2325"/>
      <w:bookmarkEnd w:id="2326"/>
      <w:bookmarkEnd w:id="2327"/>
      <w:bookmarkEnd w:id="2328"/>
      <w:bookmarkEnd w:id="2329"/>
      <w:bookmarkEnd w:id="2355"/>
      <w:bookmarkEnd w:id="2356"/>
    </w:p>
    <w:p w14:paraId="63DB3A2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经过对露天采场子单元进行定性定量评价，露天采场子单元符合《金属非金属矿山安全规程》（GB16423-2020）、《非煤露天矿边坡工程技术规范》（GB51016 -2014）的要求。</w:t>
      </w:r>
    </w:p>
    <w:p w14:paraId="6C525603">
      <w:pPr>
        <w:ind w:firstLine="584"/>
        <w:rPr>
          <w:color w:val="000000" w:themeColor="text1"/>
          <w:szCs w:val="28"/>
          <w14:textFill>
            <w14:solidFill>
              <w14:schemeClr w14:val="tx1"/>
            </w14:solidFill>
          </w14:textFill>
        </w:rPr>
      </w:pPr>
      <w:r>
        <w:rPr>
          <w:rFonts w:hint="eastAsia"/>
          <w:color w:val="000000" w:themeColor="text1"/>
          <w:spacing w:val="6"/>
          <w:szCs w:val="28"/>
          <w14:textFill>
            <w14:solidFill>
              <w14:schemeClr w14:val="tx1"/>
            </w14:solidFill>
          </w14:textFill>
        </w:rPr>
        <w:t>1、</w:t>
      </w:r>
      <w:r>
        <w:rPr>
          <w:color w:val="000000" w:themeColor="text1"/>
          <w:szCs w:val="28"/>
          <w14:textFill>
            <w14:solidFill>
              <w14:schemeClr w14:val="tx1"/>
            </w14:solidFill>
          </w14:textFill>
        </w:rPr>
        <w:t>依据《非煤露天矿边坡工程技术规范》</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GB 51016-2014</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第3.0.2条</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采空区最终边坡高度为</w:t>
      </w:r>
      <w:r>
        <w:rPr>
          <w:rFonts w:hint="eastAsia"/>
          <w:color w:val="000000" w:themeColor="text1"/>
          <w:szCs w:val="28"/>
          <w14:textFill>
            <w14:solidFill>
              <w14:schemeClr w14:val="tx1"/>
            </w14:solidFill>
          </w14:textFill>
        </w:rPr>
        <w:t>110m，</w:t>
      </w:r>
      <w:r>
        <w:rPr>
          <w:color w:val="000000" w:themeColor="text1"/>
          <w:szCs w:val="28"/>
          <w14:textFill>
            <w14:solidFill>
              <w14:schemeClr w14:val="tx1"/>
            </w14:solidFill>
          </w14:textFill>
        </w:rPr>
        <w:t>为</w:t>
      </w:r>
      <w:r>
        <w:rPr>
          <w:rFonts w:hint="eastAsia"/>
          <w:color w:val="000000" w:themeColor="text1"/>
          <w:szCs w:val="28"/>
          <w14:textFill>
            <w14:solidFill>
              <w14:schemeClr w14:val="tx1"/>
            </w14:solidFill>
          </w14:textFill>
        </w:rPr>
        <w:t>“</w:t>
      </w:r>
      <w:r>
        <w:rPr>
          <w:rFonts w:hint="eastAsia"/>
          <w:b/>
          <w:bCs/>
          <w:color w:val="000000" w:themeColor="text1"/>
          <w:szCs w:val="28"/>
          <w14:textFill>
            <w14:solidFill>
              <w14:schemeClr w14:val="tx1"/>
            </w14:solidFill>
          </w14:textFill>
        </w:rPr>
        <w:t>中</w:t>
      </w:r>
      <w:r>
        <w:rPr>
          <w:b/>
          <w:bCs/>
          <w:color w:val="000000" w:themeColor="text1"/>
          <w:szCs w:val="28"/>
          <w14:textFill>
            <w14:solidFill>
              <w14:schemeClr w14:val="tx1"/>
            </w14:solidFill>
          </w14:textFill>
        </w:rPr>
        <w:t>边坡</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w:t>
      </w:r>
    </w:p>
    <w:p w14:paraId="2DBA9040">
      <w:pPr>
        <w:adjustRightInd w:val="0"/>
        <w:snapToGrid w:val="0"/>
        <w:ind w:firstLine="560"/>
        <w:jc w:val="both"/>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2、</w:t>
      </w:r>
      <w:r>
        <w:rPr>
          <w:rFonts w:hint="eastAsia"/>
          <w:color w:val="000000" w:themeColor="text1"/>
          <w14:textFill>
            <w14:solidFill>
              <w14:schemeClr w14:val="tx1"/>
            </w14:solidFill>
          </w14:textFill>
        </w:rPr>
        <w:t>露天采场子单元地质灾害防、治措施及建议</w:t>
      </w:r>
    </w:p>
    <w:p w14:paraId="693CB51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w:t>
      </w:r>
      <w:r>
        <w:rPr>
          <w:rFonts w:hint="eastAsia"/>
          <w:color w:val="000000" w:themeColor="text1"/>
          <w14:textFill>
            <w14:solidFill>
              <w14:schemeClr w14:val="tx1"/>
            </w14:solidFill>
          </w14:textFill>
        </w:rPr>
        <w:t>清理浮石和松土，消除危险源；</w:t>
      </w:r>
    </w:p>
    <w:p w14:paraId="58FC75B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（2）完善排水沟等防洪设施；</w:t>
      </w:r>
    </w:p>
    <w:p w14:paraId="683CF46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（3）设置安全警示标志；</w:t>
      </w:r>
    </w:p>
    <w:p w14:paraId="0579D89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（4）按规范开展</w:t>
      </w:r>
      <w:r>
        <w:rPr>
          <w:color w:val="000000" w:themeColor="text1"/>
          <w14:textFill>
            <w14:solidFill>
              <w14:schemeClr w14:val="tx1"/>
            </w14:solidFill>
          </w14:textFill>
        </w:rPr>
        <w:t>边坡的稳定性监测</w:t>
      </w:r>
      <w:r>
        <w:rPr>
          <w:rFonts w:hint="eastAsia"/>
          <w:color w:val="000000" w:themeColor="text1"/>
          <w14:textFill>
            <w14:solidFill>
              <w14:schemeClr w14:val="tx1"/>
            </w14:solidFill>
          </w14:textFill>
        </w:rPr>
        <w:t>，加强安全检查，及时处理危险、有害因素，预防滑坡（坍塌）灾害发生；</w:t>
      </w:r>
    </w:p>
    <w:p w14:paraId="2E77987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（5）遵守安全操作规程，按照设计施工，</w:t>
      </w:r>
      <w:r>
        <w:rPr>
          <w:color w:val="000000" w:themeColor="text1"/>
          <w14:textFill>
            <w14:solidFill>
              <w14:schemeClr w14:val="tx1"/>
            </w14:solidFill>
          </w14:textFill>
        </w:rPr>
        <w:t>有序生产。</w:t>
      </w:r>
    </w:p>
    <w:p w14:paraId="3D1FCA4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（6）边坡浮石清除完毕之前不应在边坡底部作业；人员和设备不应在边坡底部停留。</w:t>
      </w:r>
    </w:p>
    <w:p w14:paraId="079F7AC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（7）在初步设计和安全设施设计前，完成边坡稳定性分析，并提出边坡监测方案。</w:t>
      </w:r>
    </w:p>
    <w:p w14:paraId="0C36099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3、需要补充终了边坡稳定性分析和计算内容。</w:t>
      </w:r>
    </w:p>
    <w:p w14:paraId="101AFC3D">
      <w:pPr>
        <w:pStyle w:val="4"/>
        <w:spacing w:before="240" w:after="120"/>
        <w:rPr>
          <w:color w:val="000000" w:themeColor="text1"/>
          <w14:textFill>
            <w14:solidFill>
              <w14:schemeClr w14:val="tx1"/>
            </w14:solidFill>
          </w14:textFill>
        </w:rPr>
      </w:pPr>
      <w:bookmarkStart w:id="2357" w:name="_Toc215070269"/>
      <w:r>
        <w:rPr>
          <w:rFonts w:hint="eastAsia"/>
          <w:color w:val="000000" w:themeColor="text1"/>
          <w14:textFill>
            <w14:solidFill>
              <w14:schemeClr w14:val="tx1"/>
            </w14:solidFill>
          </w14:textFill>
        </w:rPr>
        <w:t>3.4.2穿孔爆破子单元</w:t>
      </w:r>
      <w:bookmarkEnd w:id="2258"/>
      <w:bookmarkEnd w:id="2259"/>
      <w:bookmarkEnd w:id="2260"/>
      <w:bookmarkEnd w:id="2261"/>
      <w:bookmarkEnd w:id="2262"/>
      <w:bookmarkEnd w:id="2263"/>
      <w:bookmarkEnd w:id="2264"/>
      <w:bookmarkEnd w:id="2265"/>
      <w:bookmarkEnd w:id="2266"/>
      <w:bookmarkEnd w:id="2267"/>
      <w:bookmarkEnd w:id="2357"/>
    </w:p>
    <w:p w14:paraId="764B78D6">
      <w:pPr>
        <w:pStyle w:val="6"/>
        <w:spacing w:before="120" w:after="120"/>
        <w:rPr>
          <w:color w:val="000000" w:themeColor="text1"/>
          <w14:textFill>
            <w14:solidFill>
              <w14:schemeClr w14:val="tx1"/>
            </w14:solidFill>
          </w14:textFill>
        </w:rPr>
      </w:pPr>
      <w:bookmarkStart w:id="2358" w:name="_Toc215070270"/>
      <w:r>
        <w:rPr>
          <w:rFonts w:hint="eastAsia"/>
          <w:color w:val="000000" w:themeColor="text1"/>
          <w14:textFill>
            <w14:solidFill>
              <w14:schemeClr w14:val="tx1"/>
            </w14:solidFill>
          </w14:textFill>
        </w:rPr>
        <w:t>3.4.2.1爆破安全距离</w:t>
      </w:r>
      <w:bookmarkEnd w:id="2358"/>
    </w:p>
    <w:p w14:paraId="4867B14A">
      <w:pPr>
        <w:spacing w:before="120" w:beforeLines="5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1</w:t>
      </w:r>
      <w:r>
        <w:rPr>
          <w:b/>
          <w:bCs/>
          <w:color w:val="000000" w:themeColor="text1"/>
          <w:szCs w:val="28"/>
          <w14:textFill>
            <w14:solidFill>
              <w14:schemeClr w14:val="tx1"/>
            </w14:solidFill>
          </w14:textFill>
        </w:rPr>
        <w:t>.爆破</w:t>
      </w:r>
      <w:r>
        <w:rPr>
          <w:rFonts w:hint="eastAsia"/>
          <w:b/>
          <w:bCs/>
          <w:color w:val="000000" w:themeColor="text1"/>
          <w:szCs w:val="28"/>
          <w14:textFill>
            <w14:solidFill>
              <w14:schemeClr w14:val="tx1"/>
            </w14:solidFill>
          </w14:textFill>
        </w:rPr>
        <w:t>振动安全允许距离</w:t>
      </w:r>
    </w:p>
    <w:p w14:paraId="4D092DFD">
      <w:pPr>
        <w:spacing w:line="520" w:lineRule="exact"/>
        <w:ind w:firstLine="560"/>
        <w:rPr>
          <w:color w:val="000000" w:themeColor="text1"/>
          <w:lang w:val="zh-TW" w:eastAsia="zh-TW"/>
          <w14:textFill>
            <w14:solidFill>
              <w14:schemeClr w14:val="tx1"/>
            </w14:solidFill>
          </w14:textFill>
        </w:rPr>
      </w:pPr>
      <w:r>
        <w:rPr>
          <w:color w:val="000000" w:themeColor="text1"/>
          <w:lang w:val="zh-TW" w:eastAsia="zh-TW"/>
          <w14:textFill>
            <w14:solidFill>
              <w14:schemeClr w14:val="tx1"/>
            </w14:solidFill>
          </w14:textFill>
        </w:rPr>
        <w:t>矿山生产采用中深孔</w:t>
      </w:r>
      <w:r>
        <w:rPr>
          <w:rFonts w:hint="eastAsia"/>
          <w:color w:val="000000" w:themeColor="text1"/>
          <w:lang w:val="zh-TW"/>
          <w14:textFill>
            <w14:solidFill>
              <w14:schemeClr w14:val="tx1"/>
            </w14:solidFill>
          </w14:textFill>
        </w:rPr>
        <w:t>逐孔微差爆破</w:t>
      </w:r>
      <w:r>
        <w:rPr>
          <w:color w:val="000000" w:themeColor="text1"/>
          <w:lang w:val="zh-TW" w:eastAsia="zh-TW"/>
          <w14:textFill>
            <w14:solidFill>
              <w14:schemeClr w14:val="tx1"/>
            </w14:solidFill>
          </w14:textFill>
        </w:rPr>
        <w:t>，</w:t>
      </w:r>
      <w:r>
        <w:rPr>
          <w:color w:val="000000" w:themeColor="text1"/>
          <w:lang w:val="zh-TW"/>
          <w14:textFill>
            <w14:solidFill>
              <w14:schemeClr w14:val="tx1"/>
            </w14:solidFill>
          </w14:textFill>
        </w:rPr>
        <w:t>底盘</w:t>
      </w:r>
      <w:r>
        <w:rPr>
          <w:color w:val="000000" w:themeColor="text1"/>
          <w:lang w:val="zh-TW" w:eastAsia="zh-TW"/>
          <w14:textFill>
            <w14:solidFill>
              <w14:schemeClr w14:val="tx1"/>
            </w14:solidFill>
          </w14:textFill>
        </w:rPr>
        <w:t>抵抗线为</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m</w:t>
      </w:r>
      <w:r>
        <w:rPr>
          <w:color w:val="000000" w:themeColor="text1"/>
          <w:lang w:val="zh-TW"/>
          <w14:textFill>
            <w14:solidFill>
              <w14:schemeClr w14:val="tx1"/>
            </w14:solidFill>
          </w14:textFill>
        </w:rPr>
        <w:t>，一次爆破最大</w:t>
      </w:r>
      <w:r>
        <w:rPr>
          <w:rFonts w:hint="eastAsia"/>
          <w:color w:val="000000" w:themeColor="text1"/>
          <w:lang w:val="zh-TW"/>
          <w14:textFill>
            <w14:solidFill>
              <w14:schemeClr w14:val="tx1"/>
            </w14:solidFill>
          </w14:textFill>
        </w:rPr>
        <w:t>段</w:t>
      </w:r>
      <w:r>
        <w:rPr>
          <w:color w:val="000000" w:themeColor="text1"/>
          <w:lang w:val="zh-TW"/>
          <w14:textFill>
            <w14:solidFill>
              <w14:schemeClr w14:val="tx1"/>
            </w14:solidFill>
          </w14:textFill>
        </w:rPr>
        <w:t>装药量为</w:t>
      </w:r>
      <w:r>
        <w:rPr>
          <w:rFonts w:hint="eastAsia"/>
          <w:color w:val="000000" w:themeColor="text1"/>
          <w14:textFill>
            <w14:solidFill>
              <w14:schemeClr w14:val="tx1"/>
            </w14:solidFill>
          </w14:textFill>
        </w:rPr>
        <w:t>126</w:t>
      </w:r>
      <w:r>
        <w:rPr>
          <w:color w:val="000000" w:themeColor="text1"/>
          <w:lang w:val="zh-TW"/>
          <w14:textFill>
            <w14:solidFill>
              <w14:schemeClr w14:val="tx1"/>
            </w14:solidFill>
          </w14:textFill>
        </w:rPr>
        <w:t>kg</w:t>
      </w:r>
      <w:r>
        <w:rPr>
          <w:color w:val="000000" w:themeColor="text1"/>
          <w:lang w:val="zh-TW" w:eastAsia="zh-TW"/>
          <w14:textFill>
            <w14:solidFill>
              <w14:schemeClr w14:val="tx1"/>
            </w14:solidFill>
          </w14:textFill>
        </w:rPr>
        <w:t>等条件下，爆破地震波、空气冲击波和飞石的计算安全距离</w:t>
      </w:r>
      <w:r>
        <w:rPr>
          <w:color w:val="000000" w:themeColor="text1"/>
          <w:lang w:val="zh-TW"/>
          <w14:textFill>
            <w14:solidFill>
              <w14:schemeClr w14:val="tx1"/>
            </w14:solidFill>
          </w14:textFill>
        </w:rPr>
        <w:t>如下</w:t>
      </w:r>
      <w:r>
        <w:rPr>
          <w:color w:val="000000" w:themeColor="text1"/>
          <w:lang w:val="zh-TW" w:eastAsia="zh-TW"/>
          <w14:textFill>
            <w14:solidFill>
              <w14:schemeClr w14:val="tx1"/>
            </w14:solidFill>
          </w14:textFill>
        </w:rPr>
        <w:t>。</w:t>
      </w:r>
    </w:p>
    <w:p w14:paraId="74360F09">
      <w:pPr>
        <w:widowControl/>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按</w:t>
      </w:r>
      <w:r>
        <w:rPr>
          <w:color w:val="000000" w:themeColor="text1"/>
          <w:szCs w:val="28"/>
          <w14:textFill>
            <w14:solidFill>
              <w14:schemeClr w14:val="tx1"/>
            </w14:solidFill>
          </w14:textFill>
        </w:rPr>
        <w:t>《爆破安全规程》中</w:t>
      </w:r>
      <w:r>
        <w:rPr>
          <w:color w:val="000000" w:themeColor="text1"/>
          <w:kern w:val="0"/>
          <w:szCs w:val="28"/>
          <w14:textFill>
            <w14:solidFill>
              <w14:schemeClr w14:val="tx1"/>
            </w14:solidFill>
          </w14:textFill>
        </w:rPr>
        <w:t>13.2.2式（3-11）计算，爆破振动安全允许距离：</w:t>
      </w:r>
      <w:r>
        <w:rPr>
          <w:rFonts w:hint="eastAsia"/>
          <w:color w:val="000000" w:themeColor="text1"/>
          <w:kern w:val="0"/>
          <w:szCs w:val="28"/>
          <w14:textFill>
            <w14:solidFill>
              <w14:schemeClr w14:val="tx1"/>
            </w14:solidFill>
          </w14:textFill>
        </w:rPr>
        <w:t xml:space="preserve"> </w:t>
      </w:r>
    </w:p>
    <w:p w14:paraId="58EBBB16">
      <w:pPr>
        <w:widowControl/>
        <w:ind w:firstLine="480"/>
        <w:rPr>
          <w:color w:val="000000" w:themeColor="text1"/>
          <w:kern w:val="0"/>
          <w:sz w:val="24"/>
          <w14:textFill>
            <w14:solidFill>
              <w14:schemeClr w14:val="tx1"/>
            </w14:solidFill>
          </w14:textFill>
        </w:rPr>
      </w:pPr>
      <w:r>
        <w:rPr>
          <w:color w:val="000000" w:themeColor="text1"/>
          <w:kern w:val="0"/>
          <w:position w:val="-24"/>
          <w:sz w:val="24"/>
          <w14:textFill>
            <w14:solidFill>
              <w14:schemeClr w14:val="tx1"/>
            </w14:solidFill>
          </w14:textFill>
        </w:rPr>
        <w:object>
          <v:shape id="_x0000_i1026" o:spt="75" type="#_x0000_t75" style="height:33.25pt;width:108pt;" o:ole="t" filled="f" o:preferrelative="t" stroked="f" coordsize="21600,21600">
            <v:path/>
            <v:fill on="f" focussize="0,0"/>
            <v:stroke on="f" joinstyle="miter"/>
            <v:imagedata r:id="rId49" o:title=""/>
            <o:lock v:ext="edit" aspectratio="t"/>
            <w10:wrap type="none"/>
            <w10:anchorlock/>
          </v:shape>
          <o:OLEObject Type="Embed" ProgID="Equation.KSEE3" ShapeID="_x0000_i1026" DrawAspect="Content" ObjectID="_1468075726" r:id="rId48">
            <o:LockedField>false</o:LockedField>
          </o:OLEObject>
        </w:object>
      </w:r>
    </w:p>
    <w:p w14:paraId="66752DB5">
      <w:pPr>
        <w:widowControl/>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式中：</w:t>
      </w:r>
    </w:p>
    <w:p w14:paraId="3867561E">
      <w:pPr>
        <w:widowControl/>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R—爆破振动安全允许距离，m；</w:t>
      </w:r>
    </w:p>
    <w:p w14:paraId="6F5F7CCF">
      <w:pPr>
        <w:widowControl/>
        <w:spacing w:line="520" w:lineRule="exact"/>
        <w:ind w:left="280" w:leftChars="100" w:firstLine="280" w:firstLineChars="10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Q—炸药量，齐发爆破为总药量，延时爆破为最大单段药量，</w:t>
      </w:r>
      <w:r>
        <w:rPr>
          <w:color w:val="000000" w:themeColor="text1"/>
          <w:szCs w:val="28"/>
          <w14:textFill>
            <w14:solidFill>
              <w14:schemeClr w14:val="tx1"/>
            </w14:solidFill>
          </w14:textFill>
        </w:rPr>
        <w:t>Q</w:t>
      </w:r>
      <w:r>
        <w:rPr>
          <w:color w:val="000000" w:themeColor="text1"/>
          <w:szCs w:val="28"/>
          <w:vertAlign w:val="subscript"/>
          <w14:textFill>
            <w14:solidFill>
              <w14:schemeClr w14:val="tx1"/>
            </w14:solidFill>
          </w14:textFill>
        </w:rPr>
        <w:t>max</w:t>
      </w:r>
      <w:r>
        <w:rPr>
          <w:color w:val="000000" w:themeColor="text1"/>
          <w:szCs w:val="28"/>
          <w14:textFill>
            <w14:solidFill>
              <w14:schemeClr w14:val="tx1"/>
            </w14:solidFill>
          </w14:textFill>
        </w:rPr>
        <w:t>＝</w:t>
      </w:r>
      <w:r>
        <w:rPr>
          <w:rFonts w:hint="eastAsia"/>
          <w:color w:val="000000" w:themeColor="text1"/>
          <w14:textFill>
            <w14:solidFill>
              <w14:schemeClr w14:val="tx1"/>
            </w14:solidFill>
          </w14:textFill>
        </w:rPr>
        <w:t xml:space="preserve">126 </w:t>
      </w:r>
      <w:r>
        <w:rPr>
          <w:color w:val="000000" w:themeColor="text1"/>
          <w:szCs w:val="28"/>
          <w14:textFill>
            <w14:solidFill>
              <w14:schemeClr w14:val="tx1"/>
            </w14:solidFill>
          </w14:textFill>
        </w:rPr>
        <w:t>kg；</w:t>
      </w:r>
    </w:p>
    <w:p w14:paraId="3D440F14">
      <w:pPr>
        <w:widowControl/>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V—保护对象所在地安全允许质点振速，cm/s，本项目属于露天深孔爆破f=10～60Hz，一般民用建筑物，所以V为2.0～2.5cm/s，取2</w:t>
      </w:r>
      <w:r>
        <w:rPr>
          <w:rFonts w:hint="eastAsia"/>
          <w:color w:val="000000" w:themeColor="text1"/>
          <w:kern w:val="0"/>
          <w:szCs w:val="28"/>
          <w14:textFill>
            <w14:solidFill>
              <w14:schemeClr w14:val="tx1"/>
            </w14:solidFill>
          </w14:textFill>
        </w:rPr>
        <w:t>.5</w:t>
      </w:r>
      <w:r>
        <w:rPr>
          <w:color w:val="000000" w:themeColor="text1"/>
          <w:kern w:val="0"/>
          <w:szCs w:val="28"/>
          <w14:textFill>
            <w14:solidFill>
              <w14:schemeClr w14:val="tx1"/>
            </w14:solidFill>
          </w14:textFill>
        </w:rPr>
        <w:t>cm/s（表4.3-8）；</w:t>
      </w:r>
      <w:r>
        <w:rPr>
          <w:rFonts w:hint="eastAsia"/>
          <w:color w:val="000000" w:themeColor="text1"/>
          <w:kern w:val="0"/>
          <w:szCs w:val="28"/>
          <w14:textFill>
            <w14:solidFill>
              <w14:schemeClr w14:val="tx1"/>
            </w14:solidFill>
          </w14:textFill>
        </w:rPr>
        <w:t xml:space="preserve">   </w:t>
      </w:r>
    </w:p>
    <w:p w14:paraId="77035219">
      <w:pPr>
        <w:spacing w:line="520" w:lineRule="exact"/>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K</w:t>
      </w:r>
      <w:r>
        <w:rPr>
          <w:rFonts w:hint="eastAsia"/>
          <w:color w:val="000000" w:themeColor="text1"/>
          <w:kern w:val="0"/>
          <w:szCs w:val="28"/>
          <w14:textFill>
            <w14:solidFill>
              <w14:schemeClr w14:val="tx1"/>
            </w14:solidFill>
          </w14:textFill>
        </w:rPr>
        <w:t>.</w:t>
      </w:r>
      <w:r>
        <w:rPr>
          <w:color w:val="000000" w:themeColor="text1"/>
          <w:kern w:val="0"/>
          <w:position w:val="-6"/>
          <w:szCs w:val="28"/>
          <w14:textFill>
            <w14:solidFill>
              <w14:schemeClr w14:val="tx1"/>
            </w14:solidFill>
          </w14:textFill>
        </w:rPr>
        <w:t>α</w:t>
      </w:r>
      <w:r>
        <w:rPr>
          <w:color w:val="000000" w:themeColor="text1"/>
          <w:kern w:val="0"/>
          <w:szCs w:val="28"/>
          <w14:textFill>
            <w14:solidFill>
              <w14:schemeClr w14:val="tx1"/>
            </w14:solidFill>
          </w14:textFill>
        </w:rPr>
        <w:t>—与爆破点至保护对象间的地形、地质条件有关的系数和衰减指数，应通过现场试验确定；在无试验数据的条件下，可参考《爆破安全规程》中爆区不同岩性的K、α值表取，本项目属于中硬岩石，所以K取</w:t>
      </w:r>
      <w:r>
        <w:rPr>
          <w:rFonts w:hint="eastAsia"/>
          <w:color w:val="000000" w:themeColor="text1"/>
          <w:kern w:val="0"/>
          <w:szCs w:val="28"/>
          <w14:textFill>
            <w14:solidFill>
              <w14:schemeClr w14:val="tx1"/>
            </w14:solidFill>
          </w14:textFill>
        </w:rPr>
        <w:t>200</w:t>
      </w:r>
      <w:r>
        <w:rPr>
          <w:color w:val="000000" w:themeColor="text1"/>
          <w:kern w:val="0"/>
          <w:szCs w:val="28"/>
          <w14:textFill>
            <w14:solidFill>
              <w14:schemeClr w14:val="tx1"/>
            </w14:solidFill>
          </w14:textFill>
        </w:rPr>
        <w:t>，α取</w:t>
      </w:r>
      <w:r>
        <w:rPr>
          <w:rFonts w:hint="eastAsia"/>
          <w:color w:val="000000" w:themeColor="text1"/>
          <w:kern w:val="0"/>
          <w:szCs w:val="28"/>
          <w14:textFill>
            <w14:solidFill>
              <w14:schemeClr w14:val="tx1"/>
            </w14:solidFill>
          </w14:textFill>
        </w:rPr>
        <w:t>1.5</w:t>
      </w:r>
      <w:r>
        <w:rPr>
          <w:color w:val="000000" w:themeColor="text1"/>
          <w:kern w:val="0"/>
          <w:szCs w:val="28"/>
          <w14:textFill>
            <w14:solidFill>
              <w14:schemeClr w14:val="tx1"/>
            </w14:solidFill>
          </w14:textFill>
        </w:rPr>
        <w:t>。</w:t>
      </w:r>
      <w:r>
        <w:rPr>
          <w:rFonts w:hint="eastAsia"/>
          <w:color w:val="000000" w:themeColor="text1"/>
          <w:kern w:val="0"/>
          <w:szCs w:val="28"/>
          <w14:textFill>
            <w14:solidFill>
              <w14:schemeClr w14:val="tx1"/>
            </w14:solidFill>
          </w14:textFill>
        </w:rPr>
        <w:t xml:space="preserve">          </w:t>
      </w:r>
    </w:p>
    <w:p w14:paraId="55716F22">
      <w:pPr>
        <w:spacing w:line="520" w:lineRule="exact"/>
        <w:rPr>
          <w:color w:val="000000" w:themeColor="text1"/>
          <w:kern w:val="0"/>
          <w:szCs w:val="28"/>
          <w14:textFill>
            <w14:solidFill>
              <w14:schemeClr w14:val="tx1"/>
            </w14:solidFill>
          </w14:textFill>
        </w:rPr>
      </w:pPr>
      <w:r>
        <w:rPr>
          <w:b/>
          <w:bCs/>
          <w:color w:val="000000" w:themeColor="text1"/>
          <w:kern w:val="0"/>
          <w:szCs w:val="28"/>
          <w14:textFill>
            <w14:solidFill>
              <w14:schemeClr w14:val="tx1"/>
            </w14:solidFill>
          </w14:textFill>
        </w:rPr>
        <w:t>经计算：</w:t>
      </w:r>
      <w:r>
        <w:rPr>
          <w:color w:val="000000" w:themeColor="text1"/>
          <w:kern w:val="0"/>
          <w:szCs w:val="28"/>
          <w14:textFill>
            <w14:solidFill>
              <w14:schemeClr w14:val="tx1"/>
            </w14:solidFill>
          </w14:textFill>
        </w:rPr>
        <w:t>爆破地点与人员和其他保护对象之间的安全允许距离</w:t>
      </w:r>
      <w:r>
        <w:rPr>
          <w:rFonts w:hint="eastAsia"/>
          <w:color w:val="000000" w:themeColor="text1"/>
          <w:kern w:val="0"/>
          <w:szCs w:val="28"/>
          <w14:textFill>
            <w14:solidFill>
              <w14:schemeClr w14:val="tx1"/>
            </w14:solidFill>
          </w14:textFill>
        </w:rPr>
        <w:t>约</w:t>
      </w:r>
      <w:r>
        <w:rPr>
          <w:color w:val="000000" w:themeColor="text1"/>
          <w:kern w:val="0"/>
          <w:szCs w:val="28"/>
          <w14:textFill>
            <w14:solidFill>
              <w14:schemeClr w14:val="tx1"/>
            </w14:solidFill>
          </w14:textFill>
        </w:rPr>
        <w:t>为</w:t>
      </w:r>
      <w:r>
        <w:rPr>
          <w:rFonts w:hint="eastAsia"/>
          <w:color w:val="000000" w:themeColor="text1"/>
          <w:kern w:val="0"/>
          <w:szCs w:val="28"/>
          <w14:textFill>
            <w14:solidFill>
              <w14:schemeClr w14:val="tx1"/>
            </w14:solidFill>
          </w14:textFill>
        </w:rPr>
        <w:t>93.1m</w:t>
      </w:r>
      <w:r>
        <w:rPr>
          <w:color w:val="000000" w:themeColor="text1"/>
          <w:kern w:val="0"/>
          <w:szCs w:val="28"/>
          <w14:textFill>
            <w14:solidFill>
              <w14:schemeClr w14:val="tx1"/>
            </w14:solidFill>
          </w14:textFill>
        </w:rPr>
        <w:t>。</w:t>
      </w:r>
    </w:p>
    <w:p w14:paraId="7BC15479">
      <w:pPr>
        <w:widowControl/>
        <w:ind w:firstLine="482"/>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表3.4-3</w:t>
      </w:r>
      <w:r>
        <w:rPr>
          <w:rFonts w:hint="eastAsia" w:ascii="宋体" w:hAnsi="宋体" w:cs="宋体"/>
          <w:b/>
          <w:bCs/>
          <w:color w:val="000000" w:themeColor="text1"/>
          <w:kern w:val="0"/>
          <w:sz w:val="24"/>
          <w14:textFill>
            <w14:solidFill>
              <w14:schemeClr w14:val="tx1"/>
            </w14:solidFill>
          </w14:textFill>
        </w:rPr>
        <w:t>爆破振动安全允许标准表</w:t>
      </w:r>
    </w:p>
    <w:tbl>
      <w:tblPr>
        <w:tblStyle w:val="4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551"/>
        <w:gridCol w:w="1715"/>
        <w:gridCol w:w="1514"/>
        <w:gridCol w:w="391"/>
        <w:gridCol w:w="1174"/>
        <w:gridCol w:w="1614"/>
      </w:tblGrid>
      <w:tr w14:paraId="674CF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05" w:type="dxa"/>
            <w:vMerge w:val="restart"/>
            <w:vAlign w:val="center"/>
          </w:tcPr>
          <w:p w14:paraId="42D2A017">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序号</w:t>
            </w:r>
          </w:p>
        </w:tc>
        <w:tc>
          <w:tcPr>
            <w:tcW w:w="3266" w:type="dxa"/>
            <w:gridSpan w:val="2"/>
            <w:vMerge w:val="restart"/>
            <w:vAlign w:val="center"/>
          </w:tcPr>
          <w:p w14:paraId="25546F32">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保护对象类别</w:t>
            </w:r>
          </w:p>
        </w:tc>
        <w:tc>
          <w:tcPr>
            <w:tcW w:w="4693" w:type="dxa"/>
            <w:gridSpan w:val="4"/>
            <w:vAlign w:val="center"/>
          </w:tcPr>
          <w:p w14:paraId="333A86AA">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安全允许质点振动速度V，cm/s</w:t>
            </w:r>
          </w:p>
        </w:tc>
      </w:tr>
      <w:tr w14:paraId="1D55C7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jc w:val="center"/>
        </w:trPr>
        <w:tc>
          <w:tcPr>
            <w:tcW w:w="705" w:type="dxa"/>
            <w:vMerge w:val="continue"/>
            <w:vAlign w:val="center"/>
          </w:tcPr>
          <w:p w14:paraId="0E7CF0B1">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 xml:space="preserve"> </w:t>
            </w:r>
          </w:p>
        </w:tc>
        <w:tc>
          <w:tcPr>
            <w:tcW w:w="3266" w:type="dxa"/>
            <w:gridSpan w:val="2"/>
            <w:vMerge w:val="continue"/>
            <w:vAlign w:val="center"/>
          </w:tcPr>
          <w:p w14:paraId="6A2A6847">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p>
        </w:tc>
        <w:tc>
          <w:tcPr>
            <w:tcW w:w="1514" w:type="dxa"/>
            <w:vAlign w:val="center"/>
          </w:tcPr>
          <w:p w14:paraId="77EF4B8C">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f≤10Hz</w:t>
            </w:r>
          </w:p>
        </w:tc>
        <w:tc>
          <w:tcPr>
            <w:tcW w:w="1565" w:type="dxa"/>
            <w:gridSpan w:val="2"/>
            <w:vAlign w:val="center"/>
          </w:tcPr>
          <w:p w14:paraId="32323F4F">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10Hzf≤50Hz</w:t>
            </w:r>
          </w:p>
        </w:tc>
        <w:tc>
          <w:tcPr>
            <w:tcW w:w="1614" w:type="dxa"/>
            <w:vAlign w:val="center"/>
          </w:tcPr>
          <w:p w14:paraId="4CB38082">
            <w:pPr>
              <w:widowControl/>
              <w:spacing w:line="240" w:lineRule="atLeast"/>
              <w:ind w:firstLine="402"/>
              <w:jc w:val="center"/>
              <w:rPr>
                <w:rFonts w:hint="eastAsia" w:ascii="宋体" w:hAnsi="宋体" w:cs="宋体"/>
                <w:b/>
                <w:bCs/>
                <w:color w:val="000000" w:themeColor="text1"/>
                <w:kern w:val="0"/>
                <w:sz w:val="20"/>
                <w14:textFill>
                  <w14:solidFill>
                    <w14:schemeClr w14:val="tx1"/>
                  </w14:solidFill>
                </w14:textFill>
              </w:rPr>
            </w:pPr>
            <w:r>
              <w:rPr>
                <w:rFonts w:hint="eastAsia" w:ascii="宋体" w:hAnsi="宋体" w:cs="宋体"/>
                <w:b/>
                <w:bCs/>
                <w:color w:val="000000" w:themeColor="text1"/>
                <w:kern w:val="0"/>
                <w:sz w:val="20"/>
                <w14:textFill>
                  <w14:solidFill>
                    <w14:schemeClr w14:val="tx1"/>
                  </w14:solidFill>
                </w14:textFill>
              </w:rPr>
              <w:t>f&gt;50 Hz</w:t>
            </w:r>
          </w:p>
        </w:tc>
      </w:tr>
      <w:tr w14:paraId="698455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7ED935FE">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w:t>
            </w:r>
          </w:p>
        </w:tc>
        <w:tc>
          <w:tcPr>
            <w:tcW w:w="3266" w:type="dxa"/>
            <w:gridSpan w:val="2"/>
            <w:vAlign w:val="center"/>
          </w:tcPr>
          <w:p w14:paraId="6DF959C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土窑洞、土坯房、毛石房屋</w:t>
            </w:r>
          </w:p>
        </w:tc>
        <w:tc>
          <w:tcPr>
            <w:tcW w:w="1514" w:type="dxa"/>
            <w:vAlign w:val="center"/>
          </w:tcPr>
          <w:p w14:paraId="11F698C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0.15~0.45</w:t>
            </w:r>
          </w:p>
        </w:tc>
        <w:tc>
          <w:tcPr>
            <w:tcW w:w="1565" w:type="dxa"/>
            <w:gridSpan w:val="2"/>
            <w:vAlign w:val="center"/>
          </w:tcPr>
          <w:p w14:paraId="3C50415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0.45~0.9</w:t>
            </w:r>
          </w:p>
        </w:tc>
        <w:tc>
          <w:tcPr>
            <w:tcW w:w="1614" w:type="dxa"/>
            <w:vAlign w:val="center"/>
          </w:tcPr>
          <w:p w14:paraId="6DE79D24">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0.9~1.5</w:t>
            </w:r>
          </w:p>
        </w:tc>
      </w:tr>
      <w:tr w14:paraId="4CB14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14D2FC9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w:t>
            </w:r>
          </w:p>
        </w:tc>
        <w:tc>
          <w:tcPr>
            <w:tcW w:w="3266" w:type="dxa"/>
            <w:gridSpan w:val="2"/>
            <w:vAlign w:val="center"/>
          </w:tcPr>
          <w:p w14:paraId="7D30AB5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一般民用建筑物</w:t>
            </w:r>
          </w:p>
        </w:tc>
        <w:tc>
          <w:tcPr>
            <w:tcW w:w="1514" w:type="dxa"/>
            <w:vAlign w:val="center"/>
          </w:tcPr>
          <w:p w14:paraId="4F2AA9FC">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1.5~2.0</w:t>
            </w:r>
          </w:p>
        </w:tc>
        <w:tc>
          <w:tcPr>
            <w:tcW w:w="1565" w:type="dxa"/>
            <w:gridSpan w:val="2"/>
            <w:vAlign w:val="center"/>
          </w:tcPr>
          <w:p w14:paraId="32C7FFFD">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2.0~2.5</w:t>
            </w:r>
          </w:p>
        </w:tc>
        <w:tc>
          <w:tcPr>
            <w:tcW w:w="1614" w:type="dxa"/>
            <w:vAlign w:val="center"/>
          </w:tcPr>
          <w:p w14:paraId="3DB465C7">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2.5~3.0</w:t>
            </w:r>
          </w:p>
        </w:tc>
      </w:tr>
      <w:tr w14:paraId="67D0DA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4801990C">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xml:space="preserve">   3</w:t>
            </w:r>
          </w:p>
        </w:tc>
        <w:tc>
          <w:tcPr>
            <w:tcW w:w="3266" w:type="dxa"/>
            <w:gridSpan w:val="2"/>
            <w:vAlign w:val="center"/>
          </w:tcPr>
          <w:p w14:paraId="00592AB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工业和商业建筑物</w:t>
            </w:r>
          </w:p>
        </w:tc>
        <w:tc>
          <w:tcPr>
            <w:tcW w:w="1514" w:type="dxa"/>
            <w:vAlign w:val="center"/>
          </w:tcPr>
          <w:p w14:paraId="77C881A6">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2.5~3.5</w:t>
            </w:r>
          </w:p>
        </w:tc>
        <w:tc>
          <w:tcPr>
            <w:tcW w:w="1565" w:type="dxa"/>
            <w:gridSpan w:val="2"/>
            <w:vAlign w:val="center"/>
          </w:tcPr>
          <w:p w14:paraId="6222AEF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3.5~4.5</w:t>
            </w:r>
          </w:p>
        </w:tc>
        <w:tc>
          <w:tcPr>
            <w:tcW w:w="1614" w:type="dxa"/>
            <w:vAlign w:val="center"/>
          </w:tcPr>
          <w:p w14:paraId="679F5D72">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4.2~5.0</w:t>
            </w:r>
          </w:p>
        </w:tc>
      </w:tr>
      <w:tr w14:paraId="3666DC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524F8CB3">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4</w:t>
            </w:r>
          </w:p>
        </w:tc>
        <w:tc>
          <w:tcPr>
            <w:tcW w:w="3266" w:type="dxa"/>
            <w:gridSpan w:val="2"/>
            <w:vAlign w:val="center"/>
          </w:tcPr>
          <w:p w14:paraId="50D59561">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一般古建筑与古迹</w:t>
            </w:r>
          </w:p>
        </w:tc>
        <w:tc>
          <w:tcPr>
            <w:tcW w:w="1514" w:type="dxa"/>
            <w:vAlign w:val="center"/>
          </w:tcPr>
          <w:p w14:paraId="2CD088B9">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0.1~0.2</w:t>
            </w:r>
          </w:p>
        </w:tc>
        <w:tc>
          <w:tcPr>
            <w:tcW w:w="1565" w:type="dxa"/>
            <w:gridSpan w:val="2"/>
            <w:vAlign w:val="center"/>
          </w:tcPr>
          <w:p w14:paraId="5719FCEB">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0.2~0.3</w:t>
            </w:r>
          </w:p>
        </w:tc>
        <w:tc>
          <w:tcPr>
            <w:tcW w:w="1614" w:type="dxa"/>
            <w:vAlign w:val="center"/>
          </w:tcPr>
          <w:p w14:paraId="1B08A9CD">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0.3~0.5</w:t>
            </w:r>
          </w:p>
        </w:tc>
      </w:tr>
      <w:tr w14:paraId="3D7237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232857E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5</w:t>
            </w:r>
          </w:p>
        </w:tc>
        <w:tc>
          <w:tcPr>
            <w:tcW w:w="3266" w:type="dxa"/>
            <w:gridSpan w:val="2"/>
            <w:vAlign w:val="center"/>
          </w:tcPr>
          <w:p w14:paraId="5DC11FB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运行中的水电站及发电厂中心控制室设备</w:t>
            </w:r>
          </w:p>
        </w:tc>
        <w:tc>
          <w:tcPr>
            <w:tcW w:w="1514" w:type="dxa"/>
            <w:vAlign w:val="center"/>
          </w:tcPr>
          <w:p w14:paraId="54EAB7C6">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0.5~0.6</w:t>
            </w:r>
          </w:p>
        </w:tc>
        <w:tc>
          <w:tcPr>
            <w:tcW w:w="1565" w:type="dxa"/>
            <w:gridSpan w:val="2"/>
            <w:vAlign w:val="center"/>
          </w:tcPr>
          <w:p w14:paraId="4B991047">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0.6~0.7</w:t>
            </w:r>
          </w:p>
        </w:tc>
        <w:tc>
          <w:tcPr>
            <w:tcW w:w="1614" w:type="dxa"/>
            <w:vAlign w:val="center"/>
          </w:tcPr>
          <w:p w14:paraId="4A125C7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0.7~0.9</w:t>
            </w:r>
          </w:p>
        </w:tc>
      </w:tr>
      <w:tr w14:paraId="648548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61D8016B">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6</w:t>
            </w:r>
          </w:p>
        </w:tc>
        <w:tc>
          <w:tcPr>
            <w:tcW w:w="3266" w:type="dxa"/>
            <w:gridSpan w:val="2"/>
            <w:vAlign w:val="center"/>
          </w:tcPr>
          <w:p w14:paraId="36BB57E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水工隧洞</w:t>
            </w:r>
          </w:p>
        </w:tc>
        <w:tc>
          <w:tcPr>
            <w:tcW w:w="1514" w:type="dxa"/>
            <w:vAlign w:val="center"/>
          </w:tcPr>
          <w:p w14:paraId="4C287104">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7~8</w:t>
            </w:r>
          </w:p>
        </w:tc>
        <w:tc>
          <w:tcPr>
            <w:tcW w:w="1565" w:type="dxa"/>
            <w:gridSpan w:val="2"/>
            <w:vAlign w:val="center"/>
          </w:tcPr>
          <w:p w14:paraId="46848B7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8~10</w:t>
            </w:r>
          </w:p>
        </w:tc>
        <w:tc>
          <w:tcPr>
            <w:tcW w:w="1614" w:type="dxa"/>
            <w:vAlign w:val="center"/>
          </w:tcPr>
          <w:p w14:paraId="65E6DBA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10~15</w:t>
            </w:r>
          </w:p>
        </w:tc>
      </w:tr>
      <w:tr w14:paraId="70C37B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683A0346">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7</w:t>
            </w:r>
          </w:p>
        </w:tc>
        <w:tc>
          <w:tcPr>
            <w:tcW w:w="3266" w:type="dxa"/>
            <w:gridSpan w:val="2"/>
            <w:vAlign w:val="center"/>
          </w:tcPr>
          <w:p w14:paraId="149C92E9">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交通隧道</w:t>
            </w:r>
          </w:p>
        </w:tc>
        <w:tc>
          <w:tcPr>
            <w:tcW w:w="1514" w:type="dxa"/>
            <w:vAlign w:val="center"/>
          </w:tcPr>
          <w:p w14:paraId="55BCBF7F">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10~12</w:t>
            </w:r>
          </w:p>
        </w:tc>
        <w:tc>
          <w:tcPr>
            <w:tcW w:w="1565" w:type="dxa"/>
            <w:gridSpan w:val="2"/>
            <w:vAlign w:val="center"/>
          </w:tcPr>
          <w:p w14:paraId="450B569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12~15</w:t>
            </w:r>
          </w:p>
        </w:tc>
        <w:tc>
          <w:tcPr>
            <w:tcW w:w="1614" w:type="dxa"/>
            <w:vAlign w:val="center"/>
          </w:tcPr>
          <w:p w14:paraId="5F057E19">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15~20</w:t>
            </w:r>
          </w:p>
        </w:tc>
      </w:tr>
      <w:tr w14:paraId="0125DF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16648423">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8</w:t>
            </w:r>
          </w:p>
        </w:tc>
        <w:tc>
          <w:tcPr>
            <w:tcW w:w="3266" w:type="dxa"/>
            <w:gridSpan w:val="2"/>
            <w:vAlign w:val="center"/>
          </w:tcPr>
          <w:p w14:paraId="292DE897">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矿山巷道</w:t>
            </w:r>
          </w:p>
        </w:tc>
        <w:tc>
          <w:tcPr>
            <w:tcW w:w="1514" w:type="dxa"/>
            <w:vAlign w:val="center"/>
          </w:tcPr>
          <w:p w14:paraId="6140B35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15~18</w:t>
            </w:r>
          </w:p>
        </w:tc>
        <w:tc>
          <w:tcPr>
            <w:tcW w:w="1565" w:type="dxa"/>
            <w:gridSpan w:val="2"/>
            <w:vAlign w:val="center"/>
          </w:tcPr>
          <w:p w14:paraId="0A2CB2D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18~25</w:t>
            </w:r>
          </w:p>
        </w:tc>
        <w:tc>
          <w:tcPr>
            <w:tcW w:w="1614" w:type="dxa"/>
            <w:vAlign w:val="center"/>
          </w:tcPr>
          <w:p w14:paraId="6FD6090B">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20~30</w:t>
            </w:r>
          </w:p>
        </w:tc>
      </w:tr>
      <w:tr w14:paraId="72952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24FC6973">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9</w:t>
            </w:r>
          </w:p>
        </w:tc>
        <w:tc>
          <w:tcPr>
            <w:tcW w:w="3266" w:type="dxa"/>
            <w:gridSpan w:val="2"/>
            <w:vAlign w:val="center"/>
          </w:tcPr>
          <w:p w14:paraId="026637D9">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永久性岩石高边坡</w:t>
            </w:r>
          </w:p>
        </w:tc>
        <w:tc>
          <w:tcPr>
            <w:tcW w:w="1514" w:type="dxa"/>
            <w:vAlign w:val="center"/>
          </w:tcPr>
          <w:p w14:paraId="2679415C">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5~9</w:t>
            </w:r>
          </w:p>
        </w:tc>
        <w:tc>
          <w:tcPr>
            <w:tcW w:w="1565" w:type="dxa"/>
            <w:gridSpan w:val="2"/>
            <w:vAlign w:val="center"/>
          </w:tcPr>
          <w:p w14:paraId="14CD2721">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8~12</w:t>
            </w:r>
          </w:p>
        </w:tc>
        <w:tc>
          <w:tcPr>
            <w:tcW w:w="1614" w:type="dxa"/>
            <w:vAlign w:val="center"/>
          </w:tcPr>
          <w:p w14:paraId="1D62CE6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10~15</w:t>
            </w:r>
          </w:p>
        </w:tc>
      </w:tr>
      <w:tr w14:paraId="6B967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05" w:type="dxa"/>
            <w:vAlign w:val="center"/>
          </w:tcPr>
          <w:p w14:paraId="5F8AB550">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10</w:t>
            </w:r>
          </w:p>
        </w:tc>
        <w:tc>
          <w:tcPr>
            <w:tcW w:w="3266" w:type="dxa"/>
            <w:gridSpan w:val="2"/>
            <w:vAlign w:val="center"/>
          </w:tcPr>
          <w:p w14:paraId="675AA862">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新浇大体积混凝土（C20）：</w:t>
            </w:r>
          </w:p>
          <w:p w14:paraId="1BFAAE24">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龄期：初凝～3d</w:t>
            </w:r>
          </w:p>
          <w:p w14:paraId="7AF75C30">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龄期：3 d～7 d</w:t>
            </w:r>
          </w:p>
          <w:p w14:paraId="7E9897B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龄期：7d～28d</w:t>
            </w:r>
          </w:p>
        </w:tc>
        <w:tc>
          <w:tcPr>
            <w:tcW w:w="1514" w:type="dxa"/>
            <w:vAlign w:val="center"/>
          </w:tcPr>
          <w:p w14:paraId="3F01587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p>
          <w:p w14:paraId="31ABB95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p>
          <w:p w14:paraId="23F28FA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1.5~ 2.0</w:t>
            </w:r>
          </w:p>
          <w:p w14:paraId="2B7DF154">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3.0~4.0</w:t>
            </w:r>
          </w:p>
          <w:p w14:paraId="19A0006E">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7.0~8.0</w:t>
            </w:r>
          </w:p>
        </w:tc>
        <w:tc>
          <w:tcPr>
            <w:tcW w:w="1565" w:type="dxa"/>
            <w:gridSpan w:val="2"/>
            <w:vAlign w:val="center"/>
          </w:tcPr>
          <w:p w14:paraId="2A3D386E">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p>
          <w:p w14:paraId="09AA9DD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p>
          <w:p w14:paraId="71761EB0">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2.0~2.5</w:t>
            </w:r>
          </w:p>
          <w:p w14:paraId="5B84411E">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4.0~5.0</w:t>
            </w:r>
          </w:p>
          <w:p w14:paraId="7BC30D69">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8.0~10.0</w:t>
            </w:r>
          </w:p>
        </w:tc>
        <w:tc>
          <w:tcPr>
            <w:tcW w:w="1614" w:type="dxa"/>
            <w:vAlign w:val="center"/>
          </w:tcPr>
          <w:p w14:paraId="04E67C7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p>
          <w:p w14:paraId="1941BCDF">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p>
          <w:p w14:paraId="09F7701C">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2.5~3.0</w:t>
            </w:r>
          </w:p>
          <w:p w14:paraId="7494A561">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5.0~7.0</w:t>
            </w:r>
          </w:p>
          <w:p w14:paraId="059977D2">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10.0~12</w:t>
            </w:r>
          </w:p>
        </w:tc>
      </w:tr>
      <w:tr w14:paraId="46C328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664" w:type="dxa"/>
            <w:gridSpan w:val="7"/>
            <w:vAlign w:val="center"/>
          </w:tcPr>
          <w:p w14:paraId="0669A26D">
            <w:pPr>
              <w:widowControl/>
              <w:spacing w:line="240" w:lineRule="atLeast"/>
              <w:ind w:firstLine="400"/>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注1：表中质点振动速度为三分量中的最大值；振动频率为主振频率。</w:t>
            </w:r>
          </w:p>
          <w:p w14:paraId="1D88F0DD">
            <w:pPr>
              <w:widowControl/>
              <w:spacing w:line="240" w:lineRule="atLeast"/>
              <w:ind w:firstLine="400"/>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注2：频率范围根据现场实测波形确定或按如下数据选取：硐室爆破f&lt;20 Hz；露天深孔爆破f=10～60 Hz；露天浅孔爆破f=40～100 Hz；地下深孔爆破f=30～100 Hz；地下浅孔爆破f=60～300 Hz。</w:t>
            </w:r>
          </w:p>
          <w:p w14:paraId="298D09C8">
            <w:pPr>
              <w:widowControl/>
              <w:spacing w:line="240" w:lineRule="atLeast"/>
              <w:ind w:firstLine="400"/>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注3：爆破振动监测应同时测定质点振动相互垂直的三个分量。</w:t>
            </w:r>
          </w:p>
          <w:p w14:paraId="22BCF9AD">
            <w:pPr>
              <w:widowControl/>
              <w:spacing w:line="240" w:lineRule="atLeast"/>
              <w:ind w:firstLine="400"/>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注4：此表按《爆破安全规程》中表 13-1 爆破振动安全允许标准表</w:t>
            </w:r>
          </w:p>
        </w:tc>
      </w:tr>
      <w:tr w14:paraId="6F4238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664" w:type="dxa"/>
            <w:gridSpan w:val="7"/>
            <w:vAlign w:val="center"/>
          </w:tcPr>
          <w:p w14:paraId="47ED221B">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爆区不同岩性的K、α值</w:t>
            </w:r>
          </w:p>
        </w:tc>
      </w:tr>
      <w:tr w14:paraId="601AD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56" w:type="dxa"/>
            <w:gridSpan w:val="2"/>
            <w:vAlign w:val="center"/>
          </w:tcPr>
          <w:p w14:paraId="5A79C18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岩性</w:t>
            </w:r>
          </w:p>
        </w:tc>
        <w:tc>
          <w:tcPr>
            <w:tcW w:w="3620" w:type="dxa"/>
            <w:gridSpan w:val="3"/>
            <w:vAlign w:val="center"/>
          </w:tcPr>
          <w:p w14:paraId="0C01F4E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K</w:t>
            </w:r>
          </w:p>
        </w:tc>
        <w:tc>
          <w:tcPr>
            <w:tcW w:w="2788" w:type="dxa"/>
            <w:gridSpan w:val="2"/>
            <w:vAlign w:val="center"/>
          </w:tcPr>
          <w:p w14:paraId="421CA60B">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α</w:t>
            </w:r>
          </w:p>
        </w:tc>
      </w:tr>
      <w:tr w14:paraId="4700A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56" w:type="dxa"/>
            <w:gridSpan w:val="2"/>
            <w:vAlign w:val="center"/>
          </w:tcPr>
          <w:p w14:paraId="01CFBFF7">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坚硬岩石</w:t>
            </w:r>
          </w:p>
        </w:tc>
        <w:tc>
          <w:tcPr>
            <w:tcW w:w="3620" w:type="dxa"/>
            <w:gridSpan w:val="3"/>
            <w:vAlign w:val="center"/>
          </w:tcPr>
          <w:p w14:paraId="1A0427D9">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50~150</w:t>
            </w:r>
          </w:p>
        </w:tc>
        <w:tc>
          <w:tcPr>
            <w:tcW w:w="2788" w:type="dxa"/>
            <w:gridSpan w:val="2"/>
            <w:vAlign w:val="center"/>
          </w:tcPr>
          <w:p w14:paraId="2C795D64">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1.3~1.5</w:t>
            </w:r>
          </w:p>
        </w:tc>
      </w:tr>
      <w:tr w14:paraId="58B089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56" w:type="dxa"/>
            <w:gridSpan w:val="2"/>
            <w:vAlign w:val="center"/>
          </w:tcPr>
          <w:p w14:paraId="7E1DA3D5">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中硬岩石</w:t>
            </w:r>
          </w:p>
        </w:tc>
        <w:tc>
          <w:tcPr>
            <w:tcW w:w="3620" w:type="dxa"/>
            <w:gridSpan w:val="3"/>
            <w:vAlign w:val="center"/>
          </w:tcPr>
          <w:p w14:paraId="5223208F">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150~250</w:t>
            </w:r>
          </w:p>
        </w:tc>
        <w:tc>
          <w:tcPr>
            <w:tcW w:w="2788" w:type="dxa"/>
            <w:gridSpan w:val="2"/>
            <w:vAlign w:val="center"/>
          </w:tcPr>
          <w:p w14:paraId="28A4E34B">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1.5~1.8</w:t>
            </w:r>
          </w:p>
        </w:tc>
      </w:tr>
      <w:tr w14:paraId="75933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56" w:type="dxa"/>
            <w:gridSpan w:val="2"/>
            <w:vAlign w:val="center"/>
          </w:tcPr>
          <w:p w14:paraId="07A3DB0A">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软岩石</w:t>
            </w:r>
          </w:p>
        </w:tc>
        <w:tc>
          <w:tcPr>
            <w:tcW w:w="3620" w:type="dxa"/>
            <w:gridSpan w:val="3"/>
            <w:vAlign w:val="center"/>
          </w:tcPr>
          <w:p w14:paraId="3416C661">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250~350</w:t>
            </w:r>
          </w:p>
        </w:tc>
        <w:tc>
          <w:tcPr>
            <w:tcW w:w="2788" w:type="dxa"/>
            <w:gridSpan w:val="2"/>
            <w:vAlign w:val="center"/>
          </w:tcPr>
          <w:p w14:paraId="68C55678">
            <w:pPr>
              <w:widowControl/>
              <w:spacing w:line="240" w:lineRule="atLeast"/>
              <w:ind w:firstLine="400"/>
              <w:jc w:val="center"/>
              <w:rPr>
                <w:rFonts w:hint="eastAsia"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1.8~2.0</w:t>
            </w:r>
          </w:p>
        </w:tc>
      </w:tr>
    </w:tbl>
    <w:p w14:paraId="2B56C1B5">
      <w:pPr>
        <w:spacing w:before="120" w:beforeLines="5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2.爆破冲击波安全允许距离</w:t>
      </w:r>
    </w:p>
    <w:p w14:paraId="3A51FFAA">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R</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=K</w:t>
      </w:r>
      <w:r>
        <w:rPr>
          <w:color w:val="000000" w:themeColor="text1"/>
          <w:szCs w:val="28"/>
          <w:vertAlign w:val="subscript"/>
          <w14:textFill>
            <w14:solidFill>
              <w14:schemeClr w14:val="tx1"/>
            </w14:solidFill>
          </w14:textFill>
        </w:rPr>
        <w:t>k</w:t>
      </w:r>
      <w:r>
        <w:rPr>
          <w:color w:val="000000" w:themeColor="text1"/>
          <w:position w:val="-12"/>
          <w:szCs w:val="28"/>
          <w14:textFill>
            <w14:solidFill>
              <w14:schemeClr w14:val="tx1"/>
            </w14:solidFill>
          </w14:textFill>
        </w:rPr>
        <w:object>
          <v:shape id="_x0000_i1027" o:spt="75" type="#_x0000_t75" style="height:20.2pt;width:21.25pt;" o:ole="t" filled="f" o:preferrelative="t" stroked="f" coordsize="21600,21600">
            <v:path/>
            <v:fill on="f" focussize="0,0"/>
            <v:stroke on="f" joinstyle="miter"/>
            <v:imagedata r:id="rId51" o:title=""/>
            <o:lock v:ext="edit" aspectratio="t"/>
            <w10:wrap type="none"/>
            <w10:anchorlock/>
          </v:shape>
          <o:OLEObject Type="Embed" ProgID="Equation.3" ShapeID="_x0000_i1027" DrawAspect="Content" ObjectID="_1468075727" r:id="rId50">
            <o:LockedField>false</o:LockedField>
          </o:OLEObject>
        </w:object>
      </w:r>
    </w:p>
    <w:p w14:paraId="76C9FE76">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式中：R</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—空气冲击波对建筑物的安全距离，m；</w:t>
      </w:r>
    </w:p>
    <w:p w14:paraId="3E33EFAD">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Q—装药量，取</w:t>
      </w:r>
      <w:r>
        <w:rPr>
          <w:rFonts w:hint="eastAsia"/>
          <w:color w:val="000000" w:themeColor="text1"/>
          <w14:textFill>
            <w14:solidFill>
              <w14:schemeClr w14:val="tx1"/>
            </w14:solidFill>
          </w14:textFill>
        </w:rPr>
        <w:t>126</w:t>
      </w:r>
      <w:r>
        <w:rPr>
          <w:color w:val="000000" w:themeColor="text1"/>
          <w:szCs w:val="28"/>
          <w14:textFill>
            <w14:solidFill>
              <w14:schemeClr w14:val="tx1"/>
            </w14:solidFill>
          </w14:textFill>
        </w:rPr>
        <w:t>kg；</w:t>
      </w:r>
    </w:p>
    <w:p w14:paraId="697E8E98">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K</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—系数，</w:t>
      </w:r>
      <w:r>
        <w:rPr>
          <w:color w:val="000000" w:themeColor="text1"/>
          <w:kern w:val="0"/>
          <w:szCs w:val="28"/>
          <w:lang w:bidi="ar"/>
          <w14:textFill>
            <w14:solidFill>
              <w14:schemeClr w14:val="tx1"/>
            </w14:solidFill>
          </w14:textFill>
        </w:rPr>
        <w:t>按爆破作用指数与建筑物允许破坏程度5～10，取</w:t>
      </w:r>
      <w:r>
        <w:rPr>
          <w:rFonts w:hint="eastAsia"/>
          <w:color w:val="000000" w:themeColor="text1"/>
          <w:szCs w:val="28"/>
          <w14:textFill>
            <w14:solidFill>
              <w14:schemeClr w14:val="tx1"/>
            </w14:solidFill>
          </w14:textFill>
        </w:rPr>
        <w:t>8</w:t>
      </w:r>
      <w:r>
        <w:rPr>
          <w:color w:val="000000" w:themeColor="text1"/>
          <w:szCs w:val="28"/>
          <w14:textFill>
            <w14:solidFill>
              <w14:schemeClr w14:val="tx1"/>
            </w14:solidFill>
          </w14:textFill>
        </w:rPr>
        <w:t>。</w:t>
      </w:r>
    </w:p>
    <w:p w14:paraId="373159C0">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经计算，R</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89.8</w:t>
      </w:r>
      <w:r>
        <w:rPr>
          <w:color w:val="000000" w:themeColor="text1"/>
          <w:szCs w:val="28"/>
          <w14:textFill>
            <w14:solidFill>
              <w14:schemeClr w14:val="tx1"/>
            </w14:solidFill>
          </w14:textFill>
        </w:rPr>
        <w:t>m。</w:t>
      </w:r>
    </w:p>
    <w:p w14:paraId="7B4CF03D">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R</w:t>
      </w:r>
      <w:r>
        <w:rPr>
          <w:color w:val="000000" w:themeColor="text1"/>
          <w:w w:val="50"/>
          <w:szCs w:val="28"/>
          <w14:textFill>
            <w14:solidFill>
              <w14:schemeClr w14:val="tx1"/>
            </w14:solidFill>
          </w14:textFill>
        </w:rPr>
        <w:t>’</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=25</w:t>
      </w:r>
      <w:r>
        <w:rPr>
          <w:color w:val="000000" w:themeColor="text1"/>
          <w:position w:val="-12"/>
          <w:szCs w:val="28"/>
          <w14:textFill>
            <w14:solidFill>
              <w14:schemeClr w14:val="tx1"/>
            </w14:solidFill>
          </w14:textFill>
        </w:rPr>
        <w:object>
          <v:shape id="_x0000_i1028" o:spt="75" type="#_x0000_t75" style="height:20.2pt;width:21.25pt;" o:ole="t" filled="f" o:preferrelative="t" stroked="f" coordsize="21600,21600">
            <v:path/>
            <v:fill on="f" focussize="0,0"/>
            <v:stroke on="f" joinstyle="miter"/>
            <v:imagedata r:id="rId53" o:title=""/>
            <o:lock v:ext="edit" aspectratio="t"/>
            <w10:wrap type="none"/>
            <w10:anchorlock/>
          </v:shape>
          <o:OLEObject Type="Embed" ProgID="Equation.3" ShapeID="_x0000_i1028" DrawAspect="Content" ObjectID="_1468075728" r:id="rId52">
            <o:LockedField>false</o:LockedField>
          </o:OLEObject>
        </w:object>
      </w:r>
      <w:r>
        <w:rPr>
          <w:rFonts w:hint="eastAsia"/>
          <w:color w:val="000000" w:themeColor="text1"/>
          <w:position w:val="-12"/>
          <w:szCs w:val="28"/>
          <w14:textFill>
            <w14:solidFill>
              <w14:schemeClr w14:val="tx1"/>
            </w14:solidFill>
          </w14:textFill>
        </w:rPr>
        <w:t xml:space="preserve">    </w:t>
      </w:r>
    </w:p>
    <w:p w14:paraId="51A95E07">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式中：R</w:t>
      </w:r>
      <w:r>
        <w:rPr>
          <w:color w:val="000000" w:themeColor="text1"/>
          <w:w w:val="50"/>
          <w:szCs w:val="28"/>
          <w14:textFill>
            <w14:solidFill>
              <w14:schemeClr w14:val="tx1"/>
            </w14:solidFill>
          </w14:textFill>
        </w:rPr>
        <w:t>’</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—空气冲击波对避炮人员的安全距离，m；</w:t>
      </w:r>
    </w:p>
    <w:p w14:paraId="698914C6">
      <w:pPr>
        <w:ind w:firstLine="1400" w:firstLineChars="500"/>
        <w:rPr>
          <w:color w:val="000000" w:themeColor="text1"/>
          <w:szCs w:val="28"/>
          <w14:textFill>
            <w14:solidFill>
              <w14:schemeClr w14:val="tx1"/>
            </w14:solidFill>
          </w14:textFill>
        </w:rPr>
      </w:pPr>
      <w:r>
        <w:rPr>
          <w:color w:val="000000" w:themeColor="text1"/>
          <w:szCs w:val="28"/>
          <w14:textFill>
            <w14:solidFill>
              <w14:schemeClr w14:val="tx1"/>
            </w14:solidFill>
          </w14:textFill>
        </w:rPr>
        <w:t>Q—装药量，kg。</w:t>
      </w:r>
    </w:p>
    <w:p w14:paraId="4AEECECA">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经计算，R</w:t>
      </w:r>
      <w:r>
        <w:rPr>
          <w:color w:val="000000" w:themeColor="text1"/>
          <w:szCs w:val="28"/>
          <w:vertAlign w:val="subscript"/>
          <w14:textFill>
            <w14:solidFill>
              <w14:schemeClr w14:val="tx1"/>
            </w14:solidFill>
          </w14:textFill>
        </w:rPr>
        <w:t>k</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125.325</w:t>
      </w:r>
      <w:r>
        <w:rPr>
          <w:color w:val="000000" w:themeColor="text1"/>
          <w:szCs w:val="28"/>
          <w14:textFill>
            <w14:solidFill>
              <w14:schemeClr w14:val="tx1"/>
            </w14:solidFill>
          </w14:textFill>
        </w:rPr>
        <w:t>m。</w:t>
      </w:r>
    </w:p>
    <w:p w14:paraId="467FF393">
      <w:pPr>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3.个别飞散物安全允许距离</w:t>
      </w:r>
    </w:p>
    <w:p w14:paraId="35B0203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①按《爆破安全规程》爆破飞石安全距离计算公式：</w:t>
      </w:r>
    </w:p>
    <w:p w14:paraId="40D11209">
      <w:pPr>
        <w:ind w:firstLine="5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R=20×K</w:t>
      </w:r>
      <w:r>
        <w:rPr>
          <w:rFonts w:hint="eastAsia"/>
          <w:color w:val="000000" w:themeColor="text1"/>
          <w:vertAlign w:val="subscript"/>
          <w14:textFill>
            <w14:solidFill>
              <w14:schemeClr w14:val="tx1"/>
            </w14:solidFill>
          </w14:textFill>
        </w:rPr>
        <w:t>f</w:t>
      </w:r>
      <w:r>
        <w:rPr>
          <w:rFonts w:hint="eastAsia"/>
          <w:color w:val="000000" w:themeColor="text1"/>
          <w14:textFill>
            <w14:solidFill>
              <w14:schemeClr w14:val="tx1"/>
            </w14:solidFill>
          </w14:textFill>
        </w:rPr>
        <w:t>×n</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w:t>
      </w:r>
      <w:r>
        <w:rPr>
          <w:rFonts w:hint="eastAsia"/>
          <w:color w:val="000000" w:themeColor="text1"/>
          <w:vertAlign w:val="subscript"/>
          <w14:textFill>
            <w14:solidFill>
              <w14:schemeClr w14:val="tx1"/>
            </w14:solidFill>
          </w14:textFill>
        </w:rPr>
        <w:t>min</w:t>
      </w:r>
    </w:p>
    <w:p w14:paraId="2FADA94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式中：R—爆破飞石安全距离，m；</w:t>
      </w:r>
    </w:p>
    <w:p w14:paraId="3442EF1E">
      <w:pPr>
        <w:ind w:firstLine="14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K</w:t>
      </w:r>
      <w:r>
        <w:rPr>
          <w:rFonts w:hint="eastAsia"/>
          <w:color w:val="000000" w:themeColor="text1"/>
          <w:vertAlign w:val="subscript"/>
          <w14:textFill>
            <w14:solidFill>
              <w14:schemeClr w14:val="tx1"/>
            </w14:solidFill>
          </w14:textFill>
        </w:rPr>
        <w:t>f</w:t>
      </w:r>
      <w:r>
        <w:rPr>
          <w:rFonts w:hint="eastAsia"/>
          <w:color w:val="000000" w:themeColor="text1"/>
          <w14:textFill>
            <w14:solidFill>
              <w14:schemeClr w14:val="tx1"/>
            </w14:solidFill>
          </w14:textFill>
        </w:rPr>
        <w:t>—安全系数；</w:t>
      </w:r>
    </w:p>
    <w:p w14:paraId="06DC16D6">
      <w:pPr>
        <w:ind w:firstLine="14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n—爆破作用指数；   </w:t>
      </w:r>
    </w:p>
    <w:p w14:paraId="4464C76A">
      <w:pPr>
        <w:ind w:firstLine="14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rFonts w:hint="eastAsia"/>
          <w:color w:val="000000" w:themeColor="text1"/>
          <w:vertAlign w:val="subscript"/>
          <w14:textFill>
            <w14:solidFill>
              <w14:schemeClr w14:val="tx1"/>
            </w14:solidFill>
          </w14:textFill>
        </w:rPr>
        <w:t>min</w:t>
      </w:r>
      <w:r>
        <w:rPr>
          <w:rFonts w:hint="eastAsia"/>
          <w:color w:val="000000" w:themeColor="text1"/>
          <w14:textFill>
            <w14:solidFill>
              <w14:schemeClr w14:val="tx1"/>
            </w14:solidFill>
          </w14:textFill>
        </w:rPr>
        <w:t>—最小抵抗线，4.0m。</w:t>
      </w:r>
    </w:p>
    <w:p w14:paraId="694305C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矿区深孔爆破的爆破类型为松动爆破，取n=0.75；矿区为山坡地形，取K</w:t>
      </w:r>
      <w:r>
        <w:rPr>
          <w:rFonts w:hint="eastAsia"/>
          <w:color w:val="000000" w:themeColor="text1"/>
          <w:vertAlign w:val="subscript"/>
          <w14:textFill>
            <w14:solidFill>
              <w14:schemeClr w14:val="tx1"/>
            </w14:solidFill>
          </w14:textFill>
        </w:rPr>
        <w:t>f</w:t>
      </w:r>
      <w:r>
        <w:rPr>
          <w:rFonts w:hint="eastAsia"/>
          <w:color w:val="000000" w:themeColor="text1"/>
          <w14:textFill>
            <w14:solidFill>
              <w14:schemeClr w14:val="tx1"/>
            </w14:solidFill>
          </w14:textFill>
        </w:rPr>
        <w:t xml:space="preserve">=1.5。       </w:t>
      </w:r>
    </w:p>
    <w:p w14:paraId="4B4155B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经计算，常规爆破飞石安全距离为67.5m。</w:t>
      </w:r>
    </w:p>
    <w:p w14:paraId="2482570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②Lundborg统计规律公式</w:t>
      </w:r>
    </w:p>
    <w:p w14:paraId="3752541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根据Lundborg的统计规律，结合工程实际经验，炮孔爆破飞石距离可由下式计算：</w:t>
      </w:r>
    </w:p>
    <w:p w14:paraId="6C70729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R=K</w:t>
      </w:r>
      <w:r>
        <w:rPr>
          <w:rFonts w:hint="eastAsia"/>
          <w:color w:val="000000" w:themeColor="text1"/>
          <w:vertAlign w:val="subscript"/>
          <w14:textFill>
            <w14:solidFill>
              <w14:schemeClr w14:val="tx1"/>
            </w14:solidFill>
          </w14:textFill>
        </w:rPr>
        <w:t>T</w:t>
      </w:r>
      <w:r>
        <w:rPr>
          <w:rFonts w:hint="eastAsia"/>
          <w:color w:val="000000" w:themeColor="text1"/>
          <w14:textFill>
            <w14:solidFill>
              <w14:schemeClr w14:val="tx1"/>
            </w14:solidFill>
          </w14:textFill>
        </w:rPr>
        <w:t>qD</w:t>
      </w:r>
    </w:p>
    <w:p w14:paraId="30E9A15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式中：K</w:t>
      </w:r>
      <w:r>
        <w:rPr>
          <w:rFonts w:hint="eastAsia"/>
          <w:color w:val="000000" w:themeColor="text1"/>
          <w:vertAlign w:val="subscript"/>
          <w14:textFill>
            <w14:solidFill>
              <w14:schemeClr w14:val="tx1"/>
            </w14:solidFill>
          </w14:textFill>
        </w:rPr>
        <w:t>T</w:t>
      </w:r>
      <w:r>
        <w:rPr>
          <w:rFonts w:hint="eastAsia"/>
          <w:color w:val="000000" w:themeColor="text1"/>
          <w14:textFill>
            <w14:solidFill>
              <w14:schemeClr w14:val="tx1"/>
            </w14:solidFill>
          </w14:textFill>
        </w:rPr>
        <w:t>—与爆破方式、地形和地质条件有关的系数，取1～1.5；</w:t>
      </w:r>
    </w:p>
    <w:p w14:paraId="0DE04CC6">
      <w:pPr>
        <w:ind w:firstLine="14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q—炸药单耗，kg/m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70EDEF31">
      <w:pPr>
        <w:ind w:firstLine="14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D—炮孔直径，mm。</w:t>
      </w:r>
    </w:p>
    <w:p w14:paraId="72FE0B8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R=1.5×0.32×100=48m</w:t>
      </w:r>
    </w:p>
    <w:p w14:paraId="170D4D6E">
      <w:pPr>
        <w:ind w:firstLine="560"/>
        <w:rPr>
          <w:b/>
          <w:bCs/>
          <w:color w:val="000000" w:themeColor="text1"/>
          <w:szCs w:val="28"/>
          <w14:textFill>
            <w14:solidFill>
              <w14:schemeClr w14:val="tx1"/>
            </w14:solidFill>
          </w14:textFill>
        </w:rPr>
      </w:pPr>
      <w:r>
        <w:rPr>
          <w:rFonts w:hint="eastAsia"/>
          <w:color w:val="000000" w:themeColor="text1"/>
          <w14:textFill>
            <w14:solidFill>
              <w14:schemeClr w14:val="tx1"/>
            </w14:solidFill>
          </w14:textFill>
        </w:rPr>
        <w:t>根据计算结果爆破飞石取大值，以《爆破安全规程》爆破飞石距离计算结果为准。</w:t>
      </w:r>
    </w:p>
    <w:p w14:paraId="74603386">
      <w:pPr>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4.爆破警戒范围的圈定</w:t>
      </w:r>
      <w:r>
        <w:rPr>
          <w:rFonts w:hint="eastAsia"/>
          <w:b/>
          <w:bCs/>
          <w:color w:val="000000" w:themeColor="text1"/>
          <w:szCs w:val="28"/>
          <w14:textFill>
            <w14:solidFill>
              <w14:schemeClr w14:val="tx1"/>
            </w14:solidFill>
          </w14:textFill>
        </w:rPr>
        <w:t xml:space="preserve">     </w:t>
      </w:r>
    </w:p>
    <w:p w14:paraId="29A58F39">
      <w:pPr>
        <w:ind w:firstLine="560"/>
        <w:rPr>
          <w:color w:val="000000" w:themeColor="text1"/>
          <w:szCs w:val="28"/>
          <w:lang w:val="zh-TW"/>
          <w14:textFill>
            <w14:solidFill>
              <w14:schemeClr w14:val="tx1"/>
            </w14:solidFill>
          </w14:textFill>
        </w:rPr>
      </w:pPr>
      <w:r>
        <w:rPr>
          <w:color w:val="000000" w:themeColor="text1"/>
          <w:szCs w:val="28"/>
          <w:lang w:val="zh-TW"/>
          <w14:textFill>
            <w14:solidFill>
              <w14:schemeClr w14:val="tx1"/>
            </w14:solidFill>
          </w14:textFill>
        </w:rPr>
        <w:t>根据上述计算，以及</w:t>
      </w:r>
      <w:r>
        <w:rPr>
          <w:color w:val="000000" w:themeColor="text1"/>
          <w:szCs w:val="28"/>
          <w:lang w:val="zh-TW" w:eastAsia="zh-TW"/>
          <w14:textFill>
            <w14:solidFill>
              <w14:schemeClr w14:val="tx1"/>
            </w14:solidFill>
          </w14:textFill>
        </w:rPr>
        <w:t>依据《爆破安全规程》</w:t>
      </w:r>
      <w:r>
        <w:rPr>
          <w:color w:val="000000" w:themeColor="text1"/>
          <w14:textFill>
            <w14:solidFill>
              <w14:schemeClr w14:val="tx1"/>
            </w14:solidFill>
          </w14:textFill>
        </w:rPr>
        <w:t>（GB 6722-2014）</w:t>
      </w:r>
      <w:r>
        <w:rPr>
          <w:color w:val="000000" w:themeColor="text1"/>
          <w:szCs w:val="28"/>
          <w:lang w:val="zh-TW" w:eastAsia="zh-TW"/>
          <w14:textFill>
            <w14:solidFill>
              <w14:schemeClr w14:val="tx1"/>
            </w14:solidFill>
          </w14:textFill>
        </w:rPr>
        <w:t>并结合露天采场采用</w:t>
      </w:r>
      <w:r>
        <w:rPr>
          <w:color w:val="000000" w:themeColor="text1"/>
          <w:szCs w:val="28"/>
          <w:lang w:val="zh-TW"/>
          <w14:textFill>
            <w14:solidFill>
              <w14:schemeClr w14:val="tx1"/>
            </w14:solidFill>
          </w14:textFill>
        </w:rPr>
        <w:t>中</w:t>
      </w:r>
      <w:r>
        <w:rPr>
          <w:color w:val="000000" w:themeColor="text1"/>
          <w:szCs w:val="28"/>
          <w:lang w:val="zh-TW" w:eastAsia="zh-TW"/>
          <w14:textFill>
            <w14:solidFill>
              <w14:schemeClr w14:val="tx1"/>
            </w14:solidFill>
          </w14:textFill>
        </w:rPr>
        <w:t>深孔爆破方法的特点</w:t>
      </w:r>
      <w:r>
        <w:rPr>
          <w:color w:val="000000" w:themeColor="text1"/>
          <w:szCs w:val="28"/>
          <w:lang w:val="zh-TW"/>
          <w14:textFill>
            <w14:solidFill>
              <w14:schemeClr w14:val="tx1"/>
            </w14:solidFill>
          </w14:textFill>
        </w:rPr>
        <w:t>，</w:t>
      </w:r>
      <w:r>
        <w:rPr>
          <w:color w:val="000000" w:themeColor="text1"/>
          <w:szCs w:val="28"/>
          <w:lang w:val="zh-TW" w:eastAsia="zh-TW"/>
          <w14:textFill>
            <w14:solidFill>
              <w14:schemeClr w14:val="tx1"/>
            </w14:solidFill>
          </w14:textFill>
        </w:rPr>
        <w:t>确定该矿山爆破安全距离为</w:t>
      </w:r>
      <w:r>
        <w:rPr>
          <w:rFonts w:hint="eastAsia"/>
          <w:color w:val="000000" w:themeColor="text1"/>
          <w:szCs w:val="28"/>
          <w14:textFill>
            <w14:solidFill>
              <w14:schemeClr w14:val="tx1"/>
            </w14:solidFill>
          </w14:textFill>
        </w:rPr>
        <w:t>93.1</w:t>
      </w:r>
      <w:r>
        <w:rPr>
          <w:color w:val="000000" w:themeColor="text1"/>
          <w:szCs w:val="28"/>
          <w:lang w:val="zh-TW" w:eastAsia="zh-TW"/>
          <w14:textFill>
            <w14:solidFill>
              <w14:schemeClr w14:val="tx1"/>
            </w14:solidFill>
          </w14:textFill>
        </w:rPr>
        <w:t>m</w:t>
      </w:r>
      <w:r>
        <w:rPr>
          <w:color w:val="000000" w:themeColor="text1"/>
          <w:szCs w:val="28"/>
          <w:lang w:val="zh-TW"/>
          <w14:textFill>
            <w14:solidFill>
              <w14:schemeClr w14:val="tx1"/>
            </w14:solidFill>
          </w14:textFill>
        </w:rPr>
        <w:t>，顺坡方向增加</w:t>
      </w:r>
      <w:r>
        <w:rPr>
          <w:color w:val="000000" w:themeColor="text1"/>
          <w:szCs w:val="28"/>
          <w14:textFill>
            <w14:solidFill>
              <w14:schemeClr w14:val="tx1"/>
            </w14:solidFill>
          </w14:textFill>
        </w:rPr>
        <w:t>50%即</w:t>
      </w:r>
      <w:r>
        <w:rPr>
          <w:rFonts w:hint="eastAsia"/>
          <w:color w:val="000000" w:themeColor="text1"/>
          <w:szCs w:val="28"/>
          <w14:textFill>
            <w14:solidFill>
              <w14:schemeClr w14:val="tx1"/>
            </w14:solidFill>
          </w14:textFill>
        </w:rPr>
        <w:t>139.6</w:t>
      </w:r>
      <w:r>
        <w:rPr>
          <w:color w:val="000000" w:themeColor="text1"/>
          <w:szCs w:val="28"/>
          <w14:textFill>
            <w14:solidFill>
              <w14:schemeClr w14:val="tx1"/>
            </w14:solidFill>
          </w14:textFill>
        </w:rPr>
        <w:t>m</w:t>
      </w:r>
      <w:r>
        <w:rPr>
          <w:rFonts w:hint="eastAsia"/>
          <w:color w:val="000000" w:themeColor="text1"/>
          <w:szCs w:val="28"/>
          <w14:textFill>
            <w14:solidFill>
              <w14:schemeClr w14:val="tx1"/>
            </w14:solidFill>
          </w14:textFill>
        </w:rPr>
        <w:t>，爆破安全警戒范围反坡方向设置150m，顺坡方向设置300m</w:t>
      </w:r>
      <w:r>
        <w:rPr>
          <w:color w:val="000000" w:themeColor="text1"/>
          <w:szCs w:val="28"/>
          <w:lang w:val="zh-TW" w:eastAsia="zh-TW"/>
          <w14:textFill>
            <w14:solidFill>
              <w14:schemeClr w14:val="tx1"/>
            </w14:solidFill>
          </w14:textFill>
        </w:rPr>
        <w:t>。</w:t>
      </w:r>
    </w:p>
    <w:p w14:paraId="4F7434C7">
      <w:pPr>
        <w:pStyle w:val="6"/>
        <w:spacing w:before="120" w:after="120"/>
        <w:rPr>
          <w:color w:val="000000" w:themeColor="text1"/>
          <w14:textFill>
            <w14:solidFill>
              <w14:schemeClr w14:val="tx1"/>
            </w14:solidFill>
          </w14:textFill>
        </w:rPr>
      </w:pPr>
      <w:bookmarkStart w:id="2359" w:name="_Toc30136"/>
      <w:bookmarkStart w:id="2360" w:name="_Toc20355"/>
      <w:bookmarkStart w:id="2361" w:name="_Toc9084"/>
      <w:bookmarkStart w:id="2362" w:name="_Toc24177"/>
      <w:bookmarkStart w:id="2363" w:name="_Toc215070271"/>
      <w:bookmarkStart w:id="2364" w:name="_Toc10661"/>
      <w:bookmarkStart w:id="2365" w:name="_Toc15961"/>
      <w:bookmarkStart w:id="2366" w:name="_Toc12378"/>
      <w:bookmarkStart w:id="2367" w:name="_Toc12610"/>
      <w:bookmarkStart w:id="2368" w:name="_Toc8334"/>
      <w:r>
        <w:rPr>
          <w:rFonts w:hint="eastAsia"/>
          <w:color w:val="000000" w:themeColor="text1"/>
          <w14:textFill>
            <w14:solidFill>
              <w14:schemeClr w14:val="tx1"/>
            </w14:solidFill>
          </w14:textFill>
        </w:rPr>
        <w:t>3.4.2.1穿孔爆破单元危险因素辨识</w:t>
      </w:r>
      <w:bookmarkEnd w:id="2359"/>
      <w:bookmarkEnd w:id="2360"/>
      <w:bookmarkEnd w:id="2361"/>
      <w:bookmarkEnd w:id="2362"/>
      <w:bookmarkEnd w:id="2363"/>
      <w:bookmarkEnd w:id="2364"/>
      <w:bookmarkEnd w:id="2365"/>
      <w:bookmarkEnd w:id="2366"/>
      <w:bookmarkEnd w:id="2367"/>
    </w:p>
    <w:p w14:paraId="3819A38A">
      <w:pPr>
        <w:ind w:firstLine="560"/>
        <w:rPr>
          <w:color w:val="000000" w:themeColor="text1"/>
          <w14:textFill>
            <w14:solidFill>
              <w14:schemeClr w14:val="tx1"/>
            </w14:solidFill>
          </w14:textFill>
        </w:rPr>
      </w:pPr>
      <w:bookmarkStart w:id="2369" w:name="_Toc1673"/>
      <w:bookmarkStart w:id="2370" w:name="_Toc22111"/>
      <w:bookmarkStart w:id="2371" w:name="_Toc10122"/>
      <w:r>
        <w:rPr>
          <w:rFonts w:hint="eastAsia"/>
          <w:color w:val="000000" w:themeColor="text1"/>
          <w14:textFill>
            <w14:solidFill>
              <w14:schemeClr w14:val="tx1"/>
            </w14:solidFill>
          </w14:textFill>
        </w:rPr>
        <w:t>1、物体打击</w:t>
      </w:r>
      <w:bookmarkEnd w:id="2369"/>
      <w:bookmarkEnd w:id="2370"/>
      <w:bookmarkEnd w:id="2371"/>
    </w:p>
    <w:p w14:paraId="4AA3B88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潜孔钻在穿孔作业过程中，由于钻杆等掉落等，发生物体打击事故。</w:t>
      </w:r>
    </w:p>
    <w:p w14:paraId="05EAF341">
      <w:pPr>
        <w:ind w:firstLine="560"/>
        <w:rPr>
          <w:color w:val="000000" w:themeColor="text1"/>
          <w14:textFill>
            <w14:solidFill>
              <w14:schemeClr w14:val="tx1"/>
            </w14:solidFill>
          </w14:textFill>
        </w:rPr>
      </w:pPr>
      <w:bookmarkStart w:id="2372" w:name="_Toc8604"/>
      <w:bookmarkStart w:id="2373" w:name="_Toc21276"/>
      <w:bookmarkStart w:id="2374" w:name="_Toc1713"/>
      <w:r>
        <w:rPr>
          <w:rFonts w:hint="eastAsia"/>
          <w:color w:val="000000" w:themeColor="text1"/>
          <w14:textFill>
            <w14:solidFill>
              <w14:schemeClr w14:val="tx1"/>
            </w14:solidFill>
          </w14:textFill>
        </w:rPr>
        <w:t>2、机械伤害</w:t>
      </w:r>
      <w:bookmarkEnd w:id="2372"/>
      <w:bookmarkEnd w:id="2373"/>
      <w:bookmarkEnd w:id="2374"/>
    </w:p>
    <w:p w14:paraId="2182C0C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矿山的开拓运输中使用机械设备，因机械的运转部位防护缺失、操作人员的操作失误可能发生机械伤害。发生机械伤害事故的原因有：</w:t>
      </w:r>
    </w:p>
    <w:p w14:paraId="302A8D0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（1）潜孔钻在设计上存在先天不足（如强度不够、设计缺陷等），转动部位未设置相应的安全防护设施。</w:t>
      </w:r>
    </w:p>
    <w:p w14:paraId="6B710D3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（2）从业人员违章操作或穿戴不符合安全规定的劳动防护用品进行操作。</w:t>
      </w:r>
    </w:p>
    <w:p w14:paraId="6B16239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（3）设备安全防护装置缺乏或损坏或被拆除等，易发生机械伤害事故。</w:t>
      </w:r>
    </w:p>
    <w:p w14:paraId="4B5F7147">
      <w:pPr>
        <w:ind w:firstLine="560"/>
        <w:rPr>
          <w:color w:val="000000" w:themeColor="text1"/>
          <w14:textFill>
            <w14:solidFill>
              <w14:schemeClr w14:val="tx1"/>
            </w14:solidFill>
          </w14:textFill>
        </w:rPr>
      </w:pPr>
      <w:bookmarkStart w:id="2375" w:name="_Toc28782"/>
      <w:bookmarkStart w:id="2376" w:name="_Toc18538"/>
      <w:bookmarkStart w:id="2377" w:name="_Toc7096"/>
      <w:r>
        <w:rPr>
          <w:rFonts w:hint="eastAsia"/>
          <w:color w:val="000000" w:themeColor="text1"/>
          <w14:textFill>
            <w14:solidFill>
              <w14:schemeClr w14:val="tx1"/>
            </w14:solidFill>
          </w14:textFill>
        </w:rPr>
        <w:t>（4）操作人员疏忽大意，身体进入机械危险部位。</w:t>
      </w:r>
      <w:bookmarkEnd w:id="2375"/>
      <w:bookmarkEnd w:id="2376"/>
      <w:bookmarkEnd w:id="2377"/>
    </w:p>
    <w:p w14:paraId="2789978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（5）矿山机械检维修，操作人员未按规程操作或违规操作，易发生机械伤害事故。</w:t>
      </w:r>
    </w:p>
    <w:p w14:paraId="6486A447">
      <w:pPr>
        <w:ind w:firstLine="560"/>
        <w:rPr>
          <w:color w:val="000000" w:themeColor="text1"/>
          <w14:textFill>
            <w14:solidFill>
              <w14:schemeClr w14:val="tx1"/>
            </w14:solidFill>
          </w14:textFill>
        </w:rPr>
      </w:pPr>
      <w:bookmarkStart w:id="2378" w:name="_Toc19618"/>
      <w:bookmarkStart w:id="2379" w:name="_Toc13087"/>
      <w:bookmarkStart w:id="2380" w:name="_Toc32262"/>
      <w:r>
        <w:rPr>
          <w:rFonts w:hint="eastAsia"/>
          <w:color w:val="000000" w:themeColor="text1"/>
          <w14:textFill>
            <w14:solidFill>
              <w14:schemeClr w14:val="tx1"/>
            </w14:solidFill>
          </w14:textFill>
        </w:rPr>
        <w:t>3、车辆伤害</w:t>
      </w:r>
      <w:bookmarkEnd w:id="2378"/>
      <w:bookmarkEnd w:id="2379"/>
      <w:bookmarkEnd w:id="2380"/>
    </w:p>
    <w:p w14:paraId="1C59254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爆破器材由当地民爆公司负责运输至采场爆破位置，运输车辆在采场内超速、超载等违规驾驶、违规操作，易发生车辆伤害事故。</w:t>
      </w:r>
    </w:p>
    <w:p w14:paraId="22F763A4">
      <w:pPr>
        <w:ind w:firstLine="560"/>
        <w:rPr>
          <w:color w:val="000000" w:themeColor="text1"/>
          <w14:textFill>
            <w14:solidFill>
              <w14:schemeClr w14:val="tx1"/>
            </w14:solidFill>
          </w14:textFill>
        </w:rPr>
      </w:pPr>
      <w:bookmarkStart w:id="2381" w:name="_Toc5015"/>
      <w:bookmarkStart w:id="2382" w:name="_Toc11162"/>
      <w:bookmarkStart w:id="2383" w:name="_Toc6279"/>
      <w:r>
        <w:rPr>
          <w:rFonts w:hint="eastAsia"/>
          <w:color w:val="000000" w:themeColor="text1"/>
          <w14:textFill>
            <w14:solidFill>
              <w14:schemeClr w14:val="tx1"/>
            </w14:solidFill>
          </w14:textFill>
        </w:rPr>
        <w:t>4、高处坠落</w:t>
      </w:r>
      <w:bookmarkEnd w:id="2381"/>
      <w:bookmarkEnd w:id="2382"/>
      <w:bookmarkEnd w:id="2383"/>
    </w:p>
    <w:p w14:paraId="07B65E6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潜孔钻在采场临边作业时，无专人指挥或因采场边缘坍塌等原因，可能发生高处坠落。</w:t>
      </w:r>
    </w:p>
    <w:p w14:paraId="7A5138E3">
      <w:pPr>
        <w:ind w:firstLine="560"/>
        <w:rPr>
          <w:color w:val="000000" w:themeColor="text1"/>
          <w14:textFill>
            <w14:solidFill>
              <w14:schemeClr w14:val="tx1"/>
            </w14:solidFill>
          </w14:textFill>
        </w:rPr>
      </w:pPr>
      <w:bookmarkStart w:id="2384" w:name="_Toc29837"/>
      <w:bookmarkStart w:id="2385" w:name="_Toc25427"/>
      <w:bookmarkStart w:id="2386" w:name="_Toc22155"/>
      <w:r>
        <w:rPr>
          <w:rFonts w:hint="eastAsia"/>
          <w:color w:val="000000" w:themeColor="text1"/>
          <w14:textFill>
            <w14:solidFill>
              <w14:schemeClr w14:val="tx1"/>
            </w14:solidFill>
          </w14:textFill>
        </w:rPr>
        <w:t>5、放炮</w:t>
      </w:r>
      <w:bookmarkEnd w:id="2384"/>
      <w:bookmarkEnd w:id="2385"/>
      <w:bookmarkEnd w:id="2386"/>
    </w:p>
    <w:p w14:paraId="19004CA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爆破作业是该矿山生产过程中的重要工序之一，其作用是利用炸药在爆破瞬间放出的能量对周围介质做功，以破碎矿岩，达到采剥和采矿的目的。在开采过程中需使用大量的炸药。装药和起爆的过程中，混入矿石的未爆炸或未爆炸完全的炸药在矿岩装卸的过程中，都有发生爆炸的可能。爆炸产生的震动、冲击波和飞石对人员、设备设施、构筑物等有较大的损害。常见的爆破危害有爆破震动、爆破冲击波、爆破飞石、拒爆、早爆、迟爆等。</w:t>
      </w:r>
    </w:p>
    <w:p w14:paraId="3B88B98B">
      <w:pPr>
        <w:ind w:firstLine="560"/>
        <w:rPr>
          <w:color w:val="000000" w:themeColor="text1"/>
          <w14:textFill>
            <w14:solidFill>
              <w14:schemeClr w14:val="tx1"/>
            </w14:solidFill>
          </w14:textFill>
        </w:rPr>
      </w:pPr>
      <w:bookmarkStart w:id="2387" w:name="_Toc345140470"/>
      <w:bookmarkStart w:id="2388" w:name="_Toc7679"/>
      <w:bookmarkStart w:id="2389" w:name="_Toc10077"/>
      <w:bookmarkStart w:id="2390" w:name="_Toc18292"/>
      <w:r>
        <w:rPr>
          <w:rFonts w:hint="eastAsia"/>
          <w:color w:val="000000" w:themeColor="text1"/>
          <w14:textFill>
            <w14:solidFill>
              <w14:schemeClr w14:val="tx1"/>
            </w14:solidFill>
          </w14:textFill>
        </w:rPr>
        <w:t>（1）引起爆破事故的主要原因：</w:t>
      </w:r>
      <w:bookmarkEnd w:id="2387"/>
      <w:bookmarkEnd w:id="2388"/>
      <w:bookmarkEnd w:id="2389"/>
      <w:bookmarkEnd w:id="2390"/>
    </w:p>
    <w:p w14:paraId="0742E96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放炮后过早进入工作面；盲炮处理不当或打残眼；装药工艺不合理或违章作业起爆工艺不合理或违章作业；警戒不到位，信号不完善，安全距离不够；爆破器材质量不良；爆破作业人员未持证上岗或爆破作业人员违章；使用爆破性能不明的材料；爆破器材管理不严等。</w:t>
      </w:r>
    </w:p>
    <w:p w14:paraId="2D010171">
      <w:pPr>
        <w:ind w:firstLine="560"/>
        <w:rPr>
          <w:color w:val="000000" w:themeColor="text1"/>
          <w14:textFill>
            <w14:solidFill>
              <w14:schemeClr w14:val="tx1"/>
            </w14:solidFill>
          </w14:textFill>
        </w:rPr>
      </w:pPr>
      <w:bookmarkStart w:id="2391" w:name="_Toc345140471"/>
      <w:bookmarkStart w:id="2392" w:name="_Toc26691"/>
      <w:bookmarkStart w:id="2393" w:name="_Toc21296"/>
      <w:bookmarkStart w:id="2394" w:name="_Toc7801"/>
      <w:r>
        <w:rPr>
          <w:rFonts w:hint="eastAsia"/>
          <w:color w:val="000000" w:themeColor="text1"/>
          <w14:textFill>
            <w14:solidFill>
              <w14:schemeClr w14:val="tx1"/>
            </w14:solidFill>
          </w14:textFill>
        </w:rPr>
        <w:t>（2）爆破作业中的几种意外事故</w:t>
      </w:r>
      <w:bookmarkEnd w:id="2391"/>
      <w:r>
        <w:rPr>
          <w:rFonts w:hint="eastAsia"/>
          <w:color w:val="000000" w:themeColor="text1"/>
          <w14:textFill>
            <w14:solidFill>
              <w14:schemeClr w14:val="tx1"/>
            </w14:solidFill>
          </w14:textFill>
        </w:rPr>
        <w:t>：</w:t>
      </w:r>
      <w:bookmarkEnd w:id="2392"/>
      <w:bookmarkEnd w:id="2393"/>
      <w:bookmarkEnd w:id="2394"/>
    </w:p>
    <w:p w14:paraId="1AA10A8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拒爆。爆破作业中，由于各种原因造成起爆药包（雷管或导爆索）瞎火和炸药的部分或全部未爆的现象称为拒爆。拒爆包括残药和盲炮。拒爆的原因是多方面的，制造质量、储存条件、使用方法上的缺陷都可能导致拒爆。爆破中产生拒爆不仅影响爆破效果，而且处理时有较大的危险性，如果未能及时发现或处理不当，将会造成人员伤亡。预防方式：爆破作业时，禁止使用过期、变质、失效的炸药、雷管和爆破器材等；在有水的炮孔或潮湿的雨季，应采用炮孔疏干或防水炸药解决。</w:t>
      </w:r>
    </w:p>
    <w:p w14:paraId="2F1E3CB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早爆。早爆是指在爆破作业中未按规定的时间提前引爆的现象。其原因有人的过失、环境干扰、起爆材料质量不良等，如起爆时杂散电流或静电干扰而引起的早爆。如果不能及时发现和预防早爆，将对人员和设备造成极大的危害，酿成事故。</w:t>
      </w:r>
    </w:p>
    <w:p w14:paraId="360BA6CC">
      <w:pPr>
        <w:ind w:firstLine="560"/>
        <w:rPr>
          <w:color w:val="000000" w:themeColor="text1"/>
          <w14:textFill>
            <w14:solidFill>
              <w14:schemeClr w14:val="tx1"/>
            </w14:solidFill>
          </w14:textFill>
        </w:rPr>
      </w:pPr>
      <w:bookmarkStart w:id="2395" w:name="_Toc18805"/>
      <w:r>
        <w:rPr>
          <w:rFonts w:hint="eastAsia"/>
          <w:color w:val="000000" w:themeColor="text1"/>
          <w14:textFill>
            <w14:solidFill>
              <w14:schemeClr w14:val="tx1"/>
            </w14:solidFill>
          </w14:textFill>
        </w:rPr>
        <w:t>③迟爆：迟爆是在实施爆破后发生的意外爆炸。</w:t>
      </w:r>
      <w:bookmarkEnd w:id="2395"/>
    </w:p>
    <w:p w14:paraId="780ABF0A">
      <w:pPr>
        <w:ind w:firstLine="560"/>
        <w:rPr>
          <w:color w:val="000000" w:themeColor="text1"/>
          <w14:textFill>
            <w14:solidFill>
              <w14:schemeClr w14:val="tx1"/>
            </w14:solidFill>
          </w14:textFill>
        </w:rPr>
      </w:pPr>
      <w:bookmarkStart w:id="2396" w:name="_Toc19012"/>
      <w:bookmarkStart w:id="2397" w:name="_Toc13968"/>
      <w:bookmarkStart w:id="2398" w:name="_Toc345140472"/>
      <w:bookmarkStart w:id="2399" w:name="_Toc28790"/>
      <w:r>
        <w:rPr>
          <w:rFonts w:hint="eastAsia"/>
          <w:color w:val="000000" w:themeColor="text1"/>
          <w14:textFill>
            <w14:solidFill>
              <w14:schemeClr w14:val="tx1"/>
            </w14:solidFill>
          </w14:textFill>
        </w:rPr>
        <w:t>（3）爆破产生的有害效应</w:t>
      </w:r>
      <w:bookmarkEnd w:id="2396"/>
      <w:bookmarkEnd w:id="2397"/>
      <w:bookmarkEnd w:id="2398"/>
      <w:bookmarkEnd w:id="2399"/>
    </w:p>
    <w:p w14:paraId="4F4FE82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爆破飞石。飞石是爆破时从岩体表面射出且飞越很远的个别碎块。爆破时，由于爆破最小抵抗线掌握不准，装药过多等，造成爆破飞石超过安全允许范围，或因对安全距离估计不足，对采场作业人员、周边农耕人员造成人身伤亡和设备损失。</w:t>
      </w:r>
    </w:p>
    <w:p w14:paraId="478A146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②爆破冲击波。爆破时，爆破气体产物随崩落的岩土冲出，在空气中形成冲击波，可能危害附近的构筑物、设备设施和岩体等。</w:t>
      </w:r>
    </w:p>
    <w:p w14:paraId="173CC2E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爆破振动。爆破时产生的振动可能会对附近岩体、建构筑物、设备设施产生损伤或累积破坏。露天矿采剥生产过程中，由于管理不善，形成伞檐或边坡浮石及上部工作平台清扫不干净时，受到爆破、运输等震动，很可能发生滚石滑落。对下部平台作业人员的危险是严重的。</w:t>
      </w:r>
    </w:p>
    <w:p w14:paraId="110CEBF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（4）爆破作业。盲目实施爆破作业，装药、堵塞不当，可能发生爆破、爆炸事故，处理盲爆时中毒窒息等。</w:t>
      </w:r>
    </w:p>
    <w:p w14:paraId="37C4F50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①装药是爆炸过程中重要的一环，要注意各种危险的发生，有可能存在危险因素。</w:t>
      </w:r>
    </w:p>
    <w:p w14:paraId="19F85A3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②烟尘及毒气：爆破时，产生大量的CO和NO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，同时使周围扬尘。大量的有害气体有可能存在炮烟中毒事故；</w:t>
      </w:r>
    </w:p>
    <w:p w14:paraId="67A9DFEC">
      <w:pPr>
        <w:ind w:firstLine="560"/>
        <w:rPr>
          <w:color w:val="000000" w:themeColor="text1"/>
          <w14:textFill>
            <w14:solidFill>
              <w14:schemeClr w14:val="tx1"/>
            </w14:solidFill>
          </w14:textFill>
        </w:rPr>
      </w:pPr>
      <w:bookmarkStart w:id="2400" w:name="_Toc11238"/>
      <w:bookmarkStart w:id="2401" w:name="_Toc15368"/>
      <w:bookmarkStart w:id="2402" w:name="_Toc345140473"/>
      <w:bookmarkStart w:id="2403" w:name="_Toc25623"/>
      <w:r>
        <w:rPr>
          <w:rFonts w:hint="eastAsia"/>
          <w:color w:val="000000" w:themeColor="text1"/>
          <w14:textFill>
            <w14:solidFill>
              <w14:schemeClr w14:val="tx1"/>
            </w14:solidFill>
          </w14:textFill>
        </w:rPr>
        <w:t>（5）易发生爆破事故的场所</w:t>
      </w:r>
      <w:bookmarkEnd w:id="2400"/>
      <w:bookmarkEnd w:id="2401"/>
      <w:bookmarkEnd w:id="2402"/>
      <w:bookmarkEnd w:id="2403"/>
    </w:p>
    <w:p w14:paraId="7B0048C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①在矿山开采过程中，可能发生爆破事故的作业场所主要有：爆破作业的工作面、爆破警戒范围内。</w:t>
      </w:r>
    </w:p>
    <w:p w14:paraId="54F61280">
      <w:pPr>
        <w:ind w:firstLine="560"/>
        <w:rPr>
          <w:color w:val="000000" w:themeColor="text1"/>
          <w14:textFill>
            <w14:solidFill>
              <w14:schemeClr w14:val="tx1"/>
            </w14:solidFill>
          </w14:textFill>
        </w:rPr>
      </w:pPr>
      <w:bookmarkStart w:id="2404" w:name="_Toc11841"/>
      <w:r>
        <w:rPr>
          <w:rFonts w:hint="eastAsia"/>
          <w:color w:val="000000" w:themeColor="text1"/>
          <w14:textFill>
            <w14:solidFill>
              <w14:schemeClr w14:val="tx1"/>
            </w14:solidFill>
          </w14:textFill>
        </w:rPr>
        <w:t>②爆破器材运输车辆；</w:t>
      </w:r>
      <w:bookmarkEnd w:id="2404"/>
    </w:p>
    <w:p w14:paraId="7F30A884">
      <w:pPr>
        <w:ind w:firstLine="560"/>
        <w:rPr>
          <w:color w:val="000000" w:themeColor="text1"/>
          <w14:textFill>
            <w14:solidFill>
              <w14:schemeClr w14:val="tx1"/>
            </w14:solidFill>
          </w14:textFill>
        </w:rPr>
      </w:pPr>
      <w:bookmarkStart w:id="2405" w:name="_Toc17250"/>
      <w:bookmarkStart w:id="2406" w:name="_Toc5104"/>
      <w:bookmarkStart w:id="2407" w:name="_Toc17175"/>
      <w:bookmarkStart w:id="2408" w:name="_Toc8207"/>
      <w:bookmarkStart w:id="2409" w:name="_Toc21690"/>
      <w:bookmarkStart w:id="2410" w:name="_Toc447635725"/>
      <w:bookmarkStart w:id="2411" w:name="_Toc26186"/>
      <w:bookmarkStart w:id="2412" w:name="_Toc437944295"/>
      <w:bookmarkStart w:id="2413" w:name="_Toc3399"/>
      <w:bookmarkStart w:id="2414" w:name="_Toc392680712"/>
      <w:r>
        <w:rPr>
          <w:rFonts w:hint="eastAsia"/>
          <w:color w:val="000000" w:themeColor="text1"/>
          <w14:textFill>
            <w14:solidFill>
              <w14:schemeClr w14:val="tx1"/>
            </w14:solidFill>
          </w14:textFill>
        </w:rPr>
        <w:t>（6）放炮伤害</w:t>
      </w:r>
      <w:bookmarkEnd w:id="2405"/>
      <w:bookmarkEnd w:id="2406"/>
      <w:bookmarkEnd w:id="2407"/>
      <w:bookmarkEnd w:id="2408"/>
      <w:bookmarkEnd w:id="2409"/>
      <w:bookmarkEnd w:id="2410"/>
      <w:bookmarkEnd w:id="2411"/>
      <w:bookmarkEnd w:id="2412"/>
      <w:bookmarkEnd w:id="2413"/>
      <w:bookmarkEnd w:id="2414"/>
    </w:p>
    <w:p w14:paraId="08BDBF0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①爆破作业人员未取得作业证，无证上岗；</w:t>
      </w:r>
    </w:p>
    <w:p w14:paraId="72551DF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②炸药雷管随意混放；装药充填操作违章；</w:t>
      </w:r>
    </w:p>
    <w:p w14:paraId="466B8B0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③盲炮未妥善处理，没有盲炮标记，穿孔引起盲炮爆炸；</w:t>
      </w:r>
    </w:p>
    <w:p w14:paraId="26C2A1E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④打残眼，残眼中残留的爆炸物品爆炸；</w:t>
      </w:r>
    </w:p>
    <w:p w14:paraId="13C9100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⑤违章作业；</w:t>
      </w:r>
    </w:p>
    <w:p w14:paraId="2377B2FB">
      <w:pPr>
        <w:ind w:firstLine="560"/>
        <w:rPr>
          <w:color w:val="000000" w:themeColor="text1"/>
          <w14:textFill>
            <w14:solidFill>
              <w14:schemeClr w14:val="tx1"/>
            </w14:solidFill>
          </w14:textFill>
        </w:rPr>
      </w:pPr>
      <w:bookmarkStart w:id="2415" w:name="_Toc13840"/>
      <w:bookmarkStart w:id="2416" w:name="_Toc20576"/>
      <w:bookmarkStart w:id="2417" w:name="_Toc19246"/>
      <w:bookmarkStart w:id="2418" w:name="_Toc437944296"/>
      <w:bookmarkStart w:id="2419" w:name="_Toc447635726"/>
      <w:r>
        <w:rPr>
          <w:rFonts w:hint="eastAsia"/>
          <w:color w:val="000000" w:themeColor="text1"/>
          <w14:textFill>
            <w14:solidFill>
              <w14:schemeClr w14:val="tx1"/>
            </w14:solidFill>
          </w14:textFill>
        </w:rPr>
        <w:t>（7）火药爆炸伤害</w:t>
      </w:r>
      <w:bookmarkEnd w:id="2415"/>
      <w:bookmarkEnd w:id="2416"/>
      <w:bookmarkEnd w:id="2417"/>
      <w:bookmarkEnd w:id="2418"/>
      <w:bookmarkEnd w:id="2419"/>
    </w:p>
    <w:p w14:paraId="421A1F00">
      <w:pPr>
        <w:ind w:firstLine="560"/>
        <w:rPr>
          <w:color w:val="000000" w:themeColor="text1"/>
          <w14:textFill>
            <w14:solidFill>
              <w14:schemeClr w14:val="tx1"/>
            </w14:solidFill>
          </w14:textFill>
        </w:rPr>
      </w:pPr>
      <w:bookmarkStart w:id="2420" w:name="_Toc345140467"/>
      <w:r>
        <w:rPr>
          <w:rFonts w:hint="eastAsia"/>
          <w:color w:val="000000" w:themeColor="text1"/>
          <w14:textFill>
            <w14:solidFill>
              <w14:schemeClr w14:val="tx1"/>
            </w14:solidFill>
          </w14:textFill>
        </w:rPr>
        <w:t>火药爆炸是指火药、炸药及其制品在生产、加工、运输、贮存中发生的爆炸事故。放炮伤害是指爆破作业中发生的伤亡事故。</w:t>
      </w:r>
    </w:p>
    <w:bookmarkEnd w:id="2420"/>
    <w:p w14:paraId="7F24185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①炸药在贮存、运输、管理和使用过程中，如不严格执行《爆破安全规程》有关规定，因而发生炸药丢失、爆炸等重大恶性事故。</w:t>
      </w:r>
    </w:p>
    <w:p w14:paraId="26C6BD8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②违反《爆破安全规程》有关爆炸物品运输的规定，违规运输爆炸物品；</w:t>
      </w:r>
    </w:p>
    <w:p w14:paraId="31621B6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③无爆炸物品贮存许可证贮存爆炸物品，或违反《爆破安全规程》有关贮存爆炸物品的规定，违规贮存；</w:t>
      </w:r>
    </w:p>
    <w:p w14:paraId="1BC1B76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④无健全的爆炸物品管理，管理混乱；爆炸物品带入宿舍或公共场所；爆炸物品流失；</w:t>
      </w:r>
    </w:p>
    <w:p w14:paraId="71A4B4D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⑤自爆：自爆是爆破器材成分不相容或爆破器材与环境不相容而发生的意外爆炸。</w:t>
      </w:r>
    </w:p>
    <w:p w14:paraId="56BB7E1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⑥装药时，违规使用明火、民爆物品受重击、雷管炸药混存等原因，可能引发火药爆炸事故。</w:t>
      </w:r>
    </w:p>
    <w:p w14:paraId="71E02EB6">
      <w:pPr>
        <w:ind w:firstLine="560"/>
        <w:rPr>
          <w:color w:val="000000" w:themeColor="text1"/>
          <w14:textFill>
            <w14:solidFill>
              <w14:schemeClr w14:val="tx1"/>
            </w14:solidFill>
          </w14:textFill>
        </w:rPr>
      </w:pPr>
      <w:bookmarkStart w:id="2421" w:name="_Toc5975"/>
      <w:bookmarkStart w:id="2422" w:name="_Toc19654"/>
      <w:bookmarkStart w:id="2423" w:name="_Toc28477"/>
      <w:r>
        <w:rPr>
          <w:rFonts w:hint="eastAsia"/>
          <w:color w:val="000000" w:themeColor="text1"/>
          <w14:textFill>
            <w14:solidFill>
              <w14:schemeClr w14:val="tx1"/>
            </w14:solidFill>
          </w14:textFill>
        </w:rPr>
        <w:t>6、噪声危害</w:t>
      </w:r>
      <w:bookmarkEnd w:id="2421"/>
      <w:bookmarkEnd w:id="2422"/>
      <w:bookmarkEnd w:id="2423"/>
    </w:p>
    <w:p w14:paraId="406CE27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潜孔钻运转工作时会产生噪声，会对现场操作人员带来健康危害，长时期在高强度噪声环境中作业会对人的听觉系统造成损伤，甚至导致不可逆性噪声耳聋。此外，噪声对人的心血管系统、消化系统等均有一定的负面影响。</w:t>
      </w:r>
    </w:p>
    <w:p w14:paraId="2C38F43B">
      <w:pPr>
        <w:ind w:firstLine="560"/>
        <w:rPr>
          <w:color w:val="000000" w:themeColor="text1"/>
          <w14:textFill>
            <w14:solidFill>
              <w14:schemeClr w14:val="tx1"/>
            </w14:solidFill>
          </w14:textFill>
        </w:rPr>
      </w:pPr>
      <w:bookmarkStart w:id="2424" w:name="_Toc7941"/>
      <w:bookmarkStart w:id="2425" w:name="_Toc32717"/>
      <w:bookmarkStart w:id="2426" w:name="_Toc23000"/>
      <w:r>
        <w:rPr>
          <w:rFonts w:hint="eastAsia"/>
          <w:color w:val="000000" w:themeColor="text1"/>
          <w14:textFill>
            <w14:solidFill>
              <w14:schemeClr w14:val="tx1"/>
            </w14:solidFill>
          </w14:textFill>
        </w:rPr>
        <w:t>7、粉尘危害</w:t>
      </w:r>
      <w:bookmarkEnd w:id="2424"/>
      <w:bookmarkEnd w:id="2425"/>
      <w:bookmarkEnd w:id="2426"/>
    </w:p>
    <w:p w14:paraId="1FFE3EB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穿孔、爆破等过程中会产生大量的粉尘，长期吸入可能会在肺组织中呈异物反应，并继续轻微纤维化。操作过程中人员若未正确穿戴劳动防护用品，或防护用品失效，操作人员长期吸入粉尘，会使人受到粉尘危害。</w:t>
      </w:r>
    </w:p>
    <w:p w14:paraId="77B8F707">
      <w:pPr>
        <w:pStyle w:val="6"/>
        <w:spacing w:before="120" w:after="120"/>
        <w:rPr>
          <w:color w:val="000000" w:themeColor="text1"/>
          <w14:textFill>
            <w14:solidFill>
              <w14:schemeClr w14:val="tx1"/>
            </w14:solidFill>
          </w14:textFill>
        </w:rPr>
      </w:pPr>
      <w:bookmarkStart w:id="2427" w:name="_Toc30985"/>
      <w:bookmarkStart w:id="2428" w:name="_Toc215070272"/>
      <w:bookmarkStart w:id="2429" w:name="_Toc15521"/>
      <w:bookmarkStart w:id="2430" w:name="_Toc11707"/>
      <w:bookmarkStart w:id="2431" w:name="_Toc14279"/>
      <w:bookmarkStart w:id="2432" w:name="_Toc932"/>
      <w:bookmarkStart w:id="2433" w:name="_Toc3732"/>
      <w:bookmarkStart w:id="2434" w:name="_Toc28307"/>
      <w:bookmarkStart w:id="2435" w:name="_Toc18529"/>
      <w:r>
        <w:rPr>
          <w:rFonts w:hint="eastAsia"/>
          <w:color w:val="000000" w:themeColor="text1"/>
          <w14:textFill>
            <w14:solidFill>
              <w14:schemeClr w14:val="tx1"/>
            </w14:solidFill>
          </w14:textFill>
        </w:rPr>
        <w:t>3.4.2.2穿孔爆破检查表</w:t>
      </w:r>
      <w:bookmarkEnd w:id="2368"/>
      <w:bookmarkEnd w:id="2427"/>
      <w:bookmarkEnd w:id="2428"/>
      <w:bookmarkEnd w:id="2429"/>
      <w:bookmarkEnd w:id="2430"/>
      <w:bookmarkEnd w:id="2431"/>
      <w:bookmarkEnd w:id="2432"/>
      <w:bookmarkEnd w:id="2433"/>
      <w:bookmarkEnd w:id="2434"/>
      <w:bookmarkEnd w:id="2435"/>
    </w:p>
    <w:p w14:paraId="0DE9ADC0">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表3.4-4穿孔爆破安全检查表</w:t>
      </w:r>
    </w:p>
    <w:tbl>
      <w:tblPr>
        <w:tblStyle w:val="44"/>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546"/>
        <w:gridCol w:w="1698"/>
        <w:gridCol w:w="2475"/>
        <w:gridCol w:w="699"/>
      </w:tblGrid>
      <w:tr w14:paraId="1F0D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3" w:type="dxa"/>
            <w:vAlign w:val="center"/>
          </w:tcPr>
          <w:p w14:paraId="58BB48EF">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3546" w:type="dxa"/>
            <w:vAlign w:val="center"/>
          </w:tcPr>
          <w:p w14:paraId="23E9DCC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检查项目</w:t>
            </w:r>
          </w:p>
        </w:tc>
        <w:tc>
          <w:tcPr>
            <w:tcW w:w="1698" w:type="dxa"/>
            <w:vAlign w:val="center"/>
          </w:tcPr>
          <w:p w14:paraId="5DC7A3F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标准依据</w:t>
            </w:r>
          </w:p>
        </w:tc>
        <w:tc>
          <w:tcPr>
            <w:tcW w:w="2475" w:type="dxa"/>
            <w:vAlign w:val="center"/>
          </w:tcPr>
          <w:p w14:paraId="4EEA4D97">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699" w:type="dxa"/>
            <w:vAlign w:val="center"/>
          </w:tcPr>
          <w:p w14:paraId="0DAF744C">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检查结果</w:t>
            </w:r>
          </w:p>
        </w:tc>
      </w:tr>
      <w:tr w14:paraId="201B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B021CC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3546" w:type="dxa"/>
            <w:vAlign w:val="center"/>
          </w:tcPr>
          <w:p w14:paraId="7B160FB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不应采用没有捕尘装置的干式穿孔设备。</w:t>
            </w:r>
          </w:p>
        </w:tc>
        <w:tc>
          <w:tcPr>
            <w:tcW w:w="1698" w:type="dxa"/>
            <w:vAlign w:val="center"/>
          </w:tcPr>
          <w:p w14:paraId="18651BF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79EEE01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第5.1.11条</w:t>
            </w:r>
          </w:p>
        </w:tc>
        <w:tc>
          <w:tcPr>
            <w:tcW w:w="2475" w:type="dxa"/>
            <w:vAlign w:val="center"/>
          </w:tcPr>
          <w:p w14:paraId="5C18D5B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采用ZG415-1履带式潜孔钻机</w:t>
            </w:r>
          </w:p>
        </w:tc>
        <w:tc>
          <w:tcPr>
            <w:tcW w:w="699" w:type="dxa"/>
            <w:vAlign w:val="center"/>
          </w:tcPr>
          <w:p w14:paraId="3FCC6A6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011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6BAD918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3546" w:type="dxa"/>
            <w:vAlign w:val="center"/>
          </w:tcPr>
          <w:p w14:paraId="7CB5603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露天爆破作业应遵守GB6722的规定。</w:t>
            </w:r>
          </w:p>
        </w:tc>
        <w:tc>
          <w:tcPr>
            <w:tcW w:w="1698" w:type="dxa"/>
            <w:vAlign w:val="center"/>
          </w:tcPr>
          <w:p w14:paraId="55389B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77B2A4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第5.1.12条</w:t>
            </w:r>
          </w:p>
        </w:tc>
        <w:tc>
          <w:tcPr>
            <w:tcW w:w="2475" w:type="dxa"/>
            <w:vAlign w:val="center"/>
          </w:tcPr>
          <w:p w14:paraId="1B58715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矿山爆破委托当地民爆公司完成，爆破时，严格要求人员撤出爆破警戒线外，并对设备设施采取相应的防护设施。</w:t>
            </w:r>
          </w:p>
        </w:tc>
        <w:tc>
          <w:tcPr>
            <w:tcW w:w="699" w:type="dxa"/>
            <w:vAlign w:val="center"/>
          </w:tcPr>
          <w:p w14:paraId="2B0092F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543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2DF48D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3546" w:type="dxa"/>
            <w:vAlign w:val="center"/>
          </w:tcPr>
          <w:p w14:paraId="5AFA00C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距坠落基准面2m及2m以上、有人员坠落危险的作业场所应设安全网等防护设施，作业人员应佩戴安全带。有六级以上强风时，不应进行高处作业和露天起重作业。</w:t>
            </w:r>
          </w:p>
        </w:tc>
        <w:tc>
          <w:tcPr>
            <w:tcW w:w="1698" w:type="dxa"/>
            <w:vAlign w:val="center"/>
          </w:tcPr>
          <w:p w14:paraId="43FC8D4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4AC41B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第5.1.13条</w:t>
            </w:r>
          </w:p>
        </w:tc>
        <w:tc>
          <w:tcPr>
            <w:tcW w:w="2475" w:type="dxa"/>
            <w:vAlign w:val="center"/>
          </w:tcPr>
          <w:p w14:paraId="605862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要求作业人员遵守高处作业操作规程。</w:t>
            </w:r>
          </w:p>
        </w:tc>
        <w:tc>
          <w:tcPr>
            <w:tcW w:w="699" w:type="dxa"/>
            <w:vAlign w:val="center"/>
          </w:tcPr>
          <w:p w14:paraId="39CC14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B3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79389B0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3546" w:type="dxa"/>
            <w:vAlign w:val="center"/>
          </w:tcPr>
          <w:p w14:paraId="0BA037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不良天气影响正常生产时，应立即停止作业；威胁人身安全时，人员应转移到安全地点。</w:t>
            </w:r>
          </w:p>
        </w:tc>
        <w:tc>
          <w:tcPr>
            <w:tcW w:w="1698" w:type="dxa"/>
            <w:vAlign w:val="center"/>
          </w:tcPr>
          <w:p w14:paraId="1C8E7DF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2182C0F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第5.1.14条</w:t>
            </w:r>
          </w:p>
        </w:tc>
        <w:tc>
          <w:tcPr>
            <w:tcW w:w="2475" w:type="dxa"/>
            <w:vAlign w:val="center"/>
          </w:tcPr>
          <w:p w14:paraId="3031E7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要求矿山在雨季、大雾等不良天气影响正常生产时，停止作业。</w:t>
            </w:r>
          </w:p>
        </w:tc>
        <w:tc>
          <w:tcPr>
            <w:tcW w:w="699" w:type="dxa"/>
            <w:vAlign w:val="center"/>
          </w:tcPr>
          <w:p w14:paraId="05833C7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C2A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6EE9A6F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3546" w:type="dxa"/>
            <w:vAlign w:val="center"/>
          </w:tcPr>
          <w:p w14:paraId="14B783F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钻机稳车时，应与台阶坡顶线保持足够的安全距离。穿凿第一排孔时，钻机的纵轴线与台阶坡顶线的夹角不应小于45°。钻机与下部台阶接近坡底线的电铲不应同时作业。钻机长时间停机，应切断机上电源。</w:t>
            </w:r>
          </w:p>
        </w:tc>
        <w:tc>
          <w:tcPr>
            <w:tcW w:w="1698" w:type="dxa"/>
            <w:vAlign w:val="center"/>
          </w:tcPr>
          <w:p w14:paraId="5F4F392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7D51835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第5.2.2.1条</w:t>
            </w:r>
          </w:p>
        </w:tc>
        <w:tc>
          <w:tcPr>
            <w:tcW w:w="2475" w:type="dxa"/>
            <w:vAlign w:val="center"/>
          </w:tcPr>
          <w:p w14:paraId="3B293E9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遵守穿孔作业安全操作规程。</w:t>
            </w:r>
          </w:p>
        </w:tc>
        <w:tc>
          <w:tcPr>
            <w:tcW w:w="699" w:type="dxa"/>
            <w:vAlign w:val="center"/>
          </w:tcPr>
          <w:p w14:paraId="3853A69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8CE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A494C9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3546" w:type="dxa"/>
            <w:vAlign w:val="center"/>
          </w:tcPr>
          <w:p w14:paraId="390AF01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移动钻机应遵守如下规定：（1）行走前司机应先鸣笛，确认履带前后无人；（2）行进前方应有充分的照明；（3）行走时应采取防倾覆措施，前方应有人引导和监护；（4）不应在松软地面或者倾角超过15°的坡面上行走；（5）不应90°急转弯；（6）不应在斜坡上长时间停留。</w:t>
            </w:r>
          </w:p>
        </w:tc>
        <w:tc>
          <w:tcPr>
            <w:tcW w:w="1698" w:type="dxa"/>
            <w:vAlign w:val="center"/>
          </w:tcPr>
          <w:p w14:paraId="73A8F8D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345F5E8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第5.2.2.2条</w:t>
            </w:r>
          </w:p>
        </w:tc>
        <w:tc>
          <w:tcPr>
            <w:tcW w:w="2475" w:type="dxa"/>
            <w:vAlign w:val="center"/>
          </w:tcPr>
          <w:p w14:paraId="49BADFE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遵守穿孔作业安全操作规程。</w:t>
            </w:r>
          </w:p>
        </w:tc>
        <w:tc>
          <w:tcPr>
            <w:tcW w:w="699" w:type="dxa"/>
            <w:vAlign w:val="center"/>
          </w:tcPr>
          <w:p w14:paraId="212B650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4D6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4380D0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3546" w:type="dxa"/>
            <w:vAlign w:val="center"/>
          </w:tcPr>
          <w:p w14:paraId="3FCBD1B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遇到影响安全的恶劣天气时不应上钻架顶作业。</w:t>
            </w:r>
          </w:p>
        </w:tc>
        <w:tc>
          <w:tcPr>
            <w:tcW w:w="1698" w:type="dxa"/>
            <w:vAlign w:val="center"/>
          </w:tcPr>
          <w:p w14:paraId="0939F03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0EC13C6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第5.2.2.3条</w:t>
            </w:r>
          </w:p>
        </w:tc>
        <w:tc>
          <w:tcPr>
            <w:tcW w:w="2475" w:type="dxa"/>
            <w:vAlign w:val="center"/>
          </w:tcPr>
          <w:p w14:paraId="2638289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遵守穿孔作业安全操作规程。</w:t>
            </w:r>
          </w:p>
        </w:tc>
        <w:tc>
          <w:tcPr>
            <w:tcW w:w="699" w:type="dxa"/>
            <w:vAlign w:val="center"/>
          </w:tcPr>
          <w:p w14:paraId="537B1B6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027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3C58F0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c>
          <w:tcPr>
            <w:tcW w:w="3546" w:type="dxa"/>
            <w:vAlign w:val="center"/>
          </w:tcPr>
          <w:p w14:paraId="1D0DF0A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爆破设计施工、安全评估与安全监理应由具备相应资质和从业范围的爆破作业单位承担。</w:t>
            </w:r>
          </w:p>
        </w:tc>
        <w:tc>
          <w:tcPr>
            <w:tcW w:w="1698" w:type="dxa"/>
            <w:vAlign w:val="center"/>
          </w:tcPr>
          <w:p w14:paraId="3AD5944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《爆破安全规程》GB6722 -2014第5.1.2条</w:t>
            </w:r>
          </w:p>
        </w:tc>
        <w:tc>
          <w:tcPr>
            <w:tcW w:w="2475" w:type="dxa"/>
            <w:vAlign w:val="center"/>
          </w:tcPr>
          <w:p w14:paraId="2EA6335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爆破作业已经依法和有资质的民爆企业签订合作协议。</w:t>
            </w:r>
          </w:p>
        </w:tc>
        <w:tc>
          <w:tcPr>
            <w:tcW w:w="699" w:type="dxa"/>
            <w:vAlign w:val="center"/>
          </w:tcPr>
          <w:p w14:paraId="390BAE3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DFD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D493D0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9</w:t>
            </w:r>
          </w:p>
        </w:tc>
        <w:tc>
          <w:tcPr>
            <w:tcW w:w="3546" w:type="dxa"/>
            <w:vAlign w:val="center"/>
          </w:tcPr>
          <w:p w14:paraId="5DB7627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爆破设计施工、安全评估与安全监理负责人及主要人员应具备相应的资格和作业范围。</w:t>
            </w:r>
          </w:p>
        </w:tc>
        <w:tc>
          <w:tcPr>
            <w:tcW w:w="1698" w:type="dxa"/>
            <w:vAlign w:val="center"/>
          </w:tcPr>
          <w:p w14:paraId="5F49C4D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《爆破安全规程》GB6722 -2014第5.1.3条</w:t>
            </w:r>
          </w:p>
        </w:tc>
        <w:tc>
          <w:tcPr>
            <w:tcW w:w="2475" w:type="dxa"/>
            <w:vAlign w:val="center"/>
          </w:tcPr>
          <w:p w14:paraId="2C11B39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w:t>
            </w:r>
          </w:p>
        </w:tc>
        <w:tc>
          <w:tcPr>
            <w:tcW w:w="699" w:type="dxa"/>
            <w:vAlign w:val="center"/>
          </w:tcPr>
          <w:p w14:paraId="3E22896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145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8BD01F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10</w:t>
            </w:r>
          </w:p>
        </w:tc>
        <w:tc>
          <w:tcPr>
            <w:tcW w:w="3546" w:type="dxa"/>
            <w:vAlign w:val="center"/>
          </w:tcPr>
          <w:p w14:paraId="5601941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爆破前应对爆区周围的自然条件和环境状况进行调查，了解危及安全的不利环境因素，并采取必要的安全防范措施。</w:t>
            </w:r>
          </w:p>
        </w:tc>
        <w:tc>
          <w:tcPr>
            <w:tcW w:w="1698" w:type="dxa"/>
            <w:vAlign w:val="center"/>
          </w:tcPr>
          <w:p w14:paraId="159BCA2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w:t>
            </w:r>
          </w:p>
          <w:p w14:paraId="14A79ED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GB6722 -2014</w:t>
            </w:r>
          </w:p>
          <w:p w14:paraId="7D85D2C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第6.1.1条</w:t>
            </w:r>
          </w:p>
        </w:tc>
        <w:tc>
          <w:tcPr>
            <w:tcW w:w="2475" w:type="dxa"/>
            <w:vAlign w:val="center"/>
          </w:tcPr>
          <w:p w14:paraId="11F333D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可研明确在爆破作业中需要做好各种防范措施，并派遣专人在200m爆破警戒范围站岗放哨，发出明确的爆破警戒信号和解除爆破警戒信号。</w:t>
            </w:r>
          </w:p>
        </w:tc>
        <w:tc>
          <w:tcPr>
            <w:tcW w:w="699" w:type="dxa"/>
            <w:vAlign w:val="center"/>
          </w:tcPr>
          <w:p w14:paraId="3A18B78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56A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32D6104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11</w:t>
            </w:r>
          </w:p>
        </w:tc>
        <w:tc>
          <w:tcPr>
            <w:tcW w:w="3546" w:type="dxa"/>
            <w:vAlign w:val="center"/>
          </w:tcPr>
          <w:p w14:paraId="593B1B0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场所有下列情形之一时，不应进行爆破作业：（1）爆破会造成巷道涌水、堤坝漏水、河床严重阻塞、泉水变迁的；（2）岩体有冒顶或边坡滑落危险的；（3）硐室、炮孔温度异常的；（4）爆破可能危及建（构）筑物、公共设施或人员的安全而无有效防护措施的；（5）作业通道不安全或堵塞的；（6）支护规格与支护说明书的规定不符或工作面支护损坏的；（7）危险区边界未设警戒的；（8）光线不足且无照明或照明不符合规定的；（9）未按本标准的要求做好准备工作的。</w:t>
            </w:r>
          </w:p>
        </w:tc>
        <w:tc>
          <w:tcPr>
            <w:tcW w:w="1698" w:type="dxa"/>
            <w:vAlign w:val="center"/>
          </w:tcPr>
          <w:p w14:paraId="4B89C8D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w:t>
            </w:r>
          </w:p>
          <w:p w14:paraId="7FE9E6D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GB6722 -2014</w:t>
            </w:r>
          </w:p>
          <w:p w14:paraId="4B4AD6E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第6.1.2条</w:t>
            </w:r>
          </w:p>
        </w:tc>
        <w:tc>
          <w:tcPr>
            <w:tcW w:w="2475" w:type="dxa"/>
            <w:vAlign w:val="center"/>
          </w:tcPr>
          <w:p w14:paraId="1122FFF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06C2420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747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533" w:type="dxa"/>
            <w:vAlign w:val="center"/>
          </w:tcPr>
          <w:p w14:paraId="54B9E6C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12</w:t>
            </w:r>
          </w:p>
        </w:tc>
        <w:tc>
          <w:tcPr>
            <w:tcW w:w="3546" w:type="dxa"/>
            <w:vAlign w:val="center"/>
          </w:tcPr>
          <w:p w14:paraId="7AD8352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和水下爆破装药前，应与当地气象、水文部门联系，及时掌握气象、水文资料，遇以下恶劣气候和水文情况时，应停止爆破作业，所有人员应立即撤到安全地点：（1）热带风暴或台风即将来临时；（2）雷电、暴雨雪来临时；（3）大雾天或沙尘暴，能见度不超过100m时；（4）现场风力超过8级、浪高大于1.0m时或水位暴涨暴落时。</w:t>
            </w:r>
          </w:p>
        </w:tc>
        <w:tc>
          <w:tcPr>
            <w:tcW w:w="1698" w:type="dxa"/>
            <w:vAlign w:val="center"/>
          </w:tcPr>
          <w:p w14:paraId="537B8AC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w:t>
            </w:r>
          </w:p>
          <w:p w14:paraId="4587F94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GB6722 -2014</w:t>
            </w:r>
          </w:p>
          <w:p w14:paraId="0C73758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第6.1.3条</w:t>
            </w:r>
          </w:p>
        </w:tc>
        <w:tc>
          <w:tcPr>
            <w:tcW w:w="2475" w:type="dxa"/>
            <w:vAlign w:val="center"/>
          </w:tcPr>
          <w:p w14:paraId="4470C0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3499470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508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AA94C9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13</w:t>
            </w:r>
          </w:p>
        </w:tc>
        <w:tc>
          <w:tcPr>
            <w:tcW w:w="3546" w:type="dxa"/>
            <w:vAlign w:val="center"/>
          </w:tcPr>
          <w:p w14:paraId="6BEC22A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装药警戒范围由爆破技术负责人确定；装药时应在警戒区边界设置明显标识并派出岗哨。</w:t>
            </w:r>
          </w:p>
        </w:tc>
        <w:tc>
          <w:tcPr>
            <w:tcW w:w="1698" w:type="dxa"/>
            <w:vAlign w:val="center"/>
          </w:tcPr>
          <w:p w14:paraId="5CFB67A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w:t>
            </w:r>
          </w:p>
          <w:p w14:paraId="33C3F74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GB6722 -2014</w:t>
            </w:r>
          </w:p>
          <w:p w14:paraId="7FF29D4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第6.7.1.1条</w:t>
            </w:r>
          </w:p>
        </w:tc>
        <w:tc>
          <w:tcPr>
            <w:tcW w:w="2475" w:type="dxa"/>
            <w:vAlign w:val="center"/>
          </w:tcPr>
          <w:p w14:paraId="1987E2D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0D16214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FAE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32DFB6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14</w:t>
            </w:r>
          </w:p>
        </w:tc>
        <w:tc>
          <w:tcPr>
            <w:tcW w:w="3546" w:type="dxa"/>
            <w:vAlign w:val="center"/>
          </w:tcPr>
          <w:p w14:paraId="2612AA8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爆破警戒范围由设计确定；在危险区边界，应设有明显标识，并派出岗哨。</w:t>
            </w:r>
          </w:p>
        </w:tc>
        <w:tc>
          <w:tcPr>
            <w:tcW w:w="1698" w:type="dxa"/>
            <w:vAlign w:val="center"/>
          </w:tcPr>
          <w:p w14:paraId="352516D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w:t>
            </w:r>
          </w:p>
          <w:p w14:paraId="6AEB3F5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GB6722 -2014第6.7.1.2条</w:t>
            </w:r>
          </w:p>
        </w:tc>
        <w:tc>
          <w:tcPr>
            <w:tcW w:w="2475" w:type="dxa"/>
            <w:vAlign w:val="center"/>
          </w:tcPr>
          <w:p w14:paraId="5DE95CF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5C9F8B4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79F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14A783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15</w:t>
            </w:r>
          </w:p>
        </w:tc>
        <w:tc>
          <w:tcPr>
            <w:tcW w:w="3546" w:type="dxa"/>
            <w:vAlign w:val="center"/>
          </w:tcPr>
          <w:p w14:paraId="20F2F88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执行警戒任务的人员，应按指令到达指定地点并坚守工作岗位。</w:t>
            </w:r>
          </w:p>
        </w:tc>
        <w:tc>
          <w:tcPr>
            <w:tcW w:w="1698" w:type="dxa"/>
            <w:vAlign w:val="center"/>
          </w:tcPr>
          <w:p w14:paraId="24341F8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7EA9E83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第6.7.1.3条</w:t>
            </w:r>
          </w:p>
        </w:tc>
        <w:tc>
          <w:tcPr>
            <w:tcW w:w="2475" w:type="dxa"/>
            <w:vAlign w:val="center"/>
          </w:tcPr>
          <w:p w14:paraId="573DDB8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7B1BE15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AAB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4FAF41D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w:t>
            </w:r>
          </w:p>
        </w:tc>
        <w:tc>
          <w:tcPr>
            <w:tcW w:w="3546" w:type="dxa"/>
            <w:vAlign w:val="center"/>
          </w:tcPr>
          <w:p w14:paraId="117CA51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起爆信号：起爆信号应在确认人员全部撤离爆破警戒区，所有警戒人员到位，具备安全起爆条件时发出。起爆信号发出后现场指挥应再次确认达到安全起爆条件，然后下令起爆。</w:t>
            </w:r>
          </w:p>
        </w:tc>
        <w:tc>
          <w:tcPr>
            <w:tcW w:w="1698" w:type="dxa"/>
            <w:vAlign w:val="center"/>
          </w:tcPr>
          <w:p w14:paraId="75D6966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4455FEC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第6.7.2.2条</w:t>
            </w:r>
          </w:p>
        </w:tc>
        <w:tc>
          <w:tcPr>
            <w:tcW w:w="2475" w:type="dxa"/>
            <w:vAlign w:val="center"/>
          </w:tcPr>
          <w:p w14:paraId="321D26F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236D7EF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19D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6AACEA1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17</w:t>
            </w:r>
          </w:p>
        </w:tc>
        <w:tc>
          <w:tcPr>
            <w:tcW w:w="3546" w:type="dxa"/>
            <w:vAlign w:val="center"/>
          </w:tcPr>
          <w:p w14:paraId="069C717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解除信号：安全等待时间过后，检查人员进入爆破警戒范围内检查、确认安全后，报请现场指挥同意，方可发出解除警戒信号。在此之前，岗哨不得撤离，不允许非检查人员进入爆破警戒范围。</w:t>
            </w:r>
          </w:p>
        </w:tc>
        <w:tc>
          <w:tcPr>
            <w:tcW w:w="1698" w:type="dxa"/>
            <w:vAlign w:val="center"/>
          </w:tcPr>
          <w:p w14:paraId="3AB962D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75114A3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第6.7.2.3条</w:t>
            </w:r>
          </w:p>
        </w:tc>
        <w:tc>
          <w:tcPr>
            <w:tcW w:w="2475" w:type="dxa"/>
            <w:vAlign w:val="center"/>
          </w:tcPr>
          <w:p w14:paraId="3359DD3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1988D69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FF5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073D7E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18</w:t>
            </w:r>
          </w:p>
        </w:tc>
        <w:tc>
          <w:tcPr>
            <w:tcW w:w="3546" w:type="dxa"/>
            <w:vAlign w:val="center"/>
          </w:tcPr>
          <w:p w14:paraId="472DAE7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各类信号均应使爆破警戒区域及附近人员能清楚地听到或看到。</w:t>
            </w:r>
          </w:p>
        </w:tc>
        <w:tc>
          <w:tcPr>
            <w:tcW w:w="1698" w:type="dxa"/>
            <w:vAlign w:val="center"/>
          </w:tcPr>
          <w:p w14:paraId="3E8A583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5C66A85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第6.7.2.4条</w:t>
            </w:r>
          </w:p>
        </w:tc>
        <w:tc>
          <w:tcPr>
            <w:tcW w:w="2475" w:type="dxa"/>
            <w:vAlign w:val="center"/>
          </w:tcPr>
          <w:p w14:paraId="69550F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7F42C7B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CB2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96BE6A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19</w:t>
            </w:r>
          </w:p>
        </w:tc>
        <w:tc>
          <w:tcPr>
            <w:tcW w:w="3546" w:type="dxa"/>
            <w:vAlign w:val="center"/>
          </w:tcPr>
          <w:p w14:paraId="1B7BC47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露天浅孔、深孔、特种爆破，爆后应超过5min方准许检查人员进入爆破作业地点；如不能确认有无盲炮，应经16min后才能进入爆区检查。</w:t>
            </w:r>
          </w:p>
        </w:tc>
        <w:tc>
          <w:tcPr>
            <w:tcW w:w="1698" w:type="dxa"/>
            <w:vAlign w:val="center"/>
          </w:tcPr>
          <w:p w14:paraId="762E085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5F02C10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第6.8.1.1条</w:t>
            </w:r>
          </w:p>
        </w:tc>
        <w:tc>
          <w:tcPr>
            <w:tcW w:w="2475" w:type="dxa"/>
            <w:vAlign w:val="center"/>
          </w:tcPr>
          <w:p w14:paraId="07B4181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230BF49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AFB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F62547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20</w:t>
            </w:r>
          </w:p>
        </w:tc>
        <w:tc>
          <w:tcPr>
            <w:tcW w:w="3546" w:type="dxa"/>
            <w:vAlign w:val="center"/>
          </w:tcPr>
          <w:p w14:paraId="4A4FB18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露天爆破经检查确认爆破点安全后，经当班爆破班长同意，方准许作业人员进入爆区。</w:t>
            </w:r>
          </w:p>
        </w:tc>
        <w:tc>
          <w:tcPr>
            <w:tcW w:w="1698" w:type="dxa"/>
            <w:vAlign w:val="center"/>
          </w:tcPr>
          <w:p w14:paraId="6E5B30E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3B70277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第6.8.1.2条</w:t>
            </w:r>
          </w:p>
        </w:tc>
        <w:tc>
          <w:tcPr>
            <w:tcW w:w="2475" w:type="dxa"/>
            <w:vAlign w:val="center"/>
          </w:tcPr>
          <w:p w14:paraId="58A6214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7858352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564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3B86FA0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21</w:t>
            </w:r>
          </w:p>
        </w:tc>
        <w:tc>
          <w:tcPr>
            <w:tcW w:w="3546" w:type="dxa"/>
            <w:vAlign w:val="center"/>
          </w:tcPr>
          <w:p w14:paraId="4431D96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爆破后应检查的内容有：（1）确认有无盲炮；（2）露天爆破爆堆是否稳定，有无危坡、危石、危墙、危房及未炸倒建（构）筑物；（3）在爆破警戒区内公用设施及重点保护建（构）筑物安全情况。</w:t>
            </w:r>
          </w:p>
        </w:tc>
        <w:tc>
          <w:tcPr>
            <w:tcW w:w="1698" w:type="dxa"/>
            <w:vAlign w:val="center"/>
          </w:tcPr>
          <w:p w14:paraId="476DDA2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《爆破安全规程》（GB6722 -2014第6.8.2.1条）</w:t>
            </w:r>
          </w:p>
        </w:tc>
        <w:tc>
          <w:tcPr>
            <w:tcW w:w="2475" w:type="dxa"/>
            <w:vAlign w:val="center"/>
          </w:tcPr>
          <w:p w14:paraId="5C56B13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04D90A1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DBB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4F8AD62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22</w:t>
            </w:r>
          </w:p>
        </w:tc>
        <w:tc>
          <w:tcPr>
            <w:tcW w:w="3546" w:type="dxa"/>
            <w:vAlign w:val="center"/>
          </w:tcPr>
          <w:p w14:paraId="1C46DE2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检查人员发现盲炮或怀疑盲炮，应向爆破负责人报告后组织进一步检查和处理；发现其他不安全因素应及时排查处理；在上述情况下，不得发出解除警戒信号，经现场指挥同意，可缩小警戒范围。</w:t>
            </w:r>
          </w:p>
        </w:tc>
        <w:tc>
          <w:tcPr>
            <w:tcW w:w="1698" w:type="dxa"/>
            <w:vAlign w:val="center"/>
          </w:tcPr>
          <w:p w14:paraId="65C5504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《爆破安全规程》（GB6722 -2014第6.8.4.1条）</w:t>
            </w:r>
          </w:p>
        </w:tc>
        <w:tc>
          <w:tcPr>
            <w:tcW w:w="2475" w:type="dxa"/>
            <w:vAlign w:val="center"/>
          </w:tcPr>
          <w:p w14:paraId="5DA603B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44E985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9E2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23634F5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23</w:t>
            </w:r>
          </w:p>
        </w:tc>
        <w:tc>
          <w:tcPr>
            <w:tcW w:w="3546" w:type="dxa"/>
            <w:vAlign w:val="center"/>
          </w:tcPr>
          <w:p w14:paraId="33E6FB7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发现残余爆破器材应收集上缴，集中销毁。</w:t>
            </w:r>
          </w:p>
        </w:tc>
        <w:tc>
          <w:tcPr>
            <w:tcW w:w="1698" w:type="dxa"/>
            <w:vAlign w:val="center"/>
          </w:tcPr>
          <w:p w14:paraId="3F4AF08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《爆破安全规程》（GB6722 -2014第6.8.4.1条）</w:t>
            </w:r>
          </w:p>
        </w:tc>
        <w:tc>
          <w:tcPr>
            <w:tcW w:w="2475" w:type="dxa"/>
            <w:vAlign w:val="center"/>
          </w:tcPr>
          <w:p w14:paraId="38FA707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遵守爆破器材管理规定。</w:t>
            </w:r>
          </w:p>
        </w:tc>
        <w:tc>
          <w:tcPr>
            <w:tcW w:w="699" w:type="dxa"/>
            <w:vAlign w:val="center"/>
          </w:tcPr>
          <w:p w14:paraId="7ABA588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B35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6A57A1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24</w:t>
            </w:r>
          </w:p>
        </w:tc>
        <w:tc>
          <w:tcPr>
            <w:tcW w:w="3546" w:type="dxa"/>
            <w:vAlign w:val="center"/>
          </w:tcPr>
          <w:p w14:paraId="2549F9D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发现爆破作业对周边建（构）筑物、公用设施造成安全威胁时，应及时组织抢险、治理，排除安全隐患。</w:t>
            </w:r>
          </w:p>
        </w:tc>
        <w:tc>
          <w:tcPr>
            <w:tcW w:w="1698" w:type="dxa"/>
            <w:vAlign w:val="center"/>
          </w:tcPr>
          <w:p w14:paraId="220237A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4A1E8C6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第6.8.4.3条</w:t>
            </w:r>
          </w:p>
        </w:tc>
        <w:tc>
          <w:tcPr>
            <w:tcW w:w="2475" w:type="dxa"/>
            <w:vAlign w:val="center"/>
          </w:tcPr>
          <w:p w14:paraId="10FD8A9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对周边环境影响较小。</w:t>
            </w:r>
          </w:p>
        </w:tc>
        <w:tc>
          <w:tcPr>
            <w:tcW w:w="699" w:type="dxa"/>
            <w:vAlign w:val="center"/>
          </w:tcPr>
          <w:p w14:paraId="69B977C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5447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28A8180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25</w:t>
            </w:r>
          </w:p>
        </w:tc>
        <w:tc>
          <w:tcPr>
            <w:tcW w:w="3546" w:type="dxa"/>
            <w:vAlign w:val="center"/>
          </w:tcPr>
          <w:p w14:paraId="53AEB27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处理盲炮前应由爆破技术负责人定出警戒范围，并在该区域边界设置警戒，处理盲炮时无关人员不允许进入警戒区。</w:t>
            </w:r>
          </w:p>
        </w:tc>
        <w:tc>
          <w:tcPr>
            <w:tcW w:w="1698" w:type="dxa"/>
            <w:vAlign w:val="center"/>
          </w:tcPr>
          <w:p w14:paraId="700144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7BB21C8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第6.9.1.1条</w:t>
            </w:r>
          </w:p>
        </w:tc>
        <w:tc>
          <w:tcPr>
            <w:tcW w:w="2475" w:type="dxa"/>
            <w:vAlign w:val="center"/>
          </w:tcPr>
          <w:p w14:paraId="7AFCD9E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5141618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D3C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64C8E32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26</w:t>
            </w:r>
          </w:p>
        </w:tc>
        <w:tc>
          <w:tcPr>
            <w:tcW w:w="3546" w:type="dxa"/>
            <w:vAlign w:val="center"/>
          </w:tcPr>
          <w:p w14:paraId="09C002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应派有经验的爆破员处理盲炮，硐室爆破的盲炮处理应由爆破工程技术人员提出方案并经单位技术负责人批准。</w:t>
            </w:r>
          </w:p>
        </w:tc>
        <w:tc>
          <w:tcPr>
            <w:tcW w:w="1698" w:type="dxa"/>
            <w:vAlign w:val="center"/>
          </w:tcPr>
          <w:p w14:paraId="26250C5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7657C4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第6.9.1.2条</w:t>
            </w:r>
          </w:p>
        </w:tc>
        <w:tc>
          <w:tcPr>
            <w:tcW w:w="2475" w:type="dxa"/>
            <w:vAlign w:val="center"/>
          </w:tcPr>
          <w:p w14:paraId="201524A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662C516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728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DEA695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27</w:t>
            </w:r>
          </w:p>
        </w:tc>
        <w:tc>
          <w:tcPr>
            <w:tcW w:w="3546" w:type="dxa"/>
            <w:vAlign w:val="center"/>
          </w:tcPr>
          <w:p w14:paraId="44D90D9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导爆索和导爆管起爆网络发生盲爆时，应首先检查导爆索和导爆管是否有破损或断裂，发现有破损或断裂的可修复后重新起爆。</w:t>
            </w:r>
          </w:p>
        </w:tc>
        <w:tc>
          <w:tcPr>
            <w:tcW w:w="1698" w:type="dxa"/>
            <w:vAlign w:val="center"/>
          </w:tcPr>
          <w:p w14:paraId="55EA6C6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1D4CDD5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第6.9.1.4条</w:t>
            </w:r>
          </w:p>
        </w:tc>
        <w:tc>
          <w:tcPr>
            <w:tcW w:w="2475" w:type="dxa"/>
            <w:vAlign w:val="center"/>
          </w:tcPr>
          <w:p w14:paraId="28D4487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72ECF2B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9FF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307E55B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28</w:t>
            </w:r>
          </w:p>
        </w:tc>
        <w:tc>
          <w:tcPr>
            <w:tcW w:w="3546" w:type="dxa"/>
            <w:vAlign w:val="center"/>
          </w:tcPr>
          <w:p w14:paraId="79ABF9A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严禁强行拉出炮孔中的起爆药包和雷管。</w:t>
            </w:r>
          </w:p>
        </w:tc>
        <w:tc>
          <w:tcPr>
            <w:tcW w:w="1698" w:type="dxa"/>
            <w:vAlign w:val="center"/>
          </w:tcPr>
          <w:p w14:paraId="5594FB7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4F7F096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第6.9.1.5条</w:t>
            </w:r>
          </w:p>
        </w:tc>
        <w:tc>
          <w:tcPr>
            <w:tcW w:w="2475" w:type="dxa"/>
            <w:vAlign w:val="center"/>
          </w:tcPr>
          <w:p w14:paraId="5799593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31014D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D53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7A3E482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29</w:t>
            </w:r>
          </w:p>
        </w:tc>
        <w:tc>
          <w:tcPr>
            <w:tcW w:w="3546" w:type="dxa"/>
            <w:vAlign w:val="center"/>
          </w:tcPr>
          <w:p w14:paraId="42640B3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盲炮处理后，应再次仔细检查爆堆，将残余的爆破器材收集起来统一销毁；在不能确认爆堆无残留的爆破器材之前，应采取预防措施并派专人监督爆堆挖运作业。</w:t>
            </w:r>
          </w:p>
        </w:tc>
        <w:tc>
          <w:tcPr>
            <w:tcW w:w="1698" w:type="dxa"/>
            <w:vAlign w:val="center"/>
          </w:tcPr>
          <w:p w14:paraId="130E21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202DEF1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第6.9.1.6条</w:t>
            </w:r>
          </w:p>
        </w:tc>
        <w:tc>
          <w:tcPr>
            <w:tcW w:w="2475" w:type="dxa"/>
            <w:vAlign w:val="center"/>
          </w:tcPr>
          <w:p w14:paraId="1D3B17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7F01A63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5A1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0CB279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30</w:t>
            </w:r>
          </w:p>
        </w:tc>
        <w:tc>
          <w:tcPr>
            <w:tcW w:w="3546" w:type="dxa"/>
            <w:vAlign w:val="center"/>
          </w:tcPr>
          <w:p w14:paraId="5CBBC95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露天爆破时，起爆前应将机械设备撤至安全地点或采用就地保护措施。</w:t>
            </w:r>
          </w:p>
        </w:tc>
        <w:tc>
          <w:tcPr>
            <w:tcW w:w="1698" w:type="dxa"/>
            <w:vAlign w:val="center"/>
          </w:tcPr>
          <w:p w14:paraId="2B26F80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w:t>
            </w:r>
          </w:p>
          <w:p w14:paraId="1104EE1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GB6722-2014</w:t>
            </w:r>
          </w:p>
          <w:p w14:paraId="052EDD3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第7.1.3条</w:t>
            </w:r>
          </w:p>
        </w:tc>
        <w:tc>
          <w:tcPr>
            <w:tcW w:w="2475" w:type="dxa"/>
            <w:vAlign w:val="center"/>
          </w:tcPr>
          <w:p w14:paraId="71EA7B2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4B8342A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6A4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3B86B7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31</w:t>
            </w:r>
          </w:p>
        </w:tc>
        <w:tc>
          <w:tcPr>
            <w:tcW w:w="3546" w:type="dxa"/>
            <w:vAlign w:val="center"/>
          </w:tcPr>
          <w:p w14:paraId="24FFA2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雷雨天气、多雷地区和附近有通讯基站等射频源时，进行露天爆破不应采用普通电雷管起爆网络。</w:t>
            </w:r>
          </w:p>
        </w:tc>
        <w:tc>
          <w:tcPr>
            <w:tcW w:w="1698" w:type="dxa"/>
            <w:vAlign w:val="center"/>
          </w:tcPr>
          <w:p w14:paraId="7E02374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361011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第7.1.4条</w:t>
            </w:r>
          </w:p>
        </w:tc>
        <w:tc>
          <w:tcPr>
            <w:tcW w:w="2475" w:type="dxa"/>
            <w:vAlign w:val="center"/>
          </w:tcPr>
          <w:p w14:paraId="217BA8C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20068EE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B6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66BF81E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32</w:t>
            </w:r>
          </w:p>
        </w:tc>
        <w:tc>
          <w:tcPr>
            <w:tcW w:w="3546" w:type="dxa"/>
            <w:vAlign w:val="center"/>
          </w:tcPr>
          <w:p w14:paraId="5BE79B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松软岩土或砂矿床爆破后，应在爆区设置明显标识，发现空穴、陷坑时应进行安全检查，确认无危险后，方准许恢复作业。</w:t>
            </w:r>
          </w:p>
        </w:tc>
        <w:tc>
          <w:tcPr>
            <w:tcW w:w="1698" w:type="dxa"/>
            <w:vAlign w:val="center"/>
          </w:tcPr>
          <w:p w14:paraId="5F44EE1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726DCBF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第7.1.5条</w:t>
            </w:r>
          </w:p>
        </w:tc>
        <w:tc>
          <w:tcPr>
            <w:tcW w:w="2475" w:type="dxa"/>
            <w:vAlign w:val="center"/>
          </w:tcPr>
          <w:p w14:paraId="793732C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55A4BB6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80D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179960D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33</w:t>
            </w:r>
          </w:p>
        </w:tc>
        <w:tc>
          <w:tcPr>
            <w:tcW w:w="3546" w:type="dxa"/>
            <w:vAlign w:val="center"/>
          </w:tcPr>
          <w:p w14:paraId="722610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露天岩土爆破严禁采用裸露药包</w:t>
            </w:r>
          </w:p>
        </w:tc>
        <w:tc>
          <w:tcPr>
            <w:tcW w:w="1698" w:type="dxa"/>
            <w:vAlign w:val="center"/>
          </w:tcPr>
          <w:p w14:paraId="395873C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115EBF9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第7.1.9条</w:t>
            </w:r>
          </w:p>
        </w:tc>
        <w:tc>
          <w:tcPr>
            <w:tcW w:w="2475" w:type="dxa"/>
            <w:vAlign w:val="center"/>
          </w:tcPr>
          <w:p w14:paraId="7AE7AD1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24E8F50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7C6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CDFF7B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34</w:t>
            </w:r>
          </w:p>
        </w:tc>
        <w:tc>
          <w:tcPr>
            <w:tcW w:w="3546" w:type="dxa"/>
            <w:vAlign w:val="center"/>
          </w:tcPr>
          <w:p w14:paraId="172E81F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验孔时，应将孔口周围0.5m范围内的碎石、杂物清除干净，孔口岩壁不稳者，应进行维护。</w:t>
            </w:r>
          </w:p>
        </w:tc>
        <w:tc>
          <w:tcPr>
            <w:tcW w:w="1698" w:type="dxa"/>
            <w:vAlign w:val="center"/>
          </w:tcPr>
          <w:p w14:paraId="6E3BD45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084CF22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第7.2.1条</w:t>
            </w:r>
          </w:p>
        </w:tc>
        <w:tc>
          <w:tcPr>
            <w:tcW w:w="2475" w:type="dxa"/>
            <w:vAlign w:val="center"/>
          </w:tcPr>
          <w:p w14:paraId="0AF1B99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7669113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938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59712F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35</w:t>
            </w:r>
          </w:p>
        </w:tc>
        <w:tc>
          <w:tcPr>
            <w:tcW w:w="3546" w:type="dxa"/>
            <w:vAlign w:val="center"/>
          </w:tcPr>
          <w:p w14:paraId="1FBEFD1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深孔验收标准：孔深允许误差±0.2m，间排距允许误差±0.2m，偏斜度允许误差2%；发现不合格钻孔应及时处理，未达验收标准不得装药。</w:t>
            </w:r>
          </w:p>
        </w:tc>
        <w:tc>
          <w:tcPr>
            <w:tcW w:w="1698" w:type="dxa"/>
            <w:vAlign w:val="center"/>
          </w:tcPr>
          <w:p w14:paraId="7D00757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15A7E1E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第7.2.2条</w:t>
            </w:r>
          </w:p>
        </w:tc>
        <w:tc>
          <w:tcPr>
            <w:tcW w:w="2475" w:type="dxa"/>
            <w:vAlign w:val="center"/>
          </w:tcPr>
          <w:p w14:paraId="6491215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2EB8238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87F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3E562A0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36</w:t>
            </w:r>
          </w:p>
        </w:tc>
        <w:tc>
          <w:tcPr>
            <w:tcW w:w="3546" w:type="dxa"/>
            <w:vAlign w:val="center"/>
          </w:tcPr>
          <w:p w14:paraId="0A96DE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工程技术人员在装药前应对第一排各钻孔的最小抵抗线进行测定，对形成反坡或有大裂隙的部位应考虑调整药量或间隔填塞。底盘抵抗线过大的部位，应进行处理，使其符合爆破要求。孔口抵抗线过小者，应适当加大填塞长度。</w:t>
            </w:r>
          </w:p>
        </w:tc>
        <w:tc>
          <w:tcPr>
            <w:tcW w:w="1698" w:type="dxa"/>
            <w:vAlign w:val="center"/>
          </w:tcPr>
          <w:p w14:paraId="58E8888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6BCA976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第7.2.3条</w:t>
            </w:r>
          </w:p>
        </w:tc>
        <w:tc>
          <w:tcPr>
            <w:tcW w:w="2475" w:type="dxa"/>
            <w:vAlign w:val="center"/>
          </w:tcPr>
          <w:p w14:paraId="561F4DF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爆破作业依法和有资质的民爆企业签订合作协议。爆破作业时遵守爆破作业操作规程和设计参数要求。</w:t>
            </w:r>
          </w:p>
        </w:tc>
        <w:tc>
          <w:tcPr>
            <w:tcW w:w="699" w:type="dxa"/>
            <w:vAlign w:val="center"/>
          </w:tcPr>
          <w:p w14:paraId="09FFE1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908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08D01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37</w:t>
            </w:r>
          </w:p>
        </w:tc>
        <w:tc>
          <w:tcPr>
            <w:tcW w:w="3546" w:type="dxa"/>
            <w:vAlign w:val="center"/>
          </w:tcPr>
          <w:p w14:paraId="3C8C0F1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爆破员应按爆破技术设计的规定进行操作，不得自行增减药量或改变填塞长度；如确需调整，应征得现场爆破工程技术人员同意并做好变更记录。</w:t>
            </w:r>
          </w:p>
        </w:tc>
        <w:tc>
          <w:tcPr>
            <w:tcW w:w="1698" w:type="dxa"/>
            <w:vAlign w:val="center"/>
          </w:tcPr>
          <w:p w14:paraId="642C90F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1CC3543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第7.2.4条</w:t>
            </w:r>
          </w:p>
        </w:tc>
        <w:tc>
          <w:tcPr>
            <w:tcW w:w="2475" w:type="dxa"/>
            <w:vAlign w:val="center"/>
          </w:tcPr>
          <w:p w14:paraId="0C818F3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615F889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EE4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34DD2FC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38</w:t>
            </w:r>
          </w:p>
        </w:tc>
        <w:tc>
          <w:tcPr>
            <w:tcW w:w="3546" w:type="dxa"/>
            <w:vAlign w:val="center"/>
          </w:tcPr>
          <w:p w14:paraId="247F014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台阶爆破初期应采取自上而下分层爆破形成台阶，如需进行双层或多层同时爆破，应有可靠的安全措施。</w:t>
            </w:r>
          </w:p>
        </w:tc>
        <w:tc>
          <w:tcPr>
            <w:tcW w:w="1698" w:type="dxa"/>
            <w:vAlign w:val="center"/>
          </w:tcPr>
          <w:p w14:paraId="37617AD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31B1F60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第7.2.5条</w:t>
            </w:r>
          </w:p>
        </w:tc>
        <w:tc>
          <w:tcPr>
            <w:tcW w:w="2475" w:type="dxa"/>
            <w:vAlign w:val="center"/>
          </w:tcPr>
          <w:p w14:paraId="13382A4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已进行说明。</w:t>
            </w:r>
          </w:p>
        </w:tc>
        <w:tc>
          <w:tcPr>
            <w:tcW w:w="699" w:type="dxa"/>
            <w:vAlign w:val="center"/>
          </w:tcPr>
          <w:p w14:paraId="6CBBE24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2F1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24BC1B0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39</w:t>
            </w:r>
          </w:p>
        </w:tc>
        <w:tc>
          <w:tcPr>
            <w:tcW w:w="3546" w:type="dxa"/>
            <w:vAlign w:val="center"/>
          </w:tcPr>
          <w:p w14:paraId="5F65AC3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装药过程中发现炮孔可容纳药量与设计装药量不符时，应及时报告，由爆破工程技术人员检查校核处理。</w:t>
            </w:r>
          </w:p>
        </w:tc>
        <w:tc>
          <w:tcPr>
            <w:tcW w:w="1698" w:type="dxa"/>
            <w:vAlign w:val="center"/>
          </w:tcPr>
          <w:p w14:paraId="5A8D920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《爆破安全规程》（GB6722-2014）第7.2.6条</w:t>
            </w:r>
          </w:p>
        </w:tc>
        <w:tc>
          <w:tcPr>
            <w:tcW w:w="2475" w:type="dxa"/>
            <w:vAlign w:val="center"/>
          </w:tcPr>
          <w:p w14:paraId="0428DA2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2E461DC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2DA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998F62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40</w:t>
            </w:r>
          </w:p>
        </w:tc>
        <w:tc>
          <w:tcPr>
            <w:tcW w:w="3546" w:type="dxa"/>
            <w:vAlign w:val="center"/>
          </w:tcPr>
          <w:p w14:paraId="4C27CBF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装药过程中出现阻塞、卡孔等现象时，应停止装药并及时疏通。如已装入雷管或起爆药包，不得强行疏通，应保护好雷管或起爆药包，报告爆破工程技术人员采取补救措施。</w:t>
            </w:r>
          </w:p>
        </w:tc>
        <w:tc>
          <w:tcPr>
            <w:tcW w:w="1698" w:type="dxa"/>
            <w:vAlign w:val="center"/>
          </w:tcPr>
          <w:p w14:paraId="2DC8E3D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0ED903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第7.2.7条</w:t>
            </w:r>
          </w:p>
        </w:tc>
        <w:tc>
          <w:tcPr>
            <w:tcW w:w="2475" w:type="dxa"/>
            <w:vAlign w:val="center"/>
          </w:tcPr>
          <w:p w14:paraId="3670A38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爆破作业依法和有资质的民爆企业签订合作协议。爆破作业时遵守爆破作业操作规程</w:t>
            </w:r>
          </w:p>
        </w:tc>
        <w:tc>
          <w:tcPr>
            <w:tcW w:w="699" w:type="dxa"/>
            <w:vAlign w:val="center"/>
          </w:tcPr>
          <w:p w14:paraId="1A3E4B4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BE9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042EAC3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41</w:t>
            </w:r>
          </w:p>
        </w:tc>
        <w:tc>
          <w:tcPr>
            <w:tcW w:w="3546" w:type="dxa"/>
            <w:vAlign w:val="center"/>
          </w:tcPr>
          <w:p w14:paraId="0D90C56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装药结束后，应进行检查验收，验收合格后再进行填塞和联网作业。</w:t>
            </w:r>
          </w:p>
        </w:tc>
        <w:tc>
          <w:tcPr>
            <w:tcW w:w="1698" w:type="dxa"/>
            <w:vAlign w:val="center"/>
          </w:tcPr>
          <w:p w14:paraId="05F1754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《爆破安全规程》GB6722-2014</w:t>
            </w:r>
          </w:p>
          <w:p w14:paraId="1B2C15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第7.2.8条</w:t>
            </w:r>
          </w:p>
        </w:tc>
        <w:tc>
          <w:tcPr>
            <w:tcW w:w="2475" w:type="dxa"/>
            <w:vAlign w:val="center"/>
          </w:tcPr>
          <w:p w14:paraId="0554101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因爆破作业依法外包，可研未明确要求。</w:t>
            </w:r>
          </w:p>
        </w:tc>
        <w:tc>
          <w:tcPr>
            <w:tcW w:w="699" w:type="dxa"/>
            <w:vAlign w:val="center"/>
          </w:tcPr>
          <w:p w14:paraId="04F9BD9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5AEF2E39">
      <w:pPr>
        <w:pStyle w:val="6"/>
        <w:spacing w:before="120" w:after="120"/>
        <w:rPr>
          <w:color w:val="000000" w:themeColor="text1"/>
          <w14:textFill>
            <w14:solidFill>
              <w14:schemeClr w14:val="tx1"/>
            </w14:solidFill>
          </w14:textFill>
        </w:rPr>
      </w:pPr>
      <w:bookmarkStart w:id="2436" w:name="_Toc9377"/>
      <w:bookmarkStart w:id="2437" w:name="_Toc32627"/>
      <w:bookmarkStart w:id="2438" w:name="_Toc8593"/>
      <w:bookmarkStart w:id="2439" w:name="_Toc15473"/>
      <w:bookmarkStart w:id="2440" w:name="_Toc12950"/>
      <w:bookmarkStart w:id="2441" w:name="_Toc11751"/>
      <w:bookmarkStart w:id="2442" w:name="_Toc373"/>
      <w:bookmarkStart w:id="2443" w:name="_Toc215070273"/>
      <w:bookmarkStart w:id="2444" w:name="_Toc3814"/>
      <w:bookmarkStart w:id="2445" w:name="_Toc7480"/>
      <w:r>
        <w:rPr>
          <w:rFonts w:hint="eastAsia"/>
          <w:color w:val="000000" w:themeColor="text1"/>
          <w14:textFill>
            <w14:solidFill>
              <w14:schemeClr w14:val="tx1"/>
            </w14:solidFill>
          </w14:textFill>
        </w:rPr>
        <w:t>3.4.2.</w:t>
      </w:r>
      <w:bookmarkEnd w:id="2436"/>
      <w:r>
        <w:rPr>
          <w:rFonts w:hint="eastAsia"/>
          <w:color w:val="000000" w:themeColor="text1"/>
          <w14:textFill>
            <w14:solidFill>
              <w14:schemeClr w14:val="tx1"/>
            </w14:solidFill>
          </w14:textFill>
        </w:rPr>
        <w:t>3单元小结</w:t>
      </w:r>
      <w:bookmarkEnd w:id="2437"/>
      <w:bookmarkEnd w:id="2438"/>
      <w:bookmarkEnd w:id="2439"/>
      <w:bookmarkEnd w:id="2440"/>
      <w:bookmarkEnd w:id="2441"/>
      <w:bookmarkEnd w:id="2442"/>
      <w:bookmarkEnd w:id="2443"/>
      <w:bookmarkEnd w:id="2444"/>
      <w:bookmarkEnd w:id="2445"/>
    </w:p>
    <w:p w14:paraId="24CD28A2">
      <w:pPr>
        <w:ind w:firstLine="560"/>
        <w:rPr>
          <w:color w:val="000000" w:themeColor="text1"/>
          <w14:textFill>
            <w14:solidFill>
              <w14:schemeClr w14:val="tx1"/>
            </w14:solidFill>
          </w14:textFill>
        </w:rPr>
      </w:pPr>
      <w:r>
        <w:rPr>
          <w:rFonts w:hint="eastAsia"/>
          <w:color w:val="000000" w:themeColor="text1"/>
          <w:lang w:val="zh-TW"/>
          <w14:textFill>
            <w14:solidFill>
              <w14:schemeClr w14:val="tx1"/>
            </w14:solidFill>
          </w14:textFill>
        </w:rPr>
        <w:t>矿山</w:t>
      </w:r>
      <w:r>
        <w:rPr>
          <w:rFonts w:hint="eastAsia"/>
          <w:color w:val="000000" w:themeColor="text1"/>
          <w14:textFill>
            <w14:solidFill>
              <w14:schemeClr w14:val="tx1"/>
            </w14:solidFill>
          </w14:textFill>
        </w:rPr>
        <w:t>利旧设备，采用</w:t>
      </w:r>
      <w:r>
        <w:rPr>
          <w:rFonts w:hint="eastAsia"/>
          <w:color w:val="000000" w:themeColor="text1"/>
          <w:szCs w:val="28"/>
          <w14:textFill>
            <w14:solidFill>
              <w14:schemeClr w14:val="tx1"/>
            </w14:solidFill>
          </w14:textFill>
        </w:rPr>
        <w:t>ZG</w:t>
      </w:r>
      <w:r>
        <w:rPr>
          <w:color w:val="000000" w:themeColor="text1"/>
          <w:szCs w:val="28"/>
          <w14:textFill>
            <w14:solidFill>
              <w14:schemeClr w14:val="tx1"/>
            </w14:solidFill>
          </w14:textFill>
        </w:rPr>
        <w:t>415-1履带式潜孔钻机</w:t>
      </w:r>
      <w:r>
        <w:rPr>
          <w:rFonts w:hint="eastAsia"/>
          <w:color w:val="000000" w:themeColor="text1"/>
          <w14:textFill>
            <w14:solidFill>
              <w14:schemeClr w14:val="tx1"/>
            </w14:solidFill>
          </w14:textFill>
        </w:rPr>
        <w:t>进行穿孔，</w:t>
      </w:r>
      <w:r>
        <w:rPr>
          <w:rFonts w:hint="eastAsia"/>
          <w:color w:val="000000" w:themeColor="text1"/>
          <w:lang w:val="zh-TW"/>
          <w14:textFill>
            <w14:solidFill>
              <w14:schemeClr w14:val="tx1"/>
            </w14:solidFill>
          </w14:textFill>
        </w:rPr>
        <w:t>爆破采用深孔爆破，采用液压破碎锤进行二次破碎。</w:t>
      </w:r>
      <w:r>
        <w:rPr>
          <w:rFonts w:hint="eastAsia"/>
          <w:color w:val="000000" w:themeColor="text1"/>
          <w14:textFill>
            <w14:solidFill>
              <w14:schemeClr w14:val="tx1"/>
            </w14:solidFill>
          </w14:textFill>
        </w:rPr>
        <w:t>圈定的爆破警戒线为200m。爆破时，需撤离警戒线区域内的作业人员（含周围农耕人员），设备设施撤离至安全地带，并作业相应的爆破警戒</w:t>
      </w:r>
      <w:r>
        <w:rPr>
          <w:rFonts w:hint="eastAsia"/>
          <w:color w:val="000000" w:themeColor="text1"/>
          <w:lang w:val="zh-TW" w:eastAsia="zh-TW"/>
          <w14:textFill>
            <w14:solidFill>
              <w14:schemeClr w14:val="tx1"/>
            </w14:solidFill>
          </w14:textFill>
        </w:rPr>
        <w:t>。</w:t>
      </w:r>
      <w:r>
        <w:rPr>
          <w:rFonts w:hint="eastAsia"/>
          <w:color w:val="000000" w:themeColor="text1"/>
          <w:lang w:val="zh-TW"/>
          <w14:textFill>
            <w14:solidFill>
              <w14:schemeClr w14:val="tx1"/>
            </w14:solidFill>
          </w14:textFill>
        </w:rPr>
        <w:t>设计符合</w:t>
      </w:r>
      <w:r>
        <w:rPr>
          <w:rFonts w:hint="eastAsia"/>
          <w:color w:val="000000" w:themeColor="text1"/>
          <w14:textFill>
            <w14:solidFill>
              <w14:schemeClr w14:val="tx1"/>
            </w14:solidFill>
          </w14:textFill>
        </w:rPr>
        <w:t>《金属非金属矿山安全规程》（GB16423-2020）、《爆破安全规程》（</w:t>
      </w:r>
      <w:r>
        <w:rPr>
          <w:rFonts w:hint="eastAsia"/>
          <w:color w:val="000000" w:themeColor="text1"/>
          <w:lang w:val="de-DE"/>
          <w14:textFill>
            <w14:solidFill>
              <w14:schemeClr w14:val="tx1"/>
            </w14:solidFill>
          </w14:textFill>
        </w:rPr>
        <w:t>GB6722-2014）</w:t>
      </w:r>
      <w:r>
        <w:rPr>
          <w:rFonts w:hint="eastAsia"/>
          <w:color w:val="000000" w:themeColor="text1"/>
          <w14:textFill>
            <w14:solidFill>
              <w14:schemeClr w14:val="tx1"/>
            </w14:solidFill>
          </w14:textFill>
        </w:rPr>
        <w:t>的要求。</w:t>
      </w:r>
    </w:p>
    <w:p w14:paraId="6D9CA63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在安全设施设计阶段应按照《爆破安全规程》（</w:t>
      </w:r>
      <w:r>
        <w:rPr>
          <w:rFonts w:hint="eastAsia"/>
          <w:color w:val="000000" w:themeColor="text1"/>
          <w:lang w:val="de-DE"/>
          <w14:textFill>
            <w14:solidFill>
              <w14:schemeClr w14:val="tx1"/>
            </w14:solidFill>
          </w14:textFill>
        </w:rPr>
        <w:t>GB6722-2014）</w:t>
      </w:r>
      <w:r>
        <w:rPr>
          <w:rFonts w:hint="eastAsia"/>
          <w:color w:val="000000" w:themeColor="text1"/>
          <w14:textFill>
            <w14:solidFill>
              <w14:schemeClr w14:val="tx1"/>
            </w14:solidFill>
          </w14:textFill>
        </w:rPr>
        <w:t>的要求对以下内容进一步安全设施设计说明：</w:t>
      </w:r>
    </w:p>
    <w:p w14:paraId="2DA1843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1、按照《爆破安全规程》（GB6722-2014）的要求，明确和完善爆破操作规程的各项要求。</w:t>
      </w:r>
    </w:p>
    <w:p w14:paraId="285B068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2、做好爆破作业的安全警戒、人员疏散、安全管理。</w:t>
      </w:r>
    </w:p>
    <w:p w14:paraId="4716583D">
      <w:pPr>
        <w:keepNext/>
        <w:keepLines/>
        <w:spacing w:beforeAutospacing="1" w:after="120" w:afterLines="50" w:line="240" w:lineRule="auto"/>
        <w:ind w:firstLine="0" w:firstLineChars="0"/>
        <w:outlineLvl w:val="2"/>
        <w:rPr>
          <w:b/>
          <w:bCs/>
          <w:snapToGrid w:val="0"/>
          <w:color w:val="000000" w:themeColor="text1"/>
          <w:szCs w:val="32"/>
          <w14:textFill>
            <w14:solidFill>
              <w14:schemeClr w14:val="tx1"/>
            </w14:solidFill>
          </w14:textFill>
        </w:rPr>
      </w:pPr>
      <w:bookmarkStart w:id="2446" w:name="_Toc27274"/>
      <w:bookmarkStart w:id="2447" w:name="_Toc8293"/>
      <w:bookmarkStart w:id="2448" w:name="_Toc215070274"/>
      <w:bookmarkStart w:id="2449" w:name="_Toc4779"/>
      <w:bookmarkStart w:id="2450" w:name="_Toc20516"/>
      <w:bookmarkStart w:id="2451" w:name="_Toc17433"/>
      <w:bookmarkStart w:id="2452" w:name="_Toc8060"/>
      <w:bookmarkStart w:id="2453" w:name="_Toc7983"/>
      <w:r>
        <w:rPr>
          <w:rFonts w:hint="eastAsia"/>
          <w:b/>
          <w:bCs/>
          <w:snapToGrid w:val="0"/>
          <w:color w:val="000000" w:themeColor="text1"/>
          <w:szCs w:val="32"/>
          <w14:textFill>
            <w14:solidFill>
              <w14:schemeClr w14:val="tx1"/>
            </w14:solidFill>
          </w14:textFill>
        </w:rPr>
        <w:t>3.4.3边坡稳定性分析和监测</w:t>
      </w:r>
      <w:bookmarkEnd w:id="2446"/>
      <w:bookmarkEnd w:id="2447"/>
      <w:bookmarkEnd w:id="2448"/>
      <w:bookmarkEnd w:id="2449"/>
      <w:bookmarkEnd w:id="2450"/>
      <w:bookmarkEnd w:id="2451"/>
      <w:bookmarkEnd w:id="2452"/>
      <w:bookmarkEnd w:id="2453"/>
    </w:p>
    <w:p w14:paraId="3F43E4EA">
      <w:pPr>
        <w:adjustRightInd w:val="0"/>
        <w:snapToGrid w:val="0"/>
        <w:spacing w:before="120" w:beforeLines="50" w:after="120" w:afterLines="50" w:line="240" w:lineRule="auto"/>
        <w:ind w:firstLine="0" w:firstLineChars="0"/>
        <w:outlineLvl w:val="3"/>
        <w:rPr>
          <w:b/>
          <w:snapToGrid w:val="0"/>
          <w:color w:val="000000" w:themeColor="text1"/>
          <w:kern w:val="0"/>
          <w:szCs w:val="28"/>
          <w14:textFill>
            <w14:solidFill>
              <w14:schemeClr w14:val="tx1"/>
            </w14:solidFill>
          </w14:textFill>
        </w:rPr>
      </w:pPr>
      <w:r>
        <w:rPr>
          <w:rFonts w:hint="eastAsia"/>
          <w:b/>
          <w:color w:val="000000" w:themeColor="text1"/>
          <w:kern w:val="0"/>
          <w:szCs w:val="20"/>
          <w14:textFill>
            <w14:solidFill>
              <w14:schemeClr w14:val="tx1"/>
            </w14:solidFill>
          </w14:textFill>
        </w:rPr>
        <w:t>3.4.3.1边坡稳定性分析</w:t>
      </w:r>
    </w:p>
    <w:p w14:paraId="2AB1CD29">
      <w:pPr>
        <w:ind w:firstLine="560"/>
        <w:rPr>
          <w:color w:val="000000" w:themeColor="text1"/>
          <w14:textFill>
            <w14:solidFill>
              <w14:schemeClr w14:val="tx1"/>
            </w14:solidFill>
          </w14:textFill>
        </w:rPr>
      </w:pPr>
      <w:r>
        <w:rPr>
          <w:rFonts w:hint="eastAsia"/>
          <w:snapToGrid w:val="0"/>
          <w:color w:val="000000" w:themeColor="text1"/>
          <w:kern w:val="0"/>
          <w:szCs w:val="28"/>
          <w14:textFill>
            <w14:solidFill>
              <w14:schemeClr w14:val="tx1"/>
            </w14:solidFill>
          </w14:textFill>
        </w:rPr>
        <w:t>根据</w:t>
      </w:r>
      <w:r>
        <w:rPr>
          <w:snapToGrid w:val="0"/>
          <w:color w:val="000000" w:themeColor="text1"/>
          <w:kern w:val="0"/>
          <w:szCs w:val="28"/>
          <w:lang w:val="zh-TW"/>
          <w14:textFill>
            <w14:solidFill>
              <w14:schemeClr w14:val="tx1"/>
            </w14:solidFill>
          </w14:textFill>
        </w:rPr>
        <w:t>《</w:t>
      </w:r>
      <w:r>
        <w:rPr>
          <w:rFonts w:hint="eastAsia" w:ascii="宋体" w:hAnsi="宋体"/>
          <w:color w:val="000000" w:themeColor="text1"/>
          <w:szCs w:val="28"/>
          <w14:textFill>
            <w14:solidFill>
              <w14:schemeClr w14:val="tx1"/>
            </w14:solidFill>
          </w14:textFill>
        </w:rPr>
        <w:t>广南县旧莫小格达普通建筑石料用灰岩矿50万t/a露天采矿工程可行</w:t>
      </w:r>
      <w:r>
        <w:rPr>
          <w:rFonts w:hint="eastAsia"/>
          <w:color w:val="000000" w:themeColor="text1"/>
          <w:szCs w:val="28"/>
          <w14:textFill>
            <w14:solidFill>
              <w14:schemeClr w14:val="tx1"/>
            </w14:solidFill>
          </w14:textFill>
        </w:rPr>
        <w:t>性研究报告</w:t>
      </w:r>
      <w:r>
        <w:rPr>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lang w:val="zh-TW"/>
          <w14:textFill>
            <w14:solidFill>
              <w14:schemeClr w14:val="tx1"/>
            </w14:solidFill>
          </w14:textFill>
        </w:rPr>
        <w:t>，</w:t>
      </w:r>
      <w:r>
        <w:rPr>
          <w:rFonts w:hint="eastAsia"/>
          <w:snapToGrid w:val="0"/>
          <w:color w:val="000000" w:themeColor="text1"/>
          <w:kern w:val="0"/>
          <w:szCs w:val="28"/>
          <w14:textFill>
            <w14:solidFill>
              <w14:schemeClr w14:val="tx1"/>
            </w14:solidFill>
          </w14:textFill>
        </w:rPr>
        <w:t>进行</w:t>
      </w:r>
      <w:r>
        <w:rPr>
          <w:rFonts w:hint="eastAsia"/>
          <w:color w:val="000000" w:themeColor="text1"/>
          <w14:textFill>
            <w14:solidFill>
              <w14:schemeClr w14:val="tx1"/>
            </w14:solidFill>
          </w14:textFill>
        </w:rPr>
        <w:t>边坡稳定性分析和监测情况如下。</w:t>
      </w:r>
    </w:p>
    <w:p w14:paraId="021863CF">
      <w:pPr>
        <w:rPr>
          <w:b/>
          <w:bCs/>
          <w:color w:val="000000" w:themeColor="text1"/>
          <w:szCs w:val="28"/>
          <w14:textFill>
            <w14:solidFill>
              <w14:schemeClr w14:val="tx1"/>
            </w14:solidFill>
          </w14:textFill>
        </w:rPr>
      </w:pPr>
      <w:bookmarkStart w:id="2454" w:name="OLE_LINK51"/>
      <w:r>
        <w:rPr>
          <w:rFonts w:hint="eastAsia"/>
          <w:b/>
          <w:bCs/>
          <w:color w:val="000000" w:themeColor="text1"/>
          <w:szCs w:val="28"/>
          <w14:textFill>
            <w14:solidFill>
              <w14:schemeClr w14:val="tx1"/>
            </w14:solidFill>
          </w14:textFill>
        </w:rPr>
        <w:t>一、</w:t>
      </w:r>
      <w:r>
        <w:rPr>
          <w:b/>
          <w:bCs/>
          <w:color w:val="000000" w:themeColor="text1"/>
          <w:szCs w:val="28"/>
          <w14:textFill>
            <w14:solidFill>
              <w14:schemeClr w14:val="tx1"/>
            </w14:solidFill>
          </w14:textFill>
        </w:rPr>
        <w:t>原采空区形成高陡边坡计算剖面的选取</w:t>
      </w:r>
    </w:p>
    <w:p w14:paraId="7CB99B5E">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原采空区形成高陡边坡，选取典型剖面</w:t>
      </w:r>
      <w:r>
        <w:rPr>
          <w:rFonts w:hint="eastAsia"/>
          <w:color w:val="000000" w:themeColor="text1"/>
          <w:szCs w:val="28"/>
          <w14:textFill>
            <w14:solidFill>
              <w14:schemeClr w14:val="tx1"/>
            </w14:solidFill>
          </w14:textFill>
        </w:rPr>
        <w:t>“</w:t>
      </w:r>
      <w:r>
        <w:rPr>
          <w:rFonts w:hint="eastAsia" w:ascii="宋体" w:hAnsi="宋体" w:cs="宋体"/>
          <w:color w:val="000000" w:themeColor="text1"/>
          <w:szCs w:val="28"/>
          <w14:textFill>
            <w14:solidFill>
              <w14:schemeClr w14:val="tx1"/>
            </w14:solidFill>
          </w14:textFill>
        </w:rPr>
        <w:t>3-3＇”</w:t>
      </w:r>
      <w:r>
        <w:rPr>
          <w:color w:val="000000" w:themeColor="text1"/>
          <w:szCs w:val="28"/>
          <w14:textFill>
            <w14:solidFill>
              <w14:schemeClr w14:val="tx1"/>
            </w14:solidFill>
          </w14:textFill>
        </w:rPr>
        <w:t>典型剖面图对原高陡边坡进行稳定性分析计算。</w:t>
      </w:r>
    </w:p>
    <w:p w14:paraId="778A5491">
      <w:pPr>
        <w:ind w:firstLine="560"/>
        <w:jc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drawing>
          <wp:inline distT="0" distB="0" distL="0" distR="0">
            <wp:extent cx="5715000" cy="4138295"/>
            <wp:effectExtent l="0" t="0" r="0" b="0"/>
            <wp:docPr id="1047193925" name="图片 10" descr="bfe42ce0e11519836f5c230eed431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93925" name="图片 10" descr="bfe42ce0e11519836f5c230eed431c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715000" cy="4138295"/>
                    </a:xfrm>
                    <a:prstGeom prst="rect">
                      <a:avLst/>
                    </a:prstGeom>
                    <a:noFill/>
                    <a:ln>
                      <a:noFill/>
                    </a:ln>
                  </pic:spPr>
                </pic:pic>
              </a:graphicData>
            </a:graphic>
          </wp:inline>
        </w:drawing>
      </w:r>
    </w:p>
    <w:p w14:paraId="10DB3358">
      <w:pPr>
        <w:ind w:firstLine="482"/>
        <w:jc w:val="center"/>
        <w:rPr>
          <w:rFonts w:hint="eastAsia" w:ascii="宋体" w:hAnsi="宋体" w:cs="宋体"/>
          <w:b/>
          <w:color w:val="000000" w:themeColor="text1"/>
          <w:sz w:val="24"/>
          <w:szCs w:val="21"/>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3.4-1</w:t>
      </w:r>
      <w:r>
        <w:rPr>
          <w:b/>
          <w:color w:val="000000" w:themeColor="text1"/>
          <w:sz w:val="24"/>
          <w14:textFill>
            <w14:solidFill>
              <w14:schemeClr w14:val="tx1"/>
            </w14:solidFill>
          </w14:textFill>
        </w:rPr>
        <w:t xml:space="preserve">  </w:t>
      </w:r>
      <w:bookmarkStart w:id="2455" w:name="_Toc15718"/>
      <w:bookmarkStart w:id="2456" w:name="_Toc26349"/>
      <w:bookmarkStart w:id="2457" w:name="_Toc8227"/>
      <w:r>
        <w:rPr>
          <w:rFonts w:hint="eastAsia" w:ascii="宋体" w:hAnsi="宋体" w:cs="宋体"/>
          <w:b/>
          <w:color w:val="000000" w:themeColor="text1"/>
          <w:sz w:val="24"/>
          <w:szCs w:val="21"/>
          <w14:textFill>
            <w14:solidFill>
              <w14:schemeClr w14:val="tx1"/>
            </w14:solidFill>
          </w14:textFill>
        </w:rPr>
        <w:t>原采空区3-3＇典型剖面图</w:t>
      </w:r>
    </w:p>
    <w:p w14:paraId="444D6367">
      <w:pP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二、</w:t>
      </w:r>
      <w:r>
        <w:rPr>
          <w:b/>
          <w:bCs/>
          <w:color w:val="000000" w:themeColor="text1"/>
          <w:szCs w:val="28"/>
          <w14:textFill>
            <w14:solidFill>
              <w14:schemeClr w14:val="tx1"/>
            </w14:solidFill>
          </w14:textFill>
        </w:rPr>
        <w:t>露天边坡等级、结构类型及破坏模式等的划分</w:t>
      </w:r>
    </w:p>
    <w:bookmarkEnd w:id="2454"/>
    <w:bookmarkEnd w:id="2455"/>
    <w:bookmarkEnd w:id="2456"/>
    <w:bookmarkEnd w:id="2457"/>
    <w:p w14:paraId="67EB353E">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露天边坡等级划分</w:t>
      </w:r>
    </w:p>
    <w:p w14:paraId="456668A9">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51016-2014）第3.0.2条，原采空区最终边坡高度为</w:t>
      </w:r>
      <w:r>
        <w:rPr>
          <w:rFonts w:hint="eastAsia"/>
          <w:color w:val="000000" w:themeColor="text1"/>
          <w:szCs w:val="28"/>
          <w14:textFill>
            <w14:solidFill>
              <w14:schemeClr w14:val="tx1"/>
            </w14:solidFill>
          </w14:textFill>
        </w:rPr>
        <w:t>110m</w:t>
      </w:r>
      <w:r>
        <w:rPr>
          <w:color w:val="000000" w:themeColor="text1"/>
          <w:szCs w:val="28"/>
          <w14:textFill>
            <w14:solidFill>
              <w14:schemeClr w14:val="tx1"/>
            </w14:solidFill>
          </w14:textFill>
        </w:rPr>
        <w:t>，为</w:t>
      </w:r>
      <w:r>
        <w:rPr>
          <w:rFonts w:hint="eastAsia"/>
          <w:color w:val="000000" w:themeColor="text1"/>
          <w:szCs w:val="28"/>
          <w14:textFill>
            <w14:solidFill>
              <w14:schemeClr w14:val="tx1"/>
            </w14:solidFill>
          </w14:textFill>
        </w:rPr>
        <w:t>“</w:t>
      </w:r>
      <w:r>
        <w:rPr>
          <w:rFonts w:hint="eastAsia"/>
          <w:b/>
          <w:bCs/>
          <w:color w:val="000000" w:themeColor="text1"/>
          <w:szCs w:val="28"/>
          <w14:textFill>
            <w14:solidFill>
              <w14:schemeClr w14:val="tx1"/>
            </w14:solidFill>
          </w14:textFill>
        </w:rPr>
        <w:t>中</w:t>
      </w:r>
      <w:r>
        <w:rPr>
          <w:b/>
          <w:bCs/>
          <w:color w:val="000000" w:themeColor="text1"/>
          <w:szCs w:val="28"/>
          <w14:textFill>
            <w14:solidFill>
              <w14:schemeClr w14:val="tx1"/>
            </w14:solidFill>
          </w14:textFill>
        </w:rPr>
        <w:t>边坡</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 xml:space="preserve"> </w:t>
      </w:r>
    </w:p>
    <w:p w14:paraId="04C9ECC5">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边坡地质结构类型</w:t>
      </w:r>
    </w:p>
    <w:p w14:paraId="518CFF15">
      <w:pPr>
        <w:topLinePun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矿体赋存于二叠系上统吴家坪组（P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w）地层中，呈单斜层状产出，产状175°</w:t>
      </w:r>
      <w:r>
        <w:rPr>
          <w:rFonts w:ascii="Cambria Math" w:hAnsi="Cambria Math" w:cs="Cambria Math"/>
          <w:color w:val="000000" w:themeColor="text1"/>
          <w:szCs w:val="28"/>
          <w14:textFill>
            <w14:solidFill>
              <w14:schemeClr w14:val="tx1"/>
            </w14:solidFill>
          </w14:textFill>
        </w:rPr>
        <w:t>∠</w:t>
      </w:r>
      <w:r>
        <w:rPr>
          <w:color w:val="000000" w:themeColor="text1"/>
          <w:szCs w:val="28"/>
          <w14:textFill>
            <w14:solidFill>
              <w14:schemeClr w14:val="tx1"/>
            </w14:solidFill>
          </w14:textFill>
        </w:rPr>
        <w:t>36°，矿区及附近出露长度大于700m，宽度大于300m，厚度大于50m，产出较为稳定。矿床规模属小型。矿体直接出露于地表，露头良好，表面风化强；矿层之上有少量零星第四系残坡积粘土、粉砂质粘土分布，矿体下部未能完全控制。</w:t>
      </w:r>
    </w:p>
    <w:p w14:paraId="2922A757">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51016-2014）表A.0.1，表A.0.2，表A.0.3，确定该露天边坡的岩体结构类型、边坡完整程度</w:t>
      </w:r>
      <w:r>
        <w:rPr>
          <w:rFonts w:hint="eastAsia"/>
          <w:color w:val="000000" w:themeColor="text1"/>
          <w:szCs w:val="28"/>
          <w14:textFill>
            <w14:solidFill>
              <w14:schemeClr w14:val="tx1"/>
            </w14:solidFill>
          </w14:textFill>
        </w:rPr>
        <w:t>和</w:t>
      </w:r>
      <w:r>
        <w:rPr>
          <w:color w:val="000000" w:themeColor="text1"/>
          <w:szCs w:val="28"/>
          <w14:textFill>
            <w14:solidFill>
              <w14:schemeClr w14:val="tx1"/>
            </w14:solidFill>
          </w14:textFill>
        </w:rPr>
        <w:t>边坡地质结构划分（见下表）。</w:t>
      </w:r>
    </w:p>
    <w:p w14:paraId="317A7EDC">
      <w:pPr>
        <w:spacing w:line="240" w:lineRule="auto"/>
        <w:ind w:firstLine="0" w:firstLineChars="0"/>
        <w:jc w:val="center"/>
        <w:rPr>
          <w:rFonts w:hint="eastAsia" w:ascii="宋体" w:hAnsi="宋体" w:cs="宋体"/>
          <w:b/>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表3.4-5</w:t>
      </w:r>
      <w:r>
        <w:rPr>
          <w:rFonts w:hint="eastAsia" w:ascii="宋体" w:hAnsi="宋体" w:cs="宋体"/>
          <w:b/>
          <w:bCs/>
          <w:color w:val="000000" w:themeColor="text1"/>
          <w:sz w:val="21"/>
          <w:szCs w:val="21"/>
          <w14:textFill>
            <w14:solidFill>
              <w14:schemeClr w14:val="tx1"/>
            </w14:solidFill>
          </w14:textFill>
        </w:rPr>
        <w:t xml:space="preserve">  露天边坡岩体结构类型划分结果表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368"/>
        <w:gridCol w:w="868"/>
        <w:gridCol w:w="1534"/>
        <w:gridCol w:w="2223"/>
        <w:gridCol w:w="1562"/>
      </w:tblGrid>
      <w:tr w14:paraId="4F59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166" w:type="dxa"/>
            <w:vAlign w:val="center"/>
          </w:tcPr>
          <w:p w14:paraId="436197FC">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边坡岩体结构类型</w:t>
            </w:r>
          </w:p>
        </w:tc>
        <w:tc>
          <w:tcPr>
            <w:tcW w:w="1368" w:type="dxa"/>
            <w:vAlign w:val="center"/>
          </w:tcPr>
          <w:p w14:paraId="12108520">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岩体地质</w:t>
            </w:r>
          </w:p>
          <w:p w14:paraId="1ECFE9A7">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类型</w:t>
            </w:r>
          </w:p>
        </w:tc>
        <w:tc>
          <w:tcPr>
            <w:tcW w:w="868" w:type="dxa"/>
            <w:vAlign w:val="center"/>
          </w:tcPr>
          <w:p w14:paraId="29437B05">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结构体</w:t>
            </w:r>
          </w:p>
          <w:p w14:paraId="1CD33002">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形状</w:t>
            </w:r>
          </w:p>
        </w:tc>
        <w:tc>
          <w:tcPr>
            <w:tcW w:w="1534" w:type="dxa"/>
            <w:vAlign w:val="center"/>
          </w:tcPr>
          <w:p w14:paraId="6CE57140">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结构面发育情况</w:t>
            </w:r>
          </w:p>
        </w:tc>
        <w:tc>
          <w:tcPr>
            <w:tcW w:w="2223" w:type="dxa"/>
            <w:vAlign w:val="center"/>
          </w:tcPr>
          <w:p w14:paraId="39368AC1">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沿途工程问题</w:t>
            </w:r>
          </w:p>
        </w:tc>
        <w:tc>
          <w:tcPr>
            <w:tcW w:w="1562" w:type="dxa"/>
            <w:vAlign w:val="center"/>
          </w:tcPr>
          <w:p w14:paraId="7C75D42B">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边坡工程问题</w:t>
            </w:r>
          </w:p>
        </w:tc>
      </w:tr>
      <w:tr w14:paraId="5359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14:paraId="35159C78">
            <w:pPr>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块状结构</w:t>
            </w:r>
          </w:p>
        </w:tc>
        <w:tc>
          <w:tcPr>
            <w:tcW w:w="1368" w:type="dxa"/>
            <w:vAlign w:val="center"/>
          </w:tcPr>
          <w:p w14:paraId="19206D94">
            <w:pPr>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厚层状岩浆岩、正变质岩、块状岩浆岩、副变质岩</w:t>
            </w:r>
          </w:p>
        </w:tc>
        <w:tc>
          <w:tcPr>
            <w:tcW w:w="868" w:type="dxa"/>
            <w:vAlign w:val="center"/>
          </w:tcPr>
          <w:p w14:paraId="0C189345">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w:t>
            </w:r>
          </w:p>
          <w:p w14:paraId="25D68301">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柱状</w:t>
            </w:r>
          </w:p>
        </w:tc>
        <w:tc>
          <w:tcPr>
            <w:tcW w:w="1534" w:type="dxa"/>
            <w:vAlign w:val="center"/>
          </w:tcPr>
          <w:p w14:paraId="316C7509">
            <w:pPr>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只具有少量贯穿性较好的节理裂隙，裂隙结构面间距0.7～1.5m，一般2组-3组。</w:t>
            </w:r>
          </w:p>
        </w:tc>
        <w:tc>
          <w:tcPr>
            <w:tcW w:w="2223" w:type="dxa"/>
            <w:vAlign w:val="center"/>
          </w:tcPr>
          <w:p w14:paraId="28D2B289">
            <w:pPr>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整体性强度较高，结构面相互牵制，岩体基本稳定，接近弹性各向同性。</w:t>
            </w:r>
          </w:p>
        </w:tc>
        <w:tc>
          <w:tcPr>
            <w:tcW w:w="1562" w:type="dxa"/>
            <w:vAlign w:val="center"/>
          </w:tcPr>
          <w:p w14:paraId="36180A8F">
            <w:pPr>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不稳定结构体的局部滑动。</w:t>
            </w:r>
          </w:p>
        </w:tc>
      </w:tr>
    </w:tbl>
    <w:p w14:paraId="3CD20BE4">
      <w:pPr>
        <w:spacing w:before="72" w:beforeLines="30" w:line="240" w:lineRule="auto"/>
        <w:ind w:firstLine="0" w:firstLineChars="0"/>
        <w:jc w:val="center"/>
        <w:rPr>
          <w:rFonts w:hint="eastAsia" w:ascii="宋体" w:hAnsi="宋体" w:cs="宋体"/>
          <w:b/>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表3.4-6</w:t>
      </w:r>
      <w:r>
        <w:rPr>
          <w:rFonts w:hint="eastAsia" w:ascii="宋体" w:hAnsi="宋体" w:cs="宋体"/>
          <w:b/>
          <w:bCs/>
          <w:color w:val="000000" w:themeColor="text1"/>
          <w:sz w:val="21"/>
          <w:szCs w:val="21"/>
          <w14:textFill>
            <w14:solidFill>
              <w14:schemeClr w14:val="tx1"/>
            </w14:solidFill>
          </w14:textFill>
        </w:rPr>
        <w:t xml:space="preserve"> 露天边坡岩体完整程度划分结果表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090"/>
        <w:gridCol w:w="1090"/>
        <w:gridCol w:w="1090"/>
        <w:gridCol w:w="908"/>
        <w:gridCol w:w="1025"/>
        <w:gridCol w:w="1183"/>
        <w:gridCol w:w="1245"/>
      </w:tblGrid>
      <w:tr w14:paraId="1A84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Merge w:val="restart"/>
            <w:vAlign w:val="center"/>
          </w:tcPr>
          <w:p w14:paraId="611EF2CE">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完整程度</w:t>
            </w:r>
          </w:p>
        </w:tc>
        <w:tc>
          <w:tcPr>
            <w:tcW w:w="5203" w:type="dxa"/>
            <w:gridSpan w:val="5"/>
            <w:vAlign w:val="center"/>
          </w:tcPr>
          <w:p w14:paraId="7B55C5E3">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定性划分</w:t>
            </w:r>
          </w:p>
        </w:tc>
        <w:tc>
          <w:tcPr>
            <w:tcW w:w="2428" w:type="dxa"/>
            <w:gridSpan w:val="2"/>
            <w:vAlign w:val="center"/>
          </w:tcPr>
          <w:p w14:paraId="24959BBD">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定量划分</w:t>
            </w:r>
          </w:p>
        </w:tc>
      </w:tr>
      <w:tr w14:paraId="762A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Merge w:val="continue"/>
            <w:vAlign w:val="center"/>
          </w:tcPr>
          <w:p w14:paraId="64A2D047">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2180" w:type="dxa"/>
            <w:gridSpan w:val="2"/>
            <w:vAlign w:val="center"/>
          </w:tcPr>
          <w:p w14:paraId="551D205D">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机构面发育程度</w:t>
            </w:r>
          </w:p>
        </w:tc>
        <w:tc>
          <w:tcPr>
            <w:tcW w:w="1090" w:type="dxa"/>
            <w:vMerge w:val="restart"/>
            <w:vAlign w:val="center"/>
          </w:tcPr>
          <w:p w14:paraId="596F7131">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主要结构面的组合程度</w:t>
            </w:r>
          </w:p>
        </w:tc>
        <w:tc>
          <w:tcPr>
            <w:tcW w:w="908" w:type="dxa"/>
            <w:vMerge w:val="restart"/>
            <w:vAlign w:val="center"/>
          </w:tcPr>
          <w:p w14:paraId="235643BD">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主要结构面类型</w:t>
            </w:r>
          </w:p>
        </w:tc>
        <w:tc>
          <w:tcPr>
            <w:tcW w:w="1025" w:type="dxa"/>
            <w:vMerge w:val="restart"/>
            <w:vAlign w:val="center"/>
          </w:tcPr>
          <w:p w14:paraId="3F716275">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相应结构类型</w:t>
            </w:r>
          </w:p>
        </w:tc>
        <w:tc>
          <w:tcPr>
            <w:tcW w:w="1183" w:type="dxa"/>
            <w:vMerge w:val="restart"/>
            <w:vAlign w:val="center"/>
          </w:tcPr>
          <w:p w14:paraId="7BDAF034">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完整性指数Kv</w:t>
            </w:r>
          </w:p>
        </w:tc>
        <w:tc>
          <w:tcPr>
            <w:tcW w:w="1245" w:type="dxa"/>
            <w:vMerge w:val="restart"/>
            <w:vAlign w:val="center"/>
          </w:tcPr>
          <w:p w14:paraId="193DE298">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岩体体积结构面数Jv（条/m</w:t>
            </w:r>
            <w:r>
              <w:rPr>
                <w:rFonts w:hint="eastAsia" w:ascii="宋体" w:hAnsi="宋体" w:cs="宋体"/>
                <w:b/>
                <w:bCs/>
                <w:color w:val="000000" w:themeColor="text1"/>
                <w:sz w:val="20"/>
                <w:szCs w:val="20"/>
                <w:vertAlign w:val="superscript"/>
                <w14:textFill>
                  <w14:solidFill>
                    <w14:schemeClr w14:val="tx1"/>
                  </w14:solidFill>
                </w14:textFill>
              </w:rPr>
              <w:t>3</w:t>
            </w:r>
            <w:r>
              <w:rPr>
                <w:rFonts w:hint="eastAsia" w:ascii="宋体" w:hAnsi="宋体" w:cs="宋体"/>
                <w:b/>
                <w:bCs/>
                <w:color w:val="000000" w:themeColor="text1"/>
                <w:sz w:val="20"/>
                <w:szCs w:val="20"/>
                <w14:textFill>
                  <w14:solidFill>
                    <w14:schemeClr w14:val="tx1"/>
                  </w14:solidFill>
                </w14:textFill>
              </w:rPr>
              <w:t>）</w:t>
            </w:r>
          </w:p>
        </w:tc>
      </w:tr>
      <w:tr w14:paraId="4E2F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Merge w:val="continue"/>
            <w:vAlign w:val="center"/>
          </w:tcPr>
          <w:p w14:paraId="5CD62878">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090" w:type="dxa"/>
            <w:vAlign w:val="center"/>
          </w:tcPr>
          <w:p w14:paraId="1EDB70EB">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组数</w:t>
            </w:r>
          </w:p>
        </w:tc>
        <w:tc>
          <w:tcPr>
            <w:tcW w:w="1090" w:type="dxa"/>
            <w:vAlign w:val="center"/>
          </w:tcPr>
          <w:p w14:paraId="63879B5F">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平均间距（m）</w:t>
            </w:r>
          </w:p>
        </w:tc>
        <w:tc>
          <w:tcPr>
            <w:tcW w:w="1090" w:type="dxa"/>
            <w:vMerge w:val="continue"/>
            <w:vAlign w:val="center"/>
          </w:tcPr>
          <w:p w14:paraId="64606799">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908" w:type="dxa"/>
            <w:vMerge w:val="continue"/>
            <w:vAlign w:val="center"/>
          </w:tcPr>
          <w:p w14:paraId="61733B7C">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025" w:type="dxa"/>
            <w:vMerge w:val="continue"/>
            <w:vAlign w:val="center"/>
          </w:tcPr>
          <w:p w14:paraId="1CBDFB43">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183" w:type="dxa"/>
            <w:vMerge w:val="continue"/>
            <w:vAlign w:val="center"/>
          </w:tcPr>
          <w:p w14:paraId="3F5CEC71">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245" w:type="dxa"/>
            <w:vMerge w:val="continue"/>
            <w:vAlign w:val="center"/>
          </w:tcPr>
          <w:p w14:paraId="6AE7803E">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r>
      <w:tr w14:paraId="5DAD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Align w:val="center"/>
          </w:tcPr>
          <w:p w14:paraId="17C692A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较完整</w:t>
            </w:r>
          </w:p>
        </w:tc>
        <w:tc>
          <w:tcPr>
            <w:tcW w:w="1090" w:type="dxa"/>
            <w:vAlign w:val="center"/>
          </w:tcPr>
          <w:p w14:paraId="37F5877C">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w:t>
            </w:r>
          </w:p>
        </w:tc>
        <w:tc>
          <w:tcPr>
            <w:tcW w:w="1090" w:type="dxa"/>
            <w:vAlign w:val="center"/>
          </w:tcPr>
          <w:p w14:paraId="615B5FF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&gt;1.0</w:t>
            </w:r>
          </w:p>
        </w:tc>
        <w:tc>
          <w:tcPr>
            <w:tcW w:w="1090" w:type="dxa"/>
            <w:vAlign w:val="center"/>
          </w:tcPr>
          <w:p w14:paraId="097D37E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结合差</w:t>
            </w:r>
          </w:p>
        </w:tc>
        <w:tc>
          <w:tcPr>
            <w:tcW w:w="908" w:type="dxa"/>
            <w:vAlign w:val="center"/>
          </w:tcPr>
          <w:p w14:paraId="23D5B8F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节理、裂隙、层面</w:t>
            </w:r>
          </w:p>
        </w:tc>
        <w:tc>
          <w:tcPr>
            <w:tcW w:w="1025" w:type="dxa"/>
            <w:vAlign w:val="center"/>
          </w:tcPr>
          <w:p w14:paraId="59248EE0">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块状或厚层状结构</w:t>
            </w:r>
          </w:p>
        </w:tc>
        <w:tc>
          <w:tcPr>
            <w:tcW w:w="1183" w:type="dxa"/>
            <w:vAlign w:val="center"/>
          </w:tcPr>
          <w:p w14:paraId="6A8A1059">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0.75-0.55</w:t>
            </w:r>
          </w:p>
        </w:tc>
        <w:tc>
          <w:tcPr>
            <w:tcW w:w="1245" w:type="dxa"/>
            <w:vAlign w:val="center"/>
          </w:tcPr>
          <w:p w14:paraId="4DA21287">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3-10</w:t>
            </w:r>
          </w:p>
        </w:tc>
      </w:tr>
    </w:tbl>
    <w:p w14:paraId="6A5E82A2">
      <w:pPr>
        <w:adjustRightInd w:val="0"/>
        <w:snapToGrid w:val="0"/>
        <w:spacing w:before="120" w:beforeLines="50" w:line="240" w:lineRule="auto"/>
        <w:ind w:firstLine="422"/>
        <w:jc w:val="center"/>
        <w:rPr>
          <w:b/>
          <w:bCs/>
          <w:color w:val="000000" w:themeColor="text1"/>
          <w:sz w:val="21"/>
          <w14:textFill>
            <w14:solidFill>
              <w14:schemeClr w14:val="tx1"/>
            </w14:solidFill>
          </w14:textFill>
        </w:rPr>
      </w:pPr>
      <w:bookmarkStart w:id="2458" w:name="_Hlk213854859"/>
      <w:bookmarkStart w:id="2459" w:name="OLE_LINK23"/>
      <w:r>
        <w:rPr>
          <w:rFonts w:hint="eastAsia"/>
          <w:b/>
          <w:color w:val="000000" w:themeColor="text1"/>
          <w:sz w:val="21"/>
          <w14:textFill>
            <w14:solidFill>
              <w14:schemeClr w14:val="tx1"/>
            </w14:solidFill>
          </w14:textFill>
        </w:rPr>
        <w:t>表3.4-7</w:t>
      </w:r>
      <w:bookmarkEnd w:id="2458"/>
      <w:r>
        <w:rPr>
          <w:rFonts w:hint="eastAsia" w:ascii="宋体" w:hAnsi="宋体" w:cs="宋体"/>
          <w:b/>
          <w:bCs/>
          <w:color w:val="000000" w:themeColor="text1"/>
          <w:sz w:val="21"/>
          <w:szCs w:val="21"/>
          <w14:textFill>
            <w14:solidFill>
              <w14:schemeClr w14:val="tx1"/>
            </w14:solidFill>
          </w14:textFill>
        </w:rPr>
        <w:t xml:space="preserve"> </w:t>
      </w:r>
      <w:bookmarkEnd w:id="2459"/>
      <w:r>
        <w:rPr>
          <w:rFonts w:hint="eastAsia" w:ascii="宋体" w:hAnsi="宋体" w:cs="宋体"/>
          <w:b/>
          <w:bCs/>
          <w:color w:val="000000" w:themeColor="text1"/>
          <w:sz w:val="21"/>
          <w:szCs w:val="21"/>
          <w14:textFill>
            <w14:solidFill>
              <w14:schemeClr w14:val="tx1"/>
            </w14:solidFill>
          </w14:textFill>
        </w:rPr>
        <w:t>露天矿边坡地质结构划分结果表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33"/>
        <w:gridCol w:w="3821"/>
        <w:gridCol w:w="2555"/>
      </w:tblGrid>
      <w:tr w14:paraId="5280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2343" w:type="dxa"/>
            <w:gridSpan w:val="2"/>
            <w:vAlign w:val="center"/>
          </w:tcPr>
          <w:p w14:paraId="46C65E23">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边坡地质结构类型</w:t>
            </w:r>
          </w:p>
        </w:tc>
        <w:tc>
          <w:tcPr>
            <w:tcW w:w="3821" w:type="dxa"/>
            <w:vAlign w:val="center"/>
          </w:tcPr>
          <w:p w14:paraId="43164406">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特征描述</w:t>
            </w:r>
          </w:p>
        </w:tc>
        <w:tc>
          <w:tcPr>
            <w:tcW w:w="2555" w:type="dxa"/>
            <w:vAlign w:val="center"/>
          </w:tcPr>
          <w:p w14:paraId="483C75D1">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边坡破坏模式</w:t>
            </w:r>
          </w:p>
        </w:tc>
      </w:tr>
      <w:tr w14:paraId="0C83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43" w:type="dxa"/>
            <w:gridSpan w:val="2"/>
            <w:vAlign w:val="center"/>
          </w:tcPr>
          <w:p w14:paraId="2E48432D">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块状岩体边坡</w:t>
            </w:r>
          </w:p>
        </w:tc>
        <w:tc>
          <w:tcPr>
            <w:tcW w:w="3821" w:type="dxa"/>
            <w:vAlign w:val="center"/>
          </w:tcPr>
          <w:p w14:paraId="2545EC9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岩体基本均一，D</w:t>
            </w:r>
            <w:r>
              <w:rPr>
                <w:rFonts w:hint="eastAsia" w:ascii="宋体" w:hAnsi="宋体" w:cs="宋体"/>
                <w:color w:val="000000" w:themeColor="text1"/>
                <w:sz w:val="20"/>
                <w:szCs w:val="20"/>
                <w:vertAlign w:val="subscript"/>
                <w14:textFill>
                  <w14:solidFill>
                    <w14:schemeClr w14:val="tx1"/>
                  </w14:solidFill>
                </w14:textFill>
              </w:rPr>
              <w:t>50</w:t>
            </w:r>
            <w:r>
              <w:rPr>
                <w:rFonts w:hint="eastAsia" w:ascii="宋体" w:hAnsi="宋体" w:cs="宋体"/>
                <w:color w:val="000000" w:themeColor="text1"/>
                <w:sz w:val="20"/>
                <w:szCs w:val="20"/>
                <w14:textFill>
                  <w14:solidFill>
                    <w14:schemeClr w14:val="tx1"/>
                  </w14:solidFill>
                </w14:textFill>
              </w:rPr>
              <w:t>≥L</w:t>
            </w:r>
            <w:r>
              <w:rPr>
                <w:rFonts w:hint="eastAsia" w:ascii="宋体" w:hAnsi="宋体" w:cs="宋体"/>
                <w:color w:val="000000" w:themeColor="text1"/>
                <w:sz w:val="20"/>
                <w:szCs w:val="20"/>
                <w:vertAlign w:val="subscript"/>
                <w14:textFill>
                  <w14:solidFill>
                    <w14:schemeClr w14:val="tx1"/>
                  </w14:solidFill>
                </w14:textFill>
              </w:rPr>
              <w:t>C</w:t>
            </w:r>
            <w:r>
              <w:rPr>
                <w:rFonts w:hint="eastAsia" w:ascii="宋体" w:hAnsi="宋体" w:cs="宋体"/>
                <w:color w:val="000000" w:themeColor="text1"/>
                <w:sz w:val="20"/>
                <w:szCs w:val="20"/>
                <w14:textFill>
                  <w14:solidFill>
                    <w14:schemeClr w14:val="tx1"/>
                  </w14:solidFill>
                </w14:textFill>
              </w:rPr>
              <w:t>≥0.02</w:t>
            </w:r>
          </w:p>
        </w:tc>
        <w:tc>
          <w:tcPr>
            <w:tcW w:w="2555" w:type="dxa"/>
            <w:vAlign w:val="center"/>
          </w:tcPr>
          <w:p w14:paraId="06913AA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平面型、折线型、倾倒型</w:t>
            </w:r>
          </w:p>
        </w:tc>
      </w:tr>
      <w:tr w14:paraId="0257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0" w:type="dxa"/>
            <w:vMerge w:val="restart"/>
            <w:vAlign w:val="center"/>
          </w:tcPr>
          <w:p w14:paraId="2489707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层状岩体边坡</w:t>
            </w:r>
          </w:p>
        </w:tc>
        <w:tc>
          <w:tcPr>
            <w:tcW w:w="1633" w:type="dxa"/>
            <w:vAlign w:val="center"/>
          </w:tcPr>
          <w:p w14:paraId="47AB72F8">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同倾边坡</w:t>
            </w:r>
          </w:p>
        </w:tc>
        <w:tc>
          <w:tcPr>
            <w:tcW w:w="3821" w:type="dxa"/>
            <w:vAlign w:val="center"/>
          </w:tcPr>
          <w:p w14:paraId="17667EB8">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α≤30°；层面摩擦角≤β≤坡面角 </w:t>
            </w:r>
          </w:p>
        </w:tc>
        <w:tc>
          <w:tcPr>
            <w:tcW w:w="2555" w:type="dxa"/>
            <w:vAlign w:val="center"/>
          </w:tcPr>
          <w:p w14:paraId="52181E87">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平面型、折线型</w:t>
            </w:r>
          </w:p>
        </w:tc>
      </w:tr>
      <w:tr w14:paraId="7E22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14:paraId="03D346B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1633" w:type="dxa"/>
            <w:vAlign w:val="center"/>
          </w:tcPr>
          <w:p w14:paraId="5B4BAA7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同倾斜向边坡</w:t>
            </w:r>
          </w:p>
        </w:tc>
        <w:tc>
          <w:tcPr>
            <w:tcW w:w="3821" w:type="dxa"/>
            <w:vAlign w:val="center"/>
          </w:tcPr>
          <w:p w14:paraId="00D7E14F">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30°＜α≤75°，层面摩擦角＜组合滑面交线倾角≤坡面角</w:t>
            </w:r>
          </w:p>
        </w:tc>
        <w:tc>
          <w:tcPr>
            <w:tcW w:w="2555" w:type="dxa"/>
            <w:vAlign w:val="center"/>
          </w:tcPr>
          <w:p w14:paraId="74EB3377">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楔体型</w:t>
            </w:r>
          </w:p>
        </w:tc>
      </w:tr>
      <w:tr w14:paraId="2B5F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10" w:type="dxa"/>
            <w:vMerge w:val="continue"/>
            <w:vAlign w:val="center"/>
          </w:tcPr>
          <w:p w14:paraId="0757EA9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1633" w:type="dxa"/>
            <w:vAlign w:val="center"/>
          </w:tcPr>
          <w:p w14:paraId="52CEEE2E">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其他结构边坡</w:t>
            </w:r>
          </w:p>
        </w:tc>
        <w:tc>
          <w:tcPr>
            <w:tcW w:w="3821" w:type="dxa"/>
            <w:vAlign w:val="center"/>
          </w:tcPr>
          <w:p w14:paraId="67944050">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结构面组合不能直接控制边坡破坏</w:t>
            </w:r>
          </w:p>
        </w:tc>
        <w:tc>
          <w:tcPr>
            <w:tcW w:w="2555" w:type="dxa"/>
            <w:vAlign w:val="center"/>
          </w:tcPr>
          <w:p w14:paraId="3D742297">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圆弧型、复合型</w:t>
            </w:r>
          </w:p>
        </w:tc>
      </w:tr>
      <w:tr w14:paraId="723C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8719" w:type="dxa"/>
            <w:gridSpan w:val="4"/>
            <w:vAlign w:val="center"/>
          </w:tcPr>
          <w:p w14:paraId="17249A31">
            <w:pPr>
              <w:adjustRightInd w:val="0"/>
              <w:snapToGrid w:val="0"/>
              <w:spacing w:line="240" w:lineRule="auto"/>
              <w:ind w:firstLine="0" w:firstLineChars="0"/>
              <w:jc w:val="both"/>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注：1.α层面与坡面的倾向夹角（°）；β层面倾角（°）；D</w:t>
            </w:r>
            <w:r>
              <w:rPr>
                <w:rFonts w:hint="eastAsia" w:ascii="宋体" w:hAnsi="宋体" w:cs="宋体"/>
                <w:color w:val="000000" w:themeColor="text1"/>
                <w:sz w:val="20"/>
                <w:szCs w:val="20"/>
                <w:vertAlign w:val="subscript"/>
                <w14:textFill>
                  <w14:solidFill>
                    <w14:schemeClr w14:val="tx1"/>
                  </w14:solidFill>
                </w14:textFill>
              </w:rPr>
              <w:t>50</w:t>
            </w:r>
            <w:r>
              <w:rPr>
                <w:rFonts w:hint="eastAsia" w:ascii="宋体" w:hAnsi="宋体" w:cs="宋体"/>
                <w:color w:val="000000" w:themeColor="text1"/>
                <w:sz w:val="20"/>
                <w:szCs w:val="20"/>
                <w14:textFill>
                  <w14:solidFill>
                    <w14:schemeClr w14:val="tx1"/>
                  </w14:solidFill>
                </w14:textFill>
              </w:rPr>
              <w:t>坡面50%块体快径（m）；L</w:t>
            </w:r>
            <w:r>
              <w:rPr>
                <w:rFonts w:hint="eastAsia" w:ascii="宋体" w:hAnsi="宋体" w:cs="宋体"/>
                <w:color w:val="000000" w:themeColor="text1"/>
                <w:sz w:val="20"/>
                <w:szCs w:val="20"/>
                <w:vertAlign w:val="subscript"/>
                <w14:textFill>
                  <w14:solidFill>
                    <w14:schemeClr w14:val="tx1"/>
                  </w14:solidFill>
                </w14:textFill>
              </w:rPr>
              <w:t>C</w:t>
            </w:r>
            <w:r>
              <w:rPr>
                <w:rFonts w:hint="eastAsia" w:ascii="宋体" w:hAnsi="宋体" w:cs="宋体"/>
                <w:color w:val="000000" w:themeColor="text1"/>
                <w:sz w:val="20"/>
                <w:szCs w:val="20"/>
                <w14:textFill>
                  <w14:solidFill>
                    <w14:schemeClr w14:val="tx1"/>
                  </w14:solidFill>
                </w14:textFill>
              </w:rPr>
              <w:t>可能发生变形破坏边坡的特征高度（m）。2.变质岩片理面、板理面，对边坡稳定性具有控制性作用的断层面（带）、其他软弱面（带）按层面考虑。3.较大规模和地质条件变化较大的边坡，应根据具体边坡地质结构变化情况分段划分类型，建立分析模型。</w:t>
            </w:r>
          </w:p>
        </w:tc>
      </w:tr>
    </w:tbl>
    <w:p w14:paraId="03B52FDB">
      <w:pPr>
        <w:adjustRightInd w:val="0"/>
        <w:snapToGrid w:val="0"/>
        <w:spacing w:before="120" w:beforeLines="5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根据上述各表的分析结果，本矿山露天边坡岩体结构类型为块状结构、边坡完整程度为较完整。岩体基本均一，所以边坡破坏模式为平面型、折线型。</w:t>
      </w:r>
    </w:p>
    <w:p w14:paraId="58F99257">
      <w:pPr>
        <w:ind w:firstLine="560"/>
        <w:rPr>
          <w:color w:val="000000" w:themeColor="text1"/>
          <w:szCs w:val="28"/>
          <w14:textFill>
            <w14:solidFill>
              <w14:schemeClr w14:val="tx1"/>
            </w14:solidFill>
          </w14:textFill>
        </w:rPr>
      </w:pPr>
      <w:bookmarkStart w:id="2460" w:name="_Toc940"/>
      <w:bookmarkStart w:id="2461" w:name="_Toc26655"/>
      <w:bookmarkStart w:id="2462" w:name="_Toc15110"/>
      <w:r>
        <w:rPr>
          <w:color w:val="000000" w:themeColor="text1"/>
          <w:szCs w:val="28"/>
          <w14:textFill>
            <w14:solidFill>
              <w14:schemeClr w14:val="tx1"/>
            </w14:solidFill>
          </w14:textFill>
        </w:rPr>
        <w:t>3.露天边坡危害等级划分</w:t>
      </w:r>
    </w:p>
    <w:p w14:paraId="796FECC4">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51016-2014）表3.0.5（见下表），该露天边坡危害等级为Ⅲ级。</w:t>
      </w:r>
    </w:p>
    <w:p w14:paraId="55DB2140">
      <w:pPr>
        <w:ind w:firstLine="422"/>
        <w:jc w:val="center"/>
        <w:rPr>
          <w:rFonts w:hint="eastAsia" w:ascii="宋体" w:hAnsi="宋体" w:cs="宋体"/>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表3.4-8</w:t>
      </w:r>
      <w:r>
        <w:rPr>
          <w:rFonts w:hint="eastAsia" w:ascii="宋体" w:hAnsi="宋体" w:cs="宋体"/>
          <w:b/>
          <w:bCs/>
          <w:color w:val="000000" w:themeColor="text1"/>
          <w:sz w:val="21"/>
          <w:szCs w:val="21"/>
          <w14:textFill>
            <w14:solidFill>
              <w14:schemeClr w14:val="tx1"/>
            </w14:solidFill>
          </w14:textFill>
        </w:rPr>
        <w:t>边坡危害等级</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532"/>
        <w:gridCol w:w="1963"/>
        <w:gridCol w:w="1748"/>
        <w:gridCol w:w="1748"/>
      </w:tblGrid>
      <w:tr w14:paraId="5FCD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280" w:type="dxa"/>
            <w:gridSpan w:val="2"/>
            <w:vAlign w:val="center"/>
          </w:tcPr>
          <w:p w14:paraId="52976C71">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边坡危害等级</w:t>
            </w:r>
          </w:p>
        </w:tc>
        <w:tc>
          <w:tcPr>
            <w:tcW w:w="1963" w:type="dxa"/>
            <w:vAlign w:val="center"/>
          </w:tcPr>
          <w:p w14:paraId="1627FCE0">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I</w:t>
            </w:r>
          </w:p>
        </w:tc>
        <w:tc>
          <w:tcPr>
            <w:tcW w:w="1748" w:type="dxa"/>
            <w:vAlign w:val="center"/>
          </w:tcPr>
          <w:p w14:paraId="171CDE57">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Ⅱ</w:t>
            </w:r>
          </w:p>
        </w:tc>
        <w:tc>
          <w:tcPr>
            <w:tcW w:w="1748" w:type="dxa"/>
            <w:vAlign w:val="center"/>
          </w:tcPr>
          <w:p w14:paraId="498A7597">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Ⅲ</w:t>
            </w:r>
          </w:p>
        </w:tc>
      </w:tr>
      <w:tr w14:paraId="300C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280" w:type="dxa"/>
            <w:gridSpan w:val="2"/>
            <w:vAlign w:val="center"/>
          </w:tcPr>
          <w:p w14:paraId="7A3E045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可能的人员伤亡</w:t>
            </w:r>
          </w:p>
        </w:tc>
        <w:tc>
          <w:tcPr>
            <w:tcW w:w="1963" w:type="dxa"/>
            <w:vAlign w:val="center"/>
          </w:tcPr>
          <w:p w14:paraId="3839F51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有人员伤亡</w:t>
            </w:r>
          </w:p>
        </w:tc>
        <w:tc>
          <w:tcPr>
            <w:tcW w:w="1748" w:type="dxa"/>
            <w:vAlign w:val="center"/>
          </w:tcPr>
          <w:p w14:paraId="227C721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有人受伤</w:t>
            </w:r>
          </w:p>
        </w:tc>
        <w:tc>
          <w:tcPr>
            <w:tcW w:w="1748" w:type="dxa"/>
            <w:vAlign w:val="center"/>
          </w:tcPr>
          <w:p w14:paraId="1B30893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无人员伤亡</w:t>
            </w:r>
          </w:p>
        </w:tc>
      </w:tr>
      <w:tr w14:paraId="1FA5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8" w:type="dxa"/>
            <w:vMerge w:val="restart"/>
            <w:vAlign w:val="center"/>
          </w:tcPr>
          <w:p w14:paraId="6DC9F15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潜在的经济</w:t>
            </w:r>
          </w:p>
          <w:p w14:paraId="773C5C1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损失</w:t>
            </w:r>
          </w:p>
        </w:tc>
        <w:tc>
          <w:tcPr>
            <w:tcW w:w="1532" w:type="dxa"/>
            <w:vAlign w:val="center"/>
          </w:tcPr>
          <w:p w14:paraId="61A4BA5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直接</w:t>
            </w:r>
          </w:p>
        </w:tc>
        <w:tc>
          <w:tcPr>
            <w:tcW w:w="1963" w:type="dxa"/>
            <w:vAlign w:val="center"/>
          </w:tcPr>
          <w:p w14:paraId="078D5E1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≥100万</w:t>
            </w:r>
          </w:p>
        </w:tc>
        <w:tc>
          <w:tcPr>
            <w:tcW w:w="1748" w:type="dxa"/>
            <w:vAlign w:val="center"/>
          </w:tcPr>
          <w:p w14:paraId="555E906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50万～100万</w:t>
            </w:r>
          </w:p>
        </w:tc>
        <w:tc>
          <w:tcPr>
            <w:tcW w:w="1748" w:type="dxa"/>
            <w:vAlign w:val="center"/>
          </w:tcPr>
          <w:p w14:paraId="27D7DF7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≤50万</w:t>
            </w:r>
          </w:p>
        </w:tc>
      </w:tr>
      <w:tr w14:paraId="2B71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8" w:type="dxa"/>
            <w:vMerge w:val="continue"/>
            <w:vAlign w:val="center"/>
          </w:tcPr>
          <w:p w14:paraId="384B93A4">
            <w:pPr>
              <w:ind w:firstLine="400"/>
              <w:jc w:val="center"/>
              <w:rPr>
                <w:rFonts w:hint="eastAsia" w:ascii="宋体" w:hAnsi="宋体" w:cs="宋体"/>
                <w:color w:val="000000" w:themeColor="text1"/>
                <w:sz w:val="20"/>
                <w14:textFill>
                  <w14:solidFill>
                    <w14:schemeClr w14:val="tx1"/>
                  </w14:solidFill>
                </w14:textFill>
              </w:rPr>
            </w:pPr>
          </w:p>
        </w:tc>
        <w:tc>
          <w:tcPr>
            <w:tcW w:w="1532" w:type="dxa"/>
            <w:vAlign w:val="center"/>
          </w:tcPr>
          <w:p w14:paraId="466BDCB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间接</w:t>
            </w:r>
          </w:p>
        </w:tc>
        <w:tc>
          <w:tcPr>
            <w:tcW w:w="1963" w:type="dxa"/>
            <w:vAlign w:val="center"/>
          </w:tcPr>
          <w:p w14:paraId="32FFF03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≥1000万</w:t>
            </w:r>
          </w:p>
        </w:tc>
        <w:tc>
          <w:tcPr>
            <w:tcW w:w="1748" w:type="dxa"/>
            <w:vAlign w:val="center"/>
          </w:tcPr>
          <w:p w14:paraId="1FAE3DC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500万～1000万</w:t>
            </w:r>
          </w:p>
        </w:tc>
        <w:tc>
          <w:tcPr>
            <w:tcW w:w="1748" w:type="dxa"/>
            <w:vAlign w:val="center"/>
          </w:tcPr>
          <w:p w14:paraId="7A83C03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≤500万</w:t>
            </w:r>
          </w:p>
        </w:tc>
      </w:tr>
      <w:tr w14:paraId="744C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3280" w:type="dxa"/>
            <w:gridSpan w:val="2"/>
            <w:vAlign w:val="center"/>
          </w:tcPr>
          <w:p w14:paraId="2F3F32D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综合评定</w:t>
            </w:r>
          </w:p>
        </w:tc>
        <w:tc>
          <w:tcPr>
            <w:tcW w:w="1963" w:type="dxa"/>
            <w:vAlign w:val="center"/>
          </w:tcPr>
          <w:p w14:paraId="268DC79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很严重</w:t>
            </w:r>
          </w:p>
        </w:tc>
        <w:tc>
          <w:tcPr>
            <w:tcW w:w="1748" w:type="dxa"/>
            <w:vAlign w:val="center"/>
          </w:tcPr>
          <w:p w14:paraId="282E6D6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严重</w:t>
            </w:r>
          </w:p>
        </w:tc>
        <w:tc>
          <w:tcPr>
            <w:tcW w:w="1748" w:type="dxa"/>
            <w:vAlign w:val="center"/>
          </w:tcPr>
          <w:p w14:paraId="1828E7A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不严重</w:t>
            </w:r>
          </w:p>
        </w:tc>
      </w:tr>
    </w:tbl>
    <w:p w14:paraId="46171938">
      <w:pPr>
        <w:spacing w:before="120" w:beforeLines="5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4.露天边坡工程安全等级划分</w:t>
      </w:r>
    </w:p>
    <w:p w14:paraId="7F2F4A7D">
      <w:pPr>
        <w:ind w:firstLine="560"/>
        <w:rPr>
          <w:b/>
          <w:bCs/>
          <w:color w:val="000000" w:themeColor="text1"/>
          <w:sz w:val="24"/>
          <w14:textFill>
            <w14:solidFill>
              <w14:schemeClr w14:val="tx1"/>
            </w14:solidFill>
          </w14:textFill>
        </w:rPr>
      </w:pPr>
      <w:r>
        <w:rPr>
          <w:color w:val="000000" w:themeColor="text1"/>
          <w:szCs w:val="28"/>
          <w14:textFill>
            <w14:solidFill>
              <w14:schemeClr w14:val="tx1"/>
            </w14:solidFill>
          </w14:textFill>
        </w:rPr>
        <w:t>依据《非煤露天矿边坡工程技术规范》（GB 51016-2014）表3.0.6（见下表），该露天边坡最终高度为</w:t>
      </w:r>
      <w:r>
        <w:rPr>
          <w:rFonts w:hint="eastAsia"/>
          <w:color w:val="000000" w:themeColor="text1"/>
          <w:szCs w:val="28"/>
          <w14:textFill>
            <w14:solidFill>
              <w14:schemeClr w14:val="tx1"/>
            </w14:solidFill>
          </w14:textFill>
        </w:rPr>
        <w:t>110m</w:t>
      </w:r>
      <w:r>
        <w:rPr>
          <w:color w:val="000000" w:themeColor="text1"/>
          <w:szCs w:val="28"/>
          <w14:textFill>
            <w14:solidFill>
              <w14:schemeClr w14:val="tx1"/>
            </w14:solidFill>
          </w14:textFill>
        </w:rPr>
        <w:t>，所以工程安全等级Ⅲ级，边坡危害等级为Ⅲ级。</w:t>
      </w:r>
    </w:p>
    <w:p w14:paraId="544992BF">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表3.4-9</w:t>
      </w:r>
      <w:r>
        <w:rPr>
          <w:rFonts w:hint="eastAsia" w:ascii="宋体" w:hAnsi="宋体" w:cs="宋体"/>
          <w:b/>
          <w:bCs/>
          <w:color w:val="000000" w:themeColor="text1"/>
          <w:sz w:val="21"/>
          <w:szCs w:val="21"/>
          <w14:textFill>
            <w14:solidFill>
              <w14:schemeClr w14:val="tx1"/>
            </w14:solidFill>
          </w14:textFill>
        </w:rPr>
        <w:t>边坡工程安全等级划分</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813"/>
        <w:gridCol w:w="2813"/>
      </w:tblGrid>
      <w:tr w14:paraId="0E76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tblHeader/>
          <w:jc w:val="center"/>
        </w:trPr>
        <w:tc>
          <w:tcPr>
            <w:tcW w:w="2812" w:type="dxa"/>
            <w:vAlign w:val="center"/>
          </w:tcPr>
          <w:p w14:paraId="258F949C">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边坡工程安全等级</w:t>
            </w:r>
          </w:p>
        </w:tc>
        <w:tc>
          <w:tcPr>
            <w:tcW w:w="2813" w:type="dxa"/>
            <w:vAlign w:val="center"/>
          </w:tcPr>
          <w:p w14:paraId="1044FBBE">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边坡高度H（m）</w:t>
            </w:r>
          </w:p>
        </w:tc>
        <w:tc>
          <w:tcPr>
            <w:tcW w:w="2813" w:type="dxa"/>
            <w:vAlign w:val="center"/>
          </w:tcPr>
          <w:p w14:paraId="417A5E0C">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边坡危害等级</w:t>
            </w:r>
          </w:p>
        </w:tc>
      </w:tr>
      <w:tr w14:paraId="256F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restart"/>
            <w:vAlign w:val="center"/>
          </w:tcPr>
          <w:p w14:paraId="7E4DF4A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I</w:t>
            </w:r>
          </w:p>
        </w:tc>
        <w:tc>
          <w:tcPr>
            <w:tcW w:w="2813" w:type="dxa"/>
            <w:vAlign w:val="center"/>
          </w:tcPr>
          <w:p w14:paraId="0FAFABF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H﹥500</w:t>
            </w:r>
          </w:p>
        </w:tc>
        <w:tc>
          <w:tcPr>
            <w:tcW w:w="2813" w:type="dxa"/>
            <w:vAlign w:val="center"/>
          </w:tcPr>
          <w:p w14:paraId="61661CE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I.Ⅱ、Ⅲ</w:t>
            </w:r>
          </w:p>
        </w:tc>
      </w:tr>
      <w:tr w14:paraId="2FAE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39EC50C7">
            <w:pPr>
              <w:ind w:firstLine="400"/>
              <w:jc w:val="center"/>
              <w:rPr>
                <w:rFonts w:hint="eastAsia" w:ascii="宋体" w:hAnsi="宋体" w:cs="宋体"/>
                <w:color w:val="000000" w:themeColor="text1"/>
                <w:sz w:val="20"/>
                <w14:textFill>
                  <w14:solidFill>
                    <w14:schemeClr w14:val="tx1"/>
                  </w14:solidFill>
                </w14:textFill>
              </w:rPr>
            </w:pPr>
          </w:p>
        </w:tc>
        <w:tc>
          <w:tcPr>
            <w:tcW w:w="2813" w:type="dxa"/>
            <w:vAlign w:val="center"/>
          </w:tcPr>
          <w:p w14:paraId="39E3C6B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300﹤H≤500</w:t>
            </w:r>
          </w:p>
        </w:tc>
        <w:tc>
          <w:tcPr>
            <w:tcW w:w="2813" w:type="dxa"/>
            <w:vAlign w:val="center"/>
          </w:tcPr>
          <w:p w14:paraId="724A83C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I.Ⅱ</w:t>
            </w:r>
          </w:p>
        </w:tc>
      </w:tr>
      <w:tr w14:paraId="029C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5BA8A501">
            <w:pPr>
              <w:ind w:firstLine="400"/>
              <w:jc w:val="center"/>
              <w:rPr>
                <w:rFonts w:hint="eastAsia" w:ascii="宋体" w:hAnsi="宋体" w:cs="宋体"/>
                <w:color w:val="000000" w:themeColor="text1"/>
                <w:sz w:val="20"/>
                <w14:textFill>
                  <w14:solidFill>
                    <w14:schemeClr w14:val="tx1"/>
                  </w14:solidFill>
                </w14:textFill>
              </w:rPr>
            </w:pPr>
          </w:p>
        </w:tc>
        <w:tc>
          <w:tcPr>
            <w:tcW w:w="2813" w:type="dxa"/>
            <w:vAlign w:val="center"/>
          </w:tcPr>
          <w:p w14:paraId="6FCEF33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100﹤H≤300</w:t>
            </w:r>
          </w:p>
        </w:tc>
        <w:tc>
          <w:tcPr>
            <w:tcW w:w="2813" w:type="dxa"/>
            <w:vAlign w:val="center"/>
          </w:tcPr>
          <w:p w14:paraId="7155C61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I</w:t>
            </w:r>
          </w:p>
        </w:tc>
      </w:tr>
      <w:tr w14:paraId="0396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restart"/>
            <w:vAlign w:val="center"/>
          </w:tcPr>
          <w:p w14:paraId="4893E70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Ⅱ</w:t>
            </w:r>
          </w:p>
        </w:tc>
        <w:tc>
          <w:tcPr>
            <w:tcW w:w="2813" w:type="dxa"/>
            <w:vAlign w:val="center"/>
          </w:tcPr>
          <w:p w14:paraId="6D1326E0">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300﹤H≤500</w:t>
            </w:r>
          </w:p>
        </w:tc>
        <w:tc>
          <w:tcPr>
            <w:tcW w:w="2813" w:type="dxa"/>
            <w:vAlign w:val="center"/>
          </w:tcPr>
          <w:p w14:paraId="12C751B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Ⅲ</w:t>
            </w:r>
          </w:p>
        </w:tc>
      </w:tr>
      <w:tr w14:paraId="7013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487E160C">
            <w:pPr>
              <w:ind w:firstLine="400"/>
              <w:jc w:val="center"/>
              <w:rPr>
                <w:rFonts w:hint="eastAsia" w:ascii="宋体" w:hAnsi="宋体" w:cs="宋体"/>
                <w:color w:val="000000" w:themeColor="text1"/>
                <w:sz w:val="20"/>
                <w14:textFill>
                  <w14:solidFill>
                    <w14:schemeClr w14:val="tx1"/>
                  </w14:solidFill>
                </w14:textFill>
              </w:rPr>
            </w:pPr>
          </w:p>
        </w:tc>
        <w:tc>
          <w:tcPr>
            <w:tcW w:w="2813" w:type="dxa"/>
            <w:vAlign w:val="center"/>
          </w:tcPr>
          <w:p w14:paraId="282097C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100﹤H≤300</w:t>
            </w:r>
          </w:p>
        </w:tc>
        <w:tc>
          <w:tcPr>
            <w:tcW w:w="2813" w:type="dxa"/>
            <w:vAlign w:val="center"/>
          </w:tcPr>
          <w:p w14:paraId="056ADFA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Ⅱ、Ⅲ</w:t>
            </w:r>
          </w:p>
        </w:tc>
      </w:tr>
      <w:tr w14:paraId="5637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35A546F0">
            <w:pPr>
              <w:ind w:firstLine="400"/>
              <w:jc w:val="center"/>
              <w:rPr>
                <w:rFonts w:hint="eastAsia" w:ascii="宋体" w:hAnsi="宋体" w:cs="宋体"/>
                <w:color w:val="000000" w:themeColor="text1"/>
                <w:sz w:val="20"/>
                <w14:textFill>
                  <w14:solidFill>
                    <w14:schemeClr w14:val="tx1"/>
                  </w14:solidFill>
                </w14:textFill>
              </w:rPr>
            </w:pPr>
          </w:p>
          <w:p w14:paraId="209F3A3C">
            <w:pPr>
              <w:ind w:firstLine="400"/>
              <w:jc w:val="center"/>
              <w:rPr>
                <w:rFonts w:hint="eastAsia" w:ascii="宋体" w:hAnsi="宋体" w:cs="宋体"/>
                <w:color w:val="000000" w:themeColor="text1"/>
                <w:sz w:val="20"/>
                <w14:textFill>
                  <w14:solidFill>
                    <w14:schemeClr w14:val="tx1"/>
                  </w14:solidFill>
                </w14:textFill>
              </w:rPr>
            </w:pPr>
          </w:p>
        </w:tc>
        <w:tc>
          <w:tcPr>
            <w:tcW w:w="2813" w:type="dxa"/>
            <w:vAlign w:val="center"/>
          </w:tcPr>
          <w:p w14:paraId="1789C97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H≤100</w:t>
            </w:r>
          </w:p>
        </w:tc>
        <w:tc>
          <w:tcPr>
            <w:tcW w:w="2813" w:type="dxa"/>
            <w:vAlign w:val="center"/>
          </w:tcPr>
          <w:p w14:paraId="1C03BB5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I</w:t>
            </w:r>
          </w:p>
        </w:tc>
      </w:tr>
      <w:tr w14:paraId="0A08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restart"/>
            <w:vAlign w:val="center"/>
          </w:tcPr>
          <w:p w14:paraId="38DCBCCC">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Ⅲ</w:t>
            </w:r>
          </w:p>
        </w:tc>
        <w:tc>
          <w:tcPr>
            <w:tcW w:w="2813" w:type="dxa"/>
            <w:vAlign w:val="center"/>
          </w:tcPr>
          <w:p w14:paraId="0743B87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100﹤H≤300</w:t>
            </w:r>
          </w:p>
        </w:tc>
        <w:tc>
          <w:tcPr>
            <w:tcW w:w="2813" w:type="dxa"/>
            <w:vAlign w:val="center"/>
          </w:tcPr>
          <w:p w14:paraId="4C08D60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Ⅲ</w:t>
            </w:r>
          </w:p>
        </w:tc>
      </w:tr>
      <w:tr w14:paraId="79BB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2812" w:type="dxa"/>
            <w:vMerge w:val="continue"/>
            <w:vAlign w:val="center"/>
          </w:tcPr>
          <w:p w14:paraId="7A94DCC3">
            <w:pPr>
              <w:ind w:firstLine="400"/>
              <w:jc w:val="center"/>
              <w:rPr>
                <w:rFonts w:hint="eastAsia" w:ascii="宋体" w:hAnsi="宋体" w:cs="宋体"/>
                <w:color w:val="000000" w:themeColor="text1"/>
                <w:sz w:val="20"/>
                <w14:textFill>
                  <w14:solidFill>
                    <w14:schemeClr w14:val="tx1"/>
                  </w14:solidFill>
                </w14:textFill>
              </w:rPr>
            </w:pPr>
          </w:p>
        </w:tc>
        <w:tc>
          <w:tcPr>
            <w:tcW w:w="2813" w:type="dxa"/>
            <w:vAlign w:val="center"/>
          </w:tcPr>
          <w:p w14:paraId="3BE624AB">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H≤100</w:t>
            </w:r>
          </w:p>
        </w:tc>
        <w:tc>
          <w:tcPr>
            <w:tcW w:w="2813" w:type="dxa"/>
            <w:vAlign w:val="center"/>
          </w:tcPr>
          <w:p w14:paraId="0719897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Ⅱ、Ⅲ</w:t>
            </w:r>
          </w:p>
        </w:tc>
      </w:tr>
      <w:bookmarkEnd w:id="2460"/>
      <w:bookmarkEnd w:id="2461"/>
      <w:bookmarkEnd w:id="2462"/>
    </w:tbl>
    <w:p w14:paraId="26BCCF96">
      <w:pPr>
        <w:ind w:firstLine="0" w:firstLineChars="0"/>
        <w:rPr>
          <w:b/>
          <w:bCs/>
          <w:color w:val="000000" w:themeColor="text1"/>
          <w:szCs w:val="28"/>
          <w14:textFill>
            <w14:solidFill>
              <w14:schemeClr w14:val="tx1"/>
            </w14:solidFill>
          </w14:textFill>
        </w:rPr>
      </w:pPr>
    </w:p>
    <w:p w14:paraId="34746551">
      <w:pP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三、</w:t>
      </w:r>
      <w:r>
        <w:rPr>
          <w:b/>
          <w:bCs/>
          <w:color w:val="000000" w:themeColor="text1"/>
          <w:szCs w:val="28"/>
          <w14:textFill>
            <w14:solidFill>
              <w14:schemeClr w14:val="tx1"/>
            </w14:solidFill>
          </w14:textFill>
        </w:rPr>
        <w:t>稳定性分析</w:t>
      </w:r>
    </w:p>
    <w:p w14:paraId="705F9443">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1.稳定性计算方法和计算软件</w:t>
      </w:r>
    </w:p>
    <w:p w14:paraId="1DC7C541">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依据《非煤露天矿边坡工程技术规范》（GB 51016-2014），针对构成边坡的地质产状、最终边坡倾向，采用</w:t>
      </w:r>
      <w:r>
        <w:rPr>
          <w:rFonts w:hint="eastAsia"/>
          <w:color w:val="000000" w:themeColor="text1"/>
          <w:szCs w:val="28"/>
          <w14:textFill>
            <w14:solidFill>
              <w14:schemeClr w14:val="tx1"/>
            </w14:solidFill>
          </w14:textFill>
        </w:rPr>
        <w:t>不平衡推力传递</w:t>
      </w:r>
      <w:r>
        <w:rPr>
          <w:color w:val="000000" w:themeColor="text1"/>
          <w:szCs w:val="28"/>
          <w14:textFill>
            <w14:solidFill>
              <w14:schemeClr w14:val="tx1"/>
            </w14:solidFill>
          </w14:textFill>
        </w:rPr>
        <w:t>法对边坡稳定性进行验算</w:t>
      </w:r>
      <w:r>
        <w:rPr>
          <w:rFonts w:hint="eastAsia"/>
          <w:color w:val="000000" w:themeColor="text1"/>
          <w:szCs w:val="28"/>
          <w14:textFill>
            <w14:solidFill>
              <w14:schemeClr w14:val="tx1"/>
            </w14:solidFill>
          </w14:textFill>
        </w:rPr>
        <w:t>。</w:t>
      </w:r>
    </w:p>
    <w:p w14:paraId="13E70C48">
      <w:pPr>
        <w:ind w:firstLine="560"/>
        <w:rPr>
          <w:rFonts w:hint="eastAsia" w:ascii="宋体" w:hAnsi="宋体" w:cs="宋体"/>
          <w:b/>
          <w:bCs/>
          <w:color w:val="000000" w:themeColor="text1"/>
          <w:sz w:val="21"/>
          <w:szCs w:val="21"/>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不同荷载组合下总体边坡的设计安全系数取值满足《非煤露天矿边坡工程技术规范》（GB 51016-2014）表</w:t>
      </w:r>
      <w:r>
        <w:rPr>
          <w:rFonts w:hint="eastAsia"/>
          <w:b/>
          <w:bCs/>
          <w:color w:val="000000" w:themeColor="text1"/>
          <w:sz w:val="24"/>
          <w14:textFill>
            <w14:solidFill>
              <w14:schemeClr w14:val="tx1"/>
            </w14:solidFill>
          </w14:textFill>
        </w:rPr>
        <w:t>2.4-22</w:t>
      </w:r>
      <w:r>
        <w:rPr>
          <w:color w:val="000000" w:themeColor="text1"/>
          <w:szCs w:val="28"/>
          <w14:textFill>
            <w14:solidFill>
              <w14:schemeClr w14:val="tx1"/>
            </w14:solidFill>
          </w14:textFill>
        </w:rPr>
        <w:t>的要求（见下表）。</w:t>
      </w:r>
    </w:p>
    <w:p w14:paraId="21CEEC71">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表3.4-10</w:t>
      </w:r>
      <w:r>
        <w:rPr>
          <w:rFonts w:hint="eastAsia" w:ascii="宋体" w:hAnsi="宋体" w:cs="宋体"/>
          <w:b/>
          <w:bCs/>
          <w:color w:val="000000" w:themeColor="text1"/>
          <w:sz w:val="21"/>
          <w:szCs w:val="21"/>
          <w14:textFill>
            <w14:solidFill>
              <w14:schemeClr w14:val="tx1"/>
            </w14:solidFill>
          </w14:textFill>
        </w:rPr>
        <w:t>不同荷载组合下总体边坡的设计安全系数</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2164"/>
        <w:gridCol w:w="2166"/>
        <w:gridCol w:w="2166"/>
      </w:tblGrid>
      <w:tr w14:paraId="28B75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4" w:type="dxa"/>
            <w:vMerge w:val="restart"/>
            <w:vAlign w:val="center"/>
          </w:tcPr>
          <w:p w14:paraId="1A516D11">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边坡工程</w:t>
            </w:r>
          </w:p>
          <w:p w14:paraId="40D1D9A0">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安全等级</w:t>
            </w:r>
          </w:p>
        </w:tc>
        <w:tc>
          <w:tcPr>
            <w:tcW w:w="6496" w:type="dxa"/>
            <w:gridSpan w:val="3"/>
            <w:vAlign w:val="center"/>
          </w:tcPr>
          <w:p w14:paraId="4D96AEA8">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边坡工程设计安全系数</w:t>
            </w:r>
          </w:p>
        </w:tc>
      </w:tr>
      <w:tr w14:paraId="4F4E4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Merge w:val="continue"/>
            <w:vAlign w:val="center"/>
          </w:tcPr>
          <w:p w14:paraId="1C0E0180">
            <w:pPr>
              <w:ind w:firstLine="402"/>
              <w:jc w:val="center"/>
              <w:rPr>
                <w:rFonts w:hint="eastAsia" w:ascii="宋体" w:hAnsi="宋体" w:cs="宋体"/>
                <w:b/>
                <w:bCs/>
                <w:color w:val="000000" w:themeColor="text1"/>
                <w:sz w:val="20"/>
                <w14:textFill>
                  <w14:solidFill>
                    <w14:schemeClr w14:val="tx1"/>
                  </w14:solidFill>
                </w14:textFill>
              </w:rPr>
            </w:pPr>
          </w:p>
        </w:tc>
        <w:tc>
          <w:tcPr>
            <w:tcW w:w="2164" w:type="dxa"/>
            <w:vAlign w:val="center"/>
          </w:tcPr>
          <w:p w14:paraId="605C4FD5">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载荷组合Ⅰ</w:t>
            </w:r>
          </w:p>
        </w:tc>
        <w:tc>
          <w:tcPr>
            <w:tcW w:w="2166" w:type="dxa"/>
            <w:vAlign w:val="center"/>
          </w:tcPr>
          <w:p w14:paraId="506F9165">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载荷组合Ⅱ</w:t>
            </w:r>
          </w:p>
        </w:tc>
        <w:tc>
          <w:tcPr>
            <w:tcW w:w="2166" w:type="dxa"/>
            <w:vAlign w:val="center"/>
          </w:tcPr>
          <w:p w14:paraId="6329A28F">
            <w:pPr>
              <w:ind w:firstLine="402"/>
              <w:jc w:val="center"/>
              <w:rPr>
                <w:rFonts w:hint="eastAsia" w:ascii="宋体" w:hAnsi="宋体" w:cs="宋体"/>
                <w:b/>
                <w:bCs/>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载荷组合Ⅲ</w:t>
            </w:r>
          </w:p>
        </w:tc>
      </w:tr>
      <w:tr w14:paraId="71C14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Align w:val="center"/>
          </w:tcPr>
          <w:p w14:paraId="089798D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Ⅰ</w:t>
            </w:r>
          </w:p>
        </w:tc>
        <w:tc>
          <w:tcPr>
            <w:tcW w:w="2164" w:type="dxa"/>
            <w:vAlign w:val="center"/>
          </w:tcPr>
          <w:p w14:paraId="3ACEA86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1.25~1.20</w:t>
            </w:r>
          </w:p>
        </w:tc>
        <w:tc>
          <w:tcPr>
            <w:tcW w:w="2166" w:type="dxa"/>
            <w:vAlign w:val="center"/>
          </w:tcPr>
          <w:p w14:paraId="251F316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1.23~1.18</w:t>
            </w:r>
          </w:p>
        </w:tc>
        <w:tc>
          <w:tcPr>
            <w:tcW w:w="2166" w:type="dxa"/>
            <w:vAlign w:val="center"/>
          </w:tcPr>
          <w:p w14:paraId="38B7799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1.20~1.15</w:t>
            </w:r>
          </w:p>
        </w:tc>
      </w:tr>
      <w:tr w14:paraId="28DB7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Align w:val="center"/>
          </w:tcPr>
          <w:p w14:paraId="1EFA3BB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Ⅱ</w:t>
            </w:r>
          </w:p>
        </w:tc>
        <w:tc>
          <w:tcPr>
            <w:tcW w:w="2164" w:type="dxa"/>
            <w:vAlign w:val="center"/>
          </w:tcPr>
          <w:p w14:paraId="00D1A7D6">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1.20~1.15</w:t>
            </w:r>
          </w:p>
        </w:tc>
        <w:tc>
          <w:tcPr>
            <w:tcW w:w="2166" w:type="dxa"/>
            <w:vAlign w:val="center"/>
          </w:tcPr>
          <w:p w14:paraId="062073BE">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1.18~1.13</w:t>
            </w:r>
          </w:p>
        </w:tc>
        <w:tc>
          <w:tcPr>
            <w:tcW w:w="2166" w:type="dxa"/>
            <w:vAlign w:val="center"/>
          </w:tcPr>
          <w:p w14:paraId="2604FFF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1.15~1.10</w:t>
            </w:r>
          </w:p>
        </w:tc>
      </w:tr>
      <w:tr w14:paraId="3CA96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Align w:val="center"/>
          </w:tcPr>
          <w:p w14:paraId="075EF45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Ⅲ</w:t>
            </w:r>
          </w:p>
        </w:tc>
        <w:tc>
          <w:tcPr>
            <w:tcW w:w="2164" w:type="dxa"/>
            <w:vAlign w:val="center"/>
          </w:tcPr>
          <w:p w14:paraId="60D18C6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1.15~1.10</w:t>
            </w:r>
          </w:p>
        </w:tc>
        <w:tc>
          <w:tcPr>
            <w:tcW w:w="2166" w:type="dxa"/>
            <w:vAlign w:val="center"/>
          </w:tcPr>
          <w:p w14:paraId="62035FB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1.13~1.08</w:t>
            </w:r>
          </w:p>
        </w:tc>
        <w:tc>
          <w:tcPr>
            <w:tcW w:w="2166" w:type="dxa"/>
            <w:vAlign w:val="center"/>
          </w:tcPr>
          <w:p w14:paraId="367B8BA8">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1.10~1.05</w:t>
            </w:r>
          </w:p>
        </w:tc>
      </w:tr>
      <w:tr w14:paraId="1D8F4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660" w:type="dxa"/>
            <w:gridSpan w:val="4"/>
            <w:vAlign w:val="center"/>
          </w:tcPr>
          <w:p w14:paraId="4A76BC3E">
            <w:pPr>
              <w:ind w:firstLine="402"/>
              <w:rPr>
                <w:rFonts w:hint="eastAsia" w:ascii="宋体" w:hAnsi="宋体" w:cs="宋体"/>
                <w:color w:val="000000" w:themeColor="text1"/>
                <w:sz w:val="20"/>
                <w14:textFill>
                  <w14:solidFill>
                    <w14:schemeClr w14:val="tx1"/>
                  </w14:solidFill>
                </w14:textFill>
              </w:rPr>
            </w:pPr>
            <w:r>
              <w:rPr>
                <w:rFonts w:hint="eastAsia" w:ascii="宋体" w:hAnsi="宋体" w:cs="宋体"/>
                <w:b/>
                <w:bCs/>
                <w:color w:val="000000" w:themeColor="text1"/>
                <w:sz w:val="20"/>
                <w14:textFill>
                  <w14:solidFill>
                    <w14:schemeClr w14:val="tx1"/>
                  </w14:solidFill>
                </w14:textFill>
              </w:rPr>
              <w:t>注：</w:t>
            </w:r>
            <w:r>
              <w:rPr>
                <w:rFonts w:hint="eastAsia" w:ascii="宋体" w:hAnsi="宋体" w:cs="宋体"/>
                <w:color w:val="000000" w:themeColor="text1"/>
                <w:sz w:val="20"/>
                <w14:textFill>
                  <w14:solidFill>
                    <w14:schemeClr w14:val="tx1"/>
                  </w14:solidFill>
                </w14:textFill>
              </w:rPr>
              <w:t>①载荷组合Ⅰ为自重＋地下水；载荷组合Ⅱ为自重＋地下水＋爆破振动力；载荷组合</w:t>
            </w:r>
            <w:r>
              <w:rPr>
                <w:rFonts w:hint="eastAsia" w:ascii="宋体" w:hAnsi="宋体" w:cs="宋体"/>
                <w:b/>
                <w:bCs/>
                <w:color w:val="000000" w:themeColor="text1"/>
                <w:sz w:val="20"/>
                <w14:textFill>
                  <w14:solidFill>
                    <w14:schemeClr w14:val="tx1"/>
                  </w14:solidFill>
                </w14:textFill>
              </w:rPr>
              <w:t>Ⅲ</w:t>
            </w:r>
            <w:r>
              <w:rPr>
                <w:rFonts w:hint="eastAsia" w:ascii="宋体" w:hAnsi="宋体" w:cs="宋体"/>
                <w:color w:val="000000" w:themeColor="text1"/>
                <w:sz w:val="20"/>
                <w14:textFill>
                  <w14:solidFill>
                    <w14:schemeClr w14:val="tx1"/>
                  </w14:solidFill>
                </w14:textFill>
              </w:rPr>
              <w:t>为自重＋地下水＋地震力。</w:t>
            </w:r>
          </w:p>
          <w:p w14:paraId="48206353">
            <w:pPr>
              <w:ind w:firstLine="400"/>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②对台阶边坡和临时性工作帮，允许有一定程度的破坏，设计安全系数可适当降低。</w:t>
            </w:r>
          </w:p>
        </w:tc>
      </w:tr>
    </w:tbl>
    <w:p w14:paraId="1CC875EC">
      <w:pPr>
        <w:adjustRightInd w:val="0"/>
        <w:snapToGrid w:val="0"/>
        <w:ind w:firstLine="560"/>
        <w:rPr>
          <w:color w:val="000000" w:themeColor="text1"/>
          <w:szCs w:val="28"/>
          <w14:textFill>
            <w14:solidFill>
              <w14:schemeClr w14:val="tx1"/>
            </w14:solidFill>
          </w14:textFill>
        </w:rPr>
      </w:pPr>
      <w:bookmarkStart w:id="2463" w:name="_Hlk209171431"/>
      <w:r>
        <w:rPr>
          <w:color w:val="000000" w:themeColor="text1"/>
          <w:szCs w:val="28"/>
          <w14:textFill>
            <w14:solidFill>
              <w14:schemeClr w14:val="tx1"/>
            </w14:solidFill>
          </w14:textFill>
        </w:rPr>
        <w:t>设计边坡工程安全等级为Ⅲ级，所以选择载荷组合Ⅰ、Ⅲ为验算的安全系数，边坡设计安全系数应符合上表取值范围。</w:t>
      </w:r>
      <w:bookmarkEnd w:id="2463"/>
    </w:p>
    <w:p w14:paraId="51609222">
      <w:pPr>
        <w:ind w:firstLine="560"/>
        <w:rPr>
          <w:color w:val="000000" w:themeColor="text1"/>
          <w:szCs w:val="28"/>
          <w14:textFill>
            <w14:solidFill>
              <w14:schemeClr w14:val="tx1"/>
            </w14:solidFill>
          </w14:textFill>
        </w:rPr>
      </w:pPr>
      <w:bookmarkStart w:id="2464" w:name="_Hlk209171650"/>
      <w:r>
        <w:rPr>
          <w:rFonts w:hint="eastAsia"/>
          <w:color w:val="000000" w:themeColor="text1"/>
          <w:szCs w:val="28"/>
          <w14:textFill>
            <w14:solidFill>
              <w14:schemeClr w14:val="tx1"/>
            </w14:solidFill>
          </w14:textFill>
        </w:rPr>
        <w:t>（3）</w:t>
      </w:r>
      <w:r>
        <w:rPr>
          <w:color w:val="000000" w:themeColor="text1"/>
          <w:szCs w:val="28"/>
          <w14:textFill>
            <w14:solidFill>
              <w14:schemeClr w14:val="tx1"/>
            </w14:solidFill>
          </w14:textFill>
        </w:rPr>
        <w:t>石灰岩物理力学参数的选取</w:t>
      </w:r>
    </w:p>
    <w:p w14:paraId="00D3136C">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由于本矿山未做过相关岩石力学实验，根据矿山地质报告及现场调查显示：本矿山石灰岩属硬性岩体，结构面结合性较好，岩层面无泥夹层出现，因此本矿山滑动面抗剪强度指标参考《非煤露天矿边坡工程技术规范》（GB 51016-2014）中表C.1.2边坡岩体结构面抗剪强度标准值表中按</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无充填，结合一般的硬性结构面</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参数最小值进行选取。</w:t>
      </w:r>
    </w:p>
    <w:p w14:paraId="3C9CCD62">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表3.4-11</w:t>
      </w:r>
      <w:r>
        <w:rPr>
          <w:rFonts w:hint="eastAsia" w:ascii="宋体" w:hAnsi="宋体" w:cs="宋体"/>
          <w:b/>
          <w:bCs/>
          <w:color w:val="000000" w:themeColor="text1"/>
          <w:sz w:val="21"/>
          <w:szCs w:val="21"/>
          <w14:textFill>
            <w14:solidFill>
              <w14:schemeClr w14:val="tx1"/>
            </w14:solidFill>
          </w14:textFill>
        </w:rPr>
        <w:t xml:space="preserve">  石灰岩物理力学参数综合取值表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86"/>
        <w:gridCol w:w="1186"/>
        <w:gridCol w:w="1173"/>
        <w:gridCol w:w="1036"/>
        <w:gridCol w:w="1105"/>
        <w:gridCol w:w="1054"/>
      </w:tblGrid>
      <w:tr w14:paraId="47707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Merge w:val="restart"/>
            <w:vAlign w:val="center"/>
          </w:tcPr>
          <w:p w14:paraId="667FF67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-54610</wp:posOffset>
                      </wp:positionH>
                      <wp:positionV relativeFrom="paragraph">
                        <wp:posOffset>-16510</wp:posOffset>
                      </wp:positionV>
                      <wp:extent cx="1230630" cy="621030"/>
                      <wp:effectExtent l="12065" t="12065" r="5080" b="5080"/>
                      <wp:wrapNone/>
                      <wp:docPr id="1788432681" name="直接连接符 11"/>
                      <wp:cNvGraphicFramePr/>
                      <a:graphic xmlns:a="http://schemas.openxmlformats.org/drawingml/2006/main">
                        <a:graphicData uri="http://schemas.microsoft.com/office/word/2010/wordprocessingShape">
                          <wps:wsp>
                            <wps:cNvCnPr>
                              <a:cxnSpLocks noChangeShapeType="1"/>
                            </wps:cNvCnPr>
                            <wps:spPr bwMode="auto">
                              <a:xfrm flipH="1" flipV="1">
                                <a:off x="0" y="0"/>
                                <a:ext cx="1230630" cy="621030"/>
                              </a:xfrm>
                              <a:prstGeom prst="line">
                                <a:avLst/>
                              </a:prstGeom>
                              <a:noFill/>
                              <a:ln w="9525">
                                <a:solidFill>
                                  <a:srgbClr val="000000"/>
                                </a:solidFill>
                                <a:round/>
                              </a:ln>
                            </wps:spPr>
                            <wps:bodyPr/>
                          </wps:wsp>
                        </a:graphicData>
                      </a:graphic>
                    </wp:anchor>
                  </w:drawing>
                </mc:Choice>
                <mc:Fallback>
                  <w:pict>
                    <v:line id="直接连接符 11" o:spid="_x0000_s1026" o:spt="20" style="position:absolute;left:0pt;flip:x y;margin-left:-4.3pt;margin-top:-1.3pt;height:48.9pt;width:96.9pt;z-index:251667456;mso-width-relative:page;mso-height-relative:page;" filled="f" stroked="t" coordsize="21600,21600" o:gfxdata="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VEN5dIAAAAIAQAADwAAAAAAAAABACAAAAAiAAAAZHJzL2Rvd25yZXYueG1sUEsB&#10;AhQAFAAAAAgAh07iQLI9hAr7AQAAzQMAAA4AAAAAAAAAAQAgAAAAIQEAAGRycy9lMm9Eb2MueG1s&#10;UEsFBgAAAAAGAAYAWQEAAI4FAAAAAA==&#10;">
                      <v:fill on="f" focussize="0,0"/>
                      <v:stroke color="#000000" joinstyle="round"/>
                      <v:imagedata o:title=""/>
                      <o:lock v:ext="edit" aspectratio="f"/>
                    </v:line>
                  </w:pict>
                </mc:Fallback>
              </mc:AlternateContent>
            </w:r>
            <w:r>
              <w:rPr>
                <w:rFonts w:hint="eastAsia" w:ascii="宋体" w:hAnsi="宋体" w:cs="宋体"/>
                <w:color w:val="000000" w:themeColor="text1"/>
                <w:sz w:val="20"/>
                <w14:textFill>
                  <w14:solidFill>
                    <w14:schemeClr w14:val="tx1"/>
                  </w14:solidFill>
                </w14:textFill>
              </w:rPr>
              <w:t xml:space="preserve">    项目</w:t>
            </w:r>
          </w:p>
          <w:p w14:paraId="561E9AE1">
            <w:pPr>
              <w:ind w:firstLine="400"/>
              <w:jc w:val="center"/>
              <w:rPr>
                <w:rFonts w:hint="eastAsia" w:ascii="宋体" w:hAnsi="宋体" w:cs="宋体"/>
                <w:color w:val="000000" w:themeColor="text1"/>
                <w:sz w:val="20"/>
                <w14:textFill>
                  <w14:solidFill>
                    <w14:schemeClr w14:val="tx1"/>
                  </w14:solidFill>
                </w14:textFill>
              </w:rPr>
            </w:pPr>
          </w:p>
          <w:p w14:paraId="6F28824D">
            <w:pPr>
              <w:ind w:firstLine="400"/>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岩矿名称</w:t>
            </w:r>
          </w:p>
        </w:tc>
        <w:tc>
          <w:tcPr>
            <w:tcW w:w="1186" w:type="dxa"/>
            <w:vMerge w:val="restart"/>
            <w:vAlign w:val="center"/>
          </w:tcPr>
          <w:p w14:paraId="001BB8A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重度</w:t>
            </w:r>
          </w:p>
        </w:tc>
        <w:tc>
          <w:tcPr>
            <w:tcW w:w="1186" w:type="dxa"/>
            <w:vMerge w:val="restart"/>
            <w:vAlign w:val="center"/>
          </w:tcPr>
          <w:p w14:paraId="4287180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饱和重度</w:t>
            </w:r>
          </w:p>
        </w:tc>
        <w:tc>
          <w:tcPr>
            <w:tcW w:w="4368" w:type="dxa"/>
            <w:gridSpan w:val="4"/>
            <w:vAlign w:val="center"/>
          </w:tcPr>
          <w:p w14:paraId="53B0F9E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抗剪强度</w:t>
            </w:r>
          </w:p>
        </w:tc>
      </w:tr>
      <w:tr w14:paraId="3BAAF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980" w:type="dxa"/>
            <w:vMerge w:val="continue"/>
            <w:vAlign w:val="center"/>
          </w:tcPr>
          <w:p w14:paraId="3FC03AFC">
            <w:pPr>
              <w:ind w:firstLine="400"/>
              <w:jc w:val="center"/>
              <w:rPr>
                <w:rFonts w:hint="eastAsia" w:ascii="宋体" w:hAnsi="宋体" w:cs="宋体"/>
                <w:color w:val="000000" w:themeColor="text1"/>
                <w:sz w:val="20"/>
                <w14:textFill>
                  <w14:solidFill>
                    <w14:schemeClr w14:val="tx1"/>
                  </w14:solidFill>
                </w14:textFill>
              </w:rPr>
            </w:pPr>
          </w:p>
        </w:tc>
        <w:tc>
          <w:tcPr>
            <w:tcW w:w="1186" w:type="dxa"/>
            <w:vMerge w:val="continue"/>
            <w:vAlign w:val="center"/>
          </w:tcPr>
          <w:p w14:paraId="4CA3A173">
            <w:pPr>
              <w:ind w:firstLine="400"/>
              <w:jc w:val="center"/>
              <w:rPr>
                <w:rFonts w:hint="eastAsia" w:ascii="宋体" w:hAnsi="宋体" w:cs="宋体"/>
                <w:color w:val="000000" w:themeColor="text1"/>
                <w:sz w:val="20"/>
                <w14:textFill>
                  <w14:solidFill>
                    <w14:schemeClr w14:val="tx1"/>
                  </w14:solidFill>
                </w14:textFill>
              </w:rPr>
            </w:pPr>
          </w:p>
        </w:tc>
        <w:tc>
          <w:tcPr>
            <w:tcW w:w="1186" w:type="dxa"/>
            <w:vMerge w:val="continue"/>
            <w:vAlign w:val="center"/>
          </w:tcPr>
          <w:p w14:paraId="3C7592B1">
            <w:pPr>
              <w:ind w:firstLine="400"/>
              <w:jc w:val="center"/>
              <w:rPr>
                <w:rFonts w:hint="eastAsia" w:ascii="宋体" w:hAnsi="宋体" w:cs="宋体"/>
                <w:color w:val="000000" w:themeColor="text1"/>
                <w:sz w:val="20"/>
                <w14:textFill>
                  <w14:solidFill>
                    <w14:schemeClr w14:val="tx1"/>
                  </w14:solidFill>
                </w14:textFill>
              </w:rPr>
            </w:pPr>
          </w:p>
        </w:tc>
        <w:tc>
          <w:tcPr>
            <w:tcW w:w="1173" w:type="dxa"/>
            <w:vAlign w:val="center"/>
          </w:tcPr>
          <w:p w14:paraId="058968F2">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内聚力</w:t>
            </w:r>
          </w:p>
        </w:tc>
        <w:tc>
          <w:tcPr>
            <w:tcW w:w="1036" w:type="dxa"/>
            <w:vAlign w:val="center"/>
          </w:tcPr>
          <w:p w14:paraId="038BBAD3">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水下内聚力</w:t>
            </w:r>
          </w:p>
        </w:tc>
        <w:tc>
          <w:tcPr>
            <w:tcW w:w="1105" w:type="dxa"/>
            <w:vAlign w:val="center"/>
          </w:tcPr>
          <w:p w14:paraId="228AD8E4">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内摩擦角</w:t>
            </w:r>
          </w:p>
        </w:tc>
        <w:tc>
          <w:tcPr>
            <w:tcW w:w="1054" w:type="dxa"/>
            <w:vAlign w:val="center"/>
          </w:tcPr>
          <w:p w14:paraId="43AF6B0F">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水下内摩擦角</w:t>
            </w:r>
          </w:p>
        </w:tc>
      </w:tr>
      <w:tr w14:paraId="70A80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14:paraId="299979D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石灰岩</w:t>
            </w:r>
          </w:p>
        </w:tc>
        <w:tc>
          <w:tcPr>
            <w:tcW w:w="1186" w:type="dxa"/>
            <w:vAlign w:val="center"/>
          </w:tcPr>
          <w:p w14:paraId="7FE3A349">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26KN/m</w:t>
            </w:r>
            <w:r>
              <w:rPr>
                <w:rFonts w:hint="eastAsia" w:ascii="宋体" w:hAnsi="宋体" w:cs="宋体"/>
                <w:color w:val="000000" w:themeColor="text1"/>
                <w:sz w:val="20"/>
                <w:vertAlign w:val="superscript"/>
                <w14:textFill>
                  <w14:solidFill>
                    <w14:schemeClr w14:val="tx1"/>
                  </w14:solidFill>
                </w14:textFill>
              </w:rPr>
              <w:t>3</w:t>
            </w:r>
          </w:p>
        </w:tc>
        <w:tc>
          <w:tcPr>
            <w:tcW w:w="1186" w:type="dxa"/>
            <w:vAlign w:val="center"/>
          </w:tcPr>
          <w:p w14:paraId="5AFC2F97">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28KN/m</w:t>
            </w:r>
            <w:r>
              <w:rPr>
                <w:rFonts w:hint="eastAsia" w:ascii="宋体" w:hAnsi="宋体" w:cs="宋体"/>
                <w:color w:val="000000" w:themeColor="text1"/>
                <w:sz w:val="20"/>
                <w:vertAlign w:val="superscript"/>
                <w14:textFill>
                  <w14:solidFill>
                    <w14:schemeClr w14:val="tx1"/>
                  </w14:solidFill>
                </w14:textFill>
              </w:rPr>
              <w:t>3</w:t>
            </w:r>
          </w:p>
        </w:tc>
        <w:tc>
          <w:tcPr>
            <w:tcW w:w="1173" w:type="dxa"/>
            <w:vAlign w:val="center"/>
          </w:tcPr>
          <w:p w14:paraId="17BA884D">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150Kpa</w:t>
            </w:r>
          </w:p>
        </w:tc>
        <w:tc>
          <w:tcPr>
            <w:tcW w:w="1036" w:type="dxa"/>
            <w:vAlign w:val="center"/>
          </w:tcPr>
          <w:p w14:paraId="6A0BC0A5">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100Kpa</w:t>
            </w:r>
          </w:p>
        </w:tc>
        <w:tc>
          <w:tcPr>
            <w:tcW w:w="1105" w:type="dxa"/>
            <w:vAlign w:val="center"/>
          </w:tcPr>
          <w:p w14:paraId="5FEA6F81">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39°</w:t>
            </w:r>
          </w:p>
        </w:tc>
        <w:tc>
          <w:tcPr>
            <w:tcW w:w="1054" w:type="dxa"/>
            <w:vAlign w:val="center"/>
          </w:tcPr>
          <w:p w14:paraId="3FC4817A">
            <w:pPr>
              <w:ind w:firstLine="400"/>
              <w:jc w:val="center"/>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32°</w:t>
            </w:r>
          </w:p>
        </w:tc>
      </w:tr>
      <w:bookmarkEnd w:id="2464"/>
    </w:tbl>
    <w:p w14:paraId="79590987">
      <w:pPr>
        <w:spacing w:before="120" w:beforeLines="5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四、</w:t>
      </w:r>
      <w:r>
        <w:rPr>
          <w:b/>
          <w:bCs/>
          <w:color w:val="000000" w:themeColor="text1"/>
          <w:szCs w:val="28"/>
          <w14:textFill>
            <w14:solidFill>
              <w14:schemeClr w14:val="tx1"/>
            </w14:solidFill>
          </w14:textFill>
        </w:rPr>
        <w:t>结果分析</w:t>
      </w:r>
    </w:p>
    <w:p w14:paraId="67CF73A8">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51016-2014），对矿山设计开采终了边坡进行稳定性分析计算，分别对</w:t>
      </w:r>
      <w:r>
        <w:rPr>
          <w:rFonts w:hint="eastAsia"/>
          <w:color w:val="000000" w:themeColor="text1"/>
          <w:szCs w:val="28"/>
          <w14:textFill>
            <w14:solidFill>
              <w14:schemeClr w14:val="tx1"/>
            </w14:solidFill>
          </w14:textFill>
        </w:rPr>
        <w:t>两</w:t>
      </w:r>
      <w:r>
        <w:rPr>
          <w:color w:val="000000" w:themeColor="text1"/>
          <w:szCs w:val="28"/>
          <w14:textFill>
            <w14:solidFill>
              <w14:schemeClr w14:val="tx1"/>
            </w14:solidFill>
          </w14:textFill>
        </w:rPr>
        <w:t>种载荷组合进行分析计算，分析计算过程见边坡稳定性计算书。</w:t>
      </w:r>
    </w:p>
    <w:p w14:paraId="1C94D85D">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表3.4-12</w:t>
      </w:r>
      <w:r>
        <w:rPr>
          <w:rFonts w:hint="eastAsia" w:ascii="宋体" w:hAnsi="宋体" w:cs="宋体"/>
          <w:b/>
          <w:bCs/>
          <w:color w:val="000000" w:themeColor="text1"/>
          <w:sz w:val="21"/>
          <w:szCs w:val="21"/>
          <w14:textFill>
            <w14:solidFill>
              <w14:schemeClr w14:val="tx1"/>
            </w14:solidFill>
          </w14:textFill>
        </w:rPr>
        <w:t xml:space="preserve">   稳定性计算结果表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2305"/>
        <w:gridCol w:w="1102"/>
        <w:gridCol w:w="1227"/>
        <w:gridCol w:w="1113"/>
      </w:tblGrid>
      <w:tr w14:paraId="279F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blHeader/>
          <w:jc w:val="center"/>
        </w:trPr>
        <w:tc>
          <w:tcPr>
            <w:tcW w:w="2160" w:type="dxa"/>
            <w:vAlign w:val="center"/>
          </w:tcPr>
          <w:p w14:paraId="153D2395">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选取剖面</w:t>
            </w:r>
          </w:p>
        </w:tc>
        <w:tc>
          <w:tcPr>
            <w:tcW w:w="2305" w:type="dxa"/>
            <w:vAlign w:val="center"/>
          </w:tcPr>
          <w:p w14:paraId="658ABCA8">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运行工况</w:t>
            </w:r>
          </w:p>
        </w:tc>
        <w:tc>
          <w:tcPr>
            <w:tcW w:w="1102" w:type="dxa"/>
            <w:vAlign w:val="center"/>
          </w:tcPr>
          <w:p w14:paraId="16745559">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计算抗滑</w:t>
            </w:r>
          </w:p>
          <w:p w14:paraId="07FAE26B">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安全系数</w:t>
            </w:r>
          </w:p>
          <w:p w14:paraId="3ECCE75B">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（K）</w:t>
            </w:r>
          </w:p>
        </w:tc>
        <w:tc>
          <w:tcPr>
            <w:tcW w:w="1227" w:type="dxa"/>
            <w:vAlign w:val="center"/>
          </w:tcPr>
          <w:p w14:paraId="55D468A5">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规范最小</w:t>
            </w:r>
          </w:p>
          <w:p w14:paraId="50BF72EF">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安全系数</w:t>
            </w:r>
          </w:p>
          <w:p w14:paraId="5BA9115D">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（K</w:t>
            </w:r>
            <w:r>
              <w:rPr>
                <w:rFonts w:hint="eastAsia" w:ascii="宋体" w:hAnsi="宋体" w:cs="宋体"/>
                <w:b/>
                <w:bCs/>
                <w:color w:val="000000" w:themeColor="text1"/>
                <w:sz w:val="20"/>
                <w:szCs w:val="20"/>
                <w:vertAlign w:val="subscript"/>
                <w14:textFill>
                  <w14:solidFill>
                    <w14:schemeClr w14:val="tx1"/>
                  </w14:solidFill>
                </w14:textFill>
              </w:rPr>
              <w:t>min)</w:t>
            </w:r>
          </w:p>
        </w:tc>
        <w:tc>
          <w:tcPr>
            <w:tcW w:w="1113" w:type="dxa"/>
            <w:vAlign w:val="center"/>
          </w:tcPr>
          <w:p w14:paraId="000C1520">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稳定性</w:t>
            </w:r>
          </w:p>
          <w:p w14:paraId="6A931529">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判定</w:t>
            </w:r>
          </w:p>
        </w:tc>
      </w:tr>
      <w:tr w14:paraId="5FB2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2160" w:type="dxa"/>
            <w:vMerge w:val="restart"/>
            <w:vAlign w:val="center"/>
          </w:tcPr>
          <w:p w14:paraId="33499CE4">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1-1剖面最终边坡</w:t>
            </w:r>
          </w:p>
        </w:tc>
        <w:tc>
          <w:tcPr>
            <w:tcW w:w="2305" w:type="dxa"/>
            <w:vAlign w:val="center"/>
          </w:tcPr>
          <w:p w14:paraId="2A1496F8">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载荷组合Ⅰ为自重＋地下水</w:t>
            </w:r>
          </w:p>
        </w:tc>
        <w:tc>
          <w:tcPr>
            <w:tcW w:w="1102" w:type="dxa"/>
            <w:vAlign w:val="center"/>
          </w:tcPr>
          <w:p w14:paraId="72F06E26">
            <w:pPr>
              <w:adjustRightInd w:val="0"/>
              <w:snapToGrid w:val="0"/>
              <w:spacing w:line="240" w:lineRule="auto"/>
              <w:ind w:firstLine="400" w:firstLineChars="0"/>
              <w:jc w:val="both"/>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K=2.064</w:t>
            </w:r>
          </w:p>
        </w:tc>
        <w:tc>
          <w:tcPr>
            <w:tcW w:w="1227" w:type="dxa"/>
            <w:vAlign w:val="center"/>
          </w:tcPr>
          <w:p w14:paraId="0CBEA1A4">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1.15~1.10</w:t>
            </w:r>
          </w:p>
        </w:tc>
        <w:tc>
          <w:tcPr>
            <w:tcW w:w="1113" w:type="dxa"/>
            <w:vAlign w:val="center"/>
          </w:tcPr>
          <w:p w14:paraId="084BD18B">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稳 定</w:t>
            </w:r>
          </w:p>
        </w:tc>
      </w:tr>
      <w:tr w14:paraId="75AD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2160" w:type="dxa"/>
            <w:vMerge w:val="continue"/>
            <w:vAlign w:val="center"/>
          </w:tcPr>
          <w:p w14:paraId="5F04462F">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p>
        </w:tc>
        <w:tc>
          <w:tcPr>
            <w:tcW w:w="2305" w:type="dxa"/>
            <w:vAlign w:val="center"/>
          </w:tcPr>
          <w:p w14:paraId="4205645F">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载荷组合</w:t>
            </w:r>
            <w:r>
              <w:rPr>
                <w:rFonts w:hint="eastAsia" w:ascii="宋体" w:hAnsi="宋体" w:cs="宋体"/>
                <w:b/>
                <w:bCs/>
                <w:color w:val="000000" w:themeColor="text1"/>
                <w:sz w:val="20"/>
                <w:szCs w:val="20"/>
                <w14:textFill>
                  <w14:solidFill>
                    <w14:schemeClr w14:val="tx1"/>
                  </w14:solidFill>
                </w14:textFill>
              </w:rPr>
              <w:t>Ⅲ</w:t>
            </w:r>
            <w:r>
              <w:rPr>
                <w:rFonts w:hint="eastAsia" w:ascii="宋体" w:hAnsi="宋体" w:cs="宋体"/>
                <w:color w:val="000000" w:themeColor="text1"/>
                <w:sz w:val="20"/>
                <w:szCs w:val="20"/>
                <w14:textFill>
                  <w14:solidFill>
                    <w14:schemeClr w14:val="tx1"/>
                  </w14:solidFill>
                </w14:textFill>
              </w:rPr>
              <w:t>为自重＋地下水＋地震力</w:t>
            </w:r>
          </w:p>
        </w:tc>
        <w:tc>
          <w:tcPr>
            <w:tcW w:w="1102" w:type="dxa"/>
            <w:vAlign w:val="center"/>
          </w:tcPr>
          <w:p w14:paraId="63E86E8B">
            <w:pPr>
              <w:adjustRightInd w:val="0"/>
              <w:snapToGrid w:val="0"/>
              <w:spacing w:line="240" w:lineRule="auto"/>
              <w:ind w:firstLine="40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K=1.984</w:t>
            </w:r>
          </w:p>
        </w:tc>
        <w:tc>
          <w:tcPr>
            <w:tcW w:w="1227" w:type="dxa"/>
            <w:vAlign w:val="center"/>
          </w:tcPr>
          <w:p w14:paraId="66E5C91F">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1.10~1.05</w:t>
            </w:r>
          </w:p>
        </w:tc>
        <w:tc>
          <w:tcPr>
            <w:tcW w:w="1113" w:type="dxa"/>
            <w:vAlign w:val="center"/>
          </w:tcPr>
          <w:p w14:paraId="1861A96B">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稳 定</w:t>
            </w:r>
          </w:p>
        </w:tc>
      </w:tr>
    </w:tbl>
    <w:p w14:paraId="0F4C74D7">
      <w:pPr>
        <w:ind w:firstLine="482"/>
        <w:jc w:val="center"/>
        <w:rPr>
          <w:b/>
          <w:bCs/>
          <w:color w:val="000000" w:themeColor="text1"/>
          <w:sz w:val="24"/>
          <w14:textFill>
            <w14:solidFill>
              <w14:schemeClr w14:val="tx1"/>
            </w14:solidFill>
          </w14:textFill>
        </w:rPr>
      </w:pPr>
    </w:p>
    <w:p w14:paraId="032B252A">
      <w:pPr>
        <w:ind w:firstLine="560"/>
        <w:rPr>
          <w:color w:val="000000" w:themeColor="text1"/>
          <w:szCs w:val="28"/>
          <w:lang w:val="zh-CN"/>
          <w14:textFill>
            <w14:solidFill>
              <w14:schemeClr w14:val="tx1"/>
            </w14:solidFill>
          </w14:textFill>
        </w:rPr>
      </w:pPr>
      <w:r>
        <w:rPr>
          <w:color w:val="000000" w:themeColor="text1"/>
          <w:szCs w:val="28"/>
          <w14:textFill>
            <w14:solidFill>
              <w14:schemeClr w14:val="tx1"/>
            </w14:solidFill>
          </w14:textFill>
        </w:rPr>
        <w:t>经计算开采原边坡</w:t>
      </w: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1</w:t>
      </w:r>
      <w:r>
        <w:rPr>
          <w:color w:val="000000" w:themeColor="text1"/>
          <w:sz w:val="24"/>
          <w14:textFill>
            <w14:solidFill>
              <w14:schemeClr w14:val="tx1"/>
            </w14:solidFill>
          </w14:textFill>
        </w:rPr>
        <w:t>＇</w:t>
      </w:r>
      <w:r>
        <w:rPr>
          <w:color w:val="000000" w:themeColor="text1"/>
          <w:szCs w:val="28"/>
          <w14:textFill>
            <w14:solidFill>
              <w14:schemeClr w14:val="tx1"/>
            </w14:solidFill>
          </w14:textFill>
        </w:rPr>
        <w:t>剖面图抗滑安全系数</w:t>
      </w:r>
      <w:r>
        <w:rPr>
          <w:color w:val="000000" w:themeColor="text1"/>
          <w:szCs w:val="28"/>
          <w:lang w:val="zh-CN"/>
          <w14:textFill>
            <w14:solidFill>
              <w14:schemeClr w14:val="tx1"/>
            </w14:solidFill>
          </w14:textFill>
        </w:rPr>
        <w:t>符合《非煤露天矿边坡工程技术规范》（GB 51016-2014）中表C.1.2边坡岩体结构面抗剪强度标准值</w:t>
      </w:r>
      <w:r>
        <w:rPr>
          <w:color w:val="000000" w:themeColor="text1"/>
          <w:szCs w:val="28"/>
          <w14:textFill>
            <w14:solidFill>
              <w14:schemeClr w14:val="tx1"/>
            </w14:solidFill>
          </w14:textFill>
        </w:rPr>
        <w:t>的要求。</w:t>
      </w:r>
    </w:p>
    <w:p w14:paraId="293D738E">
      <w:pPr>
        <w:ind w:firstLine="560"/>
        <w:rPr>
          <w:color w:val="000000" w:themeColor="text1"/>
          <w:szCs w:val="28"/>
          <w:lang w:bidi="ar"/>
          <w14:textFill>
            <w14:solidFill>
              <w14:schemeClr w14:val="tx1"/>
            </w14:solidFill>
          </w14:textFill>
        </w:rPr>
      </w:pPr>
      <w:r>
        <w:rPr>
          <w:color w:val="000000" w:themeColor="text1"/>
          <w:szCs w:val="28"/>
          <w14:textFill>
            <w14:solidFill>
              <w14:schemeClr w14:val="tx1"/>
            </w14:solidFill>
          </w14:textFill>
        </w:rPr>
        <w:t>所以原采空区边坡靠帮台阶坡面角</w:t>
      </w:r>
      <w:r>
        <w:rPr>
          <w:rFonts w:hint="eastAsia"/>
          <w:color w:val="000000" w:themeColor="text1"/>
          <w:szCs w:val="28"/>
          <w14:textFill>
            <w14:solidFill>
              <w14:schemeClr w14:val="tx1"/>
            </w14:solidFill>
          </w14:textFill>
        </w:rPr>
        <w:t>45</w:t>
      </w:r>
      <w:r>
        <w:rPr>
          <w:color w:val="000000" w:themeColor="text1"/>
          <w:szCs w:val="28"/>
          <w14:textFill>
            <w14:solidFill>
              <w14:schemeClr w14:val="tx1"/>
            </w14:solidFill>
          </w14:textFill>
        </w:rPr>
        <w:t>-</w:t>
      </w:r>
      <w:r>
        <w:rPr>
          <w:rFonts w:hint="eastAsia"/>
          <w:color w:val="000000" w:themeColor="text1"/>
          <w:szCs w:val="28"/>
          <w14:textFill>
            <w14:solidFill>
              <w14:schemeClr w14:val="tx1"/>
            </w14:solidFill>
          </w14:textFill>
        </w:rPr>
        <w:t>59</w:t>
      </w:r>
      <w:r>
        <w:rPr>
          <w:color w:val="000000" w:themeColor="text1"/>
          <w:szCs w:val="28"/>
          <w14:textFill>
            <w14:solidFill>
              <w14:schemeClr w14:val="tx1"/>
            </w14:solidFill>
          </w14:textFill>
        </w:rPr>
        <w:t>°，最终台阶高度</w:t>
      </w:r>
      <w:r>
        <w:rPr>
          <w:rFonts w:hint="eastAsia"/>
          <w:color w:val="000000" w:themeColor="text1"/>
          <w:szCs w:val="28"/>
          <w14:textFill>
            <w14:solidFill>
              <w14:schemeClr w14:val="tx1"/>
            </w14:solidFill>
          </w14:textFill>
        </w:rPr>
        <w:t>110m</w:t>
      </w:r>
      <w:r>
        <w:rPr>
          <w:color w:val="000000" w:themeColor="text1"/>
          <w:szCs w:val="28"/>
          <w14:textFill>
            <w14:solidFill>
              <w14:schemeClr w14:val="tx1"/>
            </w14:solidFill>
          </w14:textFill>
        </w:rPr>
        <w:t>，最终帮坡角</w:t>
      </w:r>
      <w:r>
        <w:rPr>
          <w:rFonts w:hint="eastAsia"/>
          <w:color w:val="000000" w:themeColor="text1"/>
          <w:szCs w:val="28"/>
          <w14:textFill>
            <w14:solidFill>
              <w14:schemeClr w14:val="tx1"/>
            </w14:solidFill>
          </w14:textFill>
        </w:rPr>
        <w:t>27</w:t>
      </w:r>
      <w:r>
        <w:rPr>
          <w:color w:val="000000" w:themeColor="text1"/>
          <w:szCs w:val="28"/>
          <w14:textFill>
            <w14:solidFill>
              <w14:schemeClr w14:val="tx1"/>
            </w14:solidFill>
          </w14:textFill>
        </w:rPr>
        <w:t>°的边坡参数为稳定边坡</w:t>
      </w:r>
      <w:r>
        <w:rPr>
          <w:color w:val="000000" w:themeColor="text1"/>
          <w:szCs w:val="28"/>
          <w:lang w:bidi="ar"/>
          <w14:textFill>
            <w14:solidFill>
              <w14:schemeClr w14:val="tx1"/>
            </w14:solidFill>
          </w14:textFill>
        </w:rPr>
        <w:t>。</w:t>
      </w:r>
    </w:p>
    <w:p w14:paraId="3586EA60">
      <w:pPr>
        <w:rPr>
          <w:color w:val="000000" w:themeColor="text1"/>
          <w:szCs w:val="28"/>
          <w:lang w:bidi="ar"/>
          <w14:textFill>
            <w14:solidFill>
              <w14:schemeClr w14:val="tx1"/>
            </w14:solidFill>
          </w14:textFill>
        </w:rPr>
      </w:pPr>
      <w:r>
        <w:rPr>
          <w:rFonts w:hint="eastAsia"/>
          <w:b/>
          <w:bCs/>
          <w:color w:val="000000" w:themeColor="text1"/>
          <w:szCs w:val="28"/>
          <w14:textFill>
            <w14:solidFill>
              <w14:schemeClr w14:val="tx1"/>
            </w14:solidFill>
          </w14:textFill>
        </w:rPr>
        <w:t>五、终了</w:t>
      </w:r>
      <w:r>
        <w:rPr>
          <w:b/>
          <w:bCs/>
          <w:color w:val="000000" w:themeColor="text1"/>
          <w:szCs w:val="28"/>
          <w14:textFill>
            <w14:solidFill>
              <w14:schemeClr w14:val="tx1"/>
            </w14:solidFill>
          </w14:textFill>
        </w:rPr>
        <w:t>边坡计算剖面的选取</w:t>
      </w:r>
    </w:p>
    <w:p w14:paraId="13DA42EA">
      <w:pPr>
        <w:ind w:firstLine="560"/>
        <w:rPr>
          <w:color w:val="000000" w:themeColor="text1"/>
          <w:szCs w:val="28"/>
          <w:lang w:val="zh-CN" w:bidi="ar"/>
          <w14:textFill>
            <w14:solidFill>
              <w14:schemeClr w14:val="tx1"/>
            </w14:solidFill>
          </w14:textFill>
        </w:rPr>
      </w:pPr>
      <w:r>
        <w:rPr>
          <w:color w:val="000000" w:themeColor="text1"/>
          <w:szCs w:val="28"/>
          <w14:textFill>
            <w14:solidFill>
              <w14:schemeClr w14:val="tx1"/>
            </w14:solidFill>
          </w14:textFill>
        </w:rPr>
        <w:t>选取典型剖面</w:t>
      </w:r>
      <w:r>
        <w:rPr>
          <w:rFonts w:hint="eastAsia" w:ascii="宋体" w:hAnsi="宋体" w:cs="宋体"/>
          <w:color w:val="000000" w:themeColor="text1"/>
          <w:szCs w:val="28"/>
          <w14:textFill>
            <w14:solidFill>
              <w14:schemeClr w14:val="tx1"/>
            </w14:solidFill>
          </w14:textFill>
        </w:rPr>
        <w:t>“2-2</w:t>
      </w:r>
      <w:r>
        <w:rPr>
          <w:color w:val="000000" w:themeColor="text1"/>
          <w:szCs w:val="28"/>
          <w14:textFill>
            <w14:solidFill>
              <w14:schemeClr w14:val="tx1"/>
            </w14:solidFill>
          </w14:textFill>
        </w:rPr>
        <w:t>＇典型剖面图</w:t>
      </w:r>
      <w:r>
        <w:rPr>
          <w:rFonts w:hint="eastAsia" w:ascii="宋体" w:hAnsi="宋体" w:cs="宋体"/>
          <w:color w:val="000000" w:themeColor="text1"/>
          <w:szCs w:val="28"/>
          <w14:textFill>
            <w14:solidFill>
              <w14:schemeClr w14:val="tx1"/>
            </w14:solidFill>
          </w14:textFill>
        </w:rPr>
        <w:t>”</w:t>
      </w:r>
      <w:r>
        <w:rPr>
          <w:color w:val="000000" w:themeColor="text1"/>
          <w:szCs w:val="28"/>
          <w14:textFill>
            <w14:solidFill>
              <w14:schemeClr w14:val="tx1"/>
            </w14:solidFill>
          </w14:textFill>
        </w:rPr>
        <w:t>进行对</w:t>
      </w:r>
      <w:r>
        <w:rPr>
          <w:rFonts w:hint="eastAsia"/>
          <w:color w:val="000000" w:themeColor="text1"/>
          <w:szCs w:val="28"/>
          <w14:textFill>
            <w14:solidFill>
              <w14:schemeClr w14:val="tx1"/>
            </w14:solidFill>
          </w14:textFill>
        </w:rPr>
        <w:t>终了</w:t>
      </w:r>
      <w:r>
        <w:rPr>
          <w:color w:val="000000" w:themeColor="text1"/>
          <w:szCs w:val="28"/>
          <w14:textFill>
            <w14:solidFill>
              <w14:schemeClr w14:val="tx1"/>
            </w14:solidFill>
          </w14:textFill>
        </w:rPr>
        <w:t>边坡进行稳定性分析计算。</w:t>
      </w:r>
    </w:p>
    <w:p w14:paraId="3745BCE9">
      <w:pPr>
        <w:ind w:firstLine="560"/>
        <w:jc w:val="center"/>
        <w:rPr>
          <w:rFonts w:hint="eastAsia" w:ascii="宋体" w:hAnsi="宋体" w:cs="宋体"/>
          <w:color w:val="000000" w:themeColor="text1"/>
          <w:sz w:val="21"/>
          <w:szCs w:val="21"/>
          <w14:textFill>
            <w14:solidFill>
              <w14:schemeClr w14:val="tx1"/>
            </w14:solidFill>
          </w14:textFill>
        </w:rPr>
      </w:pPr>
      <w:r>
        <w:rPr>
          <w:color w:val="000000" w:themeColor="text1"/>
          <w:szCs w:val="28"/>
          <w:lang w:val="zh-CN" w:bidi="ar"/>
          <w14:textFill>
            <w14:solidFill>
              <w14:schemeClr w14:val="tx1"/>
            </w14:solidFill>
          </w14:textFill>
        </w:rPr>
        <w:drawing>
          <wp:inline distT="0" distB="0" distL="0" distR="0">
            <wp:extent cx="4777105" cy="3596005"/>
            <wp:effectExtent l="0" t="0" r="4445" b="4445"/>
            <wp:docPr id="1667220367" name="图片 12" descr="4739f2b365bace5082389e564c8d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20367" name="图片 12" descr="4739f2b365bace5082389e564c8d57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83896" cy="3601210"/>
                    </a:xfrm>
                    <a:prstGeom prst="rect">
                      <a:avLst/>
                    </a:prstGeom>
                    <a:noFill/>
                    <a:ln>
                      <a:noFill/>
                    </a:ln>
                  </pic:spPr>
                </pic:pic>
              </a:graphicData>
            </a:graphic>
          </wp:inline>
        </w:drawing>
      </w:r>
    </w:p>
    <w:p w14:paraId="096D0F70">
      <w:pPr>
        <w:ind w:firstLine="422"/>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图</w:t>
      </w:r>
      <w:r>
        <w:rPr>
          <w:rFonts w:hint="eastAsia"/>
          <w:b/>
          <w:color w:val="000000" w:themeColor="text1"/>
          <w:sz w:val="21"/>
          <w14:textFill>
            <w14:solidFill>
              <w14:schemeClr w14:val="tx1"/>
            </w14:solidFill>
          </w14:textFill>
        </w:rPr>
        <w:t>3.4-2</w:t>
      </w:r>
      <w:r>
        <w:rPr>
          <w:rFonts w:hint="eastAsia" w:ascii="宋体" w:hAnsi="宋体" w:cs="宋体"/>
          <w:b/>
          <w:bCs/>
          <w:color w:val="000000" w:themeColor="text1"/>
          <w:sz w:val="21"/>
          <w:szCs w:val="21"/>
          <w14:textFill>
            <w14:solidFill>
              <w14:schemeClr w14:val="tx1"/>
            </w14:solidFill>
          </w14:textFill>
        </w:rPr>
        <w:t xml:space="preserve"> </w:t>
      </w:r>
      <w:r>
        <w:rPr>
          <w:rFonts w:hint="eastAsia" w:cs="宋体"/>
          <w:b/>
          <w:color w:val="000000" w:themeColor="text1"/>
          <w:sz w:val="21"/>
          <w:szCs w:val="21"/>
          <w14:textFill>
            <w14:solidFill>
              <w14:schemeClr w14:val="tx1"/>
            </w14:solidFill>
          </w14:textFill>
        </w:rPr>
        <w:t xml:space="preserve"> 2-2＇典型剖面图</w:t>
      </w:r>
    </w:p>
    <w:p w14:paraId="37F5F888">
      <w:pPr>
        <w:ind w:firstLine="0" w:firstLineChars="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六、</w:t>
      </w:r>
      <w:r>
        <w:rPr>
          <w:b/>
          <w:bCs/>
          <w:color w:val="000000" w:themeColor="text1"/>
          <w:szCs w:val="28"/>
          <w14:textFill>
            <w14:solidFill>
              <w14:schemeClr w14:val="tx1"/>
            </w14:solidFill>
          </w14:textFill>
        </w:rPr>
        <w:t>露天边坡等级、结构类型及破坏模式等的划分</w:t>
      </w:r>
    </w:p>
    <w:p w14:paraId="724C3FC3">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1.露天边坡等级划分</w:t>
      </w:r>
    </w:p>
    <w:p w14:paraId="72370B2E">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51016-2014）第3.0.2条，原采空区最终边坡高度为</w:t>
      </w:r>
      <w:r>
        <w:rPr>
          <w:rFonts w:hint="eastAsia"/>
          <w:color w:val="000000" w:themeColor="text1"/>
          <w:szCs w:val="28"/>
          <w14:textFill>
            <w14:solidFill>
              <w14:schemeClr w14:val="tx1"/>
            </w14:solidFill>
          </w14:textFill>
        </w:rPr>
        <w:t>130</w:t>
      </w:r>
      <w:r>
        <w:rPr>
          <w:color w:val="000000" w:themeColor="text1"/>
          <w:szCs w:val="28"/>
          <w14:textFill>
            <w14:solidFill>
              <w14:schemeClr w14:val="tx1"/>
            </w14:solidFill>
          </w14:textFill>
        </w:rPr>
        <w:t>m，为</w:t>
      </w:r>
      <w:r>
        <w:rPr>
          <w:rFonts w:hint="eastAsia"/>
          <w:color w:val="000000" w:themeColor="text1"/>
          <w:szCs w:val="28"/>
          <w14:textFill>
            <w14:solidFill>
              <w14:schemeClr w14:val="tx1"/>
            </w14:solidFill>
          </w14:textFill>
        </w:rPr>
        <w:t>“</w:t>
      </w:r>
      <w:r>
        <w:rPr>
          <w:rFonts w:hint="eastAsia"/>
          <w:b/>
          <w:bCs/>
          <w:color w:val="000000" w:themeColor="text1"/>
          <w:szCs w:val="28"/>
          <w14:textFill>
            <w14:solidFill>
              <w14:schemeClr w14:val="tx1"/>
            </w14:solidFill>
          </w14:textFill>
        </w:rPr>
        <w:t>中</w:t>
      </w:r>
      <w:r>
        <w:rPr>
          <w:b/>
          <w:bCs/>
          <w:color w:val="000000" w:themeColor="text1"/>
          <w:szCs w:val="28"/>
          <w14:textFill>
            <w14:solidFill>
              <w14:schemeClr w14:val="tx1"/>
            </w14:solidFill>
          </w14:textFill>
        </w:rPr>
        <w:t>边坡</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w:t>
      </w:r>
    </w:p>
    <w:p w14:paraId="44B4E0EB">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2.边坡地质结构类型</w:t>
      </w:r>
    </w:p>
    <w:p w14:paraId="6A255EED">
      <w:pPr>
        <w:topLinePunct/>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矿体赋存于二叠系上统吴家坪组（P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w）地层中，呈单斜层状产出，产状175°∠36°，矿区及附近出露长度大于700m，宽度大于300m，厚度大于50m，产出较为稳定。</w:t>
      </w:r>
    </w:p>
    <w:p w14:paraId="36B795D8">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51016-2014）表A.0.1，表A.0.2，表A.0.3，确定该露天边坡的岩体结构类型为、边坡完整程度</w:t>
      </w:r>
      <w:r>
        <w:rPr>
          <w:rFonts w:hint="eastAsia"/>
          <w:color w:val="000000" w:themeColor="text1"/>
          <w:szCs w:val="28"/>
          <w14:textFill>
            <w14:solidFill>
              <w14:schemeClr w14:val="tx1"/>
            </w14:solidFill>
          </w14:textFill>
        </w:rPr>
        <w:t>和</w:t>
      </w:r>
      <w:r>
        <w:rPr>
          <w:color w:val="000000" w:themeColor="text1"/>
          <w:szCs w:val="28"/>
          <w14:textFill>
            <w14:solidFill>
              <w14:schemeClr w14:val="tx1"/>
            </w14:solidFill>
          </w14:textFill>
        </w:rPr>
        <w:t>边坡地质结构划分（见下表）。</w:t>
      </w:r>
    </w:p>
    <w:p w14:paraId="3BFC60F3">
      <w:pPr>
        <w:ind w:firstLine="422"/>
        <w:jc w:val="center"/>
        <w:rPr>
          <w:color w:val="000000" w:themeColor="text1"/>
          <w:sz w:val="24"/>
          <w14:textFill>
            <w14:solidFill>
              <w14:schemeClr w14:val="tx1"/>
            </w14:solidFill>
          </w14:textFill>
        </w:rPr>
      </w:pPr>
      <w:r>
        <w:rPr>
          <w:rFonts w:hint="eastAsia"/>
          <w:b/>
          <w:color w:val="000000" w:themeColor="text1"/>
          <w:sz w:val="21"/>
          <w14:textFill>
            <w14:solidFill>
              <w14:schemeClr w14:val="tx1"/>
            </w14:solidFill>
          </w14:textFill>
        </w:rPr>
        <w:t>表3.4-13</w:t>
      </w:r>
      <w:r>
        <w:rPr>
          <w:rFonts w:hint="eastAsia" w:ascii="宋体" w:hAnsi="宋体" w:cs="宋体"/>
          <w:b/>
          <w:bCs/>
          <w:color w:val="000000" w:themeColor="text1"/>
          <w:sz w:val="21"/>
          <w:szCs w:val="21"/>
          <w14:textFill>
            <w14:solidFill>
              <w14:schemeClr w14:val="tx1"/>
            </w14:solidFill>
          </w14:textFill>
        </w:rPr>
        <w:t xml:space="preserve"> 露天边坡岩体结构类型划分结果表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368"/>
        <w:gridCol w:w="868"/>
        <w:gridCol w:w="1534"/>
        <w:gridCol w:w="2223"/>
        <w:gridCol w:w="1562"/>
      </w:tblGrid>
      <w:tr w14:paraId="7F9B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66" w:type="dxa"/>
            <w:vAlign w:val="center"/>
          </w:tcPr>
          <w:p w14:paraId="5C20302E">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边坡岩体结构类型</w:t>
            </w:r>
          </w:p>
        </w:tc>
        <w:tc>
          <w:tcPr>
            <w:tcW w:w="1368" w:type="dxa"/>
            <w:vAlign w:val="center"/>
          </w:tcPr>
          <w:p w14:paraId="59E52FBF">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岩体地质</w:t>
            </w:r>
          </w:p>
          <w:p w14:paraId="4865A6D3">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类型</w:t>
            </w:r>
          </w:p>
        </w:tc>
        <w:tc>
          <w:tcPr>
            <w:tcW w:w="868" w:type="dxa"/>
            <w:vAlign w:val="center"/>
          </w:tcPr>
          <w:p w14:paraId="7EBDD0D4">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结构体</w:t>
            </w:r>
          </w:p>
          <w:p w14:paraId="53014F99">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形状</w:t>
            </w:r>
          </w:p>
        </w:tc>
        <w:tc>
          <w:tcPr>
            <w:tcW w:w="1534" w:type="dxa"/>
            <w:vAlign w:val="center"/>
          </w:tcPr>
          <w:p w14:paraId="745780B6">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结构面发育情况</w:t>
            </w:r>
          </w:p>
        </w:tc>
        <w:tc>
          <w:tcPr>
            <w:tcW w:w="2223" w:type="dxa"/>
            <w:vAlign w:val="center"/>
          </w:tcPr>
          <w:p w14:paraId="5BF1C80B">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沿途工程问题</w:t>
            </w:r>
          </w:p>
        </w:tc>
        <w:tc>
          <w:tcPr>
            <w:tcW w:w="1562" w:type="dxa"/>
            <w:vAlign w:val="center"/>
          </w:tcPr>
          <w:p w14:paraId="659426A2">
            <w:pPr>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边坡工程问题</w:t>
            </w:r>
          </w:p>
        </w:tc>
      </w:tr>
      <w:tr w14:paraId="0192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14:paraId="7AD433A5">
            <w:pPr>
              <w:spacing w:line="240" w:lineRule="auto"/>
              <w:ind w:firstLine="40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块状结构</w:t>
            </w:r>
          </w:p>
        </w:tc>
        <w:tc>
          <w:tcPr>
            <w:tcW w:w="1368" w:type="dxa"/>
            <w:vAlign w:val="center"/>
          </w:tcPr>
          <w:p w14:paraId="39CE2F9C">
            <w:pPr>
              <w:spacing w:line="240" w:lineRule="auto"/>
              <w:ind w:firstLine="40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厚层状岩浆岩、正变质岩、块状岩浆岩、副变质岩</w:t>
            </w:r>
          </w:p>
        </w:tc>
        <w:tc>
          <w:tcPr>
            <w:tcW w:w="868" w:type="dxa"/>
            <w:vAlign w:val="center"/>
          </w:tcPr>
          <w:p w14:paraId="36055874">
            <w:pPr>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w:t>
            </w:r>
          </w:p>
          <w:p w14:paraId="061F1962">
            <w:pPr>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柱状</w:t>
            </w:r>
          </w:p>
        </w:tc>
        <w:tc>
          <w:tcPr>
            <w:tcW w:w="1534" w:type="dxa"/>
            <w:vAlign w:val="center"/>
          </w:tcPr>
          <w:p w14:paraId="721D83C3">
            <w:pPr>
              <w:spacing w:line="240" w:lineRule="auto"/>
              <w:ind w:firstLine="40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只具有少量贯穿性较好的节理裂隙，裂隙结构面间距0.7～1.5m，一般2组-3组。</w:t>
            </w:r>
          </w:p>
        </w:tc>
        <w:tc>
          <w:tcPr>
            <w:tcW w:w="2223" w:type="dxa"/>
            <w:vAlign w:val="center"/>
          </w:tcPr>
          <w:p w14:paraId="7154D4C3">
            <w:pPr>
              <w:spacing w:line="240" w:lineRule="auto"/>
              <w:ind w:firstLine="40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整体性强度较高，结构面相互牵制，岩体基本稳定，接近弹性各向同性。</w:t>
            </w:r>
          </w:p>
        </w:tc>
        <w:tc>
          <w:tcPr>
            <w:tcW w:w="1562" w:type="dxa"/>
            <w:vAlign w:val="center"/>
          </w:tcPr>
          <w:p w14:paraId="5E731FAB">
            <w:pPr>
              <w:spacing w:line="240" w:lineRule="auto"/>
              <w:ind w:firstLine="40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不稳定结构体的局部滑动。</w:t>
            </w:r>
          </w:p>
        </w:tc>
      </w:tr>
    </w:tbl>
    <w:p w14:paraId="78C6543D">
      <w:pPr>
        <w:spacing w:before="72" w:beforeLines="30"/>
        <w:ind w:firstLine="422"/>
        <w:jc w:val="center"/>
        <w:rPr>
          <w:rFonts w:hint="eastAsia" w:ascii="宋体" w:hAnsi="宋体" w:cs="宋体"/>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表3.4-14</w:t>
      </w:r>
      <w:r>
        <w:rPr>
          <w:rFonts w:hint="eastAsia" w:ascii="宋体" w:hAnsi="宋体" w:cs="宋体"/>
          <w:b/>
          <w:bCs/>
          <w:color w:val="000000" w:themeColor="text1"/>
          <w:sz w:val="21"/>
          <w:szCs w:val="21"/>
          <w14:textFill>
            <w14:solidFill>
              <w14:schemeClr w14:val="tx1"/>
            </w14:solidFill>
          </w14:textFill>
        </w:rPr>
        <w:t xml:space="preserve"> </w:t>
      </w:r>
      <w:r>
        <w:rPr>
          <w:rFonts w:hint="eastAsia"/>
          <w:b/>
          <w:bCs/>
          <w:color w:val="000000" w:themeColor="text1"/>
          <w:sz w:val="24"/>
          <w14:textFill>
            <w14:solidFill>
              <w14:schemeClr w14:val="tx1"/>
            </w14:solidFill>
          </w14:textFill>
        </w:rPr>
        <w:t xml:space="preserve"> </w:t>
      </w:r>
      <w:r>
        <w:rPr>
          <w:rFonts w:hint="eastAsia" w:ascii="宋体" w:hAnsi="宋体" w:cs="宋体"/>
          <w:b/>
          <w:bCs/>
          <w:color w:val="000000" w:themeColor="text1"/>
          <w:sz w:val="21"/>
          <w:szCs w:val="21"/>
          <w14:textFill>
            <w14:solidFill>
              <w14:schemeClr w14:val="tx1"/>
            </w14:solidFill>
          </w14:textFill>
        </w:rPr>
        <w:t>露天边坡岩体完整程度划分结果表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090"/>
        <w:gridCol w:w="1090"/>
        <w:gridCol w:w="1090"/>
        <w:gridCol w:w="908"/>
        <w:gridCol w:w="1025"/>
        <w:gridCol w:w="1183"/>
        <w:gridCol w:w="1245"/>
      </w:tblGrid>
      <w:tr w14:paraId="16A8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Merge w:val="restart"/>
            <w:vAlign w:val="center"/>
          </w:tcPr>
          <w:p w14:paraId="6B9A9F38">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完整程度</w:t>
            </w:r>
          </w:p>
        </w:tc>
        <w:tc>
          <w:tcPr>
            <w:tcW w:w="5203" w:type="dxa"/>
            <w:gridSpan w:val="5"/>
            <w:vAlign w:val="center"/>
          </w:tcPr>
          <w:p w14:paraId="25DB24DA">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定性划分</w:t>
            </w:r>
          </w:p>
        </w:tc>
        <w:tc>
          <w:tcPr>
            <w:tcW w:w="2428" w:type="dxa"/>
            <w:gridSpan w:val="2"/>
            <w:vAlign w:val="center"/>
          </w:tcPr>
          <w:p w14:paraId="63217C43">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定量划分</w:t>
            </w:r>
          </w:p>
        </w:tc>
      </w:tr>
      <w:tr w14:paraId="19D3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Merge w:val="continue"/>
            <w:vAlign w:val="center"/>
          </w:tcPr>
          <w:p w14:paraId="6A4983EC">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2180" w:type="dxa"/>
            <w:gridSpan w:val="2"/>
            <w:vAlign w:val="center"/>
          </w:tcPr>
          <w:p w14:paraId="2156F2EA">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机构面发育程度</w:t>
            </w:r>
          </w:p>
        </w:tc>
        <w:tc>
          <w:tcPr>
            <w:tcW w:w="1090" w:type="dxa"/>
            <w:vMerge w:val="restart"/>
            <w:vAlign w:val="center"/>
          </w:tcPr>
          <w:p w14:paraId="1FB1D05A">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主要结构面的组合程度</w:t>
            </w:r>
          </w:p>
        </w:tc>
        <w:tc>
          <w:tcPr>
            <w:tcW w:w="908" w:type="dxa"/>
            <w:vMerge w:val="restart"/>
            <w:vAlign w:val="center"/>
          </w:tcPr>
          <w:p w14:paraId="0392E244">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主要结构面类型</w:t>
            </w:r>
          </w:p>
        </w:tc>
        <w:tc>
          <w:tcPr>
            <w:tcW w:w="1025" w:type="dxa"/>
            <w:vMerge w:val="restart"/>
            <w:vAlign w:val="center"/>
          </w:tcPr>
          <w:p w14:paraId="34FF0ED0">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相应结构类型</w:t>
            </w:r>
          </w:p>
        </w:tc>
        <w:tc>
          <w:tcPr>
            <w:tcW w:w="1183" w:type="dxa"/>
            <w:vMerge w:val="restart"/>
            <w:vAlign w:val="center"/>
          </w:tcPr>
          <w:p w14:paraId="37E81FAC">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完整性指数Kv</w:t>
            </w:r>
          </w:p>
        </w:tc>
        <w:tc>
          <w:tcPr>
            <w:tcW w:w="1245" w:type="dxa"/>
            <w:vMerge w:val="restart"/>
            <w:vAlign w:val="center"/>
          </w:tcPr>
          <w:p w14:paraId="5F13E8B7">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岩体体积结构面数Jv（条/m</w:t>
            </w:r>
            <w:r>
              <w:rPr>
                <w:rFonts w:hint="eastAsia" w:ascii="宋体" w:hAnsi="宋体" w:cs="宋体"/>
                <w:b/>
                <w:bCs/>
                <w:color w:val="000000" w:themeColor="text1"/>
                <w:sz w:val="20"/>
                <w:szCs w:val="20"/>
                <w:vertAlign w:val="superscript"/>
                <w14:textFill>
                  <w14:solidFill>
                    <w14:schemeClr w14:val="tx1"/>
                  </w14:solidFill>
                </w14:textFill>
              </w:rPr>
              <w:t>3</w:t>
            </w:r>
            <w:r>
              <w:rPr>
                <w:rFonts w:hint="eastAsia" w:ascii="宋体" w:hAnsi="宋体" w:cs="宋体"/>
                <w:b/>
                <w:bCs/>
                <w:color w:val="000000" w:themeColor="text1"/>
                <w:sz w:val="20"/>
                <w:szCs w:val="20"/>
                <w14:textFill>
                  <w14:solidFill>
                    <w14:schemeClr w14:val="tx1"/>
                  </w14:solidFill>
                </w14:textFill>
              </w:rPr>
              <w:t>）</w:t>
            </w:r>
          </w:p>
        </w:tc>
      </w:tr>
      <w:tr w14:paraId="1020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Merge w:val="continue"/>
            <w:vAlign w:val="center"/>
          </w:tcPr>
          <w:p w14:paraId="6901182B">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090" w:type="dxa"/>
            <w:vAlign w:val="center"/>
          </w:tcPr>
          <w:p w14:paraId="6A0912D1">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组数</w:t>
            </w:r>
          </w:p>
        </w:tc>
        <w:tc>
          <w:tcPr>
            <w:tcW w:w="1090" w:type="dxa"/>
            <w:vAlign w:val="center"/>
          </w:tcPr>
          <w:p w14:paraId="7923DD06">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平均间距（m）</w:t>
            </w:r>
          </w:p>
        </w:tc>
        <w:tc>
          <w:tcPr>
            <w:tcW w:w="1090" w:type="dxa"/>
            <w:vMerge w:val="continue"/>
            <w:vAlign w:val="center"/>
          </w:tcPr>
          <w:p w14:paraId="6FE32E1B">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908" w:type="dxa"/>
            <w:vMerge w:val="continue"/>
            <w:vAlign w:val="center"/>
          </w:tcPr>
          <w:p w14:paraId="796CB69E">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025" w:type="dxa"/>
            <w:vMerge w:val="continue"/>
            <w:vAlign w:val="center"/>
          </w:tcPr>
          <w:p w14:paraId="5AA6D27E">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183" w:type="dxa"/>
            <w:vMerge w:val="continue"/>
            <w:vAlign w:val="center"/>
          </w:tcPr>
          <w:p w14:paraId="4CE618CB">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1245" w:type="dxa"/>
            <w:vMerge w:val="continue"/>
            <w:vAlign w:val="center"/>
          </w:tcPr>
          <w:p w14:paraId="3252089A">
            <w:pPr>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r>
      <w:tr w14:paraId="2185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dxa"/>
            <w:vAlign w:val="center"/>
          </w:tcPr>
          <w:p w14:paraId="53C53393">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较完整</w:t>
            </w:r>
          </w:p>
        </w:tc>
        <w:tc>
          <w:tcPr>
            <w:tcW w:w="1090" w:type="dxa"/>
            <w:vAlign w:val="center"/>
          </w:tcPr>
          <w:p w14:paraId="4F586D56">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w:t>
            </w:r>
          </w:p>
        </w:tc>
        <w:tc>
          <w:tcPr>
            <w:tcW w:w="1090" w:type="dxa"/>
            <w:vAlign w:val="center"/>
          </w:tcPr>
          <w:p w14:paraId="0E675B68">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&gt;1.0</w:t>
            </w:r>
          </w:p>
        </w:tc>
        <w:tc>
          <w:tcPr>
            <w:tcW w:w="1090" w:type="dxa"/>
            <w:vAlign w:val="center"/>
          </w:tcPr>
          <w:p w14:paraId="2E2A4C1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结合差</w:t>
            </w:r>
          </w:p>
        </w:tc>
        <w:tc>
          <w:tcPr>
            <w:tcW w:w="908" w:type="dxa"/>
            <w:vAlign w:val="center"/>
          </w:tcPr>
          <w:p w14:paraId="27B7029A">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节理、裂隙、层面</w:t>
            </w:r>
          </w:p>
        </w:tc>
        <w:tc>
          <w:tcPr>
            <w:tcW w:w="1025" w:type="dxa"/>
            <w:vAlign w:val="center"/>
          </w:tcPr>
          <w:p w14:paraId="32EB9068">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块状或厚层状结构</w:t>
            </w:r>
          </w:p>
        </w:tc>
        <w:tc>
          <w:tcPr>
            <w:tcW w:w="1183" w:type="dxa"/>
            <w:vAlign w:val="center"/>
          </w:tcPr>
          <w:p w14:paraId="120FC40B">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0.75-0.55</w:t>
            </w:r>
          </w:p>
        </w:tc>
        <w:tc>
          <w:tcPr>
            <w:tcW w:w="1245" w:type="dxa"/>
            <w:vAlign w:val="center"/>
          </w:tcPr>
          <w:p w14:paraId="01E0A0CF">
            <w:pPr>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3-10</w:t>
            </w:r>
          </w:p>
        </w:tc>
      </w:tr>
    </w:tbl>
    <w:p w14:paraId="24D3ADAC">
      <w:pPr>
        <w:spacing w:before="120" w:beforeLines="50"/>
        <w:ind w:firstLine="422"/>
        <w:jc w:val="center"/>
        <w:rPr>
          <w:rFonts w:hint="eastAsia" w:ascii="宋体" w:hAnsi="宋体" w:cs="宋体"/>
          <w:b/>
          <w:bCs/>
          <w:color w:val="000000" w:themeColor="text1"/>
          <w:sz w:val="21"/>
          <w:szCs w:val="21"/>
          <w14:textFill>
            <w14:solidFill>
              <w14:schemeClr w14:val="tx1"/>
            </w14:solidFill>
          </w14:textFill>
        </w:rPr>
      </w:pPr>
    </w:p>
    <w:p w14:paraId="67BA7247">
      <w:pPr>
        <w:spacing w:before="120" w:beforeLines="50"/>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表3.4-15</w:t>
      </w:r>
      <w:r>
        <w:rPr>
          <w:rFonts w:hint="eastAsia" w:ascii="宋体" w:hAnsi="宋体" w:cs="宋体"/>
          <w:b/>
          <w:bCs/>
          <w:color w:val="000000" w:themeColor="text1"/>
          <w:sz w:val="21"/>
          <w:szCs w:val="21"/>
          <w14:textFill>
            <w14:solidFill>
              <w14:schemeClr w14:val="tx1"/>
            </w14:solidFill>
          </w14:textFill>
        </w:rPr>
        <w:t xml:space="preserve">  露天矿边坡地质结构划分结果表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33"/>
        <w:gridCol w:w="3821"/>
        <w:gridCol w:w="2555"/>
      </w:tblGrid>
      <w:tr w14:paraId="0335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2343" w:type="dxa"/>
            <w:gridSpan w:val="2"/>
            <w:vAlign w:val="center"/>
          </w:tcPr>
          <w:p w14:paraId="76BF02FA">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边坡地质结构类型</w:t>
            </w:r>
          </w:p>
        </w:tc>
        <w:tc>
          <w:tcPr>
            <w:tcW w:w="3821" w:type="dxa"/>
            <w:vAlign w:val="center"/>
          </w:tcPr>
          <w:p w14:paraId="18E23452">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特征描述</w:t>
            </w:r>
          </w:p>
        </w:tc>
        <w:tc>
          <w:tcPr>
            <w:tcW w:w="2555" w:type="dxa"/>
            <w:vAlign w:val="center"/>
          </w:tcPr>
          <w:p w14:paraId="38FDFF3D">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边坡破坏模式</w:t>
            </w:r>
          </w:p>
        </w:tc>
      </w:tr>
      <w:tr w14:paraId="1546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43" w:type="dxa"/>
            <w:gridSpan w:val="2"/>
            <w:vAlign w:val="center"/>
          </w:tcPr>
          <w:p w14:paraId="383B1388">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块状岩体边坡</w:t>
            </w:r>
          </w:p>
        </w:tc>
        <w:tc>
          <w:tcPr>
            <w:tcW w:w="3821" w:type="dxa"/>
            <w:vAlign w:val="center"/>
          </w:tcPr>
          <w:p w14:paraId="4D691309">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岩体基本均一，D</w:t>
            </w:r>
            <w:r>
              <w:rPr>
                <w:rFonts w:hint="eastAsia" w:ascii="宋体" w:hAnsi="宋体" w:cs="宋体"/>
                <w:color w:val="000000" w:themeColor="text1"/>
                <w:sz w:val="20"/>
                <w:szCs w:val="20"/>
                <w:vertAlign w:val="subscript"/>
                <w14:textFill>
                  <w14:solidFill>
                    <w14:schemeClr w14:val="tx1"/>
                  </w14:solidFill>
                </w14:textFill>
              </w:rPr>
              <w:t>50</w:t>
            </w:r>
            <w:r>
              <w:rPr>
                <w:rFonts w:hint="eastAsia" w:ascii="宋体" w:hAnsi="宋体" w:cs="宋体"/>
                <w:color w:val="000000" w:themeColor="text1"/>
                <w:sz w:val="20"/>
                <w:szCs w:val="20"/>
                <w14:textFill>
                  <w14:solidFill>
                    <w14:schemeClr w14:val="tx1"/>
                  </w14:solidFill>
                </w14:textFill>
              </w:rPr>
              <w:t>≥L</w:t>
            </w:r>
            <w:r>
              <w:rPr>
                <w:rFonts w:hint="eastAsia" w:ascii="宋体" w:hAnsi="宋体" w:cs="宋体"/>
                <w:color w:val="000000" w:themeColor="text1"/>
                <w:sz w:val="20"/>
                <w:szCs w:val="20"/>
                <w:vertAlign w:val="subscript"/>
                <w14:textFill>
                  <w14:solidFill>
                    <w14:schemeClr w14:val="tx1"/>
                  </w14:solidFill>
                </w14:textFill>
              </w:rPr>
              <w:t>C</w:t>
            </w:r>
            <w:r>
              <w:rPr>
                <w:rFonts w:hint="eastAsia" w:ascii="宋体" w:hAnsi="宋体" w:cs="宋体"/>
                <w:color w:val="000000" w:themeColor="text1"/>
                <w:sz w:val="20"/>
                <w:szCs w:val="20"/>
                <w14:textFill>
                  <w14:solidFill>
                    <w14:schemeClr w14:val="tx1"/>
                  </w14:solidFill>
                </w14:textFill>
              </w:rPr>
              <w:t>≥0.02</w:t>
            </w:r>
          </w:p>
        </w:tc>
        <w:tc>
          <w:tcPr>
            <w:tcW w:w="2555" w:type="dxa"/>
            <w:vAlign w:val="center"/>
          </w:tcPr>
          <w:p w14:paraId="530C2DD0">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平面型、折线型、倾倒型</w:t>
            </w:r>
          </w:p>
        </w:tc>
      </w:tr>
      <w:tr w14:paraId="7015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0" w:type="dxa"/>
            <w:vMerge w:val="restart"/>
            <w:vAlign w:val="center"/>
          </w:tcPr>
          <w:p w14:paraId="4AD6821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层状岩体边坡</w:t>
            </w:r>
          </w:p>
        </w:tc>
        <w:tc>
          <w:tcPr>
            <w:tcW w:w="1633" w:type="dxa"/>
            <w:vAlign w:val="center"/>
          </w:tcPr>
          <w:p w14:paraId="224A037A">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同倾边坡</w:t>
            </w:r>
          </w:p>
        </w:tc>
        <w:tc>
          <w:tcPr>
            <w:tcW w:w="3821" w:type="dxa"/>
            <w:vAlign w:val="center"/>
          </w:tcPr>
          <w:p w14:paraId="0C74259B">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α≤30°；层面摩擦角≤β≤坡面角</w:t>
            </w:r>
          </w:p>
        </w:tc>
        <w:tc>
          <w:tcPr>
            <w:tcW w:w="2555" w:type="dxa"/>
            <w:vAlign w:val="center"/>
          </w:tcPr>
          <w:p w14:paraId="5ED36D52">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平面型、折线型</w:t>
            </w:r>
          </w:p>
        </w:tc>
      </w:tr>
      <w:tr w14:paraId="5EED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14:paraId="0D179C7B">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1633" w:type="dxa"/>
            <w:vAlign w:val="center"/>
          </w:tcPr>
          <w:p w14:paraId="5DDAE4F0">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同倾斜向边坡</w:t>
            </w:r>
          </w:p>
        </w:tc>
        <w:tc>
          <w:tcPr>
            <w:tcW w:w="3821" w:type="dxa"/>
            <w:vAlign w:val="center"/>
          </w:tcPr>
          <w:p w14:paraId="318DA541">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30°＜α≤75°，层面摩擦角＜组合滑面交线倾角≤坡面角</w:t>
            </w:r>
          </w:p>
        </w:tc>
        <w:tc>
          <w:tcPr>
            <w:tcW w:w="2555" w:type="dxa"/>
            <w:vAlign w:val="center"/>
          </w:tcPr>
          <w:p w14:paraId="22096ED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楔体型</w:t>
            </w:r>
          </w:p>
        </w:tc>
      </w:tr>
      <w:tr w14:paraId="242D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10" w:type="dxa"/>
            <w:vMerge w:val="continue"/>
            <w:vAlign w:val="center"/>
          </w:tcPr>
          <w:p w14:paraId="5988DD58">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p>
        </w:tc>
        <w:tc>
          <w:tcPr>
            <w:tcW w:w="1633" w:type="dxa"/>
            <w:vAlign w:val="center"/>
          </w:tcPr>
          <w:p w14:paraId="72A06084">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其他结构边坡</w:t>
            </w:r>
          </w:p>
        </w:tc>
        <w:tc>
          <w:tcPr>
            <w:tcW w:w="3821" w:type="dxa"/>
            <w:vAlign w:val="center"/>
          </w:tcPr>
          <w:p w14:paraId="0DA3A935">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结构面组合不能直接控制边坡破坏</w:t>
            </w:r>
          </w:p>
        </w:tc>
        <w:tc>
          <w:tcPr>
            <w:tcW w:w="2555" w:type="dxa"/>
            <w:vAlign w:val="center"/>
          </w:tcPr>
          <w:p w14:paraId="5A9F1677">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圆弧型、复合型</w:t>
            </w:r>
          </w:p>
        </w:tc>
      </w:tr>
      <w:tr w14:paraId="54B0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8719" w:type="dxa"/>
            <w:gridSpan w:val="4"/>
            <w:vAlign w:val="center"/>
          </w:tcPr>
          <w:p w14:paraId="0B29911D">
            <w:pPr>
              <w:adjustRightInd w:val="0"/>
              <w:snapToGrid w:val="0"/>
              <w:spacing w:line="240" w:lineRule="auto"/>
              <w:ind w:firstLine="0" w:firstLineChars="0"/>
              <w:jc w:val="both"/>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注：1.α层面与坡面的倾向夹角（°）；β层面倾角（°）；D</w:t>
            </w:r>
            <w:r>
              <w:rPr>
                <w:rFonts w:hint="eastAsia" w:ascii="宋体" w:hAnsi="宋体" w:cs="宋体"/>
                <w:color w:val="000000" w:themeColor="text1"/>
                <w:sz w:val="20"/>
                <w:szCs w:val="20"/>
                <w:vertAlign w:val="subscript"/>
                <w14:textFill>
                  <w14:solidFill>
                    <w14:schemeClr w14:val="tx1"/>
                  </w14:solidFill>
                </w14:textFill>
              </w:rPr>
              <w:t>50</w:t>
            </w:r>
            <w:r>
              <w:rPr>
                <w:rFonts w:hint="eastAsia" w:ascii="宋体" w:hAnsi="宋体" w:cs="宋体"/>
                <w:color w:val="000000" w:themeColor="text1"/>
                <w:sz w:val="20"/>
                <w:szCs w:val="20"/>
                <w14:textFill>
                  <w14:solidFill>
                    <w14:schemeClr w14:val="tx1"/>
                  </w14:solidFill>
                </w14:textFill>
              </w:rPr>
              <w:t>坡面50%块体快径（m）；L</w:t>
            </w:r>
            <w:r>
              <w:rPr>
                <w:rFonts w:hint="eastAsia" w:ascii="宋体" w:hAnsi="宋体" w:cs="宋体"/>
                <w:color w:val="000000" w:themeColor="text1"/>
                <w:sz w:val="20"/>
                <w:szCs w:val="20"/>
                <w:vertAlign w:val="subscript"/>
                <w14:textFill>
                  <w14:solidFill>
                    <w14:schemeClr w14:val="tx1"/>
                  </w14:solidFill>
                </w14:textFill>
              </w:rPr>
              <w:t>C</w:t>
            </w:r>
            <w:r>
              <w:rPr>
                <w:rFonts w:hint="eastAsia" w:ascii="宋体" w:hAnsi="宋体" w:cs="宋体"/>
                <w:color w:val="000000" w:themeColor="text1"/>
                <w:sz w:val="20"/>
                <w:szCs w:val="20"/>
                <w14:textFill>
                  <w14:solidFill>
                    <w14:schemeClr w14:val="tx1"/>
                  </w14:solidFill>
                </w14:textFill>
              </w:rPr>
              <w:t>可能发生变形破坏边坡的特征高度（m）。2.变质岩片理面、板理面，对边坡稳定性具有控制性作用的断层面（带）、其他软弱面（带）按层面考虑。3.较大规模和地质条件变化较大的边坡，应根据具体边坡地质结构变化情况分段划分类型，建立分析模型。</w:t>
            </w:r>
          </w:p>
        </w:tc>
      </w:tr>
    </w:tbl>
    <w:p w14:paraId="1CC48219">
      <w:pPr>
        <w:spacing w:before="120" w:beforeLines="5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根据上述各表的分析结果，本矿山露天边坡岩体结构类型为块状结构、边坡完整程度为较完整。岩体基本均一，所以边坡破坏模式为平面型、折线型。</w:t>
      </w:r>
    </w:p>
    <w:p w14:paraId="39BFB939">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3.露天边坡危害等级划分</w:t>
      </w:r>
    </w:p>
    <w:p w14:paraId="0B3185C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51016-2014）表3.0.5（见下表），该露天边坡危害等级为Ⅲ级。</w:t>
      </w:r>
    </w:p>
    <w:p w14:paraId="05E583AD">
      <w:pPr>
        <w:ind w:firstLine="422"/>
        <w:jc w:val="center"/>
        <w:rPr>
          <w:rFonts w:hint="eastAsia" w:ascii="宋体" w:hAnsi="宋体" w:cs="宋体"/>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表3.4-16</w:t>
      </w:r>
      <w:r>
        <w:rPr>
          <w:rFonts w:hint="eastAsia" w:ascii="宋体" w:hAnsi="宋体" w:cs="宋体"/>
          <w:b/>
          <w:bCs/>
          <w:color w:val="000000" w:themeColor="text1"/>
          <w:sz w:val="21"/>
          <w:szCs w:val="21"/>
          <w14:textFill>
            <w14:solidFill>
              <w14:schemeClr w14:val="tx1"/>
            </w14:solidFill>
          </w14:textFill>
        </w:rPr>
        <w:t xml:space="preserve">  边坡危害等级</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560"/>
        <w:gridCol w:w="1999"/>
        <w:gridCol w:w="1780"/>
        <w:gridCol w:w="1780"/>
      </w:tblGrid>
      <w:tr w14:paraId="78C2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3340" w:type="dxa"/>
            <w:gridSpan w:val="2"/>
            <w:vAlign w:val="center"/>
          </w:tcPr>
          <w:p w14:paraId="50F944A9">
            <w:pPr>
              <w:adjustRightInd w:val="0"/>
              <w:snapToGrid w:val="0"/>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边坡危害等级</w:t>
            </w:r>
          </w:p>
        </w:tc>
        <w:tc>
          <w:tcPr>
            <w:tcW w:w="1999" w:type="dxa"/>
            <w:vAlign w:val="center"/>
          </w:tcPr>
          <w:p w14:paraId="05CBE5CF">
            <w:pPr>
              <w:adjustRightInd w:val="0"/>
              <w:snapToGrid w:val="0"/>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I</w:t>
            </w:r>
          </w:p>
        </w:tc>
        <w:tc>
          <w:tcPr>
            <w:tcW w:w="1780" w:type="dxa"/>
            <w:vAlign w:val="center"/>
          </w:tcPr>
          <w:p w14:paraId="7A3BE494">
            <w:pPr>
              <w:adjustRightInd w:val="0"/>
              <w:snapToGrid w:val="0"/>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Ⅱ</w:t>
            </w:r>
          </w:p>
        </w:tc>
        <w:tc>
          <w:tcPr>
            <w:tcW w:w="1780" w:type="dxa"/>
            <w:vAlign w:val="center"/>
          </w:tcPr>
          <w:p w14:paraId="66BCEC50">
            <w:pPr>
              <w:adjustRightInd w:val="0"/>
              <w:snapToGrid w:val="0"/>
              <w:spacing w:line="240" w:lineRule="auto"/>
              <w:ind w:firstLine="402"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Ⅲ</w:t>
            </w:r>
          </w:p>
        </w:tc>
      </w:tr>
      <w:tr w14:paraId="10B1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3340" w:type="dxa"/>
            <w:gridSpan w:val="2"/>
            <w:vAlign w:val="center"/>
          </w:tcPr>
          <w:p w14:paraId="5D3F65EE">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可能的人员伤亡</w:t>
            </w:r>
          </w:p>
        </w:tc>
        <w:tc>
          <w:tcPr>
            <w:tcW w:w="1999" w:type="dxa"/>
            <w:vAlign w:val="center"/>
          </w:tcPr>
          <w:p w14:paraId="64364EC6">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有人员伤亡</w:t>
            </w:r>
          </w:p>
        </w:tc>
        <w:tc>
          <w:tcPr>
            <w:tcW w:w="1780" w:type="dxa"/>
            <w:vAlign w:val="center"/>
          </w:tcPr>
          <w:p w14:paraId="1278F0AD">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有人受伤</w:t>
            </w:r>
          </w:p>
        </w:tc>
        <w:tc>
          <w:tcPr>
            <w:tcW w:w="1780" w:type="dxa"/>
            <w:vAlign w:val="center"/>
          </w:tcPr>
          <w:p w14:paraId="44B5E228">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无人员伤亡</w:t>
            </w:r>
          </w:p>
        </w:tc>
      </w:tr>
      <w:tr w14:paraId="2C64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1780" w:type="dxa"/>
            <w:vMerge w:val="restart"/>
            <w:vAlign w:val="center"/>
          </w:tcPr>
          <w:p w14:paraId="15C5D706">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潜在的经济</w:t>
            </w:r>
          </w:p>
          <w:p w14:paraId="61D6B57A">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损失</w:t>
            </w:r>
          </w:p>
        </w:tc>
        <w:tc>
          <w:tcPr>
            <w:tcW w:w="1560" w:type="dxa"/>
            <w:vAlign w:val="center"/>
          </w:tcPr>
          <w:p w14:paraId="04FD0149">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直接</w:t>
            </w:r>
          </w:p>
        </w:tc>
        <w:tc>
          <w:tcPr>
            <w:tcW w:w="1999" w:type="dxa"/>
            <w:vAlign w:val="center"/>
          </w:tcPr>
          <w:p w14:paraId="7926F993">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≥100万</w:t>
            </w:r>
          </w:p>
        </w:tc>
        <w:tc>
          <w:tcPr>
            <w:tcW w:w="1780" w:type="dxa"/>
            <w:vAlign w:val="center"/>
          </w:tcPr>
          <w:p w14:paraId="6741751C">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50万～100万</w:t>
            </w:r>
          </w:p>
        </w:tc>
        <w:tc>
          <w:tcPr>
            <w:tcW w:w="1780" w:type="dxa"/>
            <w:vAlign w:val="center"/>
          </w:tcPr>
          <w:p w14:paraId="5536A4FD">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≤50万</w:t>
            </w:r>
          </w:p>
        </w:tc>
      </w:tr>
      <w:tr w14:paraId="7D05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1780" w:type="dxa"/>
            <w:vMerge w:val="continue"/>
            <w:vAlign w:val="center"/>
          </w:tcPr>
          <w:p w14:paraId="2005D83E">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p>
        </w:tc>
        <w:tc>
          <w:tcPr>
            <w:tcW w:w="1560" w:type="dxa"/>
            <w:vAlign w:val="center"/>
          </w:tcPr>
          <w:p w14:paraId="1B45958C">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间接</w:t>
            </w:r>
          </w:p>
        </w:tc>
        <w:tc>
          <w:tcPr>
            <w:tcW w:w="1999" w:type="dxa"/>
            <w:vAlign w:val="center"/>
          </w:tcPr>
          <w:p w14:paraId="5786D939">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≥1000万</w:t>
            </w:r>
          </w:p>
        </w:tc>
        <w:tc>
          <w:tcPr>
            <w:tcW w:w="1780" w:type="dxa"/>
            <w:vAlign w:val="center"/>
          </w:tcPr>
          <w:p w14:paraId="6B4856D7">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500万～1000万</w:t>
            </w:r>
          </w:p>
        </w:tc>
        <w:tc>
          <w:tcPr>
            <w:tcW w:w="1780" w:type="dxa"/>
            <w:vAlign w:val="center"/>
          </w:tcPr>
          <w:p w14:paraId="51386EF7">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≤500万</w:t>
            </w:r>
          </w:p>
        </w:tc>
      </w:tr>
      <w:tr w14:paraId="0FFC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3340" w:type="dxa"/>
            <w:gridSpan w:val="2"/>
            <w:vAlign w:val="center"/>
          </w:tcPr>
          <w:p w14:paraId="63811A7C">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综合评定</w:t>
            </w:r>
          </w:p>
        </w:tc>
        <w:tc>
          <w:tcPr>
            <w:tcW w:w="1999" w:type="dxa"/>
            <w:vAlign w:val="center"/>
          </w:tcPr>
          <w:p w14:paraId="6AE1F929">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很严重</w:t>
            </w:r>
          </w:p>
        </w:tc>
        <w:tc>
          <w:tcPr>
            <w:tcW w:w="1780" w:type="dxa"/>
            <w:vAlign w:val="center"/>
          </w:tcPr>
          <w:p w14:paraId="7A208C3B">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严重</w:t>
            </w:r>
          </w:p>
        </w:tc>
        <w:tc>
          <w:tcPr>
            <w:tcW w:w="1780" w:type="dxa"/>
            <w:vAlign w:val="center"/>
          </w:tcPr>
          <w:p w14:paraId="4DB0BAD4">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不严重</w:t>
            </w:r>
          </w:p>
        </w:tc>
      </w:tr>
    </w:tbl>
    <w:p w14:paraId="5A38843A">
      <w:pPr>
        <w:spacing w:before="120" w:beforeLines="5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4.露天边坡工程安全等级划分</w:t>
      </w:r>
    </w:p>
    <w:p w14:paraId="45359324">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51016-2014）表3.0.6（见下表），该露天边坡最终高度为</w:t>
      </w:r>
      <w:r>
        <w:rPr>
          <w:rFonts w:hint="eastAsia"/>
          <w:color w:val="000000" w:themeColor="text1"/>
          <w:szCs w:val="28"/>
          <w14:textFill>
            <w14:solidFill>
              <w14:schemeClr w14:val="tx1"/>
            </w14:solidFill>
          </w14:textFill>
        </w:rPr>
        <w:t>130</w:t>
      </w:r>
      <w:r>
        <w:rPr>
          <w:color w:val="000000" w:themeColor="text1"/>
          <w:szCs w:val="28"/>
          <w14:textFill>
            <w14:solidFill>
              <w14:schemeClr w14:val="tx1"/>
            </w14:solidFill>
          </w14:textFill>
        </w:rPr>
        <w:t>m，所以工程安全等级Ⅲ级，边坡危害等级为Ⅲ级。</w:t>
      </w:r>
    </w:p>
    <w:p w14:paraId="335A9F66">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表3.4-17</w:t>
      </w:r>
      <w:r>
        <w:rPr>
          <w:rFonts w:hint="eastAsia" w:ascii="宋体" w:hAnsi="宋体" w:cs="宋体"/>
          <w:b/>
          <w:bCs/>
          <w:color w:val="000000" w:themeColor="text1"/>
          <w:sz w:val="21"/>
          <w:szCs w:val="21"/>
          <w14:textFill>
            <w14:solidFill>
              <w14:schemeClr w14:val="tx1"/>
            </w14:solidFill>
          </w14:textFill>
        </w:rPr>
        <w:t xml:space="preserve">   边坡工程安全等级划分</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813"/>
        <w:gridCol w:w="2813"/>
      </w:tblGrid>
      <w:tr w14:paraId="004E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tblHeader/>
          <w:jc w:val="center"/>
        </w:trPr>
        <w:tc>
          <w:tcPr>
            <w:tcW w:w="2812" w:type="dxa"/>
            <w:vAlign w:val="center"/>
          </w:tcPr>
          <w:p w14:paraId="36A1E54C">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边坡工程安全等级</w:t>
            </w:r>
          </w:p>
        </w:tc>
        <w:tc>
          <w:tcPr>
            <w:tcW w:w="2813" w:type="dxa"/>
            <w:vAlign w:val="center"/>
          </w:tcPr>
          <w:p w14:paraId="7BE654E5">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边坡高度H（m）</w:t>
            </w:r>
          </w:p>
        </w:tc>
        <w:tc>
          <w:tcPr>
            <w:tcW w:w="2813" w:type="dxa"/>
            <w:vAlign w:val="center"/>
          </w:tcPr>
          <w:p w14:paraId="4E53CF8C">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边坡危害等级</w:t>
            </w:r>
          </w:p>
        </w:tc>
      </w:tr>
      <w:tr w14:paraId="1AF5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restart"/>
            <w:vAlign w:val="center"/>
          </w:tcPr>
          <w:p w14:paraId="501C469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I</w:t>
            </w:r>
          </w:p>
        </w:tc>
        <w:tc>
          <w:tcPr>
            <w:tcW w:w="2813" w:type="dxa"/>
            <w:vAlign w:val="center"/>
          </w:tcPr>
          <w:p w14:paraId="67CC48A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H﹥500</w:t>
            </w:r>
          </w:p>
        </w:tc>
        <w:tc>
          <w:tcPr>
            <w:tcW w:w="2813" w:type="dxa"/>
            <w:vAlign w:val="center"/>
          </w:tcPr>
          <w:p w14:paraId="230BE8F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I.Ⅱ、Ⅲ</w:t>
            </w:r>
          </w:p>
        </w:tc>
      </w:tr>
      <w:tr w14:paraId="5FEF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45C110FA">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2813" w:type="dxa"/>
            <w:vAlign w:val="center"/>
          </w:tcPr>
          <w:p w14:paraId="1AB510C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300﹤H≤500</w:t>
            </w:r>
          </w:p>
        </w:tc>
        <w:tc>
          <w:tcPr>
            <w:tcW w:w="2813" w:type="dxa"/>
            <w:vAlign w:val="center"/>
          </w:tcPr>
          <w:p w14:paraId="2F51607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I.Ⅱ</w:t>
            </w:r>
          </w:p>
        </w:tc>
      </w:tr>
      <w:tr w14:paraId="28AD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79537BE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2813" w:type="dxa"/>
            <w:vAlign w:val="center"/>
          </w:tcPr>
          <w:p w14:paraId="12C59D7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100﹤H≤300</w:t>
            </w:r>
          </w:p>
        </w:tc>
        <w:tc>
          <w:tcPr>
            <w:tcW w:w="2813" w:type="dxa"/>
            <w:vAlign w:val="center"/>
          </w:tcPr>
          <w:p w14:paraId="4235E55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I</w:t>
            </w:r>
          </w:p>
        </w:tc>
      </w:tr>
      <w:tr w14:paraId="4426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restart"/>
            <w:vAlign w:val="center"/>
          </w:tcPr>
          <w:p w14:paraId="1AAB387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Ⅱ</w:t>
            </w:r>
          </w:p>
        </w:tc>
        <w:tc>
          <w:tcPr>
            <w:tcW w:w="2813" w:type="dxa"/>
            <w:vAlign w:val="center"/>
          </w:tcPr>
          <w:p w14:paraId="35A1E9C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300﹤H≤500</w:t>
            </w:r>
          </w:p>
        </w:tc>
        <w:tc>
          <w:tcPr>
            <w:tcW w:w="2813" w:type="dxa"/>
            <w:vAlign w:val="center"/>
          </w:tcPr>
          <w:p w14:paraId="1F9221C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Ⅲ</w:t>
            </w:r>
          </w:p>
        </w:tc>
      </w:tr>
      <w:tr w14:paraId="160C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1A24EFAC">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2813" w:type="dxa"/>
            <w:vAlign w:val="center"/>
          </w:tcPr>
          <w:p w14:paraId="160B611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100﹤H≤300</w:t>
            </w:r>
          </w:p>
        </w:tc>
        <w:tc>
          <w:tcPr>
            <w:tcW w:w="2813" w:type="dxa"/>
            <w:vAlign w:val="center"/>
          </w:tcPr>
          <w:p w14:paraId="4D99884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Ⅱ、Ⅲ</w:t>
            </w:r>
          </w:p>
        </w:tc>
      </w:tr>
      <w:tr w14:paraId="6616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continue"/>
            <w:vAlign w:val="center"/>
          </w:tcPr>
          <w:p w14:paraId="067832F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p w14:paraId="4C476BCB">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2813" w:type="dxa"/>
            <w:vAlign w:val="center"/>
          </w:tcPr>
          <w:p w14:paraId="6AFF2A9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H≤100</w:t>
            </w:r>
          </w:p>
        </w:tc>
        <w:tc>
          <w:tcPr>
            <w:tcW w:w="2813" w:type="dxa"/>
            <w:vAlign w:val="center"/>
          </w:tcPr>
          <w:p w14:paraId="5A1155D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I</w:t>
            </w:r>
          </w:p>
        </w:tc>
      </w:tr>
      <w:tr w14:paraId="7A26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812" w:type="dxa"/>
            <w:vMerge w:val="restart"/>
            <w:vAlign w:val="center"/>
          </w:tcPr>
          <w:p w14:paraId="793EF27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Ⅲ</w:t>
            </w:r>
          </w:p>
        </w:tc>
        <w:tc>
          <w:tcPr>
            <w:tcW w:w="2813" w:type="dxa"/>
            <w:vAlign w:val="center"/>
          </w:tcPr>
          <w:p w14:paraId="7EE9A875">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100﹤H≤300</w:t>
            </w:r>
          </w:p>
        </w:tc>
        <w:tc>
          <w:tcPr>
            <w:tcW w:w="2813" w:type="dxa"/>
            <w:vAlign w:val="center"/>
          </w:tcPr>
          <w:p w14:paraId="64F084DE">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Ⅲ</w:t>
            </w:r>
          </w:p>
        </w:tc>
      </w:tr>
      <w:tr w14:paraId="21E0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2812" w:type="dxa"/>
            <w:vMerge w:val="continue"/>
            <w:vAlign w:val="center"/>
          </w:tcPr>
          <w:p w14:paraId="22245123">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2813" w:type="dxa"/>
            <w:vAlign w:val="center"/>
          </w:tcPr>
          <w:p w14:paraId="664960F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H≤100</w:t>
            </w:r>
          </w:p>
        </w:tc>
        <w:tc>
          <w:tcPr>
            <w:tcW w:w="2813" w:type="dxa"/>
            <w:vAlign w:val="center"/>
          </w:tcPr>
          <w:p w14:paraId="281AA95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Ⅱ、Ⅲ</w:t>
            </w:r>
          </w:p>
        </w:tc>
      </w:tr>
    </w:tbl>
    <w:p w14:paraId="3884E46D">
      <w:pPr>
        <w:spacing w:before="120" w:beforeLines="50"/>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七、</w:t>
      </w:r>
      <w:r>
        <w:rPr>
          <w:b/>
          <w:bCs/>
          <w:color w:val="000000" w:themeColor="text1"/>
          <w:szCs w:val="28"/>
          <w14:textFill>
            <w14:solidFill>
              <w14:schemeClr w14:val="tx1"/>
            </w14:solidFill>
          </w14:textFill>
        </w:rPr>
        <w:t>稳定性分析计算</w:t>
      </w:r>
    </w:p>
    <w:p w14:paraId="5D3BED8E">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1.稳定性计算方法和计算软件</w:t>
      </w:r>
    </w:p>
    <w:p w14:paraId="5F15571F">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51016-2014），针对构成边坡的地质产状、最终边坡倾向，采用</w:t>
      </w:r>
      <w:r>
        <w:rPr>
          <w:rFonts w:hint="eastAsia"/>
          <w:color w:val="000000" w:themeColor="text1"/>
          <w:szCs w:val="28"/>
          <w14:textFill>
            <w14:solidFill>
              <w14:schemeClr w14:val="tx1"/>
            </w14:solidFill>
          </w14:textFill>
        </w:rPr>
        <w:t>不平衡推力传递</w:t>
      </w:r>
      <w:r>
        <w:rPr>
          <w:color w:val="000000" w:themeColor="text1"/>
          <w:szCs w:val="28"/>
          <w14:textFill>
            <w14:solidFill>
              <w14:schemeClr w14:val="tx1"/>
            </w14:solidFill>
          </w14:textFill>
        </w:rPr>
        <w:t>法对本次边坡稳定性进行验算</w:t>
      </w:r>
      <w:r>
        <w:rPr>
          <w:rFonts w:hint="eastAsia"/>
          <w:color w:val="000000" w:themeColor="text1"/>
          <w:szCs w:val="28"/>
          <w14:textFill>
            <w14:solidFill>
              <w14:schemeClr w14:val="tx1"/>
            </w14:solidFill>
          </w14:textFill>
        </w:rPr>
        <w:t>。</w:t>
      </w:r>
    </w:p>
    <w:p w14:paraId="50BC27BD">
      <w:pPr>
        <w:ind w:firstLine="560"/>
        <w:rPr>
          <w:b/>
          <w:bCs/>
          <w:color w:val="000000" w:themeColor="text1"/>
          <w:sz w:val="24"/>
          <w14:textFill>
            <w14:solidFill>
              <w14:schemeClr w14:val="tx1"/>
            </w14:solidFill>
          </w14:textFill>
        </w:rPr>
      </w:pPr>
      <w:r>
        <w:rPr>
          <w:color w:val="000000" w:themeColor="text1"/>
          <w:szCs w:val="28"/>
          <w14:textFill>
            <w14:solidFill>
              <w14:schemeClr w14:val="tx1"/>
            </w14:solidFill>
          </w14:textFill>
        </w:rPr>
        <w:t>2.不同荷载组合下总体边坡的设计安全系数取值满足《非煤露天矿边坡工程技术规范》（GB 51016-2014）表3.0.9的要求（见下表）。</w:t>
      </w:r>
    </w:p>
    <w:p w14:paraId="5D4D5194">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表3.4-18</w:t>
      </w:r>
      <w:r>
        <w:rPr>
          <w:rFonts w:hint="eastAsia" w:ascii="宋体" w:hAnsi="宋体" w:cs="宋体"/>
          <w:b/>
          <w:bCs/>
          <w:color w:val="000000" w:themeColor="text1"/>
          <w:sz w:val="21"/>
          <w:szCs w:val="21"/>
          <w14:textFill>
            <w14:solidFill>
              <w14:schemeClr w14:val="tx1"/>
            </w14:solidFill>
          </w14:textFill>
        </w:rPr>
        <w:t xml:space="preserve">  不同荷载组合下总体边坡的设计安全系数</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2164"/>
        <w:gridCol w:w="2166"/>
        <w:gridCol w:w="2166"/>
      </w:tblGrid>
      <w:tr w14:paraId="0F108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4" w:type="dxa"/>
            <w:vMerge w:val="restart"/>
            <w:vAlign w:val="center"/>
          </w:tcPr>
          <w:p w14:paraId="7A3F8563">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边坡工程</w:t>
            </w:r>
          </w:p>
          <w:p w14:paraId="71ED1302">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安全等级</w:t>
            </w:r>
          </w:p>
        </w:tc>
        <w:tc>
          <w:tcPr>
            <w:tcW w:w="6496" w:type="dxa"/>
            <w:gridSpan w:val="3"/>
            <w:vAlign w:val="center"/>
          </w:tcPr>
          <w:p w14:paraId="2EFF313C">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边坡工程设计安全系数</w:t>
            </w:r>
          </w:p>
        </w:tc>
      </w:tr>
      <w:tr w14:paraId="3911B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Merge w:val="continue"/>
            <w:vAlign w:val="center"/>
          </w:tcPr>
          <w:p w14:paraId="0839048D">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p>
        </w:tc>
        <w:tc>
          <w:tcPr>
            <w:tcW w:w="2164" w:type="dxa"/>
            <w:vAlign w:val="center"/>
          </w:tcPr>
          <w:p w14:paraId="0E7051D8">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载荷组合Ⅰ</w:t>
            </w:r>
          </w:p>
        </w:tc>
        <w:tc>
          <w:tcPr>
            <w:tcW w:w="2166" w:type="dxa"/>
            <w:vAlign w:val="center"/>
          </w:tcPr>
          <w:p w14:paraId="06007CED">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载荷组合Ⅱ</w:t>
            </w:r>
          </w:p>
        </w:tc>
        <w:tc>
          <w:tcPr>
            <w:tcW w:w="2166" w:type="dxa"/>
            <w:vAlign w:val="center"/>
          </w:tcPr>
          <w:p w14:paraId="5BC53F14">
            <w:pPr>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载荷组合Ⅲ</w:t>
            </w:r>
          </w:p>
        </w:tc>
      </w:tr>
      <w:tr w14:paraId="4F800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Align w:val="center"/>
          </w:tcPr>
          <w:p w14:paraId="77C650D9">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Ⅰ</w:t>
            </w:r>
          </w:p>
        </w:tc>
        <w:tc>
          <w:tcPr>
            <w:tcW w:w="2164" w:type="dxa"/>
            <w:vAlign w:val="center"/>
          </w:tcPr>
          <w:p w14:paraId="0E18994F">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1.25~1.20</w:t>
            </w:r>
          </w:p>
        </w:tc>
        <w:tc>
          <w:tcPr>
            <w:tcW w:w="2166" w:type="dxa"/>
            <w:vAlign w:val="center"/>
          </w:tcPr>
          <w:p w14:paraId="60BE249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1.23~1.18</w:t>
            </w:r>
          </w:p>
        </w:tc>
        <w:tc>
          <w:tcPr>
            <w:tcW w:w="2166" w:type="dxa"/>
            <w:vAlign w:val="center"/>
          </w:tcPr>
          <w:p w14:paraId="798DC9B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1.20~1.15</w:t>
            </w:r>
          </w:p>
        </w:tc>
      </w:tr>
      <w:tr w14:paraId="63B11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Align w:val="center"/>
          </w:tcPr>
          <w:p w14:paraId="7DCC8E26">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Ⅱ</w:t>
            </w:r>
          </w:p>
        </w:tc>
        <w:tc>
          <w:tcPr>
            <w:tcW w:w="2164" w:type="dxa"/>
            <w:vAlign w:val="center"/>
          </w:tcPr>
          <w:p w14:paraId="2B764FE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1.20~1.15</w:t>
            </w:r>
          </w:p>
        </w:tc>
        <w:tc>
          <w:tcPr>
            <w:tcW w:w="2166" w:type="dxa"/>
            <w:vAlign w:val="center"/>
          </w:tcPr>
          <w:p w14:paraId="74E318D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1.18~1.13</w:t>
            </w:r>
          </w:p>
        </w:tc>
        <w:tc>
          <w:tcPr>
            <w:tcW w:w="2166" w:type="dxa"/>
            <w:vAlign w:val="center"/>
          </w:tcPr>
          <w:p w14:paraId="473BFEF7">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1.15~1.10</w:t>
            </w:r>
          </w:p>
        </w:tc>
      </w:tr>
      <w:tr w14:paraId="65C88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4" w:type="dxa"/>
            <w:vAlign w:val="center"/>
          </w:tcPr>
          <w:p w14:paraId="1C1BFBD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Ⅲ</w:t>
            </w:r>
          </w:p>
        </w:tc>
        <w:tc>
          <w:tcPr>
            <w:tcW w:w="2164" w:type="dxa"/>
            <w:vAlign w:val="center"/>
          </w:tcPr>
          <w:p w14:paraId="78985BD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1.15~1.10</w:t>
            </w:r>
          </w:p>
        </w:tc>
        <w:tc>
          <w:tcPr>
            <w:tcW w:w="2166" w:type="dxa"/>
            <w:vAlign w:val="center"/>
          </w:tcPr>
          <w:p w14:paraId="08072111">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1.13~1.08</w:t>
            </w:r>
          </w:p>
        </w:tc>
        <w:tc>
          <w:tcPr>
            <w:tcW w:w="2166" w:type="dxa"/>
            <w:vAlign w:val="center"/>
          </w:tcPr>
          <w:p w14:paraId="148C4F3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1.10~1.05</w:t>
            </w:r>
          </w:p>
        </w:tc>
      </w:tr>
      <w:tr w14:paraId="4F69A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660" w:type="dxa"/>
            <w:gridSpan w:val="4"/>
            <w:vAlign w:val="center"/>
          </w:tcPr>
          <w:p w14:paraId="58870BE1">
            <w:pPr>
              <w:adjustRightInd w:val="0"/>
              <w:snapToGrid w:val="0"/>
              <w:spacing w:line="240" w:lineRule="auto"/>
              <w:ind w:firstLine="402"/>
              <w:jc w:val="both"/>
              <w:rPr>
                <w:rFonts w:hint="eastAsia" w:ascii="宋体" w:hAnsi="宋体" w:cs="宋体"/>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注：</w:t>
            </w:r>
            <w:r>
              <w:rPr>
                <w:rFonts w:hint="eastAsia" w:ascii="宋体" w:hAnsi="宋体" w:cs="宋体"/>
                <w:color w:val="000000" w:themeColor="text1"/>
                <w:sz w:val="20"/>
                <w:szCs w:val="20"/>
                <w14:textFill>
                  <w14:solidFill>
                    <w14:schemeClr w14:val="tx1"/>
                  </w14:solidFill>
                </w14:textFill>
              </w:rPr>
              <w:t>①载荷组合Ⅰ为自重＋地下水；载荷组合Ⅱ为自重＋地下水＋爆破振动力；载荷组合</w:t>
            </w:r>
            <w:r>
              <w:rPr>
                <w:rFonts w:hint="eastAsia" w:ascii="宋体" w:hAnsi="宋体" w:cs="宋体"/>
                <w:b/>
                <w:bCs/>
                <w:color w:val="000000" w:themeColor="text1"/>
                <w:sz w:val="20"/>
                <w:szCs w:val="20"/>
                <w14:textFill>
                  <w14:solidFill>
                    <w14:schemeClr w14:val="tx1"/>
                  </w14:solidFill>
                </w14:textFill>
              </w:rPr>
              <w:t>Ⅲ</w:t>
            </w:r>
            <w:r>
              <w:rPr>
                <w:rFonts w:hint="eastAsia" w:ascii="宋体" w:hAnsi="宋体" w:cs="宋体"/>
                <w:color w:val="000000" w:themeColor="text1"/>
                <w:sz w:val="20"/>
                <w:szCs w:val="20"/>
                <w14:textFill>
                  <w14:solidFill>
                    <w14:schemeClr w14:val="tx1"/>
                  </w14:solidFill>
                </w14:textFill>
              </w:rPr>
              <w:t>为自重＋地下水＋地震力。</w:t>
            </w:r>
          </w:p>
          <w:p w14:paraId="4FDF9526">
            <w:pPr>
              <w:adjustRightInd w:val="0"/>
              <w:snapToGrid w:val="0"/>
              <w:spacing w:line="240" w:lineRule="auto"/>
              <w:ind w:firstLine="400"/>
              <w:jc w:val="both"/>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②对台阶边坡和临时性工作帮，允许有一定程度的破坏，设计安全系数可适当降低。</w:t>
            </w:r>
          </w:p>
        </w:tc>
      </w:tr>
    </w:tbl>
    <w:p w14:paraId="234D9069">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边坡工程安全等级为Ⅲ级，所以选择载荷组合Ⅰ、Ⅲ为验算的安全系数，边坡设计安全系数应符合上表取值范围。</w:t>
      </w:r>
    </w:p>
    <w:p w14:paraId="71A9CADB">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3.</w:t>
      </w:r>
      <w:bookmarkStart w:id="2465" w:name="OLE_LINK3"/>
      <w:r>
        <w:rPr>
          <w:color w:val="000000" w:themeColor="text1"/>
          <w:szCs w:val="28"/>
          <w14:textFill>
            <w14:solidFill>
              <w14:schemeClr w14:val="tx1"/>
            </w14:solidFill>
          </w14:textFill>
        </w:rPr>
        <w:t>石灰岩物理力学参数的选取</w:t>
      </w:r>
    </w:p>
    <w:p w14:paraId="19D8350A">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由于本矿山未做过相关岩石力学实验，根据矿山地质报告及现场调查显示：本矿山石灰岩属硬性岩体，结构面结合性较好，岩层面无泥夹层出现，因此本矿山滑动面抗剪强度指标参考《非煤露天矿边坡工程技术规范》（GB 51016-2014）中表C.1.2边坡岩体结构面抗剪强度标准值表中按</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无充填，结合一般的硬性结构面</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参数最小值进行选取。</w:t>
      </w:r>
    </w:p>
    <w:p w14:paraId="16776F51">
      <w:pPr>
        <w:ind w:firstLine="422"/>
        <w:jc w:val="center"/>
        <w:rPr>
          <w:b/>
          <w:bCs/>
          <w:color w:val="000000" w:themeColor="text1"/>
          <w:sz w:val="24"/>
          <w14:textFill>
            <w14:solidFill>
              <w14:schemeClr w14:val="tx1"/>
            </w14:solidFill>
          </w14:textFill>
        </w:rPr>
      </w:pPr>
      <w:r>
        <w:rPr>
          <w:rFonts w:hint="eastAsia"/>
          <w:b/>
          <w:color w:val="000000" w:themeColor="text1"/>
          <w:sz w:val="21"/>
          <w14:textFill>
            <w14:solidFill>
              <w14:schemeClr w14:val="tx1"/>
            </w14:solidFill>
          </w14:textFill>
        </w:rPr>
        <w:t>表3.4-19</w:t>
      </w:r>
      <w:r>
        <w:rPr>
          <w:rFonts w:hint="eastAsia" w:ascii="宋体" w:hAnsi="宋体" w:cs="宋体"/>
          <w:b/>
          <w:bCs/>
          <w:color w:val="000000" w:themeColor="text1"/>
          <w:sz w:val="21"/>
          <w:szCs w:val="21"/>
          <w14:textFill>
            <w14:solidFill>
              <w14:schemeClr w14:val="tx1"/>
            </w14:solidFill>
          </w14:textFill>
        </w:rPr>
        <w:t xml:space="preserve">  石灰岩物理力学参数综合取值表</w:t>
      </w:r>
    </w:p>
    <w:bookmarkEnd w:id="2465"/>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86"/>
        <w:gridCol w:w="1186"/>
        <w:gridCol w:w="1173"/>
        <w:gridCol w:w="1036"/>
        <w:gridCol w:w="1105"/>
        <w:gridCol w:w="1054"/>
      </w:tblGrid>
      <w:tr w14:paraId="5B46F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Merge w:val="restart"/>
            <w:vAlign w:val="center"/>
          </w:tcPr>
          <w:p w14:paraId="7EF6301E">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-54610</wp:posOffset>
                      </wp:positionH>
                      <wp:positionV relativeFrom="paragraph">
                        <wp:posOffset>-16510</wp:posOffset>
                      </wp:positionV>
                      <wp:extent cx="1230630" cy="621030"/>
                      <wp:effectExtent l="12065" t="12065" r="5080" b="5080"/>
                      <wp:wrapNone/>
                      <wp:docPr id="226641615" name="直接连接符 15"/>
                      <wp:cNvGraphicFramePr/>
                      <a:graphic xmlns:a="http://schemas.openxmlformats.org/drawingml/2006/main">
                        <a:graphicData uri="http://schemas.microsoft.com/office/word/2010/wordprocessingShape">
                          <wps:wsp>
                            <wps:cNvCnPr>
                              <a:cxnSpLocks noChangeShapeType="1"/>
                            </wps:cNvCnPr>
                            <wps:spPr bwMode="auto">
                              <a:xfrm flipH="1" flipV="1">
                                <a:off x="0" y="0"/>
                                <a:ext cx="1230630" cy="621030"/>
                              </a:xfrm>
                              <a:prstGeom prst="line">
                                <a:avLst/>
                              </a:prstGeom>
                              <a:noFill/>
                              <a:ln w="9525">
                                <a:solidFill>
                                  <a:srgbClr val="000000"/>
                                </a:solidFill>
                                <a:round/>
                              </a:ln>
                            </wps:spPr>
                            <wps:bodyPr/>
                          </wps:wsp>
                        </a:graphicData>
                      </a:graphic>
                    </wp:anchor>
                  </w:drawing>
                </mc:Choice>
                <mc:Fallback>
                  <w:pict>
                    <v:line id="直接连接符 15" o:spid="_x0000_s1026" o:spt="20" style="position:absolute;left:0pt;flip:x y;margin-left:-4.3pt;margin-top:-1.3pt;height:48.9pt;width:96.9pt;z-index:251668480;mso-width-relative:page;mso-height-relative:page;" filled="f" stroked="t" coordsize="21600,21600" o:gfxdata="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VEN5dIAAAAIAQAADwAAAAAAAAABACAAAAAiAAAAZHJzL2Rvd25yZXYueG1sUEsB&#10;AhQAFAAAAAgAh07iQPu0bTj7AQAAzAMAAA4AAAAAAAAAAQAgAAAAIQEAAGRycy9lMm9Eb2MueG1s&#10;UEsFBgAAAAAGAAYAWQEAAI4FAAAAAA==&#10;">
                      <v:fill on="f" focussize="0,0"/>
                      <v:stroke color="#000000" joinstyle="round"/>
                      <v:imagedata o:title=""/>
                      <o:lock v:ext="edit" aspectratio="f"/>
                    </v:line>
                  </w:pict>
                </mc:Fallback>
              </mc:AlternateContent>
            </w:r>
            <w:r>
              <w:rPr>
                <w:rFonts w:hint="eastAsia" w:ascii="宋体" w:hAnsi="宋体" w:cs="宋体"/>
                <w:color w:val="000000" w:themeColor="text1"/>
                <w:sz w:val="20"/>
                <w:szCs w:val="20"/>
                <w14:textFill>
                  <w14:solidFill>
                    <w14:schemeClr w14:val="tx1"/>
                  </w14:solidFill>
                </w14:textFill>
              </w:rPr>
              <w:t xml:space="preserve">    项目</w:t>
            </w:r>
          </w:p>
          <w:p w14:paraId="45A0E9DB">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p>
          <w:p w14:paraId="4938533F">
            <w:pPr>
              <w:adjustRightInd w:val="0"/>
              <w:snapToGrid w:val="0"/>
              <w:spacing w:line="240" w:lineRule="auto"/>
              <w:ind w:firstLine="400" w:firstLineChars="0"/>
              <w:jc w:val="both"/>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岩矿名称</w:t>
            </w:r>
          </w:p>
        </w:tc>
        <w:tc>
          <w:tcPr>
            <w:tcW w:w="1186" w:type="dxa"/>
            <w:vMerge w:val="restart"/>
            <w:vAlign w:val="center"/>
          </w:tcPr>
          <w:p w14:paraId="10DE65D1">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重度</w:t>
            </w:r>
          </w:p>
        </w:tc>
        <w:tc>
          <w:tcPr>
            <w:tcW w:w="1186" w:type="dxa"/>
            <w:vMerge w:val="restart"/>
            <w:vAlign w:val="center"/>
          </w:tcPr>
          <w:p w14:paraId="3EF4B2CE">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饱和重度</w:t>
            </w:r>
          </w:p>
        </w:tc>
        <w:tc>
          <w:tcPr>
            <w:tcW w:w="4368" w:type="dxa"/>
            <w:gridSpan w:val="4"/>
            <w:vAlign w:val="center"/>
          </w:tcPr>
          <w:p w14:paraId="4C7C654C">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抗剪强度</w:t>
            </w:r>
          </w:p>
        </w:tc>
      </w:tr>
      <w:tr w14:paraId="0CAD2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980" w:type="dxa"/>
            <w:vMerge w:val="continue"/>
            <w:vAlign w:val="center"/>
          </w:tcPr>
          <w:p w14:paraId="4C0B39E1">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p>
        </w:tc>
        <w:tc>
          <w:tcPr>
            <w:tcW w:w="1186" w:type="dxa"/>
            <w:vMerge w:val="continue"/>
            <w:vAlign w:val="center"/>
          </w:tcPr>
          <w:p w14:paraId="65B84813">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p>
        </w:tc>
        <w:tc>
          <w:tcPr>
            <w:tcW w:w="1186" w:type="dxa"/>
            <w:vMerge w:val="continue"/>
            <w:vAlign w:val="center"/>
          </w:tcPr>
          <w:p w14:paraId="69B1EAD9">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p>
        </w:tc>
        <w:tc>
          <w:tcPr>
            <w:tcW w:w="1173" w:type="dxa"/>
            <w:vAlign w:val="center"/>
          </w:tcPr>
          <w:p w14:paraId="698B80E3">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内聚力</w:t>
            </w:r>
          </w:p>
        </w:tc>
        <w:tc>
          <w:tcPr>
            <w:tcW w:w="1036" w:type="dxa"/>
            <w:vAlign w:val="center"/>
          </w:tcPr>
          <w:p w14:paraId="27DC808C">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水下内聚力</w:t>
            </w:r>
          </w:p>
        </w:tc>
        <w:tc>
          <w:tcPr>
            <w:tcW w:w="1105" w:type="dxa"/>
            <w:vAlign w:val="center"/>
          </w:tcPr>
          <w:p w14:paraId="513C4CE8">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内摩擦角</w:t>
            </w:r>
          </w:p>
        </w:tc>
        <w:tc>
          <w:tcPr>
            <w:tcW w:w="1054" w:type="dxa"/>
            <w:vAlign w:val="center"/>
          </w:tcPr>
          <w:p w14:paraId="115F3627">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水下内摩擦角</w:t>
            </w:r>
          </w:p>
        </w:tc>
      </w:tr>
      <w:tr w14:paraId="1432A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14:paraId="6B0F2602">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石灰岩</w:t>
            </w:r>
          </w:p>
        </w:tc>
        <w:tc>
          <w:tcPr>
            <w:tcW w:w="1186" w:type="dxa"/>
            <w:vAlign w:val="center"/>
          </w:tcPr>
          <w:p w14:paraId="3F31FB76">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26KN/m</w:t>
            </w:r>
            <w:r>
              <w:rPr>
                <w:rFonts w:hint="eastAsia" w:ascii="宋体" w:hAnsi="宋体" w:cs="宋体"/>
                <w:color w:val="000000" w:themeColor="text1"/>
                <w:sz w:val="20"/>
                <w:szCs w:val="20"/>
                <w:vertAlign w:val="superscript"/>
                <w14:textFill>
                  <w14:solidFill>
                    <w14:schemeClr w14:val="tx1"/>
                  </w14:solidFill>
                </w14:textFill>
              </w:rPr>
              <w:t>3</w:t>
            </w:r>
          </w:p>
        </w:tc>
        <w:tc>
          <w:tcPr>
            <w:tcW w:w="1186" w:type="dxa"/>
            <w:vAlign w:val="center"/>
          </w:tcPr>
          <w:p w14:paraId="7B88A485">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28KN/m</w:t>
            </w:r>
            <w:r>
              <w:rPr>
                <w:rFonts w:hint="eastAsia" w:ascii="宋体" w:hAnsi="宋体" w:cs="宋体"/>
                <w:color w:val="000000" w:themeColor="text1"/>
                <w:sz w:val="20"/>
                <w:szCs w:val="20"/>
                <w:vertAlign w:val="superscript"/>
                <w14:textFill>
                  <w14:solidFill>
                    <w14:schemeClr w14:val="tx1"/>
                  </w14:solidFill>
                </w14:textFill>
              </w:rPr>
              <w:t>3</w:t>
            </w:r>
          </w:p>
        </w:tc>
        <w:tc>
          <w:tcPr>
            <w:tcW w:w="1173" w:type="dxa"/>
            <w:vAlign w:val="center"/>
          </w:tcPr>
          <w:p w14:paraId="441C8D89">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150Kpa</w:t>
            </w:r>
          </w:p>
        </w:tc>
        <w:tc>
          <w:tcPr>
            <w:tcW w:w="1036" w:type="dxa"/>
            <w:vAlign w:val="center"/>
          </w:tcPr>
          <w:p w14:paraId="166E8721">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100Kpa</w:t>
            </w:r>
          </w:p>
        </w:tc>
        <w:tc>
          <w:tcPr>
            <w:tcW w:w="1105" w:type="dxa"/>
            <w:vAlign w:val="center"/>
          </w:tcPr>
          <w:p w14:paraId="2942C5F8">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39°</w:t>
            </w:r>
          </w:p>
        </w:tc>
        <w:tc>
          <w:tcPr>
            <w:tcW w:w="1054" w:type="dxa"/>
            <w:vAlign w:val="center"/>
          </w:tcPr>
          <w:p w14:paraId="01B191CA">
            <w:pPr>
              <w:adjustRightInd w:val="0"/>
              <w:snapToGrid w:val="0"/>
              <w:spacing w:line="240" w:lineRule="auto"/>
              <w:ind w:firstLine="40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32°</w:t>
            </w:r>
          </w:p>
        </w:tc>
      </w:tr>
    </w:tbl>
    <w:p w14:paraId="76FA901E">
      <w:pPr>
        <w:spacing w:before="120" w:beforeLines="5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4.结果分析</w:t>
      </w:r>
    </w:p>
    <w:p w14:paraId="0577CAC2">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依据《非煤露天矿边坡工程技术规范》（GB 51016-2014），对矿山设计开采终了边坡进行稳定性分析计算，分别对</w:t>
      </w:r>
      <w:r>
        <w:rPr>
          <w:rFonts w:hint="eastAsia"/>
          <w:color w:val="000000" w:themeColor="text1"/>
          <w:szCs w:val="28"/>
          <w14:textFill>
            <w14:solidFill>
              <w14:schemeClr w14:val="tx1"/>
            </w14:solidFill>
          </w14:textFill>
        </w:rPr>
        <w:t>两</w:t>
      </w:r>
      <w:r>
        <w:rPr>
          <w:color w:val="000000" w:themeColor="text1"/>
          <w:szCs w:val="28"/>
          <w14:textFill>
            <w14:solidFill>
              <w14:schemeClr w14:val="tx1"/>
            </w14:solidFill>
          </w14:textFill>
        </w:rPr>
        <w:t>种载荷组合进行分析计算，分析计算过程见边坡稳定性计算书。</w:t>
      </w:r>
    </w:p>
    <w:p w14:paraId="5FAA31B1">
      <w:pPr>
        <w:ind w:firstLine="422"/>
        <w:jc w:val="center"/>
        <w:rPr>
          <w:rFonts w:hint="eastAsia" w:ascii="宋体" w:hAnsi="宋体" w:cs="宋体"/>
          <w:b/>
          <w:bCs/>
          <w:color w:val="000000" w:themeColor="text1"/>
          <w:sz w:val="21"/>
          <w:szCs w:val="21"/>
          <w14:textFill>
            <w14:solidFill>
              <w14:schemeClr w14:val="tx1"/>
            </w14:solidFill>
          </w14:textFill>
        </w:rPr>
      </w:pPr>
      <w:r>
        <w:rPr>
          <w:rFonts w:hint="eastAsia"/>
          <w:b/>
          <w:color w:val="000000" w:themeColor="text1"/>
          <w:sz w:val="21"/>
          <w14:textFill>
            <w14:solidFill>
              <w14:schemeClr w14:val="tx1"/>
            </w14:solidFill>
          </w14:textFill>
        </w:rPr>
        <w:t>表3.4-20</w:t>
      </w:r>
      <w:r>
        <w:rPr>
          <w:rFonts w:hint="eastAsia" w:ascii="宋体" w:hAnsi="宋体" w:cs="宋体"/>
          <w:b/>
          <w:bCs/>
          <w:color w:val="000000" w:themeColor="text1"/>
          <w:sz w:val="21"/>
          <w:szCs w:val="21"/>
          <w14:textFill>
            <w14:solidFill>
              <w14:schemeClr w14:val="tx1"/>
            </w14:solidFill>
          </w14:textFill>
        </w:rPr>
        <w:t xml:space="preserve">  稳定性计算结果表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190"/>
        <w:gridCol w:w="1064"/>
        <w:gridCol w:w="1227"/>
        <w:gridCol w:w="1113"/>
      </w:tblGrid>
      <w:tr w14:paraId="0054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center"/>
        </w:trPr>
        <w:tc>
          <w:tcPr>
            <w:tcW w:w="1995" w:type="dxa"/>
            <w:vAlign w:val="center"/>
          </w:tcPr>
          <w:p w14:paraId="1F413C81">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选取剖面</w:t>
            </w:r>
          </w:p>
        </w:tc>
        <w:tc>
          <w:tcPr>
            <w:tcW w:w="2190" w:type="dxa"/>
            <w:vAlign w:val="center"/>
          </w:tcPr>
          <w:p w14:paraId="24BAD53D">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运行工况</w:t>
            </w:r>
          </w:p>
        </w:tc>
        <w:tc>
          <w:tcPr>
            <w:tcW w:w="1064" w:type="dxa"/>
            <w:vAlign w:val="center"/>
          </w:tcPr>
          <w:p w14:paraId="2E935DBA">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计算抗滑</w:t>
            </w:r>
          </w:p>
          <w:p w14:paraId="667F76DE">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安全系数</w:t>
            </w:r>
          </w:p>
          <w:p w14:paraId="43001BBC">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(K)</w:t>
            </w:r>
          </w:p>
        </w:tc>
        <w:tc>
          <w:tcPr>
            <w:tcW w:w="1227" w:type="dxa"/>
            <w:vAlign w:val="center"/>
          </w:tcPr>
          <w:p w14:paraId="7634C326">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规范最小</w:t>
            </w:r>
          </w:p>
          <w:p w14:paraId="612F906C">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安全系数</w:t>
            </w:r>
          </w:p>
          <w:p w14:paraId="78C476BE">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(K</w:t>
            </w:r>
            <w:r>
              <w:rPr>
                <w:rFonts w:hint="eastAsia" w:ascii="宋体" w:hAnsi="宋体" w:cs="宋体"/>
                <w:b/>
                <w:bCs/>
                <w:color w:val="000000" w:themeColor="text1"/>
                <w:sz w:val="20"/>
                <w:szCs w:val="20"/>
                <w:vertAlign w:val="subscript"/>
                <w14:textFill>
                  <w14:solidFill>
                    <w14:schemeClr w14:val="tx1"/>
                  </w14:solidFill>
                </w14:textFill>
              </w:rPr>
              <w:t>min)</w:t>
            </w:r>
          </w:p>
        </w:tc>
        <w:tc>
          <w:tcPr>
            <w:tcW w:w="1113" w:type="dxa"/>
            <w:vAlign w:val="center"/>
          </w:tcPr>
          <w:p w14:paraId="240C4C5D">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稳定性</w:t>
            </w:r>
          </w:p>
          <w:p w14:paraId="06DA50A6">
            <w:pPr>
              <w:tabs>
                <w:tab w:val="left" w:pos="0"/>
              </w:tabs>
              <w:adjustRightInd w:val="0"/>
              <w:snapToGrid w:val="0"/>
              <w:spacing w:line="240" w:lineRule="auto"/>
              <w:ind w:firstLine="0" w:firstLineChars="0"/>
              <w:jc w:val="center"/>
              <w:rPr>
                <w:rFonts w:hint="eastAsia" w:ascii="宋体" w:hAnsi="宋体" w:cs="宋体"/>
                <w:b/>
                <w:bCs/>
                <w:color w:val="000000" w:themeColor="text1"/>
                <w:sz w:val="20"/>
                <w:szCs w:val="20"/>
                <w14:textFill>
                  <w14:solidFill>
                    <w14:schemeClr w14:val="tx1"/>
                  </w14:solidFill>
                </w14:textFill>
              </w:rPr>
            </w:pPr>
            <w:r>
              <w:rPr>
                <w:rFonts w:hint="eastAsia" w:ascii="宋体" w:hAnsi="宋体" w:cs="宋体"/>
                <w:b/>
                <w:bCs/>
                <w:color w:val="000000" w:themeColor="text1"/>
                <w:sz w:val="20"/>
                <w:szCs w:val="20"/>
                <w14:textFill>
                  <w14:solidFill>
                    <w14:schemeClr w14:val="tx1"/>
                  </w14:solidFill>
                </w14:textFill>
              </w:rPr>
              <w:t>判定</w:t>
            </w:r>
          </w:p>
        </w:tc>
      </w:tr>
      <w:tr w14:paraId="1F4D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995" w:type="dxa"/>
            <w:vMerge w:val="restart"/>
            <w:vAlign w:val="center"/>
          </w:tcPr>
          <w:p w14:paraId="49B1A61D">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1-1＇剖面最终边坡</w:t>
            </w:r>
          </w:p>
        </w:tc>
        <w:tc>
          <w:tcPr>
            <w:tcW w:w="2190" w:type="dxa"/>
            <w:vAlign w:val="center"/>
          </w:tcPr>
          <w:p w14:paraId="3F3E7EF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载荷组合Ⅰ为自重＋地下水</w:t>
            </w:r>
          </w:p>
        </w:tc>
        <w:tc>
          <w:tcPr>
            <w:tcW w:w="1064" w:type="dxa"/>
            <w:vAlign w:val="center"/>
          </w:tcPr>
          <w:p w14:paraId="5B99256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w:t>
            </w:r>
            <w:r>
              <w:rPr>
                <w:rFonts w:hint="eastAsia" w:ascii="宋体" w:hAnsi="宋体" w:cs="宋体"/>
                <w:color w:val="000000" w:themeColor="text1"/>
                <w:sz w:val="20"/>
                <w:szCs w:val="20"/>
                <w:lang w:val="zh-CN"/>
                <w14:textFill>
                  <w14:solidFill>
                    <w14:schemeClr w14:val="tx1"/>
                  </w14:solidFill>
                </w14:textFill>
              </w:rPr>
              <w:t>1.</w:t>
            </w:r>
            <w:r>
              <w:rPr>
                <w:rFonts w:hint="eastAsia" w:ascii="宋体" w:hAnsi="宋体" w:cs="宋体"/>
                <w:color w:val="000000" w:themeColor="text1"/>
                <w:sz w:val="20"/>
                <w:szCs w:val="20"/>
                <w14:textFill>
                  <w14:solidFill>
                    <w14:schemeClr w14:val="tx1"/>
                  </w14:solidFill>
                </w14:textFill>
              </w:rPr>
              <w:t>223</w:t>
            </w:r>
          </w:p>
        </w:tc>
        <w:tc>
          <w:tcPr>
            <w:tcW w:w="1227" w:type="dxa"/>
            <w:vAlign w:val="center"/>
          </w:tcPr>
          <w:p w14:paraId="1D3C4380">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1.20~1.15</w:t>
            </w:r>
          </w:p>
        </w:tc>
        <w:tc>
          <w:tcPr>
            <w:tcW w:w="1113" w:type="dxa"/>
            <w:vAlign w:val="center"/>
          </w:tcPr>
          <w:p w14:paraId="2BF634A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稳 定</w:t>
            </w:r>
          </w:p>
        </w:tc>
      </w:tr>
      <w:tr w14:paraId="6471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995" w:type="dxa"/>
            <w:vMerge w:val="continue"/>
            <w:vAlign w:val="center"/>
          </w:tcPr>
          <w:p w14:paraId="0AC9DD8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p>
        </w:tc>
        <w:tc>
          <w:tcPr>
            <w:tcW w:w="2190" w:type="dxa"/>
            <w:vAlign w:val="center"/>
          </w:tcPr>
          <w:p w14:paraId="7D437CB8">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载荷组合</w:t>
            </w:r>
            <w:r>
              <w:rPr>
                <w:rFonts w:hint="eastAsia" w:ascii="宋体" w:hAnsi="宋体" w:cs="宋体"/>
                <w:b/>
                <w:bCs/>
                <w:color w:val="000000" w:themeColor="text1"/>
                <w:sz w:val="20"/>
                <w:szCs w:val="20"/>
                <w14:textFill>
                  <w14:solidFill>
                    <w14:schemeClr w14:val="tx1"/>
                  </w14:solidFill>
                </w14:textFill>
              </w:rPr>
              <w:t>Ⅲ</w:t>
            </w:r>
            <w:r>
              <w:rPr>
                <w:rFonts w:hint="eastAsia" w:ascii="宋体" w:hAnsi="宋体" w:cs="宋体"/>
                <w:color w:val="000000" w:themeColor="text1"/>
                <w:sz w:val="20"/>
                <w:szCs w:val="20"/>
                <w14:textFill>
                  <w14:solidFill>
                    <w14:schemeClr w14:val="tx1"/>
                  </w14:solidFill>
                </w14:textFill>
              </w:rPr>
              <w:t>为自重＋地下水＋地震力</w:t>
            </w:r>
          </w:p>
        </w:tc>
        <w:tc>
          <w:tcPr>
            <w:tcW w:w="1064" w:type="dxa"/>
            <w:vAlign w:val="center"/>
          </w:tcPr>
          <w:p w14:paraId="21149D66">
            <w:pPr>
              <w:adjustRightInd w:val="0"/>
              <w:snapToGrid w:val="0"/>
              <w:spacing w:line="240" w:lineRule="auto"/>
              <w:ind w:firstLine="0" w:firstLineChars="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K=1.137</w:t>
            </w:r>
          </w:p>
        </w:tc>
        <w:tc>
          <w:tcPr>
            <w:tcW w:w="1227" w:type="dxa"/>
            <w:vAlign w:val="center"/>
          </w:tcPr>
          <w:p w14:paraId="2EE723F4">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1.10~1.05</w:t>
            </w:r>
          </w:p>
        </w:tc>
        <w:tc>
          <w:tcPr>
            <w:tcW w:w="1113" w:type="dxa"/>
            <w:vAlign w:val="center"/>
          </w:tcPr>
          <w:p w14:paraId="745B0F92">
            <w:pPr>
              <w:adjustRightInd w:val="0"/>
              <w:snapToGrid w:val="0"/>
              <w:spacing w:line="240" w:lineRule="auto"/>
              <w:ind w:firstLine="0" w:firstLineChars="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稳 定</w:t>
            </w:r>
          </w:p>
        </w:tc>
      </w:tr>
    </w:tbl>
    <w:p w14:paraId="6721C9A7">
      <w:pPr>
        <w:ind w:firstLine="482"/>
        <w:jc w:val="center"/>
        <w:rPr>
          <w:b/>
          <w:bCs/>
          <w:color w:val="000000" w:themeColor="text1"/>
          <w:sz w:val="24"/>
          <w14:textFill>
            <w14:solidFill>
              <w14:schemeClr w14:val="tx1"/>
            </w14:solidFill>
          </w14:textFill>
        </w:rPr>
      </w:pPr>
    </w:p>
    <w:p w14:paraId="1641FA6A">
      <w:pPr>
        <w:ind w:firstLine="560"/>
        <w:rPr>
          <w:color w:val="000000" w:themeColor="text1"/>
          <w:szCs w:val="28"/>
          <w:lang w:val="zh-CN"/>
          <w14:textFill>
            <w14:solidFill>
              <w14:schemeClr w14:val="tx1"/>
            </w14:solidFill>
          </w14:textFill>
        </w:rPr>
      </w:pPr>
      <w:r>
        <w:rPr>
          <w:color w:val="000000" w:themeColor="text1"/>
          <w:szCs w:val="28"/>
          <w14:textFill>
            <w14:solidFill>
              <w14:schemeClr w14:val="tx1"/>
            </w14:solidFill>
          </w14:textFill>
        </w:rPr>
        <w:t>经计算开采</w:t>
      </w:r>
      <w:r>
        <w:rPr>
          <w:rFonts w:hint="eastAsia"/>
          <w:color w:val="000000" w:themeColor="text1"/>
          <w:szCs w:val="28"/>
          <w14:textFill>
            <w14:solidFill>
              <w14:schemeClr w14:val="tx1"/>
            </w14:solidFill>
          </w14:textFill>
        </w:rPr>
        <w:t>终了</w:t>
      </w:r>
      <w:r>
        <w:rPr>
          <w:color w:val="000000" w:themeColor="text1"/>
          <w:szCs w:val="28"/>
          <w14:textFill>
            <w14:solidFill>
              <w14:schemeClr w14:val="tx1"/>
            </w14:solidFill>
          </w14:textFill>
        </w:rPr>
        <w:t>边坡</w:t>
      </w:r>
      <w:r>
        <w:rPr>
          <w:rFonts w:hint="eastAsia"/>
          <w:color w:val="000000" w:themeColor="text1"/>
          <w:szCs w:val="28"/>
          <w14:textFill>
            <w14:solidFill>
              <w14:schemeClr w14:val="tx1"/>
            </w14:solidFill>
          </w14:textFill>
        </w:rPr>
        <w:t>2-2</w:t>
      </w:r>
      <w:r>
        <w:rPr>
          <w:color w:val="000000" w:themeColor="text1"/>
          <w:szCs w:val="28"/>
          <w14:textFill>
            <w14:solidFill>
              <w14:schemeClr w14:val="tx1"/>
            </w14:solidFill>
          </w14:textFill>
        </w:rPr>
        <w:t>＇剖面图抗滑安全系数</w:t>
      </w:r>
      <w:r>
        <w:rPr>
          <w:color w:val="000000" w:themeColor="text1"/>
          <w:szCs w:val="28"/>
          <w:lang w:val="zh-CN"/>
          <w14:textFill>
            <w14:solidFill>
              <w14:schemeClr w14:val="tx1"/>
            </w14:solidFill>
          </w14:textFill>
        </w:rPr>
        <w:t>符合《非煤露天矿边坡工程技术规范》（GB 51016-2014）中表C.1.2边坡岩体结构面抗剪强度标准值</w:t>
      </w:r>
      <w:r>
        <w:rPr>
          <w:color w:val="000000" w:themeColor="text1"/>
          <w:szCs w:val="28"/>
          <w14:textFill>
            <w14:solidFill>
              <w14:schemeClr w14:val="tx1"/>
            </w14:solidFill>
          </w14:textFill>
        </w:rPr>
        <w:t>的要求。</w:t>
      </w:r>
    </w:p>
    <w:p w14:paraId="7C3079D0">
      <w:pPr>
        <w:ind w:firstLine="560"/>
        <w:rPr>
          <w:b/>
          <w:bCs/>
          <w:color w:val="000000" w:themeColor="text1"/>
          <w:sz w:val="24"/>
          <w:lang w:val="zh-CN"/>
          <w14:textFill>
            <w14:solidFill>
              <w14:schemeClr w14:val="tx1"/>
            </w14:solidFill>
          </w14:textFill>
        </w:rPr>
      </w:pPr>
      <w:r>
        <w:rPr>
          <w:color w:val="000000" w:themeColor="text1"/>
          <w:szCs w:val="28"/>
          <w14:textFill>
            <w14:solidFill>
              <w14:schemeClr w14:val="tx1"/>
            </w14:solidFill>
          </w14:textFill>
        </w:rPr>
        <w:t>所以</w:t>
      </w:r>
      <w:r>
        <w:rPr>
          <w:rFonts w:hint="eastAsia"/>
          <w:color w:val="000000" w:themeColor="text1"/>
          <w:szCs w:val="28"/>
          <w14:textFill>
            <w14:solidFill>
              <w14:schemeClr w14:val="tx1"/>
            </w14:solidFill>
          </w14:textFill>
        </w:rPr>
        <w:t>终了</w:t>
      </w:r>
      <w:r>
        <w:rPr>
          <w:color w:val="000000" w:themeColor="text1"/>
          <w:szCs w:val="28"/>
          <w14:textFill>
            <w14:solidFill>
              <w14:schemeClr w14:val="tx1"/>
            </w14:solidFill>
          </w14:textFill>
        </w:rPr>
        <w:t>边坡靠帮台阶坡面角</w:t>
      </w:r>
      <w:r>
        <w:rPr>
          <w:rFonts w:hint="eastAsia"/>
          <w:color w:val="000000" w:themeColor="text1"/>
          <w:szCs w:val="28"/>
          <w14:textFill>
            <w14:solidFill>
              <w14:schemeClr w14:val="tx1"/>
            </w14:solidFill>
          </w14:textFill>
        </w:rPr>
        <w:t>65</w:t>
      </w:r>
      <w:r>
        <w:rPr>
          <w:color w:val="000000" w:themeColor="text1"/>
          <w:szCs w:val="28"/>
          <w14:textFill>
            <w14:solidFill>
              <w14:schemeClr w14:val="tx1"/>
            </w14:solidFill>
          </w14:textFill>
        </w:rPr>
        <w:t>°，最终台阶高度</w:t>
      </w:r>
      <w:r>
        <w:rPr>
          <w:rFonts w:hint="eastAsia"/>
          <w:color w:val="000000" w:themeColor="text1"/>
          <w:szCs w:val="28"/>
          <w14:textFill>
            <w14:solidFill>
              <w14:schemeClr w14:val="tx1"/>
            </w14:solidFill>
          </w14:textFill>
        </w:rPr>
        <w:t>130</w:t>
      </w:r>
      <w:r>
        <w:rPr>
          <w:color w:val="000000" w:themeColor="text1"/>
          <w:szCs w:val="28"/>
          <w14:textFill>
            <w14:solidFill>
              <w14:schemeClr w14:val="tx1"/>
            </w14:solidFill>
          </w14:textFill>
        </w:rPr>
        <w:t>m，最终帮坡角</w:t>
      </w:r>
      <w:r>
        <w:rPr>
          <w:rFonts w:hint="eastAsia"/>
          <w:color w:val="000000" w:themeColor="text1"/>
          <w:szCs w:val="28"/>
          <w14:textFill>
            <w14:solidFill>
              <w14:schemeClr w14:val="tx1"/>
            </w14:solidFill>
          </w14:textFill>
        </w:rPr>
        <w:t>51</w:t>
      </w:r>
      <w:r>
        <w:rPr>
          <w:color w:val="000000" w:themeColor="text1"/>
          <w:szCs w:val="28"/>
          <w14:textFill>
            <w14:solidFill>
              <w14:schemeClr w14:val="tx1"/>
            </w14:solidFill>
          </w14:textFill>
        </w:rPr>
        <w:t>°的边坡参数为稳定边坡</w:t>
      </w:r>
      <w:r>
        <w:rPr>
          <w:color w:val="000000" w:themeColor="text1"/>
          <w:szCs w:val="28"/>
          <w:lang w:bidi="ar"/>
          <w14:textFill>
            <w14:solidFill>
              <w14:schemeClr w14:val="tx1"/>
            </w14:solidFill>
          </w14:textFill>
        </w:rPr>
        <w:t>。</w:t>
      </w:r>
    </w:p>
    <w:bookmarkEnd w:id="2268"/>
    <w:bookmarkEnd w:id="2269"/>
    <w:bookmarkEnd w:id="2270"/>
    <w:bookmarkEnd w:id="2271"/>
    <w:bookmarkEnd w:id="2272"/>
    <w:bookmarkEnd w:id="2273"/>
    <w:bookmarkEnd w:id="2274"/>
    <w:p w14:paraId="6ABE2170">
      <w:pPr>
        <w:pStyle w:val="5"/>
        <w:spacing w:after="120"/>
        <w:rPr>
          <w:color w:val="000000" w:themeColor="text1"/>
          <w14:textFill>
            <w14:solidFill>
              <w14:schemeClr w14:val="tx1"/>
            </w14:solidFill>
          </w14:textFill>
        </w:rPr>
      </w:pPr>
      <w:bookmarkStart w:id="2466" w:name="_Toc7424"/>
      <w:bookmarkStart w:id="2467" w:name="_Toc6164"/>
      <w:bookmarkStart w:id="2468" w:name="_Toc20291"/>
      <w:bookmarkStart w:id="2469" w:name="_Toc20119"/>
      <w:bookmarkStart w:id="2470" w:name="_Toc20450"/>
      <w:bookmarkStart w:id="2471" w:name="_Toc17066"/>
      <w:bookmarkStart w:id="2472" w:name="_Toc8708"/>
      <w:bookmarkStart w:id="2473" w:name="_Toc27276"/>
      <w:bookmarkStart w:id="2474" w:name="_Toc20460"/>
      <w:bookmarkStart w:id="2475" w:name="_Toc215070275"/>
      <w:bookmarkStart w:id="2476" w:name="_Toc392680762"/>
      <w:bookmarkStart w:id="2477" w:name="_Toc21769"/>
      <w:bookmarkStart w:id="2478" w:name="_Toc1476"/>
      <w:bookmarkStart w:id="2479" w:name="_Toc12320"/>
      <w:bookmarkStart w:id="2480" w:name="_Toc18428"/>
      <w:r>
        <w:rPr>
          <w:rFonts w:hint="eastAsia"/>
          <w:color w:val="000000" w:themeColor="text1"/>
          <w14:textFill>
            <w14:solidFill>
              <w14:schemeClr w14:val="tx1"/>
            </w14:solidFill>
          </w14:textFill>
        </w:rPr>
        <w:t>3.4.4铲装作业运输子单元</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p>
    <w:p w14:paraId="1B15AFB7">
      <w:pPr>
        <w:pStyle w:val="6"/>
        <w:spacing w:before="120" w:after="120"/>
        <w:rPr>
          <w:color w:val="000000" w:themeColor="text1"/>
          <w14:textFill>
            <w14:solidFill>
              <w14:schemeClr w14:val="tx1"/>
            </w14:solidFill>
          </w14:textFill>
        </w:rPr>
      </w:pPr>
      <w:bookmarkStart w:id="2481" w:name="_Toc25553"/>
      <w:bookmarkStart w:id="2482" w:name="_Toc20829"/>
      <w:bookmarkStart w:id="2483" w:name="_Toc27094"/>
      <w:bookmarkStart w:id="2484" w:name="_Toc31244"/>
      <w:bookmarkStart w:id="2485" w:name="_Toc24198"/>
      <w:bookmarkStart w:id="2486" w:name="_Toc1923"/>
      <w:bookmarkStart w:id="2487" w:name="_Toc20454"/>
      <w:bookmarkStart w:id="2488" w:name="_Toc7446"/>
      <w:bookmarkStart w:id="2489" w:name="_Toc215070276"/>
      <w:r>
        <w:rPr>
          <w:rFonts w:hint="eastAsia"/>
          <w:color w:val="000000" w:themeColor="text1"/>
          <w14:textFill>
            <w14:solidFill>
              <w14:schemeClr w14:val="tx1"/>
            </w14:solidFill>
          </w14:textFill>
        </w:rPr>
        <w:t>3.4.4.1铲装作业危险因素辨识</w:t>
      </w:r>
      <w:bookmarkEnd w:id="2481"/>
      <w:bookmarkEnd w:id="2482"/>
      <w:bookmarkEnd w:id="2483"/>
      <w:bookmarkEnd w:id="2484"/>
      <w:bookmarkEnd w:id="2485"/>
      <w:bookmarkEnd w:id="2486"/>
      <w:bookmarkEnd w:id="2487"/>
      <w:bookmarkEnd w:id="2488"/>
      <w:bookmarkEnd w:id="2489"/>
    </w:p>
    <w:p w14:paraId="2A02B3C8">
      <w:pPr>
        <w:ind w:firstLine="560"/>
        <w:rPr>
          <w:color w:val="000000" w:themeColor="text1"/>
          <w14:textFill>
            <w14:solidFill>
              <w14:schemeClr w14:val="tx1"/>
            </w14:solidFill>
          </w14:textFill>
        </w:rPr>
      </w:pPr>
      <w:bookmarkStart w:id="2490" w:name="_Toc7220"/>
      <w:bookmarkStart w:id="2491" w:name="_Toc22261"/>
      <w:bookmarkStart w:id="2492" w:name="_Toc20843"/>
      <w:r>
        <w:rPr>
          <w:rFonts w:hint="eastAsia"/>
          <w:color w:val="000000" w:themeColor="text1"/>
          <w14:textFill>
            <w14:solidFill>
              <w14:schemeClr w14:val="tx1"/>
            </w14:solidFill>
          </w14:textFill>
        </w:rPr>
        <w:t>1、物体打击</w:t>
      </w:r>
      <w:bookmarkEnd w:id="2490"/>
      <w:bookmarkEnd w:id="2491"/>
      <w:bookmarkEnd w:id="2492"/>
    </w:p>
    <w:p w14:paraId="44B7D14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矿山剥离、采矿作业过程中，会发生物体打击事故。针对本项目设计的台阶高度15m，其发生物体打击事故的原因有：</w:t>
      </w:r>
    </w:p>
    <w:p w14:paraId="5AE37D08">
      <w:pPr>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（1）台阶</w:t>
      </w:r>
      <w:r>
        <w:rPr>
          <w:rFonts w:hint="eastAsia"/>
          <w:color w:val="000000" w:themeColor="text1"/>
          <w:lang w:val="zh-CN"/>
          <w14:textFill>
            <w14:solidFill>
              <w14:schemeClr w14:val="tx1"/>
            </w14:solidFill>
          </w14:textFill>
        </w:rPr>
        <w:t>边坡浮石清理不及时、排浮不净或排浮不按规程操作，</w:t>
      </w:r>
      <w:r>
        <w:rPr>
          <w:rFonts w:hint="eastAsia"/>
          <w:color w:val="000000" w:themeColor="text1"/>
          <w14:textFill>
            <w14:solidFill>
              <w14:schemeClr w14:val="tx1"/>
            </w14:solidFill>
          </w14:textFill>
        </w:rPr>
        <w:t>矿岩掉落</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发生物体打击事故</w:t>
      </w:r>
      <w:r>
        <w:rPr>
          <w:rFonts w:hint="eastAsia"/>
          <w:color w:val="000000" w:themeColor="text1"/>
          <w:lang w:val="zh-CN"/>
          <w14:textFill>
            <w14:solidFill>
              <w14:schemeClr w14:val="tx1"/>
            </w14:solidFill>
          </w14:textFill>
        </w:rPr>
        <w:t>。</w:t>
      </w:r>
    </w:p>
    <w:p w14:paraId="6440949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（2）挖掘机等在采剥、装卸过程中，未严格按操作规程操作，周围环境观察不清，操作失误，导致矿岩掉落，易发生物体打击事故。</w:t>
      </w:r>
    </w:p>
    <w:p w14:paraId="1C923CC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（3）作业人员未按要求佩戴劳动防护用品，易发生物体打击事故。</w:t>
      </w:r>
    </w:p>
    <w:p w14:paraId="31326DC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（4）矿岩装卸过程中，发生掉落，导致物体打击事故。</w:t>
      </w:r>
    </w:p>
    <w:p w14:paraId="76AAD3D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（5）机械开采过程中，矿岩飞出，发生物体打击事故。</w:t>
      </w:r>
    </w:p>
    <w:p w14:paraId="128EE4A9">
      <w:pPr>
        <w:ind w:firstLine="560"/>
        <w:rPr>
          <w:color w:val="000000" w:themeColor="text1"/>
          <w14:textFill>
            <w14:solidFill>
              <w14:schemeClr w14:val="tx1"/>
            </w14:solidFill>
          </w14:textFill>
        </w:rPr>
      </w:pPr>
      <w:bookmarkStart w:id="2493" w:name="_Toc12618"/>
      <w:bookmarkStart w:id="2494" w:name="_Toc10042"/>
      <w:bookmarkStart w:id="2495" w:name="_Toc12672"/>
      <w:r>
        <w:rPr>
          <w:rFonts w:hint="eastAsia"/>
          <w:color w:val="000000" w:themeColor="text1"/>
          <w14:textFill>
            <w14:solidFill>
              <w14:schemeClr w14:val="tx1"/>
            </w14:solidFill>
          </w14:textFill>
        </w:rPr>
        <w:t>2、车辆伤害</w:t>
      </w:r>
      <w:bookmarkEnd w:id="2493"/>
      <w:bookmarkEnd w:id="2494"/>
      <w:bookmarkEnd w:id="2495"/>
    </w:p>
    <w:p w14:paraId="0EE6E85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（1）在剥离、采矿工程中，挖掘机、运输车辆、推土机在行驶或者倒车过程中，由于驾驶人员违章驾驶、开车视线不佳等原因，可能造成车辆伤害事故。</w:t>
      </w:r>
    </w:p>
    <w:p w14:paraId="4B6CD76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（2）未按操作规程操作挖掘机等设备时，盲目启动，易发生车辆伤害事故。</w:t>
      </w:r>
    </w:p>
    <w:p w14:paraId="29907D49">
      <w:pPr>
        <w:ind w:firstLine="560"/>
        <w:rPr>
          <w:color w:val="000000" w:themeColor="text1"/>
          <w14:textFill>
            <w14:solidFill>
              <w14:schemeClr w14:val="tx1"/>
            </w14:solidFill>
          </w14:textFill>
        </w:rPr>
      </w:pPr>
      <w:bookmarkStart w:id="2496" w:name="_Toc23136"/>
      <w:bookmarkStart w:id="2497" w:name="_Toc1203"/>
      <w:bookmarkStart w:id="2498" w:name="_Toc1017"/>
      <w:r>
        <w:rPr>
          <w:rFonts w:hint="eastAsia"/>
          <w:color w:val="000000" w:themeColor="text1"/>
          <w14:textFill>
            <w14:solidFill>
              <w14:schemeClr w14:val="tx1"/>
            </w14:solidFill>
          </w14:textFill>
        </w:rPr>
        <w:t>3、高处坠落</w:t>
      </w:r>
      <w:bookmarkEnd w:id="2496"/>
      <w:bookmarkEnd w:id="2497"/>
      <w:bookmarkEnd w:id="2498"/>
    </w:p>
    <w:p w14:paraId="27231E7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人员、车辆等设备在采场作业，可能发生高处坠落。本单元发生高处坠落事故的原因有：</w:t>
      </w:r>
    </w:p>
    <w:p w14:paraId="0954262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（1）挖掘机、推土机及运输车辆在台阶临边作业时，无人指挥，极可能发生车辆高处坠落事故。</w:t>
      </w:r>
    </w:p>
    <w:p w14:paraId="7C49649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（2）在采剥过程中，由于违章载人、违章作业，而导致人员坠落事故。</w:t>
      </w:r>
    </w:p>
    <w:p w14:paraId="26A5B3D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（3）作业人员在进行排险作业时，未系带安全绳，可能发生高处坠落事故。</w:t>
      </w:r>
    </w:p>
    <w:p w14:paraId="3DF088EF">
      <w:pPr>
        <w:ind w:firstLine="560"/>
        <w:rPr>
          <w:color w:val="000000" w:themeColor="text1"/>
          <w14:textFill>
            <w14:solidFill>
              <w14:schemeClr w14:val="tx1"/>
            </w14:solidFill>
          </w14:textFill>
        </w:rPr>
      </w:pPr>
      <w:bookmarkStart w:id="2499" w:name="_Toc27158"/>
      <w:bookmarkStart w:id="2500" w:name="_Toc27938"/>
      <w:bookmarkStart w:id="2501" w:name="_Toc5701"/>
      <w:r>
        <w:rPr>
          <w:rFonts w:hint="eastAsia"/>
          <w:color w:val="000000" w:themeColor="text1"/>
          <w14:textFill>
            <w14:solidFill>
              <w14:schemeClr w14:val="tx1"/>
            </w14:solidFill>
          </w14:textFill>
        </w:rPr>
        <w:t>（4）安全管理人员在安全检查过程中，可能发生高处坠落事故。</w:t>
      </w:r>
      <w:bookmarkEnd w:id="2499"/>
      <w:bookmarkEnd w:id="2500"/>
      <w:bookmarkEnd w:id="2501"/>
    </w:p>
    <w:p w14:paraId="4FC20626">
      <w:pPr>
        <w:ind w:firstLine="560"/>
        <w:rPr>
          <w:color w:val="000000" w:themeColor="text1"/>
          <w14:textFill>
            <w14:solidFill>
              <w14:schemeClr w14:val="tx1"/>
            </w14:solidFill>
          </w14:textFill>
        </w:rPr>
      </w:pPr>
      <w:bookmarkStart w:id="2502" w:name="_Toc10975"/>
      <w:bookmarkStart w:id="2503" w:name="_Toc11829"/>
      <w:bookmarkStart w:id="2504" w:name="_Toc16327"/>
      <w:r>
        <w:rPr>
          <w:rFonts w:hint="eastAsia"/>
          <w:color w:val="000000" w:themeColor="text1"/>
          <w14:textFill>
            <w14:solidFill>
              <w14:schemeClr w14:val="tx1"/>
            </w14:solidFill>
          </w14:textFill>
        </w:rPr>
        <w:t>4、坍塌</w:t>
      </w:r>
      <w:bookmarkEnd w:id="2502"/>
      <w:bookmarkEnd w:id="2503"/>
      <w:bookmarkEnd w:id="2504"/>
    </w:p>
    <w:p w14:paraId="6172CB0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边坡滑坡、坍塌事故是最常见的露天矿山安全事故之一，主要原因是进行采剥作业破坏了原矿（岩）石的初始平衡状态，导致矿（岩）体内部应力集中，当重新分布的应力超过矿（岩）体或其构造的强度时，将会发生矿（岩）体失稳，如果不及时采取措施或措施方法不当，就会发生边坡坍塌、滑坡。造成边坡滑坡、坍塌事故的主要因素：</w:t>
      </w:r>
    </w:p>
    <w:p w14:paraId="0BE3A29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（1）受地质构造变化的影响，使岩体结构强度降低，导致岩体本身稳定性差，矿山开采过程中对岩体的二次破坏，致使岩体失稳加剧。</w:t>
      </w:r>
    </w:p>
    <w:p w14:paraId="36E2170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（2）采矿顺序或采剥工艺不合理，改变了岩体应力的分布失稳产生滑坡、坍塌等事故。</w:t>
      </w:r>
    </w:p>
    <w:p w14:paraId="1A9B72D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（3）未严格按设计施工，致使台阶超高，坡面角和台阶宽度与设计不符合，致使形成高陡边坡。</w:t>
      </w:r>
    </w:p>
    <w:p w14:paraId="58926F03">
      <w:pPr>
        <w:ind w:firstLine="560"/>
        <w:rPr>
          <w:color w:val="000000" w:themeColor="text1"/>
          <w14:textFill>
            <w14:solidFill>
              <w14:schemeClr w14:val="tx1"/>
            </w14:solidFill>
          </w14:textFill>
        </w:rPr>
      </w:pPr>
      <w:bookmarkStart w:id="2505" w:name="_Toc17674"/>
      <w:bookmarkStart w:id="2506" w:name="_Toc11251"/>
      <w:bookmarkStart w:id="2507" w:name="_Toc25539"/>
      <w:r>
        <w:rPr>
          <w:rFonts w:hint="eastAsia"/>
          <w:color w:val="000000" w:themeColor="text1"/>
          <w14:textFill>
            <w14:solidFill>
              <w14:schemeClr w14:val="tx1"/>
            </w14:solidFill>
          </w14:textFill>
        </w:rPr>
        <w:t>（5）未严格按照设计进行开采，违规进行掏采，形成伞岩。</w:t>
      </w:r>
      <w:bookmarkEnd w:id="2505"/>
      <w:bookmarkEnd w:id="2506"/>
      <w:bookmarkEnd w:id="2507"/>
    </w:p>
    <w:p w14:paraId="04B9A10F">
      <w:pPr>
        <w:ind w:firstLine="560"/>
        <w:rPr>
          <w:color w:val="000000" w:themeColor="text1"/>
          <w14:textFill>
            <w14:solidFill>
              <w14:schemeClr w14:val="tx1"/>
            </w14:solidFill>
          </w14:textFill>
        </w:rPr>
      </w:pPr>
      <w:bookmarkStart w:id="2508" w:name="_Toc4408"/>
      <w:bookmarkStart w:id="2509" w:name="_Toc22224"/>
      <w:bookmarkStart w:id="2510" w:name="_Toc25819"/>
      <w:r>
        <w:rPr>
          <w:rFonts w:hint="eastAsia"/>
          <w:color w:val="000000" w:themeColor="text1"/>
          <w14:textFill>
            <w14:solidFill>
              <w14:schemeClr w14:val="tx1"/>
            </w14:solidFill>
          </w14:textFill>
        </w:rPr>
        <w:t>5、粉尘危害</w:t>
      </w:r>
      <w:bookmarkEnd w:id="2508"/>
      <w:bookmarkEnd w:id="2509"/>
      <w:bookmarkEnd w:id="2510"/>
    </w:p>
    <w:p w14:paraId="60645D3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在铲装过程中会产生大量的灰岩粉尘，长期吸入可能会在肺组织中呈异物反应，并继续轻微纤维化。操作过程中人员若未正确穿戴劳动防护用品，或防护用品失效，操作人员长期吸入粉尘，会使人受到粉尘危害。</w:t>
      </w:r>
    </w:p>
    <w:p w14:paraId="0558091B">
      <w:pPr>
        <w:pStyle w:val="6"/>
        <w:spacing w:before="120" w:after="120"/>
        <w:rPr>
          <w:color w:val="000000" w:themeColor="text1"/>
          <w14:textFill>
            <w14:solidFill>
              <w14:schemeClr w14:val="tx1"/>
            </w14:solidFill>
          </w14:textFill>
        </w:rPr>
      </w:pPr>
      <w:bookmarkStart w:id="2511" w:name="_Toc215070277"/>
      <w:r>
        <w:rPr>
          <w:rFonts w:hint="eastAsia"/>
          <w:color w:val="000000" w:themeColor="text1"/>
          <w14:textFill>
            <w14:solidFill>
              <w14:schemeClr w14:val="tx1"/>
            </w14:solidFill>
          </w14:textFill>
        </w:rPr>
        <w:t>3.4.4.2铲装作业子单元预先危险性分析</w:t>
      </w:r>
      <w:bookmarkEnd w:id="2511"/>
    </w:p>
    <w:p w14:paraId="1D61FE4B">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表3.4-8铲装作业预先危险性分析表</w:t>
      </w:r>
    </w:p>
    <w:tbl>
      <w:tblPr>
        <w:tblStyle w:val="44"/>
        <w:tblW w:w="9382"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169"/>
        <w:gridCol w:w="1237"/>
        <w:gridCol w:w="705"/>
        <w:gridCol w:w="660"/>
        <w:gridCol w:w="3670"/>
      </w:tblGrid>
      <w:tr w14:paraId="13CE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1" w:type="dxa"/>
          </w:tcPr>
          <w:p w14:paraId="53654089">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危险有害因素</w:t>
            </w:r>
          </w:p>
        </w:tc>
        <w:tc>
          <w:tcPr>
            <w:tcW w:w="2169" w:type="dxa"/>
            <w:vAlign w:val="center"/>
          </w:tcPr>
          <w:p w14:paraId="6E69B7EF">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诱发事故原因</w:t>
            </w:r>
          </w:p>
        </w:tc>
        <w:tc>
          <w:tcPr>
            <w:tcW w:w="1237" w:type="dxa"/>
            <w:vAlign w:val="center"/>
          </w:tcPr>
          <w:p w14:paraId="68C248CD">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事故模式</w:t>
            </w:r>
          </w:p>
        </w:tc>
        <w:tc>
          <w:tcPr>
            <w:tcW w:w="705" w:type="dxa"/>
            <w:vAlign w:val="center"/>
          </w:tcPr>
          <w:p w14:paraId="006FDFC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事故</w:t>
            </w:r>
          </w:p>
          <w:p w14:paraId="5EE8A012">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后果</w:t>
            </w:r>
          </w:p>
        </w:tc>
        <w:tc>
          <w:tcPr>
            <w:tcW w:w="660" w:type="dxa"/>
            <w:vAlign w:val="center"/>
          </w:tcPr>
          <w:p w14:paraId="1D51B706">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危险</w:t>
            </w:r>
          </w:p>
          <w:p w14:paraId="62E71002">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等级</w:t>
            </w:r>
          </w:p>
        </w:tc>
        <w:tc>
          <w:tcPr>
            <w:tcW w:w="3670" w:type="dxa"/>
            <w:vAlign w:val="center"/>
          </w:tcPr>
          <w:p w14:paraId="555E0AB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对策措施</w:t>
            </w:r>
          </w:p>
        </w:tc>
      </w:tr>
      <w:tr w14:paraId="4733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trPr>
        <w:tc>
          <w:tcPr>
            <w:tcW w:w="941" w:type="dxa"/>
            <w:vAlign w:val="center"/>
          </w:tcPr>
          <w:p w14:paraId="66D0764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高处坠落</w:t>
            </w:r>
          </w:p>
        </w:tc>
        <w:tc>
          <w:tcPr>
            <w:tcW w:w="2169" w:type="dxa"/>
            <w:vAlign w:val="center"/>
          </w:tcPr>
          <w:p w14:paraId="66579AF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（1）矿山道路设计不合理、路基未压实；（2）边坡作业坡度过陡过高；台阶过高；边缘矿岩松散；（3）高空作业未系安全带等；（4）运输道路有隐患；（5）未按操作规程操作，操作失误。</w:t>
            </w:r>
          </w:p>
        </w:tc>
        <w:tc>
          <w:tcPr>
            <w:tcW w:w="1237" w:type="dxa"/>
            <w:vAlign w:val="center"/>
          </w:tcPr>
          <w:p w14:paraId="49E1405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（1）滑坡，坍塌，车辆伤害，挖掘机或汽车滚落台阶。（2）道路的垮塌。</w:t>
            </w:r>
          </w:p>
        </w:tc>
        <w:tc>
          <w:tcPr>
            <w:tcW w:w="705" w:type="dxa"/>
            <w:vAlign w:val="center"/>
          </w:tcPr>
          <w:p w14:paraId="616E031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设备损坏人员伤亡</w:t>
            </w:r>
          </w:p>
        </w:tc>
        <w:tc>
          <w:tcPr>
            <w:tcW w:w="660" w:type="dxa"/>
            <w:vAlign w:val="center"/>
          </w:tcPr>
          <w:p w14:paraId="5478D5F4">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Ⅲ</w:t>
            </w:r>
          </w:p>
        </w:tc>
        <w:tc>
          <w:tcPr>
            <w:tcW w:w="3670" w:type="dxa"/>
          </w:tcPr>
          <w:p w14:paraId="3AB4DA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作业人员在距离地面超过2m高空作业时，必须系安全带等安全防护措施；（2）最小工作平台宽度，必须保证采剥设备和运输设备的安全；（3）运输车在山坡填方、弯道处、坡度较大的填方地段以及高路堤上，应设置护栏，挡车土堆等；（4）卸矿点必须有可靠的挡车设施，其高度应不小于轮胎直径的五分之二；（5）挡车设施须经技术检验合格，方准使用；通向装卸地点道路的坡度大于10%时，禁止汽车倒车行驶。</w:t>
            </w:r>
          </w:p>
        </w:tc>
      </w:tr>
      <w:tr w14:paraId="3A7C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1" w:type="dxa"/>
            <w:vAlign w:val="center"/>
          </w:tcPr>
          <w:p w14:paraId="2356AD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挤压</w:t>
            </w:r>
          </w:p>
          <w:p w14:paraId="4F4595F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碰撞</w:t>
            </w:r>
          </w:p>
          <w:p w14:paraId="3B96DBA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碾压</w:t>
            </w:r>
          </w:p>
        </w:tc>
        <w:tc>
          <w:tcPr>
            <w:tcW w:w="2169" w:type="dxa"/>
            <w:vAlign w:val="center"/>
          </w:tcPr>
          <w:p w14:paraId="257574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（1）挖掘机作业时操作不当；（2）作业台阶崩落或滑动、工作面有伞岩或大块、作业过程中碰到不明障碍物、遇有松软岩层等处理不当。</w:t>
            </w:r>
          </w:p>
        </w:tc>
        <w:tc>
          <w:tcPr>
            <w:tcW w:w="1237" w:type="dxa"/>
          </w:tcPr>
          <w:p w14:paraId="2615767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（1）车辆伤害；（2）挖掘机或汽车滚落台阶；（3）道路的垮塌。</w:t>
            </w:r>
          </w:p>
        </w:tc>
        <w:tc>
          <w:tcPr>
            <w:tcW w:w="705" w:type="dxa"/>
            <w:vAlign w:val="center"/>
          </w:tcPr>
          <w:p w14:paraId="206E45F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设备损坏人员伤亡</w:t>
            </w:r>
          </w:p>
        </w:tc>
        <w:tc>
          <w:tcPr>
            <w:tcW w:w="660" w:type="dxa"/>
            <w:vAlign w:val="center"/>
          </w:tcPr>
          <w:p w14:paraId="417ED7F1">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Ⅲ</w:t>
            </w:r>
          </w:p>
        </w:tc>
        <w:tc>
          <w:tcPr>
            <w:tcW w:w="3670" w:type="dxa"/>
          </w:tcPr>
          <w:p w14:paraId="3A2F0FC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（1）挖掘、铲装过程中严格按操作规程操作。（2）挖掘机行走时，在工作平台的稳定范围内，铲斗倒空且与地面保持适当距离，斗臂轴线与行走方向一致，上下坡时采取防滑措施，专人指挥其行走。</w:t>
            </w:r>
          </w:p>
        </w:tc>
      </w:tr>
      <w:tr w14:paraId="693A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941" w:type="dxa"/>
            <w:vAlign w:val="center"/>
          </w:tcPr>
          <w:p w14:paraId="5E59573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设备故障操作失误</w:t>
            </w:r>
          </w:p>
        </w:tc>
        <w:tc>
          <w:tcPr>
            <w:tcW w:w="2169" w:type="dxa"/>
            <w:vAlign w:val="center"/>
          </w:tcPr>
          <w:p w14:paraId="2473C075">
            <w:pPr>
              <w:pStyle w:val="71"/>
              <w:numPr>
                <w:ilvl w:val="0"/>
                <w:numId w:val="10"/>
              </w:numPr>
              <w:rPr>
                <w:rFonts w:hint="default"/>
                <w:color w:val="000000" w:themeColor="text1"/>
                <w14:textFill>
                  <w14:solidFill>
                    <w14:schemeClr w14:val="tx1"/>
                  </w14:solidFill>
                </w14:textFill>
              </w:rPr>
            </w:pPr>
            <w:r>
              <w:rPr>
                <w:color w:val="000000" w:themeColor="text1"/>
                <w14:textFill>
                  <w14:solidFill>
                    <w14:schemeClr w14:val="tx1"/>
                  </w14:solidFill>
                </w14:textFill>
              </w:rPr>
              <w:t>设备质量不合格或缺乏检修维护；（2）规程缺乏或未执行规程。</w:t>
            </w:r>
          </w:p>
        </w:tc>
        <w:tc>
          <w:tcPr>
            <w:tcW w:w="1237" w:type="dxa"/>
            <w:vAlign w:val="center"/>
          </w:tcPr>
          <w:p w14:paraId="07AB1C6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机械伤害</w:t>
            </w:r>
          </w:p>
        </w:tc>
        <w:tc>
          <w:tcPr>
            <w:tcW w:w="705" w:type="dxa"/>
            <w:vAlign w:val="center"/>
          </w:tcPr>
          <w:p w14:paraId="4A6E45D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人员伤亡</w:t>
            </w:r>
          </w:p>
        </w:tc>
        <w:tc>
          <w:tcPr>
            <w:tcW w:w="660" w:type="dxa"/>
            <w:vAlign w:val="center"/>
          </w:tcPr>
          <w:p w14:paraId="037ACE9C">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Ⅲ</w:t>
            </w:r>
          </w:p>
        </w:tc>
        <w:tc>
          <w:tcPr>
            <w:tcW w:w="3670" w:type="dxa"/>
            <w:vAlign w:val="center"/>
          </w:tcPr>
          <w:p w14:paraId="1954E7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（1）加强设备检修维护；（2）制定各种安全操作规程，并严格执行。</w:t>
            </w:r>
          </w:p>
        </w:tc>
      </w:tr>
      <w:tr w14:paraId="75FB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941" w:type="dxa"/>
            <w:vAlign w:val="center"/>
          </w:tcPr>
          <w:p w14:paraId="7C44BAD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采场运输车辆伤害</w:t>
            </w:r>
          </w:p>
        </w:tc>
        <w:tc>
          <w:tcPr>
            <w:tcW w:w="2169" w:type="dxa"/>
            <w:vAlign w:val="center"/>
          </w:tcPr>
          <w:p w14:paraId="73C196A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（1）无证操作、驾驶；（2）疲劳、酒后操作驾驶；（3）未按规程操作。</w:t>
            </w:r>
          </w:p>
        </w:tc>
        <w:tc>
          <w:tcPr>
            <w:tcW w:w="1237" w:type="dxa"/>
            <w:vAlign w:val="center"/>
          </w:tcPr>
          <w:p w14:paraId="64BCC9D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机械伤害、车辆伤害</w:t>
            </w:r>
          </w:p>
        </w:tc>
        <w:tc>
          <w:tcPr>
            <w:tcW w:w="705" w:type="dxa"/>
            <w:vAlign w:val="center"/>
          </w:tcPr>
          <w:p w14:paraId="3998738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人员伤亡和设备损坏</w:t>
            </w:r>
          </w:p>
        </w:tc>
        <w:tc>
          <w:tcPr>
            <w:tcW w:w="660" w:type="dxa"/>
            <w:vAlign w:val="center"/>
          </w:tcPr>
          <w:p w14:paraId="2895F3BE">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Ⅲ</w:t>
            </w:r>
          </w:p>
        </w:tc>
        <w:tc>
          <w:tcPr>
            <w:tcW w:w="3670" w:type="dxa"/>
            <w:vAlign w:val="center"/>
          </w:tcPr>
          <w:p w14:paraId="1BB47BB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制定挖掘机等运输设备安全操作规程，并严格执行。</w:t>
            </w:r>
          </w:p>
        </w:tc>
      </w:tr>
      <w:tr w14:paraId="6117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dxa"/>
            <w:vAlign w:val="center"/>
          </w:tcPr>
          <w:p w14:paraId="5E8A3C5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运输</w:t>
            </w:r>
          </w:p>
          <w:p w14:paraId="7839F37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道路</w:t>
            </w:r>
          </w:p>
        </w:tc>
        <w:tc>
          <w:tcPr>
            <w:tcW w:w="2169" w:type="dxa"/>
            <w:vAlign w:val="center"/>
          </w:tcPr>
          <w:p w14:paraId="623E84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（1）采场运输线路设置不合理；（2）采场运输道路坡度较陡，弯道较大；（3）无道路警示标志；（4）道路路基坍塌；（5）道路缺乏维护。</w:t>
            </w:r>
          </w:p>
        </w:tc>
        <w:tc>
          <w:tcPr>
            <w:tcW w:w="1237" w:type="dxa"/>
            <w:vAlign w:val="center"/>
          </w:tcPr>
          <w:p w14:paraId="13740C4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车辆伤害</w:t>
            </w:r>
          </w:p>
        </w:tc>
        <w:tc>
          <w:tcPr>
            <w:tcW w:w="705" w:type="dxa"/>
            <w:vAlign w:val="center"/>
          </w:tcPr>
          <w:p w14:paraId="6606F0A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人员伤亡和设备损坏</w:t>
            </w:r>
          </w:p>
        </w:tc>
        <w:tc>
          <w:tcPr>
            <w:tcW w:w="660" w:type="dxa"/>
            <w:vAlign w:val="center"/>
          </w:tcPr>
          <w:p w14:paraId="334C1F99">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Ⅲ</w:t>
            </w:r>
          </w:p>
        </w:tc>
        <w:tc>
          <w:tcPr>
            <w:tcW w:w="3670" w:type="dxa"/>
            <w:vAlign w:val="center"/>
          </w:tcPr>
          <w:p w14:paraId="0A65090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（1）道路设置应按照《厂矿道路设计规范》设计、施工；（2）运输道路设置明显的警示标志；（3）多雨季节道路较滑时，应有防滑措施并减速行驶；（4）加强道路维护。</w:t>
            </w:r>
          </w:p>
        </w:tc>
      </w:tr>
    </w:tbl>
    <w:p w14:paraId="4B359BBF">
      <w:pPr>
        <w:pStyle w:val="6"/>
        <w:spacing w:before="0" w:beforeLines="0" w:after="0" w:afterLines="0"/>
        <w:rPr>
          <w:color w:val="000000" w:themeColor="text1"/>
          <w14:textFill>
            <w14:solidFill>
              <w14:schemeClr w14:val="tx1"/>
            </w14:solidFill>
          </w14:textFill>
        </w:rPr>
      </w:pPr>
      <w:bookmarkStart w:id="2512" w:name="_Toc25167"/>
      <w:bookmarkStart w:id="2513" w:name="_Toc31228"/>
      <w:bookmarkStart w:id="2514" w:name="_Toc26029"/>
      <w:bookmarkStart w:id="2515" w:name="_Toc8068"/>
      <w:bookmarkStart w:id="2516" w:name="_Toc16934"/>
      <w:bookmarkStart w:id="2517" w:name="_Toc23457"/>
      <w:bookmarkStart w:id="2518" w:name="_Toc6875"/>
      <w:bookmarkStart w:id="2519" w:name="_Toc30134"/>
      <w:bookmarkStart w:id="2520" w:name="_Toc215070278"/>
      <w:r>
        <w:rPr>
          <w:rFonts w:hint="eastAsia"/>
          <w:color w:val="000000" w:themeColor="text1"/>
          <w14:textFill>
            <w14:solidFill>
              <w14:schemeClr w14:val="tx1"/>
            </w14:solidFill>
          </w14:textFill>
        </w:rPr>
        <w:t>3.4.3.3安全检查表</w:t>
      </w:r>
      <w:bookmarkEnd w:id="2512"/>
      <w:bookmarkEnd w:id="2513"/>
      <w:bookmarkEnd w:id="2514"/>
      <w:bookmarkEnd w:id="2515"/>
      <w:bookmarkEnd w:id="2516"/>
      <w:bookmarkEnd w:id="2517"/>
      <w:bookmarkEnd w:id="2518"/>
      <w:bookmarkEnd w:id="2519"/>
      <w:bookmarkEnd w:id="2520"/>
    </w:p>
    <w:p w14:paraId="62A4DBDB">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表3.4-9铲装作业安全检查表</w:t>
      </w:r>
    </w:p>
    <w:tbl>
      <w:tblPr>
        <w:tblStyle w:val="44"/>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236"/>
        <w:gridCol w:w="2581"/>
        <w:gridCol w:w="2018"/>
        <w:gridCol w:w="759"/>
      </w:tblGrid>
      <w:tr w14:paraId="0449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4" w:type="dxa"/>
            <w:vAlign w:val="center"/>
          </w:tcPr>
          <w:p w14:paraId="699348DB">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3236" w:type="dxa"/>
            <w:vAlign w:val="center"/>
          </w:tcPr>
          <w:p w14:paraId="525EF3C4">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检查内容</w:t>
            </w:r>
          </w:p>
        </w:tc>
        <w:tc>
          <w:tcPr>
            <w:tcW w:w="2581" w:type="dxa"/>
            <w:vAlign w:val="center"/>
          </w:tcPr>
          <w:p w14:paraId="1FBA89DC">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标准依据</w:t>
            </w:r>
          </w:p>
        </w:tc>
        <w:tc>
          <w:tcPr>
            <w:tcW w:w="2018" w:type="dxa"/>
            <w:vAlign w:val="center"/>
          </w:tcPr>
          <w:p w14:paraId="524786BA">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759" w:type="dxa"/>
            <w:vAlign w:val="center"/>
          </w:tcPr>
          <w:p w14:paraId="1D086431">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w:t>
            </w:r>
          </w:p>
          <w:p w14:paraId="65F85E60">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结果</w:t>
            </w:r>
          </w:p>
        </w:tc>
      </w:tr>
      <w:tr w14:paraId="5A7A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54" w:type="dxa"/>
            <w:vAlign w:val="center"/>
          </w:tcPr>
          <w:p w14:paraId="11DACF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3236" w:type="dxa"/>
            <w:vAlign w:val="center"/>
          </w:tcPr>
          <w:p w14:paraId="1267CD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铲装工作开始前应确认作业环境安全。</w:t>
            </w:r>
          </w:p>
        </w:tc>
        <w:tc>
          <w:tcPr>
            <w:tcW w:w="2581" w:type="dxa"/>
            <w:vAlign w:val="center"/>
          </w:tcPr>
          <w:p w14:paraId="3345903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《金属非金属矿山安全规程》GBl6423-2020第5.2.3.1条</w:t>
            </w:r>
          </w:p>
        </w:tc>
        <w:tc>
          <w:tcPr>
            <w:tcW w:w="2018" w:type="dxa"/>
            <w:vAlign w:val="center"/>
          </w:tcPr>
          <w:p w14:paraId="0EBB2AD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制定和遵守铲装作业安全操作规程。</w:t>
            </w:r>
          </w:p>
        </w:tc>
        <w:tc>
          <w:tcPr>
            <w:tcW w:w="759" w:type="dxa"/>
            <w:vAlign w:val="center"/>
          </w:tcPr>
          <w:p w14:paraId="3D68045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775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54" w:type="dxa"/>
            <w:vAlign w:val="center"/>
          </w:tcPr>
          <w:p w14:paraId="33F6D28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3236" w:type="dxa"/>
            <w:vAlign w:val="center"/>
          </w:tcPr>
          <w:p w14:paraId="1EF66CA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铲装设备工作前应发出警告信号，无关人员应远离设备。</w:t>
            </w:r>
          </w:p>
        </w:tc>
        <w:tc>
          <w:tcPr>
            <w:tcW w:w="2581" w:type="dxa"/>
            <w:vAlign w:val="center"/>
          </w:tcPr>
          <w:p w14:paraId="6EB297E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《金属非金属矿山安全规程》GBl6423-2020第5.2.3.2条</w:t>
            </w:r>
          </w:p>
        </w:tc>
        <w:tc>
          <w:tcPr>
            <w:tcW w:w="2018" w:type="dxa"/>
            <w:vAlign w:val="center"/>
          </w:tcPr>
          <w:p w14:paraId="54799DC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无关人员禁止进入铲装作业现场。</w:t>
            </w:r>
          </w:p>
        </w:tc>
        <w:tc>
          <w:tcPr>
            <w:tcW w:w="759" w:type="dxa"/>
            <w:vAlign w:val="center"/>
          </w:tcPr>
          <w:p w14:paraId="58A7C67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3E8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54" w:type="dxa"/>
            <w:vAlign w:val="center"/>
          </w:tcPr>
          <w:p w14:paraId="3E35CF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3236" w:type="dxa"/>
            <w:vAlign w:val="center"/>
          </w:tcPr>
          <w:p w14:paraId="316E38F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铲装设备工作时其平衡装置与台阶坡底的水平距离不小于1m。</w:t>
            </w:r>
          </w:p>
        </w:tc>
        <w:tc>
          <w:tcPr>
            <w:tcW w:w="2581" w:type="dxa"/>
            <w:vAlign w:val="center"/>
          </w:tcPr>
          <w:p w14:paraId="6C8BDF8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《金属非金属矿山安全规程》GBl6423-2020第5.2.3.3条</w:t>
            </w:r>
          </w:p>
        </w:tc>
        <w:tc>
          <w:tcPr>
            <w:tcW w:w="2018" w:type="dxa"/>
            <w:vAlign w:val="center"/>
          </w:tcPr>
          <w:p w14:paraId="4D0C082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制定和遵守铲装作业安全操作规程。</w:t>
            </w:r>
          </w:p>
        </w:tc>
        <w:tc>
          <w:tcPr>
            <w:tcW w:w="759" w:type="dxa"/>
            <w:vAlign w:val="center"/>
          </w:tcPr>
          <w:p w14:paraId="61A28C2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8B2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4" w:type="dxa"/>
            <w:vAlign w:val="center"/>
          </w:tcPr>
          <w:p w14:paraId="76E0D11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3236" w:type="dxa"/>
            <w:vAlign w:val="center"/>
          </w:tcPr>
          <w:p w14:paraId="29C15C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铲装设备工作应遵守下列规定：</w:t>
            </w:r>
          </w:p>
          <w:p w14:paraId="7A18E0E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（1）悬臂和铲斗及工作面附近不应有人员停留；（2）铲斗不应从车辆驾驶室上方通过；（3）人员不应在司机室踏板上或有落石危险的地方停留；（4）不应调整电铲起重臂。</w:t>
            </w:r>
          </w:p>
        </w:tc>
        <w:tc>
          <w:tcPr>
            <w:tcW w:w="2581" w:type="dxa"/>
            <w:vAlign w:val="center"/>
          </w:tcPr>
          <w:p w14:paraId="2779B27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《金属非金属矿山安全规程》GBl6423-2020第5.2.3.4条</w:t>
            </w:r>
          </w:p>
        </w:tc>
        <w:tc>
          <w:tcPr>
            <w:tcW w:w="2018" w:type="dxa"/>
            <w:vAlign w:val="center"/>
          </w:tcPr>
          <w:p w14:paraId="02C0A5C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制定和遵守铲装作业安全操作规程。</w:t>
            </w:r>
          </w:p>
        </w:tc>
        <w:tc>
          <w:tcPr>
            <w:tcW w:w="759" w:type="dxa"/>
            <w:vAlign w:val="center"/>
          </w:tcPr>
          <w:p w14:paraId="33A554C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FA5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654" w:type="dxa"/>
            <w:vAlign w:val="center"/>
          </w:tcPr>
          <w:p w14:paraId="1C9BEF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3236" w:type="dxa"/>
            <w:vAlign w:val="center"/>
          </w:tcPr>
          <w:p w14:paraId="2543368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多台铲装设备在同一平台上作业时，铲装设备间距应符合下列规定：汽车运输：不小于设备最大工作半径的3倍，且不小于50m。</w:t>
            </w:r>
          </w:p>
        </w:tc>
        <w:tc>
          <w:tcPr>
            <w:tcW w:w="2581" w:type="dxa"/>
            <w:vAlign w:val="center"/>
          </w:tcPr>
          <w:p w14:paraId="1E903F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《金属非金属矿山安全规程》GBl6423-2020第5.2.3.5条</w:t>
            </w:r>
          </w:p>
        </w:tc>
        <w:tc>
          <w:tcPr>
            <w:tcW w:w="2018" w:type="dxa"/>
            <w:vAlign w:val="center"/>
          </w:tcPr>
          <w:p w14:paraId="1ED9276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采场一台铲装设备作业。</w:t>
            </w:r>
          </w:p>
        </w:tc>
        <w:tc>
          <w:tcPr>
            <w:tcW w:w="759" w:type="dxa"/>
            <w:vAlign w:val="center"/>
          </w:tcPr>
          <w:p w14:paraId="0BCA016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B9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54" w:type="dxa"/>
            <w:vAlign w:val="center"/>
          </w:tcPr>
          <w:p w14:paraId="6746D8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3236" w:type="dxa"/>
            <w:vAlign w:val="center"/>
          </w:tcPr>
          <w:p w14:paraId="23F44EE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上、下台阶同时作业时，上部台阶的铲装设备应超前下部台阶铲装设备；超前距离不小于铲装设备最大工作半径的3倍，且不小于50m。</w:t>
            </w:r>
          </w:p>
        </w:tc>
        <w:tc>
          <w:tcPr>
            <w:tcW w:w="2581" w:type="dxa"/>
            <w:vAlign w:val="center"/>
          </w:tcPr>
          <w:p w14:paraId="6E83C1C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《金属非金属矿山安全规程》GBl6423-2020第5.2.3.6条</w:t>
            </w:r>
          </w:p>
        </w:tc>
        <w:tc>
          <w:tcPr>
            <w:tcW w:w="2018" w:type="dxa"/>
            <w:vAlign w:val="center"/>
          </w:tcPr>
          <w:p w14:paraId="4FAD71D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采场不存在上下台阶同时作业。</w:t>
            </w:r>
          </w:p>
        </w:tc>
        <w:tc>
          <w:tcPr>
            <w:tcW w:w="759" w:type="dxa"/>
            <w:vAlign w:val="center"/>
          </w:tcPr>
          <w:p w14:paraId="4BF525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E3A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654" w:type="dxa"/>
            <w:vAlign w:val="center"/>
          </w:tcPr>
          <w:p w14:paraId="62FE90D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3236" w:type="dxa"/>
            <w:vAlign w:val="center"/>
          </w:tcPr>
          <w:p w14:paraId="5B06B8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铲装时铲斗不应压、碰运输设备；铲斗卸载时，铲斗下沿与运输设备上沿高差不大于0.5m；不应用铲斗处理车厢粘结物。</w:t>
            </w:r>
          </w:p>
        </w:tc>
        <w:tc>
          <w:tcPr>
            <w:tcW w:w="2581" w:type="dxa"/>
            <w:vAlign w:val="center"/>
          </w:tcPr>
          <w:p w14:paraId="2BF3563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《金属非金属矿山安全规程》GBl6423-2020第5.2.3.7条</w:t>
            </w:r>
          </w:p>
        </w:tc>
        <w:tc>
          <w:tcPr>
            <w:tcW w:w="2018" w:type="dxa"/>
            <w:vAlign w:val="center"/>
          </w:tcPr>
          <w:p w14:paraId="313F5E7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制定和遵守铲装作业安全操作规程。</w:t>
            </w:r>
          </w:p>
        </w:tc>
        <w:tc>
          <w:tcPr>
            <w:tcW w:w="759" w:type="dxa"/>
            <w:vAlign w:val="center"/>
          </w:tcPr>
          <w:p w14:paraId="6716BC1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3A6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54" w:type="dxa"/>
            <w:vAlign w:val="center"/>
          </w:tcPr>
          <w:p w14:paraId="56D4000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c>
          <w:tcPr>
            <w:tcW w:w="3236" w:type="dxa"/>
            <w:vAlign w:val="center"/>
          </w:tcPr>
          <w:p w14:paraId="1E119C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发现悬浮岩块或崩塌征兆时，应立即停止铲装作业，并将设备转移至安全地带。</w:t>
            </w:r>
          </w:p>
        </w:tc>
        <w:tc>
          <w:tcPr>
            <w:tcW w:w="2581" w:type="dxa"/>
            <w:vAlign w:val="center"/>
          </w:tcPr>
          <w:p w14:paraId="24B38E8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《金属非金属矿山安全规程》GBl6423-2020第5.2.3.8条</w:t>
            </w:r>
          </w:p>
        </w:tc>
        <w:tc>
          <w:tcPr>
            <w:tcW w:w="2018" w:type="dxa"/>
            <w:vAlign w:val="center"/>
          </w:tcPr>
          <w:p w14:paraId="176FC56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制定和遵守铲装作业安全操作规程。</w:t>
            </w:r>
          </w:p>
        </w:tc>
        <w:tc>
          <w:tcPr>
            <w:tcW w:w="759" w:type="dxa"/>
            <w:vAlign w:val="center"/>
          </w:tcPr>
          <w:p w14:paraId="35F503F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641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654" w:type="dxa"/>
            <w:vAlign w:val="center"/>
          </w:tcPr>
          <w:p w14:paraId="08A909C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9</w:t>
            </w:r>
          </w:p>
        </w:tc>
        <w:tc>
          <w:tcPr>
            <w:tcW w:w="3236" w:type="dxa"/>
            <w:vAlign w:val="center"/>
          </w:tcPr>
          <w:p w14:paraId="57E98FD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铲装设备行走应遵守下列规定：</w:t>
            </w:r>
          </w:p>
          <w:p w14:paraId="363FA51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（1）应在作业平台的稳定范围内行走；（2）上、下坡时铲斗应下放并与地面保持适当距离。</w:t>
            </w:r>
          </w:p>
        </w:tc>
        <w:tc>
          <w:tcPr>
            <w:tcW w:w="2581" w:type="dxa"/>
            <w:vAlign w:val="center"/>
          </w:tcPr>
          <w:p w14:paraId="42AE0EF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《金属非金属矿山安全规程》GBl6423-2020第5.2.3.10条</w:t>
            </w:r>
          </w:p>
        </w:tc>
        <w:tc>
          <w:tcPr>
            <w:tcW w:w="2018" w:type="dxa"/>
            <w:vAlign w:val="center"/>
          </w:tcPr>
          <w:p w14:paraId="2A820E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制定和遵守铲装作业安全操作规程。</w:t>
            </w:r>
          </w:p>
        </w:tc>
        <w:tc>
          <w:tcPr>
            <w:tcW w:w="759" w:type="dxa"/>
            <w:vAlign w:val="center"/>
          </w:tcPr>
          <w:p w14:paraId="5A7BB0F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403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31D5FB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10</w:t>
            </w:r>
          </w:p>
        </w:tc>
        <w:tc>
          <w:tcPr>
            <w:tcW w:w="3236" w:type="dxa"/>
            <w:vAlign w:val="center"/>
          </w:tcPr>
          <w:p w14:paraId="79261E5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集中铲装作业时人工装卸矿岩（金属非金属露天矿山自发布之日起立即禁止使用，地下矿山自发布之日起一年半后禁止使用）。</w:t>
            </w:r>
          </w:p>
        </w:tc>
        <w:tc>
          <w:tcPr>
            <w:tcW w:w="2581" w:type="dxa"/>
            <w:vAlign w:val="center"/>
          </w:tcPr>
          <w:p w14:paraId="4666529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《国家安全监管总局关于发布金属非金属矿山禁止使用的设备及工艺目录（第二批）的通知》（安监总管一〔2015〕13号）</w:t>
            </w:r>
          </w:p>
        </w:tc>
        <w:tc>
          <w:tcPr>
            <w:tcW w:w="2018" w:type="dxa"/>
            <w:vAlign w:val="center"/>
          </w:tcPr>
          <w:p w14:paraId="5E7BF94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机械装卸。</w:t>
            </w:r>
          </w:p>
        </w:tc>
        <w:tc>
          <w:tcPr>
            <w:tcW w:w="759" w:type="dxa"/>
            <w:vAlign w:val="center"/>
          </w:tcPr>
          <w:p w14:paraId="5516BAA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7F61ABBD">
      <w:pPr>
        <w:adjustRightInd w:val="0"/>
        <w:snapToGrid w:val="0"/>
        <w:ind w:firstLine="560"/>
        <w:rPr>
          <w:color w:val="000000" w:themeColor="text1"/>
          <w14:textFill>
            <w14:solidFill>
              <w14:schemeClr w14:val="tx1"/>
            </w14:solidFill>
          </w14:textFill>
        </w:rPr>
      </w:pPr>
    </w:p>
    <w:p w14:paraId="6106814C">
      <w:pPr>
        <w:pStyle w:val="6"/>
        <w:spacing w:before="0" w:beforeLines="0" w:after="0" w:afterLines="0"/>
        <w:rPr>
          <w:color w:val="000000" w:themeColor="text1"/>
          <w14:textFill>
            <w14:solidFill>
              <w14:schemeClr w14:val="tx1"/>
            </w14:solidFill>
          </w14:textFill>
        </w:rPr>
      </w:pPr>
      <w:bookmarkStart w:id="2521" w:name="_Toc215070279"/>
      <w:r>
        <w:rPr>
          <w:rFonts w:hint="eastAsia"/>
          <w:color w:val="000000" w:themeColor="text1"/>
          <w14:textFill>
            <w14:solidFill>
              <w14:schemeClr w14:val="tx1"/>
            </w14:solidFill>
          </w14:textFill>
        </w:rPr>
        <w:t>3.4.4.4单元小结</w:t>
      </w:r>
      <w:bookmarkEnd w:id="2521"/>
    </w:p>
    <w:p w14:paraId="519B226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按照《金属非金属矿山安全规程》（GB16423-2020）的要求检查，铲装作业采用挖掘机装卸，企业制定和遵守铲装作业安全操作规程，符合《金属非金属矿山安全规程》（GB16423-2020）的要求。</w:t>
      </w:r>
    </w:p>
    <w:p w14:paraId="478331BE">
      <w:pPr>
        <w:pStyle w:val="4"/>
        <w:spacing w:before="120" w:beforeLines="50" w:after="0" w:afterLines="0"/>
        <w:rPr>
          <w:color w:val="000000" w:themeColor="text1"/>
          <w14:textFill>
            <w14:solidFill>
              <w14:schemeClr w14:val="tx1"/>
            </w14:solidFill>
          </w14:textFill>
        </w:rPr>
      </w:pPr>
      <w:bookmarkStart w:id="2522" w:name="_Toc31188"/>
      <w:bookmarkStart w:id="2523" w:name="_Toc19009"/>
      <w:bookmarkStart w:id="2524" w:name="_Toc5790"/>
      <w:bookmarkStart w:id="2525" w:name="_Toc22683"/>
      <w:bookmarkStart w:id="2526" w:name="_Toc31951"/>
      <w:bookmarkStart w:id="2527" w:name="_Toc29288"/>
      <w:bookmarkStart w:id="2528" w:name="_Toc2774"/>
      <w:bookmarkStart w:id="2529" w:name="_Toc15915"/>
      <w:bookmarkStart w:id="2530" w:name="_Toc215070280"/>
      <w:bookmarkStart w:id="2531" w:name="_Toc18986"/>
      <w:bookmarkStart w:id="2532" w:name="_Toc19331"/>
      <w:bookmarkStart w:id="2533" w:name="_Toc392680765"/>
      <w:bookmarkStart w:id="2534" w:name="_Toc9278"/>
      <w:bookmarkStart w:id="2535" w:name="_Toc9304"/>
      <w:bookmarkStart w:id="2536" w:name="_Toc30617"/>
      <w:bookmarkStart w:id="2537" w:name="_Toc11801"/>
      <w:bookmarkStart w:id="2538" w:name="_Toc17753"/>
      <w:bookmarkStart w:id="2539" w:name="_Toc7423"/>
      <w:bookmarkStart w:id="2540" w:name="_Toc392680764"/>
      <w:bookmarkStart w:id="2541" w:name="_Toc18324"/>
      <w:bookmarkStart w:id="2542" w:name="_Toc5643"/>
      <w:r>
        <w:rPr>
          <w:rFonts w:hint="eastAsia"/>
          <w:color w:val="000000" w:themeColor="text1"/>
          <w14:textFill>
            <w14:solidFill>
              <w14:schemeClr w14:val="tx1"/>
            </w14:solidFill>
          </w14:textFill>
        </w:rPr>
        <w:t>3.5防尘单元</w:t>
      </w:r>
      <w:bookmarkEnd w:id="2522"/>
      <w:bookmarkEnd w:id="2523"/>
      <w:bookmarkEnd w:id="2524"/>
      <w:bookmarkEnd w:id="2525"/>
      <w:bookmarkEnd w:id="2526"/>
      <w:bookmarkEnd w:id="2527"/>
      <w:bookmarkEnd w:id="2528"/>
      <w:bookmarkEnd w:id="2529"/>
      <w:bookmarkEnd w:id="2530"/>
      <w:bookmarkEnd w:id="2531"/>
      <w:bookmarkEnd w:id="2532"/>
    </w:p>
    <w:p w14:paraId="0F181095">
      <w:pPr>
        <w:pStyle w:val="5"/>
        <w:spacing w:after="0" w:afterLines="0"/>
        <w:rPr>
          <w:color w:val="000000" w:themeColor="text1"/>
          <w14:textFill>
            <w14:solidFill>
              <w14:schemeClr w14:val="tx1"/>
            </w14:solidFill>
          </w14:textFill>
        </w:rPr>
      </w:pPr>
      <w:bookmarkStart w:id="2543" w:name="_Toc27749"/>
      <w:bookmarkStart w:id="2544" w:name="_Toc24368"/>
      <w:bookmarkStart w:id="2545" w:name="_Toc2236"/>
      <w:bookmarkStart w:id="2546" w:name="_Toc27378"/>
      <w:bookmarkStart w:id="2547" w:name="_Toc30527"/>
      <w:bookmarkStart w:id="2548" w:name="_Toc5468"/>
      <w:bookmarkStart w:id="2549" w:name="_Toc27811"/>
      <w:bookmarkStart w:id="2550" w:name="_Toc23546"/>
      <w:bookmarkStart w:id="2551" w:name="_Toc14889"/>
      <w:bookmarkStart w:id="2552" w:name="_Toc215070281"/>
      <w:r>
        <w:rPr>
          <w:rFonts w:hint="eastAsia"/>
          <w:color w:val="000000" w:themeColor="text1"/>
          <w14:textFill>
            <w14:solidFill>
              <w14:schemeClr w14:val="tx1"/>
            </w14:solidFill>
          </w14:textFill>
        </w:rPr>
        <w:t>3.5.1防尘单元危险因素辨识</w:t>
      </w:r>
      <w:bookmarkEnd w:id="2543"/>
      <w:bookmarkEnd w:id="2544"/>
      <w:bookmarkEnd w:id="2545"/>
      <w:bookmarkEnd w:id="2546"/>
      <w:bookmarkEnd w:id="2547"/>
      <w:bookmarkEnd w:id="2548"/>
      <w:bookmarkEnd w:id="2549"/>
      <w:bookmarkEnd w:id="2550"/>
      <w:bookmarkEnd w:id="2551"/>
      <w:bookmarkEnd w:id="2552"/>
    </w:p>
    <w:p w14:paraId="2940CD57">
      <w:pPr>
        <w:ind w:firstLine="560"/>
        <w:rPr>
          <w:color w:val="000000" w:themeColor="text1"/>
          <w14:textFill>
            <w14:solidFill>
              <w14:schemeClr w14:val="tx1"/>
            </w14:solidFill>
          </w14:textFill>
        </w:rPr>
      </w:pPr>
      <w:bookmarkStart w:id="2553" w:name="_Toc9285"/>
      <w:bookmarkStart w:id="2554" w:name="_Toc18993"/>
      <w:bookmarkStart w:id="2555" w:name="_Toc4449"/>
      <w:r>
        <w:rPr>
          <w:rFonts w:hint="eastAsia"/>
          <w:color w:val="000000" w:themeColor="text1"/>
          <w14:textFill>
            <w14:solidFill>
              <w14:schemeClr w14:val="tx1"/>
            </w14:solidFill>
          </w14:textFill>
        </w:rPr>
        <w:t>1、车辆伤害</w:t>
      </w:r>
      <w:bookmarkEnd w:id="2553"/>
      <w:bookmarkEnd w:id="2554"/>
      <w:bookmarkEnd w:id="2555"/>
    </w:p>
    <w:p w14:paraId="361258B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洒水车在行驶或者倒车过程中，由于驾驶人员违章驾驶、开车视线不佳或因车辆本身故障等原因，可能造成车辆伤害事故。</w:t>
      </w:r>
    </w:p>
    <w:p w14:paraId="78E1998D">
      <w:pPr>
        <w:ind w:firstLine="560"/>
        <w:rPr>
          <w:color w:val="000000" w:themeColor="text1"/>
          <w14:textFill>
            <w14:solidFill>
              <w14:schemeClr w14:val="tx1"/>
            </w14:solidFill>
          </w14:textFill>
        </w:rPr>
      </w:pPr>
      <w:bookmarkStart w:id="2556" w:name="_Toc11363"/>
      <w:bookmarkStart w:id="2557" w:name="_Toc8295"/>
      <w:bookmarkStart w:id="2558" w:name="_Toc20285"/>
      <w:r>
        <w:rPr>
          <w:rFonts w:hint="eastAsia"/>
          <w:color w:val="000000" w:themeColor="text1"/>
          <w14:textFill>
            <w14:solidFill>
              <w14:schemeClr w14:val="tx1"/>
            </w14:solidFill>
          </w14:textFill>
        </w:rPr>
        <w:t>2、粉尘危害</w:t>
      </w:r>
      <w:bookmarkEnd w:id="2556"/>
      <w:bookmarkEnd w:id="2557"/>
      <w:bookmarkEnd w:id="2558"/>
    </w:p>
    <w:p w14:paraId="01CC9DD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采剥、穿孔、爆破、铲装、运输过程中会产生大量的灰岩粉尘，长期吸入可能会在肺组织中呈异物反应，并继续轻微纤维化。操作过程中人员若未正确穿戴劳动防护用品，或防护用品失效，操作人员长期吸入粉尘，会使人受到粉尘危害。</w:t>
      </w:r>
      <w:bookmarkStart w:id="2559" w:name="_Toc3346"/>
      <w:bookmarkStart w:id="2560" w:name="_Toc27844"/>
      <w:bookmarkStart w:id="2561" w:name="_Toc30179"/>
      <w:bookmarkStart w:id="2562" w:name="_Toc25223"/>
      <w:bookmarkStart w:id="2563" w:name="_Toc25998"/>
      <w:bookmarkStart w:id="2564" w:name="_Toc19319"/>
      <w:bookmarkStart w:id="2565" w:name="_Toc13502"/>
      <w:bookmarkStart w:id="2566" w:name="_Toc18514"/>
      <w:bookmarkStart w:id="2567" w:name="_Toc22974"/>
      <w:bookmarkStart w:id="2568" w:name="_Toc31779"/>
    </w:p>
    <w:p w14:paraId="21D06FC4">
      <w:pPr>
        <w:pStyle w:val="5"/>
        <w:spacing w:after="0" w:afterLines="0"/>
        <w:rPr>
          <w:color w:val="000000" w:themeColor="text1"/>
          <w14:textFill>
            <w14:solidFill>
              <w14:schemeClr w14:val="tx1"/>
            </w14:solidFill>
          </w14:textFill>
        </w:rPr>
      </w:pPr>
      <w:bookmarkStart w:id="2569" w:name="_Toc215070282"/>
      <w:r>
        <w:rPr>
          <w:rFonts w:hint="eastAsia"/>
          <w:color w:val="000000" w:themeColor="text1"/>
          <w14:textFill>
            <w14:solidFill>
              <w14:schemeClr w14:val="tx1"/>
            </w14:solidFill>
          </w14:textFill>
        </w:rPr>
        <w:t>3.5.2安全检查表</w:t>
      </w:r>
      <w:bookmarkEnd w:id="2559"/>
      <w:bookmarkEnd w:id="2560"/>
      <w:bookmarkEnd w:id="2561"/>
      <w:bookmarkEnd w:id="2562"/>
      <w:bookmarkEnd w:id="2563"/>
      <w:bookmarkEnd w:id="2564"/>
      <w:bookmarkEnd w:id="2565"/>
      <w:bookmarkEnd w:id="2566"/>
      <w:bookmarkEnd w:id="2567"/>
      <w:bookmarkEnd w:id="2568"/>
      <w:bookmarkEnd w:id="2569"/>
    </w:p>
    <w:p w14:paraId="545C7531">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表3.5-1防尘安全检查表</w:t>
      </w:r>
    </w:p>
    <w:tbl>
      <w:tblPr>
        <w:tblStyle w:val="44"/>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323"/>
        <w:gridCol w:w="2004"/>
        <w:gridCol w:w="1705"/>
        <w:gridCol w:w="675"/>
      </w:tblGrid>
      <w:tr w14:paraId="5292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7A08B21D">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4323" w:type="dxa"/>
            <w:vAlign w:val="center"/>
          </w:tcPr>
          <w:p w14:paraId="3AA5F02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检查内容</w:t>
            </w:r>
          </w:p>
        </w:tc>
        <w:tc>
          <w:tcPr>
            <w:tcW w:w="2004" w:type="dxa"/>
            <w:vAlign w:val="center"/>
          </w:tcPr>
          <w:p w14:paraId="0AFAFE7C">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标准依据</w:t>
            </w:r>
          </w:p>
        </w:tc>
        <w:tc>
          <w:tcPr>
            <w:tcW w:w="1705" w:type="dxa"/>
            <w:vAlign w:val="center"/>
          </w:tcPr>
          <w:p w14:paraId="5A018741">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675" w:type="dxa"/>
            <w:vAlign w:val="center"/>
          </w:tcPr>
          <w:p w14:paraId="07AEA8E6">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检查结果</w:t>
            </w:r>
          </w:p>
        </w:tc>
      </w:tr>
      <w:tr w14:paraId="64A9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5015508C">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4323" w:type="dxa"/>
            <w:vAlign w:val="center"/>
          </w:tcPr>
          <w:p w14:paraId="5CBFF9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不应采用没有捕尘装置的干式穿孔设备。</w:t>
            </w:r>
          </w:p>
        </w:tc>
        <w:tc>
          <w:tcPr>
            <w:tcW w:w="2004" w:type="dxa"/>
            <w:vAlign w:val="center"/>
          </w:tcPr>
          <w:p w14:paraId="4BCBF52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1642 -2020第5.1.11条</w:t>
            </w:r>
          </w:p>
        </w:tc>
        <w:tc>
          <w:tcPr>
            <w:tcW w:w="1705" w:type="dxa"/>
            <w:vAlign w:val="center"/>
          </w:tcPr>
          <w:p w14:paraId="6A88045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采用的潜孔钻自带收尘器。</w:t>
            </w:r>
          </w:p>
        </w:tc>
        <w:tc>
          <w:tcPr>
            <w:tcW w:w="675" w:type="dxa"/>
            <w:vAlign w:val="center"/>
          </w:tcPr>
          <w:p w14:paraId="7F1BB2D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9AB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23" w:type="dxa"/>
            <w:vAlign w:val="center"/>
          </w:tcPr>
          <w:p w14:paraId="517A0224">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4323" w:type="dxa"/>
            <w:vAlign w:val="center"/>
          </w:tcPr>
          <w:p w14:paraId="50B0F7F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用人单位应当依照法律法规要求，严格遵守国家职业卫生标准，落实职业病预防措施，从源头上控制和消除职业病危害。</w:t>
            </w:r>
          </w:p>
        </w:tc>
        <w:tc>
          <w:tcPr>
            <w:tcW w:w="2004" w:type="dxa"/>
            <w:vAlign w:val="center"/>
          </w:tcPr>
          <w:p w14:paraId="3024C2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《中华人民共和国职业病防治法》第十四条</w:t>
            </w:r>
          </w:p>
        </w:tc>
        <w:tc>
          <w:tcPr>
            <w:tcW w:w="1705" w:type="dxa"/>
            <w:vAlign w:val="center"/>
          </w:tcPr>
          <w:p w14:paraId="0D4F1BC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对采场爆堆和运输道路扬尘采用洒水车进行洒水抑尘。</w:t>
            </w:r>
          </w:p>
        </w:tc>
        <w:tc>
          <w:tcPr>
            <w:tcW w:w="675" w:type="dxa"/>
            <w:vAlign w:val="center"/>
          </w:tcPr>
          <w:p w14:paraId="2EEA9D8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30D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58794C8">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4323" w:type="dxa"/>
            <w:vAlign w:val="center"/>
          </w:tcPr>
          <w:p w14:paraId="2D63854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用人单位必须采用有效的职业病防护设施，并为劳动者提供个人使用的职业病防护用品。</w:t>
            </w:r>
          </w:p>
        </w:tc>
        <w:tc>
          <w:tcPr>
            <w:tcW w:w="2004" w:type="dxa"/>
            <w:vAlign w:val="center"/>
          </w:tcPr>
          <w:p w14:paraId="5DFC358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《中华人民共和国职业病防治法》第二十二条</w:t>
            </w:r>
          </w:p>
        </w:tc>
        <w:tc>
          <w:tcPr>
            <w:tcW w:w="1705" w:type="dxa"/>
            <w:vAlign w:val="center"/>
          </w:tcPr>
          <w:p w14:paraId="2F9F56B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要求佩戴劳动防护用品。</w:t>
            </w:r>
          </w:p>
        </w:tc>
        <w:tc>
          <w:tcPr>
            <w:tcW w:w="675" w:type="dxa"/>
            <w:vAlign w:val="center"/>
          </w:tcPr>
          <w:p w14:paraId="0ECF557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D64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3" w:type="dxa"/>
            <w:vAlign w:val="center"/>
          </w:tcPr>
          <w:p w14:paraId="0285701A">
            <w:pPr>
              <w:pStyle w:val="71"/>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4323" w:type="dxa"/>
            <w:vAlign w:val="center"/>
          </w:tcPr>
          <w:p w14:paraId="542A471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产生职业病危害的用人单位，应当在醒目位置设置公告栏，公布有关职业病防治的规章制度、操作规程、职业病危害事故应急救援措施和工作场所职业病危害因素检测结果。</w:t>
            </w:r>
          </w:p>
          <w:p w14:paraId="74F75A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对产生严重职业病危害的作业岗位，应当在其醒目位置，设置警示标识和中文警示说明。警示说明应当载明产生职业病危害的种类、后果、预防以及应急救治措施等内容。</w:t>
            </w:r>
          </w:p>
        </w:tc>
        <w:tc>
          <w:tcPr>
            <w:tcW w:w="2004" w:type="dxa"/>
            <w:vAlign w:val="center"/>
          </w:tcPr>
          <w:p w14:paraId="505833C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《中华人民共和国职业病防治法》第二十四条</w:t>
            </w:r>
          </w:p>
        </w:tc>
        <w:tc>
          <w:tcPr>
            <w:tcW w:w="1705" w:type="dxa"/>
            <w:vAlign w:val="center"/>
          </w:tcPr>
          <w:p w14:paraId="62C7FBA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要求设置相应的职业危害告知牌。</w:t>
            </w:r>
          </w:p>
        </w:tc>
        <w:tc>
          <w:tcPr>
            <w:tcW w:w="675" w:type="dxa"/>
            <w:vAlign w:val="center"/>
          </w:tcPr>
          <w:p w14:paraId="2D0D96F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1AC029DF">
      <w:pPr>
        <w:pStyle w:val="5"/>
        <w:spacing w:after="120"/>
        <w:rPr>
          <w:color w:val="000000" w:themeColor="text1"/>
          <w14:textFill>
            <w14:solidFill>
              <w14:schemeClr w14:val="tx1"/>
            </w14:solidFill>
          </w14:textFill>
        </w:rPr>
      </w:pPr>
      <w:bookmarkStart w:id="2570" w:name="_Toc12292"/>
      <w:bookmarkStart w:id="2571" w:name="_Toc31999"/>
      <w:bookmarkStart w:id="2572" w:name="_Toc215070283"/>
      <w:bookmarkStart w:id="2573" w:name="_Toc9119"/>
      <w:bookmarkStart w:id="2574" w:name="_Toc29283"/>
      <w:bookmarkStart w:id="2575" w:name="_Toc49"/>
      <w:bookmarkStart w:id="2576" w:name="_Toc9513"/>
      <w:bookmarkStart w:id="2577" w:name="_Toc19207"/>
      <w:bookmarkStart w:id="2578" w:name="_Toc28819"/>
      <w:bookmarkStart w:id="2579" w:name="_Toc32150"/>
      <w:bookmarkStart w:id="2580" w:name="_Toc21870"/>
      <w:r>
        <w:rPr>
          <w:rFonts w:hint="eastAsia"/>
          <w:color w:val="000000" w:themeColor="text1"/>
          <w14:textFill>
            <w14:solidFill>
              <w14:schemeClr w14:val="tx1"/>
            </w14:solidFill>
          </w14:textFill>
        </w:rPr>
        <w:t>3.5.3单元小结</w:t>
      </w:r>
      <w:bookmarkEnd w:id="2570"/>
      <w:bookmarkEnd w:id="2571"/>
      <w:bookmarkEnd w:id="2572"/>
      <w:bookmarkEnd w:id="2573"/>
      <w:bookmarkEnd w:id="2574"/>
      <w:bookmarkEnd w:id="2575"/>
      <w:bookmarkEnd w:id="2576"/>
      <w:bookmarkEnd w:id="2577"/>
      <w:bookmarkEnd w:id="2578"/>
      <w:bookmarkEnd w:id="2579"/>
      <w:bookmarkEnd w:id="2580"/>
    </w:p>
    <w:p w14:paraId="591302E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可行性研究报告中防尘进行了说明，要求对采场、运输道路洒水降尘工作，并严格要求作业人员佩戴好口罩等劳动防护用品，防尘单元符合《金属非金属矿山安全规程》（GB16423-2020）、《中华人民共和国职业病防治法》等的要求。</w:t>
      </w:r>
    </w:p>
    <w:bookmarkEnd w:id="2533"/>
    <w:bookmarkEnd w:id="2534"/>
    <w:bookmarkEnd w:id="2535"/>
    <w:bookmarkEnd w:id="2536"/>
    <w:bookmarkEnd w:id="2537"/>
    <w:p w14:paraId="4962A51E">
      <w:pPr>
        <w:pStyle w:val="4"/>
        <w:spacing w:before="240" w:after="120"/>
        <w:rPr>
          <w:color w:val="000000" w:themeColor="text1"/>
          <w14:textFill>
            <w14:solidFill>
              <w14:schemeClr w14:val="tx1"/>
            </w14:solidFill>
          </w14:textFill>
        </w:rPr>
      </w:pPr>
      <w:bookmarkStart w:id="2581" w:name="_Toc6100"/>
      <w:bookmarkStart w:id="2582" w:name="_Toc21587"/>
      <w:bookmarkStart w:id="2583" w:name="_Toc15678"/>
      <w:bookmarkStart w:id="2584" w:name="_Toc5342"/>
      <w:bookmarkStart w:id="2585" w:name="_Toc23537"/>
      <w:bookmarkStart w:id="2586" w:name="_Toc5160"/>
      <w:bookmarkStart w:id="2587" w:name="_Toc5900"/>
      <w:bookmarkStart w:id="2588" w:name="_Toc114"/>
      <w:bookmarkStart w:id="2589" w:name="_Toc131"/>
      <w:bookmarkStart w:id="2590" w:name="_Toc31518"/>
      <w:bookmarkStart w:id="2591" w:name="_Toc25508"/>
      <w:bookmarkStart w:id="2592" w:name="_Toc215070284"/>
      <w:r>
        <w:rPr>
          <w:rFonts w:hint="eastAsia"/>
          <w:color w:val="000000" w:themeColor="text1"/>
          <w14:textFill>
            <w14:solidFill>
              <w14:schemeClr w14:val="tx1"/>
            </w14:solidFill>
          </w14:textFill>
        </w:rPr>
        <w:t>3.6供配电设施</w:t>
      </w:r>
      <w:bookmarkEnd w:id="2581"/>
      <w:bookmarkEnd w:id="2582"/>
      <w:bookmarkEnd w:id="2583"/>
      <w:bookmarkEnd w:id="2584"/>
      <w:bookmarkEnd w:id="2585"/>
      <w:bookmarkEnd w:id="2586"/>
      <w:bookmarkEnd w:id="2587"/>
      <w:bookmarkEnd w:id="2588"/>
      <w:bookmarkEnd w:id="2589"/>
      <w:bookmarkEnd w:id="2590"/>
      <w:bookmarkEnd w:id="2591"/>
      <w:r>
        <w:rPr>
          <w:rFonts w:hint="eastAsia"/>
          <w:color w:val="000000" w:themeColor="text1"/>
          <w14:textFill>
            <w14:solidFill>
              <w14:schemeClr w14:val="tx1"/>
            </w14:solidFill>
          </w14:textFill>
        </w:rPr>
        <w:t>及通讯单元</w:t>
      </w:r>
      <w:bookmarkEnd w:id="2592"/>
    </w:p>
    <w:p w14:paraId="686543E4">
      <w:pPr>
        <w:pStyle w:val="5"/>
        <w:spacing w:after="120"/>
        <w:rPr>
          <w:color w:val="000000" w:themeColor="text1"/>
          <w14:textFill>
            <w14:solidFill>
              <w14:schemeClr w14:val="tx1"/>
            </w14:solidFill>
          </w14:textFill>
        </w:rPr>
      </w:pPr>
      <w:bookmarkStart w:id="2593" w:name="_Toc16708"/>
      <w:bookmarkStart w:id="2594" w:name="_Toc8712"/>
      <w:bookmarkStart w:id="2595" w:name="_Toc23954"/>
      <w:bookmarkStart w:id="2596" w:name="_Toc16597"/>
      <w:bookmarkStart w:id="2597" w:name="_Toc24643"/>
      <w:bookmarkStart w:id="2598" w:name="_Toc215070285"/>
      <w:bookmarkStart w:id="2599" w:name="_Toc6557"/>
      <w:bookmarkStart w:id="2600" w:name="_Toc17639"/>
      <w:bookmarkStart w:id="2601" w:name="_Toc32671"/>
      <w:bookmarkStart w:id="2602" w:name="_Toc10085"/>
      <w:bookmarkStart w:id="2603" w:name="_Toc11852"/>
      <w:bookmarkStart w:id="2604" w:name="_Toc30639"/>
      <w:bookmarkStart w:id="2605" w:name="_Toc163831931"/>
      <w:bookmarkStart w:id="2606" w:name="_Toc6606"/>
      <w:bookmarkStart w:id="2607" w:name="_Toc32562"/>
      <w:bookmarkStart w:id="2608" w:name="_Toc149748336"/>
      <w:bookmarkStart w:id="2609" w:name="_Toc153698801"/>
      <w:bookmarkStart w:id="2610" w:name="_Toc9501"/>
      <w:bookmarkStart w:id="2611" w:name="_Toc14752"/>
      <w:bookmarkStart w:id="2612" w:name="_Toc392680766"/>
      <w:r>
        <w:rPr>
          <w:rFonts w:hint="eastAsia"/>
          <w:color w:val="000000" w:themeColor="text1"/>
          <w14:textFill>
            <w14:solidFill>
              <w14:schemeClr w14:val="tx1"/>
            </w14:solidFill>
          </w14:textFill>
        </w:rPr>
        <w:t>3.6.1供配电设施危险因素辨识</w:t>
      </w:r>
      <w:bookmarkEnd w:id="2593"/>
      <w:bookmarkEnd w:id="2594"/>
      <w:bookmarkEnd w:id="2595"/>
      <w:bookmarkEnd w:id="2596"/>
      <w:bookmarkEnd w:id="2597"/>
      <w:bookmarkEnd w:id="2598"/>
      <w:bookmarkEnd w:id="2599"/>
      <w:bookmarkEnd w:id="2600"/>
      <w:bookmarkEnd w:id="2601"/>
      <w:bookmarkEnd w:id="2602"/>
      <w:bookmarkEnd w:id="2603"/>
      <w:bookmarkEnd w:id="2604"/>
    </w:p>
    <w:p w14:paraId="0FEA736C">
      <w:pPr>
        <w:ind w:firstLine="560"/>
        <w:rPr>
          <w:color w:val="000000" w:themeColor="text1"/>
          <w14:textFill>
            <w14:solidFill>
              <w14:schemeClr w14:val="tx1"/>
            </w14:solidFill>
          </w14:textFill>
        </w:rPr>
      </w:pPr>
      <w:bookmarkStart w:id="2613" w:name="_Toc23992"/>
      <w:bookmarkStart w:id="2614" w:name="_Toc19107"/>
      <w:bookmarkStart w:id="2615" w:name="_Toc6358"/>
      <w:r>
        <w:rPr>
          <w:rFonts w:hint="eastAsia"/>
          <w:color w:val="000000" w:themeColor="text1"/>
          <w14:textFill>
            <w14:solidFill>
              <w14:schemeClr w14:val="tx1"/>
            </w14:solidFill>
          </w14:textFill>
        </w:rPr>
        <w:t>1、触电伤害及其触发因素</w:t>
      </w:r>
      <w:bookmarkEnd w:id="2613"/>
      <w:bookmarkEnd w:id="2614"/>
      <w:bookmarkEnd w:id="2615"/>
    </w:p>
    <w:p w14:paraId="305AB7C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触电伤害是指人体触及带电体时，电流对人体造成的伤害。电流对人体的伤害有两种类型，即电击和电伤。</w:t>
      </w:r>
    </w:p>
    <w:p w14:paraId="2349E47A">
      <w:pPr>
        <w:ind w:firstLine="560"/>
        <w:rPr>
          <w:color w:val="000000" w:themeColor="text1"/>
          <w14:textFill>
            <w14:solidFill>
              <w14:schemeClr w14:val="tx1"/>
            </w14:solidFill>
          </w14:textFill>
        </w:rPr>
      </w:pPr>
      <w:bookmarkStart w:id="2616" w:name="_Toc13107"/>
      <w:bookmarkStart w:id="2617" w:name="_Toc20936"/>
      <w:bookmarkStart w:id="2618" w:name="_Toc16996"/>
      <w:r>
        <w:rPr>
          <w:rFonts w:hint="eastAsia"/>
          <w:color w:val="000000" w:themeColor="text1"/>
          <w14:textFill>
            <w14:solidFill>
              <w14:schemeClr w14:val="tx1"/>
            </w14:solidFill>
          </w14:textFill>
        </w:rPr>
        <w:t>（1）电击及其触发因素</w:t>
      </w:r>
      <w:bookmarkEnd w:id="2616"/>
      <w:bookmarkEnd w:id="2617"/>
      <w:bookmarkEnd w:id="2618"/>
    </w:p>
    <w:p w14:paraId="64CEEE3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电击是指电流通过人体造成人体内部的伤害。由于电流对人的呼吸、心脏及神经系统的伤害，使人出现痉挛、呼吸窒息、心颤、心搏骤停等症状，严重时会造成死亡。绝大部分触电死亡事故都是电击造成的。通常说的触电事故基本上是指电击而言。</w:t>
      </w:r>
    </w:p>
    <w:p w14:paraId="7195A24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低压系统（指1000V以下）中，在通电电流较小、通电时间不长的情况下，电流引起的心室颤动是电击致死的主要原因；在通电时间较长、通电电流较小的情况下，窒息也会成为致死的原因。</w:t>
      </w:r>
    </w:p>
    <w:p w14:paraId="147F3FA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电击分为直接电击和间接电击。</w:t>
      </w:r>
    </w:p>
    <w:p w14:paraId="70B9DCF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直接电击是指人体直接触及正常运行的带电体所发生的电击。称为正常情况下的电击。</w:t>
      </w:r>
    </w:p>
    <w:p w14:paraId="255F77E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间接电击则是指电气设备发生故障后，人体触及意外带电部位所发生的电击。称为故障情况下的电击。</w:t>
      </w:r>
    </w:p>
    <w:p w14:paraId="5A88AAEB">
      <w:pPr>
        <w:ind w:firstLine="560"/>
        <w:rPr>
          <w:color w:val="000000" w:themeColor="text1"/>
          <w14:textFill>
            <w14:solidFill>
              <w14:schemeClr w14:val="tx1"/>
            </w14:solidFill>
          </w14:textFill>
        </w:rPr>
      </w:pPr>
      <w:bookmarkStart w:id="2619" w:name="_Toc10394"/>
      <w:bookmarkStart w:id="2620" w:name="_Toc21048"/>
      <w:bookmarkStart w:id="2621" w:name="_Toc19050"/>
      <w:r>
        <w:rPr>
          <w:rFonts w:hint="eastAsia"/>
          <w:color w:val="000000" w:themeColor="text1"/>
          <w14:textFill>
            <w14:solidFill>
              <w14:schemeClr w14:val="tx1"/>
            </w14:solidFill>
          </w14:textFill>
        </w:rPr>
        <w:t>（2）供配电系统中触发电击伤害的主要危险因素有：</w:t>
      </w:r>
      <w:bookmarkEnd w:id="2619"/>
      <w:bookmarkEnd w:id="2620"/>
      <w:bookmarkEnd w:id="2621"/>
    </w:p>
    <w:p w14:paraId="4811E1D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①误触相线：包括单相触电（包括中性点直接接地单相触电、中性点不接地单相触电）、两相触电、跨步电压、接触电压和雷击触电。</w:t>
      </w:r>
    </w:p>
    <w:p w14:paraId="7111171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②电气操作时未核对设备名称、编号、位置状态，直接触及正在运行的带电设备。</w:t>
      </w:r>
    </w:p>
    <w:p w14:paraId="37AEE8F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③装设地线不验电、线路检修时未按规定装设接地线或临时停电装设的接地线在送电前未及时拆除。</w:t>
      </w:r>
    </w:p>
    <w:p w14:paraId="4C2BA332">
      <w:pPr>
        <w:ind w:firstLine="560"/>
        <w:rPr>
          <w:color w:val="000000" w:themeColor="text1"/>
          <w14:textFill>
            <w14:solidFill>
              <w14:schemeClr w14:val="tx1"/>
            </w14:solidFill>
          </w14:textFill>
        </w:rPr>
      </w:pPr>
      <w:bookmarkStart w:id="2622" w:name="_Toc8867"/>
      <w:r>
        <w:rPr>
          <w:rFonts w:hint="eastAsia"/>
          <w:color w:val="000000" w:themeColor="text1"/>
          <w14:textFill>
            <w14:solidFill>
              <w14:schemeClr w14:val="tx1"/>
            </w14:solidFill>
          </w14:textFill>
        </w:rPr>
        <w:t>④超越安全警戒线误碰带电设备。</w:t>
      </w:r>
      <w:bookmarkEnd w:id="2622"/>
    </w:p>
    <w:p w14:paraId="412084B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⑤导线、电缆裸露、老化、破损接触金属等导电物、架空线断后搭落在金属等导电物上、电气设备的线圈绝缘损坏而引起外壳带电。</w:t>
      </w:r>
    </w:p>
    <w:p w14:paraId="17911CC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⑥采场架空线路与地面高度不足，挖掘机、潜孔钻、运输车辆等通过时，触碰线路，发生触电事故。</w:t>
      </w:r>
    </w:p>
    <w:p w14:paraId="3508E6A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⑦架空线路电线杆安装不稳或者失稳，发生倒塌，过往车辆人员，易发生触电事故。</w:t>
      </w:r>
    </w:p>
    <w:p w14:paraId="3184E2D8">
      <w:pPr>
        <w:ind w:firstLine="560"/>
        <w:rPr>
          <w:color w:val="000000" w:themeColor="text1"/>
          <w14:textFill>
            <w14:solidFill>
              <w14:schemeClr w14:val="tx1"/>
            </w14:solidFill>
          </w14:textFill>
        </w:rPr>
      </w:pPr>
      <w:bookmarkStart w:id="2623" w:name="_Toc16919"/>
      <w:bookmarkStart w:id="2624" w:name="_Toc29103"/>
      <w:bookmarkStart w:id="2625" w:name="_Toc30290"/>
      <w:r>
        <w:rPr>
          <w:rFonts w:hint="eastAsia"/>
          <w:color w:val="000000" w:themeColor="text1"/>
          <w14:textFill>
            <w14:solidFill>
              <w14:schemeClr w14:val="tx1"/>
            </w14:solidFill>
          </w14:textFill>
        </w:rPr>
        <w:t>（3）电伤及其触发因素</w:t>
      </w:r>
      <w:bookmarkEnd w:id="2623"/>
      <w:bookmarkEnd w:id="2624"/>
      <w:bookmarkEnd w:id="2625"/>
    </w:p>
    <w:p w14:paraId="51FF33F6">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电伤是指有电流的热效应、化学效应或机械效应对于人体造成的伤害。电伤可伤及人体内部，但多见于人体表面，且常会在人体上留下伤痕，如电弧烧伤（又称为电灼伤）、电烙印、皮肤金属化、电光眼等。</w:t>
      </w:r>
    </w:p>
    <w:p w14:paraId="467946BF">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供配电系统操作过程中触发电伤的主要危险因素有：</w:t>
      </w:r>
    </w:p>
    <w:p w14:paraId="359BFA2F">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①低压系统带负荷拉开裸露的闸刀开关。</w:t>
      </w:r>
    </w:p>
    <w:p w14:paraId="3BD9AD06">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②线路发生短路或误操作引起短路。</w:t>
      </w:r>
    </w:p>
    <w:p w14:paraId="28CF91C1">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③高压系统因误操作产生强烈电弧(可导致严重烧伤)。</w:t>
      </w:r>
    </w:p>
    <w:p w14:paraId="3E175309">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④在带电设备附近作业，不符合安全距离或无监护措施，作业人员接近带电体(间距小于安全距离或放电距离)而产生的强烈电弧(可造成严重烧伤甚至死亡)。</w:t>
      </w:r>
    </w:p>
    <w:p w14:paraId="1FD94368">
      <w:pPr>
        <w:adjustRightInd w:val="0"/>
        <w:snapToGrid w:val="0"/>
        <w:spacing w:line="46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⑤供配电线路或电气设备工作完毕，未办理工作票终结手续盲目送电。</w:t>
      </w:r>
    </w:p>
    <w:p w14:paraId="6CFBBD07">
      <w:pPr>
        <w:ind w:firstLine="560"/>
        <w:rPr>
          <w:color w:val="000000" w:themeColor="text1"/>
          <w14:textFill>
            <w14:solidFill>
              <w14:schemeClr w14:val="tx1"/>
            </w14:solidFill>
          </w14:textFill>
        </w:rPr>
      </w:pPr>
      <w:bookmarkStart w:id="2626" w:name="_Toc5395"/>
      <w:bookmarkStart w:id="2627" w:name="_Toc16465"/>
      <w:bookmarkStart w:id="2628" w:name="_Toc26515"/>
      <w:r>
        <w:rPr>
          <w:rFonts w:hint="eastAsia"/>
          <w:color w:val="000000" w:themeColor="text1"/>
          <w14:textFill>
            <w14:solidFill>
              <w14:schemeClr w14:val="tx1"/>
            </w14:solidFill>
          </w14:textFill>
        </w:rPr>
        <w:t>（4）供配电系统常见触电伤害的危险因素还有：</w:t>
      </w:r>
      <w:bookmarkEnd w:id="2626"/>
      <w:bookmarkEnd w:id="2627"/>
      <w:bookmarkEnd w:id="2628"/>
    </w:p>
    <w:p w14:paraId="108FA3F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①接线错误。</w:t>
      </w:r>
    </w:p>
    <w:p w14:paraId="7192F0D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②电气线路、电气设备安装不符合安全要求。</w:t>
      </w:r>
    </w:p>
    <w:p w14:paraId="2D2EFA7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③非电工任意处理电气事务。</w:t>
      </w:r>
    </w:p>
    <w:p w14:paraId="7E4C943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④移动长、高金属物体触碰高压线。</w:t>
      </w:r>
    </w:p>
    <w:p w14:paraId="5ADE865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⑤因暴风雨、雷击等自然灾害。</w:t>
      </w:r>
    </w:p>
    <w:p w14:paraId="25D40CAC">
      <w:pPr>
        <w:ind w:firstLine="560"/>
        <w:rPr>
          <w:color w:val="000000" w:themeColor="text1"/>
          <w14:textFill>
            <w14:solidFill>
              <w14:schemeClr w14:val="tx1"/>
            </w14:solidFill>
          </w14:textFill>
        </w:rPr>
      </w:pPr>
      <w:bookmarkStart w:id="2629" w:name="_Toc26052"/>
      <w:bookmarkStart w:id="2630" w:name="_Toc17365"/>
      <w:bookmarkStart w:id="2631" w:name="_Toc27518"/>
      <w:r>
        <w:rPr>
          <w:rFonts w:hint="eastAsia"/>
          <w:color w:val="000000" w:themeColor="text1"/>
          <w14:textFill>
            <w14:solidFill>
              <w14:schemeClr w14:val="tx1"/>
            </w14:solidFill>
          </w14:textFill>
        </w:rPr>
        <w:t>2、电气火灾及其触发因素</w:t>
      </w:r>
      <w:bookmarkEnd w:id="2629"/>
      <w:bookmarkEnd w:id="2630"/>
      <w:bookmarkEnd w:id="2631"/>
    </w:p>
    <w:p w14:paraId="52F6F94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电气火灾是较为常见的事故。引起电气火灾的原因主要有以下几个方面:</w:t>
      </w:r>
    </w:p>
    <w:p w14:paraId="67C4F320">
      <w:pPr>
        <w:ind w:firstLine="560"/>
        <w:rPr>
          <w:color w:val="000000" w:themeColor="text1"/>
          <w14:textFill>
            <w14:solidFill>
              <w14:schemeClr w14:val="tx1"/>
            </w14:solidFill>
          </w14:textFill>
        </w:rPr>
      </w:pPr>
      <w:bookmarkStart w:id="2632" w:name="_Toc24261"/>
      <w:bookmarkStart w:id="2633" w:name="_Toc23661"/>
      <w:bookmarkStart w:id="2634" w:name="_Toc29924"/>
      <w:r>
        <w:rPr>
          <w:rFonts w:hint="eastAsia"/>
          <w:color w:val="000000" w:themeColor="text1"/>
          <w14:textFill>
            <w14:solidFill>
              <w14:schemeClr w14:val="tx1"/>
            </w14:solidFill>
          </w14:textFill>
        </w:rPr>
        <w:t>（1）短路</w:t>
      </w:r>
      <w:bookmarkEnd w:id="2632"/>
      <w:bookmarkEnd w:id="2633"/>
      <w:bookmarkEnd w:id="2634"/>
    </w:p>
    <w:p w14:paraId="09AFFB8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发生短路时电流可能超过正常时的数十倍，致使电线、电器温度急剧上升，远远超过允许值，而且常伴有短路电弧发生，易造成火灾。</w:t>
      </w:r>
    </w:p>
    <w:p w14:paraId="3F5128E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常见的短路事故触发因素有：</w:t>
      </w:r>
    </w:p>
    <w:p w14:paraId="279B355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①违章作业引发短路事故；</w:t>
      </w:r>
    </w:p>
    <w:p w14:paraId="0859CAA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②用闸刀直接起动或断开大容量负荷；</w:t>
      </w:r>
    </w:p>
    <w:p w14:paraId="77C1560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③带负荷拔熔断器引起相间电弧短路。</w:t>
      </w:r>
    </w:p>
    <w:p w14:paraId="4F0DCB5E">
      <w:pPr>
        <w:ind w:firstLine="560"/>
        <w:rPr>
          <w:color w:val="000000" w:themeColor="text1"/>
          <w14:textFill>
            <w14:solidFill>
              <w14:schemeClr w14:val="tx1"/>
            </w14:solidFill>
          </w14:textFill>
        </w:rPr>
      </w:pPr>
      <w:bookmarkStart w:id="2635" w:name="_Toc29035"/>
      <w:bookmarkStart w:id="2636" w:name="_Toc1905"/>
      <w:bookmarkStart w:id="2637" w:name="_Toc7348"/>
      <w:r>
        <w:rPr>
          <w:rFonts w:hint="eastAsia"/>
          <w:color w:val="000000" w:themeColor="text1"/>
          <w14:textFill>
            <w14:solidFill>
              <w14:schemeClr w14:val="tx1"/>
            </w14:solidFill>
          </w14:textFill>
        </w:rPr>
        <w:t>（2）过载</w:t>
      </w:r>
      <w:bookmarkEnd w:id="2635"/>
      <w:bookmarkEnd w:id="2636"/>
      <w:bookmarkEnd w:id="2637"/>
    </w:p>
    <w:p w14:paraId="5F3FAEF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线路、水泵、变压器超载运行导致绝缘材料过热起火。</w:t>
      </w:r>
    </w:p>
    <w:p w14:paraId="2928F195">
      <w:pPr>
        <w:ind w:firstLine="560"/>
        <w:rPr>
          <w:color w:val="000000" w:themeColor="text1"/>
          <w14:textFill>
            <w14:solidFill>
              <w14:schemeClr w14:val="tx1"/>
            </w14:solidFill>
          </w14:textFill>
        </w:rPr>
      </w:pPr>
      <w:bookmarkStart w:id="2638" w:name="_Toc27011"/>
      <w:bookmarkStart w:id="2639" w:name="_Toc23662"/>
      <w:bookmarkStart w:id="2640" w:name="_Toc14591"/>
      <w:r>
        <w:rPr>
          <w:rFonts w:hint="eastAsia"/>
          <w:color w:val="000000" w:themeColor="text1"/>
          <w14:textFill>
            <w14:solidFill>
              <w14:schemeClr w14:val="tx1"/>
            </w14:solidFill>
          </w14:textFill>
        </w:rPr>
        <w:t>（3）接触不良</w:t>
      </w:r>
      <w:bookmarkEnd w:id="2638"/>
      <w:bookmarkEnd w:id="2639"/>
      <w:bookmarkEnd w:id="2640"/>
    </w:p>
    <w:p w14:paraId="22C8BA8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导线接头连接松动或焊接缺陷使接触电阻过高，导致接头过热起火；接触不良的电线接头、开关接点、滑触线等还会迸发火花引燃周围易燃、易爆物质。</w:t>
      </w:r>
    </w:p>
    <w:p w14:paraId="09A84E8C">
      <w:pPr>
        <w:ind w:firstLine="560"/>
        <w:rPr>
          <w:color w:val="000000" w:themeColor="text1"/>
          <w14:textFill>
            <w14:solidFill>
              <w14:schemeClr w14:val="tx1"/>
            </w14:solidFill>
          </w14:textFill>
        </w:rPr>
      </w:pPr>
      <w:bookmarkStart w:id="2641" w:name="_Toc18535"/>
      <w:bookmarkStart w:id="2642" w:name="_Toc10996"/>
      <w:bookmarkStart w:id="2643" w:name="_Toc28835"/>
      <w:r>
        <w:rPr>
          <w:rFonts w:hint="eastAsia"/>
          <w:color w:val="000000" w:themeColor="text1"/>
          <w14:textFill>
            <w14:solidFill>
              <w14:schemeClr w14:val="tx1"/>
            </w14:solidFill>
          </w14:textFill>
        </w:rPr>
        <w:t>（4）散热不良</w:t>
      </w:r>
      <w:bookmarkEnd w:id="2641"/>
      <w:bookmarkEnd w:id="2642"/>
      <w:bookmarkEnd w:id="2643"/>
    </w:p>
    <w:p w14:paraId="18D9F64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变压器配备的如风叶、散热器等散热装置，如果发生风叶断裂、变压器油面下降均导致散热不良，使电器热量累积；电缆沟内电缆过密，散热不良亦会引起火灾。</w:t>
      </w:r>
    </w:p>
    <w:p w14:paraId="7CC8C139">
      <w:pPr>
        <w:ind w:firstLine="560"/>
        <w:rPr>
          <w:color w:val="000000" w:themeColor="text1"/>
          <w14:textFill>
            <w14:solidFill>
              <w14:schemeClr w14:val="tx1"/>
            </w14:solidFill>
          </w14:textFill>
        </w:rPr>
      </w:pPr>
      <w:bookmarkStart w:id="2644" w:name="_Toc31733"/>
      <w:bookmarkStart w:id="2645" w:name="_Toc29970"/>
      <w:bookmarkStart w:id="2646" w:name="_Toc20197"/>
      <w:r>
        <w:rPr>
          <w:rFonts w:hint="eastAsia"/>
          <w:color w:val="000000" w:themeColor="text1"/>
          <w14:textFill>
            <w14:solidFill>
              <w14:schemeClr w14:val="tx1"/>
            </w14:solidFill>
          </w14:textFill>
        </w:rPr>
        <w:t>3、供配电系统其他危险、有害因素</w:t>
      </w:r>
      <w:bookmarkEnd w:id="2644"/>
      <w:bookmarkEnd w:id="2645"/>
      <w:bookmarkEnd w:id="2646"/>
    </w:p>
    <w:p w14:paraId="3CA9AEF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根据本项目供配电方案，外部电源与相关变配电所运行方式发生改变时，如果误操作或保护误动，可能影响相关配电系统正常供电，造成相关装置或者大面积的停电事故，甚至可能引发其他恶性事故的发生。</w:t>
      </w:r>
    </w:p>
    <w:p w14:paraId="54A99B3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在供配电系统中，变压器是电网传输电能的枢纽，是电网运行的主要设备，其安全可靠性是保障供电系统可靠运行的必备条件。因此，变压器故障是直接影响供配电系统安全、可靠运行的危险、有害因素。</w:t>
      </w:r>
    </w:p>
    <w:p w14:paraId="09B5296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在本项目的供配电方案建设内容中的变压器。变压器可能发生的故障及其原因分析如下：</w:t>
      </w:r>
    </w:p>
    <w:p w14:paraId="0602681B">
      <w:pPr>
        <w:ind w:firstLine="560"/>
        <w:rPr>
          <w:color w:val="000000" w:themeColor="text1"/>
          <w14:textFill>
            <w14:solidFill>
              <w14:schemeClr w14:val="tx1"/>
            </w14:solidFill>
          </w14:textFill>
        </w:rPr>
      </w:pPr>
      <w:bookmarkStart w:id="2647" w:name="_Toc31353"/>
      <w:bookmarkStart w:id="2648" w:name="_Toc25125"/>
      <w:bookmarkStart w:id="2649" w:name="_Toc13870"/>
      <w:r>
        <w:rPr>
          <w:rFonts w:hint="eastAsia"/>
          <w:color w:val="000000" w:themeColor="text1"/>
          <w14:textFill>
            <w14:solidFill>
              <w14:schemeClr w14:val="tx1"/>
            </w14:solidFill>
          </w14:textFill>
        </w:rPr>
        <w:t>（1）变压器内部故障</w:t>
      </w:r>
      <w:bookmarkEnd w:id="2647"/>
      <w:bookmarkEnd w:id="2648"/>
      <w:bookmarkEnd w:id="2649"/>
    </w:p>
    <w:p w14:paraId="256087D0">
      <w:pPr>
        <w:ind w:firstLine="560"/>
        <w:rPr>
          <w:color w:val="000000" w:themeColor="text1"/>
          <w14:textFill>
            <w14:solidFill>
              <w14:schemeClr w14:val="tx1"/>
            </w14:solidFill>
          </w14:textFill>
        </w:rPr>
      </w:pPr>
      <w:bookmarkStart w:id="2650" w:name="_Toc13439"/>
      <w:r>
        <w:rPr>
          <w:rFonts w:hint="eastAsia"/>
          <w:color w:val="000000" w:themeColor="text1"/>
          <w14:textFill>
            <w14:solidFill>
              <w14:schemeClr w14:val="tx1"/>
            </w14:solidFill>
          </w14:textFill>
        </w:rPr>
        <w:t>①铁芯故障</w:t>
      </w:r>
      <w:bookmarkEnd w:id="2650"/>
    </w:p>
    <w:p w14:paraId="0346EC4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铁芯故障主要包括：铁芯多点接地，穿心螺杆与铁芯间的绝缘损坏，铁芯表面局部被金属物件短接，以及硅钢片表面的绝缘漆由于运行时间过长，导致绝缘老化破损。这些故障都会造成片面连间连接、形成环流引起局部发热，甚至引起铁芯局部熔毁。当铁芯出现接地连片断裂故障时，铁芯处于带电绕组对地的高压电场中，由于电容耦合，使铁芯具有一定的电位导致铁芯对接地件放电，造成局部过热。</w:t>
      </w:r>
    </w:p>
    <w:p w14:paraId="52E38F6D">
      <w:pPr>
        <w:ind w:firstLine="560"/>
        <w:rPr>
          <w:color w:val="000000" w:themeColor="text1"/>
          <w14:textFill>
            <w14:solidFill>
              <w14:schemeClr w14:val="tx1"/>
            </w14:solidFill>
          </w14:textFill>
        </w:rPr>
      </w:pPr>
      <w:bookmarkStart w:id="2651" w:name="_Toc15889"/>
      <w:r>
        <w:rPr>
          <w:rFonts w:hint="eastAsia"/>
          <w:color w:val="000000" w:themeColor="text1"/>
          <w14:textFill>
            <w14:solidFill>
              <w14:schemeClr w14:val="tx1"/>
            </w14:solidFill>
          </w14:textFill>
        </w:rPr>
        <w:t>②油质劣化，油量过少</w:t>
      </w:r>
      <w:bookmarkEnd w:id="2651"/>
    </w:p>
    <w:p w14:paraId="7F02197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变压器油在长期运行过程中受温度、空气、电场影响，固体绝缘材料及铜铁受其催化作用，易造成变压器油氧化，在变压器油中生成胶质，沥青质及其他不溶于水的物质，造成绝缘强度降低。此外高低压套管的橡胶密封件的破损，呼吸器内的吸湿剂的饱和以及油箱材质不良，有砂眼、法兰边变形等造成水分混入油中影响变压器油的浓度，降低到一定值时就会发生短路，同时由于漏油造成油面下降，油面下降到一定程度时会造成绕阻短路故障。</w:t>
      </w:r>
    </w:p>
    <w:p w14:paraId="0E971AE3">
      <w:pPr>
        <w:ind w:firstLine="560"/>
        <w:rPr>
          <w:color w:val="000000" w:themeColor="text1"/>
          <w14:textFill>
            <w14:solidFill>
              <w14:schemeClr w14:val="tx1"/>
            </w14:solidFill>
          </w14:textFill>
        </w:rPr>
      </w:pPr>
      <w:bookmarkStart w:id="2652" w:name="_Toc30588"/>
      <w:r>
        <w:rPr>
          <w:rFonts w:hint="eastAsia"/>
          <w:color w:val="000000" w:themeColor="text1"/>
          <w14:textFill>
            <w14:solidFill>
              <w14:schemeClr w14:val="tx1"/>
            </w14:solidFill>
          </w14:textFill>
        </w:rPr>
        <w:t>③绕阻故障</w:t>
      </w:r>
      <w:bookmarkEnd w:id="2652"/>
    </w:p>
    <w:p w14:paraId="55EF1C4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变压器在长期过载运行的情况下，由于绕阻发热使绝缘逐渐老化，容易造成匝间短路，相间短路或对地短路故障的发生。当绕阻焊接不良，在大电流过热及内部匝间短路引起的电动力作用下，会引起绕阻引线断裂造成事故扩大。</w:t>
      </w:r>
    </w:p>
    <w:p w14:paraId="511DABC2">
      <w:pPr>
        <w:ind w:firstLine="560"/>
        <w:rPr>
          <w:color w:val="000000" w:themeColor="text1"/>
          <w14:textFill>
            <w14:solidFill>
              <w14:schemeClr w14:val="tx1"/>
            </w14:solidFill>
          </w14:textFill>
        </w:rPr>
      </w:pPr>
      <w:bookmarkStart w:id="2653" w:name="_Toc24009"/>
      <w:r>
        <w:rPr>
          <w:rFonts w:hint="eastAsia"/>
          <w:color w:val="000000" w:themeColor="text1"/>
          <w14:textFill>
            <w14:solidFill>
              <w14:schemeClr w14:val="tx1"/>
            </w14:solidFill>
          </w14:textFill>
        </w:rPr>
        <w:t>④分接开关故障</w:t>
      </w:r>
      <w:bookmarkEnd w:id="2653"/>
    </w:p>
    <w:p w14:paraId="7A531FF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常见的有接触不良引起发热烧坏分接开关、相间触头放电或各触头放电。引起上述故障的原因是：连接螺丝松动，制造工艺不良，弹簧压力不足及触头表面赃物氧化，使触头接触电阻增大，通过大电流时发热烧坏。分接头绝缘受潮造成绝缘不良，在过电压下会引起击穿。</w:t>
      </w:r>
    </w:p>
    <w:p w14:paraId="61FF5067">
      <w:pPr>
        <w:ind w:firstLine="560"/>
        <w:rPr>
          <w:color w:val="000000" w:themeColor="text1"/>
          <w14:textFill>
            <w14:solidFill>
              <w14:schemeClr w14:val="tx1"/>
            </w14:solidFill>
          </w14:textFill>
        </w:rPr>
      </w:pPr>
      <w:bookmarkStart w:id="2654" w:name="_Toc6252"/>
      <w:bookmarkStart w:id="2655" w:name="_Toc25343"/>
      <w:bookmarkStart w:id="2656" w:name="_Toc29799"/>
      <w:r>
        <w:rPr>
          <w:rFonts w:hint="eastAsia"/>
          <w:color w:val="000000" w:themeColor="text1"/>
          <w14:textFill>
            <w14:solidFill>
              <w14:schemeClr w14:val="tx1"/>
            </w14:solidFill>
          </w14:textFill>
        </w:rPr>
        <w:t>（2）变压器外部原因</w:t>
      </w:r>
      <w:bookmarkEnd w:id="2654"/>
      <w:bookmarkEnd w:id="2655"/>
      <w:bookmarkEnd w:id="2656"/>
    </w:p>
    <w:p w14:paraId="1ABC6672">
      <w:pPr>
        <w:ind w:firstLine="560"/>
        <w:rPr>
          <w:color w:val="000000" w:themeColor="text1"/>
          <w14:textFill>
            <w14:solidFill>
              <w14:schemeClr w14:val="tx1"/>
            </w14:solidFill>
          </w14:textFill>
        </w:rPr>
      </w:pPr>
      <w:bookmarkStart w:id="2657" w:name="_Toc4206"/>
      <w:r>
        <w:rPr>
          <w:rFonts w:hint="eastAsia"/>
          <w:color w:val="000000" w:themeColor="text1"/>
          <w14:textFill>
            <w14:solidFill>
              <w14:schemeClr w14:val="tx1"/>
            </w14:solidFill>
          </w14:textFill>
        </w:rPr>
        <w:t>①高低压引线接触不良</w:t>
      </w:r>
      <w:bookmarkEnd w:id="2657"/>
    </w:p>
    <w:p w14:paraId="48B2F3E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如果装配变压器时引线没有紧固，或长期运行时，受震动及热胀冷缩的影响，造成螺栓松动而发生接触不良，引起局部过热，会造成导电杆发热，甚至烧熔。如果没有及时发现，所产生的高温电弧会使内部引线烧断，同时使绝缘油剧烈分解造成事故。所以应定期检查引线接触情况，用测温仪测量接点温度。</w:t>
      </w:r>
    </w:p>
    <w:p w14:paraId="14432874">
      <w:pPr>
        <w:spacing w:line="520" w:lineRule="atLeast"/>
        <w:ind w:firstLine="560"/>
        <w:rPr>
          <w:color w:val="000000" w:themeColor="text1"/>
          <w14:textFill>
            <w14:solidFill>
              <w14:schemeClr w14:val="tx1"/>
            </w14:solidFill>
          </w14:textFill>
        </w:rPr>
      </w:pPr>
      <w:bookmarkStart w:id="2658" w:name="_Toc10082"/>
      <w:r>
        <w:rPr>
          <w:rFonts w:hint="eastAsia"/>
          <w:color w:val="000000" w:themeColor="text1"/>
          <w14:textFill>
            <w14:solidFill>
              <w14:schemeClr w14:val="tx1"/>
            </w14:solidFill>
          </w14:textFill>
        </w:rPr>
        <w:t>②过电压的影响</w:t>
      </w:r>
      <w:bookmarkEnd w:id="2658"/>
    </w:p>
    <w:p w14:paraId="6F73AD93">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变压器的高压侧进线，大多由架空线引来，很容易遭到雷击。此外，由于断路器的正常操作、系统设备故障或其他原因使系统参数变化，引起电网内部电磁能量的转化，出现异常电压升高，会危及变压器内部绝缘，甚至烧毁变压器。</w:t>
      </w:r>
    </w:p>
    <w:p w14:paraId="43D6CC86">
      <w:pPr>
        <w:spacing w:line="520" w:lineRule="atLeast"/>
        <w:ind w:firstLine="560"/>
        <w:rPr>
          <w:color w:val="000000" w:themeColor="text1"/>
          <w14:textFill>
            <w14:solidFill>
              <w14:schemeClr w14:val="tx1"/>
            </w14:solidFill>
          </w14:textFill>
        </w:rPr>
      </w:pPr>
      <w:bookmarkStart w:id="2659" w:name="_Toc16735"/>
      <w:r>
        <w:rPr>
          <w:rFonts w:hint="eastAsia"/>
          <w:color w:val="000000" w:themeColor="text1"/>
          <w14:textFill>
            <w14:solidFill>
              <w14:schemeClr w14:val="tx1"/>
            </w14:solidFill>
          </w14:textFill>
        </w:rPr>
        <w:t>③接地不符合要求</w:t>
      </w:r>
      <w:bookmarkEnd w:id="2659"/>
    </w:p>
    <w:p w14:paraId="22710EB8">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变压器一般低压侧采用中性点接地方式，当负载不平衡时，中性点会流过较大电流，如果接地线连接不好，接触电阻过大，会被烧断，导致中性点电位位移，危及用户电气设备安全。因此应经常检查接地线、点是否完整和牢固，并定期测试接地电阻。容量在100kVA以上的变压器应不大于4Ω。当接地电阻超过标准时可采用增加接地体或使用降阻剂的方法来降低接地电阻。</w:t>
      </w:r>
    </w:p>
    <w:p w14:paraId="664E5ABE">
      <w:pPr>
        <w:spacing w:line="520" w:lineRule="atLeast"/>
        <w:ind w:firstLine="560"/>
        <w:rPr>
          <w:color w:val="000000" w:themeColor="text1"/>
          <w14:textFill>
            <w14:solidFill>
              <w14:schemeClr w14:val="tx1"/>
            </w14:solidFill>
          </w14:textFill>
        </w:rPr>
      </w:pPr>
      <w:bookmarkStart w:id="2660" w:name="_Toc14090"/>
      <w:r>
        <w:rPr>
          <w:rFonts w:hint="eastAsia"/>
          <w:color w:val="000000" w:themeColor="text1"/>
          <w14:textFill>
            <w14:solidFill>
              <w14:schemeClr w14:val="tx1"/>
            </w14:solidFill>
          </w14:textFill>
        </w:rPr>
        <w:t>④负载短路或接地</w:t>
      </w:r>
      <w:bookmarkEnd w:id="2660"/>
    </w:p>
    <w:p w14:paraId="66FC2A2D">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当变压器发生短路或接地时，变压器承受相当大的短路电流，内部巨大的电动力会使绕组变形及油质劣化。</w:t>
      </w:r>
    </w:p>
    <w:p w14:paraId="72EAE38D">
      <w:pPr>
        <w:spacing w:line="520" w:lineRule="atLeast"/>
        <w:ind w:firstLine="560"/>
        <w:rPr>
          <w:color w:val="000000" w:themeColor="text1"/>
          <w14:textFill>
            <w14:solidFill>
              <w14:schemeClr w14:val="tx1"/>
            </w14:solidFill>
          </w14:textFill>
        </w:rPr>
      </w:pPr>
      <w:bookmarkStart w:id="2661" w:name="_Toc10903"/>
      <w:bookmarkStart w:id="2662" w:name="_Toc7613"/>
      <w:bookmarkStart w:id="2663" w:name="_Toc11865"/>
      <w:r>
        <w:rPr>
          <w:rFonts w:hint="eastAsia"/>
          <w:color w:val="000000" w:themeColor="text1"/>
          <w14:textFill>
            <w14:solidFill>
              <w14:schemeClr w14:val="tx1"/>
            </w14:solidFill>
          </w14:textFill>
        </w:rPr>
        <w:t>4、配电室危险、有害因素</w:t>
      </w:r>
      <w:bookmarkEnd w:id="2661"/>
      <w:bookmarkEnd w:id="2662"/>
      <w:bookmarkEnd w:id="2663"/>
    </w:p>
    <w:p w14:paraId="382884F2">
      <w:pPr>
        <w:spacing w:line="520" w:lineRule="atLeast"/>
        <w:ind w:firstLine="560"/>
        <w:rPr>
          <w:color w:val="000000" w:themeColor="text1"/>
          <w14:textFill>
            <w14:solidFill>
              <w14:schemeClr w14:val="tx1"/>
            </w14:solidFill>
          </w14:textFill>
        </w:rPr>
      </w:pPr>
      <w:bookmarkStart w:id="2664" w:name="_Toc13305"/>
      <w:bookmarkStart w:id="2665" w:name="_Toc11596"/>
      <w:bookmarkStart w:id="2666" w:name="_Toc10620"/>
      <w:r>
        <w:rPr>
          <w:rFonts w:hint="eastAsia"/>
          <w:color w:val="000000" w:themeColor="text1"/>
          <w14:textFill>
            <w14:solidFill>
              <w14:schemeClr w14:val="tx1"/>
            </w14:solidFill>
          </w14:textFill>
        </w:rPr>
        <w:t>（1）变配电柜接地、接零效果不良，可能导致触电事故。</w:t>
      </w:r>
      <w:bookmarkEnd w:id="2664"/>
      <w:bookmarkEnd w:id="2665"/>
      <w:bookmarkEnd w:id="2666"/>
    </w:p>
    <w:p w14:paraId="058100F9">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（2）电气绝缘损坏、线路裸露、线路的电线质量、安装质量及管理有缺陷，可能导致触电事故。</w:t>
      </w:r>
    </w:p>
    <w:p w14:paraId="410F07C1">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（3）防护用品及电工工具失效或未被正确使用，可能导致触电事故。</w:t>
      </w:r>
    </w:p>
    <w:p w14:paraId="78A952E6">
      <w:pPr>
        <w:spacing w:line="520" w:lineRule="atLeast"/>
        <w:ind w:firstLine="560"/>
        <w:rPr>
          <w:color w:val="000000" w:themeColor="text1"/>
          <w14:textFill>
            <w14:solidFill>
              <w14:schemeClr w14:val="tx1"/>
            </w14:solidFill>
          </w14:textFill>
        </w:rPr>
      </w:pPr>
      <w:bookmarkStart w:id="2667" w:name="_Toc6222"/>
      <w:bookmarkStart w:id="2668" w:name="_Toc1700"/>
      <w:bookmarkStart w:id="2669" w:name="_Toc7343"/>
      <w:r>
        <w:rPr>
          <w:rFonts w:hint="eastAsia"/>
          <w:color w:val="000000" w:themeColor="text1"/>
          <w14:textFill>
            <w14:solidFill>
              <w14:schemeClr w14:val="tx1"/>
            </w14:solidFill>
          </w14:textFill>
        </w:rPr>
        <w:t>（4）防雷措施不完善，遇雷雨天气发生击雷电火灾事故。</w:t>
      </w:r>
      <w:bookmarkEnd w:id="2667"/>
      <w:bookmarkEnd w:id="2668"/>
      <w:bookmarkEnd w:id="2669"/>
    </w:p>
    <w:p w14:paraId="12DE2EF4">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（5）配电室无防止小动物进入挡板，小动物攀爬、嗜咬后，线路短路，发生电气火灾事故。</w:t>
      </w:r>
    </w:p>
    <w:p w14:paraId="70BC019B">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（6）配电房内照明较差，可能导致操作人员碰撞、滑跌、绊摔等，甚至引发更严重的触电事故。</w:t>
      </w:r>
    </w:p>
    <w:p w14:paraId="779695A2">
      <w:pPr>
        <w:spacing w:line="520" w:lineRule="atLeas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（7）配电房通风不畅，配电柜散热不及时，可能发生电气火灾事故。</w:t>
      </w:r>
    </w:p>
    <w:p w14:paraId="66F771A5">
      <w:pPr>
        <w:spacing w:line="520" w:lineRule="atLeast"/>
        <w:ind w:firstLine="560"/>
        <w:rPr>
          <w:color w:val="000000" w:themeColor="text1"/>
          <w14:textFill>
            <w14:solidFill>
              <w14:schemeClr w14:val="tx1"/>
            </w14:solidFill>
          </w14:textFill>
        </w:rPr>
      </w:pPr>
      <w:bookmarkStart w:id="2670" w:name="_Toc12639"/>
      <w:bookmarkStart w:id="2671" w:name="_Toc24753"/>
      <w:bookmarkStart w:id="2672" w:name="_Toc25002"/>
      <w:r>
        <w:rPr>
          <w:rFonts w:hint="eastAsia"/>
          <w:color w:val="000000" w:themeColor="text1"/>
          <w14:textFill>
            <w14:solidFill>
              <w14:schemeClr w14:val="tx1"/>
            </w14:solidFill>
          </w14:textFill>
        </w:rPr>
        <w:t>（8）配电柜、变压器周围堆放可燃物，引发火灾事故。</w:t>
      </w:r>
      <w:bookmarkEnd w:id="2670"/>
      <w:bookmarkEnd w:id="2671"/>
      <w:bookmarkEnd w:id="2672"/>
    </w:p>
    <w:bookmarkEnd w:id="2605"/>
    <w:bookmarkEnd w:id="2606"/>
    <w:bookmarkEnd w:id="2607"/>
    <w:bookmarkEnd w:id="2608"/>
    <w:bookmarkEnd w:id="2609"/>
    <w:bookmarkEnd w:id="2610"/>
    <w:bookmarkEnd w:id="2611"/>
    <w:bookmarkEnd w:id="2612"/>
    <w:p w14:paraId="3DCFA248">
      <w:pPr>
        <w:pStyle w:val="5"/>
        <w:spacing w:after="120"/>
        <w:rPr>
          <w:color w:val="000000" w:themeColor="text1"/>
          <w14:textFill>
            <w14:solidFill>
              <w14:schemeClr w14:val="tx1"/>
            </w14:solidFill>
          </w14:textFill>
        </w:rPr>
      </w:pPr>
      <w:bookmarkStart w:id="2673" w:name="_Toc10285"/>
      <w:bookmarkStart w:id="2674" w:name="_Toc30202"/>
      <w:bookmarkStart w:id="2675" w:name="_Toc14617"/>
      <w:bookmarkStart w:id="2676" w:name="_Toc29141"/>
      <w:bookmarkStart w:id="2677" w:name="_Toc215070286"/>
      <w:bookmarkStart w:id="2678" w:name="_Toc3653"/>
      <w:bookmarkStart w:id="2679" w:name="_Toc4639"/>
      <w:bookmarkStart w:id="2680" w:name="_Toc8220"/>
      <w:bookmarkStart w:id="2681" w:name="_Toc24605"/>
      <w:bookmarkStart w:id="2682" w:name="_Toc15216"/>
      <w:bookmarkStart w:id="2683" w:name="_Toc452"/>
      <w:r>
        <w:rPr>
          <w:rFonts w:hint="eastAsia"/>
          <w:color w:val="000000" w:themeColor="text1"/>
          <w14:textFill>
            <w14:solidFill>
              <w14:schemeClr w14:val="tx1"/>
            </w14:solidFill>
          </w14:textFill>
        </w:rPr>
        <w:t>3.6.2安全检查表</w:t>
      </w:r>
      <w:bookmarkEnd w:id="2673"/>
      <w:bookmarkEnd w:id="2674"/>
      <w:bookmarkEnd w:id="2675"/>
      <w:bookmarkEnd w:id="2676"/>
      <w:bookmarkEnd w:id="2677"/>
      <w:bookmarkEnd w:id="2678"/>
      <w:bookmarkEnd w:id="2679"/>
      <w:bookmarkEnd w:id="2680"/>
      <w:bookmarkEnd w:id="2681"/>
      <w:bookmarkEnd w:id="2682"/>
      <w:bookmarkEnd w:id="2683"/>
      <w:bookmarkStart w:id="2684" w:name="_Toc2377"/>
      <w:bookmarkStart w:id="2685" w:name="_Toc26455"/>
      <w:bookmarkStart w:id="2686" w:name="_Toc392680768"/>
      <w:bookmarkStart w:id="2687" w:name="_Toc13118"/>
      <w:bookmarkStart w:id="2688" w:name="_Toc604"/>
      <w:bookmarkStart w:id="2689" w:name="_Toc26376"/>
    </w:p>
    <w:p w14:paraId="619167BD">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表3.6-1供电设施安全检查表</w:t>
      </w:r>
    </w:p>
    <w:tbl>
      <w:tblPr>
        <w:tblStyle w:val="44"/>
        <w:tblW w:w="0" w:type="auto"/>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4859"/>
        <w:gridCol w:w="1650"/>
        <w:gridCol w:w="1836"/>
        <w:gridCol w:w="782"/>
      </w:tblGrid>
      <w:tr w14:paraId="47CF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64" w:type="dxa"/>
            <w:vAlign w:val="center"/>
          </w:tcPr>
          <w:p w14:paraId="2245B7B8">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4859" w:type="dxa"/>
            <w:vAlign w:val="center"/>
          </w:tcPr>
          <w:p w14:paraId="67A5E38F">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检查内容</w:t>
            </w:r>
          </w:p>
        </w:tc>
        <w:tc>
          <w:tcPr>
            <w:tcW w:w="1650" w:type="dxa"/>
            <w:vAlign w:val="center"/>
          </w:tcPr>
          <w:p w14:paraId="6217DD5B">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标准依据</w:t>
            </w:r>
          </w:p>
        </w:tc>
        <w:tc>
          <w:tcPr>
            <w:tcW w:w="1836" w:type="dxa"/>
            <w:vAlign w:val="center"/>
          </w:tcPr>
          <w:p w14:paraId="4893E84A">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782" w:type="dxa"/>
            <w:vAlign w:val="center"/>
          </w:tcPr>
          <w:p w14:paraId="6D433EDD">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检查结果</w:t>
            </w:r>
          </w:p>
        </w:tc>
      </w:tr>
      <w:tr w14:paraId="0C9B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0211962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4859" w:type="dxa"/>
            <w:vAlign w:val="center"/>
          </w:tcPr>
          <w:p w14:paraId="77BA8F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采矿设备的供电电缆，应保持绝缘良好，不应与金属材料和其他导电材料接触，横过道路、铁路时应采取防护措施。</w:t>
            </w:r>
          </w:p>
        </w:tc>
        <w:tc>
          <w:tcPr>
            <w:tcW w:w="1650" w:type="dxa"/>
            <w:vAlign w:val="center"/>
          </w:tcPr>
          <w:p w14:paraId="4B2D08F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w:t>
            </w:r>
          </w:p>
          <w:p w14:paraId="19BED99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GB 16423 -2020</w:t>
            </w:r>
          </w:p>
          <w:p w14:paraId="49AEE74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第5.1.9条</w:t>
            </w:r>
          </w:p>
        </w:tc>
        <w:tc>
          <w:tcPr>
            <w:tcW w:w="1836" w:type="dxa"/>
            <w:vAlign w:val="center"/>
          </w:tcPr>
          <w:p w14:paraId="55EB4B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采掘设备为风压驱动。</w:t>
            </w:r>
          </w:p>
        </w:tc>
        <w:tc>
          <w:tcPr>
            <w:tcW w:w="782" w:type="dxa"/>
            <w:vAlign w:val="center"/>
          </w:tcPr>
          <w:p w14:paraId="3EC4527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613C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49F9E87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4859" w:type="dxa"/>
            <w:vAlign w:val="center"/>
          </w:tcPr>
          <w:p w14:paraId="13592C8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采场运输道路以及供电、通信线路均应设置在稳定区域内。</w:t>
            </w:r>
          </w:p>
        </w:tc>
        <w:tc>
          <w:tcPr>
            <w:tcW w:w="1650" w:type="dxa"/>
            <w:vAlign w:val="center"/>
          </w:tcPr>
          <w:p w14:paraId="5F0DE91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33B4247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第5.2.1.5条</w:t>
            </w:r>
          </w:p>
        </w:tc>
        <w:tc>
          <w:tcPr>
            <w:tcW w:w="1836" w:type="dxa"/>
            <w:vAlign w:val="center"/>
          </w:tcPr>
          <w:p w14:paraId="20E7046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供电、通信线路均设置在稳定区域内。</w:t>
            </w:r>
          </w:p>
        </w:tc>
        <w:tc>
          <w:tcPr>
            <w:tcW w:w="782" w:type="dxa"/>
            <w:vAlign w:val="center"/>
          </w:tcPr>
          <w:p w14:paraId="599FC45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1D8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6146C6E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4859" w:type="dxa"/>
            <w:vAlign w:val="center"/>
          </w:tcPr>
          <w:p w14:paraId="7349BC4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变电所设置应符合下列规定：设置在爆破警戒线以外；距离准轨铁路不小于40m；远离污秽及火灾、爆炸危险环境和噪声、振动环境；避开断层、滑坡、沉陷区等不良地质地带以及受雪崩影响地带；地面标高应高于当地最高洪水位0.5m以上。</w:t>
            </w:r>
          </w:p>
        </w:tc>
        <w:tc>
          <w:tcPr>
            <w:tcW w:w="1650" w:type="dxa"/>
            <w:vAlign w:val="center"/>
          </w:tcPr>
          <w:p w14:paraId="6EC99FC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48036BF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第5.6.1.1条</w:t>
            </w:r>
          </w:p>
        </w:tc>
        <w:tc>
          <w:tcPr>
            <w:tcW w:w="1836" w:type="dxa"/>
            <w:vAlign w:val="center"/>
          </w:tcPr>
          <w:p w14:paraId="4652828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主变电设施设置在安全稳定区域。</w:t>
            </w:r>
          </w:p>
        </w:tc>
        <w:tc>
          <w:tcPr>
            <w:tcW w:w="782" w:type="dxa"/>
            <w:vAlign w:val="center"/>
          </w:tcPr>
          <w:p w14:paraId="6666690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B0A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464" w:type="dxa"/>
            <w:vAlign w:val="center"/>
          </w:tcPr>
          <w:p w14:paraId="5F01B22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4859" w:type="dxa"/>
            <w:vAlign w:val="center"/>
          </w:tcPr>
          <w:p w14:paraId="5F1CACC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主变电所主变压器设置应遵守以下规定：（1）矿山一级负荷的两个电源均需经主变压器变压时，应采用2台变压器；（2）主变压器为2台及以上时，若其中1台停止运行，其余变压器应至少保证一级负荷的供电。</w:t>
            </w:r>
          </w:p>
        </w:tc>
        <w:tc>
          <w:tcPr>
            <w:tcW w:w="1650" w:type="dxa"/>
            <w:vAlign w:val="center"/>
          </w:tcPr>
          <w:p w14:paraId="6A1D55F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0278A2E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第5.6.1.2条</w:t>
            </w:r>
          </w:p>
        </w:tc>
        <w:tc>
          <w:tcPr>
            <w:tcW w:w="1836" w:type="dxa"/>
            <w:vAlign w:val="center"/>
          </w:tcPr>
          <w:p w14:paraId="690D4EA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矿山用电为三级负荷。</w:t>
            </w:r>
          </w:p>
        </w:tc>
        <w:tc>
          <w:tcPr>
            <w:tcW w:w="782" w:type="dxa"/>
            <w:vAlign w:val="center"/>
          </w:tcPr>
          <w:p w14:paraId="3E8F505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2D6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04D97F8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4859" w:type="dxa"/>
            <w:vAlign w:val="center"/>
          </w:tcPr>
          <w:p w14:paraId="26FDEE8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采矿场和排土场的手持式电气设备的电压不大于220V。</w:t>
            </w:r>
          </w:p>
        </w:tc>
        <w:tc>
          <w:tcPr>
            <w:tcW w:w="1650" w:type="dxa"/>
            <w:vAlign w:val="center"/>
          </w:tcPr>
          <w:p w14:paraId="76B4896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070754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第5.6.1.3条</w:t>
            </w:r>
          </w:p>
        </w:tc>
        <w:tc>
          <w:tcPr>
            <w:tcW w:w="1836" w:type="dxa"/>
            <w:vAlign w:val="center"/>
          </w:tcPr>
          <w:p w14:paraId="3F3C2C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采场、排土场不使用手持式电气设备。</w:t>
            </w:r>
          </w:p>
        </w:tc>
        <w:tc>
          <w:tcPr>
            <w:tcW w:w="782" w:type="dxa"/>
            <w:vAlign w:val="center"/>
          </w:tcPr>
          <w:p w14:paraId="0289FD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62DF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7EB5E6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4859" w:type="dxa"/>
            <w:vAlign w:val="center"/>
          </w:tcPr>
          <w:p w14:paraId="2358FAF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户外安装的电气设备应采用户外型电气设备；室外配电装置的裸露导体应有安全防护，当电气设备外绝缘体最低部位距地小于2500mm时，应装设固定遮栏；高压设备周围应设置围栏；露天或半露天变电所的变压器四周应设高度不低于1.8m的固定围栏或围墙。</w:t>
            </w:r>
          </w:p>
        </w:tc>
        <w:tc>
          <w:tcPr>
            <w:tcW w:w="1650" w:type="dxa"/>
            <w:vAlign w:val="center"/>
          </w:tcPr>
          <w:p w14:paraId="27A09DB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57D024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第5.6.1.7条</w:t>
            </w:r>
          </w:p>
        </w:tc>
        <w:tc>
          <w:tcPr>
            <w:tcW w:w="1836" w:type="dxa"/>
            <w:vAlign w:val="center"/>
          </w:tcPr>
          <w:p w14:paraId="6714BE8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未就室外配电装置设置有相应的防护设施，变压器周围设置固定围栏或围墙进行说明。</w:t>
            </w:r>
          </w:p>
        </w:tc>
        <w:tc>
          <w:tcPr>
            <w:tcW w:w="782" w:type="dxa"/>
            <w:vAlign w:val="center"/>
          </w:tcPr>
          <w:p w14:paraId="21DE293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0549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2637837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4859" w:type="dxa"/>
            <w:vAlign w:val="center"/>
          </w:tcPr>
          <w:p w14:paraId="3ABA28B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固定式高压架空电力线路不应架设在爆破作业区和未稳定的排土区内。</w:t>
            </w:r>
          </w:p>
        </w:tc>
        <w:tc>
          <w:tcPr>
            <w:tcW w:w="1650" w:type="dxa"/>
            <w:vAlign w:val="center"/>
          </w:tcPr>
          <w:p w14:paraId="12B9DEB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7FA0BB5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第5.6.1.8条</w:t>
            </w:r>
          </w:p>
        </w:tc>
        <w:tc>
          <w:tcPr>
            <w:tcW w:w="1836" w:type="dxa"/>
            <w:vAlign w:val="center"/>
          </w:tcPr>
          <w:p w14:paraId="5440A5D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高压架空电力线路位于矿山爆破警戒线以外。</w:t>
            </w:r>
          </w:p>
        </w:tc>
        <w:tc>
          <w:tcPr>
            <w:tcW w:w="782" w:type="dxa"/>
            <w:vAlign w:val="center"/>
          </w:tcPr>
          <w:p w14:paraId="4F26244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310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7BBB33D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c>
          <w:tcPr>
            <w:tcW w:w="4859" w:type="dxa"/>
            <w:vAlign w:val="center"/>
          </w:tcPr>
          <w:p w14:paraId="57C03F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照明电压应符合下列规定：（1）固定式照明灯具：不高于220V；（2）行灯或移动式灯具：不高于36V，并经安全隔离变压器供电；（3）在金属容器内或者潮湿地点作业时，不高于12V。</w:t>
            </w:r>
          </w:p>
        </w:tc>
        <w:tc>
          <w:tcPr>
            <w:tcW w:w="1650" w:type="dxa"/>
            <w:vAlign w:val="center"/>
          </w:tcPr>
          <w:p w14:paraId="0558C7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《金属非金属矿山安全规程》（GB16423-2020）第5.6.3.2条</w:t>
            </w:r>
          </w:p>
        </w:tc>
        <w:tc>
          <w:tcPr>
            <w:tcW w:w="1836" w:type="dxa"/>
            <w:vAlign w:val="center"/>
          </w:tcPr>
          <w:p w14:paraId="39EEA91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照明电压为220V。</w:t>
            </w:r>
          </w:p>
        </w:tc>
        <w:tc>
          <w:tcPr>
            <w:tcW w:w="782" w:type="dxa"/>
            <w:vAlign w:val="center"/>
          </w:tcPr>
          <w:p w14:paraId="13DA26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B48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1DB5FF7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9</w:t>
            </w:r>
          </w:p>
        </w:tc>
        <w:tc>
          <w:tcPr>
            <w:tcW w:w="4859" w:type="dxa"/>
            <w:vAlign w:val="center"/>
          </w:tcPr>
          <w:p w14:paraId="6A169FE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下列场所应设置应急照明：（1）变配电所；（2）监控室、生产调度室、通信站和网络中心；（3）矿山救护值班室。</w:t>
            </w:r>
          </w:p>
        </w:tc>
        <w:tc>
          <w:tcPr>
            <w:tcW w:w="1650" w:type="dxa"/>
            <w:vAlign w:val="center"/>
          </w:tcPr>
          <w:p w14:paraId="0101E7D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41280B6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第5.6.3.3条</w:t>
            </w:r>
          </w:p>
        </w:tc>
        <w:tc>
          <w:tcPr>
            <w:tcW w:w="1836" w:type="dxa"/>
            <w:vAlign w:val="center"/>
          </w:tcPr>
          <w:p w14:paraId="384A68A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未对配电室设置应急照明灯具进行说明。</w:t>
            </w:r>
          </w:p>
        </w:tc>
        <w:tc>
          <w:tcPr>
            <w:tcW w:w="782" w:type="dxa"/>
            <w:vAlign w:val="center"/>
          </w:tcPr>
          <w:p w14:paraId="199CB13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595B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1756D5C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10</w:t>
            </w:r>
          </w:p>
        </w:tc>
        <w:tc>
          <w:tcPr>
            <w:tcW w:w="4859" w:type="dxa"/>
            <w:vAlign w:val="center"/>
          </w:tcPr>
          <w:p w14:paraId="7953390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移动式非架空照明线路应采用橡套软电缆。</w:t>
            </w:r>
          </w:p>
        </w:tc>
        <w:tc>
          <w:tcPr>
            <w:tcW w:w="1650" w:type="dxa"/>
            <w:vAlign w:val="center"/>
          </w:tcPr>
          <w:p w14:paraId="08BEF12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2035F62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第5.6.3.4条</w:t>
            </w:r>
          </w:p>
        </w:tc>
        <w:tc>
          <w:tcPr>
            <w:tcW w:w="1836" w:type="dxa"/>
            <w:vAlign w:val="center"/>
          </w:tcPr>
          <w:p w14:paraId="5131FF1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移动式非架空照明线路采用橡套软电缆。</w:t>
            </w:r>
          </w:p>
        </w:tc>
        <w:tc>
          <w:tcPr>
            <w:tcW w:w="782" w:type="dxa"/>
            <w:vAlign w:val="center"/>
          </w:tcPr>
          <w:p w14:paraId="061471B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438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2685D2A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11</w:t>
            </w:r>
          </w:p>
        </w:tc>
        <w:tc>
          <w:tcPr>
            <w:tcW w:w="4859" w:type="dxa"/>
            <w:vAlign w:val="center"/>
          </w:tcPr>
          <w:p w14:paraId="76EFB8C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电气设备接地应符合下列规定：（1）高、低压电气设备，应设保护接地。（2）各接地线应并联。（3）架空线路无分支的部分，应每1km-2km接地1次。（4）架空接地线截面积不小于35mm²；接地线设在配电线路最下层导线的下方，与导线任一点地距离应不小于0.5m。（5）移动式电气设备应采用矿用橡套软电缆的专用接地芯线接地。（6）应对拖曳电缆的接地保护芯线进行电气连续性监测。（7）牵引变电所整流装置、直流配电装置的金属外壳均应接地。在接地电流流经直流接地继电器前的全部直流接地母线、支线应与地绝缘，且不应与交流设备的接地母线、建筑物的钢筋、金属构件等有金属连接。</w:t>
            </w:r>
          </w:p>
        </w:tc>
        <w:tc>
          <w:tcPr>
            <w:tcW w:w="1650" w:type="dxa"/>
            <w:vAlign w:val="center"/>
          </w:tcPr>
          <w:p w14:paraId="6591394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0F50656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第5.6.4.4条</w:t>
            </w:r>
          </w:p>
        </w:tc>
        <w:tc>
          <w:tcPr>
            <w:tcW w:w="1836" w:type="dxa"/>
            <w:vAlign w:val="center"/>
          </w:tcPr>
          <w:p w14:paraId="1A4E711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电气设备均按规范进行保护接地。</w:t>
            </w:r>
          </w:p>
        </w:tc>
        <w:tc>
          <w:tcPr>
            <w:tcW w:w="782" w:type="dxa"/>
            <w:vAlign w:val="center"/>
          </w:tcPr>
          <w:p w14:paraId="4E54547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88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52D00BA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12</w:t>
            </w:r>
          </w:p>
        </w:tc>
        <w:tc>
          <w:tcPr>
            <w:tcW w:w="4859" w:type="dxa"/>
            <w:vAlign w:val="center"/>
          </w:tcPr>
          <w:p w14:paraId="125AC7F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应建立电气作业安全制度，规定工作票、工作许可、监护、间断、转移和终结等工作程序。电气作业应遵守下列规定：（1）电气设备和线路的操作维修应由专职电气工作人员进行，严禁非电气专业人员从事电气作业。（2）不应单人作业。（3）未经许可不得操作、移动和恢复电气设备。（4）紧急情况下可以为切断电源而操作电气设备。（5）停电检修时，所有已切断的电源的开关把手均应加锁，并验电、放电、将线路接地，悬挂“有人作业，禁止送电”的警示牌。只有执行这项工作的人员才有权取下警示牌并送电。（6）不应带电检修或搬动任何带电设备和电缆、电线；检修或搬动时，应先切断电源，并将导体完全放电和接地。（7）移动设备司机离开时应切断设备电源。（8）接地电阻应每年测定1次，测定工作应在该地区最干燥、地下水位最低的季节进行。</w:t>
            </w:r>
          </w:p>
        </w:tc>
        <w:tc>
          <w:tcPr>
            <w:tcW w:w="1650" w:type="dxa"/>
            <w:vAlign w:val="center"/>
          </w:tcPr>
          <w:p w14:paraId="3FB5926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33BEBDE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第5.6.5.1条</w:t>
            </w:r>
          </w:p>
        </w:tc>
        <w:tc>
          <w:tcPr>
            <w:tcW w:w="1836" w:type="dxa"/>
            <w:vAlign w:val="center"/>
          </w:tcPr>
          <w:p w14:paraId="378744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5B60401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256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0382FBA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13</w:t>
            </w:r>
          </w:p>
        </w:tc>
        <w:tc>
          <w:tcPr>
            <w:tcW w:w="4859" w:type="dxa"/>
            <w:vAlign w:val="center"/>
          </w:tcPr>
          <w:p w14:paraId="52FD68F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变电所应符合下列规定：（1）有防雷、防火、防潮措施；（2）有防止小动物窜入的措施；（3）有防止电缆燃烧的措施；（4）所有电气设备正常不带电的金属外壳应有保护接地；（5）带电的导线、设备、变压器、油开关附近不应有易燃易爆物品；（6）电气设备周围应有保护措施并设置警示标志。</w:t>
            </w:r>
          </w:p>
        </w:tc>
        <w:tc>
          <w:tcPr>
            <w:tcW w:w="1650" w:type="dxa"/>
            <w:vAlign w:val="center"/>
          </w:tcPr>
          <w:p w14:paraId="5EB0E57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4360956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第5.6.5.2条</w:t>
            </w:r>
          </w:p>
        </w:tc>
        <w:tc>
          <w:tcPr>
            <w:tcW w:w="1836" w:type="dxa"/>
            <w:vAlign w:val="center"/>
          </w:tcPr>
          <w:p w14:paraId="6B502B3D">
            <w:pPr>
              <w:pStyle w:val="71"/>
              <w:rPr>
                <w:rFonts w:hint="default"/>
                <w:color w:val="000000" w:themeColor="text1"/>
                <w14:textFill>
                  <w14:solidFill>
                    <w14:schemeClr w14:val="tx1"/>
                  </w14:solidFill>
                </w14:textFill>
              </w:rPr>
            </w:pPr>
            <w:r>
              <w:rPr>
                <w:rFonts w:hint="default"/>
                <w:color w:val="000000" w:themeColor="text1"/>
                <w:szCs w:val="28"/>
                <w:lang w:val="zh-TW" w:eastAsia="zh-TW"/>
                <w14:textFill>
                  <w14:solidFill>
                    <w14:schemeClr w14:val="tx1"/>
                  </w14:solidFill>
                </w14:textFill>
              </w:rPr>
              <w:t>矿山电气设备、线路，设有可靠的防雷、接地装置，并定期进行全面检查和监测，不合格的应及时更换或修复。</w:t>
            </w:r>
          </w:p>
        </w:tc>
        <w:tc>
          <w:tcPr>
            <w:tcW w:w="782" w:type="dxa"/>
            <w:vAlign w:val="center"/>
          </w:tcPr>
          <w:p w14:paraId="7D97C46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0E3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1878445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14</w:t>
            </w:r>
          </w:p>
        </w:tc>
        <w:tc>
          <w:tcPr>
            <w:tcW w:w="4859" w:type="dxa"/>
            <w:vAlign w:val="center"/>
          </w:tcPr>
          <w:p w14:paraId="58E1610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电气室内的各种电气设备控制装置上应注明编号和用途，并有停送电标志；电气室入口应悬挂“非工作人员禁止入内”的标志牌，高压电气设备应悬挂“高压危险”的标志牌，并应有照明。</w:t>
            </w:r>
          </w:p>
        </w:tc>
        <w:tc>
          <w:tcPr>
            <w:tcW w:w="1650" w:type="dxa"/>
            <w:vAlign w:val="center"/>
          </w:tcPr>
          <w:p w14:paraId="5953B9E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7C0EEE5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第5.6.5.3条</w:t>
            </w:r>
          </w:p>
        </w:tc>
        <w:tc>
          <w:tcPr>
            <w:tcW w:w="1836" w:type="dxa"/>
            <w:vAlign w:val="center"/>
          </w:tcPr>
          <w:p w14:paraId="63DB48C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6E835F1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849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04AF1C5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15</w:t>
            </w:r>
          </w:p>
        </w:tc>
        <w:tc>
          <w:tcPr>
            <w:tcW w:w="4859" w:type="dxa"/>
            <w:vAlign w:val="center"/>
          </w:tcPr>
          <w:p w14:paraId="4CDF938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操作电气设备应遵守下列规定：</w:t>
            </w:r>
          </w:p>
          <w:p w14:paraId="382C161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非值班人员不应操作电气设备；（2）手持式电气设备应有可靠的绝缘；（3）操作高压电气设备回路的工作人员应佩戴绝缘手套、穿电工绝缘靴或站在绝缘台、绝缘垫上；（4）装卸高压熔断器应佩戴护目眼镜；（5）雨天操作户外高压设备应使用带防雨罩的绝缘棒；（6）不应使用金属梯子。</w:t>
            </w:r>
          </w:p>
        </w:tc>
        <w:tc>
          <w:tcPr>
            <w:tcW w:w="1650" w:type="dxa"/>
            <w:vAlign w:val="center"/>
          </w:tcPr>
          <w:p w14:paraId="0E5814A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641BEE4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第5.6.5.4条</w:t>
            </w:r>
          </w:p>
        </w:tc>
        <w:tc>
          <w:tcPr>
            <w:tcW w:w="1836" w:type="dxa"/>
            <w:vAlign w:val="center"/>
          </w:tcPr>
          <w:p w14:paraId="1E91F84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60EFBD9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4FC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65F47F3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w:t>
            </w:r>
          </w:p>
        </w:tc>
        <w:tc>
          <w:tcPr>
            <w:tcW w:w="4859" w:type="dxa"/>
            <w:vAlign w:val="center"/>
          </w:tcPr>
          <w:p w14:paraId="6FC038B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电气保护装置检验应遵守下列规定：</w:t>
            </w:r>
          </w:p>
          <w:p w14:paraId="3C4BB9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（1）使用前应进行检验；（2）在用设备每年至少检验1次；（3）漏电保护装置每半年至少检验1次；（4）线路变动、负荷调整时应进行检验；（5）应做好检验记录并存档。</w:t>
            </w:r>
          </w:p>
        </w:tc>
        <w:tc>
          <w:tcPr>
            <w:tcW w:w="1650" w:type="dxa"/>
            <w:vAlign w:val="center"/>
          </w:tcPr>
          <w:p w14:paraId="4017CC7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6C0D070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第5.6.5.5条</w:t>
            </w:r>
          </w:p>
        </w:tc>
        <w:tc>
          <w:tcPr>
            <w:tcW w:w="1836" w:type="dxa"/>
            <w:vAlign w:val="center"/>
          </w:tcPr>
          <w:p w14:paraId="4AD401D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4257950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51D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4DAB735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17</w:t>
            </w:r>
          </w:p>
        </w:tc>
        <w:tc>
          <w:tcPr>
            <w:tcW w:w="4859" w:type="dxa"/>
            <w:vAlign w:val="center"/>
          </w:tcPr>
          <w:p w14:paraId="45749D5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雷雨天气巡视室外高压设备应穿绝缘靴，不应使用伞具，不应靠近避雷装置。</w:t>
            </w:r>
          </w:p>
        </w:tc>
        <w:tc>
          <w:tcPr>
            <w:tcW w:w="1650" w:type="dxa"/>
            <w:vAlign w:val="center"/>
          </w:tcPr>
          <w:p w14:paraId="25C49FB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0330278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第5.6.5.6条</w:t>
            </w:r>
          </w:p>
        </w:tc>
        <w:tc>
          <w:tcPr>
            <w:tcW w:w="1836" w:type="dxa"/>
            <w:vAlign w:val="center"/>
          </w:tcPr>
          <w:p w14:paraId="6968CC5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企业建立和遵守防雷安全规定。</w:t>
            </w:r>
          </w:p>
        </w:tc>
        <w:tc>
          <w:tcPr>
            <w:tcW w:w="782" w:type="dxa"/>
            <w:vAlign w:val="center"/>
          </w:tcPr>
          <w:p w14:paraId="74741A3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DF7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04316AC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18</w:t>
            </w:r>
          </w:p>
        </w:tc>
        <w:tc>
          <w:tcPr>
            <w:tcW w:w="4859" w:type="dxa"/>
            <w:vAlign w:val="center"/>
          </w:tcPr>
          <w:p w14:paraId="76DADD6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架空绝缘导线维护作业应遵守下列规定：（1）不应直接接触或接近架空绝缘导线；（2）应在架空绝缘导线的分段或联络开关两侧、分支杆受电侧、电缆引下杆受电侧的适当位置设立验电接地环或其他验电接地装置；（3）不应穿越未停电接地的绝缘导线；（4）断开或接入绝缘导线前应采取防感应电的措施。</w:t>
            </w:r>
          </w:p>
        </w:tc>
        <w:tc>
          <w:tcPr>
            <w:tcW w:w="1650" w:type="dxa"/>
            <w:vAlign w:val="center"/>
          </w:tcPr>
          <w:p w14:paraId="456C118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5DE95DE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第5.6.5.8条</w:t>
            </w:r>
          </w:p>
        </w:tc>
        <w:tc>
          <w:tcPr>
            <w:tcW w:w="1836" w:type="dxa"/>
            <w:vAlign w:val="center"/>
          </w:tcPr>
          <w:p w14:paraId="5CC45C6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7419D46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236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317FAA5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19</w:t>
            </w:r>
          </w:p>
        </w:tc>
        <w:tc>
          <w:tcPr>
            <w:tcW w:w="4859" w:type="dxa"/>
            <w:vAlign w:val="center"/>
          </w:tcPr>
          <w:p w14:paraId="09B769F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架空线下不应停放设备，不应堆置物料。</w:t>
            </w:r>
          </w:p>
        </w:tc>
        <w:tc>
          <w:tcPr>
            <w:tcW w:w="1650" w:type="dxa"/>
            <w:vAlign w:val="center"/>
          </w:tcPr>
          <w:p w14:paraId="5C69A4D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5BE694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第5.6.5.10条</w:t>
            </w:r>
          </w:p>
        </w:tc>
        <w:tc>
          <w:tcPr>
            <w:tcW w:w="1836" w:type="dxa"/>
            <w:vAlign w:val="center"/>
          </w:tcPr>
          <w:p w14:paraId="37DF4AA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0C40EFA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C80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6AECA58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20</w:t>
            </w:r>
          </w:p>
        </w:tc>
        <w:tc>
          <w:tcPr>
            <w:tcW w:w="4859" w:type="dxa"/>
            <w:vAlign w:val="center"/>
          </w:tcPr>
          <w:p w14:paraId="1396B70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敷设橡套电缆应遵守下列规定：（1）电缆线路应避开水仓和可能出现滑坡的地段；（2）跨台阶敷设电缆应避开有浮石、裂缝等的地段；（3）电缆穿越铁路、公路时，应采取保护措施；（4）高压电缆使用前应进行绝缘试验。</w:t>
            </w:r>
          </w:p>
        </w:tc>
        <w:tc>
          <w:tcPr>
            <w:tcW w:w="1650" w:type="dxa"/>
            <w:vAlign w:val="center"/>
          </w:tcPr>
          <w:p w14:paraId="17F988E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《金属非金属矿山安全规程》GB16423-2020</w:t>
            </w:r>
          </w:p>
          <w:p w14:paraId="5B05C03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第5.6.5.11条</w:t>
            </w:r>
          </w:p>
        </w:tc>
        <w:tc>
          <w:tcPr>
            <w:tcW w:w="1836" w:type="dxa"/>
            <w:vAlign w:val="center"/>
          </w:tcPr>
          <w:p w14:paraId="06ABBD9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企业建立和遵守电工安全操作规程。</w:t>
            </w:r>
          </w:p>
        </w:tc>
        <w:tc>
          <w:tcPr>
            <w:tcW w:w="782" w:type="dxa"/>
            <w:vAlign w:val="center"/>
          </w:tcPr>
          <w:p w14:paraId="0595523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882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6FE4DBB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21</w:t>
            </w:r>
          </w:p>
        </w:tc>
        <w:tc>
          <w:tcPr>
            <w:tcW w:w="4859" w:type="dxa"/>
            <w:vAlign w:val="center"/>
          </w:tcPr>
          <w:p w14:paraId="39CE8BF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供电电源和电源线路应符合下列规定∶（1）有一级负荷的矿山应由双重电源供电；当一电源中断供电，另一电源不应同时受到损坏，且电源容量应至少保证矿山全部一级负荷电力需求，并宜满足矿山二级负荷电力需求。（2）大、中型矿山宜由两回电源线路供电；两回电源线路中的任一回中断供电时，另一回电源线路应保证供给全部一、二级负荷电力需求。（3）无一级负荷的小型矿山，可由一回电源线路供电。</w:t>
            </w:r>
          </w:p>
        </w:tc>
        <w:tc>
          <w:tcPr>
            <w:tcW w:w="1650" w:type="dxa"/>
            <w:vAlign w:val="center"/>
          </w:tcPr>
          <w:p w14:paraId="43DD813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《矿山电力设计标准》GB50070-2020第3.0.3条</w:t>
            </w:r>
          </w:p>
        </w:tc>
        <w:tc>
          <w:tcPr>
            <w:tcW w:w="1836" w:type="dxa"/>
            <w:vAlign w:val="center"/>
          </w:tcPr>
          <w:p w14:paraId="23B3E59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矿山用电负荷为三级负荷，为单电源供电。</w:t>
            </w:r>
          </w:p>
        </w:tc>
        <w:tc>
          <w:tcPr>
            <w:tcW w:w="782" w:type="dxa"/>
            <w:vAlign w:val="center"/>
          </w:tcPr>
          <w:p w14:paraId="477AAE7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007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5DD0AF3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22</w:t>
            </w:r>
          </w:p>
        </w:tc>
        <w:tc>
          <w:tcPr>
            <w:tcW w:w="4859" w:type="dxa"/>
            <w:vAlign w:val="center"/>
          </w:tcPr>
          <w:p w14:paraId="29DDB8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矿山电源的供电电压宜采用10kV～110kV；经技术经济比较确定合理时，可采用其他等级电压。当两种电压经济技术指标相差不大时，宜采用较高等级电压。</w:t>
            </w:r>
          </w:p>
        </w:tc>
        <w:tc>
          <w:tcPr>
            <w:tcW w:w="1650" w:type="dxa"/>
            <w:vAlign w:val="center"/>
          </w:tcPr>
          <w:p w14:paraId="3A048DD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w:t>
            </w:r>
          </w:p>
          <w:p w14:paraId="5BC1410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第3.0.5条</w:t>
            </w:r>
          </w:p>
        </w:tc>
        <w:tc>
          <w:tcPr>
            <w:tcW w:w="1836" w:type="dxa"/>
            <w:vAlign w:val="center"/>
          </w:tcPr>
          <w:p w14:paraId="1FE8629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矿山从南方电网引入，采用10kV高压线路供电。</w:t>
            </w:r>
          </w:p>
        </w:tc>
        <w:tc>
          <w:tcPr>
            <w:tcW w:w="782" w:type="dxa"/>
            <w:vAlign w:val="center"/>
          </w:tcPr>
          <w:p w14:paraId="311A10E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A43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599123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23</w:t>
            </w:r>
          </w:p>
        </w:tc>
        <w:tc>
          <w:tcPr>
            <w:tcW w:w="4859" w:type="dxa"/>
            <w:vAlign w:val="center"/>
          </w:tcPr>
          <w:p w14:paraId="3013841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地面主变电所的主变压器台数确定，应符合下列规定:（1）大、中型矿山工程宜采用2台及以上；（2）矿山一级负荷的两个电源均需经主变压器变压时，应采用2台及以上；（3）无一级负荷的小型矿山工程可采用1台。</w:t>
            </w:r>
          </w:p>
        </w:tc>
        <w:tc>
          <w:tcPr>
            <w:tcW w:w="1650" w:type="dxa"/>
            <w:vAlign w:val="center"/>
          </w:tcPr>
          <w:p w14:paraId="77BF15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《矿山电力设计标准》GB50070-2020第3.0.7条</w:t>
            </w:r>
          </w:p>
        </w:tc>
        <w:tc>
          <w:tcPr>
            <w:tcW w:w="1836" w:type="dxa"/>
            <w:vAlign w:val="center"/>
          </w:tcPr>
          <w:p w14:paraId="78B0B92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矿山为三级负荷，</w:t>
            </w:r>
            <w:r>
              <w:rPr>
                <w:rFonts w:hint="default"/>
                <w:color w:val="000000" w:themeColor="text1"/>
                <w14:textFill>
                  <w14:solidFill>
                    <w14:schemeClr w14:val="tx1"/>
                  </w14:solidFill>
                </w14:textFill>
              </w:rPr>
              <w:t>利旧</w:t>
            </w:r>
            <w:r>
              <w:rPr>
                <w:rFonts w:ascii="宋体" w:hAnsi="宋体" w:cs="宋体"/>
                <w:color w:val="000000" w:themeColor="text1"/>
                <w:sz w:val="20"/>
                <w14:textFill>
                  <w14:solidFill>
                    <w14:schemeClr w14:val="tx1"/>
                  </w14:solidFill>
                </w14:textFill>
              </w:rPr>
              <w:t>1250kVA</w:t>
            </w:r>
            <w:r>
              <w:rPr>
                <w:rFonts w:hint="default"/>
                <w:color w:val="000000" w:themeColor="text1"/>
                <w14:textFill>
                  <w14:solidFill>
                    <w14:schemeClr w14:val="tx1"/>
                  </w14:solidFill>
                </w14:textFill>
              </w:rPr>
              <w:t>变压器</w:t>
            </w:r>
            <w:r>
              <w:rPr>
                <w:color w:val="000000" w:themeColor="text1"/>
                <w14:textFill>
                  <w14:solidFill>
                    <w14:schemeClr w14:val="tx1"/>
                  </w14:solidFill>
                </w14:textFill>
              </w:rPr>
              <w:t>和</w:t>
            </w:r>
            <w:r>
              <w:rPr>
                <w:rFonts w:ascii="宋体" w:hAnsi="宋体" w:cs="宋体"/>
                <w:color w:val="000000" w:themeColor="text1"/>
                <w:sz w:val="20"/>
                <w14:textFill>
                  <w14:solidFill>
                    <w14:schemeClr w14:val="tx1"/>
                  </w14:solidFill>
                </w14:textFill>
              </w:rPr>
              <w:t>800kVA变压器</w:t>
            </w:r>
            <w:r>
              <w:rPr>
                <w:color w:val="000000" w:themeColor="text1"/>
                <w14:textFill>
                  <w14:solidFill>
                    <w14:schemeClr w14:val="tx1"/>
                  </w14:solidFill>
                </w14:textFill>
              </w:rPr>
              <w:t>。</w:t>
            </w:r>
          </w:p>
        </w:tc>
        <w:tc>
          <w:tcPr>
            <w:tcW w:w="782" w:type="dxa"/>
            <w:vAlign w:val="center"/>
          </w:tcPr>
          <w:p w14:paraId="2EBC563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066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65981D0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24</w:t>
            </w:r>
          </w:p>
        </w:tc>
        <w:tc>
          <w:tcPr>
            <w:tcW w:w="4859" w:type="dxa"/>
            <w:vAlign w:val="center"/>
          </w:tcPr>
          <w:p w14:paraId="179FA57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矿山地面主变电所的主变压器为2台及以上时，其中1台停止运行，其余变压器容量应能保证一级负荷和二级负荷的供电。</w:t>
            </w:r>
          </w:p>
        </w:tc>
        <w:tc>
          <w:tcPr>
            <w:tcW w:w="1650" w:type="dxa"/>
            <w:vAlign w:val="center"/>
          </w:tcPr>
          <w:p w14:paraId="629A7D1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w:t>
            </w:r>
          </w:p>
          <w:p w14:paraId="5BBEFA6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第3.0.8条</w:t>
            </w:r>
          </w:p>
        </w:tc>
        <w:tc>
          <w:tcPr>
            <w:tcW w:w="1836" w:type="dxa"/>
            <w:vAlign w:val="center"/>
          </w:tcPr>
          <w:p w14:paraId="48985F9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矿山为三级负荷，</w:t>
            </w:r>
            <w:r>
              <w:rPr>
                <w:rFonts w:hint="default"/>
                <w:color w:val="000000" w:themeColor="text1"/>
                <w14:textFill>
                  <w14:solidFill>
                    <w14:schemeClr w14:val="tx1"/>
                  </w14:solidFill>
                </w14:textFill>
              </w:rPr>
              <w:t>利旧</w:t>
            </w:r>
            <w:r>
              <w:rPr>
                <w:rFonts w:ascii="宋体" w:hAnsi="宋体" w:cs="宋体"/>
                <w:color w:val="000000" w:themeColor="text1"/>
                <w:sz w:val="20"/>
                <w14:textFill>
                  <w14:solidFill>
                    <w14:schemeClr w14:val="tx1"/>
                  </w14:solidFill>
                </w14:textFill>
              </w:rPr>
              <w:t>1250kVA</w:t>
            </w:r>
            <w:r>
              <w:rPr>
                <w:rFonts w:hint="default"/>
                <w:color w:val="000000" w:themeColor="text1"/>
                <w14:textFill>
                  <w14:solidFill>
                    <w14:schemeClr w14:val="tx1"/>
                  </w14:solidFill>
                </w14:textFill>
              </w:rPr>
              <w:t>变压器</w:t>
            </w:r>
            <w:r>
              <w:rPr>
                <w:color w:val="000000" w:themeColor="text1"/>
                <w14:textFill>
                  <w14:solidFill>
                    <w14:schemeClr w14:val="tx1"/>
                  </w14:solidFill>
                </w14:textFill>
              </w:rPr>
              <w:t>和</w:t>
            </w:r>
            <w:r>
              <w:rPr>
                <w:rFonts w:ascii="宋体" w:hAnsi="宋体" w:cs="宋体"/>
                <w:color w:val="000000" w:themeColor="text1"/>
                <w:sz w:val="20"/>
                <w14:textFill>
                  <w14:solidFill>
                    <w14:schemeClr w14:val="tx1"/>
                  </w14:solidFill>
                </w14:textFill>
              </w:rPr>
              <w:t>800kVA变压器</w:t>
            </w:r>
            <w:r>
              <w:rPr>
                <w:color w:val="000000" w:themeColor="text1"/>
                <w14:textFill>
                  <w14:solidFill>
                    <w14:schemeClr w14:val="tx1"/>
                  </w14:solidFill>
                </w14:textFill>
              </w:rPr>
              <w:t>。</w:t>
            </w:r>
          </w:p>
        </w:tc>
        <w:tc>
          <w:tcPr>
            <w:tcW w:w="782" w:type="dxa"/>
            <w:vAlign w:val="center"/>
          </w:tcPr>
          <w:p w14:paraId="1896E8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F08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281F87F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25</w:t>
            </w:r>
          </w:p>
        </w:tc>
        <w:tc>
          <w:tcPr>
            <w:tcW w:w="4859" w:type="dxa"/>
            <w:vAlign w:val="center"/>
          </w:tcPr>
          <w:p w14:paraId="5CAFB25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地面主变电所的位置选择，应符合下列规定:（1）应靠近负荷中心、进出线便利；（2）应节约用地；（3）不宜压占地下资源；（4）应远离污秽及火灾、爆炸危险环境和噪声、振动环境；（5）宜避开断层、滑坡、低洼、沉陷区等不良地质地带；（6）距露天矿采矿场开采边界的距离不应小于200m；与标准轨距铁路的距离不应小于40m。</w:t>
            </w:r>
          </w:p>
        </w:tc>
        <w:tc>
          <w:tcPr>
            <w:tcW w:w="1650" w:type="dxa"/>
            <w:vAlign w:val="center"/>
          </w:tcPr>
          <w:p w14:paraId="5B58D85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w:t>
            </w:r>
          </w:p>
          <w:p w14:paraId="7A7078A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第3.0.12条</w:t>
            </w:r>
          </w:p>
        </w:tc>
        <w:tc>
          <w:tcPr>
            <w:tcW w:w="1836" w:type="dxa"/>
            <w:vAlign w:val="center"/>
          </w:tcPr>
          <w:p w14:paraId="47D203A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变配电室靠近用电位置，在爆破警戒线范围外。</w:t>
            </w:r>
          </w:p>
        </w:tc>
        <w:tc>
          <w:tcPr>
            <w:tcW w:w="782" w:type="dxa"/>
            <w:vAlign w:val="center"/>
          </w:tcPr>
          <w:p w14:paraId="5EE2D4B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386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3B21EEA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26</w:t>
            </w:r>
          </w:p>
        </w:tc>
        <w:tc>
          <w:tcPr>
            <w:tcW w:w="4859" w:type="dxa"/>
            <w:vAlign w:val="center"/>
          </w:tcPr>
          <w:p w14:paraId="1FCE430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矿场的供电线路不宜少于两回路，两班生产的采矿场或小型采矿场可采用一回路；排废场的供电线路可采用一回路。当采用两回路供电的线路时，每回路的供电能力不应小于全部负荷的70%；当采用三回路供电线路时，每回路的供电能力不应小于全部负荷的50%。</w:t>
            </w:r>
          </w:p>
        </w:tc>
        <w:tc>
          <w:tcPr>
            <w:tcW w:w="1650" w:type="dxa"/>
            <w:vAlign w:val="center"/>
          </w:tcPr>
          <w:p w14:paraId="46EF52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《矿山电力设计标准》GB50070-2020第5.0.1条</w:t>
            </w:r>
          </w:p>
        </w:tc>
        <w:tc>
          <w:tcPr>
            <w:tcW w:w="1836" w:type="dxa"/>
            <w:vAlign w:val="center"/>
          </w:tcPr>
          <w:p w14:paraId="66414BC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矿山为一班制生产，供电线路采用1条回路。</w:t>
            </w:r>
          </w:p>
        </w:tc>
        <w:tc>
          <w:tcPr>
            <w:tcW w:w="782" w:type="dxa"/>
            <w:vAlign w:val="center"/>
          </w:tcPr>
          <w:p w14:paraId="72048C4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E3D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4" w:type="dxa"/>
            <w:vAlign w:val="center"/>
          </w:tcPr>
          <w:p w14:paraId="3D6F9AF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27</w:t>
            </w:r>
          </w:p>
        </w:tc>
        <w:tc>
          <w:tcPr>
            <w:tcW w:w="4859" w:type="dxa"/>
            <w:vAlign w:val="center"/>
          </w:tcPr>
          <w:p w14:paraId="7D99C2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采矿场和排废场的高压电力网配电电压，宜采用6kV或l0kV。当有大型采矿设备或采用连续开采工艺并经技术经济比较确定时，可采用其他较高等级的电压。</w:t>
            </w:r>
          </w:p>
        </w:tc>
        <w:tc>
          <w:tcPr>
            <w:tcW w:w="1650" w:type="dxa"/>
            <w:vAlign w:val="center"/>
          </w:tcPr>
          <w:p w14:paraId="0EC9E24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《矿山电力设计标准》GB50070-2020</w:t>
            </w:r>
          </w:p>
          <w:p w14:paraId="71FBBC0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第5.0.2条</w:t>
            </w:r>
          </w:p>
        </w:tc>
        <w:tc>
          <w:tcPr>
            <w:tcW w:w="1836" w:type="dxa"/>
            <w:vAlign w:val="center"/>
          </w:tcPr>
          <w:p w14:paraId="61683AE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c>
          <w:tcPr>
            <w:tcW w:w="782" w:type="dxa"/>
            <w:vAlign w:val="center"/>
          </w:tcPr>
          <w:p w14:paraId="76A8366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94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464" w:type="dxa"/>
            <w:vAlign w:val="center"/>
          </w:tcPr>
          <w:p w14:paraId="7DBEF9E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28</w:t>
            </w:r>
          </w:p>
        </w:tc>
        <w:tc>
          <w:tcPr>
            <w:tcW w:w="4859" w:type="dxa"/>
            <w:vAlign w:val="center"/>
          </w:tcPr>
          <w:p w14:paraId="2286DAA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变压器室、配电室、电容器室等房间应设置防止雨、雪和蛇、鼠等小动物从采光窗、通风窗、门、电缆沟等处进入室内的设施。</w:t>
            </w:r>
          </w:p>
        </w:tc>
        <w:tc>
          <w:tcPr>
            <w:tcW w:w="1650" w:type="dxa"/>
            <w:vAlign w:val="center"/>
          </w:tcPr>
          <w:p w14:paraId="2A7F25B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《20kV及以下变电所设计规范》GB50053 -2013第6.2.4条</w:t>
            </w:r>
          </w:p>
        </w:tc>
        <w:tc>
          <w:tcPr>
            <w:tcW w:w="1836" w:type="dxa"/>
            <w:vAlign w:val="center"/>
          </w:tcPr>
          <w:p w14:paraId="6AD5B5C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配电室设有相应的防雷设施，设置有防止小动物窜入带电部位的措施。</w:t>
            </w:r>
          </w:p>
        </w:tc>
        <w:tc>
          <w:tcPr>
            <w:tcW w:w="782" w:type="dxa"/>
            <w:vAlign w:val="center"/>
          </w:tcPr>
          <w:p w14:paraId="23ABF2F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984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464" w:type="dxa"/>
            <w:vAlign w:val="center"/>
          </w:tcPr>
          <w:p w14:paraId="549EF72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31</w:t>
            </w:r>
          </w:p>
        </w:tc>
        <w:tc>
          <w:tcPr>
            <w:tcW w:w="4859" w:type="dxa"/>
            <w:vAlign w:val="center"/>
          </w:tcPr>
          <w:p w14:paraId="717CE14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配电室的顶棚、墙面及地面的建筑装修，应使用不易积灰和不易起灰的材料；顶棚不应抹灰。</w:t>
            </w:r>
          </w:p>
        </w:tc>
        <w:tc>
          <w:tcPr>
            <w:tcW w:w="1650" w:type="dxa"/>
            <w:vAlign w:val="center"/>
          </w:tcPr>
          <w:p w14:paraId="5EDBEEA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《低压配电设计规范》GB50054-2011</w:t>
            </w:r>
          </w:p>
          <w:p w14:paraId="366093E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第4.3.3条</w:t>
            </w:r>
          </w:p>
        </w:tc>
        <w:tc>
          <w:tcPr>
            <w:tcW w:w="1836" w:type="dxa"/>
            <w:vAlign w:val="center"/>
          </w:tcPr>
          <w:p w14:paraId="3216E71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配电室的顶棚、墙面及地面的建筑装修，使用不易积灰和不易起灰的材料。</w:t>
            </w:r>
          </w:p>
        </w:tc>
        <w:tc>
          <w:tcPr>
            <w:tcW w:w="782" w:type="dxa"/>
            <w:vAlign w:val="center"/>
          </w:tcPr>
          <w:p w14:paraId="33AB9BC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EA3EBE5">
      <w:pPr>
        <w:pStyle w:val="64"/>
        <w:spacing w:before="120" w:after="120"/>
        <w:rPr>
          <w:color w:val="000000" w:themeColor="text1"/>
          <w14:textFill>
            <w14:solidFill>
              <w14:schemeClr w14:val="tx1"/>
            </w14:solidFill>
          </w14:textFill>
        </w:rPr>
      </w:pPr>
    </w:p>
    <w:p w14:paraId="019D9B0B">
      <w:pPr>
        <w:pStyle w:val="5"/>
        <w:spacing w:after="120"/>
        <w:rPr>
          <w:color w:val="000000" w:themeColor="text1"/>
          <w14:textFill>
            <w14:solidFill>
              <w14:schemeClr w14:val="tx1"/>
            </w14:solidFill>
          </w14:textFill>
        </w:rPr>
      </w:pPr>
      <w:bookmarkStart w:id="2690" w:name="_Toc10897"/>
      <w:bookmarkStart w:id="2691" w:name="_Toc262"/>
      <w:bookmarkStart w:id="2692" w:name="_Toc3710"/>
      <w:bookmarkStart w:id="2693" w:name="_Toc26404"/>
      <w:bookmarkStart w:id="2694" w:name="_Toc2975"/>
      <w:bookmarkStart w:id="2695" w:name="_Toc215070287"/>
      <w:bookmarkStart w:id="2696" w:name="_Toc11650"/>
      <w:bookmarkStart w:id="2697" w:name="_Toc19781"/>
      <w:bookmarkStart w:id="2698" w:name="_Toc19183"/>
      <w:bookmarkStart w:id="2699" w:name="_Toc10271"/>
      <w:r>
        <w:rPr>
          <w:rFonts w:hint="eastAsia"/>
          <w:color w:val="000000" w:themeColor="text1"/>
          <w14:textFill>
            <w14:solidFill>
              <w14:schemeClr w14:val="tx1"/>
            </w14:solidFill>
          </w14:textFill>
        </w:rPr>
        <w:t>3.6.3单元小结</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1651A939">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矿山为升级改造项目，供电设施为旧物利用，因生产规模扩大，矿山用电也会发生局部变化。不</w:t>
      </w:r>
      <w:r>
        <w:rPr>
          <w:rFonts w:hint="eastAsia" w:ascii="宋体" w:hAnsi="宋体" w:cs="宋体"/>
          <w:color w:val="000000" w:themeColor="text1"/>
          <w:szCs w:val="28"/>
          <w:lang w:val="zh-CN"/>
          <w14:textFill>
            <w14:solidFill>
              <w14:schemeClr w14:val="tx1"/>
            </w14:solidFill>
          </w14:textFill>
        </w:rPr>
        <w:t>符合</w:t>
      </w:r>
      <w:r>
        <w:rPr>
          <w:rFonts w:hint="eastAsia" w:ascii="宋体" w:hAnsi="宋体" w:cs="宋体"/>
          <w:color w:val="000000" w:themeColor="text1"/>
          <w:szCs w:val="28"/>
          <w14:textFill>
            <w14:solidFill>
              <w14:schemeClr w14:val="tx1"/>
            </w14:solidFill>
          </w14:textFill>
        </w:rPr>
        <w:t>《金属非金属矿山安全规程》（GB16423-2020）、《矿山电力设计标准》（GB50070-2020）</w:t>
      </w:r>
      <w:r>
        <w:rPr>
          <w:rFonts w:hint="eastAsia" w:ascii="宋体" w:hAnsi="宋体" w:cs="宋体"/>
          <w:color w:val="000000" w:themeColor="text1"/>
          <w:szCs w:val="28"/>
          <w:lang w:val="zh-CN"/>
          <w14:textFill>
            <w14:solidFill>
              <w14:schemeClr w14:val="tx1"/>
            </w14:solidFill>
          </w14:textFill>
        </w:rPr>
        <w:t>的要求</w:t>
      </w:r>
      <w:r>
        <w:rPr>
          <w:rFonts w:hint="eastAsia" w:ascii="宋体" w:hAnsi="宋体" w:cs="宋体"/>
          <w:color w:val="000000" w:themeColor="text1"/>
          <w:szCs w:val="28"/>
          <w14:textFill>
            <w14:solidFill>
              <w14:schemeClr w14:val="tx1"/>
            </w14:solidFill>
          </w14:textFill>
        </w:rPr>
        <w:t>。</w:t>
      </w:r>
    </w:p>
    <w:p w14:paraId="55D5BA56">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下一步安全设施设计中应补充进行说明：</w:t>
      </w:r>
    </w:p>
    <w:p w14:paraId="035A574A">
      <w:pPr>
        <w:adjustRightInd w:val="0"/>
        <w:snapToGrid w:val="0"/>
        <w:spacing w:line="500" w:lineRule="exact"/>
        <w:ind w:firstLine="560"/>
        <w:rPr>
          <w:rFonts w:hint="eastAsia"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1、按照《金属非金属矿山安全规程》（GB16423-2020）第5.6.1.7条、第5.6.3.3条、第5.6.5.2条的要求，对室外变压器周围设置固定围栏或围墙、对配电室应设置急照明灯具、对配电室内设置相应的防雷、防火、防止小动物窜入的措施等进行说明。</w:t>
      </w:r>
    </w:p>
    <w:p w14:paraId="3BD36C2D">
      <w:pPr>
        <w:adjustRightInd w:val="0"/>
        <w:snapToGrid w:val="0"/>
        <w:spacing w:line="500" w:lineRule="exact"/>
        <w:ind w:firstLine="560"/>
        <w:rPr>
          <w:rFonts w:hint="eastAsia" w:ascii="宋体" w:hAnsi="宋体" w:cs="宋体"/>
          <w:bCs/>
          <w:color w:val="000000" w:themeColor="text1"/>
          <w:szCs w:val="28"/>
          <w14:textFill>
            <w14:solidFill>
              <w14:schemeClr w14:val="tx1"/>
            </w14:solidFill>
          </w14:textFill>
        </w:rPr>
      </w:pPr>
      <w:r>
        <w:rPr>
          <w:rFonts w:hint="eastAsia" w:ascii="宋体" w:hAnsi="宋体" w:cs="宋体"/>
          <w:bCs/>
          <w:color w:val="000000" w:themeColor="text1"/>
          <w:szCs w:val="28"/>
          <w14:textFill>
            <w14:solidFill>
              <w14:schemeClr w14:val="tx1"/>
            </w14:solidFill>
          </w14:textFill>
        </w:rPr>
        <w:t>2、按照《低压配电设计规范》（GB50054-2011）第4.3.3条的要求，对配电室内部装修要求、材料等进行说明。</w:t>
      </w:r>
    </w:p>
    <w:p w14:paraId="38E9E053">
      <w:pPr>
        <w:pStyle w:val="4"/>
        <w:spacing w:before="240" w:after="120"/>
        <w:rPr>
          <w:color w:val="000000" w:themeColor="text1"/>
          <w14:textFill>
            <w14:solidFill>
              <w14:schemeClr w14:val="tx1"/>
            </w14:solidFill>
          </w14:textFill>
        </w:rPr>
      </w:pPr>
      <w:bookmarkStart w:id="2700" w:name="_Toc3643"/>
      <w:bookmarkStart w:id="2701" w:name="_Toc4609"/>
      <w:bookmarkStart w:id="2702" w:name="_Toc19776"/>
      <w:bookmarkStart w:id="2703" w:name="_Toc1910"/>
      <w:bookmarkStart w:id="2704" w:name="_Toc25950"/>
      <w:bookmarkStart w:id="2705" w:name="_Toc27694"/>
      <w:bookmarkStart w:id="2706" w:name="_Toc215070288"/>
      <w:bookmarkStart w:id="2707" w:name="_Toc13344"/>
      <w:bookmarkStart w:id="2708" w:name="_Toc26753"/>
      <w:bookmarkStart w:id="2709" w:name="_Toc6538"/>
      <w:bookmarkStart w:id="2710" w:name="_Toc3134"/>
      <w:r>
        <w:rPr>
          <w:rFonts w:hint="eastAsia"/>
          <w:color w:val="000000" w:themeColor="text1"/>
          <w14:textFill>
            <w14:solidFill>
              <w14:schemeClr w14:val="tx1"/>
            </w14:solidFill>
          </w14:textFill>
        </w:rPr>
        <w:t>3.7防排水与防灭火单元</w:t>
      </w:r>
      <w:bookmarkEnd w:id="2538"/>
      <w:bookmarkEnd w:id="2539"/>
      <w:bookmarkEnd w:id="2540"/>
      <w:bookmarkEnd w:id="2541"/>
      <w:bookmarkEnd w:id="2542"/>
      <w:bookmarkEnd w:id="2700"/>
      <w:bookmarkEnd w:id="2701"/>
      <w:bookmarkEnd w:id="2702"/>
      <w:bookmarkEnd w:id="2703"/>
      <w:bookmarkEnd w:id="2704"/>
      <w:bookmarkEnd w:id="2705"/>
      <w:bookmarkEnd w:id="2706"/>
      <w:bookmarkEnd w:id="2707"/>
      <w:bookmarkEnd w:id="2708"/>
      <w:bookmarkEnd w:id="2709"/>
      <w:bookmarkEnd w:id="2710"/>
    </w:p>
    <w:p w14:paraId="7F4FB228">
      <w:pPr>
        <w:pStyle w:val="5"/>
        <w:spacing w:after="120"/>
        <w:rPr>
          <w:color w:val="000000" w:themeColor="text1"/>
          <w14:textFill>
            <w14:solidFill>
              <w14:schemeClr w14:val="tx1"/>
            </w14:solidFill>
          </w14:textFill>
        </w:rPr>
      </w:pPr>
      <w:bookmarkStart w:id="2711" w:name="_Toc28717"/>
      <w:bookmarkStart w:id="2712" w:name="_Toc13154"/>
      <w:bookmarkStart w:id="2713" w:name="_Toc29875"/>
      <w:bookmarkStart w:id="2714" w:name="_Toc23227"/>
      <w:bookmarkStart w:id="2715" w:name="_Toc5245"/>
      <w:bookmarkStart w:id="2716" w:name="_Toc27855"/>
      <w:bookmarkStart w:id="2717" w:name="_Toc20692"/>
      <w:bookmarkStart w:id="2718" w:name="_Toc256"/>
      <w:bookmarkStart w:id="2719" w:name="_Toc215070289"/>
      <w:bookmarkStart w:id="2720" w:name="_Toc30625"/>
      <w:bookmarkStart w:id="2721" w:name="_Toc15654"/>
      <w:bookmarkStart w:id="2722" w:name="_Toc21120"/>
      <w:r>
        <w:rPr>
          <w:rFonts w:hint="eastAsia"/>
          <w:color w:val="000000" w:themeColor="text1"/>
          <w14:textFill>
            <w14:solidFill>
              <w14:schemeClr w14:val="tx1"/>
            </w14:solidFill>
          </w14:textFill>
        </w:rPr>
        <w:t>3.7.1防排水防灭火单元危险因素辨识</w:t>
      </w:r>
      <w:bookmarkEnd w:id="2711"/>
      <w:bookmarkEnd w:id="2712"/>
      <w:bookmarkEnd w:id="2713"/>
      <w:bookmarkEnd w:id="2714"/>
      <w:bookmarkEnd w:id="2715"/>
      <w:bookmarkEnd w:id="2716"/>
      <w:bookmarkEnd w:id="2717"/>
      <w:bookmarkEnd w:id="2718"/>
      <w:bookmarkEnd w:id="2719"/>
      <w:bookmarkEnd w:id="2720"/>
    </w:p>
    <w:p w14:paraId="2F7298DA">
      <w:pPr>
        <w:ind w:firstLine="560"/>
        <w:rPr>
          <w:color w:val="000000" w:themeColor="text1"/>
          <w14:textFill>
            <w14:solidFill>
              <w14:schemeClr w14:val="tx1"/>
            </w14:solidFill>
          </w14:textFill>
        </w:rPr>
      </w:pPr>
      <w:bookmarkStart w:id="2723" w:name="_Toc11744"/>
      <w:bookmarkStart w:id="2724" w:name="_Toc12264"/>
      <w:bookmarkStart w:id="2725" w:name="_Toc1879"/>
      <w:r>
        <w:rPr>
          <w:rFonts w:hint="eastAsia"/>
          <w:color w:val="000000" w:themeColor="text1"/>
          <w14:textFill>
            <w14:solidFill>
              <w14:schemeClr w14:val="tx1"/>
            </w14:solidFill>
          </w14:textFill>
        </w:rPr>
        <w:t>1、防排水</w:t>
      </w:r>
      <w:bookmarkEnd w:id="2723"/>
      <w:bookmarkEnd w:id="2724"/>
      <w:bookmarkEnd w:id="2725"/>
    </w:p>
    <w:p w14:paraId="5A5EA17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由于防排水设施缺失，导致大量雨水直接冲刷采场边坡、排土场边坡而影响边坡稳定性，引发采场边坡发生坍塌事故。由于防排水设施失效而引发边坡坍塌的原因有：</w:t>
      </w:r>
    </w:p>
    <w:p w14:paraId="7B650388">
      <w:pPr>
        <w:ind w:firstLine="560"/>
        <w:rPr>
          <w:color w:val="000000" w:themeColor="text1"/>
          <w14:textFill>
            <w14:solidFill>
              <w14:schemeClr w14:val="tx1"/>
            </w14:solidFill>
          </w14:textFill>
        </w:rPr>
      </w:pPr>
      <w:bookmarkStart w:id="2726" w:name="_Toc6766"/>
      <w:bookmarkStart w:id="2727" w:name="_Toc16404"/>
      <w:bookmarkStart w:id="2728" w:name="_Toc23894"/>
      <w:r>
        <w:rPr>
          <w:rFonts w:hint="eastAsia"/>
          <w:color w:val="000000" w:themeColor="text1"/>
          <w14:textFill>
            <w14:solidFill>
              <w14:schemeClr w14:val="tx1"/>
            </w14:solidFill>
          </w14:textFill>
        </w:rPr>
        <w:t>（1）未按设计修建截水沟、排水沟。</w:t>
      </w:r>
      <w:bookmarkEnd w:id="2726"/>
      <w:bookmarkEnd w:id="2727"/>
      <w:bookmarkEnd w:id="2728"/>
    </w:p>
    <w:p w14:paraId="6D45662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（2）修建的截水沟、排水沟等未按设计尺寸修建，不能满足排水要求。</w:t>
      </w:r>
    </w:p>
    <w:p w14:paraId="1A6DAA3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（3）设计的排水沟、截水沟排水坡度不满足排水要求或未按设计排水坡度进行修建排水沟，导致积水，雨水进入采场冲刷边坡。</w:t>
      </w:r>
    </w:p>
    <w:p w14:paraId="7C288A3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（4）排水沟等排水设施损坏，或者由于长期未清理沟内杂物造成排水不畅。</w:t>
      </w:r>
    </w:p>
    <w:p w14:paraId="3A4AAE87">
      <w:pPr>
        <w:ind w:firstLine="560"/>
        <w:rPr>
          <w:color w:val="000000" w:themeColor="text1"/>
          <w14:textFill>
            <w14:solidFill>
              <w14:schemeClr w14:val="tx1"/>
            </w14:solidFill>
          </w14:textFill>
        </w:rPr>
      </w:pPr>
      <w:bookmarkStart w:id="2729" w:name="_Toc16720"/>
      <w:bookmarkStart w:id="2730" w:name="_Toc16827"/>
      <w:bookmarkStart w:id="2731" w:name="_Toc28126"/>
      <w:r>
        <w:rPr>
          <w:rFonts w:hint="eastAsia"/>
          <w:color w:val="000000" w:themeColor="text1"/>
          <w14:textFill>
            <w14:solidFill>
              <w14:schemeClr w14:val="tx1"/>
            </w14:solidFill>
          </w14:textFill>
        </w:rPr>
        <w:t>（5）沉淀池边缘未设置安全防护栏，人员掉落发生高处坠落事故。</w:t>
      </w:r>
      <w:bookmarkEnd w:id="2729"/>
      <w:bookmarkEnd w:id="2730"/>
      <w:bookmarkEnd w:id="2731"/>
    </w:p>
    <w:p w14:paraId="5E164F60">
      <w:pPr>
        <w:ind w:firstLine="560"/>
        <w:rPr>
          <w:color w:val="000000" w:themeColor="text1"/>
          <w14:textFill>
            <w14:solidFill>
              <w14:schemeClr w14:val="tx1"/>
            </w14:solidFill>
          </w14:textFill>
        </w:rPr>
      </w:pPr>
      <w:bookmarkStart w:id="2732" w:name="_Toc11197"/>
      <w:bookmarkStart w:id="2733" w:name="_Toc301"/>
      <w:bookmarkStart w:id="2734" w:name="_Toc32678"/>
      <w:r>
        <w:rPr>
          <w:rFonts w:hint="eastAsia"/>
          <w:color w:val="000000" w:themeColor="text1"/>
          <w14:textFill>
            <w14:solidFill>
              <w14:schemeClr w14:val="tx1"/>
            </w14:solidFill>
          </w14:textFill>
        </w:rPr>
        <w:t>2、防灭火</w:t>
      </w:r>
      <w:bookmarkEnd w:id="2732"/>
      <w:bookmarkEnd w:id="2733"/>
      <w:bookmarkEnd w:id="2734"/>
    </w:p>
    <w:p w14:paraId="18F00A0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挖掘机、潜孔钻、推土机、运输车辆等电气线路发生短路时电流可能超过正常时的数十倍，致使电线、电器温度急剧上升，远远超过允许值，而且常伴有短路电弧发生，易造成火灾。</w:t>
      </w:r>
    </w:p>
    <w:bookmarkEnd w:id="2721"/>
    <w:bookmarkEnd w:id="2722"/>
    <w:p w14:paraId="4BBD03C2">
      <w:pPr>
        <w:pStyle w:val="5"/>
        <w:spacing w:after="120"/>
        <w:rPr>
          <w:color w:val="000000" w:themeColor="text1"/>
          <w14:textFill>
            <w14:solidFill>
              <w14:schemeClr w14:val="tx1"/>
            </w14:solidFill>
          </w14:textFill>
        </w:rPr>
      </w:pPr>
      <w:bookmarkStart w:id="2735" w:name="_Toc16818"/>
      <w:bookmarkStart w:id="2736" w:name="_Toc12576"/>
      <w:bookmarkStart w:id="2737" w:name="_Toc8471"/>
      <w:bookmarkStart w:id="2738" w:name="_Toc17195"/>
      <w:bookmarkStart w:id="2739" w:name="_Toc215070290"/>
      <w:bookmarkStart w:id="2740" w:name="_Toc9393"/>
      <w:bookmarkStart w:id="2741" w:name="_Toc19210"/>
      <w:bookmarkStart w:id="2742" w:name="_Toc16283"/>
      <w:bookmarkStart w:id="2743" w:name="_Toc10598"/>
      <w:bookmarkStart w:id="2744" w:name="_Toc29743"/>
      <w:bookmarkStart w:id="2745" w:name="_Toc1557"/>
      <w:bookmarkStart w:id="2746" w:name="_Toc9169"/>
      <w:bookmarkStart w:id="2747" w:name="_Toc24925"/>
      <w:r>
        <w:rPr>
          <w:rFonts w:hint="eastAsia"/>
          <w:color w:val="000000" w:themeColor="text1"/>
          <w14:textFill>
            <w14:solidFill>
              <w14:schemeClr w14:val="tx1"/>
            </w14:solidFill>
          </w14:textFill>
        </w:rPr>
        <w:t>3.7.2防排水安全检查表</w:t>
      </w:r>
      <w:bookmarkEnd w:id="2735"/>
      <w:bookmarkEnd w:id="2736"/>
      <w:bookmarkEnd w:id="2737"/>
      <w:bookmarkEnd w:id="2738"/>
      <w:bookmarkEnd w:id="2739"/>
      <w:bookmarkEnd w:id="2740"/>
      <w:bookmarkEnd w:id="2741"/>
      <w:bookmarkEnd w:id="2742"/>
      <w:bookmarkEnd w:id="2743"/>
      <w:bookmarkEnd w:id="2744"/>
      <w:bookmarkEnd w:id="2745"/>
    </w:p>
    <w:p w14:paraId="2D460E2F">
      <w:pPr>
        <w:pStyle w:val="64"/>
        <w:spacing w:before="120" w:after="120"/>
        <w:rPr>
          <w:rFonts w:hint="eastAsia" w:ascii="宋体" w:hAnsi="宋体" w:cs="宋体"/>
          <w:b w:val="0"/>
          <w:color w:val="000000" w:themeColor="text1"/>
          <w14:textFill>
            <w14:solidFill>
              <w14:schemeClr w14:val="tx1"/>
            </w14:solidFill>
          </w14:textFill>
        </w:rPr>
      </w:pPr>
      <w:r>
        <w:rPr>
          <w:rFonts w:hint="eastAsia"/>
          <w:color w:val="000000" w:themeColor="text1"/>
          <w14:textFill>
            <w14:solidFill>
              <w14:schemeClr w14:val="tx1"/>
            </w14:solidFill>
          </w14:textFill>
        </w:rPr>
        <w:t>表3.7-1防排水安全检查表</w:t>
      </w:r>
    </w:p>
    <w:tbl>
      <w:tblPr>
        <w:tblStyle w:val="44"/>
        <w:tblW w:w="89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900"/>
        <w:gridCol w:w="1734"/>
        <w:gridCol w:w="2732"/>
        <w:gridCol w:w="893"/>
      </w:tblGrid>
      <w:tr w14:paraId="5E57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68" w:type="dxa"/>
            <w:tcBorders>
              <w:top w:val="single" w:color="auto" w:sz="4" w:space="0"/>
              <w:left w:val="single" w:color="auto" w:sz="4" w:space="0"/>
              <w:bottom w:val="single" w:color="auto" w:sz="4" w:space="0"/>
              <w:right w:val="single" w:color="auto" w:sz="4" w:space="0"/>
            </w:tcBorders>
            <w:vAlign w:val="center"/>
          </w:tcPr>
          <w:p w14:paraId="739AD958">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2900" w:type="dxa"/>
            <w:tcBorders>
              <w:top w:val="single" w:color="auto" w:sz="4" w:space="0"/>
              <w:left w:val="single" w:color="auto" w:sz="4" w:space="0"/>
              <w:bottom w:val="single" w:color="auto" w:sz="4" w:space="0"/>
              <w:right w:val="single" w:color="auto" w:sz="4" w:space="0"/>
            </w:tcBorders>
            <w:vAlign w:val="center"/>
          </w:tcPr>
          <w:p w14:paraId="1690EE9F">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检查项目</w:t>
            </w:r>
          </w:p>
        </w:tc>
        <w:tc>
          <w:tcPr>
            <w:tcW w:w="1734" w:type="dxa"/>
            <w:tcBorders>
              <w:top w:val="single" w:color="auto" w:sz="4" w:space="0"/>
              <w:left w:val="single" w:color="auto" w:sz="4" w:space="0"/>
              <w:bottom w:val="single" w:color="auto" w:sz="4" w:space="0"/>
              <w:right w:val="single" w:color="auto" w:sz="4" w:space="0"/>
            </w:tcBorders>
            <w:vAlign w:val="center"/>
          </w:tcPr>
          <w:p w14:paraId="511F01BC">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检查依据</w:t>
            </w:r>
          </w:p>
        </w:tc>
        <w:tc>
          <w:tcPr>
            <w:tcW w:w="2732" w:type="dxa"/>
            <w:tcBorders>
              <w:top w:val="single" w:color="auto" w:sz="4" w:space="0"/>
              <w:left w:val="single" w:color="auto" w:sz="4" w:space="0"/>
              <w:bottom w:val="single" w:color="auto" w:sz="4" w:space="0"/>
              <w:right w:val="single" w:color="auto" w:sz="4" w:space="0"/>
            </w:tcBorders>
            <w:vAlign w:val="center"/>
          </w:tcPr>
          <w:p w14:paraId="2D925713">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893" w:type="dxa"/>
            <w:tcBorders>
              <w:top w:val="single" w:color="auto" w:sz="4" w:space="0"/>
              <w:left w:val="single" w:color="auto" w:sz="4" w:space="0"/>
              <w:bottom w:val="single" w:color="auto" w:sz="4" w:space="0"/>
              <w:right w:val="single" w:color="auto" w:sz="4" w:space="0"/>
            </w:tcBorders>
            <w:vAlign w:val="center"/>
          </w:tcPr>
          <w:p w14:paraId="62233C35">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w:t>
            </w:r>
          </w:p>
          <w:p w14:paraId="7CC9A1F4">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结果</w:t>
            </w:r>
          </w:p>
        </w:tc>
      </w:tr>
      <w:tr w14:paraId="3759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668" w:type="dxa"/>
            <w:tcBorders>
              <w:top w:val="single" w:color="auto" w:sz="4" w:space="0"/>
              <w:left w:val="single" w:color="auto" w:sz="4" w:space="0"/>
              <w:bottom w:val="single" w:color="auto" w:sz="4" w:space="0"/>
              <w:right w:val="single" w:color="auto" w:sz="4" w:space="0"/>
            </w:tcBorders>
            <w:vAlign w:val="center"/>
          </w:tcPr>
          <w:p w14:paraId="4D72E0F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2900" w:type="dxa"/>
            <w:tcBorders>
              <w:top w:val="single" w:color="auto" w:sz="4" w:space="0"/>
              <w:left w:val="single" w:color="auto" w:sz="4" w:space="0"/>
              <w:bottom w:val="single" w:color="auto" w:sz="4" w:space="0"/>
              <w:right w:val="single" w:color="auto" w:sz="4" w:space="0"/>
            </w:tcBorders>
            <w:vAlign w:val="center"/>
          </w:tcPr>
          <w:p w14:paraId="4B2C3C5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有遭遇洪水危险的露天矿山应设置专用的防洪、排洪设施。</w:t>
            </w:r>
          </w:p>
        </w:tc>
        <w:tc>
          <w:tcPr>
            <w:tcW w:w="1734" w:type="dxa"/>
            <w:tcBorders>
              <w:top w:val="single" w:color="auto" w:sz="4" w:space="0"/>
              <w:left w:val="single" w:color="auto" w:sz="4" w:space="0"/>
              <w:bottom w:val="single" w:color="auto" w:sz="4" w:space="0"/>
              <w:right w:val="single" w:color="auto" w:sz="4" w:space="0"/>
            </w:tcBorders>
            <w:vAlign w:val="center"/>
          </w:tcPr>
          <w:p w14:paraId="7B13B7A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w:t>
            </w:r>
          </w:p>
          <w:p w14:paraId="3E7AABD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第5.1.1条</w:t>
            </w:r>
          </w:p>
        </w:tc>
        <w:tc>
          <w:tcPr>
            <w:tcW w:w="2732" w:type="dxa"/>
            <w:tcBorders>
              <w:top w:val="single" w:color="auto" w:sz="4" w:space="0"/>
              <w:left w:val="single" w:color="auto" w:sz="4" w:space="0"/>
              <w:bottom w:val="single" w:color="auto" w:sz="4" w:space="0"/>
              <w:right w:val="single" w:color="auto" w:sz="4" w:space="0"/>
            </w:tcBorders>
            <w:vAlign w:val="center"/>
          </w:tcPr>
          <w:p w14:paraId="031FF75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采场不受洪水危害，不设置截洪沟。</w:t>
            </w:r>
          </w:p>
        </w:tc>
        <w:tc>
          <w:tcPr>
            <w:tcW w:w="893" w:type="dxa"/>
            <w:tcBorders>
              <w:top w:val="single" w:color="auto" w:sz="4" w:space="0"/>
              <w:left w:val="single" w:color="auto" w:sz="4" w:space="0"/>
              <w:bottom w:val="single" w:color="auto" w:sz="4" w:space="0"/>
              <w:right w:val="single" w:color="auto" w:sz="4" w:space="0"/>
            </w:tcBorders>
            <w:vAlign w:val="center"/>
          </w:tcPr>
          <w:p w14:paraId="7C612F2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BA1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2" w:hRule="atLeast"/>
        </w:trPr>
        <w:tc>
          <w:tcPr>
            <w:tcW w:w="668" w:type="dxa"/>
            <w:tcBorders>
              <w:top w:val="single" w:color="auto" w:sz="4" w:space="0"/>
              <w:left w:val="single" w:color="auto" w:sz="4" w:space="0"/>
              <w:bottom w:val="single" w:color="auto" w:sz="4" w:space="0"/>
              <w:right w:val="single" w:color="auto" w:sz="4" w:space="0"/>
            </w:tcBorders>
            <w:vAlign w:val="center"/>
          </w:tcPr>
          <w:p w14:paraId="10D9F04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2900" w:type="dxa"/>
            <w:tcBorders>
              <w:top w:val="single" w:color="auto" w:sz="4" w:space="0"/>
              <w:left w:val="single" w:color="auto" w:sz="4" w:space="0"/>
              <w:bottom w:val="single" w:color="auto" w:sz="4" w:space="0"/>
              <w:right w:val="single" w:color="auto" w:sz="4" w:space="0"/>
            </w:tcBorders>
            <w:vAlign w:val="center"/>
          </w:tcPr>
          <w:p w14:paraId="13E2D3A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露天矿山应建立水文地质资料档案；有洪水或地下水威胁的应设置防、排水机构；水文地质条件复杂或有洪水淹没危险的应配备专职水文地质人员。</w:t>
            </w:r>
          </w:p>
        </w:tc>
        <w:tc>
          <w:tcPr>
            <w:tcW w:w="1734" w:type="dxa"/>
            <w:tcBorders>
              <w:top w:val="single" w:color="auto" w:sz="4" w:space="0"/>
              <w:left w:val="single" w:color="auto" w:sz="4" w:space="0"/>
              <w:bottom w:val="single" w:color="auto" w:sz="4" w:space="0"/>
              <w:right w:val="single" w:color="auto" w:sz="4" w:space="0"/>
            </w:tcBorders>
            <w:vAlign w:val="center"/>
          </w:tcPr>
          <w:p w14:paraId="7FDF09B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《金属非金属矿山安全规程》GBl6423-2020第5.7.1.1条</w:t>
            </w:r>
          </w:p>
        </w:tc>
        <w:tc>
          <w:tcPr>
            <w:tcW w:w="2732" w:type="dxa"/>
            <w:tcBorders>
              <w:top w:val="single" w:color="auto" w:sz="4" w:space="0"/>
              <w:left w:val="single" w:color="auto" w:sz="4" w:space="0"/>
              <w:bottom w:val="single" w:color="auto" w:sz="4" w:space="0"/>
              <w:right w:val="single" w:color="auto" w:sz="4" w:space="0"/>
            </w:tcBorders>
            <w:vAlign w:val="center"/>
          </w:tcPr>
          <w:p w14:paraId="2A85372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采场不受洪水危害，不需设置。</w:t>
            </w:r>
          </w:p>
        </w:tc>
        <w:tc>
          <w:tcPr>
            <w:tcW w:w="893" w:type="dxa"/>
            <w:tcBorders>
              <w:top w:val="single" w:color="auto" w:sz="4" w:space="0"/>
              <w:left w:val="single" w:color="auto" w:sz="4" w:space="0"/>
              <w:bottom w:val="single" w:color="auto" w:sz="4" w:space="0"/>
              <w:right w:val="single" w:color="auto" w:sz="4" w:space="0"/>
            </w:tcBorders>
            <w:vAlign w:val="center"/>
          </w:tcPr>
          <w:p w14:paraId="53A0D1E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68B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0" w:hRule="atLeast"/>
        </w:trPr>
        <w:tc>
          <w:tcPr>
            <w:tcW w:w="668" w:type="dxa"/>
            <w:tcBorders>
              <w:top w:val="single" w:color="auto" w:sz="4" w:space="0"/>
              <w:left w:val="single" w:color="auto" w:sz="4" w:space="0"/>
              <w:bottom w:val="single" w:color="auto" w:sz="4" w:space="0"/>
              <w:right w:val="single" w:color="auto" w:sz="4" w:space="0"/>
            </w:tcBorders>
            <w:vAlign w:val="center"/>
          </w:tcPr>
          <w:p w14:paraId="6EBC652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2900" w:type="dxa"/>
            <w:tcBorders>
              <w:top w:val="single" w:color="auto" w:sz="4" w:space="0"/>
              <w:left w:val="single" w:color="auto" w:sz="4" w:space="0"/>
              <w:bottom w:val="single" w:color="auto" w:sz="4" w:space="0"/>
              <w:right w:val="single" w:color="auto" w:sz="4" w:space="0"/>
            </w:tcBorders>
            <w:vAlign w:val="center"/>
          </w:tcPr>
          <w:p w14:paraId="4C811BC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露天采场的总出入沟口、平硐口、排水口和工业场地应不受洪水威胁。</w:t>
            </w:r>
          </w:p>
        </w:tc>
        <w:tc>
          <w:tcPr>
            <w:tcW w:w="1734" w:type="dxa"/>
            <w:tcBorders>
              <w:top w:val="single" w:color="auto" w:sz="4" w:space="0"/>
              <w:left w:val="single" w:color="auto" w:sz="4" w:space="0"/>
              <w:bottom w:val="single" w:color="auto" w:sz="4" w:space="0"/>
              <w:right w:val="single" w:color="auto" w:sz="4" w:space="0"/>
            </w:tcBorders>
            <w:vAlign w:val="center"/>
          </w:tcPr>
          <w:p w14:paraId="1012706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《金属非金属矿山安全规程》GBl6423-2020第5.7.1.2条</w:t>
            </w:r>
          </w:p>
        </w:tc>
        <w:tc>
          <w:tcPr>
            <w:tcW w:w="2732" w:type="dxa"/>
            <w:tcBorders>
              <w:top w:val="single" w:color="auto" w:sz="4" w:space="0"/>
              <w:left w:val="single" w:color="auto" w:sz="4" w:space="0"/>
              <w:bottom w:val="single" w:color="auto" w:sz="4" w:space="0"/>
              <w:right w:val="single" w:color="auto" w:sz="4" w:space="0"/>
            </w:tcBorders>
            <w:vAlign w:val="center"/>
          </w:tcPr>
          <w:p w14:paraId="2E6E656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采场不受洪水危害</w:t>
            </w:r>
          </w:p>
        </w:tc>
        <w:tc>
          <w:tcPr>
            <w:tcW w:w="893" w:type="dxa"/>
            <w:tcBorders>
              <w:top w:val="single" w:color="auto" w:sz="4" w:space="0"/>
              <w:left w:val="single" w:color="auto" w:sz="4" w:space="0"/>
              <w:bottom w:val="single" w:color="auto" w:sz="4" w:space="0"/>
              <w:right w:val="single" w:color="auto" w:sz="4" w:space="0"/>
            </w:tcBorders>
            <w:vAlign w:val="center"/>
          </w:tcPr>
          <w:p w14:paraId="5C35C9C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620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0" w:hRule="atLeast"/>
        </w:trPr>
        <w:tc>
          <w:tcPr>
            <w:tcW w:w="668" w:type="dxa"/>
            <w:tcBorders>
              <w:top w:val="single" w:color="auto" w:sz="4" w:space="0"/>
              <w:left w:val="single" w:color="auto" w:sz="4" w:space="0"/>
              <w:bottom w:val="single" w:color="auto" w:sz="4" w:space="0"/>
              <w:right w:val="single" w:color="auto" w:sz="4" w:space="0"/>
            </w:tcBorders>
            <w:vAlign w:val="center"/>
          </w:tcPr>
          <w:p w14:paraId="0F5389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2900" w:type="dxa"/>
            <w:tcBorders>
              <w:top w:val="single" w:color="auto" w:sz="4" w:space="0"/>
              <w:left w:val="single" w:color="auto" w:sz="4" w:space="0"/>
              <w:bottom w:val="single" w:color="auto" w:sz="4" w:space="0"/>
              <w:right w:val="single" w:color="auto" w:sz="4" w:space="0"/>
            </w:tcBorders>
            <w:vAlign w:val="center"/>
          </w:tcPr>
          <w:p w14:paraId="12DB808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露天矿山应采取下列措施保证采场安全：（1）在采场边坡台阶设置排水沟；（2）地下水影响露天采场的安全生产时，应采取疏干等防治措施。</w:t>
            </w:r>
          </w:p>
        </w:tc>
        <w:tc>
          <w:tcPr>
            <w:tcW w:w="1734" w:type="dxa"/>
            <w:tcBorders>
              <w:top w:val="single" w:color="auto" w:sz="4" w:space="0"/>
              <w:left w:val="single" w:color="auto" w:sz="4" w:space="0"/>
              <w:bottom w:val="single" w:color="auto" w:sz="4" w:space="0"/>
              <w:right w:val="single" w:color="auto" w:sz="4" w:space="0"/>
            </w:tcBorders>
            <w:vAlign w:val="center"/>
          </w:tcPr>
          <w:p w14:paraId="09DF88B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《金属非金属矿山安全规程》GBl6423-2020第5.7.1.3条</w:t>
            </w:r>
          </w:p>
        </w:tc>
        <w:tc>
          <w:tcPr>
            <w:tcW w:w="2732" w:type="dxa"/>
            <w:tcBorders>
              <w:top w:val="single" w:color="auto" w:sz="4" w:space="0"/>
              <w:left w:val="single" w:color="auto" w:sz="4" w:space="0"/>
              <w:bottom w:val="single" w:color="auto" w:sz="4" w:space="0"/>
              <w:right w:val="single" w:color="auto" w:sz="4" w:space="0"/>
            </w:tcBorders>
            <w:vAlign w:val="center"/>
          </w:tcPr>
          <w:p w14:paraId="5F8C0EF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台阶内侧设置排水沟，场内汇水可通过采场排水沟自然排出采场。</w:t>
            </w:r>
          </w:p>
        </w:tc>
        <w:tc>
          <w:tcPr>
            <w:tcW w:w="893" w:type="dxa"/>
            <w:tcBorders>
              <w:top w:val="single" w:color="auto" w:sz="4" w:space="0"/>
              <w:left w:val="single" w:color="auto" w:sz="4" w:space="0"/>
              <w:bottom w:val="single" w:color="auto" w:sz="4" w:space="0"/>
              <w:right w:val="single" w:color="auto" w:sz="4" w:space="0"/>
            </w:tcBorders>
            <w:vAlign w:val="center"/>
          </w:tcPr>
          <w:p w14:paraId="1B26448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542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trPr>
        <w:tc>
          <w:tcPr>
            <w:tcW w:w="668" w:type="dxa"/>
            <w:tcBorders>
              <w:left w:val="single" w:color="auto" w:sz="4" w:space="0"/>
              <w:bottom w:val="single" w:color="auto" w:sz="4" w:space="0"/>
              <w:right w:val="single" w:color="auto" w:sz="4" w:space="0"/>
            </w:tcBorders>
            <w:vAlign w:val="center"/>
          </w:tcPr>
          <w:p w14:paraId="3AA453E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2900" w:type="dxa"/>
            <w:tcBorders>
              <w:left w:val="single" w:color="auto" w:sz="4" w:space="0"/>
              <w:bottom w:val="single" w:color="auto" w:sz="4" w:space="0"/>
              <w:right w:val="single" w:color="auto" w:sz="4" w:space="0"/>
            </w:tcBorders>
            <w:vAlign w:val="center"/>
          </w:tcPr>
          <w:p w14:paraId="4D3433C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露天矿山应按照下列要求建立防排水系统：（1）受洪水威胁的露天采场应设置地面防洪工程；（2）不具备自然外排条件的山坡露天矿，境界外应设截水沟排水；（3）凹陷露天坑应设机械排水或自流排水设施。</w:t>
            </w:r>
          </w:p>
        </w:tc>
        <w:tc>
          <w:tcPr>
            <w:tcW w:w="1734" w:type="dxa"/>
            <w:tcBorders>
              <w:top w:val="single" w:color="auto" w:sz="4" w:space="0"/>
              <w:left w:val="single" w:color="auto" w:sz="4" w:space="0"/>
              <w:bottom w:val="single" w:color="auto" w:sz="4" w:space="0"/>
              <w:right w:val="single" w:color="auto" w:sz="4" w:space="0"/>
            </w:tcBorders>
            <w:vAlign w:val="center"/>
          </w:tcPr>
          <w:p w14:paraId="66B3A8E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《金属非金属矿山安全规程》GBl6423-2020第5.7.1.4条</w:t>
            </w:r>
          </w:p>
        </w:tc>
        <w:tc>
          <w:tcPr>
            <w:tcW w:w="2732" w:type="dxa"/>
            <w:tcBorders>
              <w:top w:val="single" w:color="auto" w:sz="4" w:space="0"/>
              <w:left w:val="single" w:color="auto" w:sz="4" w:space="0"/>
              <w:bottom w:val="single" w:color="auto" w:sz="4" w:space="0"/>
              <w:right w:val="single" w:color="auto" w:sz="4" w:space="0"/>
            </w:tcBorders>
            <w:vAlign w:val="center"/>
          </w:tcPr>
          <w:p w14:paraId="156425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矿山采场具备自然外排条件。</w:t>
            </w:r>
          </w:p>
        </w:tc>
        <w:tc>
          <w:tcPr>
            <w:tcW w:w="893" w:type="dxa"/>
            <w:tcBorders>
              <w:left w:val="single" w:color="auto" w:sz="4" w:space="0"/>
              <w:bottom w:val="single" w:color="auto" w:sz="4" w:space="0"/>
              <w:right w:val="single" w:color="auto" w:sz="4" w:space="0"/>
            </w:tcBorders>
            <w:vAlign w:val="center"/>
          </w:tcPr>
          <w:p w14:paraId="3E0808B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3AF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trPr>
        <w:tc>
          <w:tcPr>
            <w:tcW w:w="668" w:type="dxa"/>
            <w:tcBorders>
              <w:top w:val="single" w:color="auto" w:sz="4" w:space="0"/>
              <w:left w:val="single" w:color="auto" w:sz="4" w:space="0"/>
              <w:bottom w:val="single" w:color="auto" w:sz="4" w:space="0"/>
              <w:right w:val="single" w:color="auto" w:sz="4" w:space="0"/>
            </w:tcBorders>
            <w:vAlign w:val="center"/>
          </w:tcPr>
          <w:p w14:paraId="6B1E3B8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2900" w:type="dxa"/>
            <w:tcBorders>
              <w:top w:val="single" w:color="auto" w:sz="4" w:space="0"/>
              <w:left w:val="single" w:color="auto" w:sz="4" w:space="0"/>
              <w:bottom w:val="single" w:color="auto" w:sz="4" w:space="0"/>
              <w:right w:val="single" w:color="auto" w:sz="4" w:space="0"/>
            </w:tcBorders>
            <w:vAlign w:val="center"/>
          </w:tcPr>
          <w:p w14:paraId="01DE1C6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靠帮边坡应在每一级平台和采场相对汇水区设置截排水沟，将水导出采场。</w:t>
            </w:r>
          </w:p>
        </w:tc>
        <w:tc>
          <w:tcPr>
            <w:tcW w:w="1734" w:type="dxa"/>
            <w:tcBorders>
              <w:top w:val="single" w:color="auto" w:sz="4" w:space="0"/>
              <w:left w:val="single" w:color="auto" w:sz="4" w:space="0"/>
              <w:bottom w:val="single" w:color="auto" w:sz="4" w:space="0"/>
              <w:right w:val="single" w:color="auto" w:sz="4" w:space="0"/>
            </w:tcBorders>
            <w:vAlign w:val="center"/>
          </w:tcPr>
          <w:p w14:paraId="40F4998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《非煤露天矿边坡工程技术规范》GB51016 -2014第7.3.5条</w:t>
            </w:r>
          </w:p>
        </w:tc>
        <w:tc>
          <w:tcPr>
            <w:tcW w:w="2732" w:type="dxa"/>
            <w:tcBorders>
              <w:top w:val="single" w:color="auto" w:sz="4" w:space="0"/>
              <w:left w:val="single" w:color="auto" w:sz="4" w:space="0"/>
              <w:bottom w:val="single" w:color="auto" w:sz="4" w:space="0"/>
              <w:right w:val="single" w:color="auto" w:sz="4" w:space="0"/>
            </w:tcBorders>
            <w:vAlign w:val="center"/>
          </w:tcPr>
          <w:p w14:paraId="02B2781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靠帮边坡在每一级平台内侧设置截排水沟设置排水沟</w:t>
            </w:r>
          </w:p>
        </w:tc>
        <w:tc>
          <w:tcPr>
            <w:tcW w:w="893" w:type="dxa"/>
            <w:tcBorders>
              <w:top w:val="single" w:color="auto" w:sz="4" w:space="0"/>
              <w:left w:val="single" w:color="auto" w:sz="4" w:space="0"/>
              <w:bottom w:val="single" w:color="auto" w:sz="4" w:space="0"/>
              <w:right w:val="single" w:color="auto" w:sz="4" w:space="0"/>
            </w:tcBorders>
            <w:vAlign w:val="center"/>
          </w:tcPr>
          <w:p w14:paraId="13B4A1C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A6D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trPr>
        <w:tc>
          <w:tcPr>
            <w:tcW w:w="668" w:type="dxa"/>
            <w:tcBorders>
              <w:top w:val="single" w:color="auto" w:sz="4" w:space="0"/>
              <w:left w:val="single" w:color="auto" w:sz="4" w:space="0"/>
              <w:bottom w:val="single" w:color="auto" w:sz="4" w:space="0"/>
              <w:right w:val="single" w:color="auto" w:sz="4" w:space="0"/>
            </w:tcBorders>
            <w:vAlign w:val="center"/>
          </w:tcPr>
          <w:p w14:paraId="42DDD99C">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77</w:t>
            </w:r>
          </w:p>
        </w:tc>
        <w:tc>
          <w:tcPr>
            <w:tcW w:w="2900" w:type="dxa"/>
            <w:tcBorders>
              <w:top w:val="single" w:color="auto" w:sz="4" w:space="0"/>
              <w:left w:val="single" w:color="auto" w:sz="4" w:space="0"/>
              <w:bottom w:val="single" w:color="auto" w:sz="4" w:space="0"/>
              <w:right w:val="single" w:color="auto" w:sz="4" w:space="0"/>
            </w:tcBorders>
            <w:vAlign w:val="center"/>
          </w:tcPr>
          <w:p w14:paraId="53F2205E">
            <w:pPr>
              <w:pStyle w:val="131"/>
              <w:rPr>
                <w:color w:val="000000" w:themeColor="text1"/>
                <w14:textFill>
                  <w14:solidFill>
                    <w14:schemeClr w14:val="tx1"/>
                  </w14:solidFill>
                </w14:textFill>
              </w:rPr>
            </w:pPr>
            <w:r>
              <w:rPr>
                <w:color w:val="000000" w:themeColor="text1"/>
                <w14:textFill>
                  <w14:solidFill>
                    <w14:schemeClr w14:val="tx1"/>
                  </w14:solidFill>
                </w14:textFill>
              </w:rPr>
              <w:t>应查清矿区及其附近地表的水流系统、汇水面积、河流沟渠汇水情况、疏水能力、积水区、水利 工程现状和规划情况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以及当地日最大降雨量、历年最高洪水位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并结合矿区特点建立和健全防水、排水系统。</w:t>
            </w:r>
          </w:p>
        </w:tc>
        <w:tc>
          <w:tcPr>
            <w:tcW w:w="1734" w:type="dxa"/>
            <w:tcBorders>
              <w:top w:val="single" w:color="auto" w:sz="4" w:space="0"/>
              <w:left w:val="single" w:color="auto" w:sz="4" w:space="0"/>
              <w:bottom w:val="single" w:color="auto" w:sz="4" w:space="0"/>
              <w:right w:val="single" w:color="auto" w:sz="4" w:space="0"/>
            </w:tcBorders>
            <w:vAlign w:val="center"/>
          </w:tcPr>
          <w:p w14:paraId="0AD0A92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《金属非金属矿山安全规程》GBl6423-2020第6.8.2.1条</w:t>
            </w:r>
          </w:p>
        </w:tc>
        <w:tc>
          <w:tcPr>
            <w:tcW w:w="2732" w:type="dxa"/>
            <w:tcBorders>
              <w:top w:val="single" w:color="auto" w:sz="4" w:space="0"/>
              <w:left w:val="single" w:color="auto" w:sz="4" w:space="0"/>
              <w:bottom w:val="single" w:color="auto" w:sz="4" w:space="0"/>
              <w:right w:val="single" w:color="auto" w:sz="4" w:space="0"/>
            </w:tcBorders>
            <w:vAlign w:val="center"/>
          </w:tcPr>
          <w:p w14:paraId="01F6832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矿区海拔高于附近地表水流系统，自然排泄，无汇水危害。</w:t>
            </w:r>
          </w:p>
        </w:tc>
        <w:tc>
          <w:tcPr>
            <w:tcW w:w="893" w:type="dxa"/>
            <w:tcBorders>
              <w:top w:val="single" w:color="auto" w:sz="4" w:space="0"/>
              <w:left w:val="single" w:color="auto" w:sz="4" w:space="0"/>
              <w:bottom w:val="single" w:color="auto" w:sz="4" w:space="0"/>
              <w:right w:val="single" w:color="auto" w:sz="4" w:space="0"/>
            </w:tcBorders>
            <w:vAlign w:val="center"/>
          </w:tcPr>
          <w:p w14:paraId="69115EC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130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trPr>
        <w:tc>
          <w:tcPr>
            <w:tcW w:w="668" w:type="dxa"/>
            <w:tcBorders>
              <w:top w:val="single" w:color="auto" w:sz="4" w:space="0"/>
              <w:left w:val="single" w:color="auto" w:sz="4" w:space="0"/>
              <w:bottom w:val="single" w:color="auto" w:sz="4" w:space="0"/>
              <w:right w:val="single" w:color="auto" w:sz="4" w:space="0"/>
            </w:tcBorders>
            <w:vAlign w:val="center"/>
          </w:tcPr>
          <w:p w14:paraId="47C36A3C">
            <w:pPr>
              <w:pStyle w:val="14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88</w:t>
            </w:r>
          </w:p>
        </w:tc>
        <w:tc>
          <w:tcPr>
            <w:tcW w:w="2900" w:type="dxa"/>
            <w:tcBorders>
              <w:top w:val="single" w:color="auto" w:sz="4" w:space="0"/>
              <w:left w:val="single" w:color="auto" w:sz="4" w:space="0"/>
              <w:bottom w:val="single" w:color="auto" w:sz="4" w:space="0"/>
              <w:right w:val="single" w:color="auto" w:sz="4" w:space="0"/>
            </w:tcBorders>
            <w:vAlign w:val="center"/>
          </w:tcPr>
          <w:p w14:paraId="2ECF5717">
            <w:pPr>
              <w:pStyle w:val="131"/>
              <w:rPr>
                <w:color w:val="000000" w:themeColor="text1"/>
                <w14:textFill>
                  <w14:solidFill>
                    <w14:schemeClr w14:val="tx1"/>
                  </w14:solidFill>
                </w14:textFill>
              </w:rPr>
            </w:pPr>
            <w:r>
              <w:rPr>
                <w:color w:val="000000" w:themeColor="text1"/>
                <w14:textFill>
                  <w14:solidFill>
                    <w14:schemeClr w14:val="tx1"/>
                  </w14:solidFill>
                </w14:textFill>
              </w:rPr>
              <w:t>每年雨季前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矿山应组织 1 次防水检查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并编制防水计划。 防水工程应在雨季前竣工。</w:t>
            </w:r>
          </w:p>
        </w:tc>
        <w:tc>
          <w:tcPr>
            <w:tcW w:w="1734" w:type="dxa"/>
            <w:tcBorders>
              <w:top w:val="single" w:color="auto" w:sz="4" w:space="0"/>
              <w:left w:val="single" w:color="auto" w:sz="4" w:space="0"/>
              <w:bottom w:val="single" w:color="auto" w:sz="4" w:space="0"/>
              <w:right w:val="single" w:color="auto" w:sz="4" w:space="0"/>
            </w:tcBorders>
            <w:vAlign w:val="center"/>
          </w:tcPr>
          <w:p w14:paraId="634CD84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《金属非金属矿山安全规程》GBl6423-2020第6.8.2.2条</w:t>
            </w:r>
          </w:p>
        </w:tc>
        <w:tc>
          <w:tcPr>
            <w:tcW w:w="2732" w:type="dxa"/>
            <w:tcBorders>
              <w:top w:val="single" w:color="auto" w:sz="4" w:space="0"/>
              <w:left w:val="single" w:color="auto" w:sz="4" w:space="0"/>
              <w:bottom w:val="single" w:color="auto" w:sz="4" w:space="0"/>
              <w:right w:val="single" w:color="auto" w:sz="4" w:space="0"/>
            </w:tcBorders>
            <w:vAlign w:val="center"/>
          </w:tcPr>
          <w:p w14:paraId="1612349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矿山应编制防水计划并完成防水工程。</w:t>
            </w:r>
          </w:p>
        </w:tc>
        <w:tc>
          <w:tcPr>
            <w:tcW w:w="893" w:type="dxa"/>
            <w:tcBorders>
              <w:top w:val="single" w:color="auto" w:sz="4" w:space="0"/>
              <w:left w:val="single" w:color="auto" w:sz="4" w:space="0"/>
              <w:bottom w:val="single" w:color="auto" w:sz="4" w:space="0"/>
              <w:right w:val="single" w:color="auto" w:sz="4" w:space="0"/>
            </w:tcBorders>
            <w:vAlign w:val="center"/>
          </w:tcPr>
          <w:p w14:paraId="5377ACE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2B5AC217">
      <w:pPr>
        <w:pStyle w:val="5"/>
        <w:spacing w:after="120"/>
        <w:rPr>
          <w:color w:val="000000" w:themeColor="text1"/>
          <w14:textFill>
            <w14:solidFill>
              <w14:schemeClr w14:val="tx1"/>
            </w14:solidFill>
          </w14:textFill>
        </w:rPr>
      </w:pPr>
      <w:bookmarkStart w:id="2748" w:name="_Toc16472"/>
      <w:bookmarkStart w:id="2749" w:name="_Toc22352"/>
      <w:bookmarkStart w:id="2750" w:name="_Toc7822"/>
      <w:bookmarkStart w:id="2751" w:name="_Toc1779"/>
      <w:bookmarkStart w:id="2752" w:name="_Toc12913"/>
      <w:bookmarkStart w:id="2753" w:name="_Toc25141"/>
      <w:bookmarkStart w:id="2754" w:name="_Toc31766"/>
      <w:bookmarkStart w:id="2755" w:name="_Toc21403"/>
      <w:bookmarkStart w:id="2756" w:name="_Toc28708"/>
      <w:bookmarkStart w:id="2757" w:name="_Toc13527"/>
      <w:bookmarkStart w:id="2758" w:name="_Toc215070291"/>
      <w:r>
        <w:rPr>
          <w:rFonts w:hint="eastAsia"/>
          <w:color w:val="000000" w:themeColor="text1"/>
          <w14:textFill>
            <w14:solidFill>
              <w14:schemeClr w14:val="tx1"/>
            </w14:solidFill>
          </w14:textFill>
        </w:rPr>
        <w:t>3.7.3防灭火安全检查表</w:t>
      </w:r>
      <w:bookmarkEnd w:id="2748"/>
      <w:bookmarkEnd w:id="2749"/>
      <w:bookmarkEnd w:id="2750"/>
      <w:bookmarkEnd w:id="2751"/>
      <w:bookmarkEnd w:id="2752"/>
      <w:bookmarkEnd w:id="2753"/>
      <w:bookmarkEnd w:id="2754"/>
      <w:bookmarkEnd w:id="2755"/>
      <w:bookmarkEnd w:id="2756"/>
      <w:bookmarkEnd w:id="2757"/>
      <w:bookmarkEnd w:id="2758"/>
    </w:p>
    <w:p w14:paraId="53D4B3E9">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表3.7-2防灭火安全检查表</w:t>
      </w:r>
    </w:p>
    <w:tbl>
      <w:tblPr>
        <w:tblStyle w:val="44"/>
        <w:tblW w:w="89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037"/>
        <w:gridCol w:w="1656"/>
        <w:gridCol w:w="3673"/>
        <w:gridCol w:w="906"/>
      </w:tblGrid>
      <w:tr w14:paraId="739D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68" w:type="dxa"/>
            <w:tcBorders>
              <w:top w:val="single" w:color="auto" w:sz="4" w:space="0"/>
              <w:left w:val="single" w:color="auto" w:sz="4" w:space="0"/>
              <w:bottom w:val="single" w:color="auto" w:sz="4" w:space="0"/>
              <w:right w:val="single" w:color="auto" w:sz="4" w:space="0"/>
            </w:tcBorders>
            <w:vAlign w:val="center"/>
          </w:tcPr>
          <w:p w14:paraId="2206DD65">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37" w:type="dxa"/>
            <w:tcBorders>
              <w:top w:val="single" w:color="auto" w:sz="4" w:space="0"/>
              <w:left w:val="single" w:color="auto" w:sz="4" w:space="0"/>
              <w:bottom w:val="single" w:color="auto" w:sz="4" w:space="0"/>
              <w:right w:val="single" w:color="auto" w:sz="4" w:space="0"/>
            </w:tcBorders>
            <w:vAlign w:val="center"/>
          </w:tcPr>
          <w:p w14:paraId="7C6826CE">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检查项目</w:t>
            </w:r>
          </w:p>
        </w:tc>
        <w:tc>
          <w:tcPr>
            <w:tcW w:w="1656" w:type="dxa"/>
            <w:tcBorders>
              <w:top w:val="single" w:color="auto" w:sz="4" w:space="0"/>
              <w:left w:val="single" w:color="auto" w:sz="4" w:space="0"/>
              <w:bottom w:val="single" w:color="auto" w:sz="4" w:space="0"/>
              <w:right w:val="single" w:color="auto" w:sz="4" w:space="0"/>
            </w:tcBorders>
            <w:vAlign w:val="center"/>
          </w:tcPr>
          <w:p w14:paraId="42A5B91A">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检查依据</w:t>
            </w:r>
          </w:p>
        </w:tc>
        <w:tc>
          <w:tcPr>
            <w:tcW w:w="3673" w:type="dxa"/>
            <w:tcBorders>
              <w:top w:val="single" w:color="auto" w:sz="4" w:space="0"/>
              <w:left w:val="single" w:color="auto" w:sz="4" w:space="0"/>
              <w:bottom w:val="single" w:color="auto" w:sz="4" w:space="0"/>
              <w:right w:val="single" w:color="auto" w:sz="4" w:space="0"/>
            </w:tcBorders>
            <w:vAlign w:val="center"/>
          </w:tcPr>
          <w:p w14:paraId="6ABAF57B">
            <w:pPr>
              <w:pStyle w:val="67"/>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906" w:type="dxa"/>
            <w:tcBorders>
              <w:top w:val="single" w:color="auto" w:sz="4" w:space="0"/>
              <w:left w:val="single" w:color="auto" w:sz="4" w:space="0"/>
              <w:bottom w:val="single" w:color="auto" w:sz="4" w:space="0"/>
              <w:right w:val="single" w:color="auto" w:sz="4" w:space="0"/>
            </w:tcBorders>
            <w:vAlign w:val="center"/>
          </w:tcPr>
          <w:p w14:paraId="21686420">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w:t>
            </w:r>
          </w:p>
          <w:p w14:paraId="3CD5DD71">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结果</w:t>
            </w:r>
          </w:p>
        </w:tc>
      </w:tr>
      <w:tr w14:paraId="0AF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668" w:type="dxa"/>
            <w:tcBorders>
              <w:top w:val="single" w:color="auto" w:sz="4" w:space="0"/>
              <w:left w:val="single" w:color="auto" w:sz="4" w:space="0"/>
              <w:bottom w:val="single" w:color="auto" w:sz="4" w:space="0"/>
              <w:right w:val="single" w:color="auto" w:sz="4" w:space="0"/>
            </w:tcBorders>
            <w:vAlign w:val="center"/>
          </w:tcPr>
          <w:p w14:paraId="6AEC933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2037" w:type="dxa"/>
            <w:tcBorders>
              <w:top w:val="single" w:color="auto" w:sz="4" w:space="0"/>
              <w:left w:val="single" w:color="auto" w:sz="4" w:space="0"/>
              <w:bottom w:val="single" w:color="auto" w:sz="4" w:space="0"/>
              <w:right w:val="single" w:color="auto" w:sz="4" w:space="0"/>
            </w:tcBorders>
            <w:vAlign w:val="center"/>
          </w:tcPr>
          <w:p w14:paraId="10D7E72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矿山建构筑物应建立消防设施，设置消防器材。</w:t>
            </w:r>
          </w:p>
        </w:tc>
        <w:tc>
          <w:tcPr>
            <w:tcW w:w="1656" w:type="dxa"/>
            <w:tcBorders>
              <w:top w:val="single" w:color="auto" w:sz="4" w:space="0"/>
              <w:left w:val="single" w:color="auto" w:sz="4" w:space="0"/>
              <w:bottom w:val="single" w:color="auto" w:sz="4" w:space="0"/>
              <w:right w:val="single" w:color="auto" w:sz="4" w:space="0"/>
            </w:tcBorders>
            <w:vAlign w:val="center"/>
          </w:tcPr>
          <w:p w14:paraId="45CC15C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《金属非金属矿山安全规程》GBl6423-2020第5.7.2.1条</w:t>
            </w:r>
          </w:p>
        </w:tc>
        <w:tc>
          <w:tcPr>
            <w:tcW w:w="3673" w:type="dxa"/>
            <w:tcBorders>
              <w:top w:val="single" w:color="auto" w:sz="4" w:space="0"/>
              <w:left w:val="single" w:color="auto" w:sz="4" w:space="0"/>
              <w:bottom w:val="single" w:color="auto" w:sz="4" w:space="0"/>
              <w:right w:val="single" w:color="auto" w:sz="4" w:space="0"/>
            </w:tcBorders>
            <w:vAlign w:val="center"/>
          </w:tcPr>
          <w:p w14:paraId="416CD6ED">
            <w:pPr>
              <w:pStyle w:val="71"/>
              <w:rPr>
                <w:rFonts w:hint="default"/>
                <w:color w:val="000000" w:themeColor="text1"/>
                <w14:textFill>
                  <w14:solidFill>
                    <w14:schemeClr w14:val="tx1"/>
                  </w14:solidFill>
                </w14:textFill>
              </w:rPr>
            </w:pPr>
            <w:r>
              <w:rPr>
                <w:rFonts w:hint="default"/>
                <w:color w:val="000000" w:themeColor="text1"/>
                <w:lang w:val="zh-TW" w:eastAsia="zh-TW"/>
                <w14:textFill>
                  <w14:solidFill>
                    <w14:schemeClr w14:val="tx1"/>
                  </w14:solidFill>
                </w14:textFill>
              </w:rPr>
              <w:t>各防火地点，均按规定设有灭火器材、报火警仪器等。电缆沟、配电室均按防火规范要求进行设计</w:t>
            </w:r>
            <w:r>
              <w:rPr>
                <w:color w:val="000000" w:themeColor="text1"/>
                <w:lang w:val="zh-TW"/>
                <w14:textFill>
                  <w14:solidFill>
                    <w14:schemeClr w14:val="tx1"/>
                  </w14:solidFill>
                </w14:textFill>
              </w:rPr>
              <w:t>。</w:t>
            </w:r>
          </w:p>
        </w:tc>
        <w:tc>
          <w:tcPr>
            <w:tcW w:w="906" w:type="dxa"/>
            <w:tcBorders>
              <w:top w:val="single" w:color="auto" w:sz="4" w:space="0"/>
              <w:left w:val="single" w:color="auto" w:sz="4" w:space="0"/>
              <w:bottom w:val="single" w:color="auto" w:sz="4" w:space="0"/>
              <w:right w:val="single" w:color="auto" w:sz="4" w:space="0"/>
            </w:tcBorders>
            <w:vAlign w:val="center"/>
          </w:tcPr>
          <w:p w14:paraId="077E153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664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668" w:type="dxa"/>
            <w:tcBorders>
              <w:top w:val="single" w:color="auto" w:sz="4" w:space="0"/>
              <w:left w:val="single" w:color="auto" w:sz="4" w:space="0"/>
              <w:bottom w:val="single" w:color="auto" w:sz="4" w:space="0"/>
              <w:right w:val="single" w:color="auto" w:sz="4" w:space="0"/>
            </w:tcBorders>
            <w:vAlign w:val="center"/>
          </w:tcPr>
          <w:p w14:paraId="15C7722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2037" w:type="dxa"/>
            <w:tcBorders>
              <w:top w:val="single" w:color="auto" w:sz="4" w:space="0"/>
              <w:left w:val="single" w:color="auto" w:sz="4" w:space="0"/>
              <w:bottom w:val="single" w:color="auto" w:sz="4" w:space="0"/>
              <w:right w:val="single" w:color="auto" w:sz="4" w:space="0"/>
            </w:tcBorders>
            <w:vAlign w:val="center"/>
          </w:tcPr>
          <w:p w14:paraId="1F73150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露天矿用设备应配备灭火器。</w:t>
            </w:r>
          </w:p>
        </w:tc>
        <w:tc>
          <w:tcPr>
            <w:tcW w:w="1656" w:type="dxa"/>
            <w:tcBorders>
              <w:top w:val="single" w:color="auto" w:sz="4" w:space="0"/>
              <w:left w:val="single" w:color="auto" w:sz="4" w:space="0"/>
              <w:bottom w:val="single" w:color="auto" w:sz="4" w:space="0"/>
              <w:right w:val="single" w:color="auto" w:sz="4" w:space="0"/>
            </w:tcBorders>
            <w:vAlign w:val="center"/>
          </w:tcPr>
          <w:p w14:paraId="1CFAF66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《金属非金属矿山安全规程》GBl6423 -2020第5.7.2.2条</w:t>
            </w:r>
          </w:p>
        </w:tc>
        <w:tc>
          <w:tcPr>
            <w:tcW w:w="3673" w:type="dxa"/>
            <w:tcBorders>
              <w:top w:val="single" w:color="auto" w:sz="4" w:space="0"/>
              <w:left w:val="single" w:color="auto" w:sz="4" w:space="0"/>
              <w:bottom w:val="single" w:color="auto" w:sz="4" w:space="0"/>
              <w:right w:val="single" w:color="auto" w:sz="4" w:space="0"/>
            </w:tcBorders>
            <w:vAlign w:val="center"/>
          </w:tcPr>
          <w:p w14:paraId="62CC8C9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未对在挖掘机、潜孔钻、运输车辆等设备上配置灭火器进行说明。</w:t>
            </w:r>
          </w:p>
        </w:tc>
        <w:tc>
          <w:tcPr>
            <w:tcW w:w="906" w:type="dxa"/>
            <w:tcBorders>
              <w:top w:val="single" w:color="auto" w:sz="4" w:space="0"/>
              <w:left w:val="single" w:color="auto" w:sz="4" w:space="0"/>
              <w:bottom w:val="single" w:color="auto" w:sz="4" w:space="0"/>
              <w:right w:val="single" w:color="auto" w:sz="4" w:space="0"/>
            </w:tcBorders>
            <w:vAlign w:val="center"/>
          </w:tcPr>
          <w:p w14:paraId="5C3B34C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57F8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668" w:type="dxa"/>
            <w:tcBorders>
              <w:top w:val="single" w:color="auto" w:sz="4" w:space="0"/>
              <w:left w:val="single" w:color="auto" w:sz="4" w:space="0"/>
              <w:bottom w:val="single" w:color="auto" w:sz="4" w:space="0"/>
              <w:right w:val="single" w:color="auto" w:sz="4" w:space="0"/>
            </w:tcBorders>
            <w:vAlign w:val="center"/>
          </w:tcPr>
          <w:p w14:paraId="41B40C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2037" w:type="dxa"/>
            <w:tcBorders>
              <w:top w:val="single" w:color="auto" w:sz="4" w:space="0"/>
              <w:left w:val="single" w:color="auto" w:sz="4" w:space="0"/>
              <w:bottom w:val="single" w:color="auto" w:sz="4" w:space="0"/>
              <w:right w:val="single" w:color="auto" w:sz="4" w:space="0"/>
            </w:tcBorders>
            <w:vAlign w:val="center"/>
          </w:tcPr>
          <w:p w14:paraId="3352961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露天矿用设备上严禁存放汽油和其他易燃易爆品。</w:t>
            </w:r>
          </w:p>
        </w:tc>
        <w:tc>
          <w:tcPr>
            <w:tcW w:w="1656" w:type="dxa"/>
            <w:tcBorders>
              <w:top w:val="single" w:color="auto" w:sz="4" w:space="0"/>
              <w:left w:val="single" w:color="auto" w:sz="4" w:space="0"/>
              <w:bottom w:val="single" w:color="auto" w:sz="4" w:space="0"/>
              <w:right w:val="single" w:color="auto" w:sz="4" w:space="0"/>
            </w:tcBorders>
            <w:vAlign w:val="center"/>
          </w:tcPr>
          <w:p w14:paraId="025445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《金属非金属矿山安全规程》GBl6423-2020第5.7.2.4条</w:t>
            </w:r>
          </w:p>
        </w:tc>
        <w:tc>
          <w:tcPr>
            <w:tcW w:w="3673" w:type="dxa"/>
            <w:tcBorders>
              <w:top w:val="single" w:color="auto" w:sz="4" w:space="0"/>
              <w:left w:val="single" w:color="auto" w:sz="4" w:space="0"/>
              <w:bottom w:val="single" w:color="auto" w:sz="4" w:space="0"/>
              <w:right w:val="single" w:color="auto" w:sz="4" w:space="0"/>
            </w:tcBorders>
            <w:vAlign w:val="center"/>
          </w:tcPr>
          <w:p w14:paraId="7603967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汽油和其他易燃易爆品妥善保存。</w:t>
            </w:r>
          </w:p>
        </w:tc>
        <w:tc>
          <w:tcPr>
            <w:tcW w:w="906" w:type="dxa"/>
            <w:tcBorders>
              <w:top w:val="single" w:color="auto" w:sz="4" w:space="0"/>
              <w:left w:val="single" w:color="auto" w:sz="4" w:space="0"/>
              <w:bottom w:val="single" w:color="auto" w:sz="4" w:space="0"/>
              <w:right w:val="single" w:color="auto" w:sz="4" w:space="0"/>
            </w:tcBorders>
            <w:vAlign w:val="center"/>
          </w:tcPr>
          <w:p w14:paraId="02B0E97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801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0" w:hRule="atLeast"/>
        </w:trPr>
        <w:tc>
          <w:tcPr>
            <w:tcW w:w="668" w:type="dxa"/>
            <w:tcBorders>
              <w:left w:val="single" w:color="auto" w:sz="4" w:space="0"/>
              <w:bottom w:val="single" w:color="auto" w:sz="4" w:space="0"/>
              <w:right w:val="single" w:color="auto" w:sz="4" w:space="0"/>
            </w:tcBorders>
            <w:vAlign w:val="center"/>
          </w:tcPr>
          <w:p w14:paraId="70CA936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2037" w:type="dxa"/>
            <w:tcBorders>
              <w:left w:val="single" w:color="auto" w:sz="4" w:space="0"/>
              <w:bottom w:val="single" w:color="auto" w:sz="4" w:space="0"/>
              <w:right w:val="single" w:color="auto" w:sz="4" w:space="0"/>
            </w:tcBorders>
            <w:vAlign w:val="center"/>
          </w:tcPr>
          <w:p w14:paraId="2686DE2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严禁用汽油擦洗设备。</w:t>
            </w:r>
          </w:p>
        </w:tc>
        <w:tc>
          <w:tcPr>
            <w:tcW w:w="1656" w:type="dxa"/>
            <w:tcBorders>
              <w:top w:val="single" w:color="auto" w:sz="4" w:space="0"/>
              <w:left w:val="single" w:color="auto" w:sz="4" w:space="0"/>
              <w:bottom w:val="single" w:color="auto" w:sz="4" w:space="0"/>
              <w:right w:val="single" w:color="auto" w:sz="4" w:space="0"/>
            </w:tcBorders>
            <w:vAlign w:val="center"/>
          </w:tcPr>
          <w:p w14:paraId="1F04FC9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《金属非金属矿山安全规程》GBl6423-2020第5.7.2.5条</w:t>
            </w:r>
          </w:p>
        </w:tc>
        <w:tc>
          <w:tcPr>
            <w:tcW w:w="3673" w:type="dxa"/>
            <w:tcBorders>
              <w:top w:val="single" w:color="auto" w:sz="4" w:space="0"/>
              <w:left w:val="single" w:color="auto" w:sz="4" w:space="0"/>
              <w:bottom w:val="single" w:color="auto" w:sz="4" w:space="0"/>
              <w:right w:val="single" w:color="auto" w:sz="4" w:space="0"/>
            </w:tcBorders>
            <w:vAlign w:val="center"/>
          </w:tcPr>
          <w:p w14:paraId="1D5B342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制定和遵守防火安全规程。</w:t>
            </w:r>
          </w:p>
        </w:tc>
        <w:tc>
          <w:tcPr>
            <w:tcW w:w="906" w:type="dxa"/>
            <w:tcBorders>
              <w:left w:val="single" w:color="auto" w:sz="4" w:space="0"/>
              <w:bottom w:val="single" w:color="auto" w:sz="4" w:space="0"/>
              <w:right w:val="single" w:color="auto" w:sz="4" w:space="0"/>
            </w:tcBorders>
            <w:vAlign w:val="center"/>
          </w:tcPr>
          <w:p w14:paraId="4EED7DD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817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rPr>
        <w:tc>
          <w:tcPr>
            <w:tcW w:w="668" w:type="dxa"/>
            <w:tcBorders>
              <w:top w:val="single" w:color="auto" w:sz="4" w:space="0"/>
              <w:left w:val="single" w:color="auto" w:sz="4" w:space="0"/>
              <w:bottom w:val="single" w:color="auto" w:sz="4" w:space="0"/>
              <w:right w:val="single" w:color="auto" w:sz="4" w:space="0"/>
            </w:tcBorders>
            <w:vAlign w:val="center"/>
          </w:tcPr>
          <w:p w14:paraId="34D7982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2037" w:type="dxa"/>
            <w:tcBorders>
              <w:top w:val="single" w:color="auto" w:sz="4" w:space="0"/>
              <w:left w:val="single" w:color="auto" w:sz="4" w:space="0"/>
              <w:bottom w:val="single" w:color="auto" w:sz="4" w:space="0"/>
              <w:right w:val="single" w:color="auto" w:sz="4" w:space="0"/>
            </w:tcBorders>
            <w:vAlign w:val="center"/>
          </w:tcPr>
          <w:p w14:paraId="4DF50CF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易燃易爆物品不应放在轨道接头、电缆接头或接地极附近。废弃的油料、棉纱和易燃物应妥善管理。</w:t>
            </w:r>
          </w:p>
        </w:tc>
        <w:tc>
          <w:tcPr>
            <w:tcW w:w="1656" w:type="dxa"/>
            <w:tcBorders>
              <w:top w:val="single" w:color="auto" w:sz="4" w:space="0"/>
              <w:left w:val="single" w:color="auto" w:sz="4" w:space="0"/>
              <w:bottom w:val="single" w:color="auto" w:sz="4" w:space="0"/>
              <w:right w:val="single" w:color="auto" w:sz="4" w:space="0"/>
            </w:tcBorders>
            <w:vAlign w:val="center"/>
          </w:tcPr>
          <w:p w14:paraId="4D00840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《金属非金属矿山安全规程》GBl6423-2020第5.7.2.6条</w:t>
            </w:r>
          </w:p>
        </w:tc>
        <w:tc>
          <w:tcPr>
            <w:tcW w:w="3673" w:type="dxa"/>
            <w:tcBorders>
              <w:top w:val="single" w:color="auto" w:sz="4" w:space="0"/>
              <w:left w:val="single" w:color="auto" w:sz="4" w:space="0"/>
              <w:bottom w:val="single" w:color="auto" w:sz="4" w:space="0"/>
              <w:right w:val="single" w:color="auto" w:sz="4" w:space="0"/>
            </w:tcBorders>
            <w:vAlign w:val="center"/>
          </w:tcPr>
          <w:p w14:paraId="27D4ED6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制定和遵守防火安全规程。</w:t>
            </w:r>
          </w:p>
        </w:tc>
        <w:tc>
          <w:tcPr>
            <w:tcW w:w="906" w:type="dxa"/>
            <w:tcBorders>
              <w:top w:val="single" w:color="auto" w:sz="4" w:space="0"/>
              <w:left w:val="single" w:color="auto" w:sz="4" w:space="0"/>
              <w:bottom w:val="single" w:color="auto" w:sz="4" w:space="0"/>
              <w:right w:val="single" w:color="auto" w:sz="4" w:space="0"/>
            </w:tcBorders>
            <w:vAlign w:val="center"/>
          </w:tcPr>
          <w:p w14:paraId="2EA3AC5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06DA1E2B">
      <w:pPr>
        <w:pStyle w:val="5"/>
        <w:spacing w:after="120"/>
        <w:rPr>
          <w:color w:val="000000" w:themeColor="text1"/>
          <w14:textFill>
            <w14:solidFill>
              <w14:schemeClr w14:val="tx1"/>
            </w14:solidFill>
          </w14:textFill>
        </w:rPr>
      </w:pPr>
      <w:bookmarkStart w:id="2759" w:name="_Toc22274"/>
      <w:bookmarkStart w:id="2760" w:name="_Toc346"/>
      <w:bookmarkStart w:id="2761" w:name="_Toc1659"/>
      <w:bookmarkStart w:id="2762" w:name="_Toc28453"/>
      <w:bookmarkStart w:id="2763" w:name="_Toc22855"/>
      <w:bookmarkStart w:id="2764" w:name="_Toc7092"/>
      <w:bookmarkStart w:id="2765" w:name="_Toc215070292"/>
      <w:bookmarkStart w:id="2766" w:name="_Toc8165"/>
      <w:bookmarkStart w:id="2767" w:name="_Toc742"/>
      <w:bookmarkStart w:id="2768" w:name="_Toc127"/>
      <w:bookmarkStart w:id="2769" w:name="_Toc10095"/>
      <w:r>
        <w:rPr>
          <w:rFonts w:hint="eastAsia"/>
          <w:color w:val="000000" w:themeColor="text1"/>
          <w14:textFill>
            <w14:solidFill>
              <w14:schemeClr w14:val="tx1"/>
            </w14:solidFill>
          </w14:textFill>
        </w:rPr>
        <w:t>3.7.4单元小结</w:t>
      </w:r>
      <w:bookmarkEnd w:id="2746"/>
      <w:bookmarkEnd w:id="2747"/>
      <w:bookmarkEnd w:id="2759"/>
      <w:bookmarkEnd w:id="2760"/>
      <w:bookmarkEnd w:id="2761"/>
      <w:bookmarkEnd w:id="2762"/>
      <w:bookmarkEnd w:id="2763"/>
      <w:bookmarkEnd w:id="2764"/>
      <w:bookmarkEnd w:id="2765"/>
      <w:bookmarkEnd w:id="2766"/>
      <w:bookmarkEnd w:id="2767"/>
      <w:bookmarkEnd w:id="2768"/>
      <w:bookmarkEnd w:id="2769"/>
    </w:p>
    <w:p w14:paraId="78C40A9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可行性研究报告对露天矿山相关排水设施进行</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，同时就设置消防器材进行说明，可行性研究报告</w:t>
      </w:r>
      <w:r>
        <w:rPr>
          <w:color w:val="000000" w:themeColor="text1"/>
          <w14:textFill>
            <w14:solidFill>
              <w14:schemeClr w14:val="tx1"/>
            </w14:solidFill>
          </w14:textFill>
        </w:rPr>
        <w:t>中的防排水设施</w:t>
      </w:r>
      <w:r>
        <w:rPr>
          <w:rFonts w:hint="eastAsia"/>
          <w:color w:val="000000" w:themeColor="text1"/>
          <w14:textFill>
            <w14:solidFill>
              <w14:schemeClr w14:val="tx1"/>
            </w14:solidFill>
          </w14:textFill>
        </w:rPr>
        <w:t>、防灭火设施</w:t>
      </w:r>
      <w:r>
        <w:rPr>
          <w:color w:val="000000" w:themeColor="text1"/>
          <w14:textFill>
            <w14:solidFill>
              <w14:schemeClr w14:val="tx1"/>
            </w14:solidFill>
          </w14:textFill>
        </w:rPr>
        <w:t>符合《金属非金属矿山安全规程</w:t>
      </w:r>
      <w:r>
        <w:rPr>
          <w:rFonts w:hint="eastAsia"/>
          <w:color w:val="000000" w:themeColor="text1"/>
          <w14:textFill>
            <w14:solidFill>
              <w14:schemeClr w14:val="tx1"/>
            </w14:solidFill>
          </w14:textFill>
        </w:rPr>
        <w:t>》（GB16423-2020）</w:t>
      </w:r>
      <w:r>
        <w:rPr>
          <w:color w:val="000000" w:themeColor="text1"/>
          <w14:textFill>
            <w14:solidFill>
              <w14:schemeClr w14:val="tx1"/>
            </w14:solidFill>
          </w14:textFill>
        </w:rPr>
        <w:t>的要求</w:t>
      </w:r>
      <w:r>
        <w:rPr>
          <w:rFonts w:hint="eastAsia"/>
          <w:color w:val="000000" w:themeColor="text1"/>
          <w14:textFill>
            <w14:solidFill>
              <w14:schemeClr w14:val="tx1"/>
            </w14:solidFill>
          </w14:textFill>
        </w:rPr>
        <w:t>。</w:t>
      </w:r>
    </w:p>
    <w:p w14:paraId="13D670A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在下一步安全设施设计中应进行设计说明：</w:t>
      </w:r>
    </w:p>
    <w:p w14:paraId="24ACD35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1、按照《金属非金属矿山安全规程》GBl6423-2020第5.7.2.4条、第5.7.2.5条的要求，明确矿用设备安全管理要求。</w:t>
      </w:r>
    </w:p>
    <w:p w14:paraId="1534A98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2、按照《金属非金属矿山安全规程》GBl6423-2020第5.7.2.2条的要求，明确挖掘机、潜孔钻、运输车辆等设备上需配置灭火器进行说明。</w:t>
      </w:r>
    </w:p>
    <w:p w14:paraId="2058F36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3、根据现状，形成得采坑</w:t>
      </w:r>
      <w:r>
        <w:rPr>
          <w:rFonts w:hint="eastAsia"/>
          <w:color w:val="000000" w:themeColor="text1"/>
          <w:szCs w:val="28"/>
          <w14:textFill>
            <w14:solidFill>
              <w14:schemeClr w14:val="tx1"/>
            </w14:solidFill>
          </w14:textFill>
        </w:rPr>
        <w:t>，</w:t>
      </w:r>
      <w:r>
        <w:rPr>
          <w:color w:val="000000" w:themeColor="text1"/>
          <w14:textFill>
            <w14:solidFill>
              <w14:schemeClr w14:val="tx1"/>
            </w14:solidFill>
          </w14:textFill>
        </w:rPr>
        <w:t>采坑容易积水，会发生溺水等伤害事故。</w:t>
      </w:r>
      <w:r>
        <w:rPr>
          <w:rFonts w:hint="eastAsia"/>
          <w:color w:val="000000" w:themeColor="text1"/>
          <w14:textFill>
            <w14:solidFill>
              <w14:schemeClr w14:val="tx1"/>
            </w14:solidFill>
          </w14:textFill>
        </w:rPr>
        <w:t>明确安全防护措施。</w:t>
      </w:r>
    </w:p>
    <w:bookmarkEnd w:id="1844"/>
    <w:bookmarkEnd w:id="1845"/>
    <w:bookmarkEnd w:id="2098"/>
    <w:bookmarkEnd w:id="2099"/>
    <w:bookmarkEnd w:id="2100"/>
    <w:bookmarkEnd w:id="2101"/>
    <w:bookmarkEnd w:id="2102"/>
    <w:p w14:paraId="0F7F1303">
      <w:pPr>
        <w:pStyle w:val="4"/>
        <w:spacing w:before="240" w:after="120"/>
        <w:rPr>
          <w:color w:val="000000" w:themeColor="text1"/>
          <w14:textFill>
            <w14:solidFill>
              <w14:schemeClr w14:val="tx1"/>
            </w14:solidFill>
          </w14:textFill>
        </w:rPr>
      </w:pPr>
      <w:bookmarkStart w:id="2770" w:name="_Toc12276"/>
      <w:bookmarkStart w:id="2771" w:name="_Toc392680772"/>
      <w:bookmarkStart w:id="2772" w:name="_Toc199064461"/>
      <w:bookmarkStart w:id="2773" w:name="_Toc20318"/>
      <w:bookmarkStart w:id="2774" w:name="_Toc21372"/>
      <w:bookmarkStart w:id="2775" w:name="_Toc15800"/>
      <w:bookmarkStart w:id="2776" w:name="_Toc215070293"/>
      <w:bookmarkStart w:id="2777" w:name="_Toc2256"/>
      <w:bookmarkStart w:id="2778" w:name="_Toc30827"/>
      <w:bookmarkStart w:id="2779" w:name="_Toc6315"/>
      <w:bookmarkStart w:id="2780" w:name="_Toc28016"/>
      <w:bookmarkStart w:id="2781" w:name="_Toc31904"/>
      <w:bookmarkStart w:id="2782" w:name="_Toc32169"/>
      <w:bookmarkStart w:id="2783" w:name="_Toc16740"/>
      <w:bookmarkStart w:id="2784" w:name="_Toc14737"/>
      <w:bookmarkStart w:id="2785" w:name="_Toc30889"/>
      <w:bookmarkStart w:id="2786" w:name="_Toc4809"/>
      <w:bookmarkStart w:id="2787" w:name="_Toc144092227"/>
      <w:bookmarkStart w:id="2788" w:name="_Toc153698805"/>
      <w:bookmarkStart w:id="2789" w:name="_Toc149748341"/>
      <w:bookmarkStart w:id="2790" w:name="_Toc105676229"/>
      <w:bookmarkStart w:id="2791" w:name="_Toc105730594"/>
      <w:bookmarkStart w:id="2792" w:name="_Toc105675210"/>
      <w:bookmarkStart w:id="2793" w:name="_Toc149748337"/>
      <w:bookmarkStart w:id="2794" w:name="_Toc105675786"/>
      <w:r>
        <w:rPr>
          <w:rFonts w:hint="eastAsia"/>
          <w:color w:val="000000" w:themeColor="text1"/>
          <w14:textFill>
            <w14:solidFill>
              <w14:schemeClr w14:val="tx1"/>
            </w14:solidFill>
          </w14:textFill>
        </w:rPr>
        <w:t>3.</w:t>
      </w:r>
      <w:bookmarkEnd w:id="2770"/>
      <w:bookmarkEnd w:id="2771"/>
      <w:bookmarkEnd w:id="2772"/>
      <w:bookmarkEnd w:id="2773"/>
      <w:bookmarkEnd w:id="2774"/>
      <w:bookmarkEnd w:id="2775"/>
      <w:r>
        <w:rPr>
          <w:rFonts w:hint="eastAsia"/>
          <w:color w:val="000000" w:themeColor="text1"/>
          <w14:textFill>
            <w14:solidFill>
              <w14:schemeClr w14:val="tx1"/>
            </w14:solidFill>
          </w14:textFill>
        </w:rPr>
        <w:t>8破碎站单元</w:t>
      </w:r>
      <w:bookmarkEnd w:id="2776"/>
    </w:p>
    <w:p w14:paraId="190903FA">
      <w:pPr>
        <w:pStyle w:val="5"/>
        <w:spacing w:after="120"/>
        <w:rPr>
          <w:color w:val="000000" w:themeColor="text1"/>
          <w14:textFill>
            <w14:solidFill>
              <w14:schemeClr w14:val="tx1"/>
            </w14:solidFill>
          </w14:textFill>
        </w:rPr>
      </w:pPr>
      <w:bookmarkStart w:id="2795" w:name="_Toc11133"/>
      <w:bookmarkStart w:id="2796" w:name="_Toc215070294"/>
      <w:r>
        <w:rPr>
          <w:rFonts w:hint="eastAsia"/>
          <w:color w:val="000000" w:themeColor="text1"/>
          <w14:textFill>
            <w14:solidFill>
              <w14:schemeClr w14:val="tx1"/>
            </w14:solidFill>
          </w14:textFill>
        </w:rPr>
        <w:t>3.8.1破碎单元安全检查法分析</w:t>
      </w:r>
      <w:bookmarkEnd w:id="2795"/>
      <w:bookmarkEnd w:id="2796"/>
    </w:p>
    <w:p w14:paraId="09EA55E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采用安全检查法对破碎单元危险和有害因素辨识分析。</w:t>
      </w:r>
    </w:p>
    <w:p w14:paraId="7DEE4EB7">
      <w:pPr>
        <w:ind w:firstLine="560"/>
        <w:rPr>
          <w:bCs/>
          <w:color w:val="000000" w:themeColor="text1"/>
          <w14:textFill>
            <w14:solidFill>
              <w14:schemeClr w14:val="tx1"/>
            </w14:solidFill>
          </w14:textFill>
        </w:rPr>
      </w:pPr>
      <w:r>
        <w:rPr>
          <w:rFonts w:hint="eastAsia"/>
          <w:color w:val="000000" w:themeColor="text1"/>
          <w14:textFill>
            <w14:solidFill>
              <w14:schemeClr w14:val="tx1"/>
            </w14:solidFill>
          </w14:textFill>
        </w:rPr>
        <w:t>破碎单元</w:t>
      </w:r>
      <w:r>
        <w:rPr>
          <w:color w:val="000000" w:themeColor="text1"/>
          <w14:textFill>
            <w14:solidFill>
              <w14:schemeClr w14:val="tx1"/>
            </w14:solidFill>
          </w14:textFill>
        </w:rPr>
        <w:t>存在的主要危险</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有害因素</w:t>
      </w:r>
      <w:r>
        <w:rPr>
          <w:rFonts w:hint="eastAsia"/>
          <w:color w:val="000000" w:themeColor="text1"/>
          <w14:textFill>
            <w14:solidFill>
              <w14:schemeClr w14:val="tx1"/>
            </w14:solidFill>
          </w14:textFill>
        </w:rPr>
        <w:t>根据《生产过程危险和有害因素分类与代码》（GB/T13681-2022）对人造成伤亡，影响人的身体健康甚至导致疾病的因素可划分为：人的不安全行为、物的不安全状态以及环境因素、管理的缺陷。按事故发生的类别，可分为</w:t>
      </w:r>
      <w:r>
        <w:rPr>
          <w:color w:val="000000" w:themeColor="text1"/>
          <w14:textFill>
            <w14:solidFill>
              <w14:schemeClr w14:val="tx1"/>
            </w14:solidFill>
          </w14:textFill>
        </w:rPr>
        <w:t>：</w:t>
      </w:r>
      <w:r>
        <w:rPr>
          <w:bCs/>
          <w:color w:val="000000" w:themeColor="text1"/>
          <w14:textFill>
            <w14:solidFill>
              <w14:schemeClr w14:val="tx1"/>
            </w14:solidFill>
          </w14:textFill>
        </w:rPr>
        <w:t>机械伤害</w:t>
      </w:r>
      <w:r>
        <w:rPr>
          <w:rFonts w:hint="eastAsia"/>
          <w:color w:val="000000" w:themeColor="text1"/>
          <w14:textFill>
            <w14:solidFill>
              <w14:schemeClr w14:val="tx1"/>
            </w14:solidFill>
          </w14:textFill>
        </w:rPr>
        <w:t>、物体打击、触电、车辆伤害、高处坠落及</w:t>
      </w:r>
      <w:r>
        <w:rPr>
          <w:bCs/>
          <w:color w:val="000000" w:themeColor="text1"/>
          <w14:textFill>
            <w14:solidFill>
              <w14:schemeClr w14:val="tx1"/>
            </w14:solidFill>
          </w14:textFill>
        </w:rPr>
        <w:t>职业危害等</w:t>
      </w:r>
      <w:r>
        <w:rPr>
          <w:rFonts w:hint="eastAsia"/>
          <w:bCs/>
          <w:color w:val="000000" w:themeColor="text1"/>
          <w14:textFill>
            <w14:solidFill>
              <w14:schemeClr w14:val="tx1"/>
            </w14:solidFill>
          </w14:textFill>
        </w:rPr>
        <w:t>。</w:t>
      </w:r>
    </w:p>
    <w:p w14:paraId="3A4EAD7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1、机械伤害</w:t>
      </w:r>
    </w:p>
    <w:p w14:paraId="776209D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（1）破碎机等设备电动机转动部位防护设施缺失或失效，发生机械伤害事故。</w:t>
      </w:r>
    </w:p>
    <w:p w14:paraId="07208C3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（2）未按操作规程操作破碎机等设备时，盲目启动，发生机械伤害事故。</w:t>
      </w:r>
    </w:p>
    <w:p w14:paraId="06B017C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2、物体打击</w:t>
      </w:r>
    </w:p>
    <w:p w14:paraId="2C8D52E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（1）在破碎作业过程中，矿石发生飞溅或掉落，发生物体打击事故。</w:t>
      </w:r>
    </w:p>
    <w:p w14:paraId="44B1924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（2）堆场堆矿过高，发生滚石滚落或坍塌，发生物体打击事故。</w:t>
      </w:r>
    </w:p>
    <w:p w14:paraId="6B457007">
      <w:pPr>
        <w:ind w:left="56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14:paraId="61E7AC4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（1）由于</w:t>
      </w:r>
      <w:r>
        <w:rPr>
          <w:color w:val="000000" w:themeColor="text1"/>
          <w14:textFill>
            <w14:solidFill>
              <w14:schemeClr w14:val="tx1"/>
            </w14:solidFill>
          </w14:textFill>
        </w:rPr>
        <w:t>设备的绝缘损坏或受潮、灰尘积累等原因会导致机器的外壳会带电</w:t>
      </w:r>
      <w:r>
        <w:rPr>
          <w:rFonts w:hint="eastAsia"/>
          <w:color w:val="000000" w:themeColor="text1"/>
          <w14:textFill>
            <w14:solidFill>
              <w14:schemeClr w14:val="tx1"/>
            </w14:solidFill>
          </w14:textFill>
        </w:rPr>
        <w:t>，发生触电事故</w:t>
      </w:r>
      <w:r>
        <w:rPr>
          <w:color w:val="000000" w:themeColor="text1"/>
          <w14:textFill>
            <w14:solidFill>
              <w14:schemeClr w14:val="tx1"/>
            </w14:solidFill>
          </w14:textFill>
        </w:rPr>
        <w:t>。</w:t>
      </w:r>
    </w:p>
    <w:p w14:paraId="0FC8599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（2）由于</w:t>
      </w:r>
      <w:r>
        <w:rPr>
          <w:color w:val="000000" w:themeColor="text1"/>
          <w14:textFill>
            <w14:solidFill>
              <w14:schemeClr w14:val="tx1"/>
            </w14:solidFill>
          </w14:textFill>
        </w:rPr>
        <w:t>‌三相四线制供电系统的中性线未重复接地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当三相不平衡时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设备外壳会带电</w:t>
      </w:r>
      <w:r>
        <w:rPr>
          <w:rFonts w:hint="eastAsia"/>
          <w:color w:val="000000" w:themeColor="text1"/>
          <w14:textFill>
            <w14:solidFill>
              <w14:schemeClr w14:val="tx1"/>
            </w14:solidFill>
          </w14:textFill>
        </w:rPr>
        <w:t>，发生触电事故</w:t>
      </w:r>
      <w:r>
        <w:rPr>
          <w:color w:val="000000" w:themeColor="text1"/>
          <w14:textFill>
            <w14:solidFill>
              <w14:schemeClr w14:val="tx1"/>
            </w14:solidFill>
          </w14:textFill>
        </w:rPr>
        <w:t>。</w:t>
      </w:r>
    </w:p>
    <w:p w14:paraId="1421A1C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（3）由于</w:t>
      </w:r>
      <w:r>
        <w:rPr>
          <w:color w:val="000000" w:themeColor="text1"/>
          <w14:textFill>
            <w14:solidFill>
              <w14:schemeClr w14:val="tx1"/>
            </w14:solidFill>
          </w14:textFill>
        </w:rPr>
        <w:t>‌插座火线和中性线接反‌：有些用电器必须遵循</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左零右火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的原则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如果接反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会导致外壳漏电</w:t>
      </w:r>
      <w:r>
        <w:rPr>
          <w:rFonts w:hint="eastAsia"/>
          <w:color w:val="000000" w:themeColor="text1"/>
          <w14:textFill>
            <w14:solidFill>
              <w14:schemeClr w14:val="tx1"/>
            </w14:solidFill>
          </w14:textFill>
        </w:rPr>
        <w:t>，发生触电事故</w:t>
      </w:r>
      <w:r>
        <w:rPr>
          <w:color w:val="000000" w:themeColor="text1"/>
          <w14:textFill>
            <w14:solidFill>
              <w14:schemeClr w14:val="tx1"/>
            </w14:solidFill>
          </w14:textFill>
        </w:rPr>
        <w:t>。</w:t>
      </w:r>
    </w:p>
    <w:p w14:paraId="6947A09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4、车辆伤害</w:t>
      </w:r>
    </w:p>
    <w:p w14:paraId="7BE97AA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在卸料、送料作业过程中，装载机、运输车辆在行驶或者倒车过程中，由于驾驶人员违章驾驶、开车视线不佳等原因，造成车辆伤害事故。</w:t>
      </w:r>
    </w:p>
    <w:p w14:paraId="47134DC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5、高处坠落</w:t>
      </w:r>
    </w:p>
    <w:p w14:paraId="4A9BC7E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（1）人在堆矿场、破碎站临边作业时，发生高处坠落事故。</w:t>
      </w:r>
    </w:p>
    <w:p w14:paraId="55509F0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（2）破碎机平台未设置安全车挡和反坡，运输车辆在送料过程中，发生高处坠落事故。</w:t>
      </w:r>
    </w:p>
    <w:p w14:paraId="10F13BD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（3）破碎机平台未设置安全护栏和安全警示标志，发生高处坠落事故。</w:t>
      </w:r>
    </w:p>
    <w:p w14:paraId="1191635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6、滑坡（坍塌）</w:t>
      </w:r>
    </w:p>
    <w:p w14:paraId="119D28A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（1）堆矿高度过高，导致矿堆坡面失稳。</w:t>
      </w:r>
    </w:p>
    <w:p w14:paraId="552E121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（2）临时破碎机安装平台地基不稳，发生破碎平台坍塌。</w:t>
      </w:r>
    </w:p>
    <w:p w14:paraId="6378103B">
      <w:pPr>
        <w:ind w:firstLine="560"/>
        <w:rPr>
          <w:bCs/>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bCs/>
          <w:color w:val="000000" w:themeColor="text1"/>
          <w14:textFill>
            <w14:solidFill>
              <w14:schemeClr w14:val="tx1"/>
            </w14:solidFill>
          </w14:textFill>
        </w:rPr>
        <w:t>职业危害</w:t>
      </w:r>
    </w:p>
    <w:p w14:paraId="1013A38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粉尘危害：在破碎过程中会产生大量的灰岩粉尘，长期吸入可能会在肺组织中呈异物反应，并继续轻微纤维化。操作过程中人员若未正确穿戴防护用品，或防护用品失效，操作人员长期吸入粉尘，会使人受到粉尘危害。</w:t>
      </w:r>
    </w:p>
    <w:p w14:paraId="5C74D10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噪声危害：在破碎过程中会产生大量的噪声。操作过程中人员若未正确穿戴防护用品，或防护用品失效，使人受到噪声危害。</w:t>
      </w:r>
    </w:p>
    <w:p w14:paraId="0882C2DF">
      <w:pPr>
        <w:pStyle w:val="5"/>
        <w:spacing w:after="120"/>
        <w:rPr>
          <w:color w:val="000000" w:themeColor="text1"/>
          <w14:textFill>
            <w14:solidFill>
              <w14:schemeClr w14:val="tx1"/>
            </w14:solidFill>
          </w14:textFill>
        </w:rPr>
      </w:pPr>
      <w:bookmarkStart w:id="2797" w:name="_Toc705"/>
      <w:bookmarkStart w:id="2798" w:name="_Toc215070295"/>
      <w:r>
        <w:rPr>
          <w:rFonts w:hint="eastAsia"/>
          <w:color w:val="000000" w:themeColor="text1"/>
          <w14:textFill>
            <w14:solidFill>
              <w14:schemeClr w14:val="tx1"/>
            </w14:solidFill>
          </w14:textFill>
        </w:rPr>
        <w:t>3.8.2破碎站单元安全检查表分析</w:t>
      </w:r>
      <w:bookmarkEnd w:id="2797"/>
      <w:bookmarkEnd w:id="2798"/>
    </w:p>
    <w:p w14:paraId="1B7A9EA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根据《工业企业总平面设计规范》（GB50187-2012）、《金属非金属矿山安全规程》（GB16423-2020），</w:t>
      </w:r>
      <w:r>
        <w:rPr>
          <w:color w:val="000000" w:themeColor="text1"/>
          <w14:textFill>
            <w14:solidFill>
              <w14:schemeClr w14:val="tx1"/>
            </w14:solidFill>
          </w14:textFill>
        </w:rPr>
        <w:t>《选矿安全规程》</w:t>
      </w:r>
      <w:r>
        <w:rPr>
          <w:rFonts w:hint="eastAsia"/>
          <w:color w:val="000000" w:themeColor="text1"/>
          <w14:textFill>
            <w14:solidFill>
              <w14:schemeClr w14:val="tx1"/>
            </w14:solidFill>
          </w14:textFill>
        </w:rPr>
        <w:t>（GB/T 18152-2000）</w:t>
      </w:r>
      <w:r>
        <w:rPr>
          <w:color w:val="000000" w:themeColor="text1"/>
          <w14:textFill>
            <w14:solidFill>
              <w14:schemeClr w14:val="tx1"/>
            </w14:solidFill>
          </w14:textFill>
        </w:rPr>
        <w:t>对</w:t>
      </w:r>
      <w:r>
        <w:rPr>
          <w:rFonts w:hint="eastAsia"/>
          <w:color w:val="000000" w:themeColor="text1"/>
          <w14:textFill>
            <w14:solidFill>
              <w14:schemeClr w14:val="tx1"/>
            </w14:solidFill>
          </w14:textFill>
        </w:rPr>
        <w:t>相项目</w:t>
      </w:r>
      <w:r>
        <w:rPr>
          <w:color w:val="000000" w:themeColor="text1"/>
          <w14:textFill>
            <w14:solidFill>
              <w14:schemeClr w14:val="tx1"/>
            </w14:solidFill>
          </w14:textFill>
        </w:rPr>
        <w:t>的安全设施与规范、规程的符合性进行评价。评价结果见下表：</w:t>
      </w:r>
    </w:p>
    <w:tbl>
      <w:tblPr>
        <w:tblStyle w:val="44"/>
        <w:tblpPr w:leftFromText="180" w:rightFromText="180" w:vertAnchor="text" w:horzAnchor="page" w:tblpX="1033" w:tblpY="-24"/>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8"/>
        <w:gridCol w:w="3866"/>
        <w:gridCol w:w="1671"/>
        <w:gridCol w:w="2123"/>
        <w:gridCol w:w="833"/>
      </w:tblGrid>
      <w:tr w14:paraId="14D4D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trPr>
        <w:tc>
          <w:tcPr>
            <w:tcW w:w="483" w:type="pct"/>
            <w:vAlign w:val="center"/>
          </w:tcPr>
          <w:p w14:paraId="4A247A7A">
            <w:pPr>
              <w:widowControl/>
              <w:spacing w:line="240" w:lineRule="auto"/>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0"/>
                <w14:textFill>
                  <w14:solidFill>
                    <w14:schemeClr w14:val="tx1"/>
                  </w14:solidFill>
                </w14:textFill>
              </w:rPr>
              <w:t>序号</w:t>
            </w:r>
          </w:p>
        </w:tc>
        <w:tc>
          <w:tcPr>
            <w:tcW w:w="2056" w:type="pct"/>
            <w:vAlign w:val="center"/>
          </w:tcPr>
          <w:p w14:paraId="747B7B0D">
            <w:pPr>
              <w:widowControl/>
              <w:spacing w:line="240" w:lineRule="auto"/>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0"/>
                <w14:textFill>
                  <w14:solidFill>
                    <w14:schemeClr w14:val="tx1"/>
                  </w14:solidFill>
                </w14:textFill>
              </w:rPr>
              <w:t>检查内容</w:t>
            </w:r>
          </w:p>
        </w:tc>
        <w:tc>
          <w:tcPr>
            <w:tcW w:w="889" w:type="pct"/>
            <w:vAlign w:val="center"/>
          </w:tcPr>
          <w:p w14:paraId="402C8EAB">
            <w:pPr>
              <w:widowControl/>
              <w:spacing w:line="240" w:lineRule="auto"/>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0"/>
                <w14:textFill>
                  <w14:solidFill>
                    <w14:schemeClr w14:val="tx1"/>
                  </w14:solidFill>
                </w14:textFill>
              </w:rPr>
              <w:t>标准依据</w:t>
            </w:r>
          </w:p>
        </w:tc>
        <w:tc>
          <w:tcPr>
            <w:tcW w:w="1129" w:type="pct"/>
            <w:vAlign w:val="center"/>
          </w:tcPr>
          <w:p w14:paraId="086A1429">
            <w:pPr>
              <w:widowControl/>
              <w:spacing w:line="240" w:lineRule="auto"/>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0"/>
                <w14:textFill>
                  <w14:solidFill>
                    <w14:schemeClr w14:val="tx1"/>
                  </w14:solidFill>
                </w14:textFill>
              </w:rPr>
              <w:t>检查情况</w:t>
            </w:r>
          </w:p>
        </w:tc>
        <w:tc>
          <w:tcPr>
            <w:tcW w:w="443" w:type="pct"/>
            <w:vAlign w:val="center"/>
          </w:tcPr>
          <w:p w14:paraId="68941ACB">
            <w:pPr>
              <w:widowControl/>
              <w:spacing w:line="240" w:lineRule="auto"/>
              <w:ind w:firstLine="0" w:firstLineChars="0"/>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检查结果</w:t>
            </w:r>
          </w:p>
        </w:tc>
      </w:tr>
      <w:tr w14:paraId="0988E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67" w:hRule="atLeast"/>
        </w:trPr>
        <w:tc>
          <w:tcPr>
            <w:tcW w:w="483" w:type="pct"/>
            <w:vAlign w:val="center"/>
          </w:tcPr>
          <w:p w14:paraId="452B46C2">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1</w:t>
            </w:r>
          </w:p>
        </w:tc>
        <w:tc>
          <w:tcPr>
            <w:tcW w:w="2056" w:type="pct"/>
            <w:vAlign w:val="center"/>
          </w:tcPr>
          <w:p w14:paraId="28466D33">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矿岩粗破碎站应符合下列规定</w:t>
            </w:r>
            <w:r>
              <w:rPr>
                <w:rFonts w:hint="eastAsia"/>
                <w:color w:val="000000" w:themeColor="text1"/>
                <w:kern w:val="0"/>
                <w:sz w:val="21"/>
                <w:szCs w:val="20"/>
                <w14:textFill>
                  <w14:solidFill>
                    <w14:schemeClr w14:val="tx1"/>
                  </w14:solidFill>
                </w14:textFill>
              </w:rPr>
              <w:t>：（1）</w:t>
            </w:r>
            <w:r>
              <w:rPr>
                <w:color w:val="000000" w:themeColor="text1"/>
                <w:kern w:val="0"/>
                <w:sz w:val="21"/>
                <w:szCs w:val="20"/>
                <w14:textFill>
                  <w14:solidFill>
                    <w14:schemeClr w14:val="tx1"/>
                  </w14:solidFill>
                </w14:textFill>
              </w:rPr>
              <w:t>破碎站应避开有沉降、塌陷、滑坡危险以及受洪水威胁的地段；</w:t>
            </w:r>
            <w:r>
              <w:rPr>
                <w:rFonts w:hint="eastAsia"/>
                <w:color w:val="000000" w:themeColor="text1"/>
                <w:kern w:val="0"/>
                <w:sz w:val="21"/>
                <w:szCs w:val="20"/>
                <w14:textFill>
                  <w14:solidFill>
                    <w14:schemeClr w14:val="tx1"/>
                  </w14:solidFill>
                </w14:textFill>
              </w:rPr>
              <w:t>（2）</w:t>
            </w:r>
            <w:r>
              <w:rPr>
                <w:color w:val="000000" w:themeColor="text1"/>
                <w:kern w:val="0"/>
                <w:sz w:val="21"/>
                <w:szCs w:val="20"/>
                <w14:textFill>
                  <w14:solidFill>
                    <w14:schemeClr w14:val="tx1"/>
                  </w14:solidFill>
                </w14:textFill>
              </w:rPr>
              <w:t>应设照明设施、卸料指示和报警信号装置；</w:t>
            </w:r>
            <w:r>
              <w:rPr>
                <w:rFonts w:hint="eastAsia"/>
                <w:color w:val="000000" w:themeColor="text1"/>
                <w:kern w:val="0"/>
                <w:sz w:val="21"/>
                <w:szCs w:val="20"/>
                <w14:textFill>
                  <w14:solidFill>
                    <w14:schemeClr w14:val="tx1"/>
                  </w14:solidFill>
                </w14:textFill>
              </w:rPr>
              <w:t>（3）</w:t>
            </w:r>
            <w:r>
              <w:rPr>
                <w:color w:val="000000" w:themeColor="text1"/>
                <w:kern w:val="0"/>
                <w:sz w:val="21"/>
                <w:szCs w:val="20"/>
                <w14:textFill>
                  <w14:solidFill>
                    <w14:schemeClr w14:val="tx1"/>
                  </w14:solidFill>
                </w14:textFill>
              </w:rPr>
              <w:t xml:space="preserve"> 破碎机受料仓和缓冲仓排料口应设</w:t>
            </w:r>
            <w:r>
              <w:rPr>
                <w:rFonts w:hint="eastAsia"/>
                <w:color w:val="000000" w:themeColor="text1"/>
                <w:kern w:val="0"/>
                <w:sz w:val="21"/>
                <w:szCs w:val="20"/>
                <w14:textFill>
                  <w14:solidFill>
                    <w14:schemeClr w14:val="tx1"/>
                  </w14:solidFill>
                </w14:textFill>
              </w:rPr>
              <w:t>视频监控</w:t>
            </w:r>
            <w:r>
              <w:rPr>
                <w:color w:val="000000" w:themeColor="text1"/>
                <w:kern w:val="0"/>
                <w:sz w:val="21"/>
                <w:szCs w:val="20"/>
                <w14:textFill>
                  <w14:solidFill>
                    <w14:schemeClr w14:val="tx1"/>
                  </w14:solidFill>
                </w14:textFill>
              </w:rPr>
              <w:t>；</w:t>
            </w:r>
            <w:r>
              <w:rPr>
                <w:rFonts w:hint="eastAsia"/>
                <w:color w:val="000000" w:themeColor="text1"/>
                <w:kern w:val="0"/>
                <w:sz w:val="21"/>
                <w:szCs w:val="20"/>
                <w14:textFill>
                  <w14:solidFill>
                    <w14:schemeClr w14:val="tx1"/>
                  </w14:solidFill>
                </w14:textFill>
              </w:rPr>
              <w:t>（4）</w:t>
            </w:r>
            <w:r>
              <w:rPr>
                <w:color w:val="000000" w:themeColor="text1"/>
                <w:kern w:val="0"/>
                <w:sz w:val="21"/>
                <w:szCs w:val="20"/>
                <w14:textFill>
                  <w14:solidFill>
                    <w14:schemeClr w14:val="tx1"/>
                  </w14:solidFill>
                </w14:textFill>
              </w:rPr>
              <w:t>矿仓口周围应设围挡或防护栏杆；卸车平台受料口应设牢固的安全限位车挡</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车挡高度不小于 车轮轮胎直径的 1/3</w:t>
            </w:r>
            <w:r>
              <w:rPr>
                <w:rFonts w:hint="eastAsia"/>
                <w:color w:val="000000" w:themeColor="text1"/>
                <w:kern w:val="0"/>
                <w:sz w:val="21"/>
                <w:szCs w:val="20"/>
                <w14:textFill>
                  <w14:solidFill>
                    <w14:schemeClr w14:val="tx1"/>
                  </w14:solidFill>
                </w14:textFill>
              </w:rPr>
              <w:t>；（5）</w:t>
            </w:r>
            <w:r>
              <w:rPr>
                <w:color w:val="000000" w:themeColor="text1"/>
                <w:kern w:val="0"/>
                <w:sz w:val="21"/>
                <w:szCs w:val="20"/>
                <w14:textFill>
                  <w14:solidFill>
                    <w14:schemeClr w14:val="tx1"/>
                  </w14:solidFill>
                </w14:textFill>
              </w:rPr>
              <w:t>矿仓口卸料时应采取喷雾降尘措施。</w:t>
            </w:r>
          </w:p>
        </w:tc>
        <w:tc>
          <w:tcPr>
            <w:tcW w:w="889" w:type="pct"/>
            <w:vAlign w:val="center"/>
          </w:tcPr>
          <w:p w14:paraId="30D80682">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《金属非金属矿山安全规程》GBl6423-2020</w:t>
            </w:r>
          </w:p>
          <w:p w14:paraId="6A7E7FEB">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第5.3.1条</w:t>
            </w:r>
          </w:p>
        </w:tc>
        <w:tc>
          <w:tcPr>
            <w:tcW w:w="1129" w:type="pct"/>
            <w:vAlign w:val="center"/>
          </w:tcPr>
          <w:p w14:paraId="11FE3A48">
            <w:pPr>
              <w:widowControl/>
              <w:spacing w:line="240" w:lineRule="auto"/>
              <w:ind w:firstLine="560" w:firstLineChars="0"/>
              <w:rPr>
                <w:color w:val="000000" w:themeColor="text1"/>
                <w:kern w:val="0"/>
                <w:sz w:val="21"/>
                <w:szCs w:val="21"/>
                <w14:textFill>
                  <w14:solidFill>
                    <w14:schemeClr w14:val="tx1"/>
                  </w14:solidFill>
                </w14:textFill>
              </w:rPr>
            </w:pPr>
            <w:r>
              <w:rPr>
                <w:color w:val="000000" w:themeColor="text1"/>
                <w:kern w:val="0"/>
                <w:sz w:val="21"/>
                <w:szCs w:val="20"/>
                <w14:textFill>
                  <w14:solidFill>
                    <w14:schemeClr w14:val="tx1"/>
                  </w14:solidFill>
                </w14:textFill>
              </w:rPr>
              <w:t>充分利用矿山地形</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使原矿仓很好地利用了地形坡度</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既满足其对高差的要求</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又满足了贮矿所需的容积要求</w:t>
            </w:r>
          </w:p>
        </w:tc>
        <w:tc>
          <w:tcPr>
            <w:tcW w:w="443" w:type="pct"/>
            <w:vAlign w:val="center"/>
          </w:tcPr>
          <w:p w14:paraId="610EA2D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121E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82" w:hRule="atLeast"/>
        </w:trPr>
        <w:tc>
          <w:tcPr>
            <w:tcW w:w="483" w:type="pct"/>
            <w:vAlign w:val="center"/>
          </w:tcPr>
          <w:p w14:paraId="6495D114">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2</w:t>
            </w:r>
          </w:p>
        </w:tc>
        <w:tc>
          <w:tcPr>
            <w:tcW w:w="2056" w:type="pct"/>
            <w:vAlign w:val="center"/>
          </w:tcPr>
          <w:p w14:paraId="6282CDAC">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厂房内主要操作通道宽度应不小于1.5m</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一般设备维护通道宽度应不小于1.0 m</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通道净空高度应不小于2.0 m。</w:t>
            </w:r>
          </w:p>
        </w:tc>
        <w:tc>
          <w:tcPr>
            <w:tcW w:w="889" w:type="pct"/>
            <w:vAlign w:val="center"/>
          </w:tcPr>
          <w:p w14:paraId="4F191E6B">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《选矿安全规程》</w:t>
            </w:r>
            <w:r>
              <w:rPr>
                <w:rFonts w:hint="eastAsia"/>
                <w:color w:val="000000" w:themeColor="text1"/>
                <w:kern w:val="0"/>
                <w:sz w:val="21"/>
                <w:szCs w:val="20"/>
                <w14:textFill>
                  <w14:solidFill>
                    <w14:schemeClr w14:val="tx1"/>
                  </w14:solidFill>
                </w14:textFill>
              </w:rPr>
              <w:t>GB</w:t>
            </w:r>
            <w:r>
              <w:rPr>
                <w:color w:val="000000" w:themeColor="text1"/>
                <w:kern w:val="0"/>
                <w:sz w:val="21"/>
                <w:szCs w:val="20"/>
                <w14:textFill>
                  <w14:solidFill>
                    <w14:schemeClr w14:val="tx1"/>
                  </w14:solidFill>
                </w14:textFill>
              </w:rPr>
              <w:t>/T18152</w:t>
            </w:r>
            <w:r>
              <w:rPr>
                <w:rFonts w:hint="eastAsia"/>
                <w:color w:val="000000" w:themeColor="text1"/>
                <w:kern w:val="0"/>
                <w:sz w:val="21"/>
                <w:szCs w:val="20"/>
                <w14:textFill>
                  <w14:solidFill>
                    <w14:schemeClr w14:val="tx1"/>
                  </w14:solidFill>
                </w14:textFill>
              </w:rPr>
              <w:t xml:space="preserve">- </w:t>
            </w:r>
            <w:r>
              <w:rPr>
                <w:color w:val="000000" w:themeColor="text1"/>
                <w:kern w:val="0"/>
                <w:sz w:val="21"/>
                <w:szCs w:val="20"/>
                <w14:textFill>
                  <w14:solidFill>
                    <w14:schemeClr w14:val="tx1"/>
                  </w14:solidFill>
                </w14:textFill>
              </w:rPr>
              <w:t>2000</w:t>
            </w:r>
            <w:r>
              <w:rPr>
                <w:rFonts w:hint="eastAsia"/>
                <w:color w:val="000000" w:themeColor="text1"/>
                <w:kern w:val="0"/>
                <w:sz w:val="21"/>
                <w:szCs w:val="20"/>
                <w14:textFill>
                  <w14:solidFill>
                    <w14:schemeClr w14:val="tx1"/>
                  </w14:solidFill>
                </w14:textFill>
              </w:rPr>
              <w:t>第</w:t>
            </w:r>
            <w:r>
              <w:rPr>
                <w:color w:val="000000" w:themeColor="text1"/>
                <w:kern w:val="0"/>
                <w:sz w:val="21"/>
                <w:szCs w:val="20"/>
                <w14:textFill>
                  <w14:solidFill>
                    <w14:schemeClr w14:val="tx1"/>
                  </w14:solidFill>
                </w14:textFill>
              </w:rPr>
              <w:t>6.9</w:t>
            </w:r>
            <w:r>
              <w:rPr>
                <w:rFonts w:hint="eastAsia"/>
                <w:color w:val="000000" w:themeColor="text1"/>
                <w:kern w:val="0"/>
                <w:sz w:val="21"/>
                <w:szCs w:val="20"/>
                <w14:textFill>
                  <w14:solidFill>
                    <w14:schemeClr w14:val="tx1"/>
                  </w14:solidFill>
                </w14:textFill>
              </w:rPr>
              <w:t>条</w:t>
            </w:r>
          </w:p>
        </w:tc>
        <w:tc>
          <w:tcPr>
            <w:tcW w:w="1129" w:type="pct"/>
            <w:vAlign w:val="center"/>
          </w:tcPr>
          <w:p w14:paraId="11B0CE08">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满足规程要求。</w:t>
            </w:r>
          </w:p>
        </w:tc>
        <w:tc>
          <w:tcPr>
            <w:tcW w:w="443" w:type="pct"/>
            <w:vAlign w:val="center"/>
          </w:tcPr>
          <w:p w14:paraId="46DCD69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A9C4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35" w:hRule="atLeast"/>
        </w:trPr>
        <w:tc>
          <w:tcPr>
            <w:tcW w:w="483" w:type="pct"/>
            <w:vAlign w:val="center"/>
          </w:tcPr>
          <w:p w14:paraId="2B9B958E">
            <w:pPr>
              <w:spacing w:line="240" w:lineRule="auto"/>
              <w:ind w:firstLine="0" w:firstLineChars="0"/>
              <w:rPr>
                <w:color w:val="000000" w:themeColor="text1"/>
                <w:spacing w:val="-10"/>
                <w:sz w:val="21"/>
                <w:szCs w:val="21"/>
                <w14:textFill>
                  <w14:solidFill>
                    <w14:schemeClr w14:val="tx1"/>
                  </w14:solidFill>
                </w14:textFill>
              </w:rPr>
            </w:pPr>
            <w:r>
              <w:rPr>
                <w:rFonts w:hint="eastAsia"/>
                <w:color w:val="000000" w:themeColor="text1"/>
                <w:spacing w:val="-10"/>
                <w:sz w:val="21"/>
                <w:szCs w:val="21"/>
                <w14:textFill>
                  <w14:solidFill>
                    <w14:schemeClr w14:val="tx1"/>
                  </w14:solidFill>
                </w14:textFill>
              </w:rPr>
              <w:t>3</w:t>
            </w:r>
          </w:p>
        </w:tc>
        <w:tc>
          <w:tcPr>
            <w:tcW w:w="2056" w:type="pct"/>
            <w:vAlign w:val="center"/>
          </w:tcPr>
          <w:p w14:paraId="0AC5207C">
            <w:pPr>
              <w:spacing w:line="240" w:lineRule="auto"/>
              <w:ind w:firstLine="0" w:firstLineChars="0"/>
              <w:rPr>
                <w:color w:val="000000" w:themeColor="text1"/>
                <w:sz w:val="21"/>
                <w:szCs w:val="21"/>
                <w14:textFill>
                  <w14:solidFill>
                    <w14:schemeClr w14:val="tx1"/>
                  </w14:solidFill>
                </w14:textFill>
              </w:rPr>
            </w:pPr>
            <w:r>
              <w:rPr>
                <w:color w:val="000000" w:themeColor="text1"/>
                <w:spacing w:val="-10"/>
                <w:sz w:val="21"/>
                <w:szCs w:val="21"/>
                <w14:textFill>
                  <w14:solidFill>
                    <w14:schemeClr w14:val="tx1"/>
                  </w14:solidFill>
                </w14:textFill>
              </w:rPr>
              <w:t>高度超过0.6m的平台</w:t>
            </w:r>
            <w:r>
              <w:rPr>
                <w:rFonts w:hint="eastAsia"/>
                <w:color w:val="000000" w:themeColor="text1"/>
                <w:spacing w:val="-10"/>
                <w:sz w:val="21"/>
                <w:szCs w:val="21"/>
                <w14:textFill>
                  <w14:solidFill>
                    <w14:schemeClr w14:val="tx1"/>
                  </w14:solidFill>
                </w14:textFill>
              </w:rPr>
              <w:t>，</w:t>
            </w:r>
            <w:r>
              <w:rPr>
                <w:color w:val="000000" w:themeColor="text1"/>
                <w:spacing w:val="-10"/>
                <w:sz w:val="21"/>
                <w:szCs w:val="21"/>
                <w14:textFill>
                  <w14:solidFill>
                    <w14:schemeClr w14:val="tx1"/>
                  </w14:solidFill>
                </w14:textFill>
              </w:rPr>
              <w:t>周围应设栏杆；平台上的孔洞应设栏杆或盖板；必要时</w:t>
            </w:r>
            <w:r>
              <w:rPr>
                <w:rFonts w:hint="eastAsia"/>
                <w:color w:val="000000" w:themeColor="text1"/>
                <w:spacing w:val="-10"/>
                <w:sz w:val="21"/>
                <w:szCs w:val="21"/>
                <w14:textFill>
                  <w14:solidFill>
                    <w14:schemeClr w14:val="tx1"/>
                  </w14:solidFill>
                </w14:textFill>
              </w:rPr>
              <w:t>，</w:t>
            </w:r>
            <w:r>
              <w:rPr>
                <w:color w:val="000000" w:themeColor="text1"/>
                <w:spacing w:val="-10"/>
                <w:sz w:val="21"/>
                <w:szCs w:val="21"/>
                <w14:textFill>
                  <w14:solidFill>
                    <w14:schemeClr w14:val="tx1"/>
                  </w14:solidFill>
                </w14:textFill>
              </w:rPr>
              <w:t>平台边缘应设</w:t>
            </w:r>
            <w:r>
              <w:rPr>
                <w:color w:val="000000" w:themeColor="text1"/>
                <w:spacing w:val="-13"/>
                <w:sz w:val="21"/>
                <w:szCs w:val="21"/>
                <w14:textFill>
                  <w14:solidFill>
                    <w14:schemeClr w14:val="tx1"/>
                  </w14:solidFill>
                </w14:textFill>
              </w:rPr>
              <w:t>安全防护板。</w:t>
            </w:r>
          </w:p>
        </w:tc>
        <w:tc>
          <w:tcPr>
            <w:tcW w:w="889" w:type="pct"/>
            <w:vAlign w:val="center"/>
          </w:tcPr>
          <w:p w14:paraId="477BFBDB">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《选矿安全规程》</w:t>
            </w:r>
            <w:r>
              <w:rPr>
                <w:rFonts w:hint="eastAsia"/>
                <w:color w:val="000000" w:themeColor="text1"/>
                <w:kern w:val="0"/>
                <w:sz w:val="21"/>
                <w:szCs w:val="20"/>
                <w14:textFill>
                  <w14:solidFill>
                    <w14:schemeClr w14:val="tx1"/>
                  </w14:solidFill>
                </w14:textFill>
              </w:rPr>
              <w:t>GB</w:t>
            </w:r>
            <w:r>
              <w:rPr>
                <w:color w:val="000000" w:themeColor="text1"/>
                <w:kern w:val="0"/>
                <w:sz w:val="21"/>
                <w:szCs w:val="20"/>
                <w14:textFill>
                  <w14:solidFill>
                    <w14:schemeClr w14:val="tx1"/>
                  </w14:solidFill>
                </w14:textFill>
              </w:rPr>
              <w:t>/T18152</w:t>
            </w:r>
            <w:r>
              <w:rPr>
                <w:rFonts w:hint="eastAsia"/>
                <w:color w:val="000000" w:themeColor="text1"/>
                <w:kern w:val="0"/>
                <w:sz w:val="21"/>
                <w:szCs w:val="20"/>
                <w14:textFill>
                  <w14:solidFill>
                    <w14:schemeClr w14:val="tx1"/>
                  </w14:solidFill>
                </w14:textFill>
              </w:rPr>
              <w:t xml:space="preserve"> - </w:t>
            </w:r>
            <w:r>
              <w:rPr>
                <w:color w:val="000000" w:themeColor="text1"/>
                <w:kern w:val="0"/>
                <w:sz w:val="21"/>
                <w:szCs w:val="20"/>
                <w14:textFill>
                  <w14:solidFill>
                    <w14:schemeClr w14:val="tx1"/>
                  </w14:solidFill>
                </w14:textFill>
              </w:rPr>
              <w:t>2000</w:t>
            </w:r>
            <w:r>
              <w:rPr>
                <w:rFonts w:hint="eastAsia"/>
                <w:color w:val="000000" w:themeColor="text1"/>
                <w:kern w:val="0"/>
                <w:sz w:val="21"/>
                <w:szCs w:val="20"/>
                <w14:textFill>
                  <w14:solidFill>
                    <w14:schemeClr w14:val="tx1"/>
                  </w14:solidFill>
                </w14:textFill>
              </w:rPr>
              <w:t>第</w:t>
            </w:r>
            <w:r>
              <w:rPr>
                <w:color w:val="000000" w:themeColor="text1"/>
                <w:kern w:val="0"/>
                <w:sz w:val="21"/>
                <w:szCs w:val="20"/>
                <w14:textFill>
                  <w14:solidFill>
                    <w14:schemeClr w14:val="tx1"/>
                  </w14:solidFill>
                </w14:textFill>
              </w:rPr>
              <w:t>6.11</w:t>
            </w:r>
            <w:r>
              <w:rPr>
                <w:rFonts w:hint="eastAsia"/>
                <w:color w:val="000000" w:themeColor="text1"/>
                <w:kern w:val="0"/>
                <w:sz w:val="21"/>
                <w:szCs w:val="20"/>
                <w14:textFill>
                  <w14:solidFill>
                    <w14:schemeClr w14:val="tx1"/>
                  </w14:solidFill>
                </w14:textFill>
              </w:rPr>
              <w:t>条</w:t>
            </w:r>
          </w:p>
        </w:tc>
        <w:tc>
          <w:tcPr>
            <w:tcW w:w="1129" w:type="pct"/>
            <w:vAlign w:val="center"/>
          </w:tcPr>
          <w:p w14:paraId="7A79CCFB">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设</w:t>
            </w:r>
            <w:r>
              <w:rPr>
                <w:rFonts w:hint="eastAsia"/>
                <w:color w:val="000000" w:themeColor="text1"/>
                <w:kern w:val="0"/>
                <w:sz w:val="21"/>
                <w:szCs w:val="20"/>
                <w14:textFill>
                  <w14:solidFill>
                    <w14:schemeClr w14:val="tx1"/>
                  </w14:solidFill>
                </w14:textFill>
              </w:rPr>
              <w:t>高于 0.8m护栏。</w:t>
            </w:r>
          </w:p>
        </w:tc>
        <w:tc>
          <w:tcPr>
            <w:tcW w:w="443" w:type="pct"/>
            <w:vAlign w:val="center"/>
          </w:tcPr>
          <w:p w14:paraId="2DB9C3E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00B40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82" w:hRule="atLeast"/>
        </w:trPr>
        <w:tc>
          <w:tcPr>
            <w:tcW w:w="483" w:type="pct"/>
            <w:vAlign w:val="center"/>
          </w:tcPr>
          <w:p w14:paraId="68E6FB2A">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4</w:t>
            </w:r>
          </w:p>
        </w:tc>
        <w:tc>
          <w:tcPr>
            <w:tcW w:w="2056" w:type="pct"/>
            <w:vAlign w:val="center"/>
          </w:tcPr>
          <w:p w14:paraId="003E78D1">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固定格筛和粗破碎机受矿槽的周围（给矿侧或翻车侧除外），以及螺旋分级机的槽体靠近磨矿机的排矿端，均应设栏杆。</w:t>
            </w:r>
          </w:p>
        </w:tc>
        <w:tc>
          <w:tcPr>
            <w:tcW w:w="889" w:type="pct"/>
            <w:vAlign w:val="center"/>
          </w:tcPr>
          <w:p w14:paraId="77AD9562">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《选矿安全规程》</w:t>
            </w:r>
            <w:r>
              <w:rPr>
                <w:rFonts w:hint="eastAsia"/>
                <w:color w:val="000000" w:themeColor="text1"/>
                <w:kern w:val="0"/>
                <w:sz w:val="21"/>
                <w:szCs w:val="20"/>
                <w14:textFill>
                  <w14:solidFill>
                    <w14:schemeClr w14:val="tx1"/>
                  </w14:solidFill>
                </w14:textFill>
              </w:rPr>
              <w:t>GB</w:t>
            </w:r>
            <w:r>
              <w:rPr>
                <w:color w:val="000000" w:themeColor="text1"/>
                <w:kern w:val="0"/>
                <w:sz w:val="21"/>
                <w:szCs w:val="20"/>
                <w14:textFill>
                  <w14:solidFill>
                    <w14:schemeClr w14:val="tx1"/>
                  </w14:solidFill>
                </w14:textFill>
              </w:rPr>
              <w:t>/T18152</w:t>
            </w:r>
            <w:r>
              <w:rPr>
                <w:rFonts w:hint="eastAsia"/>
                <w:color w:val="000000" w:themeColor="text1"/>
                <w:kern w:val="0"/>
                <w:sz w:val="21"/>
                <w:szCs w:val="20"/>
                <w14:textFill>
                  <w14:solidFill>
                    <w14:schemeClr w14:val="tx1"/>
                  </w14:solidFill>
                </w14:textFill>
              </w:rPr>
              <w:t xml:space="preserve"> - </w:t>
            </w:r>
            <w:r>
              <w:rPr>
                <w:color w:val="000000" w:themeColor="text1"/>
                <w:kern w:val="0"/>
                <w:sz w:val="21"/>
                <w:szCs w:val="20"/>
                <w14:textFill>
                  <w14:solidFill>
                    <w14:schemeClr w14:val="tx1"/>
                  </w14:solidFill>
                </w14:textFill>
              </w:rPr>
              <w:t>2000</w:t>
            </w:r>
            <w:r>
              <w:rPr>
                <w:rFonts w:hint="eastAsia"/>
                <w:color w:val="000000" w:themeColor="text1"/>
                <w:kern w:val="0"/>
                <w:sz w:val="21"/>
                <w:szCs w:val="20"/>
                <w14:textFill>
                  <w14:solidFill>
                    <w14:schemeClr w14:val="tx1"/>
                  </w14:solidFill>
                </w14:textFill>
              </w:rPr>
              <w:t>第</w:t>
            </w:r>
            <w:r>
              <w:rPr>
                <w:color w:val="000000" w:themeColor="text1"/>
                <w:kern w:val="0"/>
                <w:sz w:val="21"/>
                <w:szCs w:val="20"/>
                <w14:textFill>
                  <w14:solidFill>
                    <w14:schemeClr w14:val="tx1"/>
                  </w14:solidFill>
                </w14:textFill>
              </w:rPr>
              <w:t>7.2.2</w:t>
            </w:r>
            <w:r>
              <w:rPr>
                <w:rFonts w:hint="eastAsia"/>
                <w:color w:val="000000" w:themeColor="text1"/>
                <w:kern w:val="0"/>
                <w:sz w:val="21"/>
                <w:szCs w:val="20"/>
                <w14:textFill>
                  <w14:solidFill>
                    <w14:schemeClr w14:val="tx1"/>
                  </w14:solidFill>
                </w14:textFill>
              </w:rPr>
              <w:t>条</w:t>
            </w:r>
          </w:p>
        </w:tc>
        <w:tc>
          <w:tcPr>
            <w:tcW w:w="1129" w:type="pct"/>
            <w:vAlign w:val="center"/>
          </w:tcPr>
          <w:p w14:paraId="5948B7EE">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设</w:t>
            </w:r>
            <w:r>
              <w:rPr>
                <w:rFonts w:hint="eastAsia"/>
                <w:color w:val="000000" w:themeColor="text1"/>
                <w:kern w:val="0"/>
                <w:sz w:val="21"/>
                <w:szCs w:val="20"/>
                <w14:textFill>
                  <w14:solidFill>
                    <w14:schemeClr w14:val="tx1"/>
                  </w14:solidFill>
                </w14:textFill>
              </w:rPr>
              <w:t>高于 0.8m护栏。</w:t>
            </w:r>
          </w:p>
        </w:tc>
        <w:tc>
          <w:tcPr>
            <w:tcW w:w="443" w:type="pct"/>
            <w:vAlign w:val="center"/>
          </w:tcPr>
          <w:p w14:paraId="55C4F9E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34A9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89" w:hRule="atLeast"/>
        </w:trPr>
        <w:tc>
          <w:tcPr>
            <w:tcW w:w="483" w:type="pct"/>
            <w:vAlign w:val="center"/>
          </w:tcPr>
          <w:p w14:paraId="15A21135">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5</w:t>
            </w:r>
          </w:p>
        </w:tc>
        <w:tc>
          <w:tcPr>
            <w:tcW w:w="2056" w:type="pct"/>
            <w:vAlign w:val="center"/>
          </w:tcPr>
          <w:p w14:paraId="057AD183">
            <w:pPr>
              <w:widowControl/>
              <w:spacing w:line="240" w:lineRule="auto"/>
              <w:ind w:firstLine="560" w:firstLineChars="0"/>
              <w:rPr>
                <w:rFonts w:ascii="Calibri" w:hAnsi="Calibri"/>
                <w:color w:val="000000" w:themeColor="text1"/>
                <w:sz w:val="21"/>
                <w14:textFill>
                  <w14:solidFill>
                    <w14:schemeClr w14:val="tx1"/>
                  </w14:solidFill>
                </w14:textFill>
              </w:rPr>
            </w:pPr>
            <w:r>
              <w:rPr>
                <w:rFonts w:ascii="Calibri" w:hAnsi="Calibri"/>
                <w:color w:val="000000" w:themeColor="text1"/>
                <w:sz w:val="21"/>
                <w14:textFill>
                  <w14:solidFill>
                    <w14:schemeClr w14:val="tx1"/>
                  </w14:solidFill>
                </w14:textFill>
              </w:rPr>
              <w:t>使用带式输送机应遵守下列规定：</w:t>
            </w:r>
            <w:r>
              <w:rPr>
                <w:rFonts w:hint="eastAsia" w:ascii="Calibri" w:hAnsi="Calibri"/>
                <w:color w:val="000000" w:themeColor="text1"/>
                <w:sz w:val="21"/>
                <w14:textFill>
                  <w14:solidFill>
                    <w14:schemeClr w14:val="tx1"/>
                  </w14:solidFill>
                </w14:textFill>
              </w:rPr>
              <w:t>（1）</w:t>
            </w:r>
            <w:r>
              <w:rPr>
                <w:rFonts w:ascii="Calibri" w:hAnsi="Calibri"/>
                <w:color w:val="000000" w:themeColor="text1"/>
                <w:sz w:val="21"/>
                <w14:textFill>
                  <w14:solidFill>
                    <w14:schemeClr w14:val="tx1"/>
                  </w14:solidFill>
                </w14:textFill>
              </w:rPr>
              <w:t>物料不应从输送带上向下滚落；</w:t>
            </w:r>
            <w:r>
              <w:rPr>
                <w:rFonts w:hint="eastAsia" w:ascii="Calibri" w:hAnsi="Calibri"/>
                <w:color w:val="000000" w:themeColor="text1"/>
                <w:sz w:val="21"/>
                <w14:textFill>
                  <w14:solidFill>
                    <w14:schemeClr w14:val="tx1"/>
                  </w14:solidFill>
                </w14:textFill>
              </w:rPr>
              <w:t>（2）</w:t>
            </w:r>
            <w:r>
              <w:rPr>
                <w:rFonts w:ascii="Calibri" w:hAnsi="Calibri"/>
                <w:color w:val="000000" w:themeColor="text1"/>
                <w:sz w:val="21"/>
                <w14:textFill>
                  <w14:solidFill>
                    <w14:schemeClr w14:val="tx1"/>
                  </w14:solidFill>
                </w14:textFill>
              </w:rPr>
              <w:t>带式输送机倾角：向上不大于 15°</w:t>
            </w:r>
            <w:r>
              <w:rPr>
                <w:rFonts w:hint="eastAsia" w:ascii="Calibri" w:hAnsi="Calibri"/>
                <w:color w:val="000000" w:themeColor="text1"/>
                <w:sz w:val="21"/>
                <w14:textFill>
                  <w14:solidFill>
                    <w14:schemeClr w14:val="tx1"/>
                  </w14:solidFill>
                </w14:textFill>
              </w:rPr>
              <w:t>，</w:t>
            </w:r>
            <w:r>
              <w:rPr>
                <w:rFonts w:ascii="Calibri" w:hAnsi="Calibri"/>
                <w:color w:val="000000" w:themeColor="text1"/>
                <w:sz w:val="21"/>
                <w14:textFill>
                  <w14:solidFill>
                    <w14:schemeClr w14:val="tx1"/>
                  </w14:solidFill>
                </w14:textFill>
              </w:rPr>
              <w:t>向下不大于 12°</w:t>
            </w:r>
            <w:r>
              <w:rPr>
                <w:rFonts w:hint="eastAsia" w:ascii="Calibri" w:hAnsi="Calibri"/>
                <w:color w:val="000000" w:themeColor="text1"/>
                <w:sz w:val="21"/>
                <w14:textFill>
                  <w14:solidFill>
                    <w14:schemeClr w14:val="tx1"/>
                  </w14:solidFill>
                </w14:textFill>
              </w:rPr>
              <w:t>，</w:t>
            </w:r>
            <w:r>
              <w:rPr>
                <w:rFonts w:ascii="Calibri" w:hAnsi="Calibri"/>
                <w:color w:val="000000" w:themeColor="text1"/>
                <w:sz w:val="21"/>
                <w14:textFill>
                  <w14:solidFill>
                    <w14:schemeClr w14:val="tx1"/>
                  </w14:solidFill>
                </w14:textFill>
              </w:rPr>
              <w:t>大倾角带式输送机除外；</w:t>
            </w:r>
            <w:r>
              <w:rPr>
                <w:rFonts w:hint="eastAsia" w:ascii="Calibri" w:hAnsi="Calibri"/>
                <w:color w:val="000000" w:themeColor="text1"/>
                <w:sz w:val="21"/>
                <w14:textFill>
                  <w14:solidFill>
                    <w14:schemeClr w14:val="tx1"/>
                  </w14:solidFill>
                </w14:textFill>
              </w:rPr>
              <w:t>（3）</w:t>
            </w:r>
            <w:r>
              <w:rPr>
                <w:rFonts w:ascii="Calibri" w:hAnsi="Calibri"/>
                <w:color w:val="000000" w:themeColor="text1"/>
                <w:sz w:val="21"/>
                <w14:textFill>
                  <w14:solidFill>
                    <w14:schemeClr w14:val="tx1"/>
                  </w14:solidFill>
                </w14:textFill>
              </w:rPr>
              <w:t>任何人员均不应搭乘非载人带式输送机；</w:t>
            </w:r>
            <w:r>
              <w:rPr>
                <w:rFonts w:hint="eastAsia" w:ascii="Calibri" w:hAnsi="Calibri"/>
                <w:color w:val="000000" w:themeColor="text1"/>
                <w:sz w:val="21"/>
                <w14:textFill>
                  <w14:solidFill>
                    <w14:schemeClr w14:val="tx1"/>
                  </w14:solidFill>
                </w14:textFill>
              </w:rPr>
              <w:t>（4）</w:t>
            </w:r>
            <w:r>
              <w:rPr>
                <w:rFonts w:ascii="Calibri" w:hAnsi="Calibri"/>
                <w:color w:val="000000" w:themeColor="text1"/>
                <w:sz w:val="21"/>
                <w14:textFill>
                  <w14:solidFill>
                    <w14:schemeClr w14:val="tx1"/>
                  </w14:solidFill>
                </w14:textFill>
              </w:rPr>
              <w:t>在跨越输送机的地点设置带有安全栏杆的跨越桥；</w:t>
            </w:r>
            <w:r>
              <w:rPr>
                <w:rFonts w:hint="eastAsia" w:ascii="Calibri" w:hAnsi="Calibri"/>
                <w:color w:val="000000" w:themeColor="text1"/>
                <w:sz w:val="21"/>
                <w14:textFill>
                  <w14:solidFill>
                    <w14:schemeClr w14:val="tx1"/>
                  </w14:solidFill>
                </w14:textFill>
              </w:rPr>
              <w:t>（5）</w:t>
            </w:r>
            <w:r>
              <w:rPr>
                <w:rFonts w:ascii="Calibri" w:hAnsi="Calibri"/>
                <w:color w:val="000000" w:themeColor="text1"/>
                <w:sz w:val="21"/>
                <w14:textFill>
                  <w14:solidFill>
                    <w14:schemeClr w14:val="tx1"/>
                  </w14:solidFill>
                </w14:textFill>
              </w:rPr>
              <w:t>清除附着在输送带、滚筒和托辊上的物料</w:t>
            </w:r>
            <w:r>
              <w:rPr>
                <w:rFonts w:hint="eastAsia" w:ascii="Calibri" w:hAnsi="Calibri"/>
                <w:color w:val="000000" w:themeColor="text1"/>
                <w:sz w:val="21"/>
                <w14:textFill>
                  <w14:solidFill>
                    <w14:schemeClr w14:val="tx1"/>
                  </w14:solidFill>
                </w14:textFill>
              </w:rPr>
              <w:t>，</w:t>
            </w:r>
            <w:r>
              <w:rPr>
                <w:rFonts w:ascii="Calibri" w:hAnsi="Calibri"/>
                <w:color w:val="000000" w:themeColor="text1"/>
                <w:sz w:val="21"/>
                <w14:textFill>
                  <w14:solidFill>
                    <w14:schemeClr w14:val="tx1"/>
                  </w14:solidFill>
                </w14:textFill>
              </w:rPr>
              <w:t>应停车进行；</w:t>
            </w:r>
            <w:r>
              <w:rPr>
                <w:rFonts w:hint="eastAsia" w:ascii="Calibri" w:hAnsi="Calibri"/>
                <w:color w:val="000000" w:themeColor="text1"/>
                <w:sz w:val="21"/>
                <w14:textFill>
                  <w14:solidFill>
                    <w14:schemeClr w14:val="tx1"/>
                  </w14:solidFill>
                </w14:textFill>
              </w:rPr>
              <w:t>（6）</w:t>
            </w:r>
            <w:r>
              <w:rPr>
                <w:rFonts w:ascii="Calibri" w:hAnsi="Calibri"/>
                <w:color w:val="000000" w:themeColor="text1"/>
                <w:sz w:val="21"/>
                <w14:textFill>
                  <w14:solidFill>
                    <w14:schemeClr w14:val="tx1"/>
                  </w14:solidFill>
                </w14:textFill>
              </w:rPr>
              <w:t>不在运行的输送带下清理物料；</w:t>
            </w:r>
            <w:r>
              <w:rPr>
                <w:rFonts w:hint="eastAsia" w:ascii="Calibri" w:hAnsi="Calibri"/>
                <w:color w:val="000000" w:themeColor="text1"/>
                <w:sz w:val="21"/>
                <w14:textFill>
                  <w14:solidFill>
                    <w14:schemeClr w14:val="tx1"/>
                  </w14:solidFill>
                </w14:textFill>
              </w:rPr>
              <w:t>（7）</w:t>
            </w:r>
            <w:r>
              <w:rPr>
                <w:rFonts w:ascii="Calibri" w:hAnsi="Calibri"/>
                <w:color w:val="000000" w:themeColor="text1"/>
                <w:sz w:val="21"/>
                <w14:textFill>
                  <w14:solidFill>
                    <w14:schemeClr w14:val="tx1"/>
                  </w14:solidFill>
                </w14:textFill>
              </w:rPr>
              <w:t>输送机运转时不进行注油、检查和修理等工作；</w:t>
            </w:r>
            <w:r>
              <w:rPr>
                <w:rFonts w:hint="eastAsia" w:ascii="Calibri" w:hAnsi="Calibri"/>
                <w:color w:val="000000" w:themeColor="text1"/>
                <w:sz w:val="21"/>
                <w14:textFill>
                  <w14:solidFill>
                    <w14:schemeClr w14:val="tx1"/>
                  </w14:solidFill>
                </w14:textFill>
              </w:rPr>
              <w:t>（8）</w:t>
            </w:r>
            <w:r>
              <w:rPr>
                <w:rFonts w:ascii="Calibri" w:hAnsi="Calibri"/>
                <w:color w:val="000000" w:themeColor="text1"/>
                <w:sz w:val="21"/>
                <w14:textFill>
                  <w14:solidFill>
                    <w14:schemeClr w14:val="tx1"/>
                  </w14:solidFill>
                </w14:textFill>
              </w:rPr>
              <w:t>维修或者更换备件时</w:t>
            </w:r>
            <w:r>
              <w:rPr>
                <w:rFonts w:hint="eastAsia" w:ascii="Calibri" w:hAnsi="Calibri"/>
                <w:color w:val="000000" w:themeColor="text1"/>
                <w:sz w:val="21"/>
                <w14:textFill>
                  <w14:solidFill>
                    <w14:schemeClr w14:val="tx1"/>
                  </w14:solidFill>
                </w14:textFill>
              </w:rPr>
              <w:t>，</w:t>
            </w:r>
            <w:r>
              <w:rPr>
                <w:rFonts w:ascii="Calibri" w:hAnsi="Calibri"/>
                <w:color w:val="000000" w:themeColor="text1"/>
                <w:sz w:val="21"/>
                <w14:textFill>
                  <w14:solidFill>
                    <w14:schemeClr w14:val="tx1"/>
                  </w14:solidFill>
                </w14:textFill>
              </w:rPr>
              <w:t>应停车、切断电源</w:t>
            </w:r>
            <w:r>
              <w:rPr>
                <w:rFonts w:hint="eastAsia" w:ascii="Calibri" w:hAnsi="Calibri"/>
                <w:color w:val="000000" w:themeColor="text1"/>
                <w:sz w:val="21"/>
                <w14:textFill>
                  <w14:solidFill>
                    <w14:schemeClr w14:val="tx1"/>
                  </w14:solidFill>
                </w14:textFill>
              </w:rPr>
              <w:t>，</w:t>
            </w:r>
            <w:r>
              <w:rPr>
                <w:rFonts w:ascii="Calibri" w:hAnsi="Calibri"/>
                <w:color w:val="000000" w:themeColor="text1"/>
                <w:sz w:val="21"/>
                <w14:textFill>
                  <w14:solidFill>
                    <w14:schemeClr w14:val="tx1"/>
                  </w14:solidFill>
                </w14:textFill>
              </w:rPr>
              <w:t>并由专人监护</w:t>
            </w:r>
            <w:r>
              <w:rPr>
                <w:rFonts w:hint="eastAsia" w:ascii="Calibri" w:hAnsi="Calibri"/>
                <w:color w:val="000000" w:themeColor="text1"/>
                <w:sz w:val="21"/>
                <w14:textFill>
                  <w14:solidFill>
                    <w14:schemeClr w14:val="tx1"/>
                  </w14:solidFill>
                </w14:textFill>
              </w:rPr>
              <w:t>，</w:t>
            </w:r>
            <w:r>
              <w:rPr>
                <w:rFonts w:ascii="Calibri" w:hAnsi="Calibri"/>
                <w:color w:val="000000" w:themeColor="text1"/>
                <w:sz w:val="21"/>
                <w14:textFill>
                  <w14:solidFill>
                    <w14:schemeClr w14:val="tx1"/>
                  </w14:solidFill>
                </w14:textFill>
              </w:rPr>
              <w:t>不准许送电。</w:t>
            </w:r>
          </w:p>
        </w:tc>
        <w:tc>
          <w:tcPr>
            <w:tcW w:w="889" w:type="pct"/>
            <w:vAlign w:val="center"/>
          </w:tcPr>
          <w:p w14:paraId="53C4307E">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《金属非金属矿山安全规程》GB 16423</w:t>
            </w:r>
            <w:r>
              <w:rPr>
                <w:rFonts w:hint="eastAsia"/>
                <w:color w:val="000000" w:themeColor="text1"/>
                <w:kern w:val="0"/>
                <w:sz w:val="21"/>
                <w:szCs w:val="20"/>
                <w14:textFill>
                  <w14:solidFill>
                    <w14:schemeClr w14:val="tx1"/>
                  </w14:solidFill>
                </w14:textFill>
              </w:rPr>
              <w:t>-</w:t>
            </w:r>
            <w:r>
              <w:rPr>
                <w:color w:val="000000" w:themeColor="text1"/>
                <w:kern w:val="0"/>
                <w:sz w:val="21"/>
                <w:szCs w:val="20"/>
                <w14:textFill>
                  <w14:solidFill>
                    <w14:schemeClr w14:val="tx1"/>
                  </w14:solidFill>
                </w14:textFill>
              </w:rPr>
              <w:t>2020</w:t>
            </w:r>
          </w:p>
          <w:p w14:paraId="2885462D">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第5.4.</w:t>
            </w:r>
            <w:r>
              <w:rPr>
                <w:rFonts w:hint="eastAsia"/>
                <w:color w:val="000000" w:themeColor="text1"/>
                <w:kern w:val="0"/>
                <w:sz w:val="21"/>
                <w:szCs w:val="20"/>
                <w14:textFill>
                  <w14:solidFill>
                    <w14:schemeClr w14:val="tx1"/>
                  </w14:solidFill>
                </w14:textFill>
              </w:rPr>
              <w:t>3.1</w:t>
            </w:r>
            <w:r>
              <w:rPr>
                <w:color w:val="000000" w:themeColor="text1"/>
                <w:kern w:val="0"/>
                <w:sz w:val="21"/>
                <w:szCs w:val="20"/>
                <w14:textFill>
                  <w14:solidFill>
                    <w14:schemeClr w14:val="tx1"/>
                  </w14:solidFill>
                </w14:textFill>
              </w:rPr>
              <w:t>条</w:t>
            </w:r>
          </w:p>
        </w:tc>
        <w:tc>
          <w:tcPr>
            <w:tcW w:w="1129" w:type="pct"/>
            <w:vAlign w:val="center"/>
          </w:tcPr>
          <w:p w14:paraId="1BE1F9D3">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满足规程要求。</w:t>
            </w:r>
          </w:p>
        </w:tc>
        <w:tc>
          <w:tcPr>
            <w:tcW w:w="443" w:type="pct"/>
            <w:vAlign w:val="center"/>
          </w:tcPr>
          <w:p w14:paraId="4739E673">
            <w:pPr>
              <w:widowControl/>
              <w:spacing w:line="240" w:lineRule="auto"/>
              <w:ind w:firstLine="0" w:firstLineChars="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5D7F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03" w:hRule="atLeast"/>
        </w:trPr>
        <w:tc>
          <w:tcPr>
            <w:tcW w:w="483" w:type="pct"/>
            <w:vAlign w:val="center"/>
          </w:tcPr>
          <w:p w14:paraId="2FCD2915">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6</w:t>
            </w:r>
          </w:p>
        </w:tc>
        <w:tc>
          <w:tcPr>
            <w:tcW w:w="2056" w:type="pct"/>
            <w:vAlign w:val="center"/>
          </w:tcPr>
          <w:p w14:paraId="6CADDC00">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停车处理固定格筛卡矿、粗破碎机棚矿（国矿或过铁卡矿）以及进入机体检查处理故障时，应遵守下列规定：（1）作业人员应系好安全带，其长度只限到作业点；（2）设专人监护；（3）进入机体前，预先处理矿槽壁上附着的矿块或有可能脱落的浮渣。</w:t>
            </w:r>
          </w:p>
        </w:tc>
        <w:tc>
          <w:tcPr>
            <w:tcW w:w="889" w:type="pct"/>
            <w:vAlign w:val="center"/>
          </w:tcPr>
          <w:p w14:paraId="64DDCFE1">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《选矿安全规程》</w:t>
            </w:r>
            <w:r>
              <w:rPr>
                <w:rFonts w:hint="eastAsia"/>
                <w:color w:val="000000" w:themeColor="text1"/>
                <w:kern w:val="0"/>
                <w:sz w:val="21"/>
                <w:szCs w:val="20"/>
                <w14:textFill>
                  <w14:solidFill>
                    <w14:schemeClr w14:val="tx1"/>
                  </w14:solidFill>
                </w14:textFill>
              </w:rPr>
              <w:t>GB</w:t>
            </w:r>
            <w:r>
              <w:rPr>
                <w:color w:val="000000" w:themeColor="text1"/>
                <w:kern w:val="0"/>
                <w:sz w:val="21"/>
                <w:szCs w:val="20"/>
                <w14:textFill>
                  <w14:solidFill>
                    <w14:schemeClr w14:val="tx1"/>
                  </w14:solidFill>
                </w14:textFill>
              </w:rPr>
              <w:t>/T18152</w:t>
            </w:r>
            <w:r>
              <w:rPr>
                <w:rFonts w:hint="eastAsia"/>
                <w:color w:val="000000" w:themeColor="text1"/>
                <w:kern w:val="0"/>
                <w:sz w:val="21"/>
                <w:szCs w:val="20"/>
                <w14:textFill>
                  <w14:solidFill>
                    <w14:schemeClr w14:val="tx1"/>
                  </w14:solidFill>
                </w14:textFill>
              </w:rPr>
              <w:t xml:space="preserve">- </w:t>
            </w:r>
            <w:r>
              <w:rPr>
                <w:color w:val="000000" w:themeColor="text1"/>
                <w:kern w:val="0"/>
                <w:sz w:val="21"/>
                <w:szCs w:val="20"/>
                <w14:textFill>
                  <w14:solidFill>
                    <w14:schemeClr w14:val="tx1"/>
                  </w14:solidFill>
                </w14:textFill>
              </w:rPr>
              <w:t>2000</w:t>
            </w:r>
            <w:r>
              <w:rPr>
                <w:rFonts w:hint="eastAsia"/>
                <w:color w:val="000000" w:themeColor="text1"/>
                <w:kern w:val="0"/>
                <w:sz w:val="21"/>
                <w:szCs w:val="20"/>
                <w14:textFill>
                  <w14:solidFill>
                    <w14:schemeClr w14:val="tx1"/>
                  </w14:solidFill>
                </w14:textFill>
              </w:rPr>
              <w:t>第</w:t>
            </w:r>
            <w:r>
              <w:rPr>
                <w:color w:val="000000" w:themeColor="text1"/>
                <w:kern w:val="0"/>
                <w:sz w:val="21"/>
                <w:szCs w:val="20"/>
                <w14:textFill>
                  <w14:solidFill>
                    <w14:schemeClr w14:val="tx1"/>
                  </w14:solidFill>
                </w14:textFill>
              </w:rPr>
              <w:t>7.2.1</w:t>
            </w:r>
            <w:r>
              <w:rPr>
                <w:rFonts w:hint="eastAsia"/>
                <w:color w:val="000000" w:themeColor="text1"/>
                <w:kern w:val="0"/>
                <w:sz w:val="21"/>
                <w:szCs w:val="20"/>
                <w14:textFill>
                  <w14:solidFill>
                    <w14:schemeClr w14:val="tx1"/>
                  </w14:solidFill>
                </w14:textFill>
              </w:rPr>
              <w:t>条</w:t>
            </w:r>
          </w:p>
        </w:tc>
        <w:tc>
          <w:tcPr>
            <w:tcW w:w="1129" w:type="pct"/>
            <w:vAlign w:val="center"/>
          </w:tcPr>
          <w:p w14:paraId="2C7CC986">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制定并遵守破碎安全操作规程.</w:t>
            </w:r>
          </w:p>
        </w:tc>
        <w:tc>
          <w:tcPr>
            <w:tcW w:w="443" w:type="pct"/>
            <w:vAlign w:val="center"/>
          </w:tcPr>
          <w:p w14:paraId="4A4BEAE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3D12D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95" w:hRule="atLeast"/>
        </w:trPr>
        <w:tc>
          <w:tcPr>
            <w:tcW w:w="483" w:type="pct"/>
            <w:vAlign w:val="center"/>
          </w:tcPr>
          <w:p w14:paraId="7DD95FDF">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7</w:t>
            </w:r>
          </w:p>
        </w:tc>
        <w:tc>
          <w:tcPr>
            <w:tcW w:w="2056" w:type="pct"/>
            <w:vAlign w:val="center"/>
          </w:tcPr>
          <w:p w14:paraId="173FDDE2">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粗破碎机无给矿设备的，翻车机应在正常运转状态下翻矿，或按设备运转规程操作，不应在停车状态下翻矿。</w:t>
            </w:r>
          </w:p>
        </w:tc>
        <w:tc>
          <w:tcPr>
            <w:tcW w:w="889" w:type="pct"/>
            <w:vAlign w:val="center"/>
          </w:tcPr>
          <w:p w14:paraId="082FE1ED">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《选矿安全规程》</w:t>
            </w:r>
            <w:r>
              <w:rPr>
                <w:rFonts w:hint="eastAsia"/>
                <w:color w:val="000000" w:themeColor="text1"/>
                <w:kern w:val="0"/>
                <w:sz w:val="21"/>
                <w:szCs w:val="20"/>
                <w14:textFill>
                  <w14:solidFill>
                    <w14:schemeClr w14:val="tx1"/>
                  </w14:solidFill>
                </w14:textFill>
              </w:rPr>
              <w:t>GB</w:t>
            </w:r>
            <w:r>
              <w:rPr>
                <w:color w:val="000000" w:themeColor="text1"/>
                <w:kern w:val="0"/>
                <w:sz w:val="21"/>
                <w:szCs w:val="20"/>
                <w14:textFill>
                  <w14:solidFill>
                    <w14:schemeClr w14:val="tx1"/>
                  </w14:solidFill>
                </w14:textFill>
              </w:rPr>
              <w:t>/T18152</w:t>
            </w:r>
            <w:r>
              <w:rPr>
                <w:rFonts w:hint="eastAsia"/>
                <w:color w:val="000000" w:themeColor="text1"/>
                <w:kern w:val="0"/>
                <w:sz w:val="21"/>
                <w:szCs w:val="20"/>
                <w14:textFill>
                  <w14:solidFill>
                    <w14:schemeClr w14:val="tx1"/>
                  </w14:solidFill>
                </w14:textFill>
              </w:rPr>
              <w:t xml:space="preserve">- </w:t>
            </w:r>
            <w:r>
              <w:rPr>
                <w:color w:val="000000" w:themeColor="text1"/>
                <w:kern w:val="0"/>
                <w:sz w:val="21"/>
                <w:szCs w:val="20"/>
                <w14:textFill>
                  <w14:solidFill>
                    <w14:schemeClr w14:val="tx1"/>
                  </w14:solidFill>
                </w14:textFill>
              </w:rPr>
              <w:t>2000</w:t>
            </w:r>
            <w:r>
              <w:rPr>
                <w:rFonts w:hint="eastAsia"/>
                <w:color w:val="000000" w:themeColor="text1"/>
                <w:kern w:val="0"/>
                <w:sz w:val="21"/>
                <w:szCs w:val="20"/>
                <w14:textFill>
                  <w14:solidFill>
                    <w14:schemeClr w14:val="tx1"/>
                  </w14:solidFill>
                </w14:textFill>
              </w:rPr>
              <w:t>第</w:t>
            </w:r>
            <w:r>
              <w:rPr>
                <w:color w:val="000000" w:themeColor="text1"/>
                <w:kern w:val="0"/>
                <w:sz w:val="21"/>
                <w:szCs w:val="20"/>
                <w14:textFill>
                  <w14:solidFill>
                    <w14:schemeClr w14:val="tx1"/>
                  </w14:solidFill>
                </w14:textFill>
              </w:rPr>
              <w:t>7.2.</w:t>
            </w:r>
            <w:r>
              <w:rPr>
                <w:rFonts w:hint="eastAsia"/>
                <w:color w:val="000000" w:themeColor="text1"/>
                <w:kern w:val="0"/>
                <w:sz w:val="21"/>
                <w:szCs w:val="20"/>
                <w14:textFill>
                  <w14:solidFill>
                    <w14:schemeClr w14:val="tx1"/>
                  </w14:solidFill>
                </w14:textFill>
              </w:rPr>
              <w:t>3条</w:t>
            </w:r>
          </w:p>
        </w:tc>
        <w:tc>
          <w:tcPr>
            <w:tcW w:w="1129" w:type="pct"/>
            <w:vAlign w:val="center"/>
          </w:tcPr>
          <w:p w14:paraId="2FFAE4C4">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制定并遵守破碎安全操作规程。</w:t>
            </w:r>
          </w:p>
        </w:tc>
        <w:tc>
          <w:tcPr>
            <w:tcW w:w="443" w:type="pct"/>
            <w:vAlign w:val="center"/>
          </w:tcPr>
          <w:p w14:paraId="4726F85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070D7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91" w:hRule="atLeast"/>
        </w:trPr>
        <w:tc>
          <w:tcPr>
            <w:tcW w:w="483" w:type="pct"/>
            <w:vAlign w:val="center"/>
          </w:tcPr>
          <w:p w14:paraId="1669BFB1">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8</w:t>
            </w:r>
          </w:p>
        </w:tc>
        <w:tc>
          <w:tcPr>
            <w:tcW w:w="2056" w:type="pct"/>
            <w:vAlign w:val="center"/>
          </w:tcPr>
          <w:p w14:paraId="71EB9CD9">
            <w:pPr>
              <w:widowControl/>
              <w:spacing w:line="240" w:lineRule="auto"/>
              <w:ind w:firstLine="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清理粗破碎机翻车场地积矿时，作业人员应系安全带，并应设专人监护。</w:t>
            </w:r>
          </w:p>
        </w:tc>
        <w:tc>
          <w:tcPr>
            <w:tcW w:w="889" w:type="pct"/>
            <w:vAlign w:val="center"/>
          </w:tcPr>
          <w:p w14:paraId="76ED2FD5">
            <w:pPr>
              <w:widowControl/>
              <w:spacing w:line="240" w:lineRule="auto"/>
              <w:ind w:firstLine="560" w:firstLineChars="0"/>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《选矿安全规程》</w:t>
            </w:r>
            <w:r>
              <w:rPr>
                <w:rFonts w:hint="eastAsia"/>
                <w:color w:val="000000" w:themeColor="text1"/>
                <w:kern w:val="0"/>
                <w:sz w:val="21"/>
                <w:szCs w:val="20"/>
                <w14:textFill>
                  <w14:solidFill>
                    <w14:schemeClr w14:val="tx1"/>
                  </w14:solidFill>
                </w14:textFill>
              </w:rPr>
              <w:t>GB</w:t>
            </w:r>
            <w:r>
              <w:rPr>
                <w:color w:val="000000" w:themeColor="text1"/>
                <w:kern w:val="0"/>
                <w:sz w:val="21"/>
                <w:szCs w:val="20"/>
                <w14:textFill>
                  <w14:solidFill>
                    <w14:schemeClr w14:val="tx1"/>
                  </w14:solidFill>
                </w14:textFill>
              </w:rPr>
              <w:t>/T18152</w:t>
            </w:r>
            <w:r>
              <w:rPr>
                <w:rFonts w:hint="eastAsia"/>
                <w:color w:val="000000" w:themeColor="text1"/>
                <w:kern w:val="0"/>
                <w:sz w:val="21"/>
                <w:szCs w:val="20"/>
                <w14:textFill>
                  <w14:solidFill>
                    <w14:schemeClr w14:val="tx1"/>
                  </w14:solidFill>
                </w14:textFill>
              </w:rPr>
              <w:t xml:space="preserve">- </w:t>
            </w:r>
            <w:r>
              <w:rPr>
                <w:color w:val="000000" w:themeColor="text1"/>
                <w:kern w:val="0"/>
                <w:sz w:val="21"/>
                <w:szCs w:val="20"/>
                <w14:textFill>
                  <w14:solidFill>
                    <w14:schemeClr w14:val="tx1"/>
                  </w14:solidFill>
                </w14:textFill>
              </w:rPr>
              <w:t>2000</w:t>
            </w:r>
            <w:r>
              <w:rPr>
                <w:rFonts w:hint="eastAsia"/>
                <w:color w:val="000000" w:themeColor="text1"/>
                <w:kern w:val="0"/>
                <w:sz w:val="21"/>
                <w:szCs w:val="20"/>
                <w14:textFill>
                  <w14:solidFill>
                    <w14:schemeClr w14:val="tx1"/>
                  </w14:solidFill>
                </w14:textFill>
              </w:rPr>
              <w:t>第</w:t>
            </w:r>
            <w:r>
              <w:rPr>
                <w:color w:val="000000" w:themeColor="text1"/>
                <w:kern w:val="0"/>
                <w:sz w:val="21"/>
                <w:szCs w:val="20"/>
                <w14:textFill>
                  <w14:solidFill>
                    <w14:schemeClr w14:val="tx1"/>
                  </w14:solidFill>
                </w14:textFill>
              </w:rPr>
              <w:t>7.2.</w:t>
            </w:r>
            <w:r>
              <w:rPr>
                <w:rFonts w:hint="eastAsia"/>
                <w:color w:val="000000" w:themeColor="text1"/>
                <w:kern w:val="0"/>
                <w:sz w:val="21"/>
                <w:szCs w:val="20"/>
                <w14:textFill>
                  <w14:solidFill>
                    <w14:schemeClr w14:val="tx1"/>
                  </w14:solidFill>
                </w14:textFill>
              </w:rPr>
              <w:t>6条</w:t>
            </w:r>
          </w:p>
        </w:tc>
        <w:tc>
          <w:tcPr>
            <w:tcW w:w="1129" w:type="pct"/>
            <w:vAlign w:val="center"/>
          </w:tcPr>
          <w:p w14:paraId="0450FA17">
            <w:pPr>
              <w:widowControl/>
              <w:spacing w:line="240" w:lineRule="auto"/>
              <w:ind w:firstLine="560" w:firstLineChars="0"/>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制定并遵守破碎安全操作规程。</w:t>
            </w:r>
          </w:p>
        </w:tc>
        <w:tc>
          <w:tcPr>
            <w:tcW w:w="443" w:type="pct"/>
            <w:vAlign w:val="center"/>
          </w:tcPr>
          <w:p w14:paraId="3196F3A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2BD93A3D">
      <w:pPr>
        <w:pStyle w:val="64"/>
        <w:spacing w:before="120" w:after="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3.8-1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破碎站</w:t>
      </w:r>
      <w:r>
        <w:rPr>
          <w:color w:val="000000" w:themeColor="text1"/>
          <w14:textFill>
            <w14:solidFill>
              <w14:schemeClr w14:val="tx1"/>
            </w14:solidFill>
          </w14:textFill>
        </w:rPr>
        <w:t>安全检查表</w:t>
      </w:r>
    </w:p>
    <w:p w14:paraId="479BEF68">
      <w:pPr>
        <w:ind w:firstLine="560"/>
        <w:rPr>
          <w:color w:val="000000" w:themeColor="text1"/>
          <w14:textFill>
            <w14:solidFill>
              <w14:schemeClr w14:val="tx1"/>
            </w14:solidFill>
          </w14:textFill>
        </w:rPr>
      </w:pPr>
      <w:r>
        <w:rPr>
          <w:color w:val="000000" w:themeColor="text1"/>
          <w14:textFill>
            <w14:solidFill>
              <w14:schemeClr w14:val="tx1"/>
            </w14:solidFill>
          </w14:textFill>
        </w:rPr>
        <w:t>通过上述安全检查表分析可知，未布设冲洗设施；车间的楼板和地面，应有适当的坡度，应采取防滑措施。下一步安全设施设计需补充《选矿安全规程》</w:t>
      </w:r>
      <w:r>
        <w:rPr>
          <w:rFonts w:hint="eastAsia"/>
          <w:color w:val="000000" w:themeColor="text1"/>
          <w14:textFill>
            <w14:solidFill>
              <w14:schemeClr w14:val="tx1"/>
            </w14:solidFill>
          </w14:textFill>
        </w:rPr>
        <w:t>（GB/T 18152-2000）</w:t>
      </w:r>
      <w:r>
        <w:rPr>
          <w:color w:val="000000" w:themeColor="text1"/>
          <w14:textFill>
            <w14:solidFill>
              <w14:schemeClr w14:val="tx1"/>
            </w14:solidFill>
          </w14:textFill>
        </w:rPr>
        <w:t>规定。</w:t>
      </w:r>
    </w:p>
    <w:p w14:paraId="443C39EE">
      <w:pPr>
        <w:ind w:firstLine="560"/>
        <w:rPr>
          <w:color w:val="000000" w:themeColor="text1"/>
          <w14:textFill>
            <w14:solidFill>
              <w14:schemeClr w14:val="tx1"/>
            </w14:solidFill>
          </w14:textFill>
        </w:rPr>
      </w:pPr>
      <w:bookmarkStart w:id="2799" w:name="_Toc192158283"/>
      <w:bookmarkStart w:id="2800" w:name="_Toc46826674"/>
      <w:r>
        <w:rPr>
          <w:color w:val="000000" w:themeColor="text1"/>
          <w14:textFill>
            <w14:solidFill>
              <w14:schemeClr w14:val="tx1"/>
            </w14:solidFill>
          </w14:textFill>
        </w:rPr>
        <w:t>单元小结</w:t>
      </w:r>
      <w:bookmarkEnd w:id="2799"/>
      <w:bookmarkEnd w:id="2800"/>
      <w:r>
        <w:rPr>
          <w:rFonts w:hint="eastAsia"/>
          <w:color w:val="000000" w:themeColor="text1"/>
          <w14:textFill>
            <w14:solidFill>
              <w14:schemeClr w14:val="tx1"/>
            </w14:solidFill>
          </w14:textFill>
        </w:rPr>
        <w:t>：</w:t>
      </w:r>
      <w:bookmarkStart w:id="2801" w:name="_Hlk168391542"/>
      <w:r>
        <w:rPr>
          <w:color w:val="000000" w:themeColor="text1"/>
          <w14:textFill>
            <w14:solidFill>
              <w14:schemeClr w14:val="tx1"/>
            </w14:solidFill>
          </w14:textFill>
        </w:rPr>
        <w:t>通过安全检查表分析，未对通道宽度进行</w:t>
      </w:r>
      <w:r>
        <w:rPr>
          <w:rFonts w:hint="eastAsia"/>
          <w:color w:val="000000" w:themeColor="text1"/>
          <w14:textFill>
            <w14:solidFill>
              <w14:schemeClr w14:val="tx1"/>
            </w14:solidFill>
          </w14:textFill>
        </w:rPr>
        <w:t>说明</w:t>
      </w:r>
      <w:r>
        <w:rPr>
          <w:color w:val="000000" w:themeColor="text1"/>
          <w14:textFill>
            <w14:solidFill>
              <w14:schemeClr w14:val="tx1"/>
            </w14:solidFill>
          </w14:textFill>
        </w:rPr>
        <w:t>；未布设冲洗设施；车间的楼板和地面，应有适当的坡度；应采取防滑措施。</w:t>
      </w:r>
      <w:r>
        <w:rPr>
          <w:rFonts w:hint="eastAsia"/>
          <w:color w:val="000000" w:themeColor="text1"/>
          <w14:textFill>
            <w14:solidFill>
              <w14:schemeClr w14:val="tx1"/>
            </w14:solidFill>
          </w14:textFill>
        </w:rPr>
        <w:t>并加强防尘措施。</w:t>
      </w:r>
    </w:p>
    <w:bookmarkEnd w:id="2801"/>
    <w:p w14:paraId="55872E6F">
      <w:pPr>
        <w:pStyle w:val="4"/>
        <w:spacing w:before="240" w:after="120"/>
        <w:rPr>
          <w:color w:val="000000" w:themeColor="text1"/>
          <w14:textFill>
            <w14:solidFill>
              <w14:schemeClr w14:val="tx1"/>
            </w14:solidFill>
          </w14:textFill>
        </w:rPr>
      </w:pPr>
      <w:bookmarkStart w:id="2802" w:name="_Toc215070296"/>
      <w:r>
        <w:rPr>
          <w:rFonts w:hint="eastAsia"/>
          <w:color w:val="000000" w:themeColor="text1"/>
          <w14:textFill>
            <w14:solidFill>
              <w14:schemeClr w14:val="tx1"/>
            </w14:solidFill>
          </w14:textFill>
        </w:rPr>
        <w:t>3.10安全管理及其他单元</w:t>
      </w:r>
      <w:bookmarkEnd w:id="2777"/>
      <w:bookmarkEnd w:id="2778"/>
      <w:bookmarkEnd w:id="2779"/>
      <w:bookmarkEnd w:id="2780"/>
      <w:bookmarkEnd w:id="2781"/>
      <w:bookmarkEnd w:id="2782"/>
      <w:bookmarkEnd w:id="2783"/>
      <w:bookmarkEnd w:id="2784"/>
      <w:bookmarkEnd w:id="2785"/>
      <w:bookmarkEnd w:id="2786"/>
      <w:bookmarkEnd w:id="2802"/>
    </w:p>
    <w:p w14:paraId="3E0D4366">
      <w:pPr>
        <w:pStyle w:val="5"/>
        <w:spacing w:after="120"/>
        <w:rPr>
          <w:color w:val="000000" w:themeColor="text1"/>
          <w14:textFill>
            <w14:solidFill>
              <w14:schemeClr w14:val="tx1"/>
            </w14:solidFill>
          </w14:textFill>
        </w:rPr>
      </w:pPr>
      <w:bookmarkStart w:id="2803" w:name="_Toc15906"/>
      <w:bookmarkStart w:id="2804" w:name="_Toc30296"/>
      <w:bookmarkStart w:id="2805" w:name="_Toc25121"/>
      <w:bookmarkStart w:id="2806" w:name="_Toc5696"/>
      <w:bookmarkStart w:id="2807" w:name="_Toc31219"/>
      <w:bookmarkStart w:id="2808" w:name="_Toc20497"/>
      <w:bookmarkStart w:id="2809" w:name="_Toc2027"/>
      <w:bookmarkStart w:id="2810" w:name="_Toc30053"/>
      <w:bookmarkStart w:id="2811" w:name="_Toc32105"/>
      <w:bookmarkStart w:id="2812" w:name="_Toc16847"/>
      <w:bookmarkStart w:id="2813" w:name="_Toc215070297"/>
      <w:bookmarkStart w:id="2814" w:name="_Toc171873182"/>
      <w:bookmarkStart w:id="2815" w:name="_Toc32305"/>
      <w:bookmarkStart w:id="2816" w:name="_Toc323036421"/>
      <w:bookmarkStart w:id="2817" w:name="_Toc200880753"/>
      <w:bookmarkStart w:id="2818" w:name="_Toc10673"/>
      <w:bookmarkStart w:id="2819" w:name="_Toc335320344"/>
      <w:bookmarkStart w:id="2820" w:name="_Toc350972640"/>
      <w:bookmarkStart w:id="2821" w:name="_Toc19172"/>
      <w:bookmarkStart w:id="2822" w:name="_Toc295810635"/>
      <w:bookmarkStart w:id="2823" w:name="_Toc24784"/>
      <w:bookmarkStart w:id="2824" w:name="_Toc24089"/>
      <w:bookmarkStart w:id="2825" w:name="_Toc22552"/>
      <w:bookmarkStart w:id="2826" w:name="_Toc318996943"/>
      <w:bookmarkStart w:id="2827" w:name="_Toc19839"/>
      <w:bookmarkStart w:id="2828" w:name="_Toc392680773"/>
      <w:bookmarkStart w:id="2829" w:name="_Toc8654"/>
      <w:bookmarkStart w:id="2830" w:name="_Toc27533"/>
      <w:bookmarkStart w:id="2831" w:name="_Toc25136"/>
      <w:r>
        <w:rPr>
          <w:rFonts w:hint="eastAsia"/>
          <w:color w:val="000000" w:themeColor="text1"/>
          <w14:textFill>
            <w14:solidFill>
              <w14:schemeClr w14:val="tx1"/>
            </w14:solidFill>
          </w14:textFill>
        </w:rPr>
        <w:t>3.10.1安全管理及其他单元危险有害因素辨识</w:t>
      </w:r>
      <w:bookmarkEnd w:id="2803"/>
      <w:bookmarkEnd w:id="2804"/>
      <w:bookmarkEnd w:id="2805"/>
      <w:bookmarkEnd w:id="2806"/>
      <w:bookmarkEnd w:id="2807"/>
      <w:bookmarkEnd w:id="2808"/>
      <w:bookmarkEnd w:id="2809"/>
      <w:bookmarkEnd w:id="2810"/>
      <w:bookmarkEnd w:id="2811"/>
      <w:bookmarkEnd w:id="2812"/>
      <w:bookmarkEnd w:id="2813"/>
    </w:p>
    <w:p w14:paraId="1DDF6930">
      <w:pPr>
        <w:ind w:firstLine="560"/>
        <w:rPr>
          <w:color w:val="000000" w:themeColor="text1"/>
          <w14:textFill>
            <w14:solidFill>
              <w14:schemeClr w14:val="tx1"/>
            </w14:solidFill>
          </w14:textFill>
        </w:rPr>
      </w:pPr>
      <w:bookmarkStart w:id="2832" w:name="_Toc29674"/>
      <w:bookmarkStart w:id="2833" w:name="_Toc15913"/>
      <w:bookmarkStart w:id="2834" w:name="_Toc16140"/>
      <w:r>
        <w:rPr>
          <w:rFonts w:hint="eastAsia"/>
          <w:color w:val="000000" w:themeColor="text1"/>
          <w14:textFill>
            <w14:solidFill>
              <w14:schemeClr w14:val="tx1"/>
            </w14:solidFill>
          </w14:textFill>
        </w:rPr>
        <w:t>1、人员失误</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32"/>
      <w:bookmarkEnd w:id="2833"/>
      <w:bookmarkEnd w:id="2834"/>
    </w:p>
    <w:p w14:paraId="1ED314B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人为失误泛指不安全行为（指职工在劳动过程中违反劳动纪律、操作程序和方法等具有危险性的做法）中产生不良后果的行为。人为失误在生产过程中是可能发生的，它具有随机性和偶然性，往往是不可预测的意外行为。影响人员失误的因素很多，但发生人员失误的规律和失误率通过大量的观测、统计和分析是可以预测的。</w:t>
      </w:r>
    </w:p>
    <w:p w14:paraId="22CE150F">
      <w:pPr>
        <w:ind w:firstLine="560"/>
        <w:rPr>
          <w:color w:val="000000" w:themeColor="text1"/>
          <w14:textFill>
            <w14:solidFill>
              <w14:schemeClr w14:val="tx1"/>
            </w14:solidFill>
          </w14:textFill>
        </w:rPr>
      </w:pPr>
      <w:bookmarkStart w:id="2835" w:name="_Toc31696"/>
      <w:bookmarkStart w:id="2836" w:name="_Toc350972641"/>
      <w:bookmarkStart w:id="2837" w:name="_Toc703"/>
      <w:bookmarkStart w:id="2838" w:name="_Toc171873183"/>
      <w:bookmarkStart w:id="2839" w:name="_Toc29642"/>
      <w:bookmarkStart w:id="2840" w:name="_Toc274"/>
      <w:bookmarkStart w:id="2841" w:name="_Toc1486"/>
      <w:bookmarkStart w:id="2842" w:name="_Toc323036422"/>
      <w:bookmarkStart w:id="2843" w:name="_Toc200880754"/>
      <w:bookmarkStart w:id="2844" w:name="_Toc295810636"/>
      <w:bookmarkStart w:id="2845" w:name="_Toc20066"/>
      <w:bookmarkStart w:id="2846" w:name="_Toc19883"/>
      <w:bookmarkStart w:id="2847" w:name="_Toc335320345"/>
      <w:bookmarkStart w:id="2848" w:name="_Toc318996944"/>
      <w:bookmarkStart w:id="2849" w:name="_Toc15920"/>
      <w:r>
        <w:rPr>
          <w:rFonts w:hint="eastAsia"/>
          <w:color w:val="000000" w:themeColor="text1"/>
          <w14:textFill>
            <w14:solidFill>
              <w14:schemeClr w14:val="tx1"/>
            </w14:solidFill>
          </w14:textFill>
        </w:rPr>
        <w:t>2、管理缺陷</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570AA7D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是为保证及时、有效地实现既定的安全目标，是在预测、分析的基础之上进行的计划、组织、协调、检查等工作，是预防故障和人为失误发生的有效手段，因此，管理缺陷是影响运行失控发生的重要因素。</w:t>
      </w:r>
    </w:p>
    <w:p w14:paraId="4ED65A5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各类事故的发生都与安全生产管理有关，管理的缺失、不到位等安全管理因素一般是导致各类事故发生的间接原因。本单元安全管理的危险有害因素包括：</w:t>
      </w:r>
    </w:p>
    <w:p w14:paraId="1055B1E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（1）未设置安全管理机构，造成安全管理工作衔接不当、管理空白、专业不全等，从而造成安全管理上的漏洞。</w:t>
      </w:r>
    </w:p>
    <w:p w14:paraId="42959D2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（2）未健全和落实安全生产责任制、安全生产管理制度，安全操作规程，容易造成生产过程中责任不落实，任务不明确，工作中无章可循，造成生产次序混乱，诱发各类安全生产事故。</w:t>
      </w:r>
    </w:p>
    <w:p w14:paraId="00BB365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（3）矿山的安全管理人员及特种作业人员如果未按要求培训取证，安全管理人员和特种作业人员没有相应的操作技术及经验，将导致巨大的安全事故。</w:t>
      </w:r>
    </w:p>
    <w:p w14:paraId="2920788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（4）未编制应急预案，对生产安全事故无预见性，事故发生后无法及时组织救援，导致事故扩大，造成重大损失。</w:t>
      </w:r>
    </w:p>
    <w:p w14:paraId="5DBCB37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（5）设备设施未定期进行维护保养，导致设备设施带病作业，导致事故发生。</w:t>
      </w:r>
    </w:p>
    <w:p w14:paraId="2B3E2BE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（6）需定期进行检测检验合格后使用的设施，未定期进行检测，易引发相应的事故发生。</w:t>
      </w:r>
    </w:p>
    <w:p w14:paraId="0B26C6D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（7）作业人员未按要求佩戴劳动防护用品，导致事故伤害率增大。</w:t>
      </w:r>
    </w:p>
    <w:bookmarkEnd w:id="2787"/>
    <w:bookmarkEnd w:id="2788"/>
    <w:bookmarkEnd w:id="2789"/>
    <w:bookmarkEnd w:id="2790"/>
    <w:bookmarkEnd w:id="2791"/>
    <w:bookmarkEnd w:id="2792"/>
    <w:bookmarkEnd w:id="2793"/>
    <w:bookmarkEnd w:id="2794"/>
    <w:bookmarkEnd w:id="2827"/>
    <w:bookmarkEnd w:id="2828"/>
    <w:bookmarkEnd w:id="2829"/>
    <w:bookmarkEnd w:id="2830"/>
    <w:bookmarkEnd w:id="2831"/>
    <w:p w14:paraId="69A5CC23">
      <w:pPr>
        <w:pStyle w:val="5"/>
        <w:spacing w:after="120"/>
        <w:rPr>
          <w:color w:val="000000" w:themeColor="text1"/>
          <w14:textFill>
            <w14:solidFill>
              <w14:schemeClr w14:val="tx1"/>
            </w14:solidFill>
          </w14:textFill>
        </w:rPr>
      </w:pPr>
      <w:bookmarkStart w:id="2850" w:name="_Toc9423"/>
      <w:bookmarkStart w:id="2851" w:name="_Toc28174"/>
      <w:bookmarkStart w:id="2852" w:name="_Toc27313"/>
      <w:bookmarkStart w:id="2853" w:name="_Toc8316"/>
      <w:bookmarkStart w:id="2854" w:name="_Toc25008"/>
      <w:bookmarkStart w:id="2855" w:name="_Toc15822"/>
      <w:bookmarkStart w:id="2856" w:name="_Toc20278"/>
      <w:bookmarkStart w:id="2857" w:name="_Toc215070298"/>
      <w:bookmarkStart w:id="2858" w:name="_Toc22571"/>
      <w:bookmarkStart w:id="2859" w:name="_Toc9062"/>
      <w:bookmarkStart w:id="2860" w:name="_Toc23376"/>
      <w:bookmarkStart w:id="2861" w:name="_Toc110678606"/>
      <w:bookmarkStart w:id="2862" w:name="_Toc148953101"/>
      <w:bookmarkStart w:id="2863" w:name="_Toc149748346"/>
      <w:bookmarkStart w:id="2864" w:name="_Toc163831936"/>
      <w:bookmarkStart w:id="2865" w:name="_Toc153698810"/>
      <w:r>
        <w:rPr>
          <w:rFonts w:hint="eastAsia"/>
          <w:color w:val="000000" w:themeColor="text1"/>
          <w14:textFill>
            <w14:solidFill>
              <w14:schemeClr w14:val="tx1"/>
            </w14:solidFill>
          </w14:textFill>
        </w:rPr>
        <w:t>3.10.2安全检查表</w:t>
      </w:r>
      <w:bookmarkEnd w:id="2850"/>
      <w:bookmarkEnd w:id="2851"/>
      <w:bookmarkEnd w:id="2852"/>
      <w:bookmarkEnd w:id="2853"/>
      <w:bookmarkEnd w:id="2854"/>
      <w:bookmarkEnd w:id="2855"/>
      <w:bookmarkEnd w:id="2856"/>
      <w:bookmarkEnd w:id="2857"/>
      <w:bookmarkEnd w:id="2858"/>
      <w:bookmarkEnd w:id="2859"/>
      <w:bookmarkEnd w:id="2860"/>
    </w:p>
    <w:p w14:paraId="18954BDC">
      <w:pPr>
        <w:pStyle w:val="64"/>
        <w:spacing w:before="120" w:after="120"/>
        <w:rPr>
          <w:color w:val="000000" w:themeColor="text1"/>
          <w14:textFill>
            <w14:solidFill>
              <w14:schemeClr w14:val="tx1"/>
            </w14:solidFill>
          </w14:textFill>
        </w:rPr>
      </w:pPr>
      <w:bookmarkStart w:id="2866" w:name="_Toc14257"/>
      <w:r>
        <w:rPr>
          <w:rFonts w:hint="eastAsia"/>
          <w:color w:val="000000" w:themeColor="text1"/>
          <w14:textFill>
            <w14:solidFill>
              <w14:schemeClr w14:val="tx1"/>
            </w14:solidFill>
          </w14:textFill>
        </w:rPr>
        <w:t>表3.10-1安全管理单元安全检查表</w:t>
      </w:r>
      <w:bookmarkEnd w:id="2866"/>
    </w:p>
    <w:tbl>
      <w:tblPr>
        <w:tblStyle w:val="4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791"/>
        <w:gridCol w:w="1321"/>
        <w:gridCol w:w="1514"/>
        <w:gridCol w:w="732"/>
      </w:tblGrid>
      <w:tr w14:paraId="4913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09" w:type="dxa"/>
            <w:vAlign w:val="center"/>
          </w:tcPr>
          <w:p w14:paraId="328BF50A">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4791" w:type="dxa"/>
            <w:vAlign w:val="center"/>
          </w:tcPr>
          <w:p w14:paraId="3E444A5D">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检查内容</w:t>
            </w:r>
          </w:p>
        </w:tc>
        <w:tc>
          <w:tcPr>
            <w:tcW w:w="1321" w:type="dxa"/>
            <w:vAlign w:val="center"/>
          </w:tcPr>
          <w:p w14:paraId="5CE5A16F">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依据标准</w:t>
            </w:r>
          </w:p>
        </w:tc>
        <w:tc>
          <w:tcPr>
            <w:tcW w:w="1514" w:type="dxa"/>
            <w:vAlign w:val="center"/>
          </w:tcPr>
          <w:p w14:paraId="706EFC62">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732" w:type="dxa"/>
            <w:vAlign w:val="center"/>
          </w:tcPr>
          <w:p w14:paraId="6CD52C5E">
            <w:pPr>
              <w:pStyle w:val="67"/>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检查结果</w:t>
            </w:r>
          </w:p>
        </w:tc>
      </w:tr>
      <w:tr w14:paraId="2EED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709" w:type="dxa"/>
            <w:vMerge w:val="restart"/>
            <w:vAlign w:val="center"/>
          </w:tcPr>
          <w:p w14:paraId="1E73421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w:t>
            </w:r>
          </w:p>
          <w:p w14:paraId="46BB16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安全管理组织机构</w:t>
            </w:r>
          </w:p>
        </w:tc>
        <w:tc>
          <w:tcPr>
            <w:tcW w:w="4791" w:type="dxa"/>
            <w:vAlign w:val="center"/>
          </w:tcPr>
          <w:p w14:paraId="125F6FF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矿山、金属冶炼、建筑施工、运输单位和危险物品的生产、经营、储存、装卸单位，应当设置安全生产管理机构或者配备专职安全生产管理人员。</w:t>
            </w:r>
          </w:p>
          <w:p w14:paraId="7256EB8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321" w:type="dxa"/>
            <w:vAlign w:val="center"/>
          </w:tcPr>
          <w:p w14:paraId="0B97B9D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《中华人民共和国安全生产法》第二十四条</w:t>
            </w:r>
          </w:p>
        </w:tc>
        <w:tc>
          <w:tcPr>
            <w:tcW w:w="1514" w:type="dxa"/>
            <w:vAlign w:val="center"/>
          </w:tcPr>
          <w:p w14:paraId="56C0844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矿山设置安全技术科作为安全管理机构，主要负责人、安全管理员，需经培训合格持证上岗。</w:t>
            </w:r>
          </w:p>
        </w:tc>
        <w:tc>
          <w:tcPr>
            <w:tcW w:w="732" w:type="dxa"/>
            <w:vAlign w:val="center"/>
          </w:tcPr>
          <w:p w14:paraId="329F939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2D7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709" w:type="dxa"/>
            <w:vMerge w:val="continue"/>
            <w:vAlign w:val="center"/>
          </w:tcPr>
          <w:p w14:paraId="6060BF8A">
            <w:pPr>
              <w:pStyle w:val="71"/>
              <w:rPr>
                <w:rFonts w:hint="default"/>
                <w:color w:val="000000" w:themeColor="text1"/>
                <w14:textFill>
                  <w14:solidFill>
                    <w14:schemeClr w14:val="tx1"/>
                  </w14:solidFill>
                </w14:textFill>
              </w:rPr>
            </w:pPr>
          </w:p>
        </w:tc>
        <w:tc>
          <w:tcPr>
            <w:tcW w:w="4791" w:type="dxa"/>
            <w:vAlign w:val="center"/>
          </w:tcPr>
          <w:p w14:paraId="7AA0EF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生产经营单位的主要负责人和安全生产管理人员必须具备与本单位所从事的生产经营活动相应的安全生产知识和管理能力。</w:t>
            </w:r>
          </w:p>
          <w:p w14:paraId="0B155C1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4D7B849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tc>
        <w:tc>
          <w:tcPr>
            <w:tcW w:w="1321" w:type="dxa"/>
            <w:vAlign w:val="center"/>
          </w:tcPr>
          <w:p w14:paraId="169AC70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《中华人民共和国安全生产法》第二十七条</w:t>
            </w:r>
          </w:p>
        </w:tc>
        <w:tc>
          <w:tcPr>
            <w:tcW w:w="1514" w:type="dxa"/>
            <w:vAlign w:val="center"/>
          </w:tcPr>
          <w:p w14:paraId="4AD27BD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主要负责人、安全管理员，需经培训合格持证上岗。</w:t>
            </w:r>
          </w:p>
        </w:tc>
        <w:tc>
          <w:tcPr>
            <w:tcW w:w="732" w:type="dxa"/>
            <w:vAlign w:val="center"/>
          </w:tcPr>
          <w:p w14:paraId="07E68D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A38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709" w:type="dxa"/>
            <w:vMerge w:val="restart"/>
            <w:vAlign w:val="center"/>
          </w:tcPr>
          <w:p w14:paraId="1CF22C11">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11914A7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强化安全管理。非煤矿山企业必须依法设立安全管理机构或者配备专职安全生产管理人员，应当有注册安全工程师从事安全生产管理工作。专职安全生产管理人员应当从事矿山工作5年及以上、具有相应的非煤矿山安全生产专业知识和工作经验并熟悉本矿生产系统。专职安全生产管理人员数量按不少于从业人数的百分之一配备，且每个金属非金属地下矿山独立生产系统（不含外包施工单位）应当不少于3人，金属非金属露天矿山应当不少于2人，三等及以上尾矿库应当不少于4人，四等、五等尾矿库应当不少于2人。特种作业人员数量必须能够满足实际生产需求，并持证上岗。</w:t>
            </w:r>
          </w:p>
        </w:tc>
        <w:tc>
          <w:tcPr>
            <w:tcW w:w="1321" w:type="dxa"/>
            <w:vAlign w:val="center"/>
          </w:tcPr>
          <w:p w14:paraId="0DE36DB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《关于加强非煤矿山安全生产工作的指导意见的通知》（矿安〔2022〕4号）第十条</w:t>
            </w:r>
          </w:p>
        </w:tc>
        <w:tc>
          <w:tcPr>
            <w:tcW w:w="1514" w:type="dxa"/>
            <w:vAlign w:val="center"/>
          </w:tcPr>
          <w:p w14:paraId="68F59458">
            <w:pPr>
              <w:pStyle w:val="71"/>
              <w:rPr>
                <w:rFonts w:hint="default"/>
                <w:color w:val="000000" w:themeColor="text1"/>
                <w:lang w:val="zh-TW" w:eastAsia="zh-TW"/>
                <w14:textFill>
                  <w14:solidFill>
                    <w14:schemeClr w14:val="tx1"/>
                  </w14:solidFill>
                </w14:textFill>
              </w:rPr>
            </w:pPr>
            <w:r>
              <w:rPr>
                <w:rFonts w:hint="default"/>
                <w:color w:val="000000" w:themeColor="text1"/>
                <w:lang w:val="zh-TW" w:eastAsia="zh-TW"/>
                <w14:textFill>
                  <w14:solidFill>
                    <w14:schemeClr w14:val="tx1"/>
                  </w14:solidFill>
                </w14:textFill>
              </w:rPr>
              <w:t>矿山设置安全技术科，设安全技术科长一名，专职安全员两名。</w:t>
            </w:r>
          </w:p>
          <w:p w14:paraId="3048E603">
            <w:pPr>
              <w:pStyle w:val="71"/>
              <w:rPr>
                <w:rFonts w:hint="default"/>
                <w:color w:val="000000" w:themeColor="text1"/>
                <w14:textFill>
                  <w14:solidFill>
                    <w14:schemeClr w14:val="tx1"/>
                  </w14:solidFill>
                </w14:textFill>
              </w:rPr>
            </w:pPr>
          </w:p>
        </w:tc>
        <w:tc>
          <w:tcPr>
            <w:tcW w:w="732" w:type="dxa"/>
            <w:vAlign w:val="center"/>
          </w:tcPr>
          <w:p w14:paraId="77ACC61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4A7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709" w:type="dxa"/>
            <w:vMerge w:val="continue"/>
            <w:vAlign w:val="center"/>
          </w:tcPr>
          <w:p w14:paraId="27492A23">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3CE259E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强化技术管理。金属非金属地下矿山每个独立生产系统应当配备专职的矿长、总工程师和分管安全、生产、机电的副矿长，以上人员应当具有采矿、地质、矿建（井建）、通风、测量、机电、安全等矿山相关专业大专及以上学历或者中级及以上技术职称。金属非金属地下矿山应当设立技术管理机构，建立健全技术管理制度，配备具有采矿、地质、测量、机电等矿山相关专业中专及以上学历或者中级及以上技术职称的专职技术人员，每个专业至少配备1人。金属非金属露天矿山应当配备具有采矿、地质、机电等矿山相关专业中专及以上学历或者中级及以上技术职称的专职技术人员，每个专业至少配备1人。</w:t>
            </w:r>
          </w:p>
        </w:tc>
        <w:tc>
          <w:tcPr>
            <w:tcW w:w="1321" w:type="dxa"/>
            <w:vAlign w:val="center"/>
          </w:tcPr>
          <w:p w14:paraId="529EEC6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《关于加强非煤矿山安全生产工作的指导意见的通知》（矿安〔2022〕4号）第十一条</w:t>
            </w:r>
          </w:p>
        </w:tc>
        <w:tc>
          <w:tcPr>
            <w:tcW w:w="1514" w:type="dxa"/>
            <w:vAlign w:val="center"/>
          </w:tcPr>
          <w:p w14:paraId="35E0C35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未对配置采矿、地质、测量、机电等专业技术人员未进行说明。</w:t>
            </w:r>
          </w:p>
        </w:tc>
        <w:tc>
          <w:tcPr>
            <w:tcW w:w="732" w:type="dxa"/>
            <w:vAlign w:val="center"/>
          </w:tcPr>
          <w:p w14:paraId="0AB31E8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不符合</w:t>
            </w:r>
          </w:p>
        </w:tc>
      </w:tr>
      <w:tr w14:paraId="2C94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709" w:type="dxa"/>
            <w:vMerge w:val="restart"/>
            <w:vAlign w:val="center"/>
          </w:tcPr>
          <w:p w14:paraId="0455B85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w:t>
            </w:r>
          </w:p>
          <w:p w14:paraId="678C7EB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安全生产责任制、安全生产管理制度</w:t>
            </w:r>
          </w:p>
          <w:p w14:paraId="13E658C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、安全操作规程、安全检查</w:t>
            </w:r>
          </w:p>
          <w:p w14:paraId="06E7738D">
            <w:pPr>
              <w:pStyle w:val="71"/>
              <w:rPr>
                <w:rFonts w:hint="default"/>
                <w:color w:val="000000" w:themeColor="text1"/>
                <w14:textFill>
                  <w14:solidFill>
                    <w14:schemeClr w14:val="tx1"/>
                  </w14:solidFill>
                </w14:textFill>
              </w:rPr>
            </w:pPr>
          </w:p>
        </w:tc>
        <w:tc>
          <w:tcPr>
            <w:tcW w:w="4791" w:type="dxa"/>
            <w:vAlign w:val="center"/>
          </w:tcPr>
          <w:p w14:paraId="7848ABB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矿山企业应建立健全安全生产责任制，制定安全生产规章制度、安全教育培训制度和各岗位的安全操作规程。明确各岗位人员的责任和考核标准。</w:t>
            </w:r>
          </w:p>
        </w:tc>
        <w:tc>
          <w:tcPr>
            <w:tcW w:w="1321" w:type="dxa"/>
            <w:vAlign w:val="center"/>
          </w:tcPr>
          <w:p w14:paraId="16F1180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16423-2020第4.1.2条</w:t>
            </w:r>
          </w:p>
        </w:tc>
        <w:tc>
          <w:tcPr>
            <w:tcW w:w="1514" w:type="dxa"/>
            <w:vAlign w:val="center"/>
          </w:tcPr>
          <w:p w14:paraId="3A33780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矿山建立了全员安全生产责任制，制定安全生产规章制度、安全教育培训制度和各岗位的安全操作规程。</w:t>
            </w:r>
          </w:p>
        </w:tc>
        <w:tc>
          <w:tcPr>
            <w:tcW w:w="732" w:type="dxa"/>
            <w:vAlign w:val="center"/>
          </w:tcPr>
          <w:p w14:paraId="639029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179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709" w:type="dxa"/>
            <w:vMerge w:val="continue"/>
            <w:vAlign w:val="center"/>
          </w:tcPr>
          <w:p w14:paraId="57117BB2">
            <w:pPr>
              <w:pStyle w:val="71"/>
              <w:rPr>
                <w:rFonts w:hint="default"/>
                <w:color w:val="000000" w:themeColor="text1"/>
                <w14:textFill>
                  <w14:solidFill>
                    <w14:schemeClr w14:val="tx1"/>
                  </w14:solidFill>
                </w14:textFill>
              </w:rPr>
            </w:pPr>
          </w:p>
        </w:tc>
        <w:tc>
          <w:tcPr>
            <w:tcW w:w="4791" w:type="dxa"/>
            <w:vAlign w:val="center"/>
          </w:tcPr>
          <w:p w14:paraId="54C34DC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矿山企业应配备专职安全生产管理人员；从业人员超过一百人的应当设置安全生产管理机构。</w:t>
            </w:r>
          </w:p>
        </w:tc>
        <w:tc>
          <w:tcPr>
            <w:tcW w:w="1321" w:type="dxa"/>
            <w:vAlign w:val="center"/>
          </w:tcPr>
          <w:p w14:paraId="638BBDA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w:t>
            </w:r>
          </w:p>
          <w:p w14:paraId="02F6D0B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16423-2020第4.1.6条</w:t>
            </w:r>
          </w:p>
        </w:tc>
        <w:tc>
          <w:tcPr>
            <w:tcW w:w="1514" w:type="dxa"/>
            <w:vAlign w:val="center"/>
          </w:tcPr>
          <w:p w14:paraId="51B290D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矿山设置安全技术科作为安全管理机构，主要负责人、安全管理员，需经培训合格持证上岗。</w:t>
            </w:r>
          </w:p>
        </w:tc>
        <w:tc>
          <w:tcPr>
            <w:tcW w:w="732" w:type="dxa"/>
            <w:vAlign w:val="center"/>
          </w:tcPr>
          <w:p w14:paraId="4A6A779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93E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709" w:type="dxa"/>
            <w:vMerge w:val="continue"/>
            <w:vAlign w:val="center"/>
          </w:tcPr>
          <w:p w14:paraId="7016BC2F">
            <w:pPr>
              <w:pStyle w:val="71"/>
              <w:rPr>
                <w:rFonts w:hint="default"/>
                <w:color w:val="000000" w:themeColor="text1"/>
                <w14:textFill>
                  <w14:solidFill>
                    <w14:schemeClr w14:val="tx1"/>
                  </w14:solidFill>
                </w14:textFill>
              </w:rPr>
            </w:pPr>
          </w:p>
        </w:tc>
        <w:tc>
          <w:tcPr>
            <w:tcW w:w="4791" w:type="dxa"/>
            <w:vAlign w:val="center"/>
          </w:tcPr>
          <w:p w14:paraId="333E378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矿山企业主要负责人应具备矿山安全生产专业知识，具有领导矿山安全生产和处理矿山事故的能力。</w:t>
            </w:r>
          </w:p>
        </w:tc>
        <w:tc>
          <w:tcPr>
            <w:tcW w:w="1321" w:type="dxa"/>
            <w:vAlign w:val="center"/>
          </w:tcPr>
          <w:p w14:paraId="74E4475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w:t>
            </w:r>
          </w:p>
          <w:p w14:paraId="7492FCD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16423-2020第4.2.2条</w:t>
            </w:r>
          </w:p>
        </w:tc>
        <w:tc>
          <w:tcPr>
            <w:tcW w:w="1514" w:type="dxa"/>
            <w:vAlign w:val="center"/>
          </w:tcPr>
          <w:p w14:paraId="45FAFC0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主要负责人经培训合格持证上岗。</w:t>
            </w:r>
          </w:p>
        </w:tc>
        <w:tc>
          <w:tcPr>
            <w:tcW w:w="732" w:type="dxa"/>
            <w:vAlign w:val="center"/>
          </w:tcPr>
          <w:p w14:paraId="48A47C3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EEB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vAlign w:val="center"/>
          </w:tcPr>
          <w:p w14:paraId="229D49E5">
            <w:pPr>
              <w:pStyle w:val="71"/>
              <w:rPr>
                <w:rFonts w:hint="default"/>
                <w:color w:val="000000" w:themeColor="text1"/>
                <w14:textFill>
                  <w14:solidFill>
                    <w14:schemeClr w14:val="tx1"/>
                  </w14:solidFill>
                </w14:textFill>
              </w:rPr>
            </w:pPr>
          </w:p>
        </w:tc>
        <w:tc>
          <w:tcPr>
            <w:tcW w:w="4791" w:type="dxa"/>
            <w:vAlign w:val="center"/>
          </w:tcPr>
          <w:p w14:paraId="072896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矿山企业主要负责人应依法接受安全培训和考核，并取得合格证。</w:t>
            </w:r>
          </w:p>
        </w:tc>
        <w:tc>
          <w:tcPr>
            <w:tcW w:w="1321" w:type="dxa"/>
            <w:vAlign w:val="center"/>
          </w:tcPr>
          <w:p w14:paraId="3B32FFE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w:t>
            </w:r>
          </w:p>
          <w:p w14:paraId="2E9019C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16423-2020第4.2.3条</w:t>
            </w:r>
          </w:p>
        </w:tc>
        <w:tc>
          <w:tcPr>
            <w:tcW w:w="1514" w:type="dxa"/>
            <w:vAlign w:val="center"/>
          </w:tcPr>
          <w:p w14:paraId="6939F7D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主要负责人经培训合格持证上岗。</w:t>
            </w:r>
          </w:p>
        </w:tc>
        <w:tc>
          <w:tcPr>
            <w:tcW w:w="732" w:type="dxa"/>
            <w:vAlign w:val="center"/>
          </w:tcPr>
          <w:p w14:paraId="6FE5689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A71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vAlign w:val="center"/>
          </w:tcPr>
          <w:p w14:paraId="31D3455C">
            <w:pPr>
              <w:pStyle w:val="71"/>
              <w:rPr>
                <w:rFonts w:hint="default"/>
                <w:color w:val="000000" w:themeColor="text1"/>
                <w14:textFill>
                  <w14:solidFill>
                    <w14:schemeClr w14:val="tx1"/>
                  </w14:solidFill>
                </w14:textFill>
              </w:rPr>
            </w:pPr>
          </w:p>
        </w:tc>
        <w:tc>
          <w:tcPr>
            <w:tcW w:w="4791" w:type="dxa"/>
            <w:vAlign w:val="center"/>
          </w:tcPr>
          <w:p w14:paraId="1118ACB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专职安全生产管理人员应从事矿山工作5年以上、具有相应的矿山安全生产专业知识和工作经验并熟悉本矿山生产系统。专职安全生产管理人员应依法接受培训，并取得合格证。</w:t>
            </w:r>
          </w:p>
        </w:tc>
        <w:tc>
          <w:tcPr>
            <w:tcW w:w="1321" w:type="dxa"/>
            <w:vAlign w:val="center"/>
          </w:tcPr>
          <w:p w14:paraId="7AA5ED1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16423-2020第4.3.1条</w:t>
            </w:r>
          </w:p>
        </w:tc>
        <w:tc>
          <w:tcPr>
            <w:tcW w:w="1514" w:type="dxa"/>
            <w:vAlign w:val="center"/>
          </w:tcPr>
          <w:p w14:paraId="4A84C58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安全管理员，经培训合格持证上岗。</w:t>
            </w:r>
          </w:p>
        </w:tc>
        <w:tc>
          <w:tcPr>
            <w:tcW w:w="732" w:type="dxa"/>
            <w:vAlign w:val="center"/>
          </w:tcPr>
          <w:p w14:paraId="629A746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755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709" w:type="dxa"/>
            <w:vMerge w:val="continue"/>
            <w:vAlign w:val="center"/>
          </w:tcPr>
          <w:p w14:paraId="4DCDA57B">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6552433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安全生产管理机构应配备足够的专职安全生产管理人员。</w:t>
            </w:r>
          </w:p>
        </w:tc>
        <w:tc>
          <w:tcPr>
            <w:tcW w:w="1321" w:type="dxa"/>
            <w:vAlign w:val="center"/>
          </w:tcPr>
          <w:p w14:paraId="1FE86AA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w:t>
            </w:r>
          </w:p>
          <w:p w14:paraId="325100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16423-2020第4.4.1条</w:t>
            </w:r>
          </w:p>
        </w:tc>
        <w:tc>
          <w:tcPr>
            <w:tcW w:w="1514" w:type="dxa"/>
            <w:vAlign w:val="center"/>
          </w:tcPr>
          <w:p w14:paraId="689F755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矿山企业及采掘施工单位均配置了多名经培训合格取证的安全管理员。</w:t>
            </w:r>
          </w:p>
        </w:tc>
        <w:tc>
          <w:tcPr>
            <w:tcW w:w="732" w:type="dxa"/>
            <w:vAlign w:val="center"/>
          </w:tcPr>
          <w:p w14:paraId="4866B5B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7B8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709" w:type="dxa"/>
            <w:vMerge w:val="restart"/>
            <w:vAlign w:val="center"/>
          </w:tcPr>
          <w:p w14:paraId="0FAA5A42">
            <w:pPr>
              <w:adjustRightInd w:val="0"/>
              <w:snapToGrid w:val="0"/>
              <w:spacing w:line="240" w:lineRule="auto"/>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3、安全生产投入与工伤保险</w:t>
            </w:r>
          </w:p>
          <w:p w14:paraId="1555627B">
            <w:pPr>
              <w:adjustRightInd w:val="0"/>
              <w:snapToGrid w:val="0"/>
              <w:spacing w:line="240" w:lineRule="auto"/>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，应急管理，设备设施维护保养</w:t>
            </w:r>
          </w:p>
        </w:tc>
        <w:tc>
          <w:tcPr>
            <w:tcW w:w="4791" w:type="dxa"/>
            <w:vAlign w:val="center"/>
          </w:tcPr>
          <w:p w14:paraId="07AFCD9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生产经营单位应当具备的安全生产条件所必需的资金投入，由生产经营单位的决策机构、主要负责人或者个人经营的投资人予以保证，并对由于安全生产所必需的资金投入不足导致的后果承担责任。</w:t>
            </w:r>
          </w:p>
          <w:p w14:paraId="7E70046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tc>
        <w:tc>
          <w:tcPr>
            <w:tcW w:w="1321" w:type="dxa"/>
            <w:vAlign w:val="center"/>
          </w:tcPr>
          <w:p w14:paraId="2A66EE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《中华人民共和国安全生产法》第二十三条</w:t>
            </w:r>
          </w:p>
        </w:tc>
        <w:tc>
          <w:tcPr>
            <w:tcW w:w="1514" w:type="dxa"/>
            <w:vAlign w:val="center"/>
          </w:tcPr>
          <w:p w14:paraId="49DBEFC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按照《企业安全生产费用提取和使用管理办法》（财资〔2022〕136号）的要求进行安全生产费用提取和使用。</w:t>
            </w:r>
          </w:p>
        </w:tc>
        <w:tc>
          <w:tcPr>
            <w:tcW w:w="732" w:type="dxa"/>
            <w:vAlign w:val="center"/>
          </w:tcPr>
          <w:p w14:paraId="158B2FE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BFA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709" w:type="dxa"/>
            <w:vMerge w:val="continue"/>
            <w:vAlign w:val="center"/>
          </w:tcPr>
          <w:p w14:paraId="2EA63CA5">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3A7155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生产经营单位应当安排用于配备劳动防护用品、进行安全生产培训的经费。</w:t>
            </w:r>
          </w:p>
        </w:tc>
        <w:tc>
          <w:tcPr>
            <w:tcW w:w="1321" w:type="dxa"/>
            <w:vAlign w:val="center"/>
          </w:tcPr>
          <w:p w14:paraId="28ED5EE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《中华人民共和国安全生产法》第四十七条</w:t>
            </w:r>
          </w:p>
        </w:tc>
        <w:tc>
          <w:tcPr>
            <w:tcW w:w="1514" w:type="dxa"/>
            <w:vAlign w:val="center"/>
          </w:tcPr>
          <w:p w14:paraId="355F27C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要求向作业人员配备相应的劳动防护用品。</w:t>
            </w:r>
          </w:p>
        </w:tc>
        <w:tc>
          <w:tcPr>
            <w:tcW w:w="732" w:type="dxa"/>
            <w:vAlign w:val="center"/>
          </w:tcPr>
          <w:p w14:paraId="1E85BEE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567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709" w:type="dxa"/>
            <w:vMerge w:val="continue"/>
            <w:vAlign w:val="center"/>
          </w:tcPr>
          <w:p w14:paraId="2644F5E3">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3E99CDC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生产经营单位必须依法参加工伤保险，为从业人员缴纳保险费。</w:t>
            </w:r>
          </w:p>
          <w:p w14:paraId="2D77E34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1321" w:type="dxa"/>
            <w:vAlign w:val="center"/>
          </w:tcPr>
          <w:p w14:paraId="6B56ACB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《中华人民共和国安全生产法》第五十一条</w:t>
            </w:r>
          </w:p>
          <w:p w14:paraId="772C38AC">
            <w:pPr>
              <w:pStyle w:val="71"/>
              <w:rPr>
                <w:rFonts w:hint="default"/>
                <w:color w:val="000000" w:themeColor="text1"/>
                <w14:textFill>
                  <w14:solidFill>
                    <w14:schemeClr w14:val="tx1"/>
                  </w14:solidFill>
                </w14:textFill>
              </w:rPr>
            </w:pPr>
          </w:p>
        </w:tc>
        <w:tc>
          <w:tcPr>
            <w:tcW w:w="1514" w:type="dxa"/>
            <w:vAlign w:val="center"/>
          </w:tcPr>
          <w:p w14:paraId="7687232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要求企业依法为作业人员缴纳了工伤保险，并投保安全生产责任保险。</w:t>
            </w:r>
          </w:p>
        </w:tc>
        <w:tc>
          <w:tcPr>
            <w:tcW w:w="732" w:type="dxa"/>
            <w:vAlign w:val="center"/>
          </w:tcPr>
          <w:p w14:paraId="395D8FE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396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09" w:type="dxa"/>
            <w:vMerge w:val="continue"/>
            <w:vAlign w:val="center"/>
          </w:tcPr>
          <w:p w14:paraId="76066AF6">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6F42609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生产经营单位应当制定本单位生产安全事故应急救援预案，与所在地县级以上地方人民政府组织制定的生产安全事故应急救援预案相衔接，并定期组织演练。</w:t>
            </w:r>
          </w:p>
        </w:tc>
        <w:tc>
          <w:tcPr>
            <w:tcW w:w="1321" w:type="dxa"/>
            <w:vAlign w:val="center"/>
          </w:tcPr>
          <w:p w14:paraId="608173F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《中华人民共和国安全生产法》第八十一条</w:t>
            </w:r>
          </w:p>
        </w:tc>
        <w:tc>
          <w:tcPr>
            <w:tcW w:w="1514" w:type="dxa"/>
            <w:vAlign w:val="center"/>
          </w:tcPr>
          <w:p w14:paraId="614B0AE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w:t>
            </w:r>
            <w:r>
              <w:rPr>
                <w:rFonts w:ascii="宋体" w:hAnsi="宋体" w:cs="宋体"/>
                <w:color w:val="000000" w:themeColor="text1"/>
                <w:szCs w:val="21"/>
                <w:shd w:val="clear" w:color="auto" w:fill="FFFFFF"/>
                <w:lang w:bidi="ar"/>
                <w14:textFill>
                  <w14:solidFill>
                    <w14:schemeClr w14:val="tx1"/>
                  </w14:solidFill>
                </w14:textFill>
              </w:rPr>
              <w:t>应急救援预案并定期组织演练</w:t>
            </w:r>
            <w:r>
              <w:rPr>
                <w:rFonts w:ascii="宋体" w:hAnsi="宋体" w:cs="宋体"/>
                <w:color w:val="000000" w:themeColor="text1"/>
                <w:szCs w:val="21"/>
                <w14:textFill>
                  <w14:solidFill>
                    <w14:schemeClr w14:val="tx1"/>
                  </w14:solidFill>
                </w14:textFill>
              </w:rPr>
              <w:t>。</w:t>
            </w:r>
          </w:p>
        </w:tc>
        <w:tc>
          <w:tcPr>
            <w:tcW w:w="732" w:type="dxa"/>
            <w:vAlign w:val="center"/>
          </w:tcPr>
          <w:p w14:paraId="16EED60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828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jc w:val="center"/>
        </w:trPr>
        <w:tc>
          <w:tcPr>
            <w:tcW w:w="709" w:type="dxa"/>
            <w:vMerge w:val="continue"/>
            <w:vAlign w:val="center"/>
          </w:tcPr>
          <w:p w14:paraId="22BE776F">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7FF899F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危险物品的生产、经营、储存单位以及矿山、金属冶炼、城市轨道交通运营、建筑施工单位应当建立应急救援组织；生产经营规模较小的，可以不建立应急救援组织，但应当指定兼职的应急救援人员。</w:t>
            </w:r>
          </w:p>
          <w:p w14:paraId="7F368A5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危险物品的生产、经营、储存、运输单位以及矿山、金属冶炼、城市轨道交通运营、建筑施工单位应当配备必要的应急救援器材、设备和物资，并进行经常性维护、保养，保证正常运转。</w:t>
            </w:r>
          </w:p>
        </w:tc>
        <w:tc>
          <w:tcPr>
            <w:tcW w:w="1321" w:type="dxa"/>
            <w:vAlign w:val="center"/>
          </w:tcPr>
          <w:p w14:paraId="6A670D7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《中华人民共和国安全生产法》第八十二条</w:t>
            </w:r>
          </w:p>
        </w:tc>
        <w:tc>
          <w:tcPr>
            <w:tcW w:w="1514" w:type="dxa"/>
            <w:vAlign w:val="center"/>
          </w:tcPr>
          <w:p w14:paraId="0E7D706B">
            <w:pPr>
              <w:pStyle w:val="71"/>
              <w:rPr>
                <w:rFonts w:hint="default"/>
                <w:color w:val="000000" w:themeColor="text1"/>
                <w14:textFill>
                  <w14:solidFill>
                    <w14:schemeClr w14:val="tx1"/>
                  </w14:solidFill>
                </w14:textFill>
              </w:rPr>
            </w:pPr>
            <w:r>
              <w:rPr>
                <w:rFonts w:ascii="宋体" w:hAnsi="宋体" w:cs="宋体"/>
                <w:color w:val="000000" w:themeColor="text1"/>
                <w:szCs w:val="21"/>
                <w:shd w:val="clear" w:color="auto" w:fill="FFFFFF"/>
                <w:lang w:bidi="ar"/>
                <w14:textFill>
                  <w14:solidFill>
                    <w14:schemeClr w14:val="tx1"/>
                  </w14:solidFill>
                </w14:textFill>
              </w:rPr>
              <w:t>矿山建立应急救援组织指定兼职的应急救援人员、配备必要的应急救援器材、设备和物资。</w:t>
            </w:r>
          </w:p>
        </w:tc>
        <w:tc>
          <w:tcPr>
            <w:tcW w:w="732" w:type="dxa"/>
            <w:vAlign w:val="center"/>
          </w:tcPr>
          <w:p w14:paraId="7D4E83F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6FE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09" w:type="dxa"/>
            <w:vMerge w:val="continue"/>
            <w:vAlign w:val="center"/>
          </w:tcPr>
          <w:p w14:paraId="62709F63">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159F711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矿山企业应对安全设施进行定期检查、维护和保养，记录结果并存档，记录应由相关人员签字确认；安全设施在用期间，不得拆除或者破坏。</w:t>
            </w:r>
          </w:p>
        </w:tc>
        <w:tc>
          <w:tcPr>
            <w:tcW w:w="1321" w:type="dxa"/>
            <w:vAlign w:val="center"/>
          </w:tcPr>
          <w:p w14:paraId="20C1FD7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16423-2020第4.7.4条</w:t>
            </w:r>
          </w:p>
        </w:tc>
        <w:tc>
          <w:tcPr>
            <w:tcW w:w="1514" w:type="dxa"/>
            <w:vAlign w:val="center"/>
          </w:tcPr>
          <w:p w14:paraId="4D26432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要求对相应的安全设施进行检查、维护，保证其正常运行。</w:t>
            </w:r>
          </w:p>
        </w:tc>
        <w:tc>
          <w:tcPr>
            <w:tcW w:w="732" w:type="dxa"/>
            <w:vAlign w:val="center"/>
          </w:tcPr>
          <w:p w14:paraId="4FEA34F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BB5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09" w:type="dxa"/>
            <w:vMerge w:val="continue"/>
            <w:vAlign w:val="center"/>
          </w:tcPr>
          <w:p w14:paraId="4F1C82DE">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13D55AD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矿山应制定针对边坡滑塌事故的应急预案。</w:t>
            </w:r>
          </w:p>
        </w:tc>
        <w:tc>
          <w:tcPr>
            <w:tcW w:w="1321" w:type="dxa"/>
            <w:vAlign w:val="center"/>
          </w:tcPr>
          <w:p w14:paraId="7B09A11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16423-2020第5.2.4.7条</w:t>
            </w:r>
          </w:p>
        </w:tc>
        <w:tc>
          <w:tcPr>
            <w:tcW w:w="1514" w:type="dxa"/>
            <w:vAlign w:val="center"/>
          </w:tcPr>
          <w:p w14:paraId="3B7522A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w:t>
            </w:r>
            <w:r>
              <w:rPr>
                <w:rFonts w:ascii="宋体" w:hAnsi="宋体" w:cs="宋体"/>
                <w:color w:val="000000" w:themeColor="text1"/>
                <w:szCs w:val="21"/>
                <w14:textFill>
                  <w14:solidFill>
                    <w14:schemeClr w14:val="tx1"/>
                  </w14:solidFill>
                </w14:textFill>
              </w:rPr>
              <w:t>边坡滑塌事故</w:t>
            </w:r>
            <w:r>
              <w:rPr>
                <w:color w:val="000000" w:themeColor="text1"/>
                <w14:textFill>
                  <w14:solidFill>
                    <w14:schemeClr w14:val="tx1"/>
                  </w14:solidFill>
                </w14:textFill>
              </w:rPr>
              <w:t>专项</w:t>
            </w:r>
            <w:r>
              <w:rPr>
                <w:rFonts w:ascii="宋体" w:hAnsi="宋体" w:cs="宋体"/>
                <w:color w:val="000000" w:themeColor="text1"/>
                <w:szCs w:val="21"/>
                <w:shd w:val="clear" w:color="auto" w:fill="FFFFFF"/>
                <w:lang w:bidi="ar"/>
                <w14:textFill>
                  <w14:solidFill>
                    <w14:schemeClr w14:val="tx1"/>
                  </w14:solidFill>
                </w14:textFill>
              </w:rPr>
              <w:t>应急救援预案</w:t>
            </w:r>
            <w:r>
              <w:rPr>
                <w:color w:val="000000" w:themeColor="text1"/>
                <w14:textFill>
                  <w14:solidFill>
                    <w14:schemeClr w14:val="tx1"/>
                  </w14:solidFill>
                </w14:textFill>
              </w:rPr>
              <w:t>。</w:t>
            </w:r>
          </w:p>
        </w:tc>
        <w:tc>
          <w:tcPr>
            <w:tcW w:w="732" w:type="dxa"/>
            <w:vAlign w:val="center"/>
          </w:tcPr>
          <w:p w14:paraId="17BE545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D33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09" w:type="dxa"/>
            <w:vMerge w:val="continue"/>
            <w:vAlign w:val="center"/>
          </w:tcPr>
          <w:p w14:paraId="0D32C6D5">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tcBorders>
              <w:right w:val="single" w:color="auto" w:sz="4" w:space="0"/>
            </w:tcBorders>
            <w:vAlign w:val="center"/>
          </w:tcPr>
          <w:p w14:paraId="7002815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矿山应制定针对排土场滑坡、泥石流等事故的应急预案。</w:t>
            </w:r>
          </w:p>
        </w:tc>
        <w:tc>
          <w:tcPr>
            <w:tcW w:w="1321" w:type="dxa"/>
            <w:tcBorders>
              <w:top w:val="single" w:color="auto" w:sz="4" w:space="0"/>
              <w:left w:val="single" w:color="auto" w:sz="4" w:space="0"/>
              <w:bottom w:val="single" w:color="auto" w:sz="4" w:space="0"/>
              <w:right w:val="single" w:color="auto" w:sz="4" w:space="0"/>
            </w:tcBorders>
            <w:vAlign w:val="center"/>
          </w:tcPr>
          <w:p w14:paraId="2B27D32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16423-2020第5.5.1.8条</w:t>
            </w:r>
          </w:p>
        </w:tc>
        <w:tc>
          <w:tcPr>
            <w:tcW w:w="1514" w:type="dxa"/>
            <w:tcBorders>
              <w:left w:val="single" w:color="auto" w:sz="4" w:space="0"/>
              <w:right w:val="single" w:color="auto" w:sz="4" w:space="0"/>
            </w:tcBorders>
            <w:vAlign w:val="center"/>
          </w:tcPr>
          <w:p w14:paraId="31DC20A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企业建立</w:t>
            </w:r>
            <w:r>
              <w:rPr>
                <w:rFonts w:ascii="宋体" w:hAnsi="宋体" w:cs="宋体"/>
                <w:color w:val="000000" w:themeColor="text1"/>
                <w:szCs w:val="21"/>
                <w:lang w:bidi="ar"/>
                <w14:textFill>
                  <w14:solidFill>
                    <w14:schemeClr w14:val="tx1"/>
                  </w14:solidFill>
                </w14:textFill>
              </w:rPr>
              <w:t>排土场滑坡、泥石流等事故</w:t>
            </w:r>
            <w:r>
              <w:rPr>
                <w:color w:val="000000" w:themeColor="text1"/>
                <w14:textFill>
                  <w14:solidFill>
                    <w14:schemeClr w14:val="tx1"/>
                  </w14:solidFill>
                </w14:textFill>
              </w:rPr>
              <w:t>专项</w:t>
            </w:r>
            <w:r>
              <w:rPr>
                <w:rFonts w:ascii="宋体" w:hAnsi="宋体" w:cs="宋体"/>
                <w:color w:val="000000" w:themeColor="text1"/>
                <w:szCs w:val="21"/>
                <w:shd w:val="clear" w:color="auto" w:fill="FFFFFF"/>
                <w:lang w:bidi="ar"/>
                <w14:textFill>
                  <w14:solidFill>
                    <w14:schemeClr w14:val="tx1"/>
                  </w14:solidFill>
                </w14:textFill>
              </w:rPr>
              <w:t>应急救援预案</w:t>
            </w:r>
            <w:r>
              <w:rPr>
                <w:color w:val="000000" w:themeColor="text1"/>
                <w14:textFill>
                  <w14:solidFill>
                    <w14:schemeClr w14:val="tx1"/>
                  </w14:solidFill>
                </w14:textFill>
              </w:rPr>
              <w:t>。</w:t>
            </w:r>
          </w:p>
        </w:tc>
        <w:tc>
          <w:tcPr>
            <w:tcW w:w="732" w:type="dxa"/>
            <w:tcBorders>
              <w:left w:val="single" w:color="auto" w:sz="4" w:space="0"/>
              <w:right w:val="single" w:color="auto" w:sz="4" w:space="0"/>
            </w:tcBorders>
            <w:vAlign w:val="center"/>
          </w:tcPr>
          <w:p w14:paraId="64DDD4A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DE7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709" w:type="dxa"/>
            <w:vMerge w:val="restart"/>
            <w:vAlign w:val="center"/>
          </w:tcPr>
          <w:p w14:paraId="397EF029">
            <w:pPr>
              <w:adjustRightInd w:val="0"/>
              <w:snapToGrid w:val="0"/>
              <w:spacing w:line="240" w:lineRule="auto"/>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4、从业人员安全培训教育</w:t>
            </w:r>
          </w:p>
        </w:tc>
        <w:tc>
          <w:tcPr>
            <w:tcW w:w="4791" w:type="dxa"/>
            <w:vAlign w:val="center"/>
          </w:tcPr>
          <w:p w14:paraId="55D021D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2CAF4A3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5BBEE54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生产经营单位接收中等职业学校、高等学校学生实习的，应当对实习学生进行相应的安全生产教育和培训，提供必要的劳动防护用品。学校应当协助生产经营单位对实习学生进行安全生产教育和培训。</w:t>
            </w:r>
          </w:p>
          <w:p w14:paraId="456F226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生产经营单位应当建立安全生产教育和培训档案，如实记录安全生产教育和培训的时间、内容、参加人员以及考核结果等情况。</w:t>
            </w:r>
          </w:p>
        </w:tc>
        <w:tc>
          <w:tcPr>
            <w:tcW w:w="1321" w:type="dxa"/>
            <w:vAlign w:val="center"/>
          </w:tcPr>
          <w:p w14:paraId="538766B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《安全生产法》第二十八条</w:t>
            </w:r>
          </w:p>
        </w:tc>
        <w:tc>
          <w:tcPr>
            <w:tcW w:w="1514" w:type="dxa"/>
            <w:vAlign w:val="center"/>
          </w:tcPr>
          <w:p w14:paraId="0C7C552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要求企业对员工进行安全教育培训工作，保存相应的培训记录。</w:t>
            </w:r>
          </w:p>
        </w:tc>
        <w:tc>
          <w:tcPr>
            <w:tcW w:w="732" w:type="dxa"/>
            <w:vAlign w:val="center"/>
          </w:tcPr>
          <w:p w14:paraId="18DB3E0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9E0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09" w:type="dxa"/>
            <w:vMerge w:val="continue"/>
            <w:vAlign w:val="center"/>
          </w:tcPr>
          <w:p w14:paraId="3258636F">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03EB64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生产经营单位采用新工艺、新技术、新材料或者使用新设备，必须了解、掌握其安全技术特性，采取有效的安全防护措施，并对从业人员进行专门的安全生产教育和培训。</w:t>
            </w:r>
          </w:p>
        </w:tc>
        <w:tc>
          <w:tcPr>
            <w:tcW w:w="1321" w:type="dxa"/>
            <w:vAlign w:val="center"/>
          </w:tcPr>
          <w:p w14:paraId="78831CE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《安全生产法》第二十九条</w:t>
            </w:r>
          </w:p>
        </w:tc>
        <w:tc>
          <w:tcPr>
            <w:tcW w:w="1514" w:type="dxa"/>
            <w:vAlign w:val="center"/>
          </w:tcPr>
          <w:p w14:paraId="58F825F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要求企业对员工进行安全教育培训工作。</w:t>
            </w:r>
          </w:p>
        </w:tc>
        <w:tc>
          <w:tcPr>
            <w:tcW w:w="732" w:type="dxa"/>
            <w:vAlign w:val="center"/>
          </w:tcPr>
          <w:p w14:paraId="42D4D44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5661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09" w:type="dxa"/>
            <w:vMerge w:val="continue"/>
            <w:vAlign w:val="center"/>
          </w:tcPr>
          <w:p w14:paraId="425BF9F2">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5D90899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生产经营单位的特种作业人员必须按照国家有关规定经专门的安全作业培训，取得相应资格，方可上岗作业。</w:t>
            </w:r>
          </w:p>
        </w:tc>
        <w:tc>
          <w:tcPr>
            <w:tcW w:w="1321" w:type="dxa"/>
            <w:vAlign w:val="center"/>
          </w:tcPr>
          <w:p w14:paraId="0CFC179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《安全生产法》第三十条</w:t>
            </w:r>
          </w:p>
        </w:tc>
        <w:tc>
          <w:tcPr>
            <w:tcW w:w="1514" w:type="dxa"/>
            <w:vAlign w:val="center"/>
          </w:tcPr>
          <w:p w14:paraId="3E20CCC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要求配置特种作业人员持证上岗。</w:t>
            </w:r>
          </w:p>
        </w:tc>
        <w:tc>
          <w:tcPr>
            <w:tcW w:w="732" w:type="dxa"/>
            <w:vAlign w:val="center"/>
          </w:tcPr>
          <w:p w14:paraId="0B5BA8A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35C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09" w:type="dxa"/>
            <w:vMerge w:val="continue"/>
            <w:vAlign w:val="center"/>
          </w:tcPr>
          <w:p w14:paraId="676BAB18">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288F9A4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应对矿山从业人员进行安全生产教育和培训，保证各岗位人员具备必要的安全生产知识，熟悉本矿山安全生产规章制度和本岗位安全操作规程，掌握本岗位的安全操作技能。未经安全生产教育和培训合格的，不准许上岗。</w:t>
            </w:r>
          </w:p>
        </w:tc>
        <w:tc>
          <w:tcPr>
            <w:tcW w:w="1321" w:type="dxa"/>
            <w:vAlign w:val="center"/>
          </w:tcPr>
          <w:p w14:paraId="281D5D9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16423-2020第4.5.1条</w:t>
            </w:r>
          </w:p>
        </w:tc>
        <w:tc>
          <w:tcPr>
            <w:tcW w:w="1514" w:type="dxa"/>
            <w:vAlign w:val="center"/>
          </w:tcPr>
          <w:p w14:paraId="099D647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要求企业定期开展安全教育培训，其内容包括安全管理制度、安全操作规程安全生产责任制等。</w:t>
            </w:r>
          </w:p>
        </w:tc>
        <w:tc>
          <w:tcPr>
            <w:tcW w:w="732" w:type="dxa"/>
            <w:vAlign w:val="center"/>
          </w:tcPr>
          <w:p w14:paraId="762422E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843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09" w:type="dxa"/>
            <w:vMerge w:val="continue"/>
            <w:vAlign w:val="center"/>
          </w:tcPr>
          <w:p w14:paraId="65B30B9D">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20D16100">
            <w:pPr>
              <w:pStyle w:val="71"/>
              <w:rPr>
                <w:rFonts w:hint="default"/>
                <w:color w:val="000000" w:themeColor="text1"/>
                <w14:textFill>
                  <w14:solidFill>
                    <w14:schemeClr w14:val="tx1"/>
                  </w14:solidFill>
                </w14:textFill>
              </w:rPr>
            </w:pPr>
            <w:r>
              <w:rPr>
                <w:color w:val="000000" w:themeColor="text1"/>
                <w:sz w:val="24"/>
                <w:szCs w:val="24"/>
                <w14:textFill>
                  <w14:solidFill>
                    <w14:schemeClr w14:val="tx1"/>
                  </w14:solidFill>
                </w14:textFill>
              </w:rPr>
              <w:t>新进露天矿山的生产作业人员应</w:t>
            </w:r>
            <w:r>
              <w:rPr>
                <w:color w:val="000000" w:themeColor="text1"/>
                <w14:textFill>
                  <w14:solidFill>
                    <w14:schemeClr w14:val="tx1"/>
                  </w14:solidFill>
                </w14:textFill>
              </w:rPr>
              <w:t>接受不少于72h的安全培训，经考试合格后上岗。</w:t>
            </w:r>
          </w:p>
        </w:tc>
        <w:tc>
          <w:tcPr>
            <w:tcW w:w="1321" w:type="dxa"/>
            <w:vAlign w:val="center"/>
          </w:tcPr>
          <w:p w14:paraId="1B83041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16423-2020第4.5.2条</w:t>
            </w:r>
          </w:p>
        </w:tc>
        <w:tc>
          <w:tcPr>
            <w:tcW w:w="1514" w:type="dxa"/>
            <w:vAlign w:val="center"/>
          </w:tcPr>
          <w:p w14:paraId="0C41681D">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要求按要求进行三级安全教育培训合格后上岗。</w:t>
            </w:r>
          </w:p>
        </w:tc>
        <w:tc>
          <w:tcPr>
            <w:tcW w:w="732" w:type="dxa"/>
            <w:vAlign w:val="center"/>
          </w:tcPr>
          <w:p w14:paraId="4443CE0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028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709" w:type="dxa"/>
            <w:vAlign w:val="center"/>
          </w:tcPr>
          <w:p w14:paraId="49D822FA">
            <w:pPr>
              <w:adjustRightInd w:val="0"/>
              <w:snapToGrid w:val="0"/>
              <w:spacing w:line="240" w:lineRule="auto"/>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5、防护用品</w:t>
            </w:r>
          </w:p>
        </w:tc>
        <w:tc>
          <w:tcPr>
            <w:tcW w:w="4791" w:type="dxa"/>
            <w:vAlign w:val="center"/>
          </w:tcPr>
          <w:p w14:paraId="03C2A78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矿山企业应为从业人员提供符合国家标准要求的劳动防护用品。进入矿山作业场所的人员，应按规定佩戴防护用品。</w:t>
            </w:r>
          </w:p>
        </w:tc>
        <w:tc>
          <w:tcPr>
            <w:tcW w:w="1321" w:type="dxa"/>
            <w:vAlign w:val="center"/>
          </w:tcPr>
          <w:p w14:paraId="5DA12C7F">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《金属非金属矿山安全规程》GB 16423-2020第4.1.8条</w:t>
            </w:r>
          </w:p>
        </w:tc>
        <w:tc>
          <w:tcPr>
            <w:tcW w:w="1514" w:type="dxa"/>
            <w:vAlign w:val="center"/>
          </w:tcPr>
          <w:p w14:paraId="0B34F12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要求矿山向员工发放相应的劳动防护用品，要求正确佩戴。</w:t>
            </w:r>
          </w:p>
        </w:tc>
        <w:tc>
          <w:tcPr>
            <w:tcW w:w="732" w:type="dxa"/>
            <w:vAlign w:val="center"/>
          </w:tcPr>
          <w:p w14:paraId="0914706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465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9" w:type="dxa"/>
            <w:vMerge w:val="restart"/>
            <w:vAlign w:val="center"/>
          </w:tcPr>
          <w:p w14:paraId="54FF1564">
            <w:pPr>
              <w:adjustRightInd w:val="0"/>
              <w:snapToGrid w:val="0"/>
              <w:spacing w:line="240" w:lineRule="auto"/>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6、地方条例</w:t>
            </w:r>
          </w:p>
        </w:tc>
        <w:tc>
          <w:tcPr>
            <w:tcW w:w="4791" w:type="dxa"/>
            <w:vAlign w:val="center"/>
          </w:tcPr>
          <w:p w14:paraId="58E47C4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生产经营单位应当为从业人员提供符合安全技术标准的劳动工具、劳动防护用品和自救器材，保证作业环境符合安全卫生标准。</w:t>
            </w:r>
          </w:p>
        </w:tc>
        <w:tc>
          <w:tcPr>
            <w:tcW w:w="1321" w:type="dxa"/>
            <w:vAlign w:val="center"/>
          </w:tcPr>
          <w:p w14:paraId="507FF58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《云南省安全生产条例》第十条第六款</w:t>
            </w:r>
          </w:p>
        </w:tc>
        <w:tc>
          <w:tcPr>
            <w:tcW w:w="1514" w:type="dxa"/>
            <w:vAlign w:val="center"/>
          </w:tcPr>
          <w:p w14:paraId="57F9FD3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矿山企业及采掘施工单位按规定进行发放。</w:t>
            </w:r>
          </w:p>
        </w:tc>
        <w:tc>
          <w:tcPr>
            <w:tcW w:w="732" w:type="dxa"/>
            <w:vAlign w:val="center"/>
          </w:tcPr>
          <w:p w14:paraId="2C73753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7A1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9" w:type="dxa"/>
            <w:vMerge w:val="continue"/>
            <w:vAlign w:val="center"/>
          </w:tcPr>
          <w:p w14:paraId="15C5A174">
            <w:pPr>
              <w:adjustRightInd w:val="0"/>
              <w:snapToGrid w:val="0"/>
              <w:spacing w:line="240" w:lineRule="auto"/>
              <w:ind w:firstLine="420"/>
              <w:rPr>
                <w:rFonts w:hint="eastAsia" w:ascii="宋体" w:hAnsi="宋体" w:cs="宋体"/>
                <w:color w:val="000000" w:themeColor="text1"/>
                <w:sz w:val="21"/>
                <w:szCs w:val="21"/>
                <w14:textFill>
                  <w14:solidFill>
                    <w14:schemeClr w14:val="tx1"/>
                  </w14:solidFill>
                </w14:textFill>
              </w:rPr>
            </w:pPr>
          </w:p>
        </w:tc>
        <w:tc>
          <w:tcPr>
            <w:tcW w:w="4791" w:type="dxa"/>
            <w:vAlign w:val="center"/>
          </w:tcPr>
          <w:p w14:paraId="59CFA5F2">
            <w:pPr>
              <w:pStyle w:val="71"/>
              <w:rPr>
                <w:rFonts w:ascii="宋体" w:hAnsi="宋体" w:cs="宋体"/>
                <w:color w:val="000000" w:themeColor="text1"/>
                <w:kern w:val="2"/>
                <w:szCs w:val="21"/>
                <w14:textFill>
                  <w14:solidFill>
                    <w14:schemeClr w14:val="tx1"/>
                  </w14:solidFill>
                </w14:textFill>
              </w:rPr>
            </w:pPr>
            <w:r>
              <w:rPr>
                <w:color w:val="000000" w:themeColor="text1"/>
                <w14:textFill>
                  <w14:solidFill>
                    <w14:schemeClr w14:val="tx1"/>
                  </w14:solidFill>
                </w14:textFill>
              </w:rPr>
              <w:t>生产经营单位的安全生产规章制度应当载明下列内容：（1）安全生产责任制度；（2）安全生产例会制度；（3）安全生产奖惩制度；（4）安全生产教育培训制度；（5）安全生产检查制度；（6）生产经营场所、设备、设施安全管理制度；（7）安全生产风险分级管理控制制度；（8）危险源管理制度；（9）安全生产应急管理和事故报告处理制度；（10）危险作业、特种作业人员、劳动防护用品管理制度；（11）法律法规规定的其他安全生产制度。</w:t>
            </w:r>
          </w:p>
        </w:tc>
        <w:tc>
          <w:tcPr>
            <w:tcW w:w="1321" w:type="dxa"/>
            <w:vAlign w:val="center"/>
          </w:tcPr>
          <w:p w14:paraId="0E1E27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《云南省安全生产条例》第十八条</w:t>
            </w:r>
          </w:p>
        </w:tc>
        <w:tc>
          <w:tcPr>
            <w:tcW w:w="1514" w:type="dxa"/>
            <w:vAlign w:val="center"/>
          </w:tcPr>
          <w:p w14:paraId="35E608B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矿山建立了</w:t>
            </w:r>
            <w:r>
              <w:rPr>
                <w:rFonts w:ascii="宋体" w:hAnsi="宋体" w:cs="宋体"/>
                <w:color w:val="000000" w:themeColor="text1"/>
                <w:szCs w:val="21"/>
                <w14:textFill>
                  <w14:solidFill>
                    <w14:schemeClr w14:val="tx1"/>
                  </w14:solidFill>
                </w14:textFill>
              </w:rPr>
              <w:t>安全生产规章制度</w:t>
            </w:r>
            <w:r>
              <w:rPr>
                <w:color w:val="000000" w:themeColor="text1"/>
                <w14:textFill>
                  <w14:solidFill>
                    <w14:schemeClr w14:val="tx1"/>
                  </w14:solidFill>
                </w14:textFill>
              </w:rPr>
              <w:t>。</w:t>
            </w:r>
          </w:p>
        </w:tc>
        <w:tc>
          <w:tcPr>
            <w:tcW w:w="732" w:type="dxa"/>
            <w:vAlign w:val="center"/>
          </w:tcPr>
          <w:p w14:paraId="54E95D0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2EA62724">
      <w:pPr>
        <w:pStyle w:val="5"/>
        <w:spacing w:after="120"/>
        <w:rPr>
          <w:color w:val="000000" w:themeColor="text1"/>
          <w14:textFill>
            <w14:solidFill>
              <w14:schemeClr w14:val="tx1"/>
            </w14:solidFill>
          </w14:textFill>
        </w:rPr>
      </w:pPr>
      <w:bookmarkStart w:id="2867" w:name="_Toc16845"/>
      <w:bookmarkStart w:id="2868" w:name="_Toc22417"/>
      <w:bookmarkStart w:id="2869" w:name="_Toc26391"/>
      <w:bookmarkStart w:id="2870" w:name="_Toc12910"/>
      <w:bookmarkStart w:id="2871" w:name="_Toc9305"/>
      <w:bookmarkStart w:id="2872" w:name="_Toc215070299"/>
      <w:bookmarkStart w:id="2873" w:name="_Toc26570"/>
      <w:bookmarkStart w:id="2874" w:name="_Toc1429"/>
      <w:bookmarkStart w:id="2875" w:name="_Toc8127"/>
      <w:bookmarkStart w:id="2876" w:name="_Toc31455"/>
      <w:bookmarkStart w:id="2877" w:name="_Toc23552"/>
      <w:bookmarkStart w:id="2878" w:name="_Toc20009"/>
      <w:bookmarkStart w:id="2879" w:name="_Toc13849"/>
      <w:bookmarkStart w:id="2880" w:name="_Toc11947"/>
      <w:bookmarkStart w:id="2881" w:name="_Toc392680776"/>
      <w:bookmarkStart w:id="2882" w:name="_Toc7322"/>
      <w:r>
        <w:rPr>
          <w:rFonts w:hint="eastAsia"/>
          <w:color w:val="000000" w:themeColor="text1"/>
          <w14:textFill>
            <w14:solidFill>
              <w14:schemeClr w14:val="tx1"/>
            </w14:solidFill>
          </w14:textFill>
        </w:rPr>
        <w:t>3.10.3</w:t>
      </w:r>
      <w:r>
        <w:rPr>
          <w:color w:val="000000" w:themeColor="text1"/>
          <w14:textFill>
            <w14:solidFill>
              <w14:schemeClr w14:val="tx1"/>
            </w14:solidFill>
          </w14:textFill>
        </w:rPr>
        <w:t>矿山土地复垦方案</w:t>
      </w:r>
      <w:bookmarkEnd w:id="2867"/>
      <w:bookmarkEnd w:id="2868"/>
      <w:bookmarkEnd w:id="2869"/>
      <w:bookmarkEnd w:id="2870"/>
      <w:bookmarkEnd w:id="2871"/>
      <w:bookmarkEnd w:id="2872"/>
      <w:bookmarkEnd w:id="2873"/>
      <w:bookmarkEnd w:id="2874"/>
      <w:bookmarkEnd w:id="2875"/>
    </w:p>
    <w:p w14:paraId="37386187">
      <w:pPr>
        <w:pStyle w:val="18"/>
        <w:ind w:firstLine="560"/>
        <w:jc w:val="both"/>
        <w:rPr>
          <w:color w:val="000000" w:themeColor="text1"/>
          <w:lang w:val="zh-TW"/>
          <w14:textFill>
            <w14:solidFill>
              <w14:schemeClr w14:val="tx1"/>
            </w14:solidFill>
          </w14:textFill>
        </w:rPr>
      </w:pPr>
      <w:r>
        <w:rPr>
          <w:color w:val="000000" w:themeColor="text1"/>
          <w:lang w:val="zh-TW" w:eastAsia="zh-TW"/>
          <w14:textFill>
            <w14:solidFill>
              <w14:schemeClr w14:val="tx1"/>
            </w14:solidFill>
          </w14:textFill>
        </w:rPr>
        <w:t>采空区复垦造田</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矿区在开采至最终标高后，于采空区稍加清理平整，在其基础上利用上述复垦造田方法进行复垦。</w:t>
      </w:r>
      <w:r>
        <w:rPr>
          <w:color w:val="000000" w:themeColor="text1"/>
          <w:lang w:val="zh-TW"/>
          <w14:textFill>
            <w14:solidFill>
              <w14:schemeClr w14:val="tx1"/>
            </w14:solidFill>
          </w14:textFill>
        </w:rPr>
        <w:t>该矿山</w:t>
      </w:r>
      <w:r>
        <w:rPr>
          <w:color w:val="000000" w:themeColor="text1"/>
          <w:lang w:val="zh-TW" w:eastAsia="zh-TW"/>
          <w14:textFill>
            <w14:solidFill>
              <w14:schemeClr w14:val="tx1"/>
            </w14:solidFill>
          </w14:textFill>
        </w:rPr>
        <w:t>剥离的表土</w:t>
      </w:r>
      <w:r>
        <w:rPr>
          <w:color w:val="000000" w:themeColor="text1"/>
          <w:lang w:val="zh-TW"/>
          <w14:textFill>
            <w14:solidFill>
              <w14:schemeClr w14:val="tx1"/>
            </w14:solidFill>
          </w14:textFill>
        </w:rPr>
        <w:t>，用于堆填至采空区内，待采矿结束后</w:t>
      </w:r>
      <w:r>
        <w:rPr>
          <w:color w:val="000000" w:themeColor="text1"/>
          <w:lang w:val="zh-TW" w:eastAsia="zh-TW"/>
          <w14:textFill>
            <w14:solidFill>
              <w14:schemeClr w14:val="tx1"/>
            </w14:solidFill>
          </w14:textFill>
        </w:rPr>
        <w:t>表土、废石</w:t>
      </w:r>
      <w:r>
        <w:rPr>
          <w:color w:val="000000" w:themeColor="text1"/>
          <w:lang w:val="zh-TW"/>
          <w14:textFill>
            <w14:solidFill>
              <w14:schemeClr w14:val="tx1"/>
            </w14:solidFill>
          </w14:textFill>
        </w:rPr>
        <w:t>可以利用于矿山</w:t>
      </w:r>
      <w:r>
        <w:rPr>
          <w:color w:val="000000" w:themeColor="text1"/>
          <w:lang w:val="zh-TW" w:eastAsia="zh-TW"/>
          <w14:textFill>
            <w14:solidFill>
              <w14:schemeClr w14:val="tx1"/>
            </w14:solidFill>
          </w14:textFill>
        </w:rPr>
        <w:t>复垦</w:t>
      </w:r>
      <w:r>
        <w:rPr>
          <w:color w:val="000000" w:themeColor="text1"/>
          <w:lang w:val="zh-TW"/>
          <w14:textFill>
            <w14:solidFill>
              <w14:schemeClr w14:val="tx1"/>
            </w14:solidFill>
          </w14:textFill>
        </w:rPr>
        <w:t>。</w:t>
      </w:r>
    </w:p>
    <w:p w14:paraId="09023C88">
      <w:pPr>
        <w:pStyle w:val="18"/>
        <w:ind w:firstLine="560"/>
        <w:jc w:val="both"/>
        <w:rPr>
          <w:color w:val="000000" w:themeColor="text1"/>
          <w:lang w:val="zh-TW" w:eastAsia="zh-TW"/>
          <w14:textFill>
            <w14:solidFill>
              <w14:schemeClr w14:val="tx1"/>
            </w14:solidFill>
          </w14:textFill>
        </w:rPr>
      </w:pPr>
      <w:r>
        <w:rPr>
          <w:color w:val="000000" w:themeColor="text1"/>
          <w:lang w:val="zh-TW" w:eastAsia="zh-TW"/>
          <w14:textFill>
            <w14:solidFill>
              <w14:schemeClr w14:val="tx1"/>
            </w14:solidFill>
          </w14:textFill>
        </w:rPr>
        <w:t>对于不能造田的地方</w:t>
      </w:r>
      <w:r>
        <w:rPr>
          <w:rFonts w:hint="eastAsia"/>
          <w:color w:val="000000" w:themeColor="text1"/>
          <w:lang w:val="zh-TW"/>
          <w14:textFill>
            <w14:solidFill>
              <w14:schemeClr w14:val="tx1"/>
            </w14:solidFill>
          </w14:textFill>
        </w:rPr>
        <w:t>，</w:t>
      </w:r>
      <w:r>
        <w:rPr>
          <w:color w:val="000000" w:themeColor="text1"/>
          <w:lang w:val="zh-TW" w:eastAsia="zh-TW"/>
          <w14:textFill>
            <w14:solidFill>
              <w14:schemeClr w14:val="tx1"/>
            </w14:solidFill>
          </w14:textFill>
        </w:rPr>
        <w:t>在矿区形成最终边坡平台上筑堤填土，种树以及其它能攀爬的藤蔓植物，以实现最终边坡的绿化。</w:t>
      </w:r>
    </w:p>
    <w:p w14:paraId="35D8E1A2">
      <w:pPr>
        <w:pStyle w:val="5"/>
        <w:spacing w:after="120"/>
        <w:rPr>
          <w:color w:val="000000" w:themeColor="text1"/>
          <w14:textFill>
            <w14:solidFill>
              <w14:schemeClr w14:val="tx1"/>
            </w14:solidFill>
          </w14:textFill>
        </w:rPr>
      </w:pPr>
      <w:bookmarkStart w:id="2883" w:name="_Toc20415"/>
      <w:bookmarkStart w:id="2884" w:name="_Toc31921"/>
      <w:bookmarkStart w:id="2885" w:name="_Toc29480"/>
      <w:bookmarkStart w:id="2886" w:name="_Toc215070300"/>
      <w:bookmarkStart w:id="2887" w:name="_Toc5968"/>
      <w:bookmarkStart w:id="2888" w:name="_Toc30378"/>
      <w:bookmarkStart w:id="2889" w:name="_Toc10883"/>
      <w:bookmarkStart w:id="2890" w:name="_Toc27027"/>
      <w:bookmarkStart w:id="2891" w:name="_Toc15365"/>
      <w:r>
        <w:rPr>
          <w:rFonts w:hint="eastAsia"/>
          <w:color w:val="000000" w:themeColor="text1"/>
          <w14:textFill>
            <w14:solidFill>
              <w14:schemeClr w14:val="tx1"/>
            </w14:solidFill>
          </w14:textFill>
        </w:rPr>
        <w:t>3.10.4单元小</w:t>
      </w:r>
      <w:bookmarkEnd w:id="2861"/>
      <w:bookmarkEnd w:id="2862"/>
      <w:bookmarkEnd w:id="2863"/>
      <w:r>
        <w:rPr>
          <w:rFonts w:hint="eastAsia"/>
          <w:color w:val="000000" w:themeColor="text1"/>
          <w14:textFill>
            <w14:solidFill>
              <w14:schemeClr w14:val="tx1"/>
            </w14:solidFill>
          </w14:textFill>
        </w:rPr>
        <w:t>结</w:t>
      </w:r>
      <w:bookmarkEnd w:id="2864"/>
      <w:bookmarkEnd w:id="286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5C54CE7B">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矿山为扩建矿山，设计要求设置安全技术科为安全管理机构，主要负责人、安全管理人员、特种作业人员需进行培训合格持证上岗；向相应作业人员发放相应的劳动防护用品；矿山为作业人员缴纳工伤保险；购买安全生产责任保险；矿山定期对相关的设备设施进行维护保养等。应按照《中华人民共和国安全生产法》《金属非金属矿山安全规程》（GBl6423-2020）及《非煤矿矿山企业安全生产许可证实施办法》等相关规范要求，进一步完善如下安全管理：</w:t>
      </w:r>
    </w:p>
    <w:p w14:paraId="3C821B3A">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按照《中华人民共和国安全生产法》第八十一条，《金属非金属矿山安全规程》GB16423-2020第5.2.4.7条、第5.5.1.8条的要求，企业应及时修订本单位生产安全事故应急预案（包含综合应急预案、专项应急预案、现场处置方案），通过专家评审，到当地应急管理局进行备案，并定期组织演练。</w:t>
      </w:r>
    </w:p>
    <w:p w14:paraId="665B520A">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按照《中华人民共和国安全生产法》第八十二条的要求，建立应急救援组织（生产经营规模较小的，可以不建立应急救援组织，但应指定兼职的应急救援人员），配备必要的应急救援器材、设备和物资，并进行经常性维护、保养，保证正常运转。</w:t>
      </w:r>
    </w:p>
    <w:p w14:paraId="58673EE5">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3、按照《金属非金属矿山安全规程》GB16423-2020第4.1.2条的要求，企业应建立健全全员安全生产责任制，安全生产规章制度和各岗位的安全操作规程。</w:t>
      </w:r>
    </w:p>
    <w:p w14:paraId="0BE4BB4D">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4、按照《关于加强非煤矿山安全生产工作的指导意见的通知》（矿安〔2022〕4号）第十条的要求，应当配置注册安全工程师从事安全生产管理工作。</w:t>
      </w:r>
    </w:p>
    <w:p w14:paraId="60F21FDC">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5、按照《关于加强非煤矿山安全生产工作的指导意见的通知》（矿安〔2022〕4号）第十一条的要求，应配置采矿、地质、测量、机电等专业技术人员。</w:t>
      </w:r>
    </w:p>
    <w:p w14:paraId="43BD1F2D">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6、按照《中华人民共和国安全生产法》第二十三条的要求，依据《企业安全生产费用提取和使用管理办法》（财资〔2022〕136号）足额提前安全生产费用，用于安全投入。</w:t>
      </w:r>
    </w:p>
    <w:p w14:paraId="4961DC89">
      <w:pPr>
        <w:pStyle w:val="5"/>
        <w:spacing w:after="120"/>
        <w:rPr>
          <w:color w:val="000000" w:themeColor="text1"/>
          <w14:textFill>
            <w14:solidFill>
              <w14:schemeClr w14:val="tx1"/>
            </w14:solidFill>
          </w14:textFill>
        </w:rPr>
      </w:pPr>
      <w:bookmarkStart w:id="2892" w:name="_Toc24724"/>
      <w:bookmarkStart w:id="2893" w:name="_Toc6373"/>
      <w:bookmarkStart w:id="2894" w:name="_Toc21153"/>
      <w:bookmarkStart w:id="2895" w:name="_Toc19890"/>
      <w:bookmarkStart w:id="2896" w:name="_Toc6974"/>
      <w:bookmarkStart w:id="2897" w:name="_Toc8162"/>
      <w:bookmarkStart w:id="2898" w:name="_Toc12309"/>
      <w:bookmarkStart w:id="2899" w:name="_Toc25368"/>
      <w:bookmarkStart w:id="2900" w:name="_Toc215070301"/>
      <w:bookmarkStart w:id="2901" w:name="_Toc29037"/>
      <w:bookmarkStart w:id="2902" w:name="_Toc22024"/>
      <w:bookmarkStart w:id="2903" w:name="_Toc26212"/>
      <w:bookmarkStart w:id="2904" w:name="_Toc4721"/>
      <w:bookmarkStart w:id="2905" w:name="_Toc26777"/>
      <w:bookmarkStart w:id="2906" w:name="_Toc1252"/>
      <w:bookmarkStart w:id="2907" w:name="_Toc105676110"/>
      <w:bookmarkStart w:id="2908" w:name="_Toc105675630"/>
      <w:bookmarkStart w:id="2909" w:name="_Toc23781"/>
      <w:bookmarkStart w:id="2910" w:name="_Toc1968"/>
      <w:bookmarkStart w:id="2911" w:name="_Toc26469"/>
      <w:bookmarkStart w:id="2912" w:name="_Toc105674963"/>
      <w:bookmarkStart w:id="2913" w:name="_Toc105730475"/>
      <w:bookmarkStart w:id="2914" w:name="_Toc163831922"/>
      <w:bookmarkStart w:id="2915" w:name="_Toc422418781"/>
      <w:bookmarkStart w:id="2916" w:name="_Toc26767"/>
      <w:bookmarkStart w:id="2917" w:name="_Toc153698764"/>
      <w:bookmarkStart w:id="2918" w:name="_Toc392680750"/>
      <w:bookmarkStart w:id="2919" w:name="_Toc95414147"/>
      <w:bookmarkStart w:id="2920" w:name="_Toc147382285"/>
      <w:bookmarkStart w:id="2921" w:name="_Toc153698811"/>
      <w:bookmarkStart w:id="2922" w:name="_Toc105675941"/>
      <w:bookmarkStart w:id="2923" w:name="_Toc140124084"/>
      <w:bookmarkStart w:id="2924" w:name="_Toc105676342"/>
      <w:bookmarkStart w:id="2925" w:name="_Toc105730707"/>
      <w:bookmarkStart w:id="2926" w:name="_Toc137793442"/>
      <w:bookmarkStart w:id="2927" w:name="_Toc105675461"/>
      <w:r>
        <w:rPr>
          <w:rFonts w:hint="eastAsia"/>
          <w:color w:val="000000" w:themeColor="text1"/>
          <w14:textFill>
            <w14:solidFill>
              <w14:schemeClr w14:val="tx1"/>
            </w14:solidFill>
          </w14:textFill>
        </w:rPr>
        <w:t>3.10.5淘汰落后生产工艺及设备</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4A564FC8">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查阅《国家安全监管总局关于发布金属非金属矿山禁止使用设备及工艺目录（第二批）的通知》（安监总管-〔2015〕13号）、《2024年矿山安全先进适用技术及装备推广目录与落后工艺及设备淘汰目录》，本项目选用的设备设施不涉及淘汰落后生产工艺及设备。见</w:t>
      </w:r>
      <w:r>
        <w:rPr>
          <w:rFonts w:hint="eastAsia"/>
          <w:color w:val="000000" w:themeColor="text1"/>
          <w14:textFill>
            <w14:solidFill>
              <w14:schemeClr w14:val="tx1"/>
            </w14:solidFill>
          </w14:textFill>
        </w:rPr>
        <w:t>表3.9-2。</w:t>
      </w:r>
    </w:p>
    <w:p w14:paraId="6C3F8797">
      <w:pPr>
        <w:pStyle w:val="6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表3.9-2淘汰落后、禁止使用的设备及工艺一览表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1"/>
        <w:gridCol w:w="1995"/>
        <w:gridCol w:w="2831"/>
        <w:gridCol w:w="2318"/>
        <w:gridCol w:w="948"/>
      </w:tblGrid>
      <w:tr w14:paraId="20A50B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801" w:type="dxa"/>
            <w:vAlign w:val="center"/>
          </w:tcPr>
          <w:p w14:paraId="5C41A730">
            <w:pPr>
              <w:adjustRightInd w:val="0"/>
              <w:snapToGrid w:val="0"/>
              <w:spacing w:line="240" w:lineRule="auto"/>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检查</w:t>
            </w:r>
          </w:p>
          <w:p w14:paraId="5DB7B5AD">
            <w:pPr>
              <w:adjustRightInd w:val="0"/>
              <w:snapToGrid w:val="0"/>
              <w:spacing w:line="240" w:lineRule="auto"/>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项目</w:t>
            </w:r>
          </w:p>
        </w:tc>
        <w:tc>
          <w:tcPr>
            <w:tcW w:w="1995" w:type="dxa"/>
            <w:vAlign w:val="center"/>
          </w:tcPr>
          <w:p w14:paraId="6BC1947F">
            <w:pPr>
              <w:adjustRightInd w:val="0"/>
              <w:snapToGrid w:val="0"/>
              <w:spacing w:line="240" w:lineRule="auto"/>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检查内容</w:t>
            </w:r>
          </w:p>
        </w:tc>
        <w:tc>
          <w:tcPr>
            <w:tcW w:w="2831" w:type="dxa"/>
            <w:vAlign w:val="center"/>
          </w:tcPr>
          <w:p w14:paraId="7C6AC67E">
            <w:pPr>
              <w:adjustRightInd w:val="0"/>
              <w:snapToGrid w:val="0"/>
              <w:spacing w:line="240" w:lineRule="auto"/>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标准依据</w:t>
            </w:r>
          </w:p>
        </w:tc>
        <w:tc>
          <w:tcPr>
            <w:tcW w:w="2318" w:type="dxa"/>
            <w:vAlign w:val="center"/>
          </w:tcPr>
          <w:p w14:paraId="274DC171">
            <w:pPr>
              <w:adjustRightInd w:val="0"/>
              <w:snapToGrid w:val="0"/>
              <w:spacing w:line="240" w:lineRule="auto"/>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检查情况</w:t>
            </w:r>
          </w:p>
        </w:tc>
        <w:tc>
          <w:tcPr>
            <w:tcW w:w="948" w:type="dxa"/>
            <w:vAlign w:val="center"/>
          </w:tcPr>
          <w:p w14:paraId="6D02D4A7">
            <w:pPr>
              <w:adjustRightInd w:val="0"/>
              <w:snapToGrid w:val="0"/>
              <w:spacing w:line="240" w:lineRule="auto"/>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检查结果</w:t>
            </w:r>
          </w:p>
        </w:tc>
      </w:tr>
      <w:tr w14:paraId="243159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76AD3E0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6F31CA6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642F3B1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扩壶爆破</w:t>
            </w:r>
          </w:p>
        </w:tc>
        <w:tc>
          <w:tcPr>
            <w:tcW w:w="2831" w:type="dxa"/>
            <w:vAlign w:val="center"/>
          </w:tcPr>
          <w:p w14:paraId="02FBDC6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1343CBA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采矿中深孔进行爆破</w:t>
            </w:r>
          </w:p>
        </w:tc>
        <w:tc>
          <w:tcPr>
            <w:tcW w:w="948" w:type="dxa"/>
            <w:vAlign w:val="center"/>
          </w:tcPr>
          <w:p w14:paraId="2AE8131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0EE0F3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1" w:type="dxa"/>
            <w:vAlign w:val="center"/>
          </w:tcPr>
          <w:p w14:paraId="143A152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1349C9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10C77296">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掏底崩落、掏挖开采、不分层的“一面墙”开采</w:t>
            </w:r>
          </w:p>
        </w:tc>
        <w:tc>
          <w:tcPr>
            <w:tcW w:w="2831" w:type="dxa"/>
            <w:vAlign w:val="center"/>
          </w:tcPr>
          <w:p w14:paraId="4E8397F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2969D6C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采用自上而下分台阶进行开采</w:t>
            </w:r>
          </w:p>
        </w:tc>
        <w:tc>
          <w:tcPr>
            <w:tcW w:w="948" w:type="dxa"/>
            <w:vAlign w:val="center"/>
          </w:tcPr>
          <w:p w14:paraId="5C60F69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006957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66E8282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7359C59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55FE5F7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使用爆破方式对大块矿岩进行二次破碎</w:t>
            </w:r>
          </w:p>
        </w:tc>
        <w:tc>
          <w:tcPr>
            <w:tcW w:w="2831" w:type="dxa"/>
            <w:vAlign w:val="center"/>
          </w:tcPr>
          <w:p w14:paraId="1AA12CD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3441774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采用液压破碎锤进行二次破碎</w:t>
            </w:r>
          </w:p>
        </w:tc>
        <w:tc>
          <w:tcPr>
            <w:tcW w:w="948" w:type="dxa"/>
            <w:vAlign w:val="center"/>
          </w:tcPr>
          <w:p w14:paraId="4E8932A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011BEE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6458899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33A23C3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71ED0F9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无稳压装置的中深孔凿岩设备</w:t>
            </w:r>
          </w:p>
        </w:tc>
        <w:tc>
          <w:tcPr>
            <w:tcW w:w="2831" w:type="dxa"/>
            <w:vAlign w:val="center"/>
          </w:tcPr>
          <w:p w14:paraId="2E7B757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5155070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w:t>
            </w:r>
            <w:r>
              <w:rPr>
                <w:rFonts w:hint="default"/>
                <w:color w:val="000000" w:themeColor="text1"/>
                <w:szCs w:val="21"/>
                <w14:textFill>
                  <w14:solidFill>
                    <w14:schemeClr w14:val="tx1"/>
                  </w14:solidFill>
                </w14:textFill>
              </w:rPr>
              <w:t>KG910B露天潜孔钻车</w:t>
            </w:r>
            <w:r>
              <w:rPr>
                <w:rFonts w:hint="default"/>
                <w:color w:val="000000" w:themeColor="text1"/>
                <w:szCs w:val="28"/>
                <w14:textFill>
                  <w14:solidFill>
                    <w14:schemeClr w14:val="tx1"/>
                  </w14:solidFill>
                </w14:textFill>
              </w:rPr>
              <w:t>（自带除尘系统）</w:t>
            </w:r>
            <w:r>
              <w:rPr>
                <w:color w:val="000000" w:themeColor="text1"/>
                <w14:textFill>
                  <w14:solidFill>
                    <w14:schemeClr w14:val="tx1"/>
                  </w14:solidFill>
                </w14:textFill>
              </w:rPr>
              <w:t>。</w:t>
            </w:r>
          </w:p>
        </w:tc>
        <w:tc>
          <w:tcPr>
            <w:tcW w:w="948" w:type="dxa"/>
            <w:vAlign w:val="center"/>
          </w:tcPr>
          <w:p w14:paraId="45FC74D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2A5D4B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2796583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4DC1F0B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243BB80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集中铲装作业时人工装卸矿岩</w:t>
            </w:r>
          </w:p>
        </w:tc>
        <w:tc>
          <w:tcPr>
            <w:tcW w:w="2831" w:type="dxa"/>
            <w:vAlign w:val="center"/>
          </w:tcPr>
          <w:p w14:paraId="221031D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62551F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采用挖掘机进行铲装</w:t>
            </w:r>
          </w:p>
        </w:tc>
        <w:tc>
          <w:tcPr>
            <w:tcW w:w="948" w:type="dxa"/>
            <w:vAlign w:val="center"/>
          </w:tcPr>
          <w:p w14:paraId="76B8CB5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522AED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5838966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0DEECC6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1D2557B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未安装捕尘装置的干式凿岩作业</w:t>
            </w:r>
          </w:p>
        </w:tc>
        <w:tc>
          <w:tcPr>
            <w:tcW w:w="2831" w:type="dxa"/>
            <w:vAlign w:val="center"/>
          </w:tcPr>
          <w:p w14:paraId="3CA3442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5E7A4DE1">
            <w:pPr>
              <w:pStyle w:val="71"/>
              <w:rPr>
                <w:rFonts w:hint="default"/>
                <w:color w:val="000000" w:themeColor="text1"/>
                <w14:textFill>
                  <w14:solidFill>
                    <w14:schemeClr w14:val="tx1"/>
                  </w14:solidFill>
                </w14:textFill>
              </w:rPr>
            </w:pPr>
            <w:r>
              <w:rPr>
                <w:rFonts w:hint="default"/>
                <w:color w:val="000000" w:themeColor="text1"/>
                <w:szCs w:val="21"/>
                <w14:textFill>
                  <w14:solidFill>
                    <w14:schemeClr w14:val="tx1"/>
                  </w14:solidFill>
                </w14:textFill>
              </w:rPr>
              <w:t>KG910B露天潜孔钻车</w:t>
            </w:r>
            <w:r>
              <w:rPr>
                <w:rFonts w:hint="default"/>
                <w:color w:val="000000" w:themeColor="text1"/>
                <w:szCs w:val="28"/>
                <w14:textFill>
                  <w14:solidFill>
                    <w14:schemeClr w14:val="tx1"/>
                  </w14:solidFill>
                </w14:textFill>
              </w:rPr>
              <w:t>（自带除尘系统）</w:t>
            </w:r>
            <w:r>
              <w:rPr>
                <w:color w:val="000000" w:themeColor="text1"/>
                <w14:textFill>
                  <w14:solidFill>
                    <w14:schemeClr w14:val="tx1"/>
                  </w14:solidFill>
                </w14:textFill>
              </w:rPr>
              <w:t>。</w:t>
            </w:r>
          </w:p>
        </w:tc>
        <w:tc>
          <w:tcPr>
            <w:tcW w:w="948" w:type="dxa"/>
            <w:vAlign w:val="center"/>
          </w:tcPr>
          <w:p w14:paraId="150A960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25D88C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53EBE859">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1C3D7F8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7E51B4FB">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主要无轨运输巷道及露天采场采用人力或畜力运输矿岩</w:t>
            </w:r>
          </w:p>
        </w:tc>
        <w:tc>
          <w:tcPr>
            <w:tcW w:w="2831" w:type="dxa"/>
            <w:vAlign w:val="center"/>
          </w:tcPr>
          <w:p w14:paraId="1F98ECB5">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《关于发布金属非金属矿山禁止使用的设备及工艺目录（第二批）的通知》（安监总管一〔2015〕13号）</w:t>
            </w:r>
          </w:p>
        </w:tc>
        <w:tc>
          <w:tcPr>
            <w:tcW w:w="2318" w:type="dxa"/>
            <w:vAlign w:val="center"/>
          </w:tcPr>
          <w:p w14:paraId="48BDA86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采用矿用东风</w:t>
            </w:r>
            <w:r>
              <w:rPr>
                <w:rFonts w:hint="default"/>
                <w:color w:val="000000" w:themeColor="text1"/>
                <w14:textFill>
                  <w14:solidFill>
                    <w14:schemeClr w14:val="tx1"/>
                  </w14:solidFill>
                </w14:textFill>
              </w:rPr>
              <w:t>自卸汽车</w:t>
            </w:r>
            <w:r>
              <w:rPr>
                <w:color w:val="000000" w:themeColor="text1"/>
                <w14:textFill>
                  <w14:solidFill>
                    <w14:schemeClr w14:val="tx1"/>
                  </w14:solidFill>
                </w14:textFill>
              </w:rPr>
              <w:t>运输矿岩。</w:t>
            </w:r>
          </w:p>
        </w:tc>
        <w:tc>
          <w:tcPr>
            <w:tcW w:w="948" w:type="dxa"/>
            <w:vAlign w:val="center"/>
          </w:tcPr>
          <w:p w14:paraId="2EF270A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0D9E83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7F9163E1">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07B1A6DA">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455AB344">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干式锚杆（索）钻孔作业</w:t>
            </w:r>
          </w:p>
        </w:tc>
        <w:tc>
          <w:tcPr>
            <w:tcW w:w="2831" w:type="dxa"/>
            <w:vAlign w:val="center"/>
          </w:tcPr>
          <w:p w14:paraId="439C08C7">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《2024年矿山安全先进适用技术及装备推广目录与落后工艺及设备淘汰目录》</w:t>
            </w:r>
          </w:p>
        </w:tc>
        <w:tc>
          <w:tcPr>
            <w:tcW w:w="2318" w:type="dxa"/>
            <w:vAlign w:val="center"/>
          </w:tcPr>
          <w:p w14:paraId="5409824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采用</w:t>
            </w:r>
            <w:r>
              <w:rPr>
                <w:rFonts w:hint="default"/>
                <w:color w:val="000000" w:themeColor="text1"/>
                <w:szCs w:val="21"/>
                <w14:textFill>
                  <w14:solidFill>
                    <w14:schemeClr w14:val="tx1"/>
                  </w14:solidFill>
                </w14:textFill>
              </w:rPr>
              <w:t>KG910B露天潜孔钻车</w:t>
            </w:r>
            <w:r>
              <w:rPr>
                <w:rFonts w:hint="default"/>
                <w:color w:val="000000" w:themeColor="text1"/>
                <w:szCs w:val="28"/>
                <w14:textFill>
                  <w14:solidFill>
                    <w14:schemeClr w14:val="tx1"/>
                  </w14:solidFill>
                </w14:textFill>
              </w:rPr>
              <w:t>（自带除尘系统）</w:t>
            </w:r>
            <w:r>
              <w:rPr>
                <w:color w:val="000000" w:themeColor="text1"/>
                <w14:textFill>
                  <w14:solidFill>
                    <w14:schemeClr w14:val="tx1"/>
                  </w14:solidFill>
                </w14:textFill>
              </w:rPr>
              <w:t>。</w:t>
            </w:r>
          </w:p>
        </w:tc>
        <w:tc>
          <w:tcPr>
            <w:tcW w:w="948" w:type="dxa"/>
            <w:vAlign w:val="center"/>
          </w:tcPr>
          <w:p w14:paraId="0BD88CC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r w14:paraId="195DC0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dxa"/>
            <w:vAlign w:val="center"/>
          </w:tcPr>
          <w:p w14:paraId="152B2002">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设备</w:t>
            </w:r>
          </w:p>
          <w:p w14:paraId="3277B2A3">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设施</w:t>
            </w:r>
          </w:p>
        </w:tc>
        <w:tc>
          <w:tcPr>
            <w:tcW w:w="1995" w:type="dxa"/>
            <w:vAlign w:val="center"/>
          </w:tcPr>
          <w:p w14:paraId="350CDCC0">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活塞式移动空压机</w:t>
            </w:r>
          </w:p>
        </w:tc>
        <w:tc>
          <w:tcPr>
            <w:tcW w:w="2831" w:type="dxa"/>
            <w:vAlign w:val="center"/>
          </w:tcPr>
          <w:p w14:paraId="497D7ACE">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《2024年矿山安全先进适用技术及装备推广目录与落后工艺及设备淘汰目录》</w:t>
            </w:r>
          </w:p>
        </w:tc>
        <w:tc>
          <w:tcPr>
            <w:tcW w:w="2318" w:type="dxa"/>
            <w:vAlign w:val="center"/>
          </w:tcPr>
          <w:p w14:paraId="6DDD0E7E">
            <w:pPr>
              <w:pStyle w:val="71"/>
              <w:rPr>
                <w:rFonts w:hint="default"/>
                <w:color w:val="000000" w:themeColor="text1"/>
                <w14:textFill>
                  <w14:solidFill>
                    <w14:schemeClr w14:val="tx1"/>
                  </w14:solidFill>
                </w14:textFill>
              </w:rPr>
            </w:pPr>
            <w:r>
              <w:rPr>
                <w:color w:val="000000" w:themeColor="text1"/>
                <w:szCs w:val="28"/>
                <w14:textFill>
                  <w14:solidFill>
                    <w14:schemeClr w14:val="tx1"/>
                  </w14:solidFill>
                </w14:textFill>
              </w:rPr>
              <w:t>采用</w:t>
            </w:r>
            <w:r>
              <w:rPr>
                <w:rFonts w:hint="default"/>
                <w:color w:val="000000" w:themeColor="text1"/>
                <w:szCs w:val="28"/>
                <w14:textFill>
                  <w14:solidFill>
                    <w14:schemeClr w14:val="tx1"/>
                  </w14:solidFill>
                </w14:textFill>
              </w:rPr>
              <w:t>普瑞阿斯BK37-86（</w:t>
            </w:r>
            <w:r>
              <w:rPr>
                <w:color w:val="000000" w:themeColor="text1"/>
                <w:szCs w:val="28"/>
                <w14:textFill>
                  <w14:solidFill>
                    <w14:schemeClr w14:val="tx1"/>
                  </w14:solidFill>
                </w14:textFill>
              </w:rPr>
              <w:t>7m</w:t>
            </w:r>
            <w:r>
              <w:rPr>
                <w:rFonts w:hint="default"/>
                <w:color w:val="000000" w:themeColor="text1"/>
                <w:szCs w:val="28"/>
                <w14:textFill>
                  <w14:solidFill>
                    <w14:schemeClr w14:val="tx1"/>
                  </w14:solidFill>
                </w14:textFill>
              </w:rPr>
              <w:t>³/min）空压机</w:t>
            </w:r>
            <w:r>
              <w:rPr>
                <w:color w:val="000000" w:themeColor="text1"/>
                <w:szCs w:val="28"/>
                <w14:textFill>
                  <w14:solidFill>
                    <w14:schemeClr w14:val="tx1"/>
                  </w14:solidFill>
                </w14:textFill>
              </w:rPr>
              <w:t>。</w:t>
            </w:r>
          </w:p>
        </w:tc>
        <w:tc>
          <w:tcPr>
            <w:tcW w:w="948" w:type="dxa"/>
            <w:vAlign w:val="center"/>
          </w:tcPr>
          <w:p w14:paraId="5481F9E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不涉及</w:t>
            </w:r>
          </w:p>
        </w:tc>
      </w:tr>
    </w:tbl>
    <w:p w14:paraId="3CA37331">
      <w:pPr>
        <w:pStyle w:val="4"/>
        <w:spacing w:before="240" w:after="120"/>
        <w:rPr>
          <w:color w:val="000000" w:themeColor="text1"/>
          <w14:textFill>
            <w14:solidFill>
              <w14:schemeClr w14:val="tx1"/>
            </w14:solidFill>
          </w14:textFill>
        </w:rPr>
      </w:pPr>
      <w:bookmarkStart w:id="2928" w:name="_Toc215070302"/>
      <w:r>
        <w:rPr>
          <w:rFonts w:hint="eastAsia"/>
          <w:color w:val="000000" w:themeColor="text1"/>
          <w14:textFill>
            <w14:solidFill>
              <w14:schemeClr w14:val="tx1"/>
            </w14:solidFill>
          </w14:textFill>
        </w:rPr>
        <w:t>3.11重大危险源辨识单元</w:t>
      </w:r>
      <w:bookmarkEnd w:id="2928"/>
    </w:p>
    <w:p w14:paraId="6586F2A5">
      <w:pPr>
        <w:ind w:firstLine="560"/>
        <w:rPr>
          <w:color w:val="000000" w:themeColor="text1"/>
          <w14:textFill>
            <w14:solidFill>
              <w14:schemeClr w14:val="tx1"/>
            </w14:solidFill>
          </w14:textFill>
        </w:rPr>
      </w:pPr>
      <w:bookmarkStart w:id="2929" w:name="_Toc26566"/>
      <w:bookmarkStart w:id="2930" w:name="_Toc15218"/>
      <w:bookmarkStart w:id="2931" w:name="_Toc5345"/>
      <w:bookmarkStart w:id="2932" w:name="_Toc26545"/>
      <w:bookmarkStart w:id="2933" w:name="_Toc14675"/>
      <w:bookmarkStart w:id="2934" w:name="_Toc32032"/>
      <w:bookmarkStart w:id="2935" w:name="_Toc18246"/>
      <w:bookmarkStart w:id="2936" w:name="_Toc3751"/>
      <w:bookmarkStart w:id="2937" w:name="_Toc32173"/>
      <w:bookmarkStart w:id="2938" w:name="_Toc16039"/>
      <w:bookmarkStart w:id="2939" w:name="_Toc25491"/>
      <w:bookmarkStart w:id="2940" w:name="_Toc14539"/>
      <w:bookmarkStart w:id="2941" w:name="_Toc7893"/>
      <w:bookmarkStart w:id="2942" w:name="_Toc10290"/>
      <w:bookmarkStart w:id="2943" w:name="_Toc282"/>
      <w:bookmarkStart w:id="2944" w:name="_Toc1621"/>
      <w:bookmarkStart w:id="2945" w:name="_Toc9761"/>
      <w:bookmarkStart w:id="2946" w:name="_Toc24413"/>
      <w:bookmarkStart w:id="2947" w:name="_Toc16696"/>
      <w:bookmarkStart w:id="2948" w:name="_Toc24624"/>
      <w:bookmarkStart w:id="2949" w:name="_Toc10538"/>
      <w:r>
        <w:rPr>
          <w:rFonts w:hint="eastAsia"/>
          <w:color w:val="000000" w:themeColor="text1"/>
          <w14:textFill>
            <w14:solidFill>
              <w14:schemeClr w14:val="tx1"/>
            </w14:solidFill>
          </w14:textFill>
        </w:rPr>
        <w:t>根据《危险化学品重大危险源辨识》（GB18218-2018）的相关规定进行危险化学品重大危险源辨识：</w:t>
      </w:r>
    </w:p>
    <w:p w14:paraId="0517879A">
      <w:pPr>
        <w:pStyle w:val="5"/>
        <w:spacing w:after="120"/>
        <w:rPr>
          <w:color w:val="000000" w:themeColor="text1"/>
          <w14:textFill>
            <w14:solidFill>
              <w14:schemeClr w14:val="tx1"/>
            </w14:solidFill>
          </w14:textFill>
        </w:rPr>
      </w:pPr>
      <w:bookmarkStart w:id="2950" w:name="_Toc10590"/>
      <w:bookmarkStart w:id="2951" w:name="_Toc215070303"/>
      <w:r>
        <w:rPr>
          <w:rFonts w:hint="eastAsia"/>
          <w:color w:val="000000" w:themeColor="text1"/>
          <w14:textFill>
            <w14:solidFill>
              <w14:schemeClr w14:val="tx1"/>
            </w14:solidFill>
          </w14:textFill>
        </w:rPr>
        <w:t>3.9.1矿山使用的炸药</w:t>
      </w:r>
      <w:bookmarkEnd w:id="2950"/>
      <w:bookmarkEnd w:id="2951"/>
    </w:p>
    <w:p w14:paraId="72B9C26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根据《危险化学品重大危险源辨识》（GB18218-2018），硝酸铵（含可燃物&gt;0.2%，包括以碳计算的任何有机物，但不包括任何其他添加剂）的临界量为2t，硝酸铵（含可燃物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0.2%）的临界量为50t。矿山</w:t>
      </w:r>
      <w:r>
        <w:rPr>
          <w:color w:val="000000" w:themeColor="text1"/>
          <w14:textFill>
            <w14:solidFill>
              <w14:schemeClr w14:val="tx1"/>
            </w14:solidFill>
          </w14:textFill>
        </w:rPr>
        <w:t>不设置爆破器材库</w:t>
      </w:r>
      <w:r>
        <w:rPr>
          <w:rFonts w:hint="eastAsia"/>
          <w:color w:val="000000" w:themeColor="text1"/>
          <w14:textFill>
            <w14:solidFill>
              <w14:schemeClr w14:val="tx1"/>
            </w14:solidFill>
          </w14:textFill>
        </w:rPr>
        <w:t>，爆破每次最大使用炸药量为1.722t，矿山使用的炸药不构成重大危险源。</w:t>
      </w:r>
    </w:p>
    <w:p w14:paraId="5B632695">
      <w:pPr>
        <w:pStyle w:val="5"/>
        <w:spacing w:after="120"/>
        <w:rPr>
          <w:color w:val="000000" w:themeColor="text1"/>
          <w14:textFill>
            <w14:solidFill>
              <w14:schemeClr w14:val="tx1"/>
            </w14:solidFill>
          </w14:textFill>
        </w:rPr>
      </w:pPr>
      <w:bookmarkStart w:id="2952" w:name="_Toc215070304"/>
      <w:bookmarkStart w:id="2953" w:name="_Toc26857"/>
      <w:r>
        <w:rPr>
          <w:rFonts w:hint="eastAsia"/>
          <w:color w:val="000000" w:themeColor="text1"/>
          <w14:textFill>
            <w14:solidFill>
              <w14:schemeClr w14:val="tx1"/>
            </w14:solidFill>
          </w14:textFill>
        </w:rPr>
        <w:t>3.9.2矿山使用的柴油</w:t>
      </w:r>
      <w:bookmarkEnd w:id="2952"/>
      <w:bookmarkEnd w:id="2953"/>
    </w:p>
    <w:p w14:paraId="05CBFB1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柴油为矿山机械常用的燃料，根据《危险化学品重大危险源辨识》（GB 18218-2018），矿山使用柴油属于易燃液体（W5.4）类，其临界量为5000t。矿山不设置加油装置，不储存柴油，车辆加油到附近加油站或者由皮卡车专车配送加油。矿山使用的柴油不构成重大危险源。</w:t>
      </w:r>
    </w:p>
    <w:p w14:paraId="7D6BAC50">
      <w:pPr>
        <w:pStyle w:val="5"/>
        <w:spacing w:after="120"/>
        <w:rPr>
          <w:color w:val="000000" w:themeColor="text1"/>
          <w14:textFill>
            <w14:solidFill>
              <w14:schemeClr w14:val="tx1"/>
            </w14:solidFill>
          </w14:textFill>
        </w:rPr>
      </w:pPr>
      <w:bookmarkStart w:id="2954" w:name="_Toc24305"/>
      <w:bookmarkStart w:id="2955" w:name="_Toc215070305"/>
      <w:r>
        <w:rPr>
          <w:rFonts w:hint="eastAsia"/>
          <w:color w:val="000000" w:themeColor="text1"/>
          <w14:textFill>
            <w14:solidFill>
              <w14:schemeClr w14:val="tx1"/>
            </w14:solidFill>
          </w14:textFill>
        </w:rPr>
        <w:t>3.9.3金属非金属矿山重大事故隐患判定</w:t>
      </w:r>
      <w:bookmarkEnd w:id="2954"/>
      <w:bookmarkEnd w:id="2955"/>
    </w:p>
    <w:p w14:paraId="26BE83E8">
      <w:pPr>
        <w:pStyle w:val="64"/>
        <w:spacing w:before="120" w:after="12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表3.9-1金属非金属矿山重大事故隐患判定检查表</w:t>
      </w:r>
    </w:p>
    <w:tbl>
      <w:tblPr>
        <w:tblStyle w:val="44"/>
        <w:tblW w:w="945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47"/>
        <w:gridCol w:w="2977"/>
        <w:gridCol w:w="2271"/>
        <w:gridCol w:w="687"/>
      </w:tblGrid>
      <w:tr w14:paraId="72C2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276" w:type="dxa"/>
            <w:tcBorders>
              <w:top w:val="single" w:color="auto" w:sz="4" w:space="0"/>
              <w:left w:val="single" w:color="auto" w:sz="4" w:space="0"/>
              <w:bottom w:val="single" w:color="auto" w:sz="4" w:space="0"/>
              <w:right w:val="single" w:color="auto" w:sz="4" w:space="0"/>
            </w:tcBorders>
            <w:vAlign w:val="center"/>
          </w:tcPr>
          <w:p w14:paraId="75D72515">
            <w:pPr>
              <w:pStyle w:val="67"/>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2247" w:type="dxa"/>
            <w:tcBorders>
              <w:top w:val="single" w:color="auto" w:sz="4" w:space="0"/>
              <w:left w:val="single" w:color="auto" w:sz="4" w:space="0"/>
              <w:bottom w:val="single" w:color="auto" w:sz="4" w:space="0"/>
              <w:right w:val="single" w:color="auto" w:sz="4" w:space="0"/>
            </w:tcBorders>
            <w:vAlign w:val="center"/>
          </w:tcPr>
          <w:p w14:paraId="59B6939C">
            <w:pPr>
              <w:pStyle w:val="67"/>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检查项目</w:t>
            </w:r>
          </w:p>
        </w:tc>
        <w:tc>
          <w:tcPr>
            <w:tcW w:w="2977" w:type="dxa"/>
            <w:tcBorders>
              <w:top w:val="single" w:color="auto" w:sz="4" w:space="0"/>
              <w:left w:val="single" w:color="auto" w:sz="4" w:space="0"/>
              <w:bottom w:val="single" w:color="auto" w:sz="4" w:space="0"/>
              <w:right w:val="single" w:color="auto" w:sz="4" w:space="0"/>
            </w:tcBorders>
            <w:vAlign w:val="center"/>
          </w:tcPr>
          <w:p w14:paraId="4C49A09D">
            <w:pPr>
              <w:pStyle w:val="67"/>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检查依据</w:t>
            </w:r>
          </w:p>
        </w:tc>
        <w:tc>
          <w:tcPr>
            <w:tcW w:w="2271" w:type="dxa"/>
            <w:tcBorders>
              <w:top w:val="single" w:color="auto" w:sz="4" w:space="0"/>
              <w:left w:val="single" w:color="auto" w:sz="4" w:space="0"/>
              <w:bottom w:val="single" w:color="auto" w:sz="4" w:space="0"/>
              <w:right w:val="single" w:color="auto" w:sz="4" w:space="0"/>
            </w:tcBorders>
            <w:vAlign w:val="center"/>
          </w:tcPr>
          <w:p w14:paraId="3FA371D0">
            <w:pPr>
              <w:pStyle w:val="67"/>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检查情况</w:t>
            </w:r>
          </w:p>
        </w:tc>
        <w:tc>
          <w:tcPr>
            <w:tcW w:w="687" w:type="dxa"/>
            <w:tcBorders>
              <w:top w:val="single" w:color="auto" w:sz="4" w:space="0"/>
              <w:left w:val="single" w:color="auto" w:sz="4" w:space="0"/>
              <w:bottom w:val="single" w:color="auto" w:sz="4" w:space="0"/>
              <w:right w:val="single" w:color="auto" w:sz="4" w:space="0"/>
            </w:tcBorders>
            <w:vAlign w:val="center"/>
          </w:tcPr>
          <w:p w14:paraId="7C521D0A">
            <w:pPr>
              <w:pStyle w:val="67"/>
              <w:spacing w:line="240" w:lineRule="auto"/>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检查</w:t>
            </w:r>
          </w:p>
          <w:p w14:paraId="7530F8B9">
            <w:pPr>
              <w:pStyle w:val="67"/>
              <w:spacing w:line="240" w:lineRule="auto"/>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结果</w:t>
            </w:r>
          </w:p>
        </w:tc>
      </w:tr>
      <w:tr w14:paraId="6B1C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 w:hRule="atLeast"/>
        </w:trPr>
        <w:tc>
          <w:tcPr>
            <w:tcW w:w="1276" w:type="dxa"/>
            <w:tcBorders>
              <w:top w:val="single" w:color="auto" w:sz="4" w:space="0"/>
              <w:left w:val="single" w:color="auto" w:sz="4" w:space="0"/>
              <w:bottom w:val="single" w:color="auto" w:sz="4" w:space="0"/>
              <w:right w:val="single" w:color="auto" w:sz="4" w:space="0"/>
            </w:tcBorders>
            <w:vAlign w:val="center"/>
          </w:tcPr>
          <w:p w14:paraId="35618C7B">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2247" w:type="dxa"/>
            <w:tcBorders>
              <w:top w:val="single" w:color="auto" w:sz="4" w:space="0"/>
              <w:left w:val="single" w:color="auto" w:sz="4" w:space="0"/>
              <w:bottom w:val="single" w:color="auto" w:sz="4" w:space="0"/>
              <w:right w:val="single" w:color="auto" w:sz="4" w:space="0"/>
            </w:tcBorders>
            <w:vAlign w:val="center"/>
          </w:tcPr>
          <w:p w14:paraId="7A571C21">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使用国家明令禁止使用的设备、材料或者工艺</w:t>
            </w:r>
          </w:p>
        </w:tc>
        <w:tc>
          <w:tcPr>
            <w:tcW w:w="2977" w:type="dxa"/>
            <w:tcBorders>
              <w:top w:val="single" w:color="auto" w:sz="4" w:space="0"/>
              <w:left w:val="single" w:color="auto" w:sz="4" w:space="0"/>
              <w:bottom w:val="single" w:color="auto" w:sz="4" w:space="0"/>
              <w:right w:val="single" w:color="auto" w:sz="4" w:space="0"/>
            </w:tcBorders>
            <w:vAlign w:val="center"/>
          </w:tcPr>
          <w:p w14:paraId="7ADF08D5">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5962D47B">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不使用。</w:t>
            </w:r>
          </w:p>
        </w:tc>
        <w:tc>
          <w:tcPr>
            <w:tcW w:w="687" w:type="dxa"/>
            <w:tcBorders>
              <w:top w:val="single" w:color="auto" w:sz="4" w:space="0"/>
              <w:left w:val="single" w:color="auto" w:sz="4" w:space="0"/>
              <w:bottom w:val="single" w:color="auto" w:sz="4" w:space="0"/>
              <w:right w:val="single" w:color="auto" w:sz="4" w:space="0"/>
            </w:tcBorders>
            <w:vAlign w:val="center"/>
          </w:tcPr>
          <w:p w14:paraId="3F7E4B53">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78F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trPr>
        <w:tc>
          <w:tcPr>
            <w:tcW w:w="1276" w:type="dxa"/>
            <w:tcBorders>
              <w:top w:val="single" w:color="auto" w:sz="4" w:space="0"/>
              <w:left w:val="single" w:color="auto" w:sz="4" w:space="0"/>
              <w:bottom w:val="single" w:color="auto" w:sz="4" w:space="0"/>
              <w:right w:val="single" w:color="auto" w:sz="4" w:space="0"/>
            </w:tcBorders>
            <w:vAlign w:val="center"/>
          </w:tcPr>
          <w:p w14:paraId="4010F1D6">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2247" w:type="dxa"/>
            <w:tcBorders>
              <w:top w:val="single" w:color="auto" w:sz="4" w:space="0"/>
              <w:left w:val="single" w:color="auto" w:sz="4" w:space="0"/>
              <w:bottom w:val="single" w:color="auto" w:sz="4" w:space="0"/>
              <w:right w:val="single" w:color="auto" w:sz="4" w:space="0"/>
            </w:tcBorders>
            <w:vAlign w:val="center"/>
          </w:tcPr>
          <w:p w14:paraId="651A670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未采用自上而下的开采顺序分台阶或分层开采。</w:t>
            </w:r>
          </w:p>
        </w:tc>
        <w:tc>
          <w:tcPr>
            <w:tcW w:w="2977" w:type="dxa"/>
            <w:tcBorders>
              <w:top w:val="single" w:color="auto" w:sz="4" w:space="0"/>
              <w:left w:val="single" w:color="auto" w:sz="4" w:space="0"/>
              <w:bottom w:val="single" w:color="auto" w:sz="4" w:space="0"/>
              <w:right w:val="single" w:color="auto" w:sz="4" w:space="0"/>
            </w:tcBorders>
            <w:vAlign w:val="center"/>
          </w:tcPr>
          <w:p w14:paraId="40F01C10">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56717072">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采用自上而下的开采顺序分台阶开采。</w:t>
            </w:r>
          </w:p>
        </w:tc>
        <w:tc>
          <w:tcPr>
            <w:tcW w:w="687" w:type="dxa"/>
            <w:tcBorders>
              <w:top w:val="single" w:color="auto" w:sz="4" w:space="0"/>
              <w:left w:val="single" w:color="auto" w:sz="4" w:space="0"/>
              <w:bottom w:val="single" w:color="auto" w:sz="4" w:space="0"/>
              <w:right w:val="single" w:color="auto" w:sz="4" w:space="0"/>
            </w:tcBorders>
            <w:vAlign w:val="center"/>
          </w:tcPr>
          <w:p w14:paraId="58F3AF10">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809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trPr>
        <w:tc>
          <w:tcPr>
            <w:tcW w:w="1276" w:type="dxa"/>
            <w:tcBorders>
              <w:top w:val="single" w:color="auto" w:sz="4" w:space="0"/>
              <w:left w:val="single" w:color="auto" w:sz="4" w:space="0"/>
              <w:bottom w:val="single" w:color="auto" w:sz="4" w:space="0"/>
              <w:right w:val="single" w:color="auto" w:sz="4" w:space="0"/>
            </w:tcBorders>
            <w:vAlign w:val="center"/>
          </w:tcPr>
          <w:p w14:paraId="0437DAD8">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2247" w:type="dxa"/>
            <w:tcBorders>
              <w:top w:val="single" w:color="auto" w:sz="4" w:space="0"/>
              <w:left w:val="single" w:color="auto" w:sz="4" w:space="0"/>
              <w:bottom w:val="single" w:color="auto" w:sz="4" w:space="0"/>
              <w:right w:val="single" w:color="auto" w:sz="4" w:space="0"/>
            </w:tcBorders>
            <w:vAlign w:val="center"/>
          </w:tcPr>
          <w:p w14:paraId="6DD33AA7">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工作帮坡角大于设计工作帮坡角，或者最终边坡台阶高度超过设计高度。</w:t>
            </w:r>
          </w:p>
        </w:tc>
        <w:tc>
          <w:tcPr>
            <w:tcW w:w="2977" w:type="dxa"/>
            <w:tcBorders>
              <w:top w:val="single" w:color="auto" w:sz="4" w:space="0"/>
              <w:left w:val="single" w:color="auto" w:sz="4" w:space="0"/>
              <w:bottom w:val="single" w:color="auto" w:sz="4" w:space="0"/>
              <w:right w:val="single" w:color="auto" w:sz="4" w:space="0"/>
            </w:tcBorders>
            <w:vAlign w:val="center"/>
          </w:tcPr>
          <w:p w14:paraId="5B7DFC9F">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0B514598">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按设计参数开采。</w:t>
            </w:r>
          </w:p>
        </w:tc>
        <w:tc>
          <w:tcPr>
            <w:tcW w:w="687" w:type="dxa"/>
            <w:tcBorders>
              <w:top w:val="single" w:color="auto" w:sz="4" w:space="0"/>
              <w:left w:val="single" w:color="auto" w:sz="4" w:space="0"/>
              <w:bottom w:val="single" w:color="auto" w:sz="4" w:space="0"/>
              <w:right w:val="single" w:color="auto" w:sz="4" w:space="0"/>
            </w:tcBorders>
            <w:vAlign w:val="center"/>
          </w:tcPr>
          <w:p w14:paraId="47E785E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B56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4" w:hRule="atLeast"/>
        </w:trPr>
        <w:tc>
          <w:tcPr>
            <w:tcW w:w="1276" w:type="dxa"/>
            <w:tcBorders>
              <w:left w:val="single" w:color="auto" w:sz="4" w:space="0"/>
              <w:bottom w:val="single" w:color="auto" w:sz="4" w:space="0"/>
              <w:right w:val="single" w:color="auto" w:sz="4" w:space="0"/>
            </w:tcBorders>
            <w:vAlign w:val="center"/>
          </w:tcPr>
          <w:p w14:paraId="4563CC0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2247" w:type="dxa"/>
            <w:tcBorders>
              <w:left w:val="single" w:color="auto" w:sz="4" w:space="0"/>
              <w:bottom w:val="single" w:color="auto" w:sz="4" w:space="0"/>
              <w:right w:val="single" w:color="auto" w:sz="4" w:space="0"/>
            </w:tcBorders>
            <w:vAlign w:val="center"/>
          </w:tcPr>
          <w:p w14:paraId="2097E677">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开采或者破坏设计要求的矿(岩)柱或者挂帮矿体。</w:t>
            </w:r>
          </w:p>
        </w:tc>
        <w:tc>
          <w:tcPr>
            <w:tcW w:w="2977" w:type="dxa"/>
            <w:tcBorders>
              <w:top w:val="single" w:color="auto" w:sz="4" w:space="0"/>
              <w:left w:val="single" w:color="auto" w:sz="4" w:space="0"/>
              <w:bottom w:val="single" w:color="auto" w:sz="4" w:space="0"/>
              <w:right w:val="single" w:color="auto" w:sz="4" w:space="0"/>
            </w:tcBorders>
            <w:vAlign w:val="center"/>
          </w:tcPr>
          <w:p w14:paraId="7E71319A">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5788E0FF">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不开采矿柱和挂帮矿体。</w:t>
            </w:r>
          </w:p>
        </w:tc>
        <w:tc>
          <w:tcPr>
            <w:tcW w:w="687" w:type="dxa"/>
            <w:tcBorders>
              <w:left w:val="single" w:color="auto" w:sz="4" w:space="0"/>
              <w:bottom w:val="single" w:color="auto" w:sz="4" w:space="0"/>
              <w:right w:val="single" w:color="auto" w:sz="4" w:space="0"/>
            </w:tcBorders>
            <w:vAlign w:val="center"/>
          </w:tcPr>
          <w:p w14:paraId="392C80D0">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A45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6" w:hRule="atLeast"/>
        </w:trPr>
        <w:tc>
          <w:tcPr>
            <w:tcW w:w="1276" w:type="dxa"/>
            <w:tcBorders>
              <w:top w:val="single" w:color="auto" w:sz="4" w:space="0"/>
              <w:left w:val="single" w:color="auto" w:sz="4" w:space="0"/>
              <w:bottom w:val="single" w:color="auto" w:sz="4" w:space="0"/>
              <w:right w:val="single" w:color="auto" w:sz="4" w:space="0"/>
            </w:tcBorders>
            <w:vAlign w:val="center"/>
          </w:tcPr>
          <w:p w14:paraId="3DBF1AD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2247" w:type="dxa"/>
            <w:tcBorders>
              <w:top w:val="single" w:color="auto" w:sz="4" w:space="0"/>
              <w:left w:val="single" w:color="auto" w:sz="4" w:space="0"/>
              <w:bottom w:val="single" w:color="auto" w:sz="4" w:space="0"/>
              <w:right w:val="single" w:color="auto" w:sz="4" w:space="0"/>
            </w:tcBorders>
            <w:vAlign w:val="center"/>
          </w:tcPr>
          <w:p w14:paraId="67750A42">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边</w:t>
            </w:r>
            <w:r>
              <w:rPr>
                <w:color w:val="000000" w:themeColor="text1"/>
                <w14:textFill>
                  <w14:solidFill>
                    <w14:schemeClr w14:val="tx1"/>
                  </w14:solidFill>
                </w14:textFill>
              </w:rPr>
              <w:t>坡出现滑移现象，存在下列情形之一的:</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边坡出现横向及纵向放射状裂缝;</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坡体前缘坡脚处出现上隆(凸起)现象，后缘的裂急剧扩展;</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位移观测资料显示的水平位移量或者垂直位移量出现加速变化的趋势</w:t>
            </w:r>
            <w:r>
              <w:rPr>
                <w:rFonts w:hint="eastAsia"/>
                <w:color w:val="000000" w:themeColor="text1"/>
                <w14:textFill>
                  <w14:solidFill>
                    <w14:schemeClr w14:val="tx1"/>
                  </w14:solidFill>
                </w14:textFill>
              </w:rPr>
              <w:t>。存在本条任一情形的，即判定为重大事故隐患。</w:t>
            </w:r>
          </w:p>
        </w:tc>
        <w:tc>
          <w:tcPr>
            <w:tcW w:w="2977" w:type="dxa"/>
            <w:tcBorders>
              <w:top w:val="single" w:color="auto" w:sz="4" w:space="0"/>
              <w:left w:val="single" w:color="auto" w:sz="4" w:space="0"/>
              <w:bottom w:val="single" w:color="auto" w:sz="4" w:space="0"/>
              <w:right w:val="single" w:color="auto" w:sz="4" w:space="0"/>
            </w:tcBorders>
            <w:vAlign w:val="center"/>
          </w:tcPr>
          <w:p w14:paraId="10177E9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70611171">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矿区矿体稳定，未发现所列情形。</w:t>
            </w:r>
          </w:p>
        </w:tc>
        <w:tc>
          <w:tcPr>
            <w:tcW w:w="687" w:type="dxa"/>
            <w:tcBorders>
              <w:top w:val="single" w:color="auto" w:sz="4" w:space="0"/>
              <w:left w:val="single" w:color="auto" w:sz="4" w:space="0"/>
              <w:bottom w:val="single" w:color="auto" w:sz="4" w:space="0"/>
              <w:right w:val="single" w:color="auto" w:sz="4" w:space="0"/>
            </w:tcBorders>
            <w:vAlign w:val="center"/>
          </w:tcPr>
          <w:p w14:paraId="56E71608">
            <w:pPr>
              <w:pStyle w:val="148"/>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181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276" w:type="dxa"/>
            <w:tcBorders>
              <w:top w:val="single" w:color="auto" w:sz="4" w:space="0"/>
              <w:left w:val="single" w:color="auto" w:sz="4" w:space="0"/>
              <w:bottom w:val="single" w:color="auto" w:sz="4" w:space="0"/>
              <w:right w:val="single" w:color="auto" w:sz="4" w:space="0"/>
            </w:tcBorders>
            <w:vAlign w:val="center"/>
          </w:tcPr>
          <w:p w14:paraId="49D063F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2247" w:type="dxa"/>
            <w:tcBorders>
              <w:top w:val="single" w:color="auto" w:sz="4" w:space="0"/>
              <w:left w:val="single" w:color="auto" w:sz="4" w:space="0"/>
              <w:bottom w:val="single" w:color="auto" w:sz="4" w:space="0"/>
              <w:right w:val="single" w:color="auto" w:sz="4" w:space="0"/>
            </w:tcBorders>
            <w:vAlign w:val="center"/>
          </w:tcPr>
          <w:p w14:paraId="5A989030">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运输道路坡度大于设计坡度10%以上。</w:t>
            </w:r>
          </w:p>
          <w:p w14:paraId="29E072E1">
            <w:pPr>
              <w:pStyle w:val="148"/>
              <w:rPr>
                <w:color w:val="000000" w:themeColor="text1"/>
                <w14:textFill>
                  <w14:solidFill>
                    <w14:schemeClr w14:val="tx1"/>
                  </w14:solidFill>
                </w14:textFill>
              </w:rPr>
            </w:pPr>
          </w:p>
        </w:tc>
        <w:tc>
          <w:tcPr>
            <w:tcW w:w="2977" w:type="dxa"/>
            <w:tcBorders>
              <w:top w:val="single" w:color="auto" w:sz="4" w:space="0"/>
              <w:left w:val="single" w:color="auto" w:sz="4" w:space="0"/>
              <w:bottom w:val="single" w:color="auto" w:sz="4" w:space="0"/>
              <w:right w:val="single" w:color="auto" w:sz="4" w:space="0"/>
            </w:tcBorders>
            <w:vAlign w:val="center"/>
          </w:tcPr>
          <w:p w14:paraId="22A3FBBB">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07FCEE2F">
            <w:pPr>
              <w:pStyle w:val="148"/>
              <w:rPr>
                <w:color w:val="000000" w:themeColor="text1"/>
                <w14:textFill>
                  <w14:solidFill>
                    <w14:schemeClr w14:val="tx1"/>
                  </w14:solidFill>
                </w14:textFill>
              </w:rPr>
            </w:pPr>
            <w:r>
              <w:rPr>
                <w:color w:val="000000" w:themeColor="text1"/>
                <w:szCs w:val="21"/>
                <w14:textFill>
                  <w14:solidFill>
                    <w14:schemeClr w14:val="tx1"/>
                  </w14:solidFill>
                </w14:textFill>
              </w:rPr>
              <w:t>道路最大纵坡9%，平均纵坡不大于8%</w:t>
            </w:r>
            <w:r>
              <w:rPr>
                <w:rFonts w:hint="eastAsia"/>
                <w:color w:val="000000" w:themeColor="text1"/>
                <w:szCs w:val="21"/>
                <w14:textFill>
                  <w14:solidFill>
                    <w14:schemeClr w14:val="tx1"/>
                  </w14:solidFill>
                </w14:textFill>
              </w:rPr>
              <w:t>。</w:t>
            </w:r>
          </w:p>
        </w:tc>
        <w:tc>
          <w:tcPr>
            <w:tcW w:w="687" w:type="dxa"/>
            <w:tcBorders>
              <w:top w:val="single" w:color="auto" w:sz="4" w:space="0"/>
              <w:left w:val="single" w:color="auto" w:sz="4" w:space="0"/>
              <w:bottom w:val="single" w:color="auto" w:sz="4" w:space="0"/>
              <w:right w:val="single" w:color="auto" w:sz="4" w:space="0"/>
            </w:tcBorders>
            <w:vAlign w:val="center"/>
          </w:tcPr>
          <w:p w14:paraId="0D4A2BDD">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C5F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276" w:type="dxa"/>
            <w:tcBorders>
              <w:top w:val="single" w:color="auto" w:sz="4" w:space="0"/>
              <w:left w:val="single" w:color="auto" w:sz="4" w:space="0"/>
              <w:bottom w:val="single" w:color="auto" w:sz="4" w:space="0"/>
              <w:right w:val="single" w:color="auto" w:sz="4" w:space="0"/>
            </w:tcBorders>
            <w:vAlign w:val="center"/>
          </w:tcPr>
          <w:p w14:paraId="0C2EED4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2247" w:type="dxa"/>
            <w:tcBorders>
              <w:top w:val="single" w:color="auto" w:sz="4" w:space="0"/>
              <w:left w:val="single" w:color="auto" w:sz="4" w:space="0"/>
              <w:bottom w:val="single" w:color="auto" w:sz="4" w:space="0"/>
              <w:right w:val="single" w:color="auto" w:sz="4" w:space="0"/>
            </w:tcBorders>
            <w:vAlign w:val="center"/>
          </w:tcPr>
          <w:p w14:paraId="7F5112E8">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凹陷露天矿山未按设计建设防洪、排洪设施。</w:t>
            </w:r>
          </w:p>
        </w:tc>
        <w:tc>
          <w:tcPr>
            <w:tcW w:w="2977" w:type="dxa"/>
            <w:tcBorders>
              <w:top w:val="single" w:color="auto" w:sz="4" w:space="0"/>
              <w:left w:val="single" w:color="auto" w:sz="4" w:space="0"/>
              <w:bottom w:val="single" w:color="auto" w:sz="4" w:space="0"/>
              <w:right w:val="single" w:color="auto" w:sz="4" w:space="0"/>
            </w:tcBorders>
            <w:vAlign w:val="center"/>
          </w:tcPr>
          <w:p w14:paraId="644F39E0">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4E6C4048">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开采1430m、1420m、1405m、1390m、1375m、1360m、1345m、1330m、1315m、1300m台阶，最高开采标高1430m，最低开采标高为1300m，开采深度为130m，最终边坡高度130m。。矿山非凹陷露天矿山。</w:t>
            </w:r>
          </w:p>
          <w:p w14:paraId="29EAF84D">
            <w:pPr>
              <w:pStyle w:val="148"/>
              <w:rPr>
                <w:color w:val="000000" w:themeColor="text1"/>
                <w14:textFill>
                  <w14:solidFill>
                    <w14:schemeClr w14:val="tx1"/>
                  </w14:solidFill>
                </w14:textFill>
              </w:rPr>
            </w:pPr>
          </w:p>
        </w:tc>
        <w:tc>
          <w:tcPr>
            <w:tcW w:w="687" w:type="dxa"/>
            <w:tcBorders>
              <w:top w:val="single" w:color="auto" w:sz="4" w:space="0"/>
              <w:left w:val="single" w:color="auto" w:sz="4" w:space="0"/>
              <w:bottom w:val="single" w:color="auto" w:sz="4" w:space="0"/>
              <w:right w:val="single" w:color="auto" w:sz="4" w:space="0"/>
            </w:tcBorders>
            <w:vAlign w:val="center"/>
          </w:tcPr>
          <w:p w14:paraId="36447C43">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73D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276" w:type="dxa"/>
            <w:tcBorders>
              <w:top w:val="single" w:color="auto" w:sz="4" w:space="0"/>
              <w:left w:val="single" w:color="auto" w:sz="4" w:space="0"/>
              <w:bottom w:val="single" w:color="auto" w:sz="4" w:space="0"/>
              <w:right w:val="single" w:color="auto" w:sz="4" w:space="0"/>
            </w:tcBorders>
            <w:vAlign w:val="center"/>
          </w:tcPr>
          <w:p w14:paraId="06D8CE8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8</w:t>
            </w:r>
          </w:p>
        </w:tc>
        <w:tc>
          <w:tcPr>
            <w:tcW w:w="2247" w:type="dxa"/>
            <w:tcBorders>
              <w:top w:val="single" w:color="auto" w:sz="4" w:space="0"/>
              <w:left w:val="single" w:color="auto" w:sz="4" w:space="0"/>
              <w:bottom w:val="single" w:color="auto" w:sz="4" w:space="0"/>
              <w:right w:val="single" w:color="auto" w:sz="4" w:space="0"/>
            </w:tcBorders>
            <w:vAlign w:val="center"/>
          </w:tcPr>
          <w:p w14:paraId="467807F4">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露天采场未按设计设置安全平台和清扫平台。</w:t>
            </w:r>
          </w:p>
          <w:p w14:paraId="05D5FF99">
            <w:pPr>
              <w:pStyle w:val="148"/>
              <w:rPr>
                <w:color w:val="000000" w:themeColor="text1"/>
                <w14:textFill>
                  <w14:solidFill>
                    <w14:schemeClr w14:val="tx1"/>
                  </w14:solidFill>
                </w14:textFill>
              </w:rPr>
            </w:pPr>
          </w:p>
        </w:tc>
        <w:tc>
          <w:tcPr>
            <w:tcW w:w="2977" w:type="dxa"/>
            <w:tcBorders>
              <w:top w:val="single" w:color="auto" w:sz="4" w:space="0"/>
              <w:left w:val="single" w:color="auto" w:sz="4" w:space="0"/>
              <w:bottom w:val="single" w:color="auto" w:sz="4" w:space="0"/>
              <w:right w:val="single" w:color="auto" w:sz="4" w:space="0"/>
            </w:tcBorders>
            <w:vAlign w:val="center"/>
          </w:tcPr>
          <w:p w14:paraId="7DBB4FE5">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《国家矿山安全监察局关于印发〈金属非金属矿山重大事故隐患判定标准〉的通知》（矿安〔2022〕88号）</w:t>
            </w:r>
          </w:p>
        </w:tc>
        <w:tc>
          <w:tcPr>
            <w:tcW w:w="2271" w:type="dxa"/>
            <w:tcBorders>
              <w:top w:val="single" w:color="auto" w:sz="4" w:space="0"/>
              <w:left w:val="single" w:color="auto" w:sz="4" w:space="0"/>
              <w:bottom w:val="single" w:color="auto" w:sz="4" w:space="0"/>
              <w:right w:val="single" w:color="auto" w:sz="4" w:space="0"/>
            </w:tcBorders>
            <w:vAlign w:val="center"/>
          </w:tcPr>
          <w:p w14:paraId="15F4F0B1">
            <w:pPr>
              <w:pStyle w:val="71"/>
              <w:ind w:firstLine="560"/>
              <w:rPr>
                <w:rFonts w:hint="default"/>
                <w:color w:val="000000" w:themeColor="text1"/>
                <w:lang w:val="zh-TW"/>
                <w14:textFill>
                  <w14:solidFill>
                    <w14:schemeClr w14:val="tx1"/>
                  </w14:solidFill>
                </w14:textFill>
              </w:rPr>
            </w:pPr>
            <w:r>
              <w:rPr>
                <w:color w:val="000000" w:themeColor="text1"/>
                <w14:textFill>
                  <w14:solidFill>
                    <w14:schemeClr w14:val="tx1"/>
                  </w14:solidFill>
                </w14:textFill>
              </w:rPr>
              <w:t>矿山</w:t>
            </w:r>
            <w:r>
              <w:rPr>
                <w:color w:val="000000" w:themeColor="text1"/>
                <w:lang w:val="zh-TW"/>
                <w14:textFill>
                  <w14:solidFill>
                    <w14:schemeClr w14:val="tx1"/>
                  </w14:solidFill>
                </w14:textFill>
              </w:rPr>
              <w:t>安全平台宽度取</w:t>
            </w:r>
            <w:r>
              <w:rPr>
                <w:color w:val="000000" w:themeColor="text1"/>
                <w14:textFill>
                  <w14:solidFill>
                    <w14:schemeClr w14:val="tx1"/>
                  </w14:solidFill>
                </w14:textFill>
              </w:rPr>
              <w:t>5</w:t>
            </w:r>
            <w:r>
              <w:rPr>
                <w:color w:val="000000" w:themeColor="text1"/>
                <w:lang w:val="zh-TW"/>
                <w14:textFill>
                  <w14:solidFill>
                    <w14:schemeClr w14:val="tx1"/>
                  </w14:solidFill>
                </w14:textFill>
              </w:rPr>
              <w:t>m，每2个安全平台设1个清扫平台，清扫平台宽度取</w:t>
            </w:r>
            <w:r>
              <w:rPr>
                <w:color w:val="000000" w:themeColor="text1"/>
                <w14:textFill>
                  <w14:solidFill>
                    <w14:schemeClr w14:val="tx1"/>
                  </w14:solidFill>
                </w14:textFill>
              </w:rPr>
              <w:t>8</w:t>
            </w:r>
            <w:r>
              <w:rPr>
                <w:color w:val="000000" w:themeColor="text1"/>
                <w:lang w:val="zh-TW"/>
                <w14:textFill>
                  <w14:solidFill>
                    <w14:schemeClr w14:val="tx1"/>
                  </w14:solidFill>
                </w14:textFill>
              </w:rPr>
              <w:t>m。</w:t>
            </w:r>
          </w:p>
          <w:p w14:paraId="70C26A60">
            <w:pPr>
              <w:pStyle w:val="148"/>
              <w:rPr>
                <w:color w:val="000000" w:themeColor="text1"/>
                <w:szCs w:val="21"/>
                <w14:textFill>
                  <w14:solidFill>
                    <w14:schemeClr w14:val="tx1"/>
                  </w14:solidFill>
                </w14:textFill>
              </w:rPr>
            </w:pPr>
          </w:p>
        </w:tc>
        <w:tc>
          <w:tcPr>
            <w:tcW w:w="687" w:type="dxa"/>
            <w:tcBorders>
              <w:top w:val="single" w:color="auto" w:sz="4" w:space="0"/>
              <w:left w:val="single" w:color="auto" w:sz="4" w:space="0"/>
              <w:bottom w:val="single" w:color="auto" w:sz="4" w:space="0"/>
              <w:right w:val="single" w:color="auto" w:sz="4" w:space="0"/>
            </w:tcBorders>
            <w:vAlign w:val="center"/>
          </w:tcPr>
          <w:p w14:paraId="6D77C7EE">
            <w:pPr>
              <w:pStyle w:val="14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BB9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276" w:type="dxa"/>
            <w:tcBorders>
              <w:top w:val="single" w:color="auto" w:sz="4" w:space="0"/>
              <w:left w:val="single" w:color="auto" w:sz="4" w:space="0"/>
              <w:bottom w:val="single" w:color="auto" w:sz="4" w:space="0"/>
              <w:right w:val="single" w:color="auto" w:sz="4" w:space="0"/>
            </w:tcBorders>
            <w:vAlign w:val="center"/>
          </w:tcPr>
          <w:p w14:paraId="0A0A05EE">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9</w:t>
            </w:r>
          </w:p>
        </w:tc>
        <w:tc>
          <w:tcPr>
            <w:tcW w:w="2247" w:type="dxa"/>
            <w:tcBorders>
              <w:top w:val="single" w:color="auto" w:sz="4" w:space="0"/>
              <w:left w:val="single" w:color="auto" w:sz="4" w:space="0"/>
              <w:bottom w:val="single" w:color="auto" w:sz="4" w:space="0"/>
              <w:right w:val="single" w:color="auto" w:sz="4" w:space="0"/>
            </w:tcBorders>
            <w:vAlign w:val="center"/>
          </w:tcPr>
          <w:p w14:paraId="3D9229C4">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办公区、生活区等人员集聚场所设在危崖、塌陷区、崩落区，或洪水、泥石流、滑坡等灾害威胁范围内。</w:t>
            </w:r>
          </w:p>
          <w:p w14:paraId="2B5927C9">
            <w:pPr>
              <w:pStyle w:val="71"/>
              <w:ind w:firstLine="560"/>
              <w:rPr>
                <w:rFonts w:hint="default"/>
                <w:color w:val="000000" w:themeColor="text1"/>
                <w14:textFill>
                  <w14:solidFill>
                    <w14:schemeClr w14:val="tx1"/>
                  </w14:solidFill>
                </w14:textFill>
              </w:rPr>
            </w:pPr>
          </w:p>
        </w:tc>
        <w:tc>
          <w:tcPr>
            <w:tcW w:w="2977" w:type="dxa"/>
            <w:tcBorders>
              <w:top w:val="single" w:color="auto" w:sz="4" w:space="0"/>
              <w:left w:val="single" w:color="auto" w:sz="4" w:space="0"/>
              <w:bottom w:val="single" w:color="auto" w:sz="4" w:space="0"/>
              <w:right w:val="single" w:color="auto" w:sz="4" w:space="0"/>
            </w:tcBorders>
            <w:vAlign w:val="center"/>
          </w:tcPr>
          <w:p w14:paraId="16580CDC">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《国家矿山安全监察局关于印发〈金属非金属矿山重大事故隐患判定标准补充情形〉的通知》（矿安〔2024〕41号）</w:t>
            </w:r>
          </w:p>
        </w:tc>
        <w:tc>
          <w:tcPr>
            <w:tcW w:w="2271" w:type="dxa"/>
            <w:tcBorders>
              <w:top w:val="single" w:color="auto" w:sz="4" w:space="0"/>
              <w:left w:val="single" w:color="auto" w:sz="4" w:space="0"/>
              <w:bottom w:val="single" w:color="auto" w:sz="4" w:space="0"/>
              <w:right w:val="single" w:color="auto" w:sz="4" w:space="0"/>
            </w:tcBorders>
            <w:vAlign w:val="center"/>
          </w:tcPr>
          <w:p w14:paraId="4AF2084C">
            <w:pPr>
              <w:pStyle w:val="71"/>
              <w:rPr>
                <w:rFonts w:hint="default"/>
                <w:color w:val="000000" w:themeColor="text1"/>
                <w14:textFill>
                  <w14:solidFill>
                    <w14:schemeClr w14:val="tx1"/>
                  </w14:solidFill>
                </w14:textFill>
              </w:rPr>
            </w:pPr>
            <w:r>
              <w:rPr>
                <w:color w:val="000000" w:themeColor="text1"/>
                <w14:textFill>
                  <w14:solidFill>
                    <w14:schemeClr w14:val="tx1"/>
                  </w14:solidFill>
                </w14:textFill>
              </w:rPr>
              <w:t>临时办公区、生活区等人员集聚场所距矿区直线近距离200m。地势平躺，没有洪水等灾害。</w:t>
            </w:r>
          </w:p>
        </w:tc>
        <w:tc>
          <w:tcPr>
            <w:tcW w:w="687" w:type="dxa"/>
            <w:tcBorders>
              <w:top w:val="single" w:color="auto" w:sz="4" w:space="0"/>
              <w:left w:val="single" w:color="auto" w:sz="4" w:space="0"/>
              <w:bottom w:val="single" w:color="auto" w:sz="4" w:space="0"/>
              <w:right w:val="single" w:color="auto" w:sz="4" w:space="0"/>
            </w:tcBorders>
            <w:vAlign w:val="center"/>
          </w:tcPr>
          <w:p w14:paraId="4235242D">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符符合</w:t>
            </w:r>
          </w:p>
        </w:tc>
      </w:tr>
      <w:tr w14:paraId="4380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276" w:type="dxa"/>
            <w:tcBorders>
              <w:top w:val="single" w:color="auto" w:sz="4" w:space="0"/>
              <w:left w:val="single" w:color="auto" w:sz="4" w:space="0"/>
              <w:bottom w:val="single" w:color="auto" w:sz="4" w:space="0"/>
              <w:right w:val="single" w:color="auto" w:sz="4" w:space="0"/>
            </w:tcBorders>
            <w:vAlign w:val="center"/>
          </w:tcPr>
          <w:p w14:paraId="6B54D306">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10</w:t>
            </w:r>
          </w:p>
        </w:tc>
        <w:tc>
          <w:tcPr>
            <w:tcW w:w="2247" w:type="dxa"/>
            <w:tcBorders>
              <w:top w:val="single" w:color="auto" w:sz="4" w:space="0"/>
              <w:left w:val="single" w:color="auto" w:sz="4" w:space="0"/>
              <w:bottom w:val="single" w:color="auto" w:sz="4" w:space="0"/>
              <w:right w:val="single" w:color="auto" w:sz="4" w:space="0"/>
            </w:tcBorders>
            <w:vAlign w:val="center"/>
          </w:tcPr>
          <w:p w14:paraId="30307B67">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遇极端天气露天矿山未及时停止作业、撤出现场作业人员。</w:t>
            </w:r>
          </w:p>
          <w:p w14:paraId="4EFAD963">
            <w:pPr>
              <w:pStyle w:val="71"/>
              <w:ind w:firstLine="560"/>
              <w:rPr>
                <w:rFonts w:hint="default"/>
                <w:color w:val="000000" w:themeColor="text1"/>
                <w14:textFill>
                  <w14:solidFill>
                    <w14:schemeClr w14:val="tx1"/>
                  </w14:solidFill>
                </w14:textFill>
              </w:rPr>
            </w:pPr>
          </w:p>
        </w:tc>
        <w:tc>
          <w:tcPr>
            <w:tcW w:w="2977" w:type="dxa"/>
            <w:tcBorders>
              <w:top w:val="single" w:color="auto" w:sz="4" w:space="0"/>
              <w:left w:val="single" w:color="auto" w:sz="4" w:space="0"/>
              <w:bottom w:val="single" w:color="auto" w:sz="4" w:space="0"/>
              <w:right w:val="single" w:color="auto" w:sz="4" w:space="0"/>
            </w:tcBorders>
            <w:vAlign w:val="center"/>
          </w:tcPr>
          <w:p w14:paraId="087282EF">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《国家矿山安全监察局关于印发〈金属非金属矿山重大事故隐患判定标准补充情形〉的通知》（矿安〔2024〕41号）</w:t>
            </w:r>
          </w:p>
        </w:tc>
        <w:tc>
          <w:tcPr>
            <w:tcW w:w="2271" w:type="dxa"/>
            <w:tcBorders>
              <w:top w:val="single" w:color="auto" w:sz="4" w:space="0"/>
              <w:left w:val="single" w:color="auto" w:sz="4" w:space="0"/>
              <w:bottom w:val="single" w:color="auto" w:sz="4" w:space="0"/>
              <w:right w:val="single" w:color="auto" w:sz="4" w:space="0"/>
            </w:tcBorders>
            <w:vAlign w:val="center"/>
          </w:tcPr>
          <w:p w14:paraId="2C15C7BE">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矿山部积极关注天气变化，收集未来15天内的天气预报情况。采场、道路运输及破碎作业遇雷电、暴雨等极端天气遇极端天气及时停止作业、撤出现场作业人员和重要设备。</w:t>
            </w:r>
          </w:p>
        </w:tc>
        <w:tc>
          <w:tcPr>
            <w:tcW w:w="687" w:type="dxa"/>
            <w:tcBorders>
              <w:top w:val="single" w:color="auto" w:sz="4" w:space="0"/>
              <w:left w:val="single" w:color="auto" w:sz="4" w:space="0"/>
              <w:bottom w:val="single" w:color="auto" w:sz="4" w:space="0"/>
              <w:right w:val="single" w:color="auto" w:sz="4" w:space="0"/>
            </w:tcBorders>
            <w:vAlign w:val="center"/>
          </w:tcPr>
          <w:p w14:paraId="5A9C9159">
            <w:pPr>
              <w:pStyle w:val="71"/>
              <w:ind w:firstLine="560"/>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444C94A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矿山安全监察局关于印发〈金属非金属矿山重大事故隐患判定标准〉的通知》（矿安〔2022〕88号公布，2022年9月1日施行）及《国家矿山安全监察局关于印发〈金属非金属矿山重大事故隐患判定标准补充情形〉的通知》（矿安〔2024〕41号，2024年4月23日）规定，通过表3.9-1金属非金属矿山重大事故隐患判定检查分析，矿山不存在金属非金属矿山重大事故隐患判定标准的情形，矿山不存在矿山重大事故隐患。</w:t>
      </w:r>
    </w:p>
    <w:p w14:paraId="48EFA70E">
      <w:pPr>
        <w:pStyle w:val="5"/>
        <w:spacing w:after="120"/>
        <w:rPr>
          <w:color w:val="000000" w:themeColor="text1"/>
          <w14:textFill>
            <w14:solidFill>
              <w14:schemeClr w14:val="tx1"/>
            </w14:solidFill>
          </w14:textFill>
        </w:rPr>
      </w:pPr>
      <w:bookmarkStart w:id="2956" w:name="_Toc25164"/>
      <w:bookmarkStart w:id="2957" w:name="_Toc215070306"/>
      <w:r>
        <w:rPr>
          <w:rFonts w:hint="eastAsia"/>
          <w:color w:val="000000" w:themeColor="text1"/>
          <w14:textFill>
            <w14:solidFill>
              <w14:schemeClr w14:val="tx1"/>
            </w14:solidFill>
          </w14:textFill>
        </w:rPr>
        <w:t>3.9.4矿山隐蔽致灾因素评价</w:t>
      </w:r>
      <w:bookmarkEnd w:id="2956"/>
      <w:bookmarkEnd w:id="2957"/>
    </w:p>
    <w:p w14:paraId="2CE89C8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1、用安全检查法对矿山隐蔽致灾因素评价。</w:t>
      </w:r>
    </w:p>
    <w:p w14:paraId="72C8C13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（1）采空区</w:t>
      </w:r>
    </w:p>
    <w:p w14:paraId="1AA9A909">
      <w:pPr>
        <w:ind w:firstLine="560"/>
        <w:rPr>
          <w:color w:val="000000" w:themeColor="text1"/>
          <w14:textFill>
            <w14:solidFill>
              <w14:schemeClr w14:val="tx1"/>
            </w14:solidFill>
          </w14:textFill>
        </w:rPr>
      </w:pPr>
      <w:r>
        <w:rPr>
          <w:color w:val="000000" w:themeColor="text1"/>
          <w14:textFill>
            <w14:solidFill>
              <w14:schemeClr w14:val="tx1"/>
            </w14:solidFill>
          </w14:textFill>
        </w:rPr>
        <w:t>露天矿山采空区通常是由于以往的开采活动，尤其是在矿体开采过程中，未能对采空区域进行及时有效的处理而遗留下来的。其空间形态各异，可能是规则的采坑，也可能是因矿体赋存条件复杂而形成的不规则空洞。部分采空区可能存在积水，这是因为开采破坏了原有的水文地质条件，使得地下水汇聚其中；同时，采空区还可能积聚瓦斯及其他有毒有害气体，如硫化氢、一氧化碳等。</w:t>
      </w:r>
    </w:p>
    <w:p w14:paraId="79C6858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采空区的存在会导致矿山边坡稳定性下降，增加滑坡、坍塌等地质灾害的发生概率。当采空区上方的岩土体重量超过其承载能力时，就会引发顶板垮落，不仅可能掩埋作业人员和设备，还可能导致周边区域的地面塌陷，影响矿山的正常生产秩序。此外，采空区中的积水和有毒有害气体一旦泄漏，将对周围环境和人员安全造成严重威胁。</w:t>
      </w:r>
    </w:p>
    <w:p w14:paraId="4FFD5BEA">
      <w:pPr>
        <w:ind w:left="56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普查方法</w:t>
      </w:r>
    </w:p>
    <w:p w14:paraId="45BC122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矿山隐蔽致灾因素</w:t>
      </w:r>
      <w:r>
        <w:rPr>
          <w:color w:val="000000" w:themeColor="text1"/>
          <w14:textFill>
            <w14:solidFill>
              <w14:schemeClr w14:val="tx1"/>
            </w14:solidFill>
          </w14:textFill>
        </w:rPr>
        <w:t>可采用物探方法，如瞬变电磁法、地质雷达法等，通过探测地下介质的电性差异来圈定采空区的大致范围。在此基础上，利用钻探手段进行验证，直接获取采空区内部的积水、瓦斯等情况。同时，结合调查访问当地居民或查阅矿山开采历史资料，了解采空区的形成时间、开采方式等信息，为后续治理提供依据。</w:t>
      </w:r>
    </w:p>
    <w:p w14:paraId="5B10219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地质构造影响</w:t>
      </w:r>
    </w:p>
    <w:p w14:paraId="14E5F1D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露天矿山常见的地质构造包括断层、褶皱等。断层会破坏岩体的完整性，使岩石破碎，降低边坡的稳定性。在断层附近，岩石的抗剪强度降低，容易在开采扰动和自然因素作用下发生滑动。褶皱构造则会改变岩层的产状，导致矿体的赋存状态变得复杂，增加开采难度。同时，地质构造还可能影响矿山的水文地质条件，成为地下水和有毒有害气体运移的通道。</w:t>
      </w:r>
    </w:p>
    <w:p w14:paraId="547B268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普查要点</w:t>
      </w:r>
    </w:p>
    <w:p w14:paraId="13822B6A">
      <w:pPr>
        <w:ind w:firstLine="560"/>
        <w:rPr>
          <w:color w:val="000000" w:themeColor="text1"/>
          <w14:textFill>
            <w14:solidFill>
              <w14:schemeClr w14:val="tx1"/>
            </w14:solidFill>
          </w14:textFill>
        </w:rPr>
      </w:pPr>
      <w:r>
        <w:rPr>
          <w:color w:val="000000" w:themeColor="text1"/>
          <w14:textFill>
            <w14:solidFill>
              <w14:schemeClr w14:val="tx1"/>
            </w14:solidFill>
          </w14:textFill>
        </w:rPr>
        <w:t>运用地质测绘手段，详细观察和测量地质构造的分布、产状、规模等特征。通过物探方法，如地震勘探、重力勘探等，进一步查明地质构造在深部的延伸情况和对岩体结构的影响。此外，还可以采集岩石样本进行室内试验，分析岩石的物理力学性质，评估地质构造对矿山开采的潜在危害。</w:t>
      </w:r>
    </w:p>
    <w:p w14:paraId="03C84C9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水文地质条件</w:t>
      </w:r>
    </w:p>
    <w:p w14:paraId="362EF07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露天矿山的水源主要包括地表水体（如河流、湖泊、水库等）、地下含水层以及大气降水。导水通道则有断层破碎带、节理裂隙密集带、岩溶洞穴等。当开采活动破坏了这些水源与通道之间的平衡时，就可能引发突水、透水等灾害。例如，在岩溶发育地区，开采可能导致地下溶洞与矿山开采区域连通，大量地下水涌入矿山，造成淹没事故。</w:t>
      </w:r>
    </w:p>
    <w:p w14:paraId="41CC7E4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普查方法：综合采用物探、钻探和水文地质试验等方法。物探可用于探测地下含水层的分布和导水通道的位置；钻探能够获取不同深度的水文地质参数，如水位、水质、水量等；通过抽水试验、注水试验等水文地质试验，确定含水层的富水性和导水能力，以及各水源之间的水力联系。同时，收集矿山周边的气象资料、地形地貌信息，分析降水和地表径流对矿山水文地质条件的影响。</w:t>
      </w:r>
    </w:p>
    <w:p w14:paraId="5D15D46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边坡稳定性影响</w:t>
      </w:r>
    </w:p>
    <w:p w14:paraId="2981F5A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露天矿山边坡稳定性受到多种因素影响，除了上述的采空区和地质构造外，还包括边坡的坡度、高度、岩土体性质、降水、地震等。边坡坡度越陡、高度越高，其稳定性就越差；岩土体的强度低、抗风化能力弱，也容易导致边坡失稳。降水会增加岩土体的重量，降低其抗剪强度，地震则会产生附加地震力，进一步破坏边坡的稳定性。</w:t>
      </w:r>
    </w:p>
    <w:p w14:paraId="79BA65D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普查与监测：采用全站仪、GPS 等测量仪器对边坡进行定期监测，测量边坡的位移、变形情况。利用遥感技术，通过分析卫星图像或航空照片，监测边坡的宏观变形特征。在边坡上布置应力计、测斜仪等监测设备，实时获取边坡内部的应力变化和深层位移数据。结合地质勘查资料，对边坡进行稳定性分析，评估其潜在的滑坡、坍塌风险。</w:t>
      </w:r>
    </w:p>
    <w:p w14:paraId="7EE1658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2、评价</w:t>
      </w:r>
    </w:p>
    <w:p w14:paraId="280010D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根据《国家矿山安全监察局综合司关于进一步加强矿山隐蔽致灾因素普查工作的通知》（矿安综函</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259号，2024年11月1日起实施）要求和《矿山隐蔽致灾因素普查规范》（KA/T22.3-2024）分析，露天矿山隐蔽致灾因素主要由</w:t>
      </w:r>
      <w:r>
        <w:rPr>
          <w:color w:val="000000" w:themeColor="text1"/>
          <w14:textFill>
            <w14:solidFill>
              <w14:schemeClr w14:val="tx1"/>
            </w14:solidFill>
          </w14:textFill>
        </w:rPr>
        <w:t>露天矿山采空区</w:t>
      </w:r>
      <w:r>
        <w:rPr>
          <w:rFonts w:hint="eastAsia"/>
          <w:color w:val="000000" w:themeColor="text1"/>
          <w14:textFill>
            <w14:solidFill>
              <w14:schemeClr w14:val="tx1"/>
            </w14:solidFill>
          </w14:textFill>
        </w:rPr>
        <w:t>、地质构造、水文地质条件、边坡稳定性形成。</w:t>
      </w:r>
    </w:p>
    <w:p w14:paraId="2593794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szCs w:val="28"/>
          <w14:textFill>
            <w14:solidFill>
              <w14:schemeClr w14:val="tx1"/>
            </w14:solidFill>
          </w14:textFill>
        </w:rPr>
        <w:t>矿界外形成一边坡，属历史遗留采区，长约190m，高约30～50mm。</w:t>
      </w:r>
      <w:r>
        <w:rPr>
          <w:color w:val="000000" w:themeColor="text1"/>
          <w14:textFill>
            <w14:solidFill>
              <w14:schemeClr w14:val="tx1"/>
            </w14:solidFill>
          </w14:textFill>
        </w:rPr>
        <w:t>经现场勘查</w:t>
      </w:r>
      <w:r>
        <w:rPr>
          <w:rFonts w:hint="eastAsia"/>
          <w:color w:val="000000" w:themeColor="text1"/>
          <w14:textFill>
            <w14:solidFill>
              <w14:schemeClr w14:val="tx1"/>
            </w14:solidFill>
          </w14:textFill>
        </w:rPr>
        <w:t>及边坡稳定性分析</w:t>
      </w:r>
      <w:r>
        <w:rPr>
          <w:color w:val="000000" w:themeColor="text1"/>
          <w14:textFill>
            <w14:solidFill>
              <w14:schemeClr w14:val="tx1"/>
            </w14:solidFill>
          </w14:textFill>
        </w:rPr>
        <w:t>，形成的台阶</w:t>
      </w:r>
      <w:r>
        <w:rPr>
          <w:rFonts w:hint="eastAsia"/>
          <w:color w:val="000000" w:themeColor="text1"/>
          <w14:textFill>
            <w14:solidFill>
              <w14:schemeClr w14:val="tx1"/>
            </w14:solidFill>
          </w14:textFill>
        </w:rPr>
        <w:t>、边坡</w:t>
      </w:r>
      <w:r>
        <w:rPr>
          <w:color w:val="000000" w:themeColor="text1"/>
          <w14:textFill>
            <w14:solidFill>
              <w14:schemeClr w14:val="tx1"/>
            </w14:solidFill>
          </w14:textFill>
        </w:rPr>
        <w:t>较稳定，矿区范围内目前未发生崩塌、滑坡、泥石流等地质</w:t>
      </w:r>
      <w:r>
        <w:rPr>
          <w:rFonts w:hint="eastAsia"/>
          <w:color w:val="000000" w:themeColor="text1"/>
          <w14:textFill>
            <w14:solidFill>
              <w14:schemeClr w14:val="tx1"/>
            </w14:solidFill>
          </w14:textFill>
        </w:rPr>
        <w:t>灾害</w:t>
      </w:r>
      <w:r>
        <w:rPr>
          <w:color w:val="000000" w:themeColor="text1"/>
          <w14:textFill>
            <w14:solidFill>
              <w14:schemeClr w14:val="tx1"/>
            </w14:solidFill>
          </w14:textFill>
        </w:rPr>
        <w:t>。</w:t>
      </w:r>
    </w:p>
    <w:p w14:paraId="25A14D59">
      <w:pPr>
        <w:snapToGrid w:val="0"/>
        <w:ind w:firstLine="560"/>
        <w:jc w:val="both"/>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szCs w:val="28"/>
          <w14:textFill>
            <w14:solidFill>
              <w14:schemeClr w14:val="tx1"/>
            </w14:solidFill>
          </w14:textFill>
        </w:rPr>
        <w:t>矿区地层呈单斜层状产出，分布稳定，形态简单，区内断层不发育，无褶皱构造</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矿体赋存于二叠系上统吴家坪组（P</w:t>
      </w:r>
      <w:r>
        <w:rPr>
          <w:color w:val="000000" w:themeColor="text1"/>
          <w:szCs w:val="28"/>
          <w:vertAlign w:val="subscript"/>
          <w14:textFill>
            <w14:solidFill>
              <w14:schemeClr w14:val="tx1"/>
            </w14:solidFill>
          </w14:textFill>
        </w:rPr>
        <w:t>2</w:t>
      </w:r>
      <w:r>
        <w:rPr>
          <w:color w:val="000000" w:themeColor="text1"/>
          <w:szCs w:val="28"/>
          <w14:textFill>
            <w14:solidFill>
              <w14:schemeClr w14:val="tx1"/>
            </w14:solidFill>
          </w14:textFill>
        </w:rPr>
        <w:t>w）地层中，呈单斜层状产出，产状175°∠36°，矿区及附近出露长度大于700m，宽度大于300m，厚度大于50m，产出较为稳定。矿床规模属小型。矿体直接出露于地表，露头良好，表面风化强；矿层之上有少量零星第四系残坡积粘土、粉砂质粘土分布，矿体下部未能完全控制。</w:t>
      </w:r>
    </w:p>
    <w:p w14:paraId="3821290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水文地质条件水源与通道</w:t>
      </w:r>
      <w:r>
        <w:rPr>
          <w:rFonts w:hint="eastAsia"/>
          <w:color w:val="000000" w:themeColor="text1"/>
          <w14:textFill>
            <w14:solidFill>
              <w14:schemeClr w14:val="tx1"/>
            </w14:solidFill>
          </w14:textFill>
        </w:rPr>
        <w:t>。矿区属构造剥蚀—溶蚀低中山地貌区，微地貌形态为溶蚀沟谷地貌。总体地形东高西低，最高为矿区北东部山峰，标高1430m，最低为矿区西部矿1，标高1294m，最大高差136m。地形坡度20-35°，局部为陡崖，地形复杂程度为中等类型。矿区范围内植被较为发育(见照片1-1)，矿区地表水系不发育，无溪流及泉水出露。地表降水总体向矿区北西、北侧沿排水沟向公路水渠排泄。</w:t>
      </w:r>
    </w:p>
    <w:p w14:paraId="6B2F8EE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经现场勘查</w:t>
      </w:r>
      <w:r>
        <w:rPr>
          <w:rFonts w:hint="eastAsia"/>
          <w:color w:val="000000" w:themeColor="text1"/>
          <w14:textFill>
            <w14:solidFill>
              <w14:schemeClr w14:val="tx1"/>
            </w14:solidFill>
          </w14:textFill>
        </w:rPr>
        <w:t>，</w:t>
      </w:r>
      <w:r>
        <w:rPr>
          <w:color w:val="000000" w:themeColor="text1"/>
          <w:szCs w:val="28"/>
          <w:lang w:val="zh-TW"/>
          <w14:textFill>
            <w14:solidFill>
              <w14:schemeClr w14:val="tx1"/>
            </w14:solidFill>
          </w14:textFill>
        </w:rPr>
        <w:t>原</w:t>
      </w:r>
      <w:r>
        <w:rPr>
          <w:color w:val="000000" w:themeColor="text1"/>
          <w:szCs w:val="28"/>
          <w:lang w:val="zh-TW" w:eastAsia="zh-TW"/>
          <w14:textFill>
            <w14:solidFill>
              <w14:schemeClr w14:val="tx1"/>
            </w14:solidFill>
          </w14:textFill>
        </w:rPr>
        <w:t>露天</w:t>
      </w:r>
      <w:r>
        <w:rPr>
          <w:color w:val="000000" w:themeColor="text1"/>
          <w:szCs w:val="28"/>
          <w:lang w:val="zh-TW"/>
          <w14:textFill>
            <w14:solidFill>
              <w14:schemeClr w14:val="tx1"/>
            </w14:solidFill>
          </w14:textFill>
        </w:rPr>
        <w:t>采</w:t>
      </w:r>
      <w:r>
        <w:rPr>
          <w:color w:val="000000" w:themeColor="text1"/>
          <w:szCs w:val="28"/>
          <w:lang w:val="zh-TW" w:eastAsia="zh-TW"/>
          <w14:textFill>
            <w14:solidFill>
              <w14:schemeClr w14:val="tx1"/>
            </w14:solidFill>
          </w14:textFill>
        </w:rPr>
        <w:t>场边帮最</w:t>
      </w:r>
      <w:r>
        <w:rPr>
          <w:color w:val="000000" w:themeColor="text1"/>
          <w:szCs w:val="28"/>
          <w:lang w:val="zh-TW"/>
          <w14:textFill>
            <w14:solidFill>
              <w14:schemeClr w14:val="tx1"/>
            </w14:solidFill>
          </w14:textFill>
        </w:rPr>
        <w:t>高</w:t>
      </w:r>
      <w:r>
        <w:rPr>
          <w:color w:val="000000" w:themeColor="text1"/>
          <w:szCs w:val="28"/>
          <w:lang w:val="zh-TW" w:eastAsia="zh-TW"/>
          <w14:textFill>
            <w14:solidFill>
              <w14:schemeClr w14:val="tx1"/>
            </w14:solidFill>
          </w14:textFill>
        </w:rPr>
        <w:t>标</w:t>
      </w:r>
      <w:r>
        <w:rPr>
          <w:color w:val="000000" w:themeColor="text1"/>
          <w:szCs w:val="28"/>
          <w:lang w:val="zh-TW"/>
          <w14:textFill>
            <w14:solidFill>
              <w14:schemeClr w14:val="tx1"/>
            </w14:solidFill>
          </w14:textFill>
        </w:rPr>
        <w:t>高</w:t>
      </w:r>
      <w:r>
        <w:rPr>
          <w:color w:val="000000" w:themeColor="text1"/>
          <w:szCs w:val="28"/>
          <w:lang w:val="zh-TW" w:eastAsia="zh-TW"/>
          <w14:textFill>
            <w14:solidFill>
              <w14:schemeClr w14:val="tx1"/>
            </w14:solidFill>
          </w14:textFill>
        </w:rPr>
        <w:t>为</w:t>
      </w:r>
      <w:r>
        <w:rPr>
          <w:rFonts w:hint="eastAsia"/>
          <w:color w:val="000000" w:themeColor="text1"/>
          <w:szCs w:val="28"/>
          <w14:textFill>
            <w14:solidFill>
              <w14:schemeClr w14:val="tx1"/>
            </w14:solidFill>
          </w14:textFill>
        </w:rPr>
        <w:t>1430</w:t>
      </w:r>
      <w:r>
        <w:rPr>
          <w:color w:val="000000" w:themeColor="text1"/>
          <w:szCs w:val="28"/>
          <w14:textFill>
            <w14:solidFill>
              <w14:schemeClr w14:val="tx1"/>
            </w14:solidFill>
          </w14:textFill>
        </w:rPr>
        <w:t>m</w:t>
      </w:r>
      <w:r>
        <w:rPr>
          <w:rFonts w:hint="eastAsia"/>
          <w:color w:val="000000" w:themeColor="text1"/>
          <w:szCs w:val="28"/>
          <w:lang w:val="zh-TW"/>
          <w14:textFill>
            <w14:solidFill>
              <w14:schemeClr w14:val="tx1"/>
            </w14:solidFill>
          </w14:textFill>
        </w:rPr>
        <w:t>，</w:t>
      </w:r>
      <w:r>
        <w:rPr>
          <w:color w:val="000000" w:themeColor="text1"/>
          <w:szCs w:val="28"/>
          <w:lang w:val="zh-TW" w:eastAsia="zh-TW"/>
          <w14:textFill>
            <w14:solidFill>
              <w14:schemeClr w14:val="tx1"/>
            </w14:solidFill>
          </w14:textFill>
        </w:rPr>
        <w:t>最低开</w:t>
      </w:r>
      <w:r>
        <w:rPr>
          <w:color w:val="000000" w:themeColor="text1"/>
          <w:szCs w:val="28"/>
          <w:lang w:val="zh-TW"/>
          <w14:textFill>
            <w14:solidFill>
              <w14:schemeClr w14:val="tx1"/>
            </w14:solidFill>
          </w14:textFill>
        </w:rPr>
        <w:t>采</w:t>
      </w:r>
      <w:r>
        <w:rPr>
          <w:color w:val="000000" w:themeColor="text1"/>
          <w:szCs w:val="28"/>
          <w:lang w:val="zh-TW" w:eastAsia="zh-TW"/>
          <w14:textFill>
            <w14:solidFill>
              <w14:schemeClr w14:val="tx1"/>
            </w14:solidFill>
          </w14:textFill>
        </w:rPr>
        <w:t>标</w:t>
      </w:r>
      <w:r>
        <w:rPr>
          <w:color w:val="000000" w:themeColor="text1"/>
          <w:szCs w:val="28"/>
          <w14:textFill>
            <w14:solidFill>
              <w14:schemeClr w14:val="tx1"/>
            </w14:solidFill>
          </w14:textFill>
        </w:rPr>
        <w:t>高</w:t>
      </w:r>
      <w:r>
        <w:rPr>
          <w:rFonts w:hint="eastAsia"/>
          <w:color w:val="000000" w:themeColor="text1"/>
          <w:szCs w:val="28"/>
          <w14:textFill>
            <w14:solidFill>
              <w14:schemeClr w14:val="tx1"/>
            </w14:solidFill>
          </w14:textFill>
        </w:rPr>
        <w:t>1294</w:t>
      </w:r>
      <w:r>
        <w:rPr>
          <w:color w:val="000000" w:themeColor="text1"/>
          <w:szCs w:val="28"/>
          <w14:textFill>
            <w14:solidFill>
              <w14:schemeClr w14:val="tx1"/>
            </w14:solidFill>
          </w14:textFill>
        </w:rPr>
        <w:t>m</w:t>
      </w:r>
      <w:r>
        <w:rPr>
          <w:rFonts w:hint="eastAsia"/>
          <w:color w:val="000000" w:themeColor="text1"/>
          <w:szCs w:val="28"/>
          <w:lang w:val="zh-TW"/>
          <w14:textFill>
            <w14:solidFill>
              <w14:schemeClr w14:val="tx1"/>
            </w14:solidFill>
          </w14:textFill>
        </w:rPr>
        <w:t>，</w:t>
      </w:r>
      <w:r>
        <w:rPr>
          <w:color w:val="000000" w:themeColor="text1"/>
          <w:lang w:val="zh-TW" w:eastAsia="zh-TW"/>
          <w14:textFill>
            <w14:solidFill>
              <w14:schemeClr w14:val="tx1"/>
            </w14:solidFill>
          </w14:textFill>
        </w:rPr>
        <w:t>最大高差</w:t>
      </w:r>
      <w:r>
        <w:rPr>
          <w:rFonts w:hint="eastAsia"/>
          <w:color w:val="000000" w:themeColor="text1"/>
          <w14:textFill>
            <w14:solidFill>
              <w14:schemeClr w14:val="tx1"/>
            </w14:solidFill>
          </w14:textFill>
        </w:rPr>
        <w:t>136</w:t>
      </w:r>
      <w:r>
        <w:rPr>
          <w:color w:val="000000" w:themeColor="text1"/>
          <w:lang w:val="zh-TW" w:eastAsia="zh-TW"/>
          <w14:textFill>
            <w14:solidFill>
              <w14:schemeClr w14:val="tx1"/>
            </w14:solidFill>
          </w14:textFill>
        </w:rPr>
        <w:t>m</w:t>
      </w:r>
      <w:r>
        <w:rPr>
          <w:color w:val="000000" w:themeColor="text1"/>
          <w:lang w:val="zh-TW"/>
          <w14:textFill>
            <w14:solidFill>
              <w14:schemeClr w14:val="tx1"/>
            </w14:solidFill>
          </w14:textFill>
        </w:rPr>
        <w:t>。</w:t>
      </w:r>
      <w:r>
        <w:rPr>
          <w:color w:val="000000" w:themeColor="text1"/>
          <w14:textFill>
            <w14:solidFill>
              <w14:schemeClr w14:val="tx1"/>
            </w14:solidFill>
          </w14:textFill>
        </w:rPr>
        <w:t>形成的台阶较稳定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矿区范围内目前未发生崩塌、滑坡、泥石流等地质灾害。</w:t>
      </w:r>
    </w:p>
    <w:p w14:paraId="1A8A88A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综上分析，矿山暂时未发现构成隐蔽致灾的因素。</w:t>
      </w:r>
    </w:p>
    <w:p w14:paraId="4FA8C921">
      <w:pPr>
        <w:pStyle w:val="5"/>
        <w:spacing w:after="120"/>
        <w:rPr>
          <w:color w:val="000000" w:themeColor="text1"/>
          <w14:textFill>
            <w14:solidFill>
              <w14:schemeClr w14:val="tx1"/>
            </w14:solidFill>
          </w14:textFill>
        </w:rPr>
      </w:pPr>
      <w:bookmarkStart w:id="2958" w:name="_Toc215070307"/>
      <w:bookmarkStart w:id="2959" w:name="_Toc23957"/>
      <w:r>
        <w:rPr>
          <w:rFonts w:hint="eastAsia"/>
          <w:color w:val="000000" w:themeColor="text1"/>
          <w14:textFill>
            <w14:solidFill>
              <w14:schemeClr w14:val="tx1"/>
            </w14:solidFill>
          </w14:textFill>
        </w:rPr>
        <w:t>3.9.5单元小结</w:t>
      </w:r>
      <w:bookmarkEnd w:id="2958"/>
      <w:bookmarkEnd w:id="2959"/>
    </w:p>
    <w:p w14:paraId="1938D0C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不涉及危险化学品</w:t>
      </w:r>
      <w:r>
        <w:rPr>
          <w:rFonts w:hint="eastAsia"/>
          <w:color w:val="000000" w:themeColor="text1"/>
          <w14:textFill>
            <w14:solidFill>
              <w14:schemeClr w14:val="tx1"/>
            </w14:solidFill>
          </w14:textFill>
        </w:rPr>
        <w:t>储存，</w:t>
      </w:r>
      <w:r>
        <w:rPr>
          <w:color w:val="000000" w:themeColor="text1"/>
          <w14:textFill>
            <w14:solidFill>
              <w14:schemeClr w14:val="tx1"/>
            </w14:solidFill>
          </w14:textFill>
        </w:rPr>
        <w:t>不设置爆破器材库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现场爆破器材由民爆公司负责管理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故该矿山不存在重大危险源</w:t>
      </w:r>
      <w:r>
        <w:rPr>
          <w:rFonts w:hint="eastAsia"/>
          <w:color w:val="000000" w:themeColor="text1"/>
          <w14:textFill>
            <w14:solidFill>
              <w14:schemeClr w14:val="tx1"/>
            </w14:solidFill>
          </w14:textFill>
        </w:rPr>
        <w:t>。通过金属非金属矿山重大事故隐患判定检查，矿山不涉及金属非金属矿山重大事故隐患范围。通过矿山隐蔽致灾因素评价，矿山暂时未发现构成隐蔽致灾的因素。</w:t>
      </w:r>
    </w:p>
    <w:p w14:paraId="33AD46D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下一步建议：</w:t>
      </w:r>
    </w:p>
    <w:p w14:paraId="19829D7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建议矿山严格按照《国家矿山安全监察局综合司关于进一步加强矿山隐蔽致灾因素普查工作的通知》（矿安综函</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259号，2024年11月1日起实施）要求，积极开展矿山隐蔽致灾因素普查工作。严格按照规范要求完成矿山初步设计和进行生产。加强安全管理，按时开展边坡安全检查监测和边坡稳定性分析。</w:t>
      </w:r>
    </w:p>
    <w:p w14:paraId="42DE9F8A">
      <w:pPr>
        <w:pStyle w:val="3"/>
        <w:jc w:val="left"/>
        <w:rPr>
          <w:rFonts w:hint="default"/>
          <w:color w:val="000000" w:themeColor="text1"/>
          <w14:textFill>
            <w14:solidFill>
              <w14:schemeClr w14:val="tx1"/>
            </w14:solidFill>
          </w14:textFill>
        </w:rPr>
      </w:pPr>
      <w:bookmarkStart w:id="2960" w:name="_Toc215070308"/>
      <w:r>
        <w:rPr>
          <w:color w:val="000000" w:themeColor="text1"/>
          <w14:textFill>
            <w14:solidFill>
              <w14:schemeClr w14:val="tx1"/>
            </w14:solidFill>
          </w14:textFill>
        </w:rPr>
        <w:t>4.安全对策措施建议</w:t>
      </w:r>
      <w:bookmarkEnd w:id="2929"/>
      <w:bookmarkEnd w:id="2930"/>
      <w:bookmarkEnd w:id="2931"/>
      <w:bookmarkEnd w:id="2932"/>
      <w:bookmarkEnd w:id="2933"/>
      <w:bookmarkEnd w:id="2934"/>
      <w:bookmarkEnd w:id="2935"/>
      <w:bookmarkEnd w:id="2936"/>
      <w:bookmarkEnd w:id="2937"/>
      <w:bookmarkEnd w:id="2938"/>
      <w:bookmarkEnd w:id="2939"/>
      <w:bookmarkEnd w:id="2960"/>
    </w:p>
    <w:p w14:paraId="719B4067">
      <w:pPr>
        <w:pStyle w:val="4"/>
        <w:spacing w:before="240" w:after="120"/>
        <w:rPr>
          <w:color w:val="000000" w:themeColor="text1"/>
          <w:szCs w:val="22"/>
          <w14:textFill>
            <w14:solidFill>
              <w14:schemeClr w14:val="tx1"/>
            </w14:solidFill>
          </w14:textFill>
        </w:rPr>
      </w:pPr>
      <w:bookmarkStart w:id="2961" w:name="_Toc23073"/>
      <w:bookmarkStart w:id="2962" w:name="_Toc215070309"/>
      <w:bookmarkStart w:id="2963" w:name="_Toc5222"/>
      <w:bookmarkStart w:id="2964" w:name="_Toc4125"/>
      <w:bookmarkStart w:id="2965" w:name="_Toc9033"/>
      <w:bookmarkStart w:id="2966" w:name="_Toc21694"/>
      <w:bookmarkStart w:id="2967" w:name="_Toc25425"/>
      <w:bookmarkStart w:id="2968" w:name="_Toc24983"/>
      <w:bookmarkStart w:id="2969" w:name="_Toc493"/>
      <w:bookmarkStart w:id="2970" w:name="_Toc9368"/>
      <w:bookmarkStart w:id="2971" w:name="_Toc17207"/>
      <w:bookmarkStart w:id="2972" w:name="_Toc21488"/>
      <w:bookmarkStart w:id="2973" w:name="_Toc17429"/>
      <w:bookmarkStart w:id="2974" w:name="_Toc7085"/>
      <w:bookmarkStart w:id="2975" w:name="_Toc13286"/>
      <w:bookmarkStart w:id="2976" w:name="_Toc299920346"/>
      <w:bookmarkStart w:id="2977" w:name="_Toc23002"/>
      <w:bookmarkStart w:id="2978" w:name="_Toc392680794"/>
      <w:r>
        <w:rPr>
          <w:rFonts w:hint="eastAsia"/>
          <w:color w:val="000000" w:themeColor="text1"/>
          <w14:textFill>
            <w14:solidFill>
              <w14:schemeClr w14:val="tx1"/>
            </w14:solidFill>
          </w14:textFill>
        </w:rPr>
        <w:t>4.1</w:t>
      </w:r>
      <w:bookmarkStart w:id="2979" w:name="_Toc4375"/>
      <w:bookmarkStart w:id="2980" w:name="_Toc26519"/>
      <w:bookmarkStart w:id="2981" w:name="_Toc2123"/>
      <w:bookmarkStart w:id="2982" w:name="_Toc131081299"/>
      <w:r>
        <w:rPr>
          <w:color w:val="000000" w:themeColor="text1"/>
          <w:szCs w:val="22"/>
          <w14:textFill>
            <w14:solidFill>
              <w14:schemeClr w14:val="tx1"/>
            </w14:solidFill>
          </w14:textFill>
        </w:rPr>
        <w:t xml:space="preserve"> 存在</w:t>
      </w:r>
      <w:r>
        <w:rPr>
          <w:rFonts w:hint="eastAsia"/>
          <w:color w:val="000000" w:themeColor="text1"/>
          <w:szCs w:val="22"/>
          <w14:textFill>
            <w14:solidFill>
              <w14:schemeClr w14:val="tx1"/>
            </w14:solidFill>
          </w14:textFill>
        </w:rPr>
        <w:t>的主要</w:t>
      </w:r>
      <w:r>
        <w:rPr>
          <w:color w:val="000000" w:themeColor="text1"/>
          <w:szCs w:val="22"/>
          <w14:textFill>
            <w14:solidFill>
              <w14:schemeClr w14:val="tx1"/>
            </w14:solidFill>
          </w14:textFill>
        </w:rPr>
        <w:t>问题</w:t>
      </w:r>
      <w:bookmarkEnd w:id="2961"/>
      <w:bookmarkEnd w:id="2962"/>
      <w:bookmarkEnd w:id="2979"/>
      <w:bookmarkEnd w:id="2980"/>
      <w:bookmarkEnd w:id="2981"/>
      <w:bookmarkEnd w:id="2982"/>
    </w:p>
    <w:p w14:paraId="6C02B65D">
      <w:pPr>
        <w:pStyle w:val="18"/>
        <w:spacing w:after="0"/>
        <w:ind w:firstLine="560"/>
        <w:rPr>
          <w:color w:val="000000" w:themeColor="text1"/>
          <w:szCs w:val="28"/>
          <w14:textFill>
            <w14:solidFill>
              <w14:schemeClr w14:val="tx1"/>
            </w14:solidFill>
          </w14:textFill>
        </w:rPr>
      </w:pPr>
      <w:bookmarkStart w:id="2983" w:name="_Toc11839"/>
      <w:r>
        <w:rPr>
          <w:color w:val="000000" w:themeColor="text1"/>
          <w:szCs w:val="28"/>
          <w14:textFill>
            <w14:solidFill>
              <w14:schemeClr w14:val="tx1"/>
            </w14:solidFill>
          </w14:textFill>
        </w:rPr>
        <w:t>（1）矿区由于受勘探深度的限制，目前对矿体的控制程度不高，储量核实与矿体实际产状存在一定的差异，对矿体的开采带来一定的不确定性。建议矿山重视、加强基建探矿及生产探矿地质工作，基建及生产过程中在满足储量升级的同时，进一步查清矿床工程、水文、环境地质条件。</w:t>
      </w:r>
    </w:p>
    <w:p w14:paraId="3F1AECDF">
      <w:pPr>
        <w:pStyle w:val="18"/>
        <w:spacing w:after="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（2）矿区周边有乡村公路通过，在爆破警戒范围内，开采时应采取相应安全措施，确保公路运输的安全。</w:t>
      </w:r>
    </w:p>
    <w:p w14:paraId="06FDEDD3">
      <w:pPr>
        <w:pStyle w:val="18"/>
        <w:spacing w:after="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（3）矿区地形坡度较陡，采用公路开拓汽车运输，运输公路弯急、坡陡，危险路段外侧应设置防护设施。车辆在矿区道路上宜中速行驶，急弯、陡坡、危险地段应限速行驶。</w:t>
      </w:r>
    </w:p>
    <w:p w14:paraId="56995DB7">
      <w:pPr>
        <w:pStyle w:val="18"/>
        <w:spacing w:after="0"/>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（4）矿山应加强环保意识，应注意废渣及废水对周围环境所造成的影响，加强综合治理和环境的保护工作，尽量减少矿山开采对自然环境的破坏。</w:t>
      </w:r>
    </w:p>
    <w:p w14:paraId="54AD19CF">
      <w:pPr>
        <w:pStyle w:val="4"/>
        <w:spacing w:before="240" w:after="120"/>
        <w:rPr>
          <w:color w:val="000000" w:themeColor="text1"/>
          <w14:textFill>
            <w14:solidFill>
              <w14:schemeClr w14:val="tx1"/>
            </w14:solidFill>
          </w14:textFill>
        </w:rPr>
      </w:pPr>
      <w:bookmarkStart w:id="2984" w:name="_Toc215070310"/>
      <w:r>
        <w:rPr>
          <w:rFonts w:hint="eastAsia"/>
          <w:color w:val="000000" w:themeColor="text1"/>
          <w14:textFill>
            <w14:solidFill>
              <w14:schemeClr w14:val="tx1"/>
            </w14:solidFill>
          </w14:textFill>
        </w:rPr>
        <w:t>4.2可行性研究报告</w:t>
      </w:r>
      <w:bookmarkEnd w:id="2963"/>
      <w:bookmarkEnd w:id="2964"/>
      <w:bookmarkEnd w:id="2965"/>
      <w:bookmarkEnd w:id="2966"/>
      <w:bookmarkEnd w:id="2967"/>
      <w:bookmarkEnd w:id="2968"/>
      <w:bookmarkEnd w:id="2969"/>
      <w:bookmarkEnd w:id="2970"/>
      <w:bookmarkEnd w:id="2971"/>
      <w:bookmarkEnd w:id="2972"/>
      <w:r>
        <w:rPr>
          <w:rFonts w:hint="eastAsia"/>
          <w:color w:val="000000" w:themeColor="text1"/>
          <w14:textFill>
            <w14:solidFill>
              <w14:schemeClr w14:val="tx1"/>
            </w14:solidFill>
          </w14:textFill>
        </w:rPr>
        <w:t>提出的</w:t>
      </w:r>
      <w:r>
        <w:rPr>
          <w:color w:val="000000" w:themeColor="text1"/>
          <w14:textFill>
            <w14:solidFill>
              <w14:schemeClr w14:val="tx1"/>
            </w14:solidFill>
          </w14:textFill>
        </w:rPr>
        <w:t>安全对策措施</w:t>
      </w:r>
      <w:bookmarkEnd w:id="2983"/>
      <w:bookmarkEnd w:id="2984"/>
    </w:p>
    <w:bookmarkEnd w:id="2973"/>
    <w:bookmarkEnd w:id="2974"/>
    <w:bookmarkEnd w:id="2975"/>
    <w:bookmarkEnd w:id="2976"/>
    <w:bookmarkEnd w:id="2977"/>
    <w:bookmarkEnd w:id="2978"/>
    <w:p w14:paraId="0FC3FC5C">
      <w:pPr>
        <w:pStyle w:val="5"/>
        <w:spacing w:after="120"/>
        <w:rPr>
          <w:color w:val="000000" w:themeColor="text1"/>
          <w14:textFill>
            <w14:solidFill>
              <w14:schemeClr w14:val="tx1"/>
            </w14:solidFill>
          </w14:textFill>
        </w:rPr>
      </w:pPr>
      <w:bookmarkStart w:id="2985" w:name="_Toc215070311"/>
      <w:bookmarkStart w:id="2986" w:name="_Toc14897"/>
      <w:r>
        <w:rPr>
          <w:rFonts w:hint="eastAsia"/>
          <w:color w:val="000000" w:themeColor="text1"/>
          <w14:textFill>
            <w14:solidFill>
              <w14:schemeClr w14:val="tx1"/>
            </w14:solidFill>
          </w14:textFill>
        </w:rPr>
        <w:t>4.2.1总平面布置单元安全对策措施</w:t>
      </w:r>
      <w:bookmarkEnd w:id="2985"/>
      <w:bookmarkEnd w:id="2986"/>
    </w:p>
    <w:p w14:paraId="6CB506F2">
      <w:pPr>
        <w:adjustRightInd w:val="0"/>
        <w:snapToGrid w:val="0"/>
        <w:ind w:firstLine="560"/>
        <w:jc w:val="both"/>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结合企业所在区域的技术经济、自然条件等进行编制</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应满足生产、运输、防震、防洪、防火、安全、卫生、环境保护和职工生活设施的需要</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经多方案技术经济比较</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择优确定。</w:t>
      </w:r>
    </w:p>
    <w:p w14:paraId="77D87496">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符合城镇总体规划的要求。与城镇和邻近工业企业在生产、交通运输、动力</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公用、修理、综合利用及生活设施等方面协作。</w:t>
      </w:r>
    </w:p>
    <w:p w14:paraId="45FD964D">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厂区、居住区、交通运输、动力公用设施、防洪排涝、废料场、尾矿场、废石场、环境保护工程和综合利用场地等</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应同时规划。</w:t>
      </w:r>
    </w:p>
    <w:p w14:paraId="2C7BF2E6">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企业分期建设时，总体规划应正确处理近期和远期的关系。近期集中布置，远期预留发展，分期征地，严禁先征待用。</w:t>
      </w:r>
    </w:p>
    <w:p w14:paraId="2A221CC0">
      <w:pPr>
        <w:adjustRightInd w:val="0"/>
        <w:snapToGrid w:val="0"/>
        <w:ind w:firstLine="5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对产生有害气体、烟、雾、粉尘等有害物质</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采取治理措施</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有害物质排放的浓度</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必须符合现行国家标准《工业企业设计卫生标准》</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GBZ1-2010</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的规定。</w:t>
      </w:r>
      <w:bookmarkStart w:id="2987" w:name="_Toc105730657"/>
      <w:bookmarkStart w:id="2988" w:name="_Toc153698819"/>
      <w:bookmarkStart w:id="2989" w:name="_Toc105676292"/>
      <w:bookmarkStart w:id="2990" w:name="_Toc105675891"/>
      <w:bookmarkStart w:id="2991" w:name="_Toc105675411"/>
      <w:bookmarkStart w:id="2992" w:name="_Toc392680783"/>
      <w:bookmarkStart w:id="2993" w:name="_Toc21968"/>
      <w:bookmarkStart w:id="2994" w:name="_Toc3606"/>
      <w:bookmarkStart w:id="2995" w:name="_Toc30545"/>
      <w:bookmarkStart w:id="2996" w:name="_Toc24399"/>
    </w:p>
    <w:p w14:paraId="79B5B841">
      <w:pPr>
        <w:pStyle w:val="5"/>
        <w:spacing w:after="120"/>
        <w:rPr>
          <w:color w:val="000000" w:themeColor="text1"/>
          <w14:textFill>
            <w14:solidFill>
              <w14:schemeClr w14:val="tx1"/>
            </w14:solidFill>
          </w14:textFill>
        </w:rPr>
      </w:pPr>
      <w:bookmarkStart w:id="2997" w:name="_Toc23589"/>
      <w:bookmarkStart w:id="2998" w:name="_Toc215070312"/>
      <w:r>
        <w:rPr>
          <w:rFonts w:hint="eastAsia"/>
          <w:color w:val="000000" w:themeColor="text1"/>
          <w14:textFill>
            <w14:solidFill>
              <w14:schemeClr w14:val="tx1"/>
            </w14:solidFill>
          </w14:textFill>
        </w:rPr>
        <w:t>4.2.2开拓运输单元安全对策措施</w:t>
      </w:r>
      <w:bookmarkEnd w:id="2997"/>
      <w:bookmarkEnd w:id="2998"/>
    </w:p>
    <w:p w14:paraId="4B6A92E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矿山道路危险地段设置护堤，高度为汽车轮胎直径的2/5-3/5，底部宽度不应小于3m。</w:t>
      </w:r>
    </w:p>
    <w:p w14:paraId="529229A4">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2</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矿山长距离坡道运输系统，在适当位置设置缓坡道，危险路段沿公路外侧设立安全桩或安全墙。</w:t>
      </w:r>
    </w:p>
    <w:p w14:paraId="4C54593C">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矿用汽车在作业时，其制动、转向系统和安全装置必须完好。应定期检验其可靠性，大型自卸车应设示宽灯和标志。</w:t>
      </w:r>
    </w:p>
    <w:p w14:paraId="5AF038C6">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4</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矿内各种汽车道路，应根据具体情况（弯度、坡度、危险地段）设置反光路标和限速标志。</w:t>
      </w:r>
    </w:p>
    <w:p w14:paraId="4CBEE5EF">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严禁采矿汽车在矿内各种道路上超速行驶，同类汽车不得超车。矿内各种车辆（正在作业的平路机除外）必须为采剥汽车让行。</w:t>
      </w:r>
    </w:p>
    <w:p w14:paraId="5287F224">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6</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矿山道路的宽度应保证通行、会车等的安全要求。受采掘条件限制、达不到规定的宽度时，必须视道路距离设置相应数量的会车线。</w:t>
      </w:r>
    </w:p>
    <w:p w14:paraId="446133A2">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7</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雾天或烟尘影响视线时，应打开车前黄色警示灯或大灯，并靠边减速行驶，前、后车距不得小于30m；能见度不足30m或雨、雪天气危及行车安全时，应停止作业。</w:t>
      </w:r>
    </w:p>
    <w:p w14:paraId="60069E8C">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8</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自卸车不得在矿山道路拖挂其他车辆；必须拖挂时，应采取安全措施，并设专人指挥监护。</w:t>
      </w:r>
    </w:p>
    <w:p w14:paraId="78FD52BF">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9</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待进入装车位置的汽车必须停在挖掘机最大回转半径范围之外，正在装车的汽车必须停在挖掘机尾部回转半径之外。</w:t>
      </w:r>
    </w:p>
    <w:p w14:paraId="295C6D30">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10</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正在装载的汽车必须制动，司机不得将身体的任何部位伸出驾驶室外，严禁其他人员上、下车和检查维修车辆。</w:t>
      </w:r>
    </w:p>
    <w:p w14:paraId="59D59165">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11</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汽车必须在挖掘机发出信号后，方可</w:t>
      </w:r>
      <w:r>
        <w:rPr>
          <w:rFonts w:hint="eastAsia"/>
          <w:color w:val="000000" w:themeColor="text1"/>
          <w:szCs w:val="28"/>
          <w14:textFill>
            <w14:solidFill>
              <w14:schemeClr w14:val="tx1"/>
            </w14:solidFill>
          </w14:textFill>
        </w:rPr>
        <w:t>进入</w:t>
      </w:r>
      <w:r>
        <w:rPr>
          <w:color w:val="000000" w:themeColor="text1"/>
          <w:szCs w:val="28"/>
          <w14:textFill>
            <w14:solidFill>
              <w14:schemeClr w14:val="tx1"/>
            </w14:solidFill>
          </w14:textFill>
        </w:rPr>
        <w:t>或驶出装车地点。</w:t>
      </w:r>
    </w:p>
    <w:p w14:paraId="7137AA0D">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12</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汽车排队等待装车时，车与车之间必须保持一定的安全距离。</w:t>
      </w:r>
    </w:p>
    <w:p w14:paraId="7F83B72B">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13</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卸料平台应有信号、安全标志、照明和足够的调车宽度。卸料点必须有可靠的挡车设施。不同类型汽车应有各自卸料点，使用同一个卸料点时，应保证大型车安全。</w:t>
      </w:r>
    </w:p>
    <w:p w14:paraId="7B16F5F6">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14</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杜绝酒后驾车，加强员工教育，严禁超速行驶。</w:t>
      </w:r>
    </w:p>
    <w:p w14:paraId="3AE6DC9F">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15</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矿山道路应定期维护，必要时委派人员到场进行专职或兼职监管。</w:t>
      </w:r>
    </w:p>
    <w:p w14:paraId="45AA9C26">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16</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矿山汽车司机应熟悉矿山运输线路，具备相关的运政驾照方可上岗。</w:t>
      </w:r>
    </w:p>
    <w:p w14:paraId="3D353638">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17</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矿山机械设备驾驶人员应定期体检，以保证矿山运输的安全。</w:t>
      </w:r>
    </w:p>
    <w:p w14:paraId="3D6DE912">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18</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矿山运输车辆驾驶员必须经正规驾驶员培训毕业，持证上岗。</w:t>
      </w:r>
    </w:p>
    <w:p w14:paraId="3C933281">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t>19</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运输车辆必须按期进行检验，平时注意维修、保养，未经检验合格和带病车禁止参加矿山运输。</w:t>
      </w:r>
    </w:p>
    <w:p w14:paraId="760545F8">
      <w:pPr>
        <w:pStyle w:val="5"/>
        <w:spacing w:after="120"/>
        <w:rPr>
          <w:color w:val="000000" w:themeColor="text1"/>
          <w14:textFill>
            <w14:solidFill>
              <w14:schemeClr w14:val="tx1"/>
            </w14:solidFill>
          </w14:textFill>
        </w:rPr>
      </w:pPr>
      <w:bookmarkStart w:id="2999" w:name="_Toc215070313"/>
      <w:r>
        <w:rPr>
          <w:rFonts w:hint="eastAsia"/>
          <w:color w:val="000000" w:themeColor="text1"/>
          <w14:textFill>
            <w14:solidFill>
              <w14:schemeClr w14:val="tx1"/>
            </w14:solidFill>
          </w14:textFill>
        </w:rPr>
        <w:t>4.1.1总平面布置单元需补充完善的内容</w:t>
      </w:r>
      <w:bookmarkEnd w:id="2999"/>
    </w:p>
    <w:p w14:paraId="435A236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1、应明确采场爆破作业时，对200m警戒区域范围内的办公局部设施内的人员和财产的安全处置措施。</w:t>
      </w:r>
    </w:p>
    <w:p w14:paraId="740CAD8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2、按照《工业企业总平面设计规范》GB50187-2012第5.1.2条的要求，明确配电室、机修车间、材料房、卸矿平台等辅助设施建筑基础结构形式。</w:t>
      </w:r>
    </w:p>
    <w:p w14:paraId="256A446D">
      <w:pPr>
        <w:pStyle w:val="5"/>
        <w:spacing w:after="120"/>
        <w:rPr>
          <w:color w:val="000000" w:themeColor="text1"/>
          <w14:textFill>
            <w14:solidFill>
              <w14:schemeClr w14:val="tx1"/>
            </w14:solidFill>
          </w14:textFill>
        </w:rPr>
      </w:pPr>
      <w:bookmarkStart w:id="3000" w:name="_Toc215070314"/>
      <w:r>
        <w:rPr>
          <w:rFonts w:hint="eastAsia"/>
          <w:color w:val="000000" w:themeColor="text1"/>
          <w14:textFill>
            <w14:solidFill>
              <w14:schemeClr w14:val="tx1"/>
            </w14:solidFill>
          </w14:textFill>
        </w:rPr>
        <w:t>4.1.2开拓运输单元需补充完善的内容</w:t>
      </w:r>
      <w:bookmarkEnd w:id="3000"/>
    </w:p>
    <w:p w14:paraId="78CFD38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1、按照《厂矿道路设计规范》（GBJ22-87）第2.1.6条、第2.4.1条的要求，对运输道路下部是否设置挡墙、边坡加固措施、挖（填）方道路边坡护坡措施、道路边坡放坡比、填方道路施工质量要求等进行设计说明。</w:t>
      </w:r>
    </w:p>
    <w:p w14:paraId="57F3ACC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2、按照《厂矿道路设计规范》（GBJ22-87）第2.4.1条、第2.4.4条、第2.4.8条、第2.4.14条、第4.1.2条的要求，补充矿山道路圆曲线半径及加宽值设计，补充运输道路路基与路肩宽度及路面建设标准。</w:t>
      </w:r>
    </w:p>
    <w:p w14:paraId="3A381F24">
      <w:pPr>
        <w:pStyle w:val="5"/>
        <w:spacing w:after="120"/>
        <w:rPr>
          <w:color w:val="000000" w:themeColor="text1"/>
          <w14:textFill>
            <w14:solidFill>
              <w14:schemeClr w14:val="tx1"/>
            </w14:solidFill>
          </w14:textFill>
        </w:rPr>
      </w:pPr>
      <w:bookmarkStart w:id="3001" w:name="_Toc215070315"/>
      <w:r>
        <w:rPr>
          <w:rFonts w:hint="eastAsia"/>
          <w:color w:val="000000" w:themeColor="text1"/>
          <w14:textFill>
            <w14:solidFill>
              <w14:schemeClr w14:val="tx1"/>
            </w14:solidFill>
          </w14:textFill>
        </w:rPr>
        <w:t>4.1.3供配电设施及通讯单元需补充完善的内容</w:t>
      </w:r>
      <w:bookmarkEnd w:id="3001"/>
    </w:p>
    <w:p w14:paraId="160F818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按照《金属非金属矿山安全规程》（GB16423-2020）第5.6.1.7条、第5.6.3.3条、第5.6.5.2条的要求，对室外变压器周围设置固定围栏或围墙、对配电室应设置急照明灯具、对配电室内设置相应的防雷、防火、防止小动物窜入的措施等进行说明。</w:t>
      </w:r>
    </w:p>
    <w:p w14:paraId="6BE986B0">
      <w:pPr>
        <w:pStyle w:val="5"/>
        <w:spacing w:after="120"/>
        <w:rPr>
          <w:color w:val="000000" w:themeColor="text1"/>
          <w14:textFill>
            <w14:solidFill>
              <w14:schemeClr w14:val="tx1"/>
            </w14:solidFill>
          </w14:textFill>
        </w:rPr>
      </w:pPr>
      <w:bookmarkStart w:id="3002" w:name="_Toc215070316"/>
      <w:r>
        <w:rPr>
          <w:rFonts w:hint="eastAsia"/>
          <w:color w:val="000000" w:themeColor="text1"/>
          <w14:textFill>
            <w14:solidFill>
              <w14:schemeClr w14:val="tx1"/>
            </w14:solidFill>
          </w14:textFill>
        </w:rPr>
        <w:t>4.1.4防排水防灭火单元需补充完善的内容</w:t>
      </w:r>
      <w:bookmarkEnd w:id="3002"/>
    </w:p>
    <w:p w14:paraId="78E0FBE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矿山南东侧形成得采坑</w:t>
      </w:r>
      <w:r>
        <w:rPr>
          <w:color w:val="000000" w:themeColor="text1"/>
          <w14:textFill>
            <w14:solidFill>
              <w14:schemeClr w14:val="tx1"/>
            </w14:solidFill>
          </w14:textFill>
        </w:rPr>
        <w:t>容易积水，会发生溺水等伤害事故。在采坑最低出设置汇水池，采用机械排水将采坑汇水排除场外</w:t>
      </w:r>
      <w:r>
        <w:rPr>
          <w:rFonts w:hint="eastAsia"/>
          <w:color w:val="000000" w:themeColor="text1"/>
          <w14:textFill>
            <w14:solidFill>
              <w14:schemeClr w14:val="tx1"/>
            </w14:solidFill>
          </w14:textFill>
        </w:rPr>
        <w:t>。安全设施设计中应补充估算最大积水量和排水设备规格和型号以及发生积水时的应急处置措施。</w:t>
      </w:r>
    </w:p>
    <w:p w14:paraId="6A2DCC2D">
      <w:pPr>
        <w:pStyle w:val="5"/>
        <w:spacing w:after="120"/>
        <w:rPr>
          <w:color w:val="000000" w:themeColor="text1"/>
          <w14:textFill>
            <w14:solidFill>
              <w14:schemeClr w14:val="tx1"/>
            </w14:solidFill>
          </w14:textFill>
        </w:rPr>
      </w:pPr>
      <w:bookmarkStart w:id="3003" w:name="_Toc215070317"/>
      <w:r>
        <w:rPr>
          <w:rFonts w:hint="eastAsia"/>
          <w:color w:val="000000" w:themeColor="text1"/>
          <w14:textFill>
            <w14:solidFill>
              <w14:schemeClr w14:val="tx1"/>
            </w14:solidFill>
          </w14:textFill>
        </w:rPr>
        <w:t>4.1.5安全管理及其他单元需补充完善的内容</w:t>
      </w:r>
      <w:bookmarkEnd w:id="3003"/>
    </w:p>
    <w:p w14:paraId="79FEB7C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1、按照《金属非金属矿山安全规程》（GB16423-2020）第5.3.1条的要求，对卸矿口设置卸料指示和报警信号装置、视频监控设施、安全车挡、喷雾降尘措施等进行说明。</w:t>
      </w:r>
    </w:p>
    <w:p w14:paraId="3BDD60E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按照《金属非金属矿山安全规程》GBl6423-2020第5.4.2.1条、第5.4.2.2条、第5.4.2.6条、第5.4.2.7条对自卸汽车装载、运行、现场检修车辆时，应采取可靠的安全措施进行相关要求，明确不应用自卸汽车运载易燃、易爆物品。</w:t>
      </w:r>
    </w:p>
    <w:p w14:paraId="36DB517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3、按照《爆破安全规程》（GB6722-2014）的要求，明确和完善爆破操作规程的各项要求。与有资质的民爆企业签订合法有效的服务合同。并做好爆破作业的安全警戒、人员疏散、安全管理。</w:t>
      </w:r>
    </w:p>
    <w:p w14:paraId="16D10A0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按照《中华人民共和国安全生产法》第八十一条，《金属非金属矿山安全规程》GB16423-2020第5.2.4.7条、第5.5.1.8条的要求，企业应及时修订本单位生产安全事故应急预案（包含综合应急预案、专项应急预案、现场处置方案），通过专家评审，到当地应急管理局进行备案，并定期组织演练。</w:t>
      </w:r>
    </w:p>
    <w:p w14:paraId="6C79EF60">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5、按照《关于加强非煤矿山安全生产工作的指导意见的通知》（矿安〔2022〕4号）第十条的要求，应当配置注册安全工程师从事安全生产管理工作。</w:t>
      </w:r>
    </w:p>
    <w:p w14:paraId="1CE1315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6、按照《关于加强非煤矿山安全生产工作的指导意见的通知》（矿安〔2022〕4号）第十一条的要求，应配置采矿、地质、机电等专业技术人员。</w:t>
      </w:r>
    </w:p>
    <w:p w14:paraId="062F5717">
      <w:pPr>
        <w:pStyle w:val="18"/>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w:t>
      </w:r>
      <w:bookmarkStart w:id="3004" w:name="_Toc19622"/>
      <w:bookmarkStart w:id="3005" w:name="_Toc27618"/>
      <w:bookmarkStart w:id="3006" w:name="_Toc21341"/>
      <w:r>
        <w:rPr>
          <w:rFonts w:hint="eastAsia"/>
          <w:color w:val="000000" w:themeColor="text1"/>
          <w14:textFill>
            <w14:solidFill>
              <w14:schemeClr w14:val="tx1"/>
            </w14:solidFill>
          </w14:textFill>
        </w:rPr>
        <w:t>矿权边界设置围栏网，防止无关人畜进入，发生安全事故。</w:t>
      </w:r>
      <w:bookmarkEnd w:id="3004"/>
      <w:bookmarkEnd w:id="3005"/>
      <w:bookmarkEnd w:id="3006"/>
    </w:p>
    <w:p w14:paraId="612CB777">
      <w:pPr>
        <w:pStyle w:val="17"/>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8、加强柴油及使用柴油设备的安全管理。</w:t>
      </w:r>
    </w:p>
    <w:p w14:paraId="0B872D38">
      <w:pPr>
        <w:pStyle w:val="4"/>
        <w:spacing w:before="240" w:after="120"/>
        <w:rPr>
          <w:color w:val="000000" w:themeColor="text1"/>
          <w14:textFill>
            <w14:solidFill>
              <w14:schemeClr w14:val="tx1"/>
            </w14:solidFill>
          </w14:textFill>
        </w:rPr>
      </w:pPr>
      <w:bookmarkStart w:id="3007" w:name="_Toc6249"/>
      <w:bookmarkStart w:id="3008" w:name="_Toc14485"/>
      <w:bookmarkStart w:id="3009" w:name="_Toc27745"/>
      <w:bookmarkStart w:id="3010" w:name="_Toc31356"/>
      <w:bookmarkStart w:id="3011" w:name="_Toc2579"/>
      <w:bookmarkStart w:id="3012" w:name="_Toc30941"/>
      <w:bookmarkStart w:id="3013" w:name="_Toc5315"/>
      <w:bookmarkStart w:id="3014" w:name="_Toc23013"/>
      <w:bookmarkStart w:id="3015" w:name="_Toc921"/>
      <w:bookmarkStart w:id="3016" w:name="_Toc215070318"/>
      <w:bookmarkStart w:id="3017" w:name="_Toc17497"/>
      <w:r>
        <w:rPr>
          <w:rFonts w:hint="eastAsia"/>
          <w:color w:val="000000" w:themeColor="text1"/>
          <w14:textFill>
            <w14:solidFill>
              <w14:schemeClr w14:val="tx1"/>
            </w14:solidFill>
          </w14:textFill>
        </w:rPr>
        <w:t>4.2安全预评价提出的安全对策措施</w:t>
      </w:r>
      <w:bookmarkEnd w:id="2987"/>
      <w:bookmarkEnd w:id="2988"/>
      <w:bookmarkEnd w:id="2989"/>
      <w:bookmarkEnd w:id="2990"/>
      <w:bookmarkEnd w:id="2991"/>
      <w:r>
        <w:rPr>
          <w:rFonts w:hint="eastAsia"/>
          <w:color w:val="000000" w:themeColor="text1"/>
          <w14:textFill>
            <w14:solidFill>
              <w14:schemeClr w14:val="tx1"/>
            </w14:solidFill>
          </w14:textFill>
        </w:rPr>
        <w:t>及建议</w:t>
      </w:r>
      <w:bookmarkEnd w:id="2992"/>
      <w:bookmarkEnd w:id="2993"/>
      <w:bookmarkEnd w:id="2994"/>
      <w:bookmarkEnd w:id="2995"/>
      <w:bookmarkEnd w:id="2996"/>
      <w:bookmarkEnd w:id="3007"/>
      <w:bookmarkEnd w:id="3008"/>
      <w:bookmarkEnd w:id="3009"/>
      <w:bookmarkEnd w:id="3010"/>
      <w:bookmarkEnd w:id="3011"/>
      <w:bookmarkEnd w:id="3012"/>
      <w:bookmarkEnd w:id="3013"/>
      <w:bookmarkEnd w:id="3014"/>
      <w:bookmarkEnd w:id="3015"/>
      <w:bookmarkEnd w:id="3016"/>
      <w:bookmarkEnd w:id="3017"/>
    </w:p>
    <w:p w14:paraId="5BDE80C7">
      <w:pPr>
        <w:pStyle w:val="5"/>
        <w:spacing w:after="120"/>
        <w:rPr>
          <w:color w:val="000000" w:themeColor="text1"/>
          <w14:textFill>
            <w14:solidFill>
              <w14:schemeClr w14:val="tx1"/>
            </w14:solidFill>
          </w14:textFill>
        </w:rPr>
      </w:pPr>
      <w:bookmarkStart w:id="3018" w:name="_Toc24111"/>
      <w:bookmarkStart w:id="3019" w:name="_Toc22041"/>
      <w:bookmarkStart w:id="3020" w:name="_Toc29853"/>
      <w:bookmarkStart w:id="3021" w:name="_Toc3379"/>
      <w:bookmarkStart w:id="3022" w:name="_Toc1514"/>
      <w:bookmarkStart w:id="3023" w:name="_Toc5628"/>
      <w:bookmarkStart w:id="3024" w:name="_Toc19276"/>
      <w:bookmarkStart w:id="3025" w:name="_Toc9955"/>
      <w:bookmarkStart w:id="3026" w:name="_Toc392680785"/>
      <w:bookmarkStart w:id="3027" w:name="_Toc16333"/>
      <w:bookmarkStart w:id="3028" w:name="_Toc4385"/>
      <w:bookmarkStart w:id="3029" w:name="_Toc28821"/>
      <w:bookmarkStart w:id="3030" w:name="_Toc153698821"/>
      <w:bookmarkStart w:id="3031" w:name="_Toc32582"/>
      <w:bookmarkStart w:id="3032" w:name="_Toc215070319"/>
      <w:bookmarkStart w:id="3033" w:name="_Toc28733"/>
      <w:bookmarkStart w:id="3034" w:name="_Toc105675413"/>
      <w:bookmarkStart w:id="3035" w:name="_Toc105730659"/>
      <w:bookmarkStart w:id="3036" w:name="_Toc105676294"/>
      <w:bookmarkStart w:id="3037" w:name="_Toc105675893"/>
      <w:bookmarkStart w:id="3038" w:name="_Toc147382296"/>
      <w:r>
        <w:rPr>
          <w:rFonts w:hint="eastAsia"/>
          <w:color w:val="000000" w:themeColor="text1"/>
          <w14:textFill>
            <w14:solidFill>
              <w14:schemeClr w14:val="tx1"/>
            </w14:solidFill>
          </w14:textFill>
        </w:rPr>
        <w:t>4.2.1总平面布置单元安全对策措施及建议</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01FF3E6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1、矿区周围为山林，会存在有村民进入活动，建议矿权边界设置围栏网，防止无关人畜进入，发生安全事故。</w:t>
      </w:r>
    </w:p>
    <w:p w14:paraId="380A467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2、矿山在开采过程中进行爆破作业时，应做好相应的爆破警戒工作，避免产生的爆轰波、爆破飞石等对矿区周围山林采笋人员和下游村民散户、乡道过往车辆等造成伤害。</w:t>
      </w:r>
    </w:p>
    <w:p w14:paraId="7D3E3AE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3、在矿山爆破警戒线区域设置相应的爆破警戒标识，将爆破时间范围对外界进行公示告知，以便能及时了解矿山爆破作业情况。</w:t>
      </w:r>
    </w:p>
    <w:p w14:paraId="576630B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4、定期对采场下游边坡滚石情况进行检查清理，发现有不稳固浮石，应及时清理，避免对下游村民散户、乡道过往车辆等造成伤害。</w:t>
      </w:r>
    </w:p>
    <w:p w14:paraId="0668C2DE">
      <w:pPr>
        <w:adjustRightInd w:val="0"/>
        <w:snapToGrid w:val="0"/>
        <w:spacing w:line="500" w:lineRule="exact"/>
        <w:ind w:firstLine="560"/>
        <w:rPr>
          <w:rFonts w:hint="eastAsia" w:ascii="宋体" w:hAnsi="宋体" w:cs="宋体"/>
          <w:color w:val="000000" w:themeColor="text1"/>
          <w:kern w:val="0"/>
          <w:szCs w:val="28"/>
          <w14:textFill>
            <w14:solidFill>
              <w14:schemeClr w14:val="tx1"/>
            </w14:solidFill>
          </w14:textFill>
        </w:rPr>
      </w:pPr>
      <w:bookmarkStart w:id="3039" w:name="_Toc22587"/>
      <w:bookmarkStart w:id="3040" w:name="_Toc16267"/>
      <w:bookmarkStart w:id="3041" w:name="_Toc11798"/>
      <w:r>
        <w:rPr>
          <w:rFonts w:hint="eastAsia" w:ascii="宋体" w:hAnsi="宋体" w:cs="宋体"/>
          <w:color w:val="000000" w:themeColor="text1"/>
          <w:kern w:val="0"/>
          <w:szCs w:val="28"/>
          <w14:textFill>
            <w14:solidFill>
              <w14:schemeClr w14:val="tx1"/>
            </w14:solidFill>
          </w14:textFill>
        </w:rPr>
        <w:t>5、应明确采场爆破作业时，对警戒区域内的办公局部设施、</w:t>
      </w:r>
      <w:r>
        <w:rPr>
          <w:rFonts w:hint="eastAsia"/>
          <w:color w:val="000000" w:themeColor="text1"/>
          <w14:textFill>
            <w14:solidFill>
              <w14:schemeClr w14:val="tx1"/>
            </w14:solidFill>
          </w14:textFill>
        </w:rPr>
        <w:t>生活区</w:t>
      </w:r>
      <w:r>
        <w:rPr>
          <w:rFonts w:hint="eastAsia" w:ascii="宋体" w:hAnsi="宋体" w:cs="宋体"/>
          <w:color w:val="000000" w:themeColor="text1"/>
          <w:kern w:val="0"/>
          <w:szCs w:val="28"/>
          <w14:textFill>
            <w14:solidFill>
              <w14:schemeClr w14:val="tx1"/>
            </w14:solidFill>
          </w14:textFill>
        </w:rPr>
        <w:t>等设施的人员和财产的处置措施。</w:t>
      </w:r>
    </w:p>
    <w:p w14:paraId="7C0869F4">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6、采场区域设置护栏，禁止无关人员进入。</w:t>
      </w:r>
      <w:bookmarkEnd w:id="3039"/>
      <w:bookmarkEnd w:id="3040"/>
      <w:bookmarkEnd w:id="3041"/>
    </w:p>
    <w:p w14:paraId="69D5B564">
      <w:pPr>
        <w:pStyle w:val="5"/>
        <w:spacing w:after="120"/>
        <w:rPr>
          <w:color w:val="000000" w:themeColor="text1"/>
          <w14:textFill>
            <w14:solidFill>
              <w14:schemeClr w14:val="tx1"/>
            </w14:solidFill>
          </w14:textFill>
        </w:rPr>
      </w:pPr>
      <w:bookmarkStart w:id="3042" w:name="_Toc153698824"/>
      <w:bookmarkStart w:id="3043" w:name="_Toc13788"/>
      <w:bookmarkStart w:id="3044" w:name="_Toc30001"/>
      <w:bookmarkStart w:id="3045" w:name="_Toc6591"/>
      <w:bookmarkStart w:id="3046" w:name="_Toc30430"/>
      <w:bookmarkStart w:id="3047" w:name="_Toc24214"/>
      <w:bookmarkStart w:id="3048" w:name="_Toc2610"/>
      <w:bookmarkStart w:id="3049" w:name="_Toc30887"/>
      <w:bookmarkStart w:id="3050" w:name="_Toc22481"/>
      <w:bookmarkStart w:id="3051" w:name="_Toc215070320"/>
      <w:bookmarkStart w:id="3052" w:name="_Toc561"/>
      <w:bookmarkStart w:id="3053" w:name="_Toc2246"/>
      <w:bookmarkStart w:id="3054" w:name="_Toc25392"/>
      <w:bookmarkStart w:id="3055" w:name="_Toc9859"/>
      <w:bookmarkStart w:id="3056" w:name="_Toc18407"/>
      <w:bookmarkStart w:id="3057" w:name="_Toc153698822"/>
      <w:bookmarkStart w:id="3058" w:name="_Toc13535"/>
      <w:bookmarkStart w:id="3059" w:name="_Toc18181"/>
      <w:bookmarkStart w:id="3060" w:name="_Toc4570"/>
      <w:bookmarkStart w:id="3061" w:name="_Toc392680786"/>
      <w:r>
        <w:rPr>
          <w:rFonts w:hint="eastAsia"/>
          <w:color w:val="000000" w:themeColor="text1"/>
          <w14:textFill>
            <w14:solidFill>
              <w14:schemeClr w14:val="tx1"/>
            </w14:solidFill>
          </w14:textFill>
        </w:rPr>
        <w:t>4.2.2开拓运输单元</w:t>
      </w:r>
      <w:bookmarkEnd w:id="3042"/>
      <w:r>
        <w:rPr>
          <w:rFonts w:hint="eastAsia"/>
          <w:color w:val="000000" w:themeColor="text1"/>
          <w14:textFill>
            <w14:solidFill>
              <w14:schemeClr w14:val="tx1"/>
            </w14:solidFill>
          </w14:textFill>
        </w:rPr>
        <w:t>安全对策措施及建议</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469CB1FE">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1、基建期间，基建台阶内应设置相应的安全警示标识，并设专人指挥等，避免运输车辆、挖掘机、潜孔钻等设备在行走或掉头等过程中，发生车辆伤害事故。</w:t>
      </w:r>
    </w:p>
    <w:p w14:paraId="04653000">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2、运输道路边坡出现危石、浮石等时，须先清理完全后方能进行运输作业。</w:t>
      </w:r>
    </w:p>
    <w:p w14:paraId="38EF117E">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3、因矿山为重车长下坡，在适当位置设置相应的避险车道等应急设施，并定期加强对运输道路的维护，保持路面平整、无坑。</w:t>
      </w:r>
    </w:p>
    <w:p w14:paraId="467EF008">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4、对运输道路内内侧排水沟进行定期疏通，避免雨水冲刷路面，并加强对矿山运输道路边缘的安全车挡定期维护。</w:t>
      </w:r>
    </w:p>
    <w:p w14:paraId="0ECB33E8">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5、加强对运输道路填方路段挡墙、挖填方边坡的维护，确保边坡稳固。</w:t>
      </w:r>
    </w:p>
    <w:p w14:paraId="24930C52">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6、针对排土场运输道路沿开采台阶进行改造布置，应对台阶、台阶边坡稳定性进行调查分析，发现有开裂、沉降等现象时，不得再设置为运输道路，并定期检查，避免车辆压边行驶，发生车辆高处坠落事故。</w:t>
      </w:r>
    </w:p>
    <w:p w14:paraId="384C72BE">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7、至卸矿平台为长下坡路段，在卸矿平台边缘设置相应的挡车设施，避免运矿车辆冲出平台。</w:t>
      </w:r>
    </w:p>
    <w:p w14:paraId="67DAAB67">
      <w:pPr>
        <w:pStyle w:val="5"/>
        <w:spacing w:after="120"/>
        <w:rPr>
          <w:color w:val="000000" w:themeColor="text1"/>
          <w14:textFill>
            <w14:solidFill>
              <w14:schemeClr w14:val="tx1"/>
            </w14:solidFill>
          </w14:textFill>
        </w:rPr>
      </w:pPr>
      <w:bookmarkStart w:id="3062" w:name="_Toc6955"/>
      <w:bookmarkStart w:id="3063" w:name="_Toc31323"/>
      <w:bookmarkStart w:id="3064" w:name="_Toc25096"/>
      <w:bookmarkStart w:id="3065" w:name="_Toc31270"/>
      <w:bookmarkStart w:id="3066" w:name="_Toc20173"/>
      <w:bookmarkStart w:id="3067" w:name="_Toc215070321"/>
      <w:bookmarkStart w:id="3068" w:name="_Toc32395"/>
      <w:bookmarkStart w:id="3069" w:name="_Toc1519"/>
      <w:bookmarkStart w:id="3070" w:name="_Toc27636"/>
      <w:bookmarkStart w:id="3071" w:name="_Toc20234"/>
      <w:bookmarkStart w:id="3072" w:name="_Toc19280"/>
      <w:r>
        <w:rPr>
          <w:rFonts w:hint="eastAsia"/>
          <w:color w:val="000000" w:themeColor="text1"/>
          <w14:textFill>
            <w14:solidFill>
              <w14:schemeClr w14:val="tx1"/>
            </w14:solidFill>
          </w14:textFill>
        </w:rPr>
        <w:t>4.2.3采剥单元安全对策措施及建议</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4AEE7A17">
      <w:pPr>
        <w:pStyle w:val="6"/>
        <w:spacing w:before="120" w:after="120"/>
        <w:rPr>
          <w:color w:val="000000" w:themeColor="text1"/>
          <w14:textFill>
            <w14:solidFill>
              <w14:schemeClr w14:val="tx1"/>
            </w14:solidFill>
          </w14:textFill>
        </w:rPr>
      </w:pPr>
      <w:bookmarkStart w:id="3073" w:name="_Toc153698823"/>
      <w:bookmarkStart w:id="3074" w:name="_Toc9486"/>
      <w:bookmarkStart w:id="3075" w:name="_Toc1292"/>
      <w:bookmarkStart w:id="3076" w:name="_Toc32149"/>
      <w:bookmarkStart w:id="3077" w:name="_Toc6449"/>
      <w:bookmarkStart w:id="3078" w:name="_Toc11838"/>
      <w:bookmarkStart w:id="3079" w:name="_Toc23468"/>
      <w:bookmarkStart w:id="3080" w:name="_Toc22178"/>
      <w:bookmarkStart w:id="3081" w:name="_Toc22182"/>
      <w:bookmarkStart w:id="3082" w:name="_Toc215070322"/>
      <w:bookmarkStart w:id="3083" w:name="_Toc7738"/>
      <w:r>
        <w:rPr>
          <w:rFonts w:hint="eastAsia"/>
          <w:color w:val="000000" w:themeColor="text1"/>
          <w14:textFill>
            <w14:solidFill>
              <w14:schemeClr w14:val="tx1"/>
            </w14:solidFill>
          </w14:textFill>
        </w:rPr>
        <w:t>4.2.3.1露天采场子单元</w:t>
      </w:r>
      <w:bookmarkEnd w:id="3034"/>
      <w:bookmarkEnd w:id="3035"/>
      <w:bookmarkEnd w:id="3036"/>
      <w:bookmarkEnd w:id="3037"/>
      <w:bookmarkEnd w:id="3038"/>
      <w:bookmarkEnd w:id="3073"/>
      <w:r>
        <w:rPr>
          <w:rFonts w:hint="eastAsia"/>
          <w:color w:val="000000" w:themeColor="text1"/>
          <w14:textFill>
            <w14:solidFill>
              <w14:schemeClr w14:val="tx1"/>
            </w14:solidFill>
          </w14:textFill>
        </w:rPr>
        <w:t>安全对策措施及建议</w:t>
      </w:r>
      <w:bookmarkEnd w:id="3074"/>
      <w:bookmarkEnd w:id="3075"/>
      <w:bookmarkEnd w:id="3076"/>
      <w:bookmarkEnd w:id="3077"/>
      <w:bookmarkEnd w:id="3078"/>
      <w:bookmarkEnd w:id="3079"/>
      <w:bookmarkEnd w:id="3080"/>
      <w:bookmarkEnd w:id="3081"/>
      <w:bookmarkEnd w:id="3082"/>
      <w:bookmarkEnd w:id="3083"/>
    </w:p>
    <w:p w14:paraId="39CE9EDF">
      <w:pPr>
        <w:numPr>
          <w:ilvl w:val="0"/>
          <w:numId w:val="11"/>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严格按照设计的采矿参数等进行设计和施工；</w:t>
      </w:r>
    </w:p>
    <w:p w14:paraId="46B194AC">
      <w:pPr>
        <w:numPr>
          <w:ilvl w:val="0"/>
          <w:numId w:val="11"/>
        </w:numPr>
        <w:ind w:firstLine="560"/>
        <w:rPr>
          <w:rFonts w:hint="eastAsia" w:ascii="宋体" w:hAnsi="宋体"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矿山采场台阶边坡面与矿岩倾向一致，开采过程中，受爆破震动、暴雨等影响下，局部岩体易发生崩滑、掉块，应加强矿山采场边</w:t>
      </w:r>
      <w:r>
        <w:rPr>
          <w:rFonts w:hint="eastAsia" w:ascii="宋体" w:hAnsi="宋体" w:cs="宋体"/>
          <w:color w:val="000000" w:themeColor="text1"/>
          <w:szCs w:val="28"/>
          <w14:textFill>
            <w14:solidFill>
              <w14:schemeClr w14:val="tx1"/>
            </w14:solidFill>
          </w14:textFill>
        </w:rPr>
        <w:t>坡监测，定期开展边坡稳定性分析。</w:t>
      </w:r>
    </w:p>
    <w:p w14:paraId="25A16526">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3、及时清理边坡。发现存在浮石、松动、滑坡、垮塌迹象时应及时排险。清理人员应佩戴安全帽、系好安全带或安全绳，排险完成确认安全后方可继续生产作业。</w:t>
      </w:r>
    </w:p>
    <w:p w14:paraId="3BB23467">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4、采场边缘及临边作业时，应设置相应的安全警示标志或临时安全围栏，防止高处坠落事故。</w:t>
      </w:r>
    </w:p>
    <w:p w14:paraId="3E9125D7">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5、加强边坡安全检查。雨季前后，应增加对边坡和采场的检查频次。</w:t>
      </w:r>
    </w:p>
    <w:p w14:paraId="61657B73">
      <w:pPr>
        <w:pStyle w:val="6"/>
        <w:spacing w:before="120" w:after="120"/>
        <w:rPr>
          <w:color w:val="000000" w:themeColor="text1"/>
          <w14:textFill>
            <w14:solidFill>
              <w14:schemeClr w14:val="tx1"/>
            </w14:solidFill>
          </w14:textFill>
        </w:rPr>
      </w:pPr>
      <w:bookmarkStart w:id="3084" w:name="_Toc137793394"/>
      <w:bookmarkStart w:id="3085" w:name="_Toc162236715"/>
      <w:bookmarkStart w:id="3086" w:name="_Toc18734"/>
      <w:bookmarkStart w:id="3087" w:name="_Toc29104"/>
      <w:bookmarkStart w:id="3088" w:name="_Toc8266"/>
      <w:bookmarkStart w:id="3089" w:name="_Toc23765"/>
      <w:bookmarkStart w:id="3090" w:name="_Toc24477"/>
      <w:bookmarkStart w:id="3091" w:name="_Toc17865"/>
      <w:bookmarkStart w:id="3092" w:name="_Toc215070323"/>
      <w:bookmarkStart w:id="3093" w:name="_Toc32071"/>
      <w:bookmarkStart w:id="3094" w:name="_Toc14772"/>
      <w:bookmarkStart w:id="3095" w:name="_Toc3892"/>
      <w:r>
        <w:rPr>
          <w:rFonts w:hint="eastAsia"/>
          <w:color w:val="000000" w:themeColor="text1"/>
          <w14:textFill>
            <w14:solidFill>
              <w14:schemeClr w14:val="tx1"/>
            </w14:solidFill>
          </w14:textFill>
        </w:rPr>
        <w:t>4.2.3.</w:t>
      </w:r>
      <w:bookmarkEnd w:id="3084"/>
      <w:bookmarkEnd w:id="3085"/>
      <w:r>
        <w:rPr>
          <w:rFonts w:hint="eastAsia"/>
          <w:color w:val="000000" w:themeColor="text1"/>
          <w14:textFill>
            <w14:solidFill>
              <w14:schemeClr w14:val="tx1"/>
            </w14:solidFill>
          </w14:textFill>
        </w:rPr>
        <w:t>2采剥工艺子单元安全对策措施及建议</w:t>
      </w:r>
      <w:bookmarkEnd w:id="3086"/>
      <w:bookmarkEnd w:id="3087"/>
      <w:bookmarkEnd w:id="3088"/>
      <w:bookmarkEnd w:id="3089"/>
      <w:bookmarkEnd w:id="3090"/>
      <w:bookmarkEnd w:id="3091"/>
      <w:bookmarkEnd w:id="3092"/>
      <w:bookmarkEnd w:id="3093"/>
      <w:bookmarkEnd w:id="3094"/>
      <w:bookmarkEnd w:id="3095"/>
    </w:p>
    <w:p w14:paraId="0D3DDC86">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w:t>
      </w:r>
      <w:r>
        <w:rPr>
          <w:color w:val="000000" w:themeColor="text1"/>
          <w:spacing w:val="9"/>
          <w:szCs w:val="28"/>
          <w14:textFill>
            <w14:solidFill>
              <w14:schemeClr w14:val="tx1"/>
            </w14:solidFill>
          </w14:textFill>
        </w:rPr>
        <w:t>矿区附</w:t>
      </w:r>
      <w:r>
        <w:rPr>
          <w:color w:val="000000" w:themeColor="text1"/>
          <w:spacing w:val="8"/>
          <w:szCs w:val="28"/>
          <w14:textFill>
            <w14:solidFill>
              <w14:schemeClr w14:val="tx1"/>
            </w14:solidFill>
          </w14:textFill>
        </w:rPr>
        <w:t>近地表分布灌木丛，</w:t>
      </w:r>
      <w:r>
        <w:rPr>
          <w:color w:val="000000" w:themeColor="text1"/>
          <w:spacing w:val="2"/>
          <w:szCs w:val="28"/>
          <w14:textFill>
            <w14:solidFill>
              <w14:schemeClr w14:val="tx1"/>
            </w14:solidFill>
          </w14:textFill>
        </w:rPr>
        <w:t>矿区几乎全部为植被覆盖，森林植被覆盖率高</w:t>
      </w:r>
      <w:r>
        <w:rPr>
          <w:color w:val="000000" w:themeColor="text1"/>
          <w:spacing w:val="1"/>
          <w:szCs w:val="28"/>
          <w14:textFill>
            <w14:solidFill>
              <w14:schemeClr w14:val="tx1"/>
            </w14:solidFill>
          </w14:textFill>
        </w:rPr>
        <w:t>，</w:t>
      </w:r>
      <w:r>
        <w:rPr>
          <w:rFonts w:hint="eastAsia" w:ascii="宋体" w:hAnsi="宋体" w:cs="宋体"/>
          <w:color w:val="000000" w:themeColor="text1"/>
          <w:szCs w:val="28"/>
          <w14:textFill>
            <w14:solidFill>
              <w14:schemeClr w14:val="tx1"/>
            </w14:solidFill>
          </w14:textFill>
        </w:rPr>
        <w:t>矿区植被茂盛，应对台阶边缘上的的植被、灌木进行及时清理；</w:t>
      </w:r>
    </w:p>
    <w:p w14:paraId="1941A9D1">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2、潜孔钻机与下部台阶接近坡底线的铲装活动不应同时作业，应保持相应的超前距离；</w:t>
      </w:r>
    </w:p>
    <w:p w14:paraId="071C860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3、应衔接好爆破开采工艺、机械开采工艺、长壁式开采工艺之间相关准备工作和安全管理工作；</w:t>
      </w:r>
    </w:p>
    <w:p w14:paraId="6C4F735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4、爆破器材在采场内临时堆放区域，其周围禁止使用明火，设置相应的隔离措施。</w:t>
      </w:r>
    </w:p>
    <w:p w14:paraId="3F09C46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5、加强爆炸药品及爆破器材的安全管理。</w:t>
      </w:r>
    </w:p>
    <w:p w14:paraId="74C06294">
      <w:pPr>
        <w:pStyle w:val="6"/>
        <w:spacing w:before="120" w:after="120"/>
        <w:rPr>
          <w:color w:val="000000" w:themeColor="text1"/>
          <w14:textFill>
            <w14:solidFill>
              <w14:schemeClr w14:val="tx1"/>
            </w14:solidFill>
          </w14:textFill>
        </w:rPr>
      </w:pPr>
      <w:bookmarkStart w:id="3096" w:name="_Toc153698825"/>
      <w:bookmarkStart w:id="3097" w:name="_Toc15282"/>
      <w:bookmarkStart w:id="3098" w:name="_Toc215070324"/>
      <w:bookmarkStart w:id="3099" w:name="_Toc19478"/>
      <w:bookmarkStart w:id="3100" w:name="_Toc11567"/>
      <w:bookmarkStart w:id="3101" w:name="_Toc16113"/>
      <w:bookmarkStart w:id="3102" w:name="_Toc11757"/>
      <w:bookmarkStart w:id="3103" w:name="_Toc28692"/>
      <w:bookmarkStart w:id="3104" w:name="_Toc8210"/>
      <w:bookmarkStart w:id="3105" w:name="_Toc15184"/>
      <w:bookmarkStart w:id="3106" w:name="_Toc6352"/>
      <w:r>
        <w:rPr>
          <w:rFonts w:hint="eastAsia"/>
          <w:color w:val="000000" w:themeColor="text1"/>
          <w14:textFill>
            <w14:solidFill>
              <w14:schemeClr w14:val="tx1"/>
            </w14:solidFill>
          </w14:textFill>
        </w:rPr>
        <w:t>4.2.3.3铲装作业子单元</w:t>
      </w:r>
      <w:bookmarkEnd w:id="3096"/>
      <w:r>
        <w:rPr>
          <w:rFonts w:hint="eastAsia"/>
          <w:color w:val="000000" w:themeColor="text1"/>
          <w14:textFill>
            <w14:solidFill>
              <w14:schemeClr w14:val="tx1"/>
            </w14:solidFill>
          </w14:textFill>
        </w:rPr>
        <w:t>安全对策措施及建议</w:t>
      </w:r>
      <w:bookmarkEnd w:id="3097"/>
      <w:bookmarkEnd w:id="3098"/>
      <w:bookmarkEnd w:id="3099"/>
      <w:bookmarkEnd w:id="3100"/>
      <w:bookmarkEnd w:id="3101"/>
      <w:bookmarkEnd w:id="3102"/>
      <w:bookmarkEnd w:id="3103"/>
      <w:bookmarkEnd w:id="3104"/>
      <w:bookmarkEnd w:id="3105"/>
      <w:bookmarkEnd w:id="3106"/>
    </w:p>
    <w:p w14:paraId="1392CCB1">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1、挖掘机行走时应在工作平台的稳定范围内，上下坡时采取防滑措施，专人指挥；</w:t>
      </w:r>
    </w:p>
    <w:p w14:paraId="01C35EC6">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2、在挖掘过程中发现台阶崩落或有滑动迹象、工作面有伞岩或大块物料、有松软岩层，必须停止作业；</w:t>
      </w:r>
    </w:p>
    <w:p w14:paraId="3F177572">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3、处理采场北面、东面临边矿岩时，禁止超负荷推、挖矿岩，避免挖掘机发生侧翻，坠落陡坡。</w:t>
      </w:r>
    </w:p>
    <w:p w14:paraId="02017402">
      <w:pPr>
        <w:pStyle w:val="5"/>
        <w:spacing w:after="120"/>
        <w:rPr>
          <w:color w:val="000000" w:themeColor="text1"/>
          <w14:textFill>
            <w14:solidFill>
              <w14:schemeClr w14:val="tx1"/>
            </w14:solidFill>
          </w14:textFill>
        </w:rPr>
      </w:pPr>
      <w:bookmarkStart w:id="3107" w:name="_Toc2049"/>
      <w:bookmarkStart w:id="3108" w:name="_Toc32713"/>
      <w:bookmarkStart w:id="3109" w:name="_Toc25203"/>
      <w:bookmarkStart w:id="3110" w:name="_Toc215070325"/>
      <w:bookmarkStart w:id="3111" w:name="_Toc2053"/>
      <w:bookmarkStart w:id="3112" w:name="_Toc3832"/>
      <w:bookmarkStart w:id="3113" w:name="_Toc13173"/>
      <w:bookmarkStart w:id="3114" w:name="_Toc10990"/>
      <w:bookmarkStart w:id="3115" w:name="_Toc16511"/>
      <w:bookmarkStart w:id="3116" w:name="_Toc28755"/>
      <w:bookmarkStart w:id="3117" w:name="_Toc4178"/>
      <w:bookmarkStart w:id="3118" w:name="_Toc153698828"/>
      <w:bookmarkStart w:id="3119" w:name="_Toc21656"/>
      <w:bookmarkStart w:id="3120" w:name="_Toc17783"/>
      <w:r>
        <w:rPr>
          <w:rFonts w:hint="eastAsia"/>
          <w:color w:val="000000" w:themeColor="text1"/>
          <w14:textFill>
            <w14:solidFill>
              <w14:schemeClr w14:val="tx1"/>
            </w14:solidFill>
          </w14:textFill>
        </w:rPr>
        <w:t>4.2.4防尘单元安全对策措施及建议</w:t>
      </w:r>
      <w:bookmarkEnd w:id="3107"/>
      <w:bookmarkEnd w:id="3108"/>
      <w:bookmarkEnd w:id="3109"/>
      <w:bookmarkEnd w:id="3110"/>
      <w:bookmarkEnd w:id="3111"/>
      <w:bookmarkEnd w:id="3112"/>
      <w:bookmarkEnd w:id="3113"/>
      <w:bookmarkEnd w:id="3114"/>
      <w:bookmarkEnd w:id="3115"/>
      <w:bookmarkEnd w:id="3116"/>
      <w:bookmarkEnd w:id="3117"/>
    </w:p>
    <w:p w14:paraId="0CCC0FD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1、定期对采、剥工作面，矿、岩石运输道路进行喷雾、洒水降尘、抑尘；</w:t>
      </w:r>
    </w:p>
    <w:p w14:paraId="0B87D3B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2、向员工发放劳动防护用品，并要求正确佩戴防尘口罩，防止粉尘吸入人呼吸道。</w:t>
      </w:r>
    </w:p>
    <w:p w14:paraId="74D2F26F">
      <w:pPr>
        <w:pStyle w:val="5"/>
        <w:spacing w:after="120"/>
        <w:rPr>
          <w:color w:val="000000" w:themeColor="text1"/>
          <w14:textFill>
            <w14:solidFill>
              <w14:schemeClr w14:val="tx1"/>
            </w14:solidFill>
          </w14:textFill>
        </w:rPr>
      </w:pPr>
      <w:bookmarkStart w:id="3121" w:name="_Toc153698829"/>
      <w:bookmarkStart w:id="3122" w:name="_Toc16810"/>
      <w:bookmarkStart w:id="3123" w:name="_Toc32628"/>
      <w:bookmarkStart w:id="3124" w:name="_Toc10941"/>
      <w:bookmarkStart w:id="3125" w:name="_Toc1182"/>
      <w:bookmarkStart w:id="3126" w:name="_Toc3610"/>
      <w:bookmarkStart w:id="3127" w:name="_Toc392680787"/>
      <w:bookmarkStart w:id="3128" w:name="_Toc3697"/>
      <w:bookmarkStart w:id="3129" w:name="_Toc5032"/>
      <w:bookmarkStart w:id="3130" w:name="_Toc9581"/>
      <w:bookmarkStart w:id="3131" w:name="_Toc17938"/>
      <w:bookmarkStart w:id="3132" w:name="_Toc8856"/>
      <w:bookmarkStart w:id="3133" w:name="_Toc6840"/>
      <w:bookmarkStart w:id="3134" w:name="_Toc31482"/>
      <w:bookmarkStart w:id="3135" w:name="_Toc14497"/>
      <w:bookmarkStart w:id="3136" w:name="_Toc664"/>
      <w:bookmarkStart w:id="3137" w:name="_Toc215070326"/>
      <w:bookmarkStart w:id="3138" w:name="_Toc14830"/>
      <w:bookmarkStart w:id="3139" w:name="_Toc18631"/>
      <w:r>
        <w:rPr>
          <w:rFonts w:hint="eastAsia"/>
          <w:color w:val="000000" w:themeColor="text1"/>
          <w14:textFill>
            <w14:solidFill>
              <w14:schemeClr w14:val="tx1"/>
            </w14:solidFill>
          </w14:textFill>
        </w:rPr>
        <w:t>4.2.5供配电设施及通讯单元安全对策措施</w:t>
      </w:r>
      <w:bookmarkEnd w:id="3121"/>
      <w:r>
        <w:rPr>
          <w:rFonts w:hint="eastAsia"/>
          <w:color w:val="000000" w:themeColor="text1"/>
          <w14:textFill>
            <w14:solidFill>
              <w14:schemeClr w14:val="tx1"/>
            </w14:solidFill>
          </w14:textFill>
        </w:rPr>
        <w:t>及建议</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5BAB75C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1、合理敷设供电用电线路，横跨公路时，设置醒目的警示指示标识，避免挖掘机、运输车辆等挂擦、碾压电气线路；</w:t>
      </w:r>
    </w:p>
    <w:p w14:paraId="5BD223F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2、机修车间、材料房等区域的用电线路，应敷设整齐，不得乱打乱接。并加强对电气线路的检查与维护，发现裸露、老化电气线路，及时进行更换；</w:t>
      </w:r>
    </w:p>
    <w:p w14:paraId="27BB92C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3、配电室内控制柜前应设置绝缘垫，并设置经检测检验合格的绝缘手套、绝缘鞋、验电笔、令克棒等电工工具并合理存放；</w:t>
      </w:r>
    </w:p>
    <w:p w14:paraId="61FB9FE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4、配电室内应保持有效通风，并定期进行粉尘清扫；</w:t>
      </w:r>
    </w:p>
    <w:p w14:paraId="0D32748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5、配电室门应设置为外开门，且为防火门。</w:t>
      </w:r>
    </w:p>
    <w:p w14:paraId="63AD3270">
      <w:pPr>
        <w:pStyle w:val="5"/>
        <w:spacing w:after="120"/>
        <w:rPr>
          <w:color w:val="000000" w:themeColor="text1"/>
          <w14:textFill>
            <w14:solidFill>
              <w14:schemeClr w14:val="tx1"/>
            </w14:solidFill>
          </w14:textFill>
        </w:rPr>
      </w:pPr>
      <w:bookmarkStart w:id="3140" w:name="_Toc26302"/>
      <w:bookmarkStart w:id="3141" w:name="_Toc17731"/>
      <w:bookmarkStart w:id="3142" w:name="_Toc6036"/>
      <w:bookmarkStart w:id="3143" w:name="_Toc215070327"/>
      <w:bookmarkStart w:id="3144" w:name="_Toc27921"/>
      <w:bookmarkStart w:id="3145" w:name="_Toc24562"/>
      <w:bookmarkStart w:id="3146" w:name="_Toc6340"/>
      <w:bookmarkStart w:id="3147" w:name="_Toc14147"/>
      <w:bookmarkStart w:id="3148" w:name="_Toc26076"/>
      <w:bookmarkStart w:id="3149" w:name="_Toc4992"/>
      <w:bookmarkStart w:id="3150" w:name="_Toc5294"/>
      <w:r>
        <w:rPr>
          <w:rFonts w:hint="eastAsia"/>
          <w:color w:val="000000" w:themeColor="text1"/>
          <w14:textFill>
            <w14:solidFill>
              <w14:schemeClr w14:val="tx1"/>
            </w14:solidFill>
          </w14:textFill>
        </w:rPr>
        <w:t>4.2.6防排水防灭火单元</w:t>
      </w:r>
      <w:bookmarkEnd w:id="3118"/>
      <w:r>
        <w:rPr>
          <w:rFonts w:hint="eastAsia"/>
          <w:color w:val="000000" w:themeColor="text1"/>
          <w14:textFill>
            <w14:solidFill>
              <w14:schemeClr w14:val="tx1"/>
            </w14:solidFill>
          </w14:textFill>
        </w:rPr>
        <w:t>安全对策措施及建议</w:t>
      </w:r>
      <w:bookmarkEnd w:id="3119"/>
      <w:bookmarkEnd w:id="3120"/>
      <w:bookmarkEnd w:id="3140"/>
      <w:bookmarkEnd w:id="3141"/>
      <w:bookmarkEnd w:id="3142"/>
      <w:bookmarkEnd w:id="3143"/>
      <w:bookmarkEnd w:id="3144"/>
      <w:bookmarkEnd w:id="3145"/>
      <w:bookmarkEnd w:id="3146"/>
      <w:bookmarkEnd w:id="3147"/>
      <w:bookmarkEnd w:id="3148"/>
      <w:bookmarkEnd w:id="3149"/>
      <w:bookmarkEnd w:id="3150"/>
    </w:p>
    <w:p w14:paraId="0674D2E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1、汛期前，及时清理疏通防排水设施（含采场及公路内侧排水沟），并加强对截水沟、排水沟、沉淀池的维护，确保沟壁、沟底强度满足排水要求；</w:t>
      </w:r>
    </w:p>
    <w:p w14:paraId="4ACB7DB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2、及时了解预报矿区天气情况，遇极端强降雨天气，应及时撤出相关的采矿设备设施停止进行采矿作业；</w:t>
      </w:r>
    </w:p>
    <w:p w14:paraId="7BA2F69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3、在采场坑洼池低处雨季积水时设置相应的安全防护栏、安全警示标志，并及时疏水。</w:t>
      </w:r>
    </w:p>
    <w:p w14:paraId="35DA5379">
      <w:pPr>
        <w:pStyle w:val="5"/>
        <w:spacing w:after="120"/>
        <w:rPr>
          <w:color w:val="000000" w:themeColor="text1"/>
          <w14:textFill>
            <w14:solidFill>
              <w14:schemeClr w14:val="tx1"/>
            </w14:solidFill>
          </w14:textFill>
        </w:rPr>
      </w:pPr>
      <w:bookmarkStart w:id="3151" w:name="_Toc215070328"/>
      <w:bookmarkStart w:id="3152" w:name="_Toc147382298"/>
      <w:bookmarkStart w:id="3153" w:name="_Toc153698832"/>
      <w:bookmarkStart w:id="3154" w:name="_Toc21625"/>
      <w:bookmarkStart w:id="3155" w:name="_Toc19975"/>
      <w:bookmarkStart w:id="3156" w:name="_Toc3168"/>
      <w:bookmarkStart w:id="3157" w:name="_Toc29784"/>
      <w:bookmarkStart w:id="3158" w:name="_Toc31068"/>
      <w:bookmarkStart w:id="3159" w:name="_Toc23205"/>
      <w:bookmarkStart w:id="3160" w:name="_Toc3295"/>
      <w:bookmarkStart w:id="3161" w:name="_Toc392680789"/>
      <w:bookmarkStart w:id="3162" w:name="_Toc6381"/>
      <w:bookmarkStart w:id="3163" w:name="_Toc18022"/>
      <w:bookmarkStart w:id="3164" w:name="_Toc23943"/>
      <w:bookmarkStart w:id="3165" w:name="_Toc15604"/>
      <w:bookmarkStart w:id="3166" w:name="_Toc25929"/>
      <w:bookmarkStart w:id="3167" w:name="_Toc24424"/>
      <w:bookmarkStart w:id="3168" w:name="_Toc1609"/>
      <w:bookmarkStart w:id="3169" w:name="_Toc105730660"/>
      <w:bookmarkStart w:id="3170" w:name="_Toc105676295"/>
      <w:bookmarkStart w:id="3171" w:name="_Toc105675414"/>
      <w:bookmarkStart w:id="3172" w:name="_Toc105675894"/>
      <w:r>
        <w:rPr>
          <w:rFonts w:hint="eastAsia"/>
          <w:color w:val="000000" w:themeColor="text1"/>
          <w14:textFill>
            <w14:solidFill>
              <w14:schemeClr w14:val="tx1"/>
            </w14:solidFill>
          </w14:textFill>
        </w:rPr>
        <w:t>4.2.8破碎车间单元安全对策措施及建议</w:t>
      </w:r>
      <w:bookmarkEnd w:id="3151"/>
    </w:p>
    <w:p w14:paraId="13C11C5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1、破碎</w:t>
      </w:r>
      <w:r>
        <w:rPr>
          <w:color w:val="000000" w:themeColor="text1"/>
          <w14:textFill>
            <w14:solidFill>
              <w14:schemeClr w14:val="tx1"/>
            </w14:solidFill>
          </w14:textFill>
        </w:rPr>
        <w:t>机周围应设置安全护栏；</w:t>
      </w:r>
    </w:p>
    <w:p w14:paraId="726988E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高度超过0.6m的平台及各操作台设置安全栏杆，平台边缘设安全防护板，主要通道及操作过道便于通行和操作，宽度不小于有关规定；</w:t>
      </w:r>
    </w:p>
    <w:p w14:paraId="55B5E87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道路的坡度达到6°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12°时，加防滑条，坡度大于12°时，设踏步</w:t>
      </w:r>
      <w:r>
        <w:rPr>
          <w:rFonts w:hint="eastAsia"/>
          <w:color w:val="000000" w:themeColor="text1"/>
          <w14:textFill>
            <w14:solidFill>
              <w14:schemeClr w14:val="tx1"/>
            </w14:solidFill>
          </w14:textFill>
        </w:rPr>
        <w:t>；</w:t>
      </w:r>
    </w:p>
    <w:p w14:paraId="3EA3583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4、设置安全警示标志；</w:t>
      </w:r>
    </w:p>
    <w:p w14:paraId="1B7C516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5、加强破碎操作工作的培训；严禁破碎机工作时，人或肢体进入破碎机料仓进行捡矿或撬矿；</w:t>
      </w:r>
    </w:p>
    <w:p w14:paraId="0B4AEBC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6、建立和完善破碎安全操作规程。</w:t>
      </w:r>
    </w:p>
    <w:p w14:paraId="5444F11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7、横跨破碎站上面得高压线加强管理。</w:t>
      </w:r>
    </w:p>
    <w:p w14:paraId="73E1BC1F">
      <w:pPr>
        <w:pStyle w:val="5"/>
        <w:spacing w:after="120"/>
        <w:rPr>
          <w:color w:val="000000" w:themeColor="text1"/>
          <w14:textFill>
            <w14:solidFill>
              <w14:schemeClr w14:val="tx1"/>
            </w14:solidFill>
          </w14:textFill>
        </w:rPr>
      </w:pPr>
      <w:bookmarkStart w:id="3173" w:name="_Toc215070329"/>
      <w:r>
        <w:rPr>
          <w:rFonts w:hint="eastAsia"/>
          <w:color w:val="000000" w:themeColor="text1"/>
          <w14:textFill>
            <w14:solidFill>
              <w14:schemeClr w14:val="tx1"/>
            </w14:solidFill>
          </w14:textFill>
        </w:rPr>
        <w:t>4.2.9安全管理</w:t>
      </w:r>
      <w:bookmarkEnd w:id="3152"/>
      <w:r>
        <w:rPr>
          <w:rFonts w:hint="eastAsia"/>
          <w:color w:val="000000" w:themeColor="text1"/>
          <w14:textFill>
            <w14:solidFill>
              <w14:schemeClr w14:val="tx1"/>
            </w14:solidFill>
          </w14:textFill>
        </w:rPr>
        <w:t>及其他单元安全对策措施</w:t>
      </w:r>
      <w:bookmarkEnd w:id="3153"/>
      <w:r>
        <w:rPr>
          <w:rFonts w:hint="eastAsia"/>
          <w:color w:val="000000" w:themeColor="text1"/>
          <w14:textFill>
            <w14:solidFill>
              <w14:schemeClr w14:val="tx1"/>
            </w14:solidFill>
          </w14:textFill>
        </w:rPr>
        <w:t>及建议</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73"/>
    </w:p>
    <w:bookmarkEnd w:id="3169"/>
    <w:bookmarkEnd w:id="3170"/>
    <w:bookmarkEnd w:id="3171"/>
    <w:bookmarkEnd w:id="3172"/>
    <w:p w14:paraId="35FAD704">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按照《中华人民共和国安全生产法》第八十一条，《金属非金属矿山安全规程》GB16423-2020第5.2.4.7条、第5.5.1.8条的要求，企业应重新修订本单位生产安全事故应急预案（包含综合应急预案、专项应急预案、现场处置方案），以符合和适应扩建后的生产情况，并通过专家评审，到当地应急管理局进行备案，并定期组织演练和培训学习，</w:t>
      </w:r>
      <w:r>
        <w:rPr>
          <w:rFonts w:hint="eastAsia" w:ascii="宋体" w:hAnsi="宋体" w:cs="宋体"/>
          <w:color w:val="000000" w:themeColor="text1"/>
          <w14:textFill>
            <w14:solidFill>
              <w14:schemeClr w14:val="tx1"/>
            </w14:solidFill>
          </w14:textFill>
        </w:rPr>
        <w:t>同时与当地应急救援队伍、医院签订相应的救援协议</w:t>
      </w:r>
      <w:r>
        <w:rPr>
          <w:rFonts w:hint="eastAsia" w:ascii="宋体" w:hAnsi="宋体" w:cs="宋体"/>
          <w:color w:val="000000" w:themeColor="text1"/>
          <w:szCs w:val="28"/>
          <w14:textFill>
            <w14:solidFill>
              <w14:schemeClr w14:val="tx1"/>
            </w14:solidFill>
          </w14:textFill>
        </w:rPr>
        <w:t>。</w:t>
      </w:r>
    </w:p>
    <w:p w14:paraId="731781B4">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按照《中华人民共和国安全生产法》第八十二条的要求，建立应急救援组织（生产经营规模较小的，可以不建立应急救援组织，但应指定兼职的应急救援人员），配备必要的应急救援器材、设备和物资，并进行经常性维护、保养，保证正常运转。</w:t>
      </w:r>
    </w:p>
    <w:p w14:paraId="67D7BAA5">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3、按照《金属非金属矿山安全规程》GB16423-2020第4.1.2条的要求，企业应建立健全全员安全生产责任制，安全生产规章制度和各岗位的安全操作规程，并组织员工进行全面培训学习。</w:t>
      </w:r>
    </w:p>
    <w:p w14:paraId="5A202747">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4、按照《关于加强非煤矿山安全生产工作的指导意见的通知》（矿安〔2022〕4号）第十条的要求，应当配置注册安全工程师从事安全生产管理工作。</w:t>
      </w:r>
    </w:p>
    <w:p w14:paraId="1E8FB8BE">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5、按照《关于加强非煤矿山安全生产工作的指导意见的通知》（矿安〔2022〕4号）第十一条的要求，应配置采矿、地质、测量、机电等专业技术人员。</w:t>
      </w:r>
    </w:p>
    <w:p w14:paraId="0AAF24B9">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6、按照《中华人民共和国安全生产法》第二十三条的要求，应依据《企业安全生产费用提取和使用管理办法》（财资〔2022〕136号）足额提前安全生产费用，用于安全投入。</w:t>
      </w:r>
    </w:p>
    <w:p w14:paraId="7C207C8F">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7、针对采矿设备设施、开采工艺、排土工艺等相关的危险有害因素进行全面辨识预分析，创建双重预防机制体系，制定有针对性的对策措施进行分级管理。</w:t>
      </w:r>
    </w:p>
    <w:p w14:paraId="0557725D">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8、结合矿山采矿作业实际情况，制定有针对性的安全管理记录台账</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40"/>
      <w:bookmarkEnd w:id="2941"/>
      <w:bookmarkEnd w:id="2942"/>
      <w:bookmarkEnd w:id="2943"/>
      <w:bookmarkEnd w:id="2944"/>
      <w:bookmarkEnd w:id="2945"/>
      <w:bookmarkEnd w:id="2946"/>
      <w:bookmarkEnd w:id="2947"/>
      <w:bookmarkEnd w:id="2948"/>
      <w:bookmarkEnd w:id="2949"/>
      <w:bookmarkStart w:id="3174" w:name="_Toc392680777"/>
      <w:bookmarkStart w:id="3175" w:name="_Toc3723"/>
      <w:bookmarkStart w:id="3176" w:name="_Toc29203"/>
      <w:bookmarkStart w:id="3177" w:name="_Toc14884"/>
      <w:bookmarkStart w:id="3178" w:name="_Toc30399"/>
      <w:r>
        <w:rPr>
          <w:rFonts w:hint="eastAsia" w:ascii="宋体" w:hAnsi="宋体" w:cs="宋体"/>
          <w:color w:val="000000" w:themeColor="text1"/>
          <w:szCs w:val="28"/>
          <w14:textFill>
            <w14:solidFill>
              <w14:schemeClr w14:val="tx1"/>
            </w14:solidFill>
          </w14:textFill>
        </w:rPr>
        <w:t>。</w:t>
      </w:r>
    </w:p>
    <w:bookmarkEnd w:id="2920"/>
    <w:bookmarkEnd w:id="2921"/>
    <w:bookmarkEnd w:id="3174"/>
    <w:bookmarkEnd w:id="3175"/>
    <w:bookmarkEnd w:id="3176"/>
    <w:bookmarkEnd w:id="3177"/>
    <w:bookmarkEnd w:id="3178"/>
    <w:p w14:paraId="06CB095E">
      <w:pPr>
        <w:pStyle w:val="3"/>
        <w:spacing w:before="480" w:after="240"/>
        <w:jc w:val="left"/>
        <w:rPr>
          <w:rFonts w:hint="default"/>
          <w:color w:val="000000" w:themeColor="text1"/>
          <w14:textFill>
            <w14:solidFill>
              <w14:schemeClr w14:val="tx1"/>
            </w14:solidFill>
          </w14:textFill>
        </w:rPr>
      </w:pPr>
      <w:bookmarkStart w:id="3179" w:name="_Toc25375"/>
      <w:bookmarkStart w:id="3180" w:name="_Toc19429"/>
      <w:bookmarkStart w:id="3181" w:name="_Toc1487"/>
      <w:bookmarkStart w:id="3182" w:name="_Toc16911"/>
      <w:bookmarkStart w:id="3183" w:name="_Toc14826"/>
      <w:bookmarkStart w:id="3184" w:name="_Toc14787"/>
      <w:bookmarkStart w:id="3185" w:name="_Toc215070330"/>
      <w:bookmarkStart w:id="3186" w:name="_Toc26635"/>
      <w:bookmarkStart w:id="3187" w:name="_Toc392680791"/>
      <w:bookmarkStart w:id="3188" w:name="_Toc1363"/>
      <w:bookmarkStart w:id="3189" w:name="_Toc2966"/>
      <w:bookmarkStart w:id="3190" w:name="_Toc7702"/>
      <w:bookmarkStart w:id="3191" w:name="_Toc31602"/>
      <w:bookmarkStart w:id="3192" w:name="_Toc22981"/>
      <w:bookmarkStart w:id="3193" w:name="_Toc22916"/>
      <w:bookmarkStart w:id="3194" w:name="_Toc11752"/>
      <w:bookmarkStart w:id="3195" w:name="_Toc8861"/>
      <w:r>
        <w:rPr>
          <w:color w:val="000000" w:themeColor="text1"/>
          <w14:textFill>
            <w14:solidFill>
              <w14:schemeClr w14:val="tx1"/>
            </w14:solidFill>
          </w14:textFill>
        </w:rPr>
        <w:t>5.评价结论</w:t>
      </w:r>
      <w:bookmarkEnd w:id="2922"/>
      <w:bookmarkEnd w:id="2923"/>
      <w:bookmarkEnd w:id="2924"/>
      <w:bookmarkEnd w:id="2925"/>
      <w:bookmarkEnd w:id="2926"/>
      <w:bookmarkEnd w:id="2927"/>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36331BBD">
      <w:pPr>
        <w:adjustRightInd w:val="0"/>
        <w:snapToGrid w:val="0"/>
        <w:spacing w:line="500" w:lineRule="exact"/>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本项目存在的主要危险、有害因素为：物体打击、机械伤害、车辆伤害、触电、火灾、高处坠落、坍塌、滑坡、放炮伤害、火药爆炸、粉尘、噪声、其他伤害等。</w:t>
      </w:r>
    </w:p>
    <w:p w14:paraId="61BBEB2A">
      <w:pPr>
        <w:pStyle w:val="4"/>
        <w:spacing w:before="240" w:after="120"/>
        <w:rPr>
          <w:color w:val="000000" w:themeColor="text1"/>
          <w14:textFill>
            <w14:solidFill>
              <w14:schemeClr w14:val="tx1"/>
            </w14:solidFill>
          </w14:textFill>
        </w:rPr>
      </w:pPr>
      <w:bookmarkStart w:id="3196" w:name="_Toc8277"/>
      <w:bookmarkStart w:id="3197" w:name="_Toc6393"/>
      <w:bookmarkStart w:id="3198" w:name="_Toc16762"/>
      <w:bookmarkStart w:id="3199" w:name="_Toc12481"/>
      <w:bookmarkStart w:id="3200" w:name="_Toc153698842"/>
      <w:bookmarkStart w:id="3201" w:name="_Toc17870"/>
      <w:bookmarkStart w:id="3202" w:name="_Toc2886"/>
      <w:bookmarkStart w:id="3203" w:name="_Toc26856"/>
      <w:bookmarkStart w:id="3204" w:name="_Toc25531"/>
      <w:bookmarkStart w:id="3205" w:name="_Toc8671"/>
      <w:bookmarkStart w:id="3206" w:name="_Toc141"/>
      <w:bookmarkStart w:id="3207" w:name="_Toc28698"/>
      <w:bookmarkStart w:id="3208" w:name="_Toc25387"/>
      <w:bookmarkStart w:id="3209" w:name="_Toc392680792"/>
      <w:bookmarkStart w:id="3210" w:name="_Toc28849"/>
      <w:bookmarkStart w:id="3211" w:name="_Toc5884"/>
      <w:bookmarkStart w:id="3212" w:name="_Toc215070331"/>
      <w:r>
        <w:rPr>
          <w:rFonts w:hint="eastAsia"/>
          <w:color w:val="000000" w:themeColor="text1"/>
          <w14:textFill>
            <w14:solidFill>
              <w14:schemeClr w14:val="tx1"/>
            </w14:solidFill>
          </w14:textFill>
        </w:rPr>
        <w:t>5.1需要重点防范的危险、有害因素</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01398B5E">
      <w:pPr>
        <w:pStyle w:val="5"/>
        <w:spacing w:after="120"/>
        <w:rPr>
          <w:color w:val="000000" w:themeColor="text1"/>
          <w14:textFill>
            <w14:solidFill>
              <w14:schemeClr w14:val="tx1"/>
            </w14:solidFill>
          </w14:textFill>
        </w:rPr>
      </w:pPr>
      <w:bookmarkStart w:id="3213" w:name="_Toc6004"/>
      <w:bookmarkStart w:id="3214" w:name="_Toc15455"/>
      <w:bookmarkStart w:id="3215" w:name="_Toc21849"/>
      <w:bookmarkStart w:id="3216" w:name="_Toc4895"/>
      <w:bookmarkStart w:id="3217" w:name="_Toc1867"/>
      <w:bookmarkStart w:id="3218" w:name="_Toc16913"/>
      <w:bookmarkStart w:id="3219" w:name="_Toc23015"/>
      <w:bookmarkStart w:id="3220" w:name="_Toc11008"/>
      <w:bookmarkStart w:id="3221" w:name="_Toc8276"/>
      <w:bookmarkStart w:id="3222" w:name="_Toc392680793"/>
      <w:bookmarkStart w:id="3223" w:name="_Toc6328"/>
      <w:bookmarkStart w:id="3224" w:name="_Toc14160"/>
      <w:bookmarkStart w:id="3225" w:name="_Toc215070332"/>
      <w:bookmarkStart w:id="3226" w:name="_Toc4294"/>
      <w:bookmarkStart w:id="3227" w:name="_Toc18682"/>
      <w:r>
        <w:rPr>
          <w:rFonts w:hint="eastAsia"/>
          <w:color w:val="000000" w:themeColor="text1"/>
          <w14:textFill>
            <w14:solidFill>
              <w14:schemeClr w14:val="tx1"/>
            </w14:solidFill>
          </w14:textFill>
        </w:rPr>
        <w:t>5.1.1本项目应重点防范的危险、有害因素</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17A4583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1、采场内存在的坍塌、滑坡、物体打击、机械伤害、车辆伤害、高处坠落、放炮伤害等。</w:t>
      </w:r>
    </w:p>
    <w:p w14:paraId="16D8D8E7">
      <w:pPr>
        <w:ind w:firstLine="560"/>
        <w:rPr>
          <w:color w:val="000000" w:themeColor="text1"/>
          <w14:textFill>
            <w14:solidFill>
              <w14:schemeClr w14:val="tx1"/>
            </w14:solidFill>
          </w14:textFill>
        </w:rPr>
      </w:pPr>
      <w:bookmarkStart w:id="3228" w:name="_Toc115120302"/>
      <w:bookmarkStart w:id="3229" w:name="_Toc115120696"/>
      <w:r>
        <w:rPr>
          <w:rFonts w:hint="eastAsia"/>
          <w:color w:val="000000" w:themeColor="text1"/>
          <w14:textFill>
            <w14:solidFill>
              <w14:schemeClr w14:val="tx1"/>
            </w14:solidFill>
          </w14:textFill>
        </w:rPr>
        <w:t>2、穿孔爆破过程中的物体打击、车辆伤害、高处坠落、放炮伤害、火药爆炸等。</w:t>
      </w:r>
    </w:p>
    <w:p w14:paraId="1805C743">
      <w:pPr>
        <w:ind w:firstLine="560"/>
        <w:rPr>
          <w:color w:val="000000" w:themeColor="text1"/>
          <w14:textFill>
            <w14:solidFill>
              <w14:schemeClr w14:val="tx1"/>
            </w14:solidFill>
          </w14:textFill>
        </w:rPr>
      </w:pPr>
      <w:bookmarkStart w:id="3230" w:name="_Toc21887"/>
      <w:bookmarkStart w:id="3231" w:name="_Toc10944"/>
      <w:bookmarkStart w:id="3232" w:name="_Toc24032"/>
      <w:r>
        <w:rPr>
          <w:rFonts w:hint="eastAsia"/>
          <w:color w:val="000000" w:themeColor="text1"/>
          <w14:textFill>
            <w14:solidFill>
              <w14:schemeClr w14:val="tx1"/>
            </w14:solidFill>
          </w14:textFill>
        </w:rPr>
        <w:t>3、铲装运输过程中的物体打击、车辆伤害、高处坠落。</w:t>
      </w:r>
      <w:bookmarkEnd w:id="3230"/>
      <w:bookmarkEnd w:id="3231"/>
      <w:bookmarkEnd w:id="3232"/>
    </w:p>
    <w:p w14:paraId="30BA0D0D">
      <w:pPr>
        <w:pStyle w:val="5"/>
        <w:spacing w:after="120"/>
        <w:rPr>
          <w:color w:val="000000" w:themeColor="text1"/>
          <w14:textFill>
            <w14:solidFill>
              <w14:schemeClr w14:val="tx1"/>
            </w14:solidFill>
          </w14:textFill>
        </w:rPr>
      </w:pPr>
      <w:bookmarkStart w:id="3233" w:name="_Toc23183"/>
      <w:bookmarkStart w:id="3234" w:name="_Toc23124"/>
      <w:bookmarkStart w:id="3235" w:name="_Toc6205"/>
      <w:bookmarkStart w:id="3236" w:name="_Toc4564"/>
      <w:bookmarkStart w:id="3237" w:name="_Toc22174"/>
      <w:bookmarkStart w:id="3238" w:name="_Toc10770"/>
      <w:bookmarkStart w:id="3239" w:name="_Toc215070333"/>
      <w:bookmarkStart w:id="3240" w:name="_Toc13526"/>
      <w:bookmarkStart w:id="3241" w:name="_Toc7190"/>
      <w:bookmarkStart w:id="3242" w:name="_Toc19958"/>
      <w:bookmarkStart w:id="3243" w:name="_Toc11061"/>
      <w:bookmarkStart w:id="3244" w:name="_Toc18138"/>
      <w:bookmarkStart w:id="3245" w:name="_Toc28687"/>
      <w:bookmarkStart w:id="3246" w:name="_Toc392680795"/>
      <w:bookmarkStart w:id="3247" w:name="_Toc32168"/>
      <w:bookmarkStart w:id="3248" w:name="_Toc27525"/>
      <w:r>
        <w:rPr>
          <w:rFonts w:hint="eastAsia"/>
          <w:color w:val="000000" w:themeColor="text1"/>
          <w14:textFill>
            <w14:solidFill>
              <w14:schemeClr w14:val="tx1"/>
            </w14:solidFill>
          </w14:textFill>
        </w:rPr>
        <w:t>5.1.2本项目应重视的安全对策措施及建议</w:t>
      </w:r>
      <w:bookmarkEnd w:id="3228"/>
      <w:bookmarkEnd w:id="3229"/>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6C93744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经对矿山地形地貌、地质、开采工艺等的分析评价认为：矿山在下一步的建设中应重视以下方面的问题：</w:t>
      </w:r>
    </w:p>
    <w:p w14:paraId="6FE124CB">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1、在高陡边坡设置防滚石沟、被动网，并定期进行清理维护，避免采场边坡滚石影响周围农耕作业活动和道路运输作业。</w:t>
      </w:r>
    </w:p>
    <w:p w14:paraId="2B4D632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2、矿区周围为山林，会存在有村民进入山林活动，矿权边界设置边界护栏，防止无关人畜进行矿区，发生安全事故。</w:t>
      </w:r>
    </w:p>
    <w:p w14:paraId="52E290A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3、矿山在开采过程中进行爆破作业时，应做好相应的爆破警戒工作，避免产生的爆轰波、爆破飞石等对矿区周围村民、乡道过往车辆等造成伤害。</w:t>
      </w:r>
    </w:p>
    <w:p w14:paraId="58D5738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4、加强对运输道路填方路段挡墙、挖填方边坡的维护，确保边坡稳固。</w:t>
      </w:r>
    </w:p>
    <w:p w14:paraId="0FBDAF6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6、针对矿区植被茂盛，应对台阶边缘上的的植被、灌木进行及时清理。</w:t>
      </w:r>
    </w:p>
    <w:p w14:paraId="7AFDCB9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按照《中华人民共和国安全生产法》第八十一条，《金属非金属矿山安全规程》GB16423-2020第5.2.4.7条、第5.5.1.8条的要求，企业应及时修订本单位生产安全事故应急预案（包含综合应急预案、专项应急预案、现场处置方案），通过专家评审，到当地应急管理局进行备案，并定期组织演练和培训学习，同时与当地应急救援队伍、医院签订相应的救援协议。</w:t>
      </w:r>
    </w:p>
    <w:p w14:paraId="7578584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按照《中华人民共和国安全生产法》第八十二条的要求，建立应急救援组织（生产经营规模较小的，可以不建立应急救援组织，但应指定兼职的应急救援人员），配备必要的应急救援器材、设备和物资，并进行经常性维护、保养，保证正常运转。</w:t>
      </w:r>
    </w:p>
    <w:p w14:paraId="24DEFEA6">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9、按照《中华人民共和国安全生产法》和《金属非金属矿山安全规程》GB16423-2020第4.1.2条的要求，企业应及时修订和完善全员安全生产责任制度、安全生产操作规程、双重预防机制、安全管理费用提取和使用、安全教育培训、安全检查、安全责任考核、重大危险源管理、特种设备、特殊作业管理、应急预案演练、事故报告与处理等安全生产管理制度。并组织员工进行全面培训学习。</w:t>
      </w:r>
    </w:p>
    <w:p w14:paraId="19DBE6F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10、按照《关于加强非煤矿山安全生产工作的指导意见的通知》（矿安〔2022〕4号）第十条的要求，应当配置注册安全工程师从事安全生产管理工作。</w:t>
      </w:r>
    </w:p>
    <w:p w14:paraId="2438889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11、按照《关于加强非煤矿山安全生产工作的指导意见的通知》（矿安〔2022〕4号）第十一条的要求，应配置采矿、地质、测量、机电等专业技术人员。</w:t>
      </w:r>
    </w:p>
    <w:p w14:paraId="27DBFFA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12、与有资质的民爆企业签定有效的爆破服务协议，完善爆破作业管理制度和操作规程，监督和协助民爆企业完成爆破作业及警戒工作，保证爆破作业安全。</w:t>
      </w:r>
    </w:p>
    <w:p w14:paraId="3DEBE03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13、设置安全技术科为安全管理机构、主要负责人、安全管理员、特种作业人员均持证上岗。</w:t>
      </w:r>
    </w:p>
    <w:p w14:paraId="1D04A3ED">
      <w:pPr>
        <w:ind w:firstLine="560"/>
        <w:rPr>
          <w:color w:val="000000" w:themeColor="text1"/>
          <w14:textFill>
            <w14:solidFill>
              <w14:schemeClr w14:val="tx1"/>
            </w14:solidFill>
          </w14:textFill>
        </w:rPr>
      </w:pPr>
      <w:bookmarkStart w:id="3249" w:name="_Toc25758"/>
      <w:bookmarkStart w:id="3250" w:name="_Toc23724"/>
      <w:bookmarkStart w:id="3251" w:name="_Toc29218"/>
      <w:r>
        <w:rPr>
          <w:rFonts w:hint="eastAsia"/>
          <w:color w:val="000000" w:themeColor="text1"/>
          <w14:textFill>
            <w14:solidFill>
              <w14:schemeClr w14:val="tx1"/>
            </w14:solidFill>
          </w14:textFill>
        </w:rPr>
        <w:t>14、依法要求购买工伤保险和安全生产责任险等。</w:t>
      </w:r>
      <w:bookmarkEnd w:id="3249"/>
      <w:bookmarkEnd w:id="3250"/>
      <w:bookmarkEnd w:id="3251"/>
    </w:p>
    <w:p w14:paraId="561172B2">
      <w:pPr>
        <w:pStyle w:val="5"/>
        <w:spacing w:after="120"/>
        <w:rPr>
          <w:color w:val="000000" w:themeColor="text1"/>
          <w14:textFill>
            <w14:solidFill>
              <w14:schemeClr w14:val="tx1"/>
            </w14:solidFill>
          </w14:textFill>
        </w:rPr>
      </w:pPr>
      <w:bookmarkStart w:id="3252" w:name="_Toc215070334"/>
      <w:r>
        <w:rPr>
          <w:rFonts w:hint="eastAsia"/>
          <w:color w:val="000000" w:themeColor="text1"/>
          <w14:textFill>
            <w14:solidFill>
              <w14:schemeClr w14:val="tx1"/>
            </w14:solidFill>
          </w14:textFill>
        </w:rPr>
        <w:t>5.1.3下一步安全设施设计应重视得安全对策设施</w:t>
      </w:r>
      <w:bookmarkEnd w:id="3252"/>
    </w:p>
    <w:p w14:paraId="7669E7F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1、破碎站防尘措施，防噪声措施。</w:t>
      </w:r>
    </w:p>
    <w:p w14:paraId="57F4A54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szCs w:val="28"/>
          <w14:textFill>
            <w14:solidFill>
              <w14:schemeClr w14:val="tx1"/>
            </w14:solidFill>
          </w14:textFill>
        </w:rPr>
        <w:t>矿区周边有乡村公路通过，在爆破警戒范围内，开采时应采取相应安全措施，确保公路运输的安全</w:t>
      </w:r>
      <w:r>
        <w:rPr>
          <w:rFonts w:hint="eastAsia"/>
          <w:color w:val="000000" w:themeColor="text1"/>
          <w:szCs w:val="28"/>
          <w14:textFill>
            <w14:solidFill>
              <w14:schemeClr w14:val="tx1"/>
            </w14:solidFill>
          </w14:textFill>
        </w:rPr>
        <w:t>，</w:t>
      </w:r>
      <w:r>
        <w:rPr>
          <w:rFonts w:hint="eastAsia"/>
          <w:color w:val="000000" w:themeColor="text1"/>
          <w14:textFill>
            <w14:solidFill>
              <w14:schemeClr w14:val="tx1"/>
            </w14:solidFill>
          </w14:textFill>
        </w:rPr>
        <w:t>设计中应进行说明并提出防范措施。</w:t>
      </w:r>
    </w:p>
    <w:p w14:paraId="5F75779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szCs w:val="28"/>
          <w14:textFill>
            <w14:solidFill>
              <w14:schemeClr w14:val="tx1"/>
            </w14:solidFill>
          </w14:textFill>
        </w:rPr>
        <w:t>在矿界外形成一边坡，属历史遗留采区，长约190m，高约30～50mm。</w:t>
      </w:r>
      <w:r>
        <w:rPr>
          <w:color w:val="000000" w:themeColor="text1"/>
          <w14:textFill>
            <w14:solidFill>
              <w14:schemeClr w14:val="tx1"/>
            </w14:solidFill>
          </w14:textFill>
        </w:rPr>
        <w:t>经现场勘查</w:t>
      </w:r>
      <w:r>
        <w:rPr>
          <w:rFonts w:hint="eastAsia"/>
          <w:color w:val="000000" w:themeColor="text1"/>
          <w14:textFill>
            <w14:solidFill>
              <w14:schemeClr w14:val="tx1"/>
            </w14:solidFill>
          </w14:textFill>
        </w:rPr>
        <w:t>及边坡稳定性分析</w:t>
      </w:r>
      <w:r>
        <w:rPr>
          <w:color w:val="000000" w:themeColor="text1"/>
          <w14:textFill>
            <w14:solidFill>
              <w14:schemeClr w14:val="tx1"/>
            </w14:solidFill>
          </w14:textFill>
        </w:rPr>
        <w:t>，形成的台阶</w:t>
      </w:r>
      <w:r>
        <w:rPr>
          <w:rFonts w:hint="eastAsia"/>
          <w:color w:val="000000" w:themeColor="text1"/>
          <w14:textFill>
            <w14:solidFill>
              <w14:schemeClr w14:val="tx1"/>
            </w14:solidFill>
          </w14:textFill>
        </w:rPr>
        <w:t>、边坡</w:t>
      </w:r>
      <w:r>
        <w:rPr>
          <w:color w:val="000000" w:themeColor="text1"/>
          <w14:textFill>
            <w14:solidFill>
              <w14:schemeClr w14:val="tx1"/>
            </w14:solidFill>
          </w14:textFill>
        </w:rPr>
        <w:t>较稳定，矿区范围内目前未发生崩塌、滑坡、泥石流等地质</w:t>
      </w:r>
      <w:r>
        <w:rPr>
          <w:rFonts w:hint="eastAsia"/>
          <w:color w:val="000000" w:themeColor="text1"/>
          <w14:textFill>
            <w14:solidFill>
              <w14:schemeClr w14:val="tx1"/>
            </w14:solidFill>
          </w14:textFill>
        </w:rPr>
        <w:t>灾害，</w:t>
      </w:r>
      <w:bookmarkStart w:id="3253" w:name="_Hlk214370269"/>
      <w:r>
        <w:rPr>
          <w:rFonts w:hint="eastAsia"/>
          <w:color w:val="000000" w:themeColor="text1"/>
          <w14:textFill>
            <w14:solidFill>
              <w14:schemeClr w14:val="tx1"/>
            </w14:solidFill>
          </w14:textFill>
        </w:rPr>
        <w:t>设计中应进行说明并提出防范措施</w:t>
      </w:r>
      <w:bookmarkEnd w:id="3253"/>
      <w:r>
        <w:rPr>
          <w:rFonts w:hint="eastAsia"/>
          <w:color w:val="000000" w:themeColor="text1"/>
          <w14:textFill>
            <w14:solidFill>
              <w14:schemeClr w14:val="tx1"/>
            </w14:solidFill>
          </w14:textFill>
        </w:rPr>
        <w:t>：对该陡坡可采用在坡脚堆填废土或筑砌长度和宽度大于该陡坡的毛石挡墙做好支撑防护</w:t>
      </w:r>
      <w:r>
        <w:rPr>
          <w:color w:val="000000" w:themeColor="text1"/>
          <w14:textFill>
            <w14:solidFill>
              <w14:schemeClr w14:val="tx1"/>
            </w14:solidFill>
          </w14:textFill>
        </w:rPr>
        <w:t>。</w:t>
      </w:r>
    </w:p>
    <w:p w14:paraId="387AFF0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4、临时办公区、生活区距矿区较近，设计中应进行说明并提出防范措施，加强安全管理，严格执行爆破要求。</w:t>
      </w:r>
    </w:p>
    <w:p w14:paraId="6195A6F2">
      <w:pPr>
        <w:pStyle w:val="4"/>
        <w:spacing w:before="240" w:after="120"/>
        <w:rPr>
          <w:color w:val="000000" w:themeColor="text1"/>
          <w14:textFill>
            <w14:solidFill>
              <w14:schemeClr w14:val="tx1"/>
            </w14:solidFill>
          </w14:textFill>
        </w:rPr>
      </w:pPr>
      <w:bookmarkStart w:id="3254" w:name="_Toc18666"/>
      <w:bookmarkStart w:id="3255" w:name="_Toc1694"/>
      <w:bookmarkStart w:id="3256" w:name="_Toc15834"/>
      <w:bookmarkStart w:id="3257" w:name="_Toc392680796"/>
      <w:bookmarkStart w:id="3258" w:name="_Toc24757"/>
      <w:bookmarkStart w:id="3259" w:name="_Toc5029"/>
      <w:bookmarkStart w:id="3260" w:name="_Toc12012"/>
      <w:bookmarkStart w:id="3261" w:name="_Toc31768"/>
      <w:bookmarkStart w:id="3262" w:name="_Toc1803"/>
      <w:bookmarkStart w:id="3263" w:name="_Toc28018"/>
      <w:bookmarkStart w:id="3264" w:name="_Toc3930"/>
      <w:bookmarkStart w:id="3265" w:name="_Toc7585"/>
      <w:bookmarkStart w:id="3266" w:name="_Toc18549"/>
      <w:bookmarkStart w:id="3267" w:name="_Toc6558"/>
      <w:bookmarkStart w:id="3268" w:name="_Toc215070335"/>
      <w:bookmarkStart w:id="3269" w:name="_Toc2836"/>
      <w:bookmarkStart w:id="3270" w:name="_Toc7680"/>
      <w:r>
        <w:rPr>
          <w:rFonts w:hint="eastAsia"/>
          <w:color w:val="000000" w:themeColor="text1"/>
          <w14:textFill>
            <w14:solidFill>
              <w14:schemeClr w14:val="tx1"/>
            </w14:solidFill>
          </w14:textFill>
        </w:rPr>
        <w:t>5.2评价结论</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45328D19">
      <w:pPr>
        <w:ind w:firstLine="560"/>
        <w:rPr>
          <w:color w:val="000000" w:themeColor="text1"/>
          <w14:textFill>
            <w14:solidFill>
              <w14:schemeClr w14:val="tx1"/>
            </w14:solidFill>
          </w14:textFill>
        </w:rPr>
      </w:pPr>
      <w:bookmarkStart w:id="3271" w:name="_Toc105675944"/>
      <w:bookmarkStart w:id="3272" w:name="_Toc105730710"/>
      <w:bookmarkStart w:id="3273" w:name="_Toc105675464"/>
      <w:bookmarkStart w:id="3274" w:name="_Toc105676345"/>
      <w:r>
        <w:rPr>
          <w:color w:val="000000" w:themeColor="text1"/>
          <w14:textFill>
            <w14:solidFill>
              <w14:schemeClr w14:val="tx1"/>
            </w14:solidFill>
          </w14:textFill>
        </w:rPr>
        <w:t>评价组在现场踏勘及相关资料分析的基础上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结合建设项目的特点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分单元辨识了项目建设中的危险、有害因素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分析可能发生的事故类型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预测事故后果严重等级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按编制提纲划分了评价单元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选择了相应的评价方法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评价该项目建设方案与相关安全生产法律法规、技术规范的符合性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采用定性定量的方法分析评价其安全性及其发生事故后的后果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提出对应的安全技术与管理措施或建议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根据各单元的危险、有害因素辨识和定性定量评价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w:t>
      </w:r>
      <w:bookmarkStart w:id="3275" w:name="OLE_LINK13"/>
      <w:r>
        <w:rPr>
          <w:rFonts w:hint="eastAsia"/>
          <w:color w:val="000000" w:themeColor="text1"/>
          <w:szCs w:val="28"/>
          <w14:textFill>
            <w14:solidFill>
              <w14:schemeClr w14:val="tx1"/>
            </w14:solidFill>
          </w14:textFill>
        </w:rPr>
        <w:t>广南县旧莫小格达普通建筑石料石灰岩矿50万t/a露天采矿工程</w:t>
      </w:r>
      <w:bookmarkEnd w:id="3275"/>
      <w:r>
        <w:rPr>
          <w:color w:val="000000" w:themeColor="text1"/>
          <w14:textFill>
            <w14:solidFill>
              <w14:schemeClr w14:val="tx1"/>
            </w14:solidFill>
          </w14:textFill>
        </w:rPr>
        <w:t>项目形成以下安全预评价结论：</w:t>
      </w:r>
    </w:p>
    <w:p w14:paraId="3F5BC33C">
      <w:pPr>
        <w:ind w:firstLine="56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建设项目总平面布置总体上符合相关标准规范要求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满足安全生产需要</w:t>
      </w:r>
      <w:r>
        <w:rPr>
          <w:rFonts w:hint="eastAsia"/>
          <w:color w:val="000000" w:themeColor="text1"/>
          <w14:textFill>
            <w14:solidFill>
              <w14:schemeClr w14:val="tx1"/>
            </w14:solidFill>
          </w14:textFill>
        </w:rPr>
        <w:t>。</w:t>
      </w:r>
    </w:p>
    <w:p w14:paraId="3E5DB5C1">
      <w:pPr>
        <w:ind w:firstLine="56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建设项目采用露天矿山常用的采剥方法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采矿工艺成熟可靠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开采工艺参数与所选设备匹配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矿山开拓运输、防排水及供配电系统设计符合矿山实际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建设方案总体上符合《金属非金属矿山安全规程》</w:t>
      </w:r>
      <w:r>
        <w:rPr>
          <w:rFonts w:hint="eastAsia"/>
          <w:color w:val="000000" w:themeColor="text1"/>
          <w14:textFill>
            <w14:solidFill>
              <w14:schemeClr w14:val="tx1"/>
            </w14:solidFill>
          </w14:textFill>
        </w:rPr>
        <w:t>（GB</w:t>
      </w:r>
      <w:r>
        <w:rPr>
          <w:color w:val="000000" w:themeColor="text1"/>
          <w14:textFill>
            <w14:solidFill>
              <w14:schemeClr w14:val="tx1"/>
            </w14:solidFill>
          </w14:textFill>
        </w:rPr>
        <w:t>16423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等标准规范的要求</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矿山</w:t>
      </w:r>
      <w:r>
        <w:rPr>
          <w:rFonts w:hint="eastAsia"/>
          <w:color w:val="000000" w:themeColor="text1"/>
          <w14:textFill>
            <w14:solidFill>
              <w14:schemeClr w14:val="tx1"/>
            </w14:solidFill>
          </w14:textFill>
        </w:rPr>
        <w:t>部分采剥设备、</w:t>
      </w:r>
      <w:r>
        <w:rPr>
          <w:color w:val="000000" w:themeColor="text1"/>
          <w14:textFill>
            <w14:solidFill>
              <w14:schemeClr w14:val="tx1"/>
            </w14:solidFill>
          </w14:textFill>
        </w:rPr>
        <w:t>开拓运输</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、供配电系统</w:t>
      </w:r>
      <w:r>
        <w:rPr>
          <w:rFonts w:hint="eastAsia"/>
          <w:color w:val="000000" w:themeColor="text1"/>
          <w14:textFill>
            <w14:solidFill>
              <w14:schemeClr w14:val="tx1"/>
            </w14:solidFill>
          </w14:textFill>
        </w:rPr>
        <w:t>设施属于利旧设备设施。</w:t>
      </w:r>
    </w:p>
    <w:p w14:paraId="2C12889A">
      <w:pPr>
        <w:ind w:firstLine="56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w:t>
      </w:r>
      <w:r>
        <w:rPr>
          <w:rFonts w:hint="eastAsia"/>
          <w:color w:val="000000" w:themeColor="text1"/>
          <w14:textFill>
            <w14:solidFill>
              <w14:schemeClr w14:val="tx1"/>
            </w14:solidFill>
          </w14:textFill>
        </w:rPr>
        <w:t>组</w:t>
      </w:r>
      <w:r>
        <w:rPr>
          <w:color w:val="000000" w:themeColor="text1"/>
          <w14:textFill>
            <w14:solidFill>
              <w14:schemeClr w14:val="tx1"/>
            </w14:solidFill>
          </w14:textFill>
        </w:rPr>
        <w:t>认为</w:t>
      </w:r>
      <w:bookmarkStart w:id="3276" w:name="OLE_LINK14"/>
      <w:r>
        <w:rPr>
          <w:rFonts w:hint="eastAsia"/>
          <w:color w:val="000000" w:themeColor="text1"/>
          <w:szCs w:val="28"/>
          <w14:textFill>
            <w14:solidFill>
              <w14:schemeClr w14:val="tx1"/>
            </w14:solidFill>
          </w14:textFill>
        </w:rPr>
        <w:t>广南县旧莫小格达普通建筑石料石灰岩矿50万t/a露天采矿工程</w:t>
      </w:r>
      <w:bookmarkEnd w:id="3276"/>
      <w:r>
        <w:rPr>
          <w:color w:val="000000" w:themeColor="text1"/>
          <w14:textFill>
            <w14:solidFill>
              <w14:schemeClr w14:val="tx1"/>
            </w14:solidFill>
          </w14:textFill>
        </w:rPr>
        <w:t>项目存在物体打击、车辆伤害、机械伤害、触电、火灾、高处坠落、滑坡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坍塌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火药爆炸</w:t>
      </w:r>
      <w:r>
        <w:rPr>
          <w:color w:val="000000" w:themeColor="text1"/>
          <w14:textFill>
            <w14:solidFill>
              <w14:schemeClr w14:val="tx1"/>
            </w14:solidFill>
          </w14:textFill>
        </w:rPr>
        <w:t>及其他伤害等潜在的</w:t>
      </w:r>
      <w:r>
        <w:rPr>
          <w:rFonts w:hint="eastAsia"/>
          <w:color w:val="000000" w:themeColor="text1"/>
          <w14:textFill>
            <w14:solidFill>
              <w14:schemeClr w14:val="tx1"/>
            </w14:solidFill>
          </w14:textFill>
        </w:rPr>
        <w:t>生产安全事故，</w:t>
      </w:r>
      <w:r>
        <w:rPr>
          <w:color w:val="000000" w:themeColor="text1"/>
          <w14:textFill>
            <w14:solidFill>
              <w14:schemeClr w14:val="tx1"/>
            </w14:solidFill>
          </w14:textFill>
        </w:rPr>
        <w:t>该建设项目在建设施工和生产过程中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通过贯彻落实相关安全生产法律法规、技术规范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加强事故预防和安全管理工作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严格按照设计方案的要求建设安全设施和落实本次安全预评价报告提出的安全对策措施及建议后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潜在的危险、有害因素</w:t>
      </w:r>
      <w:r>
        <w:rPr>
          <w:rFonts w:hint="eastAsia"/>
          <w:color w:val="000000" w:themeColor="text1"/>
          <w14:textFill>
            <w14:solidFill>
              <w14:schemeClr w14:val="tx1"/>
            </w14:solidFill>
          </w14:textFill>
        </w:rPr>
        <w:t>导致的事故</w:t>
      </w:r>
      <w:r>
        <w:rPr>
          <w:color w:val="000000" w:themeColor="text1"/>
          <w14:textFill>
            <w14:solidFill>
              <w14:schemeClr w14:val="tx1"/>
            </w14:solidFill>
          </w14:textFill>
        </w:rPr>
        <w:t>能得到控制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安全风险在可接受的范围内</w:t>
      </w:r>
      <w:r>
        <w:rPr>
          <w:rFonts w:hint="eastAsia"/>
          <w:color w:val="000000" w:themeColor="text1"/>
          <w14:textFill>
            <w14:solidFill>
              <w14:schemeClr w14:val="tx1"/>
            </w14:solidFill>
          </w14:textFill>
        </w:rPr>
        <w:t>。</w:t>
      </w:r>
    </w:p>
    <w:p w14:paraId="5E0F4D77">
      <w:pPr>
        <w:pStyle w:val="18"/>
        <w:ind w:firstLine="0" w:firstLineChars="0"/>
        <w:rPr>
          <w:color w:val="000000" w:themeColor="text1"/>
          <w14:textFill>
            <w14:solidFill>
              <w14:schemeClr w14:val="tx1"/>
            </w14:solidFill>
          </w14:textFill>
        </w:rPr>
        <w:sectPr>
          <w:headerReference r:id="rId17" w:type="default"/>
          <w:footerReference r:id="rId18" w:type="default"/>
          <w:pgSz w:w="11906" w:h="16838"/>
          <w:pgMar w:top="1134" w:right="1134" w:bottom="1134" w:left="1587" w:header="850" w:footer="850" w:gutter="0"/>
          <w:cols w:space="720" w:num="1"/>
          <w:docGrid w:linePitch="312" w:charSpace="0"/>
        </w:sectPr>
      </w:pPr>
      <w:r>
        <w:rPr>
          <w:b/>
          <w:bCs/>
          <w:color w:val="000000" w:themeColor="text1"/>
          <w14:textFill>
            <w14:solidFill>
              <w14:schemeClr w14:val="tx1"/>
            </w14:solidFill>
          </w14:textFill>
        </w:rPr>
        <w:t>评价认为：</w:t>
      </w:r>
      <w:r>
        <w:rPr>
          <w:rFonts w:hint="eastAsia"/>
          <w:b/>
          <w:bCs/>
          <w:color w:val="000000" w:themeColor="text1"/>
          <w14:textFill>
            <w14:solidFill>
              <w14:schemeClr w14:val="tx1"/>
            </w14:solidFill>
          </w14:textFill>
        </w:rPr>
        <w:t>广南县旧莫小格达普通建筑石料石灰岩矿50万t/a露天采矿工程</w:t>
      </w:r>
      <w:r>
        <w:rPr>
          <w:b/>
          <w:bCs/>
          <w:color w:val="000000" w:themeColor="text1"/>
          <w14:textFill>
            <w14:solidFill>
              <w14:schemeClr w14:val="tx1"/>
            </w14:solidFill>
          </w14:textFill>
        </w:rPr>
        <w:t>项目从安全生产角度符合国家有关法律、法规、标准和规范的要求</w:t>
      </w:r>
      <w:r>
        <w:rPr>
          <w:rFonts w:hint="eastAsia"/>
          <w:b/>
          <w:bCs/>
          <w:color w:val="000000" w:themeColor="text1"/>
          <w14:textFill>
            <w14:solidFill>
              <w14:schemeClr w14:val="tx1"/>
            </w14:solidFill>
          </w14:textFill>
        </w:rPr>
        <w:t>。</w:t>
      </w:r>
    </w:p>
    <w:bookmarkEnd w:id="1846"/>
    <w:bookmarkEnd w:id="1847"/>
    <w:bookmarkEnd w:id="1848"/>
    <w:bookmarkEnd w:id="1849"/>
    <w:bookmarkEnd w:id="3271"/>
    <w:bookmarkEnd w:id="3272"/>
    <w:bookmarkEnd w:id="3273"/>
    <w:bookmarkEnd w:id="3274"/>
    <w:p w14:paraId="0C1BC00D">
      <w:pPr>
        <w:ind w:firstLine="0" w:firstLineChars="0"/>
        <w:rPr>
          <w:b/>
          <w:bCs/>
          <w:color w:val="000000" w:themeColor="text1"/>
          <w14:textFill>
            <w14:solidFill>
              <w14:schemeClr w14:val="tx1"/>
            </w14:solidFill>
          </w14:textFill>
        </w:rPr>
      </w:pPr>
      <w:bookmarkStart w:id="3277" w:name="_Toc4082"/>
      <w:bookmarkStart w:id="3278" w:name="_Toc11658"/>
      <w:bookmarkStart w:id="3279" w:name="_Toc31487"/>
      <w:bookmarkStart w:id="3280" w:name="_Toc392680798"/>
      <w:bookmarkStart w:id="3281" w:name="_Toc24674"/>
      <w:bookmarkStart w:id="3282" w:name="_Toc186627183"/>
      <w:bookmarkStart w:id="3283" w:name="_Toc115120306"/>
      <w:bookmarkStart w:id="3284" w:name="_Toc115120700"/>
      <w:bookmarkStart w:id="3285" w:name="_Toc187730142"/>
      <w:bookmarkStart w:id="3286" w:name="_Toc186525304"/>
    </w:p>
    <w:p w14:paraId="1B760757">
      <w:pPr>
        <w:rPr>
          <w:color w:val="000000" w:themeColor="text1"/>
          <w14:textFill>
            <w14:solidFill>
              <w14:schemeClr w14:val="tx1"/>
            </w14:solidFill>
          </w14:textFill>
        </w:rPr>
      </w:pPr>
      <w:bookmarkStart w:id="3287" w:name="_Toc8031"/>
      <w:bookmarkStart w:id="3288" w:name="_Toc17044"/>
      <w:bookmarkStart w:id="3289" w:name="_Toc22999"/>
      <w:bookmarkStart w:id="3290" w:name="_Toc2313"/>
      <w:bookmarkStart w:id="3291" w:name="_Toc1755"/>
      <w:bookmarkStart w:id="3292" w:name="_Toc15793"/>
      <w:bookmarkStart w:id="3293" w:name="_Toc29487"/>
      <w:bookmarkStart w:id="3294" w:name="_Toc617"/>
      <w:bookmarkStart w:id="3295" w:name="_Toc21236"/>
      <w:bookmarkStart w:id="3296" w:name="_Toc215070336"/>
      <w:bookmarkStart w:id="3297" w:name="_Toc28055"/>
      <w:bookmarkStart w:id="3298" w:name="_Toc8785"/>
      <w:r>
        <w:rPr>
          <w:color w:val="000000" w:themeColor="text1"/>
          <w14:textFill>
            <w14:solidFill>
              <w14:schemeClr w14:val="tx1"/>
            </w14:solidFill>
          </w14:textFill>
        </w:rPr>
        <w:br w:type="page"/>
      </w:r>
    </w:p>
    <w:p w14:paraId="1FA362D4">
      <w:pPr>
        <w:pStyle w:val="3"/>
        <w:spacing w:before="480" w:after="240"/>
        <w:jc w:val="left"/>
        <w:rPr>
          <w:rFonts w:hint="default"/>
          <w:color w:val="000000" w:themeColor="text1"/>
          <w14:textFill>
            <w14:solidFill>
              <w14:schemeClr w14:val="tx1"/>
            </w14:solidFill>
          </w14:textFill>
        </w:rPr>
      </w:pPr>
      <w:r>
        <w:rPr>
          <w:color w:val="000000" w:themeColor="text1"/>
          <w14:textFill>
            <w14:solidFill>
              <w14:schemeClr w14:val="tx1"/>
            </w14:solidFill>
          </w14:textFill>
        </w:rPr>
        <w:t>6.附件附图</w:t>
      </w:r>
      <w:bookmarkEnd w:id="3277"/>
      <w:bookmarkEnd w:id="3278"/>
      <w:bookmarkEnd w:id="3279"/>
      <w:bookmarkEnd w:id="3280"/>
      <w:bookmarkEnd w:id="3281"/>
      <w:bookmarkEnd w:id="3287"/>
      <w:bookmarkEnd w:id="3288"/>
      <w:bookmarkEnd w:id="3289"/>
      <w:bookmarkEnd w:id="3290"/>
      <w:bookmarkEnd w:id="3291"/>
      <w:bookmarkEnd w:id="3292"/>
      <w:bookmarkEnd w:id="3293"/>
      <w:bookmarkEnd w:id="3294"/>
      <w:bookmarkEnd w:id="3295"/>
      <w:bookmarkEnd w:id="3296"/>
      <w:bookmarkEnd w:id="3297"/>
      <w:bookmarkEnd w:id="3298"/>
    </w:p>
    <w:bookmarkEnd w:id="3282"/>
    <w:bookmarkEnd w:id="3283"/>
    <w:bookmarkEnd w:id="3284"/>
    <w:bookmarkEnd w:id="3285"/>
    <w:bookmarkEnd w:id="3286"/>
    <w:p w14:paraId="5A132A05">
      <w:pPr>
        <w:pStyle w:val="4"/>
        <w:spacing w:before="240" w:after="120"/>
        <w:rPr>
          <w:color w:val="000000" w:themeColor="text1"/>
          <w14:textFill>
            <w14:solidFill>
              <w14:schemeClr w14:val="tx1"/>
            </w14:solidFill>
          </w14:textFill>
        </w:rPr>
      </w:pPr>
      <w:bookmarkStart w:id="3299" w:name="_Toc22039"/>
      <w:bookmarkStart w:id="3300" w:name="_Toc30230"/>
      <w:bookmarkStart w:id="3301" w:name="_Toc24835"/>
      <w:bookmarkStart w:id="3302" w:name="_Toc22074"/>
      <w:bookmarkStart w:id="3303" w:name="_Toc215070337"/>
      <w:bookmarkStart w:id="3304" w:name="_Toc22474"/>
      <w:bookmarkStart w:id="3305" w:name="_Toc25653"/>
      <w:bookmarkStart w:id="3306" w:name="_Toc15830"/>
      <w:r>
        <w:rPr>
          <w:rFonts w:hint="eastAsia"/>
          <w:color w:val="000000" w:themeColor="text1"/>
          <w14:textFill>
            <w14:solidFill>
              <w14:schemeClr w14:val="tx1"/>
            </w14:solidFill>
          </w14:textFill>
        </w:rPr>
        <w:t>6.1附件</w:t>
      </w:r>
      <w:bookmarkEnd w:id="3299"/>
      <w:bookmarkEnd w:id="3300"/>
      <w:bookmarkEnd w:id="3301"/>
      <w:bookmarkEnd w:id="3302"/>
      <w:bookmarkEnd w:id="3303"/>
      <w:bookmarkEnd w:id="3304"/>
      <w:bookmarkEnd w:id="3305"/>
      <w:bookmarkEnd w:id="3306"/>
    </w:p>
    <w:p w14:paraId="2C3FD4D7">
      <w:pPr>
        <w:ind w:firstLine="0" w:firstLineChars="0"/>
        <w:rPr>
          <w:color w:val="000000" w:themeColor="text1"/>
          <w14:textFill>
            <w14:solidFill>
              <w14:schemeClr w14:val="tx1"/>
            </w14:solidFill>
          </w14:textFill>
        </w:rPr>
      </w:pPr>
      <w:bookmarkStart w:id="3307" w:name="OLE_LINK17"/>
      <w:r>
        <w:rPr>
          <w:rFonts w:hint="eastAsia"/>
          <w:color w:val="000000" w:themeColor="text1"/>
          <w14:textFill>
            <w14:solidFill>
              <w14:schemeClr w14:val="tx1"/>
            </w14:solidFill>
          </w14:textFill>
        </w:rPr>
        <w:t>附件1  安全评价检测检验机构从业告知书及回复</w:t>
      </w:r>
    </w:p>
    <w:bookmarkEnd w:id="3307"/>
    <w:p w14:paraId="27D4F979">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附件2  委托书及提供资料真实性承诺</w:t>
      </w:r>
    </w:p>
    <w:p w14:paraId="307367BB">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附件3  云南省固定资产投资项目备案证</w:t>
      </w:r>
    </w:p>
    <w:p w14:paraId="565F436E">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附件4  营业执照</w:t>
      </w:r>
    </w:p>
    <w:p w14:paraId="1FAAAC47">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附件5  采矿许可证（副本）</w:t>
      </w:r>
    </w:p>
    <w:p w14:paraId="719FE70C">
      <w:pPr>
        <w:tabs>
          <w:tab w:val="left" w:pos="540"/>
        </w:tabs>
        <w:ind w:firstLine="0" w:firstLineChars="0"/>
        <w:jc w:val="both"/>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 xml:space="preserve">附件6 </w:t>
      </w:r>
      <w:r>
        <w:rPr>
          <w:color w:val="000000" w:themeColor="text1"/>
          <w:szCs w:val="28"/>
          <w14:textFill>
            <w14:solidFill>
              <w14:schemeClr w14:val="tx1"/>
            </w14:solidFill>
          </w14:textFill>
        </w:rPr>
        <w:t>《云南省</w:t>
      </w:r>
      <w:r>
        <w:rPr>
          <w:rFonts w:hint="eastAsia"/>
          <w:color w:val="000000" w:themeColor="text1"/>
          <w:szCs w:val="28"/>
          <w14:textFill>
            <w14:solidFill>
              <w14:schemeClr w14:val="tx1"/>
            </w14:solidFill>
          </w14:textFill>
        </w:rPr>
        <w:t>广南县旧莫小格达普通建筑石料用灰岩矿资源储量核实报告（</w:t>
      </w:r>
      <w:r>
        <w:rPr>
          <w:color w:val="000000" w:themeColor="text1"/>
          <w:szCs w:val="28"/>
          <w14:textFill>
            <w14:solidFill>
              <w14:schemeClr w14:val="tx1"/>
            </w14:solidFill>
          </w14:textFill>
        </w:rPr>
        <w:t>20</w:t>
      </w:r>
      <w:r>
        <w:rPr>
          <w:rFonts w:hint="eastAsia"/>
          <w:color w:val="000000" w:themeColor="text1"/>
          <w:szCs w:val="28"/>
          <w14:textFill>
            <w14:solidFill>
              <w14:schemeClr w14:val="tx1"/>
            </w14:solidFill>
          </w14:textFill>
        </w:rPr>
        <w:t>23</w:t>
      </w:r>
      <w:r>
        <w:rPr>
          <w:color w:val="000000" w:themeColor="text1"/>
          <w:szCs w:val="28"/>
          <w14:textFill>
            <w14:solidFill>
              <w14:schemeClr w14:val="tx1"/>
            </w14:solidFill>
          </w14:textFill>
        </w:rPr>
        <w:t>年</w:t>
      </w:r>
      <w:r>
        <w:rPr>
          <w:rFonts w:hint="eastAsia"/>
          <w:color w:val="000000" w:themeColor="text1"/>
          <w:szCs w:val="28"/>
          <w14:textFill>
            <w14:solidFill>
              <w14:schemeClr w14:val="tx1"/>
            </w14:solidFill>
          </w14:textFill>
        </w:rPr>
        <w:t>）</w:t>
      </w:r>
      <w:r>
        <w:rPr>
          <w:color w:val="000000" w:themeColor="text1"/>
          <w:szCs w:val="28"/>
          <w14:textFill>
            <w14:solidFill>
              <w14:schemeClr w14:val="tx1"/>
            </w14:solidFill>
          </w14:textFill>
        </w:rPr>
        <w:t>》评审意见书</w:t>
      </w:r>
      <w:r>
        <w:rPr>
          <w:rFonts w:hint="eastAsia"/>
          <w:color w:val="000000" w:themeColor="text1"/>
          <w:szCs w:val="28"/>
          <w14:textFill>
            <w14:solidFill>
              <w14:schemeClr w14:val="tx1"/>
            </w14:solidFill>
          </w14:textFill>
        </w:rPr>
        <w:t>，云金涌道矿评储字〔2024〕4号</w:t>
      </w:r>
      <w:r>
        <w:rPr>
          <w:color w:val="000000" w:themeColor="text1"/>
          <w:szCs w:val="28"/>
          <w14:textFill>
            <w14:solidFill>
              <w14:schemeClr w14:val="tx1"/>
            </w14:solidFill>
          </w14:textFill>
        </w:rPr>
        <w:t>。</w:t>
      </w:r>
    </w:p>
    <w:p w14:paraId="1E6FAD99">
      <w:pPr>
        <w:ind w:left="1120" w:hanging="112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附件8 《</w:t>
      </w:r>
      <w:r>
        <w:rPr>
          <w:rFonts w:hint="eastAsia"/>
          <w:color w:val="000000" w:themeColor="text1"/>
          <w:szCs w:val="28"/>
          <w14:textFill>
            <w14:solidFill>
              <w14:schemeClr w14:val="tx1"/>
            </w14:solidFill>
          </w14:textFill>
        </w:rPr>
        <w:t>广南县旧莫小格达普通建筑石料石灰岩矿50万t/a露天采矿工程</w:t>
      </w:r>
      <w:r>
        <w:rPr>
          <w:rFonts w:hint="eastAsia"/>
          <w:color w:val="000000" w:themeColor="text1"/>
          <w14:textFill>
            <w14:solidFill>
              <w14:schemeClr w14:val="tx1"/>
            </w14:solidFill>
          </w14:textFill>
        </w:rPr>
        <w:t>可行性研究报告》封面扉页</w:t>
      </w:r>
    </w:p>
    <w:p w14:paraId="3D639256">
      <w:pPr>
        <w:ind w:firstLine="0" w:firstLineChars="0"/>
        <w:rPr>
          <w:color w:val="000000" w:themeColor="text1"/>
          <w14:textFill>
            <w14:solidFill>
              <w14:schemeClr w14:val="tx1"/>
            </w14:solidFill>
          </w14:textFill>
        </w:rPr>
        <w:sectPr>
          <w:footerReference r:id="rId19" w:type="default"/>
          <w:type w:val="continuous"/>
          <w:pgSz w:w="11906" w:h="16838"/>
          <w:pgMar w:top="1134" w:right="1134" w:bottom="1134" w:left="1587" w:header="850" w:footer="850" w:gutter="0"/>
          <w:cols w:space="720" w:num="1"/>
          <w:docGrid w:linePitch="312" w:charSpace="0"/>
        </w:sectPr>
      </w:pPr>
    </w:p>
    <w:p w14:paraId="2FF1B939">
      <w:pPr>
        <w:pStyle w:val="4"/>
        <w:spacing w:before="240" w:after="120"/>
        <w:rPr>
          <w:color w:val="000000" w:themeColor="text1"/>
          <w14:textFill>
            <w14:solidFill>
              <w14:schemeClr w14:val="tx1"/>
            </w14:solidFill>
          </w14:textFill>
        </w:rPr>
      </w:pPr>
      <w:bookmarkStart w:id="3308" w:name="_Toc18640"/>
      <w:bookmarkStart w:id="3309" w:name="_Toc12582"/>
      <w:bookmarkStart w:id="3310" w:name="_Toc16433"/>
      <w:bookmarkStart w:id="3311" w:name="_Toc16251"/>
      <w:bookmarkStart w:id="3312" w:name="_Toc23310"/>
      <w:bookmarkStart w:id="3313" w:name="_Toc31976"/>
      <w:bookmarkStart w:id="3314" w:name="_Toc25373"/>
      <w:bookmarkStart w:id="3315" w:name="_Toc215070338"/>
      <w:r>
        <w:rPr>
          <w:rFonts w:hint="eastAsia"/>
          <w:color w:val="000000" w:themeColor="text1"/>
          <w14:textFill>
            <w14:solidFill>
              <w14:schemeClr w14:val="tx1"/>
            </w14:solidFill>
          </w14:textFill>
        </w:rPr>
        <w:t>6.2附图</w:t>
      </w:r>
      <w:bookmarkEnd w:id="3308"/>
      <w:bookmarkEnd w:id="3309"/>
      <w:bookmarkEnd w:id="3310"/>
      <w:bookmarkEnd w:id="3311"/>
      <w:bookmarkEnd w:id="3312"/>
      <w:bookmarkEnd w:id="3313"/>
      <w:bookmarkEnd w:id="3314"/>
      <w:bookmarkEnd w:id="3315"/>
    </w:p>
    <w:bookmarkEnd w:id="1850"/>
    <w:bookmarkEnd w:id="1851"/>
    <w:bookmarkEnd w:id="1852"/>
    <w:bookmarkEnd w:id="1853"/>
    <w:bookmarkEnd w:id="1854"/>
    <w:bookmarkEnd w:id="1855"/>
    <w:bookmarkEnd w:id="1856"/>
    <w:bookmarkEnd w:id="1857"/>
    <w:bookmarkEnd w:id="1858"/>
    <w:bookmarkEnd w:id="1859"/>
    <w:bookmarkEnd w:id="1860"/>
    <w:p w14:paraId="675B7A39">
      <w:pPr>
        <w:adjustRightInd w:val="0"/>
        <w:snapToGrid w:val="0"/>
        <w:ind w:firstLine="560"/>
        <w:jc w:val="both"/>
        <w:rPr>
          <w:color w:val="000000" w:themeColor="text1"/>
          <w:szCs w:val="28"/>
          <w14:textFill>
            <w14:solidFill>
              <w14:schemeClr w14:val="tx1"/>
            </w14:solidFill>
          </w14:textFill>
        </w:rPr>
      </w:pPr>
    </w:p>
    <w:p w14:paraId="3B6CD797">
      <w:pPr>
        <w:ind w:firstLine="560"/>
        <w:rPr>
          <w:color w:val="000000" w:themeColor="text1"/>
          <w14:textFill>
            <w14:solidFill>
              <w14:schemeClr w14:val="tx1"/>
            </w14:solidFill>
          </w14:textFill>
        </w:rPr>
      </w:pPr>
      <w:r>
        <w:rPr>
          <w:color w:val="000000" w:themeColor="text1"/>
          <w14:textFill>
            <w14:solidFill>
              <w14:schemeClr w14:val="tx1"/>
            </w14:solidFill>
          </w14:textFill>
        </w:rPr>
        <w:t>附图01：</w:t>
      </w:r>
      <w:r>
        <w:rPr>
          <w:rFonts w:hint="eastAsia"/>
          <w:color w:val="000000" w:themeColor="text1"/>
          <w14:textFill>
            <w14:solidFill>
              <w14:schemeClr w14:val="tx1"/>
            </w14:solidFill>
          </w14:textFill>
        </w:rPr>
        <w:t>工程地质地形图</w:t>
      </w:r>
      <w:r>
        <w:rPr>
          <w:color w:val="000000" w:themeColor="text1"/>
          <w14:textFill>
            <w14:solidFill>
              <w14:schemeClr w14:val="tx1"/>
            </w14:solidFill>
          </w14:textFill>
        </w:rPr>
        <w:t>；</w:t>
      </w:r>
    </w:p>
    <w:p w14:paraId="5997917F">
      <w:pPr>
        <w:ind w:firstLine="560"/>
        <w:rPr>
          <w:color w:val="000000" w:themeColor="text1"/>
          <w14:textFill>
            <w14:solidFill>
              <w14:schemeClr w14:val="tx1"/>
            </w14:solidFill>
          </w14:textFill>
        </w:rPr>
      </w:pPr>
      <w:r>
        <w:rPr>
          <w:color w:val="000000" w:themeColor="text1"/>
          <w14:textFill>
            <w14:solidFill>
              <w14:schemeClr w14:val="tx1"/>
            </w14:solidFill>
          </w14:textFill>
        </w:rPr>
        <w:t>附图0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总平面布置图</w:t>
      </w:r>
    </w:p>
    <w:p w14:paraId="26B5A694">
      <w:pPr>
        <w:ind w:firstLine="560"/>
        <w:rPr>
          <w:color w:val="000000" w:themeColor="text1"/>
          <w14:textFill>
            <w14:solidFill>
              <w14:schemeClr w14:val="tx1"/>
            </w14:solidFill>
          </w14:textFill>
        </w:rPr>
      </w:pPr>
      <w:r>
        <w:rPr>
          <w:color w:val="000000" w:themeColor="text1"/>
          <w14:textFill>
            <w14:solidFill>
              <w14:schemeClr w14:val="tx1"/>
            </w14:solidFill>
          </w14:textFill>
        </w:rPr>
        <w:t>附图03：</w:t>
      </w:r>
      <w:r>
        <w:rPr>
          <w:rFonts w:hint="eastAsia"/>
          <w:color w:val="000000" w:themeColor="text1"/>
          <w14:textFill>
            <w14:solidFill>
              <w14:schemeClr w14:val="tx1"/>
            </w14:solidFill>
          </w14:textFill>
        </w:rPr>
        <w:t>基建终了平面图</w:t>
      </w:r>
      <w:r>
        <w:rPr>
          <w:color w:val="000000" w:themeColor="text1"/>
          <w14:textFill>
            <w14:solidFill>
              <w14:schemeClr w14:val="tx1"/>
            </w14:solidFill>
          </w14:textFill>
        </w:rPr>
        <w:t>；</w:t>
      </w:r>
    </w:p>
    <w:p w14:paraId="21C455C2">
      <w:pPr>
        <w:ind w:firstLine="560"/>
        <w:rPr>
          <w:color w:val="000000" w:themeColor="text1"/>
          <w14:textFill>
            <w14:solidFill>
              <w14:schemeClr w14:val="tx1"/>
            </w14:solidFill>
          </w14:textFill>
        </w:rPr>
      </w:pPr>
      <w:r>
        <w:rPr>
          <w:color w:val="000000" w:themeColor="text1"/>
          <w14:textFill>
            <w14:solidFill>
              <w14:schemeClr w14:val="tx1"/>
            </w14:solidFill>
          </w14:textFill>
        </w:rPr>
        <w:t>附图04：</w:t>
      </w:r>
      <w:r>
        <w:rPr>
          <w:rFonts w:hint="eastAsia"/>
          <w:color w:val="000000" w:themeColor="text1"/>
          <w14:textFill>
            <w14:solidFill>
              <w14:schemeClr w14:val="tx1"/>
            </w14:solidFill>
          </w14:textFill>
        </w:rPr>
        <w:t>开采终了平面图</w:t>
      </w:r>
      <w:r>
        <w:rPr>
          <w:color w:val="000000" w:themeColor="text1"/>
          <w14:textFill>
            <w14:solidFill>
              <w14:schemeClr w14:val="tx1"/>
            </w14:solidFill>
          </w14:textFill>
        </w:rPr>
        <w:t>；</w:t>
      </w:r>
    </w:p>
    <w:p w14:paraId="041AACBA">
      <w:pPr>
        <w:ind w:firstLine="560"/>
        <w:rPr>
          <w:color w:val="000000" w:themeColor="text1"/>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05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开采设计平面图；</w:t>
      </w:r>
    </w:p>
    <w:p w14:paraId="0E61065C">
      <w:pPr>
        <w:ind w:firstLine="560"/>
        <w:rPr>
          <w:color w:val="000000" w:themeColor="text1"/>
          <w14:textFill>
            <w14:solidFill>
              <w14:schemeClr w14:val="tx1"/>
            </w14:solidFill>
          </w14:textFill>
        </w:rPr>
      </w:pPr>
      <w:r>
        <w:rPr>
          <w:color w:val="000000" w:themeColor="text1"/>
          <w14:textFill>
            <w14:solidFill>
              <w14:schemeClr w14:val="tx1"/>
            </w14:solidFill>
          </w14:textFill>
        </w:rPr>
        <w:t>附图06：</w:t>
      </w:r>
      <w:r>
        <w:rPr>
          <w:rFonts w:hint="eastAsia"/>
          <w:color w:val="000000" w:themeColor="text1"/>
          <w14:textFill>
            <w14:solidFill>
              <w14:schemeClr w14:val="tx1"/>
            </w14:solidFill>
          </w14:textFill>
        </w:rPr>
        <w:t>开采采剥工艺示意图</w:t>
      </w:r>
      <w:r>
        <w:rPr>
          <w:color w:val="000000" w:themeColor="text1"/>
          <w14:textFill>
            <w14:solidFill>
              <w14:schemeClr w14:val="tx1"/>
            </w14:solidFill>
          </w14:textFill>
        </w:rPr>
        <w:t>；</w:t>
      </w:r>
    </w:p>
    <w:p w14:paraId="3B3DA009">
      <w:pPr>
        <w:ind w:firstLine="560"/>
        <w:rPr>
          <w:color w:val="000000" w:themeColor="text1"/>
          <w14:textFill>
            <w14:solidFill>
              <w14:schemeClr w14:val="tx1"/>
            </w14:solidFill>
          </w14:textFill>
        </w:rPr>
      </w:pPr>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07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资源量估算平面图；</w:t>
      </w:r>
    </w:p>
    <w:p w14:paraId="46313DFB">
      <w:pPr>
        <w:pStyle w:val="18"/>
        <w:ind w:firstLine="560"/>
        <w:rPr>
          <w:color w:val="000000" w:themeColor="text1"/>
          <w14:textFill>
            <w14:solidFill>
              <w14:schemeClr w14:val="tx1"/>
            </w14:solidFill>
          </w14:textFill>
        </w:rPr>
      </w:pPr>
    </w:p>
    <w:p w14:paraId="6A238F50">
      <w:pPr>
        <w:ind w:firstLine="560"/>
      </w:pPr>
    </w:p>
    <w:p w14:paraId="713DD4B0">
      <w:pPr>
        <w:ind w:firstLine="560"/>
      </w:pPr>
    </w:p>
    <w:p w14:paraId="6C1561F7">
      <w:pPr>
        <w:ind w:firstLine="560"/>
      </w:pPr>
    </w:p>
    <w:p w14:paraId="0B5C2EA7">
      <w:pPr>
        <w:ind w:firstLine="560"/>
      </w:pPr>
    </w:p>
    <w:p w14:paraId="6A768220">
      <w:pPr>
        <w:ind w:firstLine="560"/>
      </w:pPr>
    </w:p>
    <w:p w14:paraId="5F6AEE13">
      <w:pPr>
        <w:ind w:firstLine="560"/>
      </w:pPr>
    </w:p>
    <w:p w14:paraId="243C30B0">
      <w:pPr>
        <w:ind w:firstLine="560"/>
      </w:pPr>
    </w:p>
    <w:p w14:paraId="342484FD">
      <w:pPr>
        <w:ind w:firstLine="560"/>
      </w:pPr>
    </w:p>
    <w:p w14:paraId="780EA876">
      <w:pPr>
        <w:ind w:firstLine="560"/>
      </w:pPr>
    </w:p>
    <w:p w14:paraId="6561ACCD">
      <w:pPr>
        <w:ind w:firstLine="560"/>
      </w:pPr>
    </w:p>
    <w:p w14:paraId="6F2F3113">
      <w:pPr>
        <w:ind w:firstLine="560"/>
      </w:pPr>
    </w:p>
    <w:p w14:paraId="007AA8BB">
      <w:pPr>
        <w:ind w:firstLine="560"/>
      </w:pPr>
    </w:p>
    <w:p w14:paraId="7CA7C71A">
      <w:pPr>
        <w:ind w:firstLine="560"/>
      </w:pPr>
    </w:p>
    <w:p w14:paraId="4B8E20FD">
      <w:pPr>
        <w:ind w:firstLine="560"/>
      </w:pPr>
    </w:p>
    <w:p w14:paraId="2694688C">
      <w:pPr>
        <w:ind w:firstLine="560"/>
      </w:pPr>
    </w:p>
    <w:p w14:paraId="267B8626">
      <w:pPr>
        <w:ind w:firstLine="560"/>
      </w:pPr>
    </w:p>
    <w:p w14:paraId="6BD617A0">
      <w:pPr>
        <w:ind w:firstLine="560"/>
        <w:jc w:val="center"/>
      </w:pPr>
    </w:p>
    <w:sectPr>
      <w:pgSz w:w="11906" w:h="16838"/>
      <w:pgMar w:top="1134" w:right="1134" w:bottom="1134" w:left="1587" w:header="850" w:footer="850"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7F" w:usb3="00000000" w:csb0="003F01FF"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Trebuchet MS">
    <w:panose1 w:val="020B0603020202020204"/>
    <w:charset w:val="00"/>
    <w:family w:val="swiss"/>
    <w:pitch w:val="default"/>
    <w:sig w:usb0="00000687" w:usb1="00000000" w:usb2="00000000" w:usb3="00000000" w:csb0="2000009F"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7BF74">
    <w:pPr>
      <w:pStyle w:val="28"/>
      <w:adjustRightInd w:val="0"/>
      <w:spacing w:line="240" w:lineRule="auto"/>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19F15">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98ECB">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F3FC6">
    <w:pPr>
      <w:pStyle w:val="28"/>
      <w:pBdr>
        <w:top w:val="single" w:color="auto" w:sz="4" w:space="1"/>
      </w:pBdr>
      <w:adjustRightInd w:val="0"/>
      <w:spacing w:line="240" w:lineRule="auto"/>
      <w:ind w:firstLine="210" w:firstLineChars="100"/>
      <w:jc w:val="both"/>
      <w:rPr>
        <w:sz w:val="21"/>
        <w:szCs w:val="21"/>
      </w:rPr>
    </w:pPr>
    <w:r>
      <w:rPr>
        <w:sz w:val="21"/>
        <w:szCs w:val="21"/>
      </w:rPr>
      <mc:AlternateContent>
        <mc:Choice Requires="wps">
          <w:drawing>
            <wp:anchor distT="0" distB="0" distL="114300" distR="114300" simplePos="0" relativeHeight="251669504" behindDoc="0" locked="0" layoutInCell="1" allowOverlap="1">
              <wp:simplePos x="0" y="0"/>
              <wp:positionH relativeFrom="margin">
                <wp:posOffset>2590165</wp:posOffset>
              </wp:positionH>
              <wp:positionV relativeFrom="paragraph">
                <wp:posOffset>43815</wp:posOffset>
              </wp:positionV>
              <wp:extent cx="838200" cy="462915"/>
              <wp:effectExtent l="0" t="0" r="0" b="13335"/>
              <wp:wrapNone/>
              <wp:docPr id="1885319049"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838200" cy="462915"/>
                      </a:xfrm>
                      <a:prstGeom prst="rect">
                        <a:avLst/>
                      </a:prstGeom>
                      <a:noFill/>
                      <a:ln>
                        <a:noFill/>
                      </a:ln>
                    </wps:spPr>
                    <wps:txbx>
                      <w:txbxContent>
                        <w:p w14:paraId="69E930DB">
                          <w:pPr>
                            <w:pStyle w:val="2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wps:txbx>
                    <wps:bodyPr rot="0" vert="horz" wrap="square" lIns="0" tIns="0" rIns="0" bIns="0" anchor="t" anchorCtr="0" upright="1">
                      <a:noAutofit/>
                    </wps:bodyPr>
                  </wps:wsp>
                </a:graphicData>
              </a:graphic>
            </wp:anchor>
          </w:drawing>
        </mc:Choice>
        <mc:Fallback>
          <w:pict>
            <v:shape id="文本框 32" o:spid="_x0000_s1026" o:spt="202" type="#_x0000_t202" style="position:absolute;left:0pt;margin-left:203.95pt;margin-top:3.45pt;height:36.45pt;width:66pt;mso-position-horizontal-relative:margin;z-index:251669504;mso-width-relative:page;mso-height-relative:page;" filled="f" stroked="f" coordsize="21600,21600" o:gfxdata="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2/Wz2AAAAAgBAAAPAAAA&#10;AAAAAAEAIAAAACIAAABkcnMvZG93bnJldi54bWxQSwECFAAUAAAACACHTuJAjisZxxUCAAAOBAAA&#10;DgAAAAAAAAABACAAAAAnAQAAZHJzL2Uyb0RvYy54bWxQSwUGAAAAAAYABgBZAQAArgUAAAAA&#10;">
              <v:fill on="f" focussize="0,0"/>
              <v:stroke on="f"/>
              <v:imagedata o:title=""/>
              <o:lock v:ext="edit" aspectratio="f"/>
              <v:textbox inset="0mm,0mm,0mm,0mm">
                <w:txbxContent>
                  <w:p w14:paraId="69E930DB">
                    <w:pPr>
                      <w:pStyle w:val="2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v:textbox>
            </v:shape>
          </w:pict>
        </mc:Fallback>
      </mc:AlternateContent>
    </w:r>
    <w:bookmarkStart w:id="3316" w:name="OLE_LINK12"/>
    <w:bookmarkStart w:id="3317" w:name="_Hlk208926813"/>
    <w:bookmarkStart w:id="3318" w:name="_Hlk208926814"/>
    <w:bookmarkStart w:id="3319" w:name="_Hlk208927052"/>
    <w:bookmarkStart w:id="3320" w:name="_Hlk208927053"/>
    <w:bookmarkStart w:id="3321" w:name="_Hlk208927118"/>
    <w:bookmarkStart w:id="3322" w:name="OLE_LINK11"/>
    <w:r>
      <w:rPr>
        <w:rFonts w:hint="eastAsia"/>
        <w:sz w:val="21"/>
        <w:szCs w:val="21"/>
      </w:rPr>
      <w:t>江西赣安安全生产科学技术咨询服务中心</w:t>
    </w:r>
    <w:r>
      <w:rPr>
        <w:sz w:val="21"/>
        <w:szCs w:val="21"/>
      </w:rPr>
      <w:t xml:space="preserve">                                   APJ-(</w:t>
    </w:r>
    <w:r>
      <w:rPr>
        <w:rFonts w:hint="eastAsia"/>
        <w:sz w:val="21"/>
        <w:szCs w:val="21"/>
      </w:rPr>
      <w:t>赣）</w:t>
    </w:r>
    <w:r>
      <w:rPr>
        <w:sz w:val="21"/>
        <w:szCs w:val="21"/>
      </w:rPr>
      <w:t>-002</w:t>
    </w:r>
    <w:bookmarkEnd w:id="3316"/>
    <w:bookmarkEnd w:id="3317"/>
    <w:bookmarkEnd w:id="3318"/>
    <w:bookmarkEnd w:id="3319"/>
    <w:bookmarkEnd w:id="3320"/>
    <w:bookmarkEnd w:id="3321"/>
    <w:bookmarkEnd w:id="3322"/>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EA7FD">
    <w:pPr>
      <w:pStyle w:val="2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CBEBA">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5B2C0">
    <w:pPr>
      <w:pStyle w:val="28"/>
      <w:pBdr>
        <w:top w:val="single" w:color="auto" w:sz="4" w:space="1"/>
      </w:pBdr>
      <w:adjustRightInd w:val="0"/>
      <w:spacing w:line="240" w:lineRule="auto"/>
      <w:ind w:firstLine="210" w:firstLineChars="100"/>
      <w:jc w:val="both"/>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posOffset>2962275</wp:posOffset>
              </wp:positionH>
              <wp:positionV relativeFrom="paragraph">
                <wp:posOffset>43815</wp:posOffset>
              </wp:positionV>
              <wp:extent cx="403860" cy="341630"/>
              <wp:effectExtent l="0" t="0" r="15240" b="0"/>
              <wp:wrapNone/>
              <wp:docPr id="276259427" name="文本框 57"/>
              <wp:cNvGraphicFramePr/>
              <a:graphic xmlns:a="http://schemas.openxmlformats.org/drawingml/2006/main">
                <a:graphicData uri="http://schemas.microsoft.com/office/word/2010/wordprocessingShape">
                  <wps:wsp>
                    <wps:cNvSpPr txBox="1">
                      <a:spLocks noChangeArrowheads="1"/>
                    </wps:cNvSpPr>
                    <wps:spPr bwMode="auto">
                      <a:xfrm flipH="1">
                        <a:off x="0" y="0"/>
                        <a:ext cx="403860" cy="341630"/>
                      </a:xfrm>
                      <a:prstGeom prst="rect">
                        <a:avLst/>
                      </a:prstGeom>
                      <a:noFill/>
                      <a:ln>
                        <a:noFill/>
                      </a:ln>
                    </wps:spPr>
                    <wps:txbx>
                      <w:txbxContent>
                        <w:p w14:paraId="6592C795">
                          <w:pPr>
                            <w:pStyle w:val="28"/>
                            <w:ind w:firstLine="360"/>
                          </w:pPr>
                        </w:p>
                      </w:txbxContent>
                    </wps:txbx>
                    <wps:bodyPr rot="0" vert="horz" wrap="square" lIns="0" tIns="0" rIns="0" bIns="0" anchor="t" anchorCtr="0" upright="1">
                      <a:noAutofit/>
                    </wps:bodyPr>
                  </wps:wsp>
                </a:graphicData>
              </a:graphic>
            </wp:anchor>
          </w:drawing>
        </mc:Choice>
        <mc:Fallback>
          <w:pict>
            <v:shape id="文本框 57" o:spid="_x0000_s1026" o:spt="202" type="#_x0000_t202" style="position:absolute;left:0pt;flip:x;margin-left:233.25pt;margin-top:3.45pt;height:26.9pt;width:31.8pt;mso-position-horizontal-relative:margin;z-index:251666432;mso-width-relative:page;mso-height-relative:page;" filled="f" stroked="f" coordsize="21600,21600" o:gfxdata="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eBka1wAAAAgB&#10;AAAPAAAAAAAAAAEAIAAAACIAAABkcnMvZG93bnJldi54bWxQSwECFAAUAAAACACHTuJAJLd8mRwC&#10;AAAXBAAADgAAAAAAAAABACAAAAAmAQAAZHJzL2Uyb0RvYy54bWxQSwUGAAAAAAYABgBZAQAAtAUA&#10;AAAA&#10;">
              <v:fill on="f" focussize="0,0"/>
              <v:stroke on="f"/>
              <v:imagedata o:title=""/>
              <o:lock v:ext="edit" aspectratio="f"/>
              <v:textbox inset="0mm,0mm,0mm,0mm">
                <w:txbxContent>
                  <w:p w14:paraId="6592C795">
                    <w:pPr>
                      <w:pStyle w:val="28"/>
                      <w:ind w:firstLine="360"/>
                    </w:pPr>
                  </w:p>
                </w:txbxContent>
              </v:textbox>
            </v:shape>
          </w:pict>
        </mc:Fallback>
      </mc:AlternateContent>
    </w:r>
    <w:r>
      <w:rPr>
        <w:sz w:val="21"/>
        <w:szCs w:val="21"/>
      </w:rPr>
      <mc:AlternateContent>
        <mc:Choice Requires="wps">
          <w:drawing>
            <wp:anchor distT="0" distB="0" distL="114300" distR="114300" simplePos="0" relativeHeight="251670528" behindDoc="0" locked="0" layoutInCell="1" allowOverlap="1">
              <wp:simplePos x="0" y="0"/>
              <wp:positionH relativeFrom="margin">
                <wp:posOffset>2590165</wp:posOffset>
              </wp:positionH>
              <wp:positionV relativeFrom="paragraph">
                <wp:posOffset>43815</wp:posOffset>
              </wp:positionV>
              <wp:extent cx="838200" cy="462915"/>
              <wp:effectExtent l="0" t="0" r="0" b="13335"/>
              <wp:wrapNone/>
              <wp:docPr id="382506009"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838200" cy="462915"/>
                      </a:xfrm>
                      <a:prstGeom prst="rect">
                        <a:avLst/>
                      </a:prstGeom>
                      <a:noFill/>
                      <a:ln>
                        <a:noFill/>
                      </a:ln>
                    </wps:spPr>
                    <wps:txbx>
                      <w:txbxContent>
                        <w:p w14:paraId="496E2A1F">
                          <w:pPr>
                            <w:pStyle w:val="2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wps:txbx>
                    <wps:bodyPr rot="0" vert="horz" wrap="square" lIns="0" tIns="0" rIns="0" bIns="0" anchor="t" anchorCtr="0" upright="1">
                      <a:noAutofit/>
                    </wps:bodyPr>
                  </wps:wsp>
                </a:graphicData>
              </a:graphic>
            </wp:anchor>
          </w:drawing>
        </mc:Choice>
        <mc:Fallback>
          <w:pict>
            <v:shape id="文本框 32" o:spid="_x0000_s1026" o:spt="202" type="#_x0000_t202" style="position:absolute;left:0pt;margin-left:203.95pt;margin-top:3.45pt;height:36.45pt;width:66pt;mso-position-horizontal-relative:margin;z-index:251670528;mso-width-relative:page;mso-height-relative:page;" filled="f" stroked="f" coordsize="21600,21600" o:gfxdata="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jb9bPYAAAACAEAAA8AAAAA&#10;AAAAAQAgAAAAIgAAAGRycy9kb3ducmV2LnhtbFBLAQIUABQAAAAIAIdO4kBSvb6vFAIAAA0EAAAO&#10;AAAAAAAAAAEAIAAAACcBAABkcnMvZTJvRG9jLnhtbFBLBQYAAAAABgAGAFkBAACtBQAAAAA=&#10;">
              <v:fill on="f" focussize="0,0"/>
              <v:stroke on="f"/>
              <v:imagedata o:title=""/>
              <o:lock v:ext="edit" aspectratio="f"/>
              <v:textbox inset="0mm,0mm,0mm,0mm">
                <w:txbxContent>
                  <w:p w14:paraId="496E2A1F">
                    <w:pPr>
                      <w:pStyle w:val="2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v:textbox>
            </v:shape>
          </w:pict>
        </mc:Fallback>
      </mc:AlternateContent>
    </w:r>
    <w:r>
      <w:rPr>
        <w:rFonts w:hint="eastAsia"/>
        <w:sz w:val="21"/>
        <w:szCs w:val="21"/>
      </w:rPr>
      <w:t>江西赣安安全生产科学技术咨询服务中心</w:t>
    </w:r>
    <w:r>
      <w:rPr>
        <w:sz w:val="21"/>
        <w:szCs w:val="21"/>
      </w:rPr>
      <w:t xml:space="preserve">                                   </w:t>
    </w:r>
    <w:bookmarkStart w:id="3323" w:name="OLE_LINK15"/>
    <w:r>
      <w:rPr>
        <w:sz w:val="21"/>
        <w:szCs w:val="21"/>
      </w:rPr>
      <w:t>APJ-(</w:t>
    </w:r>
    <w:r>
      <w:rPr>
        <w:rFonts w:hint="eastAsia"/>
        <w:sz w:val="21"/>
        <w:szCs w:val="21"/>
      </w:rPr>
      <w:t>赣）</w:t>
    </w:r>
    <w:r>
      <w:rPr>
        <w:sz w:val="21"/>
        <w:szCs w:val="21"/>
      </w:rPr>
      <w:t>-002</w:t>
    </w:r>
  </w:p>
  <w:bookmarkEnd w:id="3323"/>
  <w:p w14:paraId="01E77640">
    <w:pPr>
      <w:spacing w:before="98" w:line="177" w:lineRule="auto"/>
      <w:ind w:firstLine="420"/>
      <w:rPr>
        <w:rFonts w:hint="eastAsia" w:ascii="宋体" w:hAnsi="宋体" w:cs="宋体"/>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3624">
    <w:pPr>
      <w:pStyle w:val="28"/>
      <w:pBdr>
        <w:top w:val="single" w:color="auto" w:sz="4" w:space="1"/>
      </w:pBdr>
      <w:adjustRightInd w:val="0"/>
      <w:spacing w:line="240" w:lineRule="auto"/>
      <w:ind w:firstLine="210" w:firstLineChars="100"/>
      <w:jc w:val="both"/>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posOffset>2774315</wp:posOffset>
              </wp:positionH>
              <wp:positionV relativeFrom="paragraph">
                <wp:posOffset>58420</wp:posOffset>
              </wp:positionV>
              <wp:extent cx="492125" cy="134620"/>
              <wp:effectExtent l="0" t="0" r="3810" b="18415"/>
              <wp:wrapNone/>
              <wp:docPr id="878291436"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491836" cy="134505"/>
                      </a:xfrm>
                      <a:prstGeom prst="rect">
                        <a:avLst/>
                      </a:prstGeom>
                      <a:noFill/>
                      <a:ln>
                        <a:noFill/>
                      </a:ln>
                    </wps:spPr>
                    <wps:txbx>
                      <w:txbxContent>
                        <w:p w14:paraId="5E1139BC">
                          <w:pPr>
                            <w:pStyle w:val="28"/>
                            <w:ind w:firstLine="360"/>
                          </w:pPr>
                          <w:r>
                            <w:fldChar w:fldCharType="begin"/>
                          </w:r>
                          <w:r>
                            <w:instrText xml:space="preserve"> PAGE  \* MERGEFORMAT </w:instrText>
                          </w:r>
                          <w:r>
                            <w:fldChar w:fldCharType="separate"/>
                          </w:r>
                          <w:r>
                            <w:t>9</w:t>
                          </w:r>
                          <w:r>
                            <w:fldChar w:fldCharType="end"/>
                          </w:r>
                        </w:p>
                      </w:txbxContent>
                    </wps:txbx>
                    <wps:bodyPr rot="0" vert="horz" wrap="square" lIns="0" tIns="0" rIns="0" bIns="0" anchor="t" anchorCtr="0" upright="1">
                      <a:noAutofit/>
                    </wps:bodyPr>
                  </wps:wsp>
                </a:graphicData>
              </a:graphic>
            </wp:anchor>
          </w:drawing>
        </mc:Choice>
        <mc:Fallback>
          <w:pict>
            <v:shape id="文本框 54" o:spid="_x0000_s1026" o:spt="202" type="#_x0000_t202" style="position:absolute;left:0pt;margin-left:218.45pt;margin-top:4.6pt;height:10.6pt;width:38.75pt;mso-position-horizontal-relative:margin;z-index:251665408;mso-width-relative:page;mso-height-relative:page;" filled="f" stroked="f" coordsize="21600,21600" o:gfxdata="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n8NR2AAAAAgBAAAPAAAA&#10;AAAAAAEAIAAAACIAAABkcnMvZG93bnJldi54bWxQSwECFAAUAAAACACHTuJAqJcm+xUCAAANBAAA&#10;DgAAAAAAAAABACAAAAAnAQAAZHJzL2Uyb0RvYy54bWxQSwUGAAAAAAYABgBZAQAArgUAAAAA&#10;">
              <v:fill on="f" focussize="0,0"/>
              <v:stroke on="f"/>
              <v:imagedata o:title=""/>
              <o:lock v:ext="edit" aspectratio="f"/>
              <v:textbox inset="0mm,0mm,0mm,0mm">
                <w:txbxContent>
                  <w:p w14:paraId="5E1139BC">
                    <w:pPr>
                      <w:pStyle w:val="28"/>
                      <w:ind w:firstLine="360"/>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sz w:val="21"/>
        <w:szCs w:val="21"/>
      </w:rPr>
      <w:t>江西赣安安全生产科学技术咨询服务中心</w:t>
    </w:r>
    <w:r>
      <w:rPr>
        <w:sz w:val="21"/>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-46990</wp:posOffset>
              </wp:positionV>
              <wp:extent cx="5697220" cy="635"/>
              <wp:effectExtent l="13335" t="9525" r="13970" b="8890"/>
              <wp:wrapNone/>
              <wp:docPr id="4706694" name="直线 1102"/>
              <wp:cNvGraphicFramePr/>
              <a:graphic xmlns:a="http://schemas.openxmlformats.org/drawingml/2006/main">
                <a:graphicData uri="http://schemas.microsoft.com/office/word/2010/wordprocessingShape">
                  <wps:wsp>
                    <wps:cNvCnPr>
                      <a:cxnSpLocks noChangeShapeType="1"/>
                    </wps:cNvCnPr>
                    <wps:spPr bwMode="auto">
                      <a:xfrm>
                        <a:off x="0" y="0"/>
                        <a:ext cx="5697220" cy="635"/>
                      </a:xfrm>
                      <a:prstGeom prst="line">
                        <a:avLst/>
                      </a:prstGeom>
                      <a:noFill/>
                      <a:ln w="3175">
                        <a:solidFill>
                          <a:srgbClr val="000000"/>
                        </a:solidFill>
                        <a:round/>
                      </a:ln>
                    </wps:spPr>
                    <wps:bodyPr/>
                  </wps:wsp>
                </a:graphicData>
              </a:graphic>
            </wp:anchor>
          </w:drawing>
        </mc:Choice>
        <mc:Fallback>
          <w:pict>
            <v:line id="直线 1102" o:spid="_x0000_s1026" o:spt="20" style="position:absolute;left:0pt;margin-left:0.45pt;margin-top:-3.7pt;height:0.05pt;width:448.6pt;z-index:251664384;mso-width-relative:page;mso-height-relative:page;" filled="f" stroked="t" coordsize="21600,21600" o:gfxdata="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M6l81gAAAAYBAAAP&#10;AAAAAAAAAAEAIAAAACIAAABkcnMvZG93bnJldi54bWxQSwECFAAUAAAACACHTuJAQ6FvIuEBAACs&#10;AwAADgAAAAAAAAABACAAAAAlAQAAZHJzL2Uyb0RvYy54bWxQSwUGAAAAAAYABgBZAQAAeAUAAAAA&#10;">
              <v:fill on="f" focussize="0,0"/>
              <v:stroke weight="0.25pt" color="#000000" joinstyle="round"/>
              <v:imagedata o:title=""/>
              <o:lock v:ext="edit" aspectratio="f"/>
            </v:line>
          </w:pict>
        </mc:Fallback>
      </mc:AlternateContent>
    </w:r>
    <w:r>
      <w:rPr>
        <w:rFonts w:hint="eastAsia"/>
        <w:sz w:val="21"/>
        <w:szCs w:val="21"/>
      </w:rPr>
      <w:t xml:space="preserve">                                   </w:t>
    </w:r>
    <w:r>
      <w:rPr>
        <w:sz w:val="21"/>
        <w:szCs w:val="21"/>
      </w:rPr>
      <w:t>APJ-(</w:t>
    </w:r>
    <w:r>
      <w:rPr>
        <w:rFonts w:hint="eastAsia"/>
        <w:sz w:val="21"/>
        <w:szCs w:val="21"/>
      </w:rPr>
      <w:t>赣）</w:t>
    </w:r>
    <w:r>
      <w:rPr>
        <w:sz w:val="21"/>
        <w:szCs w:val="21"/>
      </w:rPr>
      <w:t>-002</w:t>
    </w:r>
  </w:p>
  <w:p w14:paraId="6895DD4A">
    <w:pPr>
      <w:spacing w:before="98" w:line="177" w:lineRule="auto"/>
      <w:ind w:firstLine="420"/>
      <w:rPr>
        <w:rFonts w:hint="eastAsia" w:ascii="宋体" w:hAnsi="宋体" w:cs="宋体"/>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6C845">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06172">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B11E6">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44354">
    <w:pPr>
      <w:pStyle w:val="29"/>
      <w:pBdr>
        <w:bottom w:val="single" w:color="auto" w:sz="4" w:space="1"/>
      </w:pBdr>
      <w:spacing w:after="0" w:line="240" w:lineRule="auto"/>
      <w:jc w:val="both"/>
      <w:rPr>
        <w:sz w:val="18"/>
      </w:rPr>
    </w:pPr>
    <w:r>
      <w:rPr>
        <w:rFonts w:hint="eastAsia"/>
        <w:sz w:val="18"/>
      </w:rPr>
      <w:t>广南县旧莫小格达普通建筑石料用灰岩矿</w:t>
    </w:r>
    <w:r>
      <w:rPr>
        <w:sz w:val="18"/>
      </w:rPr>
      <mc:AlternateContent>
        <mc:Choice Requires="wps">
          <w:drawing>
            <wp:anchor distT="0" distB="0" distL="114300" distR="114300" simplePos="0" relativeHeight="251668480" behindDoc="0" locked="0" layoutInCell="1" allowOverlap="1">
              <wp:simplePos x="0" y="0"/>
              <wp:positionH relativeFrom="column">
                <wp:posOffset>5590540</wp:posOffset>
              </wp:positionH>
              <wp:positionV relativeFrom="paragraph">
                <wp:posOffset>253365</wp:posOffset>
              </wp:positionV>
              <wp:extent cx="3228975" cy="635"/>
              <wp:effectExtent l="0" t="2540" r="2540" b="0"/>
              <wp:wrapNone/>
              <wp:docPr id="219186865" name="直线 2052"/>
              <wp:cNvGraphicFramePr/>
              <a:graphic xmlns:a="http://schemas.openxmlformats.org/drawingml/2006/main">
                <a:graphicData uri="http://schemas.microsoft.com/office/word/2010/wordprocessingShape">
                  <wps:wsp>
                    <wps:cNvCnPr>
                      <a:cxnSpLocks noChangeShapeType="1"/>
                    </wps:cNvCnPr>
                    <wps:spPr bwMode="auto">
                      <a:xfrm>
                        <a:off x="0" y="0"/>
                        <a:ext cx="3228975" cy="635"/>
                      </a:xfrm>
                      <a:prstGeom prst="line">
                        <a:avLst/>
                      </a:prstGeom>
                      <a:noFill/>
                      <a:ln>
                        <a:noFill/>
                      </a:ln>
                    </wps:spPr>
                    <wps:bodyPr/>
                  </wps:wsp>
                </a:graphicData>
              </a:graphic>
            </wp:anchor>
          </w:drawing>
        </mc:Choice>
        <mc:Fallback>
          <w:pict>
            <v:line id="直线 2052" o:spid="_x0000_s1026" o:spt="20" style="position:absolute;left:0pt;margin-left:440.2pt;margin-top:19.95pt;height:0.05pt;width:254.25pt;z-index:251668480;mso-width-relative:page;mso-height-relative:page;" filled="f" stroked="f" coordsize="21600,21600" o:gfxdata="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yvlLDZAAAACgEAAA8AAAAAAAAAAQAgAAAAIgAAAGRycy9kb3ducmV2&#10;LnhtbFBLAQIUABQAAAAIAIdO4kDZYIE/wgEAAHIDAAAOAAAAAAAAAAEAIAAAACgBAABkcnMvZTJv&#10;RG9jLnhtbFBLBQYAAAAABgAGAFkBAABcBQAAAAA=&#10;">
              <v:fill on="f" focussize="0,0"/>
              <v:stroke on="f"/>
              <v:imagedata o:title=""/>
              <o:lock v:ext="edit" aspectratio="f"/>
            </v:line>
          </w:pict>
        </mc:Fallback>
      </mc:AlternateContent>
    </w:r>
    <w:r>
      <w:rPr>
        <w:rFonts w:hint="eastAsia"/>
        <w:sz w:val="18"/>
      </w:rPr>
      <w:t>50万t/a露天采矿工程安全预评价报告               GAAP[2025]0691号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61B9C">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AFCEE">
    <w:pPr>
      <w:pStyle w:val="2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EF502">
    <w:pPr>
      <w:pStyle w:val="29"/>
      <w:pBdr>
        <w:bottom w:val="single" w:color="auto" w:sz="4" w:space="1"/>
      </w:pBdr>
      <w:spacing w:after="0" w:line="240" w:lineRule="auto"/>
      <w:jc w:val="both"/>
      <w:rPr>
        <w:sz w:val="18"/>
      </w:rPr>
    </w:pPr>
    <w:r>
      <w:rPr>
        <w:rFonts w:hint="eastAsia"/>
        <w:sz w:val="18"/>
      </w:rPr>
      <w:t>广南县旧莫小格达普通建筑石料用灰岩矿</w:t>
    </w:r>
    <w:r>
      <w:rPr>
        <w:sz w:val="18"/>
      </w:rPr>
      <mc:AlternateContent>
        <mc:Choice Requires="wps">
          <w:drawing>
            <wp:anchor distT="0" distB="0" distL="114300" distR="114300" simplePos="0" relativeHeight="251671552" behindDoc="0" locked="0" layoutInCell="1" allowOverlap="1">
              <wp:simplePos x="0" y="0"/>
              <wp:positionH relativeFrom="column">
                <wp:posOffset>5590540</wp:posOffset>
              </wp:positionH>
              <wp:positionV relativeFrom="paragraph">
                <wp:posOffset>253365</wp:posOffset>
              </wp:positionV>
              <wp:extent cx="3228975" cy="635"/>
              <wp:effectExtent l="0" t="2540" r="2540" b="0"/>
              <wp:wrapNone/>
              <wp:docPr id="579031200" name="直线 2052"/>
              <wp:cNvGraphicFramePr/>
              <a:graphic xmlns:a="http://schemas.openxmlformats.org/drawingml/2006/main">
                <a:graphicData uri="http://schemas.microsoft.com/office/word/2010/wordprocessingShape">
                  <wps:wsp>
                    <wps:cNvCnPr>
                      <a:cxnSpLocks noChangeShapeType="1"/>
                    </wps:cNvCnPr>
                    <wps:spPr bwMode="auto">
                      <a:xfrm>
                        <a:off x="0" y="0"/>
                        <a:ext cx="3228975" cy="635"/>
                      </a:xfrm>
                      <a:prstGeom prst="line">
                        <a:avLst/>
                      </a:prstGeom>
                      <a:noFill/>
                      <a:ln>
                        <a:noFill/>
                      </a:ln>
                    </wps:spPr>
                    <wps:bodyPr/>
                  </wps:wsp>
                </a:graphicData>
              </a:graphic>
            </wp:anchor>
          </w:drawing>
        </mc:Choice>
        <mc:Fallback>
          <w:pict>
            <v:line id="直线 2052" o:spid="_x0000_s1026" o:spt="20" style="position:absolute;left:0pt;margin-left:440.2pt;margin-top:19.95pt;height:0.05pt;width:254.25pt;z-index:251671552;mso-width-relative:page;mso-height-relative:page;" filled="f" stroked="f" coordsize="21600,21600" o:gfxdata="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UsNkAAAAKAQAADwAAAAAAAAABACAAAAAiAAAAZHJzL2Rvd25yZXYu&#10;eG1sUEsBAhQAFAAAAAgAh07iQBWiNM/BAQAAcgMAAA4AAAAAAAAAAQAgAAAAKAEAAGRycy9lMm9E&#10;b2MueG1sUEsFBgAAAAAGAAYAWQEAAFsFAAAAAA==&#10;">
              <v:fill on="f" focussize="0,0"/>
              <v:stroke on="f"/>
              <v:imagedata o:title=""/>
              <o:lock v:ext="edit" aspectratio="f"/>
            </v:line>
          </w:pict>
        </mc:Fallback>
      </mc:AlternateContent>
    </w:r>
    <w:r>
      <w:rPr>
        <w:rFonts w:hint="eastAsia"/>
        <w:sz w:val="18"/>
      </w:rPr>
      <w:t>50万t/a露天采矿工程安全预评价报告               GAAP[2025]0691号</w:t>
    </w:r>
  </w:p>
  <w:p w14:paraId="636A49CE">
    <w:pPr>
      <w:pStyle w:val="29"/>
      <w:pBdr>
        <w:bottom w:val="none" w:color="auto" w:sz="0" w:space="1"/>
      </w:pBd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12D68"/>
    <w:multiLevelType w:val="singleLevel"/>
    <w:tmpl w:val="92412D68"/>
    <w:lvl w:ilvl="0" w:tentative="0">
      <w:start w:val="1"/>
      <w:numFmt w:val="decimal"/>
      <w:suff w:val="nothing"/>
      <w:lvlText w:val="（%1）"/>
      <w:lvlJc w:val="left"/>
    </w:lvl>
  </w:abstractNum>
  <w:abstractNum w:abstractNumId="1">
    <w:nsid w:val="DE49120B"/>
    <w:multiLevelType w:val="singleLevel"/>
    <w:tmpl w:val="DE49120B"/>
    <w:lvl w:ilvl="0" w:tentative="0">
      <w:start w:val="1"/>
      <w:numFmt w:val="decimal"/>
      <w:suff w:val="nothing"/>
      <w:lvlText w:val="%1、"/>
      <w:lvlJc w:val="left"/>
    </w:lvl>
  </w:abstractNum>
  <w:abstractNum w:abstractNumId="2">
    <w:nsid w:val="E18D368E"/>
    <w:multiLevelType w:val="singleLevel"/>
    <w:tmpl w:val="E18D368E"/>
    <w:lvl w:ilvl="0" w:tentative="0">
      <w:start w:val="3"/>
      <w:numFmt w:val="decimal"/>
      <w:suff w:val="nothing"/>
      <w:lvlText w:val="（%1）"/>
      <w:lvlJc w:val="left"/>
    </w:lvl>
  </w:abstractNum>
  <w:abstractNum w:abstractNumId="3">
    <w:nsid w:val="FFBDC77C"/>
    <w:multiLevelType w:val="singleLevel"/>
    <w:tmpl w:val="FFBDC77C"/>
    <w:lvl w:ilvl="0" w:tentative="0">
      <w:start w:val="1"/>
      <w:numFmt w:val="decimal"/>
      <w:suff w:val="nothing"/>
      <w:lvlText w:val="（%1）"/>
      <w:lvlJc w:val="left"/>
    </w:lvl>
  </w:abstractNum>
  <w:abstractNum w:abstractNumId="4">
    <w:nsid w:val="FFFFFF7F"/>
    <w:multiLevelType w:val="singleLevel"/>
    <w:tmpl w:val="FFFFFF7F"/>
    <w:lvl w:ilvl="0" w:tentative="0">
      <w:start w:val="1"/>
      <w:numFmt w:val="decimal"/>
      <w:pStyle w:val="13"/>
      <w:lvlText w:val="%1."/>
      <w:lvlJc w:val="left"/>
      <w:pPr>
        <w:tabs>
          <w:tab w:val="left" w:pos="780"/>
        </w:tabs>
        <w:ind w:left="780" w:hanging="360"/>
      </w:pPr>
    </w:lvl>
  </w:abstractNum>
  <w:abstractNum w:abstractNumId="5">
    <w:nsid w:val="00000002"/>
    <w:multiLevelType w:val="multilevel"/>
    <w:tmpl w:val="00000002"/>
    <w:lvl w:ilvl="0" w:tentative="0">
      <w:start w:val="1"/>
      <w:numFmt w:val="decimal"/>
      <w:pStyle w:val="133"/>
      <w:suff w:val="nothing"/>
      <w:lvlText w:val="%1、"/>
      <w:lvlJc w:val="left"/>
      <w:rPr>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2D9E50DF"/>
    <w:multiLevelType w:val="multilevel"/>
    <w:tmpl w:val="2D9E50DF"/>
    <w:lvl w:ilvl="0" w:tentative="0">
      <w:start w:val="1"/>
      <w:numFmt w:val="decimal"/>
      <w:pStyle w:val="116"/>
      <w:lvlText w:val="%1)"/>
      <w:lvlJc w:val="left"/>
      <w:pPr>
        <w:tabs>
          <w:tab w:val="left" w:pos="702"/>
        </w:tabs>
        <w:ind w:left="702" w:hanging="419"/>
      </w:pPr>
      <w:rPr>
        <w:rFonts w:hint="eastAsia" w:ascii="宋体" w:hAnsi="宋体" w:eastAsia="宋体" w:cs="Times New Roman"/>
        <w:b w:val="0"/>
        <w:i w:val="0"/>
        <w:color w:val="auto"/>
        <w:sz w:val="21"/>
        <w:szCs w:val="21"/>
      </w:rPr>
    </w:lvl>
    <w:lvl w:ilvl="1" w:tentative="0">
      <w:start w:val="1"/>
      <w:numFmt w:val="decimal"/>
      <w:lvlText w:val="%2)"/>
      <w:lvlJc w:val="left"/>
      <w:pPr>
        <w:tabs>
          <w:tab w:val="left" w:pos="1122"/>
        </w:tabs>
        <w:ind w:left="1122" w:hanging="420"/>
      </w:pPr>
      <w:rPr>
        <w:rFonts w:hint="eastAsia" w:ascii="宋体" w:hAnsi="宋体" w:eastAsia="宋体" w:cs="Times New Roman"/>
        <w:b w:val="0"/>
        <w:i w:val="0"/>
        <w:sz w:val="20"/>
      </w:rPr>
    </w:lvl>
    <w:lvl w:ilvl="2" w:tentative="0">
      <w:start w:val="1"/>
      <w:numFmt w:val="decimal"/>
      <w:lvlText w:val="(%3)"/>
      <w:lvlJc w:val="left"/>
      <w:pPr>
        <w:tabs>
          <w:tab w:val="left" w:pos="-137"/>
        </w:tabs>
        <w:ind w:left="1541" w:hanging="419"/>
      </w:pPr>
      <w:rPr>
        <w:rFonts w:hint="eastAsia" w:ascii="宋体" w:hAnsi="宋体" w:eastAsia="宋体" w:cs="Times New Roman"/>
        <w:b w:val="0"/>
        <w:i w:val="0"/>
        <w:sz w:val="21"/>
        <w:szCs w:val="21"/>
      </w:rPr>
    </w:lvl>
    <w:lvl w:ilvl="3" w:tentative="0">
      <w:start w:val="1"/>
      <w:numFmt w:val="decimal"/>
      <w:lvlText w:val="%4."/>
      <w:lvlJc w:val="left"/>
      <w:pPr>
        <w:tabs>
          <w:tab w:val="left" w:pos="1961"/>
        </w:tabs>
        <w:ind w:left="1961" w:hanging="420"/>
      </w:pPr>
      <w:rPr>
        <w:rFonts w:hint="eastAsia" w:cs="Times New Roman"/>
      </w:rPr>
    </w:lvl>
    <w:lvl w:ilvl="4" w:tentative="0">
      <w:start w:val="1"/>
      <w:numFmt w:val="lowerLetter"/>
      <w:lvlText w:val="%5)"/>
      <w:lvlJc w:val="left"/>
      <w:pPr>
        <w:tabs>
          <w:tab w:val="left" w:pos="2380"/>
        </w:tabs>
        <w:ind w:left="2380" w:hanging="419"/>
      </w:pPr>
      <w:rPr>
        <w:rFonts w:hint="eastAsia" w:cs="Times New Roman"/>
      </w:rPr>
    </w:lvl>
    <w:lvl w:ilvl="5" w:tentative="0">
      <w:start w:val="1"/>
      <w:numFmt w:val="lowerRoman"/>
      <w:lvlText w:val="%6."/>
      <w:lvlJc w:val="right"/>
      <w:pPr>
        <w:tabs>
          <w:tab w:val="left" w:pos="2805"/>
        </w:tabs>
        <w:ind w:left="2800" w:hanging="420"/>
      </w:pPr>
      <w:rPr>
        <w:rFonts w:hint="eastAsia" w:cs="Times New Roman"/>
      </w:rPr>
    </w:lvl>
    <w:lvl w:ilvl="6" w:tentative="0">
      <w:start w:val="1"/>
      <w:numFmt w:val="decimal"/>
      <w:lvlText w:val="%7."/>
      <w:lvlJc w:val="left"/>
      <w:pPr>
        <w:tabs>
          <w:tab w:val="left" w:pos="3225"/>
        </w:tabs>
        <w:ind w:left="3219" w:hanging="414"/>
      </w:pPr>
      <w:rPr>
        <w:rFonts w:hint="eastAsia" w:cs="Times New Roman"/>
      </w:rPr>
    </w:lvl>
    <w:lvl w:ilvl="7" w:tentative="0">
      <w:start w:val="1"/>
      <w:numFmt w:val="lowerLetter"/>
      <w:lvlText w:val="%8)"/>
      <w:lvlJc w:val="left"/>
      <w:pPr>
        <w:tabs>
          <w:tab w:val="left" w:pos="3644"/>
        </w:tabs>
        <w:ind w:left="3639" w:hanging="414"/>
      </w:pPr>
      <w:rPr>
        <w:rFonts w:hint="eastAsia" w:cs="Times New Roman"/>
      </w:rPr>
    </w:lvl>
    <w:lvl w:ilvl="8" w:tentative="0">
      <w:start w:val="1"/>
      <w:numFmt w:val="lowerRoman"/>
      <w:lvlText w:val="%9."/>
      <w:lvlJc w:val="right"/>
      <w:pPr>
        <w:tabs>
          <w:tab w:val="left" w:pos="4064"/>
        </w:tabs>
        <w:ind w:left="4064" w:hanging="420"/>
      </w:pPr>
      <w:rPr>
        <w:rFonts w:hint="eastAsia" w:cs="Times New Roman"/>
      </w:rPr>
    </w:lvl>
  </w:abstractNum>
  <w:abstractNum w:abstractNumId="7">
    <w:nsid w:val="439EAB14"/>
    <w:multiLevelType w:val="singleLevel"/>
    <w:tmpl w:val="439EAB14"/>
    <w:lvl w:ilvl="0" w:tentative="0">
      <w:start w:val="1"/>
      <w:numFmt w:val="decimal"/>
      <w:suff w:val="nothing"/>
      <w:lvlText w:val="%1、"/>
      <w:lvlJc w:val="left"/>
    </w:lvl>
  </w:abstractNum>
  <w:abstractNum w:abstractNumId="8">
    <w:nsid w:val="4D53214A"/>
    <w:multiLevelType w:val="multilevel"/>
    <w:tmpl w:val="4D53214A"/>
    <w:lvl w:ilvl="0" w:tentative="0">
      <w:start w:val="1"/>
      <w:numFmt w:val="decimal"/>
      <w:lvlText w:val="%1、"/>
      <w:lvlJc w:val="left"/>
      <w:pPr>
        <w:ind w:left="1280" w:hanging="72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9">
    <w:nsid w:val="6129E533"/>
    <w:multiLevelType w:val="singleLevel"/>
    <w:tmpl w:val="6129E533"/>
    <w:lvl w:ilvl="0" w:tentative="0">
      <w:start w:val="1"/>
      <w:numFmt w:val="decimal"/>
      <w:suff w:val="nothing"/>
      <w:lvlText w:val="%1、"/>
      <w:lvlJc w:val="left"/>
    </w:lvl>
  </w:abstractNum>
  <w:abstractNum w:abstractNumId="10">
    <w:nsid w:val="7959F550"/>
    <w:multiLevelType w:val="singleLevel"/>
    <w:tmpl w:val="7959F550"/>
    <w:lvl w:ilvl="0" w:tentative="0">
      <w:start w:val="1"/>
      <w:numFmt w:val="decimal"/>
      <w:suff w:val="nothing"/>
      <w:lvlText w:val="（%1）"/>
      <w:lvlJc w:val="left"/>
    </w:lvl>
  </w:abstractNum>
  <w:num w:numId="1">
    <w:abstractNumId w:val="4"/>
  </w:num>
  <w:num w:numId="2">
    <w:abstractNumId w:val="6"/>
  </w:num>
  <w:num w:numId="3">
    <w:abstractNumId w:val="5"/>
  </w:num>
  <w:num w:numId="4">
    <w:abstractNumId w:val="8"/>
  </w:num>
  <w:num w:numId="5">
    <w:abstractNumId w:val="2"/>
  </w:num>
  <w:num w:numId="6">
    <w:abstractNumId w:val="7"/>
  </w:num>
  <w:num w:numId="7">
    <w:abstractNumId w:val="0"/>
  </w:num>
  <w:num w:numId="8">
    <w:abstractNumId w:val="9"/>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8993"/>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1YTI5MDFiNjEwYTZmMzliOWIxMmQ1YzJhNzQyNGMifQ=="/>
  </w:docVars>
  <w:rsids>
    <w:rsidRoot w:val="00172A27"/>
    <w:rsid w:val="0000117F"/>
    <w:rsid w:val="000012ED"/>
    <w:rsid w:val="000051C7"/>
    <w:rsid w:val="000052D9"/>
    <w:rsid w:val="00006D53"/>
    <w:rsid w:val="0001217C"/>
    <w:rsid w:val="00012701"/>
    <w:rsid w:val="00012833"/>
    <w:rsid w:val="0001526A"/>
    <w:rsid w:val="00021162"/>
    <w:rsid w:val="00025B0E"/>
    <w:rsid w:val="000273CC"/>
    <w:rsid w:val="00033AC5"/>
    <w:rsid w:val="00033D4E"/>
    <w:rsid w:val="00034BB4"/>
    <w:rsid w:val="00035065"/>
    <w:rsid w:val="00036B4A"/>
    <w:rsid w:val="00040159"/>
    <w:rsid w:val="000421F7"/>
    <w:rsid w:val="00045792"/>
    <w:rsid w:val="00045943"/>
    <w:rsid w:val="00050A99"/>
    <w:rsid w:val="00052A18"/>
    <w:rsid w:val="00053FF2"/>
    <w:rsid w:val="00055CD7"/>
    <w:rsid w:val="0005613D"/>
    <w:rsid w:val="000601E6"/>
    <w:rsid w:val="00063235"/>
    <w:rsid w:val="00063C52"/>
    <w:rsid w:val="000650B3"/>
    <w:rsid w:val="00066545"/>
    <w:rsid w:val="00066EBB"/>
    <w:rsid w:val="00067D5B"/>
    <w:rsid w:val="00067F40"/>
    <w:rsid w:val="00071442"/>
    <w:rsid w:val="0007459D"/>
    <w:rsid w:val="0007585C"/>
    <w:rsid w:val="0007636F"/>
    <w:rsid w:val="000770B4"/>
    <w:rsid w:val="00080D86"/>
    <w:rsid w:val="00081884"/>
    <w:rsid w:val="000847B2"/>
    <w:rsid w:val="00084852"/>
    <w:rsid w:val="00087CB9"/>
    <w:rsid w:val="00090232"/>
    <w:rsid w:val="000914BA"/>
    <w:rsid w:val="00092AE4"/>
    <w:rsid w:val="00093828"/>
    <w:rsid w:val="00095BBE"/>
    <w:rsid w:val="00097346"/>
    <w:rsid w:val="00097A20"/>
    <w:rsid w:val="00097FD3"/>
    <w:rsid w:val="000A002F"/>
    <w:rsid w:val="000A0991"/>
    <w:rsid w:val="000A09CE"/>
    <w:rsid w:val="000A0D92"/>
    <w:rsid w:val="000A0E2D"/>
    <w:rsid w:val="000A7166"/>
    <w:rsid w:val="000B17B7"/>
    <w:rsid w:val="000B3255"/>
    <w:rsid w:val="000B46A7"/>
    <w:rsid w:val="000B47FB"/>
    <w:rsid w:val="000B6281"/>
    <w:rsid w:val="000C024B"/>
    <w:rsid w:val="000C16DF"/>
    <w:rsid w:val="000C2EE7"/>
    <w:rsid w:val="000C3DA7"/>
    <w:rsid w:val="000C4111"/>
    <w:rsid w:val="000C46DB"/>
    <w:rsid w:val="000C4EE7"/>
    <w:rsid w:val="000C6905"/>
    <w:rsid w:val="000C6CDB"/>
    <w:rsid w:val="000C759A"/>
    <w:rsid w:val="000D000A"/>
    <w:rsid w:val="000D3CC8"/>
    <w:rsid w:val="000D45DE"/>
    <w:rsid w:val="000D47CC"/>
    <w:rsid w:val="000D4B87"/>
    <w:rsid w:val="000D7064"/>
    <w:rsid w:val="000E1150"/>
    <w:rsid w:val="000E28F5"/>
    <w:rsid w:val="000E2E2B"/>
    <w:rsid w:val="000E79AE"/>
    <w:rsid w:val="000F082D"/>
    <w:rsid w:val="000F0D1E"/>
    <w:rsid w:val="000F3837"/>
    <w:rsid w:val="000F4210"/>
    <w:rsid w:val="000F5833"/>
    <w:rsid w:val="000F592F"/>
    <w:rsid w:val="000F61DB"/>
    <w:rsid w:val="000F7AE5"/>
    <w:rsid w:val="000F7E6B"/>
    <w:rsid w:val="0010148E"/>
    <w:rsid w:val="00101AE4"/>
    <w:rsid w:val="00102314"/>
    <w:rsid w:val="0010367B"/>
    <w:rsid w:val="0010418C"/>
    <w:rsid w:val="00104241"/>
    <w:rsid w:val="0010444D"/>
    <w:rsid w:val="00104FFF"/>
    <w:rsid w:val="001059B8"/>
    <w:rsid w:val="00105F8A"/>
    <w:rsid w:val="0011032A"/>
    <w:rsid w:val="0011036D"/>
    <w:rsid w:val="00110507"/>
    <w:rsid w:val="001122CD"/>
    <w:rsid w:val="0011550C"/>
    <w:rsid w:val="0011560E"/>
    <w:rsid w:val="0011710B"/>
    <w:rsid w:val="001200AB"/>
    <w:rsid w:val="0012086C"/>
    <w:rsid w:val="00121D92"/>
    <w:rsid w:val="0012253E"/>
    <w:rsid w:val="0012381C"/>
    <w:rsid w:val="00125104"/>
    <w:rsid w:val="00131951"/>
    <w:rsid w:val="001346C2"/>
    <w:rsid w:val="00134E27"/>
    <w:rsid w:val="00137CC9"/>
    <w:rsid w:val="001416BF"/>
    <w:rsid w:val="0014548C"/>
    <w:rsid w:val="00146589"/>
    <w:rsid w:val="001476E3"/>
    <w:rsid w:val="0015070F"/>
    <w:rsid w:val="00150EEB"/>
    <w:rsid w:val="001511CB"/>
    <w:rsid w:val="001518BE"/>
    <w:rsid w:val="0015222C"/>
    <w:rsid w:val="0015286F"/>
    <w:rsid w:val="00153C97"/>
    <w:rsid w:val="00154C71"/>
    <w:rsid w:val="00155A52"/>
    <w:rsid w:val="0016027A"/>
    <w:rsid w:val="00161398"/>
    <w:rsid w:val="00163BBA"/>
    <w:rsid w:val="00164843"/>
    <w:rsid w:val="0016493D"/>
    <w:rsid w:val="0016533F"/>
    <w:rsid w:val="001704A4"/>
    <w:rsid w:val="00171179"/>
    <w:rsid w:val="00171A20"/>
    <w:rsid w:val="00172A27"/>
    <w:rsid w:val="00175928"/>
    <w:rsid w:val="00176EFF"/>
    <w:rsid w:val="00177277"/>
    <w:rsid w:val="001774FD"/>
    <w:rsid w:val="00177930"/>
    <w:rsid w:val="0018022C"/>
    <w:rsid w:val="00183842"/>
    <w:rsid w:val="001850AC"/>
    <w:rsid w:val="00185853"/>
    <w:rsid w:val="00186533"/>
    <w:rsid w:val="00186DD0"/>
    <w:rsid w:val="00187D8D"/>
    <w:rsid w:val="00190070"/>
    <w:rsid w:val="00190A72"/>
    <w:rsid w:val="00190E80"/>
    <w:rsid w:val="00190F98"/>
    <w:rsid w:val="001929E8"/>
    <w:rsid w:val="00193E96"/>
    <w:rsid w:val="00194C3F"/>
    <w:rsid w:val="00196BB3"/>
    <w:rsid w:val="0019710E"/>
    <w:rsid w:val="00197375"/>
    <w:rsid w:val="001A0DC9"/>
    <w:rsid w:val="001A1447"/>
    <w:rsid w:val="001A1B8C"/>
    <w:rsid w:val="001A4366"/>
    <w:rsid w:val="001B10D8"/>
    <w:rsid w:val="001B153F"/>
    <w:rsid w:val="001B1943"/>
    <w:rsid w:val="001B3797"/>
    <w:rsid w:val="001B3FE6"/>
    <w:rsid w:val="001B4435"/>
    <w:rsid w:val="001B4575"/>
    <w:rsid w:val="001B50D6"/>
    <w:rsid w:val="001B5B3A"/>
    <w:rsid w:val="001B7B2C"/>
    <w:rsid w:val="001C1885"/>
    <w:rsid w:val="001C1901"/>
    <w:rsid w:val="001C1914"/>
    <w:rsid w:val="001C1D7C"/>
    <w:rsid w:val="001C33C4"/>
    <w:rsid w:val="001C33C5"/>
    <w:rsid w:val="001C41DF"/>
    <w:rsid w:val="001C604A"/>
    <w:rsid w:val="001C7C83"/>
    <w:rsid w:val="001D0B44"/>
    <w:rsid w:val="001D25CA"/>
    <w:rsid w:val="001D6C81"/>
    <w:rsid w:val="001D7DE0"/>
    <w:rsid w:val="001E1402"/>
    <w:rsid w:val="001E18FD"/>
    <w:rsid w:val="001E2974"/>
    <w:rsid w:val="001E2A8E"/>
    <w:rsid w:val="001E44C4"/>
    <w:rsid w:val="001E47D7"/>
    <w:rsid w:val="001E4A32"/>
    <w:rsid w:val="001E5ED3"/>
    <w:rsid w:val="001E632B"/>
    <w:rsid w:val="001E6D82"/>
    <w:rsid w:val="001F0073"/>
    <w:rsid w:val="001F0501"/>
    <w:rsid w:val="001F1BE5"/>
    <w:rsid w:val="001F1E65"/>
    <w:rsid w:val="001F243B"/>
    <w:rsid w:val="001F3D14"/>
    <w:rsid w:val="001F4873"/>
    <w:rsid w:val="001F4AD2"/>
    <w:rsid w:val="001F5AC8"/>
    <w:rsid w:val="001F616E"/>
    <w:rsid w:val="001F6239"/>
    <w:rsid w:val="001F762D"/>
    <w:rsid w:val="001F7C67"/>
    <w:rsid w:val="00201C5A"/>
    <w:rsid w:val="00201D92"/>
    <w:rsid w:val="002026F4"/>
    <w:rsid w:val="00214377"/>
    <w:rsid w:val="00215254"/>
    <w:rsid w:val="002168E6"/>
    <w:rsid w:val="00216B06"/>
    <w:rsid w:val="00217260"/>
    <w:rsid w:val="002204DA"/>
    <w:rsid w:val="00221C3E"/>
    <w:rsid w:val="0022308F"/>
    <w:rsid w:val="00223C8B"/>
    <w:rsid w:val="00232F25"/>
    <w:rsid w:val="00232F48"/>
    <w:rsid w:val="002332DB"/>
    <w:rsid w:val="00233C6A"/>
    <w:rsid w:val="00234987"/>
    <w:rsid w:val="00237D74"/>
    <w:rsid w:val="0024004A"/>
    <w:rsid w:val="002419B6"/>
    <w:rsid w:val="002421AB"/>
    <w:rsid w:val="00242A7A"/>
    <w:rsid w:val="00243774"/>
    <w:rsid w:val="002474BD"/>
    <w:rsid w:val="00251FEC"/>
    <w:rsid w:val="00253451"/>
    <w:rsid w:val="002537F8"/>
    <w:rsid w:val="002628CB"/>
    <w:rsid w:val="0026374D"/>
    <w:rsid w:val="0026612D"/>
    <w:rsid w:val="002668E0"/>
    <w:rsid w:val="0027070A"/>
    <w:rsid w:val="0027550D"/>
    <w:rsid w:val="002766B3"/>
    <w:rsid w:val="002767AA"/>
    <w:rsid w:val="002773DF"/>
    <w:rsid w:val="00280430"/>
    <w:rsid w:val="0028045A"/>
    <w:rsid w:val="00282520"/>
    <w:rsid w:val="00287271"/>
    <w:rsid w:val="002879CF"/>
    <w:rsid w:val="00287D89"/>
    <w:rsid w:val="002901BA"/>
    <w:rsid w:val="0029079A"/>
    <w:rsid w:val="00292BAB"/>
    <w:rsid w:val="002941B0"/>
    <w:rsid w:val="00294939"/>
    <w:rsid w:val="00296758"/>
    <w:rsid w:val="002A0162"/>
    <w:rsid w:val="002A06EB"/>
    <w:rsid w:val="002A0991"/>
    <w:rsid w:val="002A3B1B"/>
    <w:rsid w:val="002A65E2"/>
    <w:rsid w:val="002B09D3"/>
    <w:rsid w:val="002B35EF"/>
    <w:rsid w:val="002B4186"/>
    <w:rsid w:val="002B73D6"/>
    <w:rsid w:val="002C0073"/>
    <w:rsid w:val="002C1838"/>
    <w:rsid w:val="002C360B"/>
    <w:rsid w:val="002C4449"/>
    <w:rsid w:val="002C58A6"/>
    <w:rsid w:val="002C61F2"/>
    <w:rsid w:val="002C61F7"/>
    <w:rsid w:val="002C7E00"/>
    <w:rsid w:val="002D0E4F"/>
    <w:rsid w:val="002D3B95"/>
    <w:rsid w:val="002D4224"/>
    <w:rsid w:val="002D4F47"/>
    <w:rsid w:val="002D7D88"/>
    <w:rsid w:val="002E3D47"/>
    <w:rsid w:val="002E425F"/>
    <w:rsid w:val="002E54A3"/>
    <w:rsid w:val="002E5A57"/>
    <w:rsid w:val="002E75B3"/>
    <w:rsid w:val="002F1529"/>
    <w:rsid w:val="002F197F"/>
    <w:rsid w:val="002F4731"/>
    <w:rsid w:val="002F5B2F"/>
    <w:rsid w:val="002F6DC2"/>
    <w:rsid w:val="00301D11"/>
    <w:rsid w:val="00302308"/>
    <w:rsid w:val="00302BA8"/>
    <w:rsid w:val="00303F39"/>
    <w:rsid w:val="0030456C"/>
    <w:rsid w:val="00307C00"/>
    <w:rsid w:val="003117C4"/>
    <w:rsid w:val="0031361F"/>
    <w:rsid w:val="00313B35"/>
    <w:rsid w:val="00316BB1"/>
    <w:rsid w:val="00316EAB"/>
    <w:rsid w:val="00317E1A"/>
    <w:rsid w:val="00321542"/>
    <w:rsid w:val="00321EB3"/>
    <w:rsid w:val="00323D43"/>
    <w:rsid w:val="00323E44"/>
    <w:rsid w:val="00327EC8"/>
    <w:rsid w:val="0033179C"/>
    <w:rsid w:val="00332907"/>
    <w:rsid w:val="00332D42"/>
    <w:rsid w:val="003330A4"/>
    <w:rsid w:val="003357D8"/>
    <w:rsid w:val="00335902"/>
    <w:rsid w:val="0034032E"/>
    <w:rsid w:val="00340BDA"/>
    <w:rsid w:val="003417BB"/>
    <w:rsid w:val="00345E4C"/>
    <w:rsid w:val="00347EC4"/>
    <w:rsid w:val="00347F4D"/>
    <w:rsid w:val="003501DB"/>
    <w:rsid w:val="00362211"/>
    <w:rsid w:val="00372227"/>
    <w:rsid w:val="00372CCF"/>
    <w:rsid w:val="00373CF7"/>
    <w:rsid w:val="0037461F"/>
    <w:rsid w:val="003749A2"/>
    <w:rsid w:val="0037586A"/>
    <w:rsid w:val="003772D4"/>
    <w:rsid w:val="00381040"/>
    <w:rsid w:val="003824B0"/>
    <w:rsid w:val="00382DEE"/>
    <w:rsid w:val="00384D5D"/>
    <w:rsid w:val="0039122C"/>
    <w:rsid w:val="0039150B"/>
    <w:rsid w:val="00391C7B"/>
    <w:rsid w:val="003922C3"/>
    <w:rsid w:val="00392E10"/>
    <w:rsid w:val="0039332B"/>
    <w:rsid w:val="003938E3"/>
    <w:rsid w:val="00394D18"/>
    <w:rsid w:val="003953C2"/>
    <w:rsid w:val="00395724"/>
    <w:rsid w:val="00396743"/>
    <w:rsid w:val="00397C24"/>
    <w:rsid w:val="00397EC3"/>
    <w:rsid w:val="003A12A5"/>
    <w:rsid w:val="003A17B7"/>
    <w:rsid w:val="003A1C4D"/>
    <w:rsid w:val="003A3645"/>
    <w:rsid w:val="003A476A"/>
    <w:rsid w:val="003A48BE"/>
    <w:rsid w:val="003A5FB3"/>
    <w:rsid w:val="003A6DE2"/>
    <w:rsid w:val="003B33FF"/>
    <w:rsid w:val="003B359F"/>
    <w:rsid w:val="003B5EAF"/>
    <w:rsid w:val="003B7068"/>
    <w:rsid w:val="003C0F04"/>
    <w:rsid w:val="003C2D7E"/>
    <w:rsid w:val="003C3045"/>
    <w:rsid w:val="003C3C4A"/>
    <w:rsid w:val="003C47F1"/>
    <w:rsid w:val="003C774D"/>
    <w:rsid w:val="003C7CD1"/>
    <w:rsid w:val="003D322F"/>
    <w:rsid w:val="003D450A"/>
    <w:rsid w:val="003D5797"/>
    <w:rsid w:val="003D6516"/>
    <w:rsid w:val="003D7231"/>
    <w:rsid w:val="003E2A2E"/>
    <w:rsid w:val="003E344E"/>
    <w:rsid w:val="003E4E10"/>
    <w:rsid w:val="003E63A2"/>
    <w:rsid w:val="003F04DE"/>
    <w:rsid w:val="003F0B48"/>
    <w:rsid w:val="003F5463"/>
    <w:rsid w:val="003F5571"/>
    <w:rsid w:val="003F562E"/>
    <w:rsid w:val="003F5D2A"/>
    <w:rsid w:val="003F5F2A"/>
    <w:rsid w:val="00400020"/>
    <w:rsid w:val="00401E4B"/>
    <w:rsid w:val="00402312"/>
    <w:rsid w:val="00403AD8"/>
    <w:rsid w:val="004040ED"/>
    <w:rsid w:val="004077BF"/>
    <w:rsid w:val="004121B5"/>
    <w:rsid w:val="00413CE9"/>
    <w:rsid w:val="00413DF9"/>
    <w:rsid w:val="00414E55"/>
    <w:rsid w:val="0041562D"/>
    <w:rsid w:val="004169F0"/>
    <w:rsid w:val="00416D81"/>
    <w:rsid w:val="00417EF4"/>
    <w:rsid w:val="004210C6"/>
    <w:rsid w:val="0042275F"/>
    <w:rsid w:val="0042349F"/>
    <w:rsid w:val="00423C6D"/>
    <w:rsid w:val="00425A1B"/>
    <w:rsid w:val="0042658C"/>
    <w:rsid w:val="004301A9"/>
    <w:rsid w:val="00431820"/>
    <w:rsid w:val="00433442"/>
    <w:rsid w:val="00433744"/>
    <w:rsid w:val="00435525"/>
    <w:rsid w:val="0043650F"/>
    <w:rsid w:val="00436886"/>
    <w:rsid w:val="00436F53"/>
    <w:rsid w:val="00441B7D"/>
    <w:rsid w:val="0044249A"/>
    <w:rsid w:val="00443147"/>
    <w:rsid w:val="00456CE5"/>
    <w:rsid w:val="0045798F"/>
    <w:rsid w:val="004604FB"/>
    <w:rsid w:val="0046103C"/>
    <w:rsid w:val="0046145B"/>
    <w:rsid w:val="00462E0B"/>
    <w:rsid w:val="0046324D"/>
    <w:rsid w:val="0046375D"/>
    <w:rsid w:val="0046421A"/>
    <w:rsid w:val="00464A19"/>
    <w:rsid w:val="00467555"/>
    <w:rsid w:val="0047219C"/>
    <w:rsid w:val="00475223"/>
    <w:rsid w:val="00475A57"/>
    <w:rsid w:val="0047630C"/>
    <w:rsid w:val="004766D5"/>
    <w:rsid w:val="00480426"/>
    <w:rsid w:val="0048333D"/>
    <w:rsid w:val="004877AB"/>
    <w:rsid w:val="00487AF7"/>
    <w:rsid w:val="00490846"/>
    <w:rsid w:val="004928CD"/>
    <w:rsid w:val="004A0829"/>
    <w:rsid w:val="004A1A91"/>
    <w:rsid w:val="004A41AC"/>
    <w:rsid w:val="004A5DA5"/>
    <w:rsid w:val="004A7FEC"/>
    <w:rsid w:val="004B17F6"/>
    <w:rsid w:val="004B1A9A"/>
    <w:rsid w:val="004B21A6"/>
    <w:rsid w:val="004B2DD5"/>
    <w:rsid w:val="004B3283"/>
    <w:rsid w:val="004B531B"/>
    <w:rsid w:val="004B5FF1"/>
    <w:rsid w:val="004B62F9"/>
    <w:rsid w:val="004B6F14"/>
    <w:rsid w:val="004C0A02"/>
    <w:rsid w:val="004C10D2"/>
    <w:rsid w:val="004C1EE2"/>
    <w:rsid w:val="004C2DEF"/>
    <w:rsid w:val="004C4A6A"/>
    <w:rsid w:val="004C5406"/>
    <w:rsid w:val="004C54D3"/>
    <w:rsid w:val="004C798C"/>
    <w:rsid w:val="004D0393"/>
    <w:rsid w:val="004D47F8"/>
    <w:rsid w:val="004D4DAD"/>
    <w:rsid w:val="004D5210"/>
    <w:rsid w:val="004E0863"/>
    <w:rsid w:val="004E1311"/>
    <w:rsid w:val="004E2873"/>
    <w:rsid w:val="004E2952"/>
    <w:rsid w:val="004E2A78"/>
    <w:rsid w:val="004E3E55"/>
    <w:rsid w:val="004E4758"/>
    <w:rsid w:val="004E565F"/>
    <w:rsid w:val="004E5AF9"/>
    <w:rsid w:val="004E7665"/>
    <w:rsid w:val="004F3F92"/>
    <w:rsid w:val="004F47EB"/>
    <w:rsid w:val="004F4936"/>
    <w:rsid w:val="004F4E05"/>
    <w:rsid w:val="004F71A6"/>
    <w:rsid w:val="004F725E"/>
    <w:rsid w:val="004F7552"/>
    <w:rsid w:val="004F7621"/>
    <w:rsid w:val="005004F4"/>
    <w:rsid w:val="005005CE"/>
    <w:rsid w:val="00501247"/>
    <w:rsid w:val="00502300"/>
    <w:rsid w:val="0050473D"/>
    <w:rsid w:val="00505574"/>
    <w:rsid w:val="005059E7"/>
    <w:rsid w:val="0050735E"/>
    <w:rsid w:val="00513E54"/>
    <w:rsid w:val="00514F61"/>
    <w:rsid w:val="00515AE5"/>
    <w:rsid w:val="00516A53"/>
    <w:rsid w:val="00516BA8"/>
    <w:rsid w:val="0052094A"/>
    <w:rsid w:val="00520C31"/>
    <w:rsid w:val="00520DF0"/>
    <w:rsid w:val="0052220F"/>
    <w:rsid w:val="00522F7A"/>
    <w:rsid w:val="00523EB0"/>
    <w:rsid w:val="00524DCD"/>
    <w:rsid w:val="00525E2B"/>
    <w:rsid w:val="00526CFD"/>
    <w:rsid w:val="00530767"/>
    <w:rsid w:val="00530E82"/>
    <w:rsid w:val="005319D6"/>
    <w:rsid w:val="005320FE"/>
    <w:rsid w:val="0053434E"/>
    <w:rsid w:val="005343B3"/>
    <w:rsid w:val="00534BFC"/>
    <w:rsid w:val="0053522B"/>
    <w:rsid w:val="00535EC5"/>
    <w:rsid w:val="00537875"/>
    <w:rsid w:val="00537C28"/>
    <w:rsid w:val="005416F1"/>
    <w:rsid w:val="00544116"/>
    <w:rsid w:val="00544381"/>
    <w:rsid w:val="00547AF3"/>
    <w:rsid w:val="005501B1"/>
    <w:rsid w:val="00550E6C"/>
    <w:rsid w:val="0055236C"/>
    <w:rsid w:val="0055237F"/>
    <w:rsid w:val="005525EA"/>
    <w:rsid w:val="00552AF6"/>
    <w:rsid w:val="00557D0D"/>
    <w:rsid w:val="00562B87"/>
    <w:rsid w:val="00562CA8"/>
    <w:rsid w:val="0056608B"/>
    <w:rsid w:val="005672DC"/>
    <w:rsid w:val="00567AB6"/>
    <w:rsid w:val="0057091B"/>
    <w:rsid w:val="00573E9D"/>
    <w:rsid w:val="0057457D"/>
    <w:rsid w:val="005749A0"/>
    <w:rsid w:val="00577DDE"/>
    <w:rsid w:val="00583944"/>
    <w:rsid w:val="00586D58"/>
    <w:rsid w:val="0058773D"/>
    <w:rsid w:val="00590993"/>
    <w:rsid w:val="005909E1"/>
    <w:rsid w:val="00591903"/>
    <w:rsid w:val="0059315E"/>
    <w:rsid w:val="00595ADA"/>
    <w:rsid w:val="00595BAB"/>
    <w:rsid w:val="005A23F3"/>
    <w:rsid w:val="005A2B2B"/>
    <w:rsid w:val="005A3397"/>
    <w:rsid w:val="005A385C"/>
    <w:rsid w:val="005A4108"/>
    <w:rsid w:val="005A430B"/>
    <w:rsid w:val="005B3AF0"/>
    <w:rsid w:val="005B49DF"/>
    <w:rsid w:val="005B5C53"/>
    <w:rsid w:val="005B5D0D"/>
    <w:rsid w:val="005C10BF"/>
    <w:rsid w:val="005C2137"/>
    <w:rsid w:val="005C2B49"/>
    <w:rsid w:val="005C2C41"/>
    <w:rsid w:val="005C3DC7"/>
    <w:rsid w:val="005C4A81"/>
    <w:rsid w:val="005C5372"/>
    <w:rsid w:val="005C6F43"/>
    <w:rsid w:val="005C790F"/>
    <w:rsid w:val="005C7D56"/>
    <w:rsid w:val="005D0046"/>
    <w:rsid w:val="005D6E73"/>
    <w:rsid w:val="005D7F69"/>
    <w:rsid w:val="005E106B"/>
    <w:rsid w:val="005E185A"/>
    <w:rsid w:val="005E1CC2"/>
    <w:rsid w:val="005E33A4"/>
    <w:rsid w:val="005E3EE7"/>
    <w:rsid w:val="005E3FC7"/>
    <w:rsid w:val="005E5261"/>
    <w:rsid w:val="005E59A9"/>
    <w:rsid w:val="005F037B"/>
    <w:rsid w:val="005F06EB"/>
    <w:rsid w:val="005F21C7"/>
    <w:rsid w:val="005F2F82"/>
    <w:rsid w:val="005F31AE"/>
    <w:rsid w:val="005F397A"/>
    <w:rsid w:val="005F4C9D"/>
    <w:rsid w:val="005F592F"/>
    <w:rsid w:val="005F7D9E"/>
    <w:rsid w:val="006003CB"/>
    <w:rsid w:val="00601C62"/>
    <w:rsid w:val="006025D9"/>
    <w:rsid w:val="00603FD1"/>
    <w:rsid w:val="006059C2"/>
    <w:rsid w:val="0060685D"/>
    <w:rsid w:val="00606A39"/>
    <w:rsid w:val="006118E4"/>
    <w:rsid w:val="00612345"/>
    <w:rsid w:val="006147A8"/>
    <w:rsid w:val="00614BB4"/>
    <w:rsid w:val="0061523D"/>
    <w:rsid w:val="00620C99"/>
    <w:rsid w:val="0062163D"/>
    <w:rsid w:val="00622038"/>
    <w:rsid w:val="00622164"/>
    <w:rsid w:val="0062432C"/>
    <w:rsid w:val="00624B8B"/>
    <w:rsid w:val="00626762"/>
    <w:rsid w:val="00626AD7"/>
    <w:rsid w:val="006276E3"/>
    <w:rsid w:val="00631EC0"/>
    <w:rsid w:val="00632166"/>
    <w:rsid w:val="006329D0"/>
    <w:rsid w:val="00632B0E"/>
    <w:rsid w:val="00633431"/>
    <w:rsid w:val="006347AE"/>
    <w:rsid w:val="0063666A"/>
    <w:rsid w:val="00637937"/>
    <w:rsid w:val="00640C63"/>
    <w:rsid w:val="006416A3"/>
    <w:rsid w:val="00643EBE"/>
    <w:rsid w:val="00646644"/>
    <w:rsid w:val="00651238"/>
    <w:rsid w:val="00652308"/>
    <w:rsid w:val="00652E25"/>
    <w:rsid w:val="00652EAA"/>
    <w:rsid w:val="00652EBC"/>
    <w:rsid w:val="00653A91"/>
    <w:rsid w:val="00654E28"/>
    <w:rsid w:val="006564FE"/>
    <w:rsid w:val="00656680"/>
    <w:rsid w:val="00656A3A"/>
    <w:rsid w:val="006611EE"/>
    <w:rsid w:val="00663F7E"/>
    <w:rsid w:val="0066609C"/>
    <w:rsid w:val="00666A8F"/>
    <w:rsid w:val="00666EBF"/>
    <w:rsid w:val="0067132A"/>
    <w:rsid w:val="006716DB"/>
    <w:rsid w:val="00673549"/>
    <w:rsid w:val="006754E0"/>
    <w:rsid w:val="00676642"/>
    <w:rsid w:val="00677416"/>
    <w:rsid w:val="006804EC"/>
    <w:rsid w:val="0068183A"/>
    <w:rsid w:val="0068228B"/>
    <w:rsid w:val="006832BB"/>
    <w:rsid w:val="00684F65"/>
    <w:rsid w:val="0068521F"/>
    <w:rsid w:val="00686EC4"/>
    <w:rsid w:val="00692914"/>
    <w:rsid w:val="00693E56"/>
    <w:rsid w:val="00693FEC"/>
    <w:rsid w:val="00694389"/>
    <w:rsid w:val="00694855"/>
    <w:rsid w:val="0069486C"/>
    <w:rsid w:val="006952BA"/>
    <w:rsid w:val="0069601B"/>
    <w:rsid w:val="006971F1"/>
    <w:rsid w:val="00697AD7"/>
    <w:rsid w:val="00697F85"/>
    <w:rsid w:val="006A3DB6"/>
    <w:rsid w:val="006A474C"/>
    <w:rsid w:val="006A7AD8"/>
    <w:rsid w:val="006B0446"/>
    <w:rsid w:val="006B31C3"/>
    <w:rsid w:val="006B33A9"/>
    <w:rsid w:val="006B7A4B"/>
    <w:rsid w:val="006B7BE0"/>
    <w:rsid w:val="006C180E"/>
    <w:rsid w:val="006C1C4E"/>
    <w:rsid w:val="006C1C7B"/>
    <w:rsid w:val="006C54A4"/>
    <w:rsid w:val="006D0CE9"/>
    <w:rsid w:val="006D2F37"/>
    <w:rsid w:val="006D3190"/>
    <w:rsid w:val="006D4063"/>
    <w:rsid w:val="006D6C61"/>
    <w:rsid w:val="006D6F3B"/>
    <w:rsid w:val="006E0953"/>
    <w:rsid w:val="006E09AA"/>
    <w:rsid w:val="006E1E7F"/>
    <w:rsid w:val="006E1F6A"/>
    <w:rsid w:val="006E54DA"/>
    <w:rsid w:val="006E5707"/>
    <w:rsid w:val="006E6564"/>
    <w:rsid w:val="006E7FFA"/>
    <w:rsid w:val="006F29DD"/>
    <w:rsid w:val="006F57A6"/>
    <w:rsid w:val="006F6797"/>
    <w:rsid w:val="006F75BD"/>
    <w:rsid w:val="00701D6F"/>
    <w:rsid w:val="00702588"/>
    <w:rsid w:val="007032E4"/>
    <w:rsid w:val="00703BE8"/>
    <w:rsid w:val="007046CA"/>
    <w:rsid w:val="00704F70"/>
    <w:rsid w:val="007077D5"/>
    <w:rsid w:val="0071202E"/>
    <w:rsid w:val="00713623"/>
    <w:rsid w:val="00713E4E"/>
    <w:rsid w:val="0071405C"/>
    <w:rsid w:val="007177BB"/>
    <w:rsid w:val="00722001"/>
    <w:rsid w:val="00722229"/>
    <w:rsid w:val="007223E8"/>
    <w:rsid w:val="007258EA"/>
    <w:rsid w:val="00731341"/>
    <w:rsid w:val="00732197"/>
    <w:rsid w:val="00732BAB"/>
    <w:rsid w:val="00733449"/>
    <w:rsid w:val="007349BB"/>
    <w:rsid w:val="00735EDB"/>
    <w:rsid w:val="00740624"/>
    <w:rsid w:val="0074185C"/>
    <w:rsid w:val="00741DBA"/>
    <w:rsid w:val="007438CB"/>
    <w:rsid w:val="00747358"/>
    <w:rsid w:val="007477A9"/>
    <w:rsid w:val="0075071F"/>
    <w:rsid w:val="00750CAB"/>
    <w:rsid w:val="00750FF4"/>
    <w:rsid w:val="00750FF8"/>
    <w:rsid w:val="007518D7"/>
    <w:rsid w:val="00752132"/>
    <w:rsid w:val="007534B9"/>
    <w:rsid w:val="00753E28"/>
    <w:rsid w:val="00754665"/>
    <w:rsid w:val="0075589C"/>
    <w:rsid w:val="007566BB"/>
    <w:rsid w:val="007611B0"/>
    <w:rsid w:val="007635F7"/>
    <w:rsid w:val="00772F5F"/>
    <w:rsid w:val="00774E05"/>
    <w:rsid w:val="007757B6"/>
    <w:rsid w:val="00775ACF"/>
    <w:rsid w:val="00776958"/>
    <w:rsid w:val="007817B5"/>
    <w:rsid w:val="00781E12"/>
    <w:rsid w:val="00782A1F"/>
    <w:rsid w:val="0078554D"/>
    <w:rsid w:val="0078601F"/>
    <w:rsid w:val="0078656E"/>
    <w:rsid w:val="00787136"/>
    <w:rsid w:val="00790868"/>
    <w:rsid w:val="00791196"/>
    <w:rsid w:val="007926ED"/>
    <w:rsid w:val="00794050"/>
    <w:rsid w:val="0079477D"/>
    <w:rsid w:val="00796E1B"/>
    <w:rsid w:val="007A293F"/>
    <w:rsid w:val="007B2457"/>
    <w:rsid w:val="007B31A5"/>
    <w:rsid w:val="007B3B64"/>
    <w:rsid w:val="007B501C"/>
    <w:rsid w:val="007B54FC"/>
    <w:rsid w:val="007B6186"/>
    <w:rsid w:val="007B74A8"/>
    <w:rsid w:val="007C0515"/>
    <w:rsid w:val="007C06ED"/>
    <w:rsid w:val="007C0F2D"/>
    <w:rsid w:val="007C171C"/>
    <w:rsid w:val="007C23AF"/>
    <w:rsid w:val="007C2545"/>
    <w:rsid w:val="007C38C3"/>
    <w:rsid w:val="007C6CEC"/>
    <w:rsid w:val="007C6D02"/>
    <w:rsid w:val="007C767A"/>
    <w:rsid w:val="007C79F2"/>
    <w:rsid w:val="007D007E"/>
    <w:rsid w:val="007D133F"/>
    <w:rsid w:val="007D444E"/>
    <w:rsid w:val="007D46C9"/>
    <w:rsid w:val="007D51C3"/>
    <w:rsid w:val="007D58CD"/>
    <w:rsid w:val="007D6E67"/>
    <w:rsid w:val="007E0806"/>
    <w:rsid w:val="007E2405"/>
    <w:rsid w:val="007E584C"/>
    <w:rsid w:val="007E5F85"/>
    <w:rsid w:val="007E69E0"/>
    <w:rsid w:val="007E76A0"/>
    <w:rsid w:val="007F0A02"/>
    <w:rsid w:val="007F0A1D"/>
    <w:rsid w:val="007F0AC6"/>
    <w:rsid w:val="007F2672"/>
    <w:rsid w:val="007F594F"/>
    <w:rsid w:val="007F75F9"/>
    <w:rsid w:val="007F78EF"/>
    <w:rsid w:val="007F7E7D"/>
    <w:rsid w:val="00801A9F"/>
    <w:rsid w:val="00801AF0"/>
    <w:rsid w:val="008026B3"/>
    <w:rsid w:val="00802978"/>
    <w:rsid w:val="00802F24"/>
    <w:rsid w:val="008033E8"/>
    <w:rsid w:val="008036E9"/>
    <w:rsid w:val="008040CE"/>
    <w:rsid w:val="008041FE"/>
    <w:rsid w:val="00804493"/>
    <w:rsid w:val="00807DB1"/>
    <w:rsid w:val="00810647"/>
    <w:rsid w:val="008111B5"/>
    <w:rsid w:val="008120D0"/>
    <w:rsid w:val="008120FC"/>
    <w:rsid w:val="008130CD"/>
    <w:rsid w:val="008158F1"/>
    <w:rsid w:val="008159AD"/>
    <w:rsid w:val="00816543"/>
    <w:rsid w:val="00816EB6"/>
    <w:rsid w:val="008174D6"/>
    <w:rsid w:val="008214DF"/>
    <w:rsid w:val="00821E00"/>
    <w:rsid w:val="008234E6"/>
    <w:rsid w:val="00824108"/>
    <w:rsid w:val="00825162"/>
    <w:rsid w:val="0082565D"/>
    <w:rsid w:val="00825B86"/>
    <w:rsid w:val="00832369"/>
    <w:rsid w:val="00834FEF"/>
    <w:rsid w:val="008420C7"/>
    <w:rsid w:val="00842132"/>
    <w:rsid w:val="00842D65"/>
    <w:rsid w:val="008435E1"/>
    <w:rsid w:val="008441DF"/>
    <w:rsid w:val="00844285"/>
    <w:rsid w:val="008456C1"/>
    <w:rsid w:val="00846033"/>
    <w:rsid w:val="0084778C"/>
    <w:rsid w:val="00847FA6"/>
    <w:rsid w:val="00850820"/>
    <w:rsid w:val="00852822"/>
    <w:rsid w:val="008533A0"/>
    <w:rsid w:val="0085417E"/>
    <w:rsid w:val="00855541"/>
    <w:rsid w:val="00855A55"/>
    <w:rsid w:val="00856E11"/>
    <w:rsid w:val="008627E4"/>
    <w:rsid w:val="00863D81"/>
    <w:rsid w:val="008662AA"/>
    <w:rsid w:val="00866F2F"/>
    <w:rsid w:val="00867D23"/>
    <w:rsid w:val="00867FFD"/>
    <w:rsid w:val="008712CA"/>
    <w:rsid w:val="00873EC8"/>
    <w:rsid w:val="008743D1"/>
    <w:rsid w:val="00875E3E"/>
    <w:rsid w:val="008764AE"/>
    <w:rsid w:val="008769B8"/>
    <w:rsid w:val="00880F23"/>
    <w:rsid w:val="00881799"/>
    <w:rsid w:val="00881C34"/>
    <w:rsid w:val="008820BB"/>
    <w:rsid w:val="00882938"/>
    <w:rsid w:val="0088380F"/>
    <w:rsid w:val="00884359"/>
    <w:rsid w:val="00886AB9"/>
    <w:rsid w:val="0088782D"/>
    <w:rsid w:val="00890021"/>
    <w:rsid w:val="00890F8A"/>
    <w:rsid w:val="008921EA"/>
    <w:rsid w:val="00897EF4"/>
    <w:rsid w:val="008A03FA"/>
    <w:rsid w:val="008A06B3"/>
    <w:rsid w:val="008A0822"/>
    <w:rsid w:val="008A1570"/>
    <w:rsid w:val="008A25C9"/>
    <w:rsid w:val="008A331F"/>
    <w:rsid w:val="008A463F"/>
    <w:rsid w:val="008A4D6F"/>
    <w:rsid w:val="008A5BA5"/>
    <w:rsid w:val="008A6F3D"/>
    <w:rsid w:val="008B08F1"/>
    <w:rsid w:val="008B0C45"/>
    <w:rsid w:val="008B0CEF"/>
    <w:rsid w:val="008B163F"/>
    <w:rsid w:val="008B289C"/>
    <w:rsid w:val="008B3E01"/>
    <w:rsid w:val="008C0260"/>
    <w:rsid w:val="008C0513"/>
    <w:rsid w:val="008C14B7"/>
    <w:rsid w:val="008C17FC"/>
    <w:rsid w:val="008C4131"/>
    <w:rsid w:val="008C76CB"/>
    <w:rsid w:val="008C7B7E"/>
    <w:rsid w:val="008D2B2E"/>
    <w:rsid w:val="008D3907"/>
    <w:rsid w:val="008D41D6"/>
    <w:rsid w:val="008D5B26"/>
    <w:rsid w:val="008D5B4A"/>
    <w:rsid w:val="008D6EF5"/>
    <w:rsid w:val="008D7D37"/>
    <w:rsid w:val="008E1442"/>
    <w:rsid w:val="008E31C3"/>
    <w:rsid w:val="008E3526"/>
    <w:rsid w:val="008E3DE2"/>
    <w:rsid w:val="008E4D14"/>
    <w:rsid w:val="008E5D09"/>
    <w:rsid w:val="008E5F5B"/>
    <w:rsid w:val="008E62C6"/>
    <w:rsid w:val="008E6810"/>
    <w:rsid w:val="008F0B13"/>
    <w:rsid w:val="008F21C8"/>
    <w:rsid w:val="008F2988"/>
    <w:rsid w:val="008F29A5"/>
    <w:rsid w:val="008F442C"/>
    <w:rsid w:val="008F48C7"/>
    <w:rsid w:val="008F6973"/>
    <w:rsid w:val="008F7977"/>
    <w:rsid w:val="00901017"/>
    <w:rsid w:val="009011AE"/>
    <w:rsid w:val="009013B6"/>
    <w:rsid w:val="00901FAD"/>
    <w:rsid w:val="00902344"/>
    <w:rsid w:val="00903601"/>
    <w:rsid w:val="00903A6B"/>
    <w:rsid w:val="00905162"/>
    <w:rsid w:val="009102A4"/>
    <w:rsid w:val="0091421A"/>
    <w:rsid w:val="00914814"/>
    <w:rsid w:val="009168B6"/>
    <w:rsid w:val="00917592"/>
    <w:rsid w:val="009203B2"/>
    <w:rsid w:val="00920CF8"/>
    <w:rsid w:val="00920F70"/>
    <w:rsid w:val="00923BBE"/>
    <w:rsid w:val="0092762A"/>
    <w:rsid w:val="009309FA"/>
    <w:rsid w:val="00930B6F"/>
    <w:rsid w:val="009337A3"/>
    <w:rsid w:val="00934E1B"/>
    <w:rsid w:val="009355C8"/>
    <w:rsid w:val="00935A02"/>
    <w:rsid w:val="009366BF"/>
    <w:rsid w:val="00937F7A"/>
    <w:rsid w:val="009416BF"/>
    <w:rsid w:val="00942501"/>
    <w:rsid w:val="00944351"/>
    <w:rsid w:val="0094452E"/>
    <w:rsid w:val="00944938"/>
    <w:rsid w:val="00944BAC"/>
    <w:rsid w:val="00945657"/>
    <w:rsid w:val="0094617B"/>
    <w:rsid w:val="00946621"/>
    <w:rsid w:val="00947DCC"/>
    <w:rsid w:val="00952CED"/>
    <w:rsid w:val="00953E8C"/>
    <w:rsid w:val="00955906"/>
    <w:rsid w:val="00955A7F"/>
    <w:rsid w:val="00956E1B"/>
    <w:rsid w:val="009570A1"/>
    <w:rsid w:val="00962F65"/>
    <w:rsid w:val="00963781"/>
    <w:rsid w:val="00964DED"/>
    <w:rsid w:val="00965B26"/>
    <w:rsid w:val="00965F49"/>
    <w:rsid w:val="00966B1D"/>
    <w:rsid w:val="00967CD7"/>
    <w:rsid w:val="00967F27"/>
    <w:rsid w:val="00970E37"/>
    <w:rsid w:val="00971EE3"/>
    <w:rsid w:val="009732E9"/>
    <w:rsid w:val="009753CF"/>
    <w:rsid w:val="009755D5"/>
    <w:rsid w:val="009758FF"/>
    <w:rsid w:val="009764A8"/>
    <w:rsid w:val="00983760"/>
    <w:rsid w:val="00985BAD"/>
    <w:rsid w:val="00985D79"/>
    <w:rsid w:val="00990202"/>
    <w:rsid w:val="0099087D"/>
    <w:rsid w:val="00990AD0"/>
    <w:rsid w:val="0099109E"/>
    <w:rsid w:val="00991AC6"/>
    <w:rsid w:val="00992960"/>
    <w:rsid w:val="00993A18"/>
    <w:rsid w:val="009940A8"/>
    <w:rsid w:val="00996466"/>
    <w:rsid w:val="009A0A59"/>
    <w:rsid w:val="009A1E1E"/>
    <w:rsid w:val="009A2D6C"/>
    <w:rsid w:val="009A3460"/>
    <w:rsid w:val="009A55CE"/>
    <w:rsid w:val="009B0FA6"/>
    <w:rsid w:val="009B2508"/>
    <w:rsid w:val="009B6079"/>
    <w:rsid w:val="009B6D7A"/>
    <w:rsid w:val="009C2257"/>
    <w:rsid w:val="009D4058"/>
    <w:rsid w:val="009D6E1D"/>
    <w:rsid w:val="009E0940"/>
    <w:rsid w:val="009E0CA1"/>
    <w:rsid w:val="009E19FD"/>
    <w:rsid w:val="009E2066"/>
    <w:rsid w:val="009E33F0"/>
    <w:rsid w:val="009E3A95"/>
    <w:rsid w:val="009E40EF"/>
    <w:rsid w:val="009E5414"/>
    <w:rsid w:val="009E54A7"/>
    <w:rsid w:val="009E6817"/>
    <w:rsid w:val="009E7124"/>
    <w:rsid w:val="009E7856"/>
    <w:rsid w:val="009F1127"/>
    <w:rsid w:val="009F3A7F"/>
    <w:rsid w:val="009F5C59"/>
    <w:rsid w:val="009F5EF6"/>
    <w:rsid w:val="009F6AE6"/>
    <w:rsid w:val="00A03451"/>
    <w:rsid w:val="00A046CA"/>
    <w:rsid w:val="00A05393"/>
    <w:rsid w:val="00A0679A"/>
    <w:rsid w:val="00A10993"/>
    <w:rsid w:val="00A11890"/>
    <w:rsid w:val="00A11C11"/>
    <w:rsid w:val="00A12170"/>
    <w:rsid w:val="00A1261B"/>
    <w:rsid w:val="00A12736"/>
    <w:rsid w:val="00A130DC"/>
    <w:rsid w:val="00A15DA0"/>
    <w:rsid w:val="00A16CE6"/>
    <w:rsid w:val="00A16F84"/>
    <w:rsid w:val="00A171CB"/>
    <w:rsid w:val="00A17269"/>
    <w:rsid w:val="00A172EA"/>
    <w:rsid w:val="00A2045E"/>
    <w:rsid w:val="00A20678"/>
    <w:rsid w:val="00A20F7B"/>
    <w:rsid w:val="00A22A1A"/>
    <w:rsid w:val="00A23202"/>
    <w:rsid w:val="00A23719"/>
    <w:rsid w:val="00A23801"/>
    <w:rsid w:val="00A2493A"/>
    <w:rsid w:val="00A25708"/>
    <w:rsid w:val="00A26107"/>
    <w:rsid w:val="00A264D5"/>
    <w:rsid w:val="00A26E6C"/>
    <w:rsid w:val="00A3038C"/>
    <w:rsid w:val="00A30514"/>
    <w:rsid w:val="00A3383E"/>
    <w:rsid w:val="00A34D66"/>
    <w:rsid w:val="00A36428"/>
    <w:rsid w:val="00A36C2A"/>
    <w:rsid w:val="00A37434"/>
    <w:rsid w:val="00A377F4"/>
    <w:rsid w:val="00A3790A"/>
    <w:rsid w:val="00A37A50"/>
    <w:rsid w:val="00A402F1"/>
    <w:rsid w:val="00A41970"/>
    <w:rsid w:val="00A42B76"/>
    <w:rsid w:val="00A43791"/>
    <w:rsid w:val="00A467C0"/>
    <w:rsid w:val="00A4688D"/>
    <w:rsid w:val="00A4799D"/>
    <w:rsid w:val="00A50B22"/>
    <w:rsid w:val="00A531C9"/>
    <w:rsid w:val="00A5454D"/>
    <w:rsid w:val="00A55CB6"/>
    <w:rsid w:val="00A5672E"/>
    <w:rsid w:val="00A571EA"/>
    <w:rsid w:val="00A57521"/>
    <w:rsid w:val="00A6106D"/>
    <w:rsid w:val="00A616AA"/>
    <w:rsid w:val="00A61DE1"/>
    <w:rsid w:val="00A63119"/>
    <w:rsid w:val="00A63556"/>
    <w:rsid w:val="00A641FB"/>
    <w:rsid w:val="00A64E8A"/>
    <w:rsid w:val="00A676A4"/>
    <w:rsid w:val="00A744E3"/>
    <w:rsid w:val="00A74F5C"/>
    <w:rsid w:val="00A75F92"/>
    <w:rsid w:val="00A76839"/>
    <w:rsid w:val="00A77E21"/>
    <w:rsid w:val="00A77E80"/>
    <w:rsid w:val="00A80993"/>
    <w:rsid w:val="00A80E9F"/>
    <w:rsid w:val="00A8234A"/>
    <w:rsid w:val="00A82F57"/>
    <w:rsid w:val="00A84C1F"/>
    <w:rsid w:val="00A86106"/>
    <w:rsid w:val="00A86294"/>
    <w:rsid w:val="00A873F8"/>
    <w:rsid w:val="00A90996"/>
    <w:rsid w:val="00A92A60"/>
    <w:rsid w:val="00A95DCC"/>
    <w:rsid w:val="00A96762"/>
    <w:rsid w:val="00A9733D"/>
    <w:rsid w:val="00AA1300"/>
    <w:rsid w:val="00AA1751"/>
    <w:rsid w:val="00AA1BA2"/>
    <w:rsid w:val="00AA342A"/>
    <w:rsid w:val="00AA3CEC"/>
    <w:rsid w:val="00AA4A31"/>
    <w:rsid w:val="00AA4BA3"/>
    <w:rsid w:val="00AA4D59"/>
    <w:rsid w:val="00AA4D95"/>
    <w:rsid w:val="00AA6094"/>
    <w:rsid w:val="00AB03B1"/>
    <w:rsid w:val="00AB0E0B"/>
    <w:rsid w:val="00AB1355"/>
    <w:rsid w:val="00AB2CCE"/>
    <w:rsid w:val="00AB40B9"/>
    <w:rsid w:val="00AB74A5"/>
    <w:rsid w:val="00AC413F"/>
    <w:rsid w:val="00AD154C"/>
    <w:rsid w:val="00AD4911"/>
    <w:rsid w:val="00AD4D41"/>
    <w:rsid w:val="00AD708C"/>
    <w:rsid w:val="00AE0903"/>
    <w:rsid w:val="00AE0A00"/>
    <w:rsid w:val="00AE1B0D"/>
    <w:rsid w:val="00AE6E4D"/>
    <w:rsid w:val="00AE74D8"/>
    <w:rsid w:val="00AE7BC8"/>
    <w:rsid w:val="00AF2417"/>
    <w:rsid w:val="00AF347A"/>
    <w:rsid w:val="00AF4169"/>
    <w:rsid w:val="00AF4B93"/>
    <w:rsid w:val="00AF635D"/>
    <w:rsid w:val="00AF6522"/>
    <w:rsid w:val="00B010F5"/>
    <w:rsid w:val="00B01DEF"/>
    <w:rsid w:val="00B02B67"/>
    <w:rsid w:val="00B03720"/>
    <w:rsid w:val="00B038DB"/>
    <w:rsid w:val="00B04087"/>
    <w:rsid w:val="00B0603B"/>
    <w:rsid w:val="00B06CA9"/>
    <w:rsid w:val="00B0747C"/>
    <w:rsid w:val="00B102BF"/>
    <w:rsid w:val="00B116EB"/>
    <w:rsid w:val="00B11A35"/>
    <w:rsid w:val="00B13A6C"/>
    <w:rsid w:val="00B14056"/>
    <w:rsid w:val="00B14D63"/>
    <w:rsid w:val="00B175F6"/>
    <w:rsid w:val="00B2019F"/>
    <w:rsid w:val="00B21E05"/>
    <w:rsid w:val="00B2234E"/>
    <w:rsid w:val="00B232E8"/>
    <w:rsid w:val="00B266F0"/>
    <w:rsid w:val="00B26B1F"/>
    <w:rsid w:val="00B30027"/>
    <w:rsid w:val="00B32BD8"/>
    <w:rsid w:val="00B34717"/>
    <w:rsid w:val="00B3524D"/>
    <w:rsid w:val="00B35405"/>
    <w:rsid w:val="00B35CA8"/>
    <w:rsid w:val="00B40448"/>
    <w:rsid w:val="00B405F4"/>
    <w:rsid w:val="00B41B95"/>
    <w:rsid w:val="00B43BD8"/>
    <w:rsid w:val="00B44E53"/>
    <w:rsid w:val="00B46651"/>
    <w:rsid w:val="00B46F40"/>
    <w:rsid w:val="00B47926"/>
    <w:rsid w:val="00B506C3"/>
    <w:rsid w:val="00B60ECA"/>
    <w:rsid w:val="00B61E15"/>
    <w:rsid w:val="00B62CE5"/>
    <w:rsid w:val="00B639A1"/>
    <w:rsid w:val="00B657AA"/>
    <w:rsid w:val="00B662C0"/>
    <w:rsid w:val="00B6709C"/>
    <w:rsid w:val="00B670DC"/>
    <w:rsid w:val="00B70085"/>
    <w:rsid w:val="00B7384C"/>
    <w:rsid w:val="00B76447"/>
    <w:rsid w:val="00B76991"/>
    <w:rsid w:val="00B80C57"/>
    <w:rsid w:val="00B844A3"/>
    <w:rsid w:val="00B84F14"/>
    <w:rsid w:val="00B854D7"/>
    <w:rsid w:val="00B85836"/>
    <w:rsid w:val="00B917D7"/>
    <w:rsid w:val="00B9795D"/>
    <w:rsid w:val="00B97E26"/>
    <w:rsid w:val="00BA047F"/>
    <w:rsid w:val="00BA5669"/>
    <w:rsid w:val="00BA58CF"/>
    <w:rsid w:val="00BA5BEA"/>
    <w:rsid w:val="00BA7200"/>
    <w:rsid w:val="00BA797E"/>
    <w:rsid w:val="00BA7CA7"/>
    <w:rsid w:val="00BB272F"/>
    <w:rsid w:val="00BB2D5A"/>
    <w:rsid w:val="00BB3F6C"/>
    <w:rsid w:val="00BB62F1"/>
    <w:rsid w:val="00BB6DB9"/>
    <w:rsid w:val="00BB738D"/>
    <w:rsid w:val="00BB77FA"/>
    <w:rsid w:val="00BC151C"/>
    <w:rsid w:val="00BC21AE"/>
    <w:rsid w:val="00BC2A40"/>
    <w:rsid w:val="00BC326B"/>
    <w:rsid w:val="00BC4F2A"/>
    <w:rsid w:val="00BC5A3C"/>
    <w:rsid w:val="00BC5EC3"/>
    <w:rsid w:val="00BD23F2"/>
    <w:rsid w:val="00BD3617"/>
    <w:rsid w:val="00BD5CBE"/>
    <w:rsid w:val="00BD685E"/>
    <w:rsid w:val="00BE0499"/>
    <w:rsid w:val="00BE0C91"/>
    <w:rsid w:val="00BE2C53"/>
    <w:rsid w:val="00BE38C1"/>
    <w:rsid w:val="00BE39FF"/>
    <w:rsid w:val="00BE543F"/>
    <w:rsid w:val="00BE7D2A"/>
    <w:rsid w:val="00BF0030"/>
    <w:rsid w:val="00BF014C"/>
    <w:rsid w:val="00BF02AE"/>
    <w:rsid w:val="00BF0E19"/>
    <w:rsid w:val="00BF145D"/>
    <w:rsid w:val="00BF1A33"/>
    <w:rsid w:val="00BF1C13"/>
    <w:rsid w:val="00BF5511"/>
    <w:rsid w:val="00BF5E00"/>
    <w:rsid w:val="00BF6498"/>
    <w:rsid w:val="00BF7213"/>
    <w:rsid w:val="00BF7254"/>
    <w:rsid w:val="00C01E29"/>
    <w:rsid w:val="00C02468"/>
    <w:rsid w:val="00C03295"/>
    <w:rsid w:val="00C03C96"/>
    <w:rsid w:val="00C050E2"/>
    <w:rsid w:val="00C051DA"/>
    <w:rsid w:val="00C071C1"/>
    <w:rsid w:val="00C07979"/>
    <w:rsid w:val="00C07DB7"/>
    <w:rsid w:val="00C07EC5"/>
    <w:rsid w:val="00C11AB7"/>
    <w:rsid w:val="00C11D90"/>
    <w:rsid w:val="00C12C2D"/>
    <w:rsid w:val="00C1454F"/>
    <w:rsid w:val="00C157C0"/>
    <w:rsid w:val="00C1595A"/>
    <w:rsid w:val="00C161CE"/>
    <w:rsid w:val="00C16C10"/>
    <w:rsid w:val="00C17388"/>
    <w:rsid w:val="00C178FD"/>
    <w:rsid w:val="00C20B9A"/>
    <w:rsid w:val="00C23ADD"/>
    <w:rsid w:val="00C24781"/>
    <w:rsid w:val="00C25748"/>
    <w:rsid w:val="00C2645F"/>
    <w:rsid w:val="00C27B9F"/>
    <w:rsid w:val="00C308A9"/>
    <w:rsid w:val="00C30B7A"/>
    <w:rsid w:val="00C30DCD"/>
    <w:rsid w:val="00C32783"/>
    <w:rsid w:val="00C34AEE"/>
    <w:rsid w:val="00C352E0"/>
    <w:rsid w:val="00C35EE5"/>
    <w:rsid w:val="00C36C33"/>
    <w:rsid w:val="00C3764C"/>
    <w:rsid w:val="00C3766B"/>
    <w:rsid w:val="00C4037C"/>
    <w:rsid w:val="00C40694"/>
    <w:rsid w:val="00C40740"/>
    <w:rsid w:val="00C41BF4"/>
    <w:rsid w:val="00C42252"/>
    <w:rsid w:val="00C422F7"/>
    <w:rsid w:val="00C42671"/>
    <w:rsid w:val="00C4329E"/>
    <w:rsid w:val="00C4389B"/>
    <w:rsid w:val="00C44822"/>
    <w:rsid w:val="00C4591E"/>
    <w:rsid w:val="00C479E7"/>
    <w:rsid w:val="00C50B1A"/>
    <w:rsid w:val="00C530CA"/>
    <w:rsid w:val="00C53110"/>
    <w:rsid w:val="00C53ABD"/>
    <w:rsid w:val="00C55D5F"/>
    <w:rsid w:val="00C56FB1"/>
    <w:rsid w:val="00C6407B"/>
    <w:rsid w:val="00C661DF"/>
    <w:rsid w:val="00C6790D"/>
    <w:rsid w:val="00C67FFC"/>
    <w:rsid w:val="00C75657"/>
    <w:rsid w:val="00C81976"/>
    <w:rsid w:val="00C823C4"/>
    <w:rsid w:val="00C83463"/>
    <w:rsid w:val="00C838E1"/>
    <w:rsid w:val="00C90BBE"/>
    <w:rsid w:val="00C917A5"/>
    <w:rsid w:val="00C91C98"/>
    <w:rsid w:val="00C9270C"/>
    <w:rsid w:val="00C94C84"/>
    <w:rsid w:val="00C95A97"/>
    <w:rsid w:val="00C96584"/>
    <w:rsid w:val="00C96CE3"/>
    <w:rsid w:val="00CA1B7E"/>
    <w:rsid w:val="00CA1C5D"/>
    <w:rsid w:val="00CA3818"/>
    <w:rsid w:val="00CA3BCC"/>
    <w:rsid w:val="00CA4525"/>
    <w:rsid w:val="00CA55A6"/>
    <w:rsid w:val="00CA5C32"/>
    <w:rsid w:val="00CA6177"/>
    <w:rsid w:val="00CA6EDC"/>
    <w:rsid w:val="00CA7286"/>
    <w:rsid w:val="00CB3090"/>
    <w:rsid w:val="00CB30BA"/>
    <w:rsid w:val="00CB5EEC"/>
    <w:rsid w:val="00CB7232"/>
    <w:rsid w:val="00CC2C66"/>
    <w:rsid w:val="00CC79A1"/>
    <w:rsid w:val="00CD1788"/>
    <w:rsid w:val="00CD54D2"/>
    <w:rsid w:val="00CD5767"/>
    <w:rsid w:val="00CD63E7"/>
    <w:rsid w:val="00CD7585"/>
    <w:rsid w:val="00CD75E7"/>
    <w:rsid w:val="00CD79DA"/>
    <w:rsid w:val="00CE147A"/>
    <w:rsid w:val="00CE2EE7"/>
    <w:rsid w:val="00CE4BB0"/>
    <w:rsid w:val="00CE6229"/>
    <w:rsid w:val="00CF179E"/>
    <w:rsid w:val="00CF4976"/>
    <w:rsid w:val="00CF5C2A"/>
    <w:rsid w:val="00CF7156"/>
    <w:rsid w:val="00D014A5"/>
    <w:rsid w:val="00D01ECC"/>
    <w:rsid w:val="00D03A6E"/>
    <w:rsid w:val="00D053FD"/>
    <w:rsid w:val="00D05875"/>
    <w:rsid w:val="00D05968"/>
    <w:rsid w:val="00D10679"/>
    <w:rsid w:val="00D12944"/>
    <w:rsid w:val="00D12C94"/>
    <w:rsid w:val="00D13797"/>
    <w:rsid w:val="00D15D0C"/>
    <w:rsid w:val="00D1610B"/>
    <w:rsid w:val="00D16888"/>
    <w:rsid w:val="00D20092"/>
    <w:rsid w:val="00D212A0"/>
    <w:rsid w:val="00D21855"/>
    <w:rsid w:val="00D2262D"/>
    <w:rsid w:val="00D23D0B"/>
    <w:rsid w:val="00D26417"/>
    <w:rsid w:val="00D26960"/>
    <w:rsid w:val="00D26C84"/>
    <w:rsid w:val="00D274BC"/>
    <w:rsid w:val="00D27B83"/>
    <w:rsid w:val="00D27E6C"/>
    <w:rsid w:val="00D301FD"/>
    <w:rsid w:val="00D3020E"/>
    <w:rsid w:val="00D30336"/>
    <w:rsid w:val="00D305CC"/>
    <w:rsid w:val="00D31585"/>
    <w:rsid w:val="00D31A4E"/>
    <w:rsid w:val="00D34099"/>
    <w:rsid w:val="00D34460"/>
    <w:rsid w:val="00D361E5"/>
    <w:rsid w:val="00D36423"/>
    <w:rsid w:val="00D37D9F"/>
    <w:rsid w:val="00D4001C"/>
    <w:rsid w:val="00D412C5"/>
    <w:rsid w:val="00D429F4"/>
    <w:rsid w:val="00D4354B"/>
    <w:rsid w:val="00D4464B"/>
    <w:rsid w:val="00D447B3"/>
    <w:rsid w:val="00D44BB8"/>
    <w:rsid w:val="00D44E86"/>
    <w:rsid w:val="00D50AC4"/>
    <w:rsid w:val="00D50AE2"/>
    <w:rsid w:val="00D515C7"/>
    <w:rsid w:val="00D51D1D"/>
    <w:rsid w:val="00D51D8E"/>
    <w:rsid w:val="00D527B0"/>
    <w:rsid w:val="00D52BB8"/>
    <w:rsid w:val="00D53574"/>
    <w:rsid w:val="00D54F8E"/>
    <w:rsid w:val="00D55D0F"/>
    <w:rsid w:val="00D56655"/>
    <w:rsid w:val="00D57714"/>
    <w:rsid w:val="00D60743"/>
    <w:rsid w:val="00D60C88"/>
    <w:rsid w:val="00D613B6"/>
    <w:rsid w:val="00D63205"/>
    <w:rsid w:val="00D63AE7"/>
    <w:rsid w:val="00D6481A"/>
    <w:rsid w:val="00D64AE1"/>
    <w:rsid w:val="00D65C8D"/>
    <w:rsid w:val="00D662A3"/>
    <w:rsid w:val="00D66D79"/>
    <w:rsid w:val="00D6770E"/>
    <w:rsid w:val="00D70581"/>
    <w:rsid w:val="00D70D11"/>
    <w:rsid w:val="00D72519"/>
    <w:rsid w:val="00D73AB9"/>
    <w:rsid w:val="00D744B6"/>
    <w:rsid w:val="00D75A1A"/>
    <w:rsid w:val="00D77C1E"/>
    <w:rsid w:val="00D80B86"/>
    <w:rsid w:val="00D83F3F"/>
    <w:rsid w:val="00D85281"/>
    <w:rsid w:val="00D854A8"/>
    <w:rsid w:val="00D8697D"/>
    <w:rsid w:val="00D87C5B"/>
    <w:rsid w:val="00D901DE"/>
    <w:rsid w:val="00D9028F"/>
    <w:rsid w:val="00D905A4"/>
    <w:rsid w:val="00D924A1"/>
    <w:rsid w:val="00D9295A"/>
    <w:rsid w:val="00D92B51"/>
    <w:rsid w:val="00D92D44"/>
    <w:rsid w:val="00D94836"/>
    <w:rsid w:val="00D96AD8"/>
    <w:rsid w:val="00D972EC"/>
    <w:rsid w:val="00D979C1"/>
    <w:rsid w:val="00D97B45"/>
    <w:rsid w:val="00D97B9F"/>
    <w:rsid w:val="00DA01D4"/>
    <w:rsid w:val="00DA03C2"/>
    <w:rsid w:val="00DA1C26"/>
    <w:rsid w:val="00DA2589"/>
    <w:rsid w:val="00DA2A77"/>
    <w:rsid w:val="00DA2D2B"/>
    <w:rsid w:val="00DA3EA1"/>
    <w:rsid w:val="00DA3EA5"/>
    <w:rsid w:val="00DA4D9D"/>
    <w:rsid w:val="00DB13DF"/>
    <w:rsid w:val="00DB595D"/>
    <w:rsid w:val="00DB5D51"/>
    <w:rsid w:val="00DB6CAB"/>
    <w:rsid w:val="00DC235E"/>
    <w:rsid w:val="00DC24D4"/>
    <w:rsid w:val="00DC2D2A"/>
    <w:rsid w:val="00DC5C57"/>
    <w:rsid w:val="00DC5D84"/>
    <w:rsid w:val="00DC69B9"/>
    <w:rsid w:val="00DC721D"/>
    <w:rsid w:val="00DC7A3D"/>
    <w:rsid w:val="00DD01A3"/>
    <w:rsid w:val="00DD79E7"/>
    <w:rsid w:val="00DE15C7"/>
    <w:rsid w:val="00DE1BDD"/>
    <w:rsid w:val="00DE203B"/>
    <w:rsid w:val="00DE3432"/>
    <w:rsid w:val="00DE3B04"/>
    <w:rsid w:val="00DE3B06"/>
    <w:rsid w:val="00DE4148"/>
    <w:rsid w:val="00DE41D6"/>
    <w:rsid w:val="00DE525F"/>
    <w:rsid w:val="00DE5614"/>
    <w:rsid w:val="00DF10D1"/>
    <w:rsid w:val="00DF3269"/>
    <w:rsid w:val="00DF328D"/>
    <w:rsid w:val="00DF3633"/>
    <w:rsid w:val="00DF38B9"/>
    <w:rsid w:val="00DF3EBC"/>
    <w:rsid w:val="00DF45F2"/>
    <w:rsid w:val="00DF6166"/>
    <w:rsid w:val="00DF651C"/>
    <w:rsid w:val="00DF6B56"/>
    <w:rsid w:val="00DF7756"/>
    <w:rsid w:val="00E00716"/>
    <w:rsid w:val="00E00AFA"/>
    <w:rsid w:val="00E03D97"/>
    <w:rsid w:val="00E05E16"/>
    <w:rsid w:val="00E05F40"/>
    <w:rsid w:val="00E0607B"/>
    <w:rsid w:val="00E111A2"/>
    <w:rsid w:val="00E14A52"/>
    <w:rsid w:val="00E14F60"/>
    <w:rsid w:val="00E1610C"/>
    <w:rsid w:val="00E16FE2"/>
    <w:rsid w:val="00E2058D"/>
    <w:rsid w:val="00E208C5"/>
    <w:rsid w:val="00E23CA7"/>
    <w:rsid w:val="00E25EAB"/>
    <w:rsid w:val="00E26655"/>
    <w:rsid w:val="00E26B97"/>
    <w:rsid w:val="00E30349"/>
    <w:rsid w:val="00E308B8"/>
    <w:rsid w:val="00E30CC7"/>
    <w:rsid w:val="00E324EE"/>
    <w:rsid w:val="00E32522"/>
    <w:rsid w:val="00E3467B"/>
    <w:rsid w:val="00E34C0D"/>
    <w:rsid w:val="00E36409"/>
    <w:rsid w:val="00E368A1"/>
    <w:rsid w:val="00E36ACA"/>
    <w:rsid w:val="00E41026"/>
    <w:rsid w:val="00E4235D"/>
    <w:rsid w:val="00E43482"/>
    <w:rsid w:val="00E43CEC"/>
    <w:rsid w:val="00E4561E"/>
    <w:rsid w:val="00E5103E"/>
    <w:rsid w:val="00E51B53"/>
    <w:rsid w:val="00E51FE2"/>
    <w:rsid w:val="00E52F76"/>
    <w:rsid w:val="00E5326A"/>
    <w:rsid w:val="00E53674"/>
    <w:rsid w:val="00E53DE6"/>
    <w:rsid w:val="00E55C19"/>
    <w:rsid w:val="00E57994"/>
    <w:rsid w:val="00E6188B"/>
    <w:rsid w:val="00E61BC0"/>
    <w:rsid w:val="00E623D4"/>
    <w:rsid w:val="00E67933"/>
    <w:rsid w:val="00E70065"/>
    <w:rsid w:val="00E70FC1"/>
    <w:rsid w:val="00E72F87"/>
    <w:rsid w:val="00E73110"/>
    <w:rsid w:val="00E73BCC"/>
    <w:rsid w:val="00E745CE"/>
    <w:rsid w:val="00E74A30"/>
    <w:rsid w:val="00E751E4"/>
    <w:rsid w:val="00E75BD3"/>
    <w:rsid w:val="00E7659C"/>
    <w:rsid w:val="00E76D2F"/>
    <w:rsid w:val="00E80A6C"/>
    <w:rsid w:val="00E81012"/>
    <w:rsid w:val="00E87B30"/>
    <w:rsid w:val="00E9193A"/>
    <w:rsid w:val="00E91E37"/>
    <w:rsid w:val="00E94389"/>
    <w:rsid w:val="00E94AED"/>
    <w:rsid w:val="00EA0884"/>
    <w:rsid w:val="00EA233A"/>
    <w:rsid w:val="00EA40E8"/>
    <w:rsid w:val="00EA4FDF"/>
    <w:rsid w:val="00EA5351"/>
    <w:rsid w:val="00EA6900"/>
    <w:rsid w:val="00EA785C"/>
    <w:rsid w:val="00EB0387"/>
    <w:rsid w:val="00EB1C0E"/>
    <w:rsid w:val="00EB1D16"/>
    <w:rsid w:val="00EB1DDA"/>
    <w:rsid w:val="00EB2257"/>
    <w:rsid w:val="00EB4A01"/>
    <w:rsid w:val="00EC0B1F"/>
    <w:rsid w:val="00EC0DAE"/>
    <w:rsid w:val="00EC2643"/>
    <w:rsid w:val="00EC39DD"/>
    <w:rsid w:val="00EC3DF1"/>
    <w:rsid w:val="00EC4268"/>
    <w:rsid w:val="00EC4588"/>
    <w:rsid w:val="00EC5369"/>
    <w:rsid w:val="00EC66E4"/>
    <w:rsid w:val="00EC7639"/>
    <w:rsid w:val="00ED003F"/>
    <w:rsid w:val="00ED01F0"/>
    <w:rsid w:val="00ED09EE"/>
    <w:rsid w:val="00ED23C8"/>
    <w:rsid w:val="00ED290C"/>
    <w:rsid w:val="00ED53B8"/>
    <w:rsid w:val="00ED5EAC"/>
    <w:rsid w:val="00EE02C9"/>
    <w:rsid w:val="00EE46CE"/>
    <w:rsid w:val="00EE7D29"/>
    <w:rsid w:val="00EF0EBC"/>
    <w:rsid w:val="00EF1C33"/>
    <w:rsid w:val="00EF30D3"/>
    <w:rsid w:val="00EF30E2"/>
    <w:rsid w:val="00EF30E3"/>
    <w:rsid w:val="00EF4DC0"/>
    <w:rsid w:val="00F00A17"/>
    <w:rsid w:val="00F00D50"/>
    <w:rsid w:val="00F046AB"/>
    <w:rsid w:val="00F047ED"/>
    <w:rsid w:val="00F0483E"/>
    <w:rsid w:val="00F05BDB"/>
    <w:rsid w:val="00F05E92"/>
    <w:rsid w:val="00F06AF6"/>
    <w:rsid w:val="00F06DDC"/>
    <w:rsid w:val="00F0769D"/>
    <w:rsid w:val="00F07C75"/>
    <w:rsid w:val="00F10FBD"/>
    <w:rsid w:val="00F1228E"/>
    <w:rsid w:val="00F13B57"/>
    <w:rsid w:val="00F1622C"/>
    <w:rsid w:val="00F16D86"/>
    <w:rsid w:val="00F21390"/>
    <w:rsid w:val="00F22EFD"/>
    <w:rsid w:val="00F22F9D"/>
    <w:rsid w:val="00F27A99"/>
    <w:rsid w:val="00F321BD"/>
    <w:rsid w:val="00F33333"/>
    <w:rsid w:val="00F34009"/>
    <w:rsid w:val="00F34580"/>
    <w:rsid w:val="00F3482C"/>
    <w:rsid w:val="00F3621C"/>
    <w:rsid w:val="00F37164"/>
    <w:rsid w:val="00F374C7"/>
    <w:rsid w:val="00F376CD"/>
    <w:rsid w:val="00F377B0"/>
    <w:rsid w:val="00F403D1"/>
    <w:rsid w:val="00F40F83"/>
    <w:rsid w:val="00F41191"/>
    <w:rsid w:val="00F43581"/>
    <w:rsid w:val="00F43BA5"/>
    <w:rsid w:val="00F44AE9"/>
    <w:rsid w:val="00F46D15"/>
    <w:rsid w:val="00F52B1C"/>
    <w:rsid w:val="00F5459E"/>
    <w:rsid w:val="00F54724"/>
    <w:rsid w:val="00F55F2B"/>
    <w:rsid w:val="00F573C8"/>
    <w:rsid w:val="00F57BA2"/>
    <w:rsid w:val="00F6373D"/>
    <w:rsid w:val="00F643C9"/>
    <w:rsid w:val="00F65712"/>
    <w:rsid w:val="00F6593C"/>
    <w:rsid w:val="00F67837"/>
    <w:rsid w:val="00F74099"/>
    <w:rsid w:val="00F749FA"/>
    <w:rsid w:val="00F76C84"/>
    <w:rsid w:val="00F77CF3"/>
    <w:rsid w:val="00F802BA"/>
    <w:rsid w:val="00F811BC"/>
    <w:rsid w:val="00F8133D"/>
    <w:rsid w:val="00F9257D"/>
    <w:rsid w:val="00F92D95"/>
    <w:rsid w:val="00F9683A"/>
    <w:rsid w:val="00FA0402"/>
    <w:rsid w:val="00FA275C"/>
    <w:rsid w:val="00FA53BD"/>
    <w:rsid w:val="00FA5CDA"/>
    <w:rsid w:val="00FB0D95"/>
    <w:rsid w:val="00FB24C4"/>
    <w:rsid w:val="00FB3230"/>
    <w:rsid w:val="00FB354E"/>
    <w:rsid w:val="00FB3891"/>
    <w:rsid w:val="00FB429B"/>
    <w:rsid w:val="00FB498D"/>
    <w:rsid w:val="00FB66EF"/>
    <w:rsid w:val="00FB70B8"/>
    <w:rsid w:val="00FB7376"/>
    <w:rsid w:val="00FB79AE"/>
    <w:rsid w:val="00FC0297"/>
    <w:rsid w:val="00FC02BF"/>
    <w:rsid w:val="00FC09F3"/>
    <w:rsid w:val="00FC3614"/>
    <w:rsid w:val="00FC4D3D"/>
    <w:rsid w:val="00FC68AA"/>
    <w:rsid w:val="00FC6C59"/>
    <w:rsid w:val="00FC747B"/>
    <w:rsid w:val="00FD17E5"/>
    <w:rsid w:val="00FD40B6"/>
    <w:rsid w:val="00FD4956"/>
    <w:rsid w:val="00FD52B0"/>
    <w:rsid w:val="00FE7635"/>
    <w:rsid w:val="00FE7BC5"/>
    <w:rsid w:val="00FF45C4"/>
    <w:rsid w:val="00FF50A3"/>
    <w:rsid w:val="00FF5620"/>
    <w:rsid w:val="00FF63FE"/>
    <w:rsid w:val="01017C11"/>
    <w:rsid w:val="010334B8"/>
    <w:rsid w:val="01066CBA"/>
    <w:rsid w:val="010A6538"/>
    <w:rsid w:val="0110412D"/>
    <w:rsid w:val="01145609"/>
    <w:rsid w:val="0116312F"/>
    <w:rsid w:val="01182082"/>
    <w:rsid w:val="011B6997"/>
    <w:rsid w:val="011F7609"/>
    <w:rsid w:val="012433B5"/>
    <w:rsid w:val="01253372"/>
    <w:rsid w:val="01255120"/>
    <w:rsid w:val="012714CF"/>
    <w:rsid w:val="01284C10"/>
    <w:rsid w:val="012A4E2C"/>
    <w:rsid w:val="012A6BDB"/>
    <w:rsid w:val="012F2443"/>
    <w:rsid w:val="013038A2"/>
    <w:rsid w:val="013435B5"/>
    <w:rsid w:val="01374E54"/>
    <w:rsid w:val="01434F77"/>
    <w:rsid w:val="01475100"/>
    <w:rsid w:val="01476E41"/>
    <w:rsid w:val="014F6641"/>
    <w:rsid w:val="01505F15"/>
    <w:rsid w:val="01521C8D"/>
    <w:rsid w:val="01536131"/>
    <w:rsid w:val="01541EA9"/>
    <w:rsid w:val="01545A05"/>
    <w:rsid w:val="01583748"/>
    <w:rsid w:val="015C48BA"/>
    <w:rsid w:val="0160084E"/>
    <w:rsid w:val="016025FC"/>
    <w:rsid w:val="016814B1"/>
    <w:rsid w:val="01722330"/>
    <w:rsid w:val="017348D5"/>
    <w:rsid w:val="01745EA2"/>
    <w:rsid w:val="017471F2"/>
    <w:rsid w:val="01763BCE"/>
    <w:rsid w:val="017716F4"/>
    <w:rsid w:val="01787946"/>
    <w:rsid w:val="017A34B9"/>
    <w:rsid w:val="017B5688"/>
    <w:rsid w:val="017B7436"/>
    <w:rsid w:val="0180196C"/>
    <w:rsid w:val="01836A50"/>
    <w:rsid w:val="01877B89"/>
    <w:rsid w:val="01880B03"/>
    <w:rsid w:val="018A1427"/>
    <w:rsid w:val="018C1643"/>
    <w:rsid w:val="018C33F1"/>
    <w:rsid w:val="018C5418"/>
    <w:rsid w:val="018E7169"/>
    <w:rsid w:val="01911030"/>
    <w:rsid w:val="019404F8"/>
    <w:rsid w:val="01953225"/>
    <w:rsid w:val="019E3125"/>
    <w:rsid w:val="01A26771"/>
    <w:rsid w:val="01A3073B"/>
    <w:rsid w:val="01A54657"/>
    <w:rsid w:val="01A7027D"/>
    <w:rsid w:val="01AE3368"/>
    <w:rsid w:val="01AF0E8E"/>
    <w:rsid w:val="01AF179F"/>
    <w:rsid w:val="01AF1E59"/>
    <w:rsid w:val="01B16C90"/>
    <w:rsid w:val="01B61F65"/>
    <w:rsid w:val="01BB5A85"/>
    <w:rsid w:val="01BD153E"/>
    <w:rsid w:val="01BD7A4F"/>
    <w:rsid w:val="01BF5575"/>
    <w:rsid w:val="01C15882"/>
    <w:rsid w:val="01C56903"/>
    <w:rsid w:val="01C65812"/>
    <w:rsid w:val="01C81F50"/>
    <w:rsid w:val="01C872A0"/>
    <w:rsid w:val="01CC1A40"/>
    <w:rsid w:val="01CD25B7"/>
    <w:rsid w:val="01D34B7C"/>
    <w:rsid w:val="01D60B10"/>
    <w:rsid w:val="01D628BE"/>
    <w:rsid w:val="01DF0FF3"/>
    <w:rsid w:val="01E6443F"/>
    <w:rsid w:val="01E73683"/>
    <w:rsid w:val="01E8172D"/>
    <w:rsid w:val="01E943A0"/>
    <w:rsid w:val="01EE7CC3"/>
    <w:rsid w:val="01F114A6"/>
    <w:rsid w:val="01F526AF"/>
    <w:rsid w:val="01F64D0F"/>
    <w:rsid w:val="01F8223F"/>
    <w:rsid w:val="01F923B5"/>
    <w:rsid w:val="01FA5486"/>
    <w:rsid w:val="01FB2325"/>
    <w:rsid w:val="01FB40D3"/>
    <w:rsid w:val="02012CC2"/>
    <w:rsid w:val="02021905"/>
    <w:rsid w:val="020457FF"/>
    <w:rsid w:val="02085FB6"/>
    <w:rsid w:val="020A2568"/>
    <w:rsid w:val="020E2058"/>
    <w:rsid w:val="020F676D"/>
    <w:rsid w:val="0213141D"/>
    <w:rsid w:val="02145195"/>
    <w:rsid w:val="021533E7"/>
    <w:rsid w:val="021653B1"/>
    <w:rsid w:val="02182ED7"/>
    <w:rsid w:val="021A27AB"/>
    <w:rsid w:val="021A5339"/>
    <w:rsid w:val="021B1EFE"/>
    <w:rsid w:val="021B4775"/>
    <w:rsid w:val="021D5EB2"/>
    <w:rsid w:val="022653DD"/>
    <w:rsid w:val="022B0E5C"/>
    <w:rsid w:val="022C3206"/>
    <w:rsid w:val="022E26FA"/>
    <w:rsid w:val="022E4A71"/>
    <w:rsid w:val="02364C1F"/>
    <w:rsid w:val="02385327"/>
    <w:rsid w:val="023B79A0"/>
    <w:rsid w:val="023C4E17"/>
    <w:rsid w:val="023F2212"/>
    <w:rsid w:val="02407440"/>
    <w:rsid w:val="02421D02"/>
    <w:rsid w:val="02427F54"/>
    <w:rsid w:val="024535A0"/>
    <w:rsid w:val="0247556A"/>
    <w:rsid w:val="024B505A"/>
    <w:rsid w:val="024E06A7"/>
    <w:rsid w:val="025033FE"/>
    <w:rsid w:val="025308EF"/>
    <w:rsid w:val="025657AD"/>
    <w:rsid w:val="02571C51"/>
    <w:rsid w:val="025739FF"/>
    <w:rsid w:val="02587777"/>
    <w:rsid w:val="025A529E"/>
    <w:rsid w:val="025B3064"/>
    <w:rsid w:val="025F0B06"/>
    <w:rsid w:val="02615DF6"/>
    <w:rsid w:val="02621ED2"/>
    <w:rsid w:val="026223A4"/>
    <w:rsid w:val="02624152"/>
    <w:rsid w:val="02670C82"/>
    <w:rsid w:val="026779F0"/>
    <w:rsid w:val="02693733"/>
    <w:rsid w:val="026954E1"/>
    <w:rsid w:val="027306D0"/>
    <w:rsid w:val="02783976"/>
    <w:rsid w:val="02806CCE"/>
    <w:rsid w:val="0281282A"/>
    <w:rsid w:val="02816CCE"/>
    <w:rsid w:val="028231D3"/>
    <w:rsid w:val="02841578"/>
    <w:rsid w:val="02866093"/>
    <w:rsid w:val="02895B83"/>
    <w:rsid w:val="028C47B9"/>
    <w:rsid w:val="0293255D"/>
    <w:rsid w:val="029410AB"/>
    <w:rsid w:val="029562D6"/>
    <w:rsid w:val="029702A0"/>
    <w:rsid w:val="029D5052"/>
    <w:rsid w:val="02A12ECC"/>
    <w:rsid w:val="02A209F3"/>
    <w:rsid w:val="02A5613D"/>
    <w:rsid w:val="02A73359"/>
    <w:rsid w:val="02A76009"/>
    <w:rsid w:val="02AB12F8"/>
    <w:rsid w:val="02AC0069"/>
    <w:rsid w:val="02AD4A68"/>
    <w:rsid w:val="02AF3E19"/>
    <w:rsid w:val="02B0001A"/>
    <w:rsid w:val="02B04EBD"/>
    <w:rsid w:val="02B250DA"/>
    <w:rsid w:val="02B5507D"/>
    <w:rsid w:val="02B7517C"/>
    <w:rsid w:val="02B80216"/>
    <w:rsid w:val="02B90834"/>
    <w:rsid w:val="02BE12D4"/>
    <w:rsid w:val="02BE582C"/>
    <w:rsid w:val="02BF15A4"/>
    <w:rsid w:val="02C44E0D"/>
    <w:rsid w:val="02C53DB1"/>
    <w:rsid w:val="02C62933"/>
    <w:rsid w:val="02C64EB8"/>
    <w:rsid w:val="02C7217E"/>
    <w:rsid w:val="02C72207"/>
    <w:rsid w:val="02C866AB"/>
    <w:rsid w:val="02C97591"/>
    <w:rsid w:val="02CA2696"/>
    <w:rsid w:val="02CA5CD8"/>
    <w:rsid w:val="02CB1CF7"/>
    <w:rsid w:val="02CD0AE3"/>
    <w:rsid w:val="02D037B2"/>
    <w:rsid w:val="02D50DC8"/>
    <w:rsid w:val="02D917F0"/>
    <w:rsid w:val="02DA376B"/>
    <w:rsid w:val="02DE5ECF"/>
    <w:rsid w:val="02E26B72"/>
    <w:rsid w:val="02E35293"/>
    <w:rsid w:val="02E37041"/>
    <w:rsid w:val="02E41F01"/>
    <w:rsid w:val="02E5725D"/>
    <w:rsid w:val="02E62FD5"/>
    <w:rsid w:val="02E903CF"/>
    <w:rsid w:val="02EA149B"/>
    <w:rsid w:val="02EB05EB"/>
    <w:rsid w:val="02EC5D9C"/>
    <w:rsid w:val="02F075CD"/>
    <w:rsid w:val="02F1546E"/>
    <w:rsid w:val="02F474A0"/>
    <w:rsid w:val="02F70D3E"/>
    <w:rsid w:val="02FA082F"/>
    <w:rsid w:val="02FB5070"/>
    <w:rsid w:val="02FC0DCC"/>
    <w:rsid w:val="02FC7879"/>
    <w:rsid w:val="03015719"/>
    <w:rsid w:val="03026FCF"/>
    <w:rsid w:val="03051650"/>
    <w:rsid w:val="0305345B"/>
    <w:rsid w:val="030663D5"/>
    <w:rsid w:val="03074DED"/>
    <w:rsid w:val="03080A41"/>
    <w:rsid w:val="03083097"/>
    <w:rsid w:val="03095C2D"/>
    <w:rsid w:val="030D78E8"/>
    <w:rsid w:val="030F52BB"/>
    <w:rsid w:val="031418F0"/>
    <w:rsid w:val="03143880"/>
    <w:rsid w:val="03165668"/>
    <w:rsid w:val="031A16AF"/>
    <w:rsid w:val="031A4B92"/>
    <w:rsid w:val="031C07A5"/>
    <w:rsid w:val="031E451D"/>
    <w:rsid w:val="031E62CB"/>
    <w:rsid w:val="032221E6"/>
    <w:rsid w:val="03253AFD"/>
    <w:rsid w:val="032558AB"/>
    <w:rsid w:val="032633D2"/>
    <w:rsid w:val="03263E86"/>
    <w:rsid w:val="0328714A"/>
    <w:rsid w:val="032D29B2"/>
    <w:rsid w:val="032F31A3"/>
    <w:rsid w:val="033159F7"/>
    <w:rsid w:val="03327FC8"/>
    <w:rsid w:val="03361942"/>
    <w:rsid w:val="03363AF8"/>
    <w:rsid w:val="033C0E47"/>
    <w:rsid w:val="033C4A70"/>
    <w:rsid w:val="033E59B3"/>
    <w:rsid w:val="03404493"/>
    <w:rsid w:val="0341645D"/>
    <w:rsid w:val="03433F84"/>
    <w:rsid w:val="034A3564"/>
    <w:rsid w:val="034D6BB0"/>
    <w:rsid w:val="034D7468"/>
    <w:rsid w:val="034F46D6"/>
    <w:rsid w:val="03512DB6"/>
    <w:rsid w:val="03595555"/>
    <w:rsid w:val="035B2972"/>
    <w:rsid w:val="035C5D80"/>
    <w:rsid w:val="035C797A"/>
    <w:rsid w:val="035E0DBD"/>
    <w:rsid w:val="035E700F"/>
    <w:rsid w:val="03610F2C"/>
    <w:rsid w:val="0361265C"/>
    <w:rsid w:val="0365214C"/>
    <w:rsid w:val="036839EA"/>
    <w:rsid w:val="03685798"/>
    <w:rsid w:val="036902F4"/>
    <w:rsid w:val="036A59B4"/>
    <w:rsid w:val="036A7762"/>
    <w:rsid w:val="036C66E1"/>
    <w:rsid w:val="036C7E22"/>
    <w:rsid w:val="036F1EDC"/>
    <w:rsid w:val="036F2FCB"/>
    <w:rsid w:val="03710AF1"/>
    <w:rsid w:val="03726617"/>
    <w:rsid w:val="03764359"/>
    <w:rsid w:val="03793528"/>
    <w:rsid w:val="037D6919"/>
    <w:rsid w:val="037F4482"/>
    <w:rsid w:val="03822CFE"/>
    <w:rsid w:val="03870314"/>
    <w:rsid w:val="03887BE8"/>
    <w:rsid w:val="038963EE"/>
    <w:rsid w:val="038A5456"/>
    <w:rsid w:val="038D2B62"/>
    <w:rsid w:val="038F0F77"/>
    <w:rsid w:val="03912F41"/>
    <w:rsid w:val="03942A31"/>
    <w:rsid w:val="03950013"/>
    <w:rsid w:val="039667A9"/>
    <w:rsid w:val="039D4219"/>
    <w:rsid w:val="039E11BA"/>
    <w:rsid w:val="03A964DC"/>
    <w:rsid w:val="03AE526E"/>
    <w:rsid w:val="03B13A91"/>
    <w:rsid w:val="03B44E81"/>
    <w:rsid w:val="03B95FF4"/>
    <w:rsid w:val="03C350C4"/>
    <w:rsid w:val="03C704AC"/>
    <w:rsid w:val="03C74658"/>
    <w:rsid w:val="03C93E62"/>
    <w:rsid w:val="03CC3F79"/>
    <w:rsid w:val="03CD4818"/>
    <w:rsid w:val="03CE1E00"/>
    <w:rsid w:val="03CE5F43"/>
    <w:rsid w:val="03D25B79"/>
    <w:rsid w:val="03D33559"/>
    <w:rsid w:val="03D35307"/>
    <w:rsid w:val="03D70343"/>
    <w:rsid w:val="03D7404F"/>
    <w:rsid w:val="03D8291E"/>
    <w:rsid w:val="03D8338E"/>
    <w:rsid w:val="03DB4C45"/>
    <w:rsid w:val="03DB6BF1"/>
    <w:rsid w:val="03DC4BE9"/>
    <w:rsid w:val="03E6578C"/>
    <w:rsid w:val="03E80687"/>
    <w:rsid w:val="03E855B6"/>
    <w:rsid w:val="03E94B2B"/>
    <w:rsid w:val="03EC5325"/>
    <w:rsid w:val="03ED69E0"/>
    <w:rsid w:val="03EE0393"/>
    <w:rsid w:val="03F51722"/>
    <w:rsid w:val="03F615E2"/>
    <w:rsid w:val="03F64F82"/>
    <w:rsid w:val="03FA360A"/>
    <w:rsid w:val="03FD05D6"/>
    <w:rsid w:val="0405748B"/>
    <w:rsid w:val="04074FB1"/>
    <w:rsid w:val="040815BF"/>
    <w:rsid w:val="040A2CF3"/>
    <w:rsid w:val="040C7624"/>
    <w:rsid w:val="04131BA8"/>
    <w:rsid w:val="0414147C"/>
    <w:rsid w:val="04161698"/>
    <w:rsid w:val="041651F4"/>
    <w:rsid w:val="041741F5"/>
    <w:rsid w:val="041B280B"/>
    <w:rsid w:val="041D2A27"/>
    <w:rsid w:val="042518DB"/>
    <w:rsid w:val="04275653"/>
    <w:rsid w:val="0428089C"/>
    <w:rsid w:val="04291F53"/>
    <w:rsid w:val="04294F27"/>
    <w:rsid w:val="042950C7"/>
    <w:rsid w:val="042B26C2"/>
    <w:rsid w:val="042C6499"/>
    <w:rsid w:val="042D2256"/>
    <w:rsid w:val="042F4508"/>
    <w:rsid w:val="043056C3"/>
    <w:rsid w:val="0432548E"/>
    <w:rsid w:val="043349A4"/>
    <w:rsid w:val="04384DC4"/>
    <w:rsid w:val="04387860"/>
    <w:rsid w:val="043A7135"/>
    <w:rsid w:val="043E5DD3"/>
    <w:rsid w:val="04430814"/>
    <w:rsid w:val="0449381C"/>
    <w:rsid w:val="044955CA"/>
    <w:rsid w:val="044D71EC"/>
    <w:rsid w:val="044E0E32"/>
    <w:rsid w:val="045301F6"/>
    <w:rsid w:val="04531FA4"/>
    <w:rsid w:val="045466F6"/>
    <w:rsid w:val="045741C8"/>
    <w:rsid w:val="04585F4D"/>
    <w:rsid w:val="045A3333"/>
    <w:rsid w:val="045C354F"/>
    <w:rsid w:val="045F4DED"/>
    <w:rsid w:val="046318B0"/>
    <w:rsid w:val="04640655"/>
    <w:rsid w:val="04645078"/>
    <w:rsid w:val="0465083F"/>
    <w:rsid w:val="046917C8"/>
    <w:rsid w:val="046C12B8"/>
    <w:rsid w:val="046C750A"/>
    <w:rsid w:val="046E5030"/>
    <w:rsid w:val="04732647"/>
    <w:rsid w:val="047343F5"/>
    <w:rsid w:val="04795A69"/>
    <w:rsid w:val="047A1C27"/>
    <w:rsid w:val="047A6D8A"/>
    <w:rsid w:val="047B12E1"/>
    <w:rsid w:val="047F2D99"/>
    <w:rsid w:val="047F723D"/>
    <w:rsid w:val="04815379"/>
    <w:rsid w:val="04825AB3"/>
    <w:rsid w:val="048302F5"/>
    <w:rsid w:val="04854128"/>
    <w:rsid w:val="04890B41"/>
    <w:rsid w:val="04891E6A"/>
    <w:rsid w:val="048952A5"/>
    <w:rsid w:val="048B5043"/>
    <w:rsid w:val="048B5BE2"/>
    <w:rsid w:val="048B7275"/>
    <w:rsid w:val="048B7990"/>
    <w:rsid w:val="048E3E9F"/>
    <w:rsid w:val="04912ACD"/>
    <w:rsid w:val="04930218"/>
    <w:rsid w:val="04932CE9"/>
    <w:rsid w:val="049525BD"/>
    <w:rsid w:val="0495518E"/>
    <w:rsid w:val="04960014"/>
    <w:rsid w:val="049727D9"/>
    <w:rsid w:val="049735DD"/>
    <w:rsid w:val="049A4077"/>
    <w:rsid w:val="049F7206"/>
    <w:rsid w:val="04A44EF6"/>
    <w:rsid w:val="04A62A1C"/>
    <w:rsid w:val="04A66578"/>
    <w:rsid w:val="04A70542"/>
    <w:rsid w:val="04A9250C"/>
    <w:rsid w:val="04A942BA"/>
    <w:rsid w:val="04AB1B35"/>
    <w:rsid w:val="04AF62B0"/>
    <w:rsid w:val="04B40B3C"/>
    <w:rsid w:val="04B62533"/>
    <w:rsid w:val="04B64ED6"/>
    <w:rsid w:val="04B769D7"/>
    <w:rsid w:val="04BA64C7"/>
    <w:rsid w:val="04BB40A5"/>
    <w:rsid w:val="04BD0471"/>
    <w:rsid w:val="04BF3ADE"/>
    <w:rsid w:val="04BF763A"/>
    <w:rsid w:val="04C335CE"/>
    <w:rsid w:val="04CA2F59"/>
    <w:rsid w:val="04CB2483"/>
    <w:rsid w:val="04CB4231"/>
    <w:rsid w:val="04CE6564"/>
    <w:rsid w:val="04D23811"/>
    <w:rsid w:val="04D56E5D"/>
    <w:rsid w:val="04DC01EC"/>
    <w:rsid w:val="04DC7CE5"/>
    <w:rsid w:val="04DD75A1"/>
    <w:rsid w:val="04E60D22"/>
    <w:rsid w:val="04E83035"/>
    <w:rsid w:val="04EA6DAD"/>
    <w:rsid w:val="04ED23F9"/>
    <w:rsid w:val="04EF43C3"/>
    <w:rsid w:val="04F02E6E"/>
    <w:rsid w:val="04F217BD"/>
    <w:rsid w:val="04F60E33"/>
    <w:rsid w:val="04F76DD4"/>
    <w:rsid w:val="04F83D4F"/>
    <w:rsid w:val="04FA68C4"/>
    <w:rsid w:val="050151A9"/>
    <w:rsid w:val="05017C52"/>
    <w:rsid w:val="05033049"/>
    <w:rsid w:val="05045994"/>
    <w:rsid w:val="05104DB2"/>
    <w:rsid w:val="051668EE"/>
    <w:rsid w:val="051C683A"/>
    <w:rsid w:val="05213117"/>
    <w:rsid w:val="05227A62"/>
    <w:rsid w:val="0523406D"/>
    <w:rsid w:val="05283431"/>
    <w:rsid w:val="052E47BF"/>
    <w:rsid w:val="053029B6"/>
    <w:rsid w:val="0532605E"/>
    <w:rsid w:val="05356D96"/>
    <w:rsid w:val="053A13B6"/>
    <w:rsid w:val="053A4F12"/>
    <w:rsid w:val="053C4E0D"/>
    <w:rsid w:val="053E7D66"/>
    <w:rsid w:val="053F504C"/>
    <w:rsid w:val="053F6FB9"/>
    <w:rsid w:val="05432019"/>
    <w:rsid w:val="05453FE3"/>
    <w:rsid w:val="05467D5B"/>
    <w:rsid w:val="054802ED"/>
    <w:rsid w:val="05492412"/>
    <w:rsid w:val="054933A7"/>
    <w:rsid w:val="054A1B88"/>
    <w:rsid w:val="054D2E98"/>
    <w:rsid w:val="054D733B"/>
    <w:rsid w:val="05514147"/>
    <w:rsid w:val="05542478"/>
    <w:rsid w:val="05544226"/>
    <w:rsid w:val="055568A5"/>
    <w:rsid w:val="055703C4"/>
    <w:rsid w:val="055814AD"/>
    <w:rsid w:val="055E6E53"/>
    <w:rsid w:val="05634469"/>
    <w:rsid w:val="05664749"/>
    <w:rsid w:val="056868B5"/>
    <w:rsid w:val="056B77C2"/>
    <w:rsid w:val="056F1060"/>
    <w:rsid w:val="056F72B2"/>
    <w:rsid w:val="0575419C"/>
    <w:rsid w:val="057A6A35"/>
    <w:rsid w:val="057B5C57"/>
    <w:rsid w:val="057E12A3"/>
    <w:rsid w:val="057E74F5"/>
    <w:rsid w:val="057F71C9"/>
    <w:rsid w:val="05856AD5"/>
    <w:rsid w:val="05886C0F"/>
    <w:rsid w:val="058B4EAD"/>
    <w:rsid w:val="058E4972"/>
    <w:rsid w:val="058F6548"/>
    <w:rsid w:val="059211F2"/>
    <w:rsid w:val="059705B7"/>
    <w:rsid w:val="05972365"/>
    <w:rsid w:val="05A14F91"/>
    <w:rsid w:val="05A32345"/>
    <w:rsid w:val="05A43529"/>
    <w:rsid w:val="05A50F26"/>
    <w:rsid w:val="05A54A82"/>
    <w:rsid w:val="05AD7DDA"/>
    <w:rsid w:val="05B47AA9"/>
    <w:rsid w:val="05B93DE4"/>
    <w:rsid w:val="05BB42A5"/>
    <w:rsid w:val="05BC001D"/>
    <w:rsid w:val="05CA273A"/>
    <w:rsid w:val="05CB2E48"/>
    <w:rsid w:val="05CC5A42"/>
    <w:rsid w:val="05CC64B2"/>
    <w:rsid w:val="05D709B3"/>
    <w:rsid w:val="05D77158"/>
    <w:rsid w:val="05D8600D"/>
    <w:rsid w:val="05E51322"/>
    <w:rsid w:val="05EC4C3F"/>
    <w:rsid w:val="05EF03F3"/>
    <w:rsid w:val="05EF21A1"/>
    <w:rsid w:val="05F1356D"/>
    <w:rsid w:val="05F15F19"/>
    <w:rsid w:val="05F17CC7"/>
    <w:rsid w:val="05F31C91"/>
    <w:rsid w:val="05F76D9D"/>
    <w:rsid w:val="05F81055"/>
    <w:rsid w:val="05F86D89"/>
    <w:rsid w:val="05F90203"/>
    <w:rsid w:val="05FD2B10"/>
    <w:rsid w:val="05FD48BE"/>
    <w:rsid w:val="060043AE"/>
    <w:rsid w:val="0601345B"/>
    <w:rsid w:val="06020126"/>
    <w:rsid w:val="0607573C"/>
    <w:rsid w:val="06076ACA"/>
    <w:rsid w:val="060C4B01"/>
    <w:rsid w:val="060F17A5"/>
    <w:rsid w:val="06112117"/>
    <w:rsid w:val="0614202D"/>
    <w:rsid w:val="06164EDB"/>
    <w:rsid w:val="0616772D"/>
    <w:rsid w:val="061A5470"/>
    <w:rsid w:val="062005AC"/>
    <w:rsid w:val="06206C00"/>
    <w:rsid w:val="06226779"/>
    <w:rsid w:val="06233BF8"/>
    <w:rsid w:val="06233DDE"/>
    <w:rsid w:val="062434B3"/>
    <w:rsid w:val="06261734"/>
    <w:rsid w:val="062A31D9"/>
    <w:rsid w:val="062B500F"/>
    <w:rsid w:val="06340978"/>
    <w:rsid w:val="063A78C0"/>
    <w:rsid w:val="06400C4E"/>
    <w:rsid w:val="06422598"/>
    <w:rsid w:val="06426774"/>
    <w:rsid w:val="06443EA6"/>
    <w:rsid w:val="064918B1"/>
    <w:rsid w:val="06497B03"/>
    <w:rsid w:val="064C3473"/>
    <w:rsid w:val="064C75F3"/>
    <w:rsid w:val="064F5803"/>
    <w:rsid w:val="06547D27"/>
    <w:rsid w:val="06585F98"/>
    <w:rsid w:val="065B0A0F"/>
    <w:rsid w:val="065B15E4"/>
    <w:rsid w:val="0667442D"/>
    <w:rsid w:val="066A1827"/>
    <w:rsid w:val="066E6BE5"/>
    <w:rsid w:val="066E74E5"/>
    <w:rsid w:val="066F7F6F"/>
    <w:rsid w:val="06710E08"/>
    <w:rsid w:val="06712BB6"/>
    <w:rsid w:val="0673692E"/>
    <w:rsid w:val="06790BC2"/>
    <w:rsid w:val="067A7CBC"/>
    <w:rsid w:val="067D67B5"/>
    <w:rsid w:val="067F3525"/>
    <w:rsid w:val="0680104B"/>
    <w:rsid w:val="068A20B0"/>
    <w:rsid w:val="068B2DEF"/>
    <w:rsid w:val="069114AA"/>
    <w:rsid w:val="06924E8F"/>
    <w:rsid w:val="069F5975"/>
    <w:rsid w:val="06A50AB1"/>
    <w:rsid w:val="06A57EEB"/>
    <w:rsid w:val="06A905A2"/>
    <w:rsid w:val="06AE3E0A"/>
    <w:rsid w:val="06B065A8"/>
    <w:rsid w:val="06B07B82"/>
    <w:rsid w:val="06B331CE"/>
    <w:rsid w:val="06B35C66"/>
    <w:rsid w:val="06B37672"/>
    <w:rsid w:val="06B56F46"/>
    <w:rsid w:val="06BA455D"/>
    <w:rsid w:val="06BA630B"/>
    <w:rsid w:val="06BB14F0"/>
    <w:rsid w:val="06BC306C"/>
    <w:rsid w:val="06BC6527"/>
    <w:rsid w:val="06C23411"/>
    <w:rsid w:val="06C35129"/>
    <w:rsid w:val="06C4690C"/>
    <w:rsid w:val="06C62F02"/>
    <w:rsid w:val="06C70199"/>
    <w:rsid w:val="06C840DC"/>
    <w:rsid w:val="06CA1200"/>
    <w:rsid w:val="06CA68F3"/>
    <w:rsid w:val="06CB25D5"/>
    <w:rsid w:val="06CB49BC"/>
    <w:rsid w:val="06CD24E2"/>
    <w:rsid w:val="06D06A4C"/>
    <w:rsid w:val="06D27AF8"/>
    <w:rsid w:val="06D416EA"/>
    <w:rsid w:val="06D80E87"/>
    <w:rsid w:val="06D82C35"/>
    <w:rsid w:val="06D870D9"/>
    <w:rsid w:val="06DC7D1B"/>
    <w:rsid w:val="06E15F8D"/>
    <w:rsid w:val="06E433CF"/>
    <w:rsid w:val="06E94E42"/>
    <w:rsid w:val="06EA51E9"/>
    <w:rsid w:val="06F07F7E"/>
    <w:rsid w:val="06F3181D"/>
    <w:rsid w:val="06F42EF8"/>
    <w:rsid w:val="06F430DA"/>
    <w:rsid w:val="06F537E7"/>
    <w:rsid w:val="06F61486"/>
    <w:rsid w:val="06FA2927"/>
    <w:rsid w:val="06FD0777"/>
    <w:rsid w:val="06FD269B"/>
    <w:rsid w:val="06FF4665"/>
    <w:rsid w:val="070168AD"/>
    <w:rsid w:val="07035F04"/>
    <w:rsid w:val="07047ECE"/>
    <w:rsid w:val="07061550"/>
    <w:rsid w:val="070725F3"/>
    <w:rsid w:val="0708176C"/>
    <w:rsid w:val="070B305B"/>
    <w:rsid w:val="070C31D7"/>
    <w:rsid w:val="070E6657"/>
    <w:rsid w:val="070E6783"/>
    <w:rsid w:val="07106873"/>
    <w:rsid w:val="0712622E"/>
    <w:rsid w:val="07133C6D"/>
    <w:rsid w:val="071618B2"/>
    <w:rsid w:val="071A4FFB"/>
    <w:rsid w:val="071D1A8B"/>
    <w:rsid w:val="07201FBC"/>
    <w:rsid w:val="0721282E"/>
    <w:rsid w:val="072639A0"/>
    <w:rsid w:val="072916E2"/>
    <w:rsid w:val="072F44C2"/>
    <w:rsid w:val="072F4F4B"/>
    <w:rsid w:val="0733430F"/>
    <w:rsid w:val="073370C2"/>
    <w:rsid w:val="07377278"/>
    <w:rsid w:val="073817D0"/>
    <w:rsid w:val="07396BFF"/>
    <w:rsid w:val="073A01C8"/>
    <w:rsid w:val="073A07EA"/>
    <w:rsid w:val="073C2802"/>
    <w:rsid w:val="073F4A62"/>
    <w:rsid w:val="07432343"/>
    <w:rsid w:val="0748600C"/>
    <w:rsid w:val="074904E8"/>
    <w:rsid w:val="074A3B33"/>
    <w:rsid w:val="074B1659"/>
    <w:rsid w:val="07500A1D"/>
    <w:rsid w:val="07520C39"/>
    <w:rsid w:val="075233F0"/>
    <w:rsid w:val="07537C2E"/>
    <w:rsid w:val="07554285"/>
    <w:rsid w:val="07565186"/>
    <w:rsid w:val="075841A6"/>
    <w:rsid w:val="07592EF6"/>
    <w:rsid w:val="075C3866"/>
    <w:rsid w:val="075E138C"/>
    <w:rsid w:val="075E313A"/>
    <w:rsid w:val="075F231F"/>
    <w:rsid w:val="075F6D8D"/>
    <w:rsid w:val="07613F0A"/>
    <w:rsid w:val="07642CC8"/>
    <w:rsid w:val="076444C8"/>
    <w:rsid w:val="0768220B"/>
    <w:rsid w:val="076B041E"/>
    <w:rsid w:val="076B1CFB"/>
    <w:rsid w:val="076D7821"/>
    <w:rsid w:val="07711E0E"/>
    <w:rsid w:val="07723089"/>
    <w:rsid w:val="07773341"/>
    <w:rsid w:val="077741FC"/>
    <w:rsid w:val="0778025A"/>
    <w:rsid w:val="077A3CEC"/>
    <w:rsid w:val="077E37DC"/>
    <w:rsid w:val="07843CB7"/>
    <w:rsid w:val="07862691"/>
    <w:rsid w:val="078A03D3"/>
    <w:rsid w:val="078A32BC"/>
    <w:rsid w:val="078B58F7"/>
    <w:rsid w:val="078D1C71"/>
    <w:rsid w:val="078F05DB"/>
    <w:rsid w:val="07900853"/>
    <w:rsid w:val="07904C67"/>
    <w:rsid w:val="07911645"/>
    <w:rsid w:val="0791652A"/>
    <w:rsid w:val="07966D78"/>
    <w:rsid w:val="079A1051"/>
    <w:rsid w:val="079C3C62"/>
    <w:rsid w:val="079E76A9"/>
    <w:rsid w:val="07A16396"/>
    <w:rsid w:val="07A32DDA"/>
    <w:rsid w:val="07AB0349"/>
    <w:rsid w:val="07AC2477"/>
    <w:rsid w:val="07AC3D6F"/>
    <w:rsid w:val="07B2792A"/>
    <w:rsid w:val="07BB7B20"/>
    <w:rsid w:val="07BE62CF"/>
    <w:rsid w:val="07BE7D13"/>
    <w:rsid w:val="07C12195"/>
    <w:rsid w:val="07C4758E"/>
    <w:rsid w:val="07C6362A"/>
    <w:rsid w:val="07C75183"/>
    <w:rsid w:val="07C853D2"/>
    <w:rsid w:val="07CA44AF"/>
    <w:rsid w:val="07CA4C73"/>
    <w:rsid w:val="07CD206E"/>
    <w:rsid w:val="07CD7683"/>
    <w:rsid w:val="07CF3A7D"/>
    <w:rsid w:val="07D20941"/>
    <w:rsid w:val="07D23B28"/>
    <w:rsid w:val="07D93108"/>
    <w:rsid w:val="07DF701E"/>
    <w:rsid w:val="07E85498"/>
    <w:rsid w:val="07E86EA8"/>
    <w:rsid w:val="07E90E9D"/>
    <w:rsid w:val="07EE1B5D"/>
    <w:rsid w:val="07EF46DA"/>
    <w:rsid w:val="07F10452"/>
    <w:rsid w:val="07F42E67"/>
    <w:rsid w:val="07F65A68"/>
    <w:rsid w:val="07F817E1"/>
    <w:rsid w:val="07FE4625"/>
    <w:rsid w:val="08000695"/>
    <w:rsid w:val="080122B1"/>
    <w:rsid w:val="08017F69"/>
    <w:rsid w:val="08030185"/>
    <w:rsid w:val="08031F33"/>
    <w:rsid w:val="080812F8"/>
    <w:rsid w:val="080A4089"/>
    <w:rsid w:val="080C703A"/>
    <w:rsid w:val="080D4B60"/>
    <w:rsid w:val="08140F42"/>
    <w:rsid w:val="08147C9D"/>
    <w:rsid w:val="08155D81"/>
    <w:rsid w:val="0817778D"/>
    <w:rsid w:val="081952B3"/>
    <w:rsid w:val="081E4FBF"/>
    <w:rsid w:val="08252E61"/>
    <w:rsid w:val="08273E74"/>
    <w:rsid w:val="0828199A"/>
    <w:rsid w:val="082A5B25"/>
    <w:rsid w:val="082D6FB0"/>
    <w:rsid w:val="0831084F"/>
    <w:rsid w:val="08325964"/>
    <w:rsid w:val="083317E9"/>
    <w:rsid w:val="0834033F"/>
    <w:rsid w:val="08344858"/>
    <w:rsid w:val="083640B7"/>
    <w:rsid w:val="0837398B"/>
    <w:rsid w:val="083D5445"/>
    <w:rsid w:val="083E6F09"/>
    <w:rsid w:val="083F5EEF"/>
    <w:rsid w:val="08430582"/>
    <w:rsid w:val="084726CB"/>
    <w:rsid w:val="084C7436"/>
    <w:rsid w:val="08510EF1"/>
    <w:rsid w:val="08541E70"/>
    <w:rsid w:val="08565AC1"/>
    <w:rsid w:val="0856686D"/>
    <w:rsid w:val="0858402D"/>
    <w:rsid w:val="085878B9"/>
    <w:rsid w:val="085E716A"/>
    <w:rsid w:val="08602C5E"/>
    <w:rsid w:val="086105BD"/>
    <w:rsid w:val="08652FB1"/>
    <w:rsid w:val="086617C5"/>
    <w:rsid w:val="08693CD2"/>
    <w:rsid w:val="086D2F47"/>
    <w:rsid w:val="086F1377"/>
    <w:rsid w:val="087105B2"/>
    <w:rsid w:val="08710AAD"/>
    <w:rsid w:val="087337C0"/>
    <w:rsid w:val="0874513E"/>
    <w:rsid w:val="087460F1"/>
    <w:rsid w:val="087A3C3E"/>
    <w:rsid w:val="087E0BBD"/>
    <w:rsid w:val="088017D6"/>
    <w:rsid w:val="08852948"/>
    <w:rsid w:val="08863BAA"/>
    <w:rsid w:val="088A4403"/>
    <w:rsid w:val="0890384D"/>
    <w:rsid w:val="08934557"/>
    <w:rsid w:val="089507CF"/>
    <w:rsid w:val="08955281"/>
    <w:rsid w:val="08956BB2"/>
    <w:rsid w:val="089B03BE"/>
    <w:rsid w:val="089B6610"/>
    <w:rsid w:val="08A07782"/>
    <w:rsid w:val="08A2799E"/>
    <w:rsid w:val="08A454C4"/>
    <w:rsid w:val="08A52FEB"/>
    <w:rsid w:val="08A76D3E"/>
    <w:rsid w:val="08A91DB5"/>
    <w:rsid w:val="08AB6116"/>
    <w:rsid w:val="08AB6853"/>
    <w:rsid w:val="08AE4551"/>
    <w:rsid w:val="08AE4AD1"/>
    <w:rsid w:val="08AF79C5"/>
    <w:rsid w:val="08B03E69"/>
    <w:rsid w:val="08B1198F"/>
    <w:rsid w:val="08B125BC"/>
    <w:rsid w:val="08B416CE"/>
    <w:rsid w:val="08B4687A"/>
    <w:rsid w:val="08B5322E"/>
    <w:rsid w:val="08BC0A60"/>
    <w:rsid w:val="08BF6E70"/>
    <w:rsid w:val="08C07E24"/>
    <w:rsid w:val="08C276F9"/>
    <w:rsid w:val="08C305F9"/>
    <w:rsid w:val="08C416C3"/>
    <w:rsid w:val="08C47915"/>
    <w:rsid w:val="08C571E9"/>
    <w:rsid w:val="08C96CD9"/>
    <w:rsid w:val="08CF2D61"/>
    <w:rsid w:val="08D12032"/>
    <w:rsid w:val="08D21E73"/>
    <w:rsid w:val="08D61130"/>
    <w:rsid w:val="08D86F1C"/>
    <w:rsid w:val="08DD29D1"/>
    <w:rsid w:val="08E51639"/>
    <w:rsid w:val="08E73603"/>
    <w:rsid w:val="08E81855"/>
    <w:rsid w:val="08E91129"/>
    <w:rsid w:val="08E972AA"/>
    <w:rsid w:val="08EC3C9C"/>
    <w:rsid w:val="08F04EB8"/>
    <w:rsid w:val="08F06D72"/>
    <w:rsid w:val="08F33D56"/>
    <w:rsid w:val="08F57ACE"/>
    <w:rsid w:val="08F720B0"/>
    <w:rsid w:val="08FB2C0B"/>
    <w:rsid w:val="08FC70AE"/>
    <w:rsid w:val="08FD4BD5"/>
    <w:rsid w:val="09012917"/>
    <w:rsid w:val="09027603"/>
    <w:rsid w:val="09081222"/>
    <w:rsid w:val="090C1E44"/>
    <w:rsid w:val="091066B6"/>
    <w:rsid w:val="09122764"/>
    <w:rsid w:val="09137F54"/>
    <w:rsid w:val="09151D3A"/>
    <w:rsid w:val="09151F1E"/>
    <w:rsid w:val="09205021"/>
    <w:rsid w:val="092403B3"/>
    <w:rsid w:val="09246605"/>
    <w:rsid w:val="092469AB"/>
    <w:rsid w:val="092633DC"/>
    <w:rsid w:val="09297778"/>
    <w:rsid w:val="092E1232"/>
    <w:rsid w:val="09324FA1"/>
    <w:rsid w:val="09336848"/>
    <w:rsid w:val="0935436E"/>
    <w:rsid w:val="09360577"/>
    <w:rsid w:val="09362357"/>
    <w:rsid w:val="09364BDD"/>
    <w:rsid w:val="09376339"/>
    <w:rsid w:val="093A3733"/>
    <w:rsid w:val="093E22B1"/>
    <w:rsid w:val="09414AC1"/>
    <w:rsid w:val="09426F2C"/>
    <w:rsid w:val="0944653B"/>
    <w:rsid w:val="0946032A"/>
    <w:rsid w:val="094620D8"/>
    <w:rsid w:val="094840A2"/>
    <w:rsid w:val="094A13A7"/>
    <w:rsid w:val="094B5940"/>
    <w:rsid w:val="094E453F"/>
    <w:rsid w:val="094F44C9"/>
    <w:rsid w:val="095011A8"/>
    <w:rsid w:val="095567BF"/>
    <w:rsid w:val="09570789"/>
    <w:rsid w:val="09595A6C"/>
    <w:rsid w:val="095A3DD5"/>
    <w:rsid w:val="09682F49"/>
    <w:rsid w:val="096864F2"/>
    <w:rsid w:val="096867B1"/>
    <w:rsid w:val="09694018"/>
    <w:rsid w:val="096D12DC"/>
    <w:rsid w:val="096E2A0B"/>
    <w:rsid w:val="0970184A"/>
    <w:rsid w:val="09716059"/>
    <w:rsid w:val="097715A8"/>
    <w:rsid w:val="09774E16"/>
    <w:rsid w:val="09776AB8"/>
    <w:rsid w:val="097778E2"/>
    <w:rsid w:val="097C1F9D"/>
    <w:rsid w:val="097F762B"/>
    <w:rsid w:val="09806BB8"/>
    <w:rsid w:val="09840E52"/>
    <w:rsid w:val="098608AA"/>
    <w:rsid w:val="09863560"/>
    <w:rsid w:val="09877908"/>
    <w:rsid w:val="098B0432"/>
    <w:rsid w:val="098E7A34"/>
    <w:rsid w:val="098F7F23"/>
    <w:rsid w:val="099512B1"/>
    <w:rsid w:val="09975029"/>
    <w:rsid w:val="099C43EE"/>
    <w:rsid w:val="099E02C5"/>
    <w:rsid w:val="09A3752A"/>
    <w:rsid w:val="09A426F2"/>
    <w:rsid w:val="09A4480D"/>
    <w:rsid w:val="09A84B40"/>
    <w:rsid w:val="09AA6B0A"/>
    <w:rsid w:val="09AB63DF"/>
    <w:rsid w:val="09AD2157"/>
    <w:rsid w:val="09AE6375"/>
    <w:rsid w:val="09B3373D"/>
    <w:rsid w:val="09B41737"/>
    <w:rsid w:val="09B5725D"/>
    <w:rsid w:val="09B74D83"/>
    <w:rsid w:val="09BA2AC6"/>
    <w:rsid w:val="09BA748B"/>
    <w:rsid w:val="09BC4A90"/>
    <w:rsid w:val="09C31174"/>
    <w:rsid w:val="09C33728"/>
    <w:rsid w:val="09C76A73"/>
    <w:rsid w:val="09C9319B"/>
    <w:rsid w:val="09CB082F"/>
    <w:rsid w:val="09CF0ED6"/>
    <w:rsid w:val="09D04097"/>
    <w:rsid w:val="09D44BFD"/>
    <w:rsid w:val="09D63345"/>
    <w:rsid w:val="09D73640"/>
    <w:rsid w:val="09D771D4"/>
    <w:rsid w:val="09D9119E"/>
    <w:rsid w:val="09DB3168"/>
    <w:rsid w:val="09DC0C8E"/>
    <w:rsid w:val="09DF2C6E"/>
    <w:rsid w:val="09E162A4"/>
    <w:rsid w:val="09E178AF"/>
    <w:rsid w:val="09E6624A"/>
    <w:rsid w:val="09E9009A"/>
    <w:rsid w:val="09EB0ED1"/>
    <w:rsid w:val="09EC279B"/>
    <w:rsid w:val="09ED2E9B"/>
    <w:rsid w:val="09F14739"/>
    <w:rsid w:val="09F1628D"/>
    <w:rsid w:val="09F64CCF"/>
    <w:rsid w:val="09F66A90"/>
    <w:rsid w:val="09F732ED"/>
    <w:rsid w:val="09F85F2E"/>
    <w:rsid w:val="09F91840"/>
    <w:rsid w:val="09FD46CD"/>
    <w:rsid w:val="0A03126D"/>
    <w:rsid w:val="0A037FC9"/>
    <w:rsid w:val="0A043C36"/>
    <w:rsid w:val="0A051F93"/>
    <w:rsid w:val="0A0744E4"/>
    <w:rsid w:val="0A074AE9"/>
    <w:rsid w:val="0A083831"/>
    <w:rsid w:val="0A122902"/>
    <w:rsid w:val="0A157CFC"/>
    <w:rsid w:val="0A1755E4"/>
    <w:rsid w:val="0A1B3564"/>
    <w:rsid w:val="0A1E062C"/>
    <w:rsid w:val="0A1F77F1"/>
    <w:rsid w:val="0A2060DE"/>
    <w:rsid w:val="0A285C81"/>
    <w:rsid w:val="0A2D3298"/>
    <w:rsid w:val="0A2F0DBE"/>
    <w:rsid w:val="0A315E26"/>
    <w:rsid w:val="0A391C3C"/>
    <w:rsid w:val="0A3B3C06"/>
    <w:rsid w:val="0A3C329E"/>
    <w:rsid w:val="0A3D00B4"/>
    <w:rsid w:val="0A3E54A5"/>
    <w:rsid w:val="0A423085"/>
    <w:rsid w:val="0A456833"/>
    <w:rsid w:val="0A474359"/>
    <w:rsid w:val="0A4800D1"/>
    <w:rsid w:val="0A4A5BF8"/>
    <w:rsid w:val="0A4C7DB3"/>
    <w:rsid w:val="0A4E53BA"/>
    <w:rsid w:val="0A4F1460"/>
    <w:rsid w:val="0A50579B"/>
    <w:rsid w:val="0A512B5E"/>
    <w:rsid w:val="0A5414FD"/>
    <w:rsid w:val="0A56558B"/>
    <w:rsid w:val="0A570314"/>
    <w:rsid w:val="0A572C07"/>
    <w:rsid w:val="0A5922E8"/>
    <w:rsid w:val="0A59408D"/>
    <w:rsid w:val="0A661FFA"/>
    <w:rsid w:val="0A6A44EC"/>
    <w:rsid w:val="0A6E5D8A"/>
    <w:rsid w:val="0A6F565E"/>
    <w:rsid w:val="0A7315F2"/>
    <w:rsid w:val="0A754522"/>
    <w:rsid w:val="0A7B04A7"/>
    <w:rsid w:val="0A7B2255"/>
    <w:rsid w:val="0A7D421F"/>
    <w:rsid w:val="0A80786B"/>
    <w:rsid w:val="0A84735B"/>
    <w:rsid w:val="0A854E82"/>
    <w:rsid w:val="0A8D3D36"/>
    <w:rsid w:val="0A8E01DA"/>
    <w:rsid w:val="0A911A78"/>
    <w:rsid w:val="0A9450C5"/>
    <w:rsid w:val="0A945568"/>
    <w:rsid w:val="0A947E48"/>
    <w:rsid w:val="0A980775"/>
    <w:rsid w:val="0A9A6B7F"/>
    <w:rsid w:val="0A9E14A9"/>
    <w:rsid w:val="0A9F4195"/>
    <w:rsid w:val="0AA277E2"/>
    <w:rsid w:val="0AA96F9E"/>
    <w:rsid w:val="0AAA2B3A"/>
    <w:rsid w:val="0AAB1BBC"/>
    <w:rsid w:val="0AAC240E"/>
    <w:rsid w:val="0AAC3046"/>
    <w:rsid w:val="0AAD773E"/>
    <w:rsid w:val="0AAE61DD"/>
    <w:rsid w:val="0AB13EC9"/>
    <w:rsid w:val="0AB257D2"/>
    <w:rsid w:val="0AB614DF"/>
    <w:rsid w:val="0AB80DB3"/>
    <w:rsid w:val="0ABD0ABF"/>
    <w:rsid w:val="0AC02FCE"/>
    <w:rsid w:val="0AC05EBA"/>
    <w:rsid w:val="0AC15ADE"/>
    <w:rsid w:val="0AC97464"/>
    <w:rsid w:val="0ACC0C9B"/>
    <w:rsid w:val="0ACC1F65"/>
    <w:rsid w:val="0ACF7F03"/>
    <w:rsid w:val="0AD13569"/>
    <w:rsid w:val="0AD20E76"/>
    <w:rsid w:val="0AD76F0A"/>
    <w:rsid w:val="0AD876A7"/>
    <w:rsid w:val="0ADA17EE"/>
    <w:rsid w:val="0ADB0F46"/>
    <w:rsid w:val="0ADB7197"/>
    <w:rsid w:val="0AE017EA"/>
    <w:rsid w:val="0AE6043A"/>
    <w:rsid w:val="0AE71698"/>
    <w:rsid w:val="0AE778EA"/>
    <w:rsid w:val="0AE95411"/>
    <w:rsid w:val="0AEB3368"/>
    <w:rsid w:val="0AEC01AE"/>
    <w:rsid w:val="0AED28C7"/>
    <w:rsid w:val="0AF3003D"/>
    <w:rsid w:val="0AF55D55"/>
    <w:rsid w:val="0AF85654"/>
    <w:rsid w:val="0AFB1BC7"/>
    <w:rsid w:val="0AFB3396"/>
    <w:rsid w:val="0AFC1508"/>
    <w:rsid w:val="0AFD10C6"/>
    <w:rsid w:val="0AFE39F5"/>
    <w:rsid w:val="0AFF0F1B"/>
    <w:rsid w:val="0B071D3B"/>
    <w:rsid w:val="0B092BE9"/>
    <w:rsid w:val="0B0A5387"/>
    <w:rsid w:val="0B0E546C"/>
    <w:rsid w:val="0B123363"/>
    <w:rsid w:val="0B136931"/>
    <w:rsid w:val="0B163D2C"/>
    <w:rsid w:val="0B1701D0"/>
    <w:rsid w:val="0B1960E6"/>
    <w:rsid w:val="0B1A1C0D"/>
    <w:rsid w:val="0B1B1342"/>
    <w:rsid w:val="0B1D50BA"/>
    <w:rsid w:val="0B1F7084"/>
    <w:rsid w:val="0B22254C"/>
    <w:rsid w:val="0B24469B"/>
    <w:rsid w:val="0B2621C1"/>
    <w:rsid w:val="0B2A5176"/>
    <w:rsid w:val="0B2F47A5"/>
    <w:rsid w:val="0B346B30"/>
    <w:rsid w:val="0B352404"/>
    <w:rsid w:val="0B382447"/>
    <w:rsid w:val="0B3970EF"/>
    <w:rsid w:val="0B3D39AE"/>
    <w:rsid w:val="0B3D750A"/>
    <w:rsid w:val="0B3E7FA3"/>
    <w:rsid w:val="0B41524D"/>
    <w:rsid w:val="0B4249AE"/>
    <w:rsid w:val="0B440899"/>
    <w:rsid w:val="0B446AEB"/>
    <w:rsid w:val="0B4C599F"/>
    <w:rsid w:val="0B4E5DA4"/>
    <w:rsid w:val="0B512FB6"/>
    <w:rsid w:val="0B534F80"/>
    <w:rsid w:val="0B5605CC"/>
    <w:rsid w:val="0B584344"/>
    <w:rsid w:val="0B5A240B"/>
    <w:rsid w:val="0B5A4560"/>
    <w:rsid w:val="0B5B4900"/>
    <w:rsid w:val="0B626F71"/>
    <w:rsid w:val="0B633415"/>
    <w:rsid w:val="0B642CE9"/>
    <w:rsid w:val="0B6449A6"/>
    <w:rsid w:val="0B654C21"/>
    <w:rsid w:val="0B66082E"/>
    <w:rsid w:val="0B6B22C9"/>
    <w:rsid w:val="0B6C2AE8"/>
    <w:rsid w:val="0B6E6E10"/>
    <w:rsid w:val="0B6F2243"/>
    <w:rsid w:val="0B753148"/>
    <w:rsid w:val="0B786794"/>
    <w:rsid w:val="0B7B7B9F"/>
    <w:rsid w:val="0B7C44D7"/>
    <w:rsid w:val="0B803CE7"/>
    <w:rsid w:val="0B811AED"/>
    <w:rsid w:val="0B815649"/>
    <w:rsid w:val="0B8213C1"/>
    <w:rsid w:val="0B84338B"/>
    <w:rsid w:val="0B865355"/>
    <w:rsid w:val="0B867103"/>
    <w:rsid w:val="0B8F54B3"/>
    <w:rsid w:val="0B923B8E"/>
    <w:rsid w:val="0B9335CE"/>
    <w:rsid w:val="0B9412A5"/>
    <w:rsid w:val="0B941820"/>
    <w:rsid w:val="0B995518"/>
    <w:rsid w:val="0B9A54FA"/>
    <w:rsid w:val="0B9E444D"/>
    <w:rsid w:val="0B9E6145"/>
    <w:rsid w:val="0BA13F3D"/>
    <w:rsid w:val="0BA15CEB"/>
    <w:rsid w:val="0BA31A63"/>
    <w:rsid w:val="0BA457DB"/>
    <w:rsid w:val="0BAA1044"/>
    <w:rsid w:val="0BAD28E2"/>
    <w:rsid w:val="0BAE0408"/>
    <w:rsid w:val="0BB93035"/>
    <w:rsid w:val="0BBA4D6D"/>
    <w:rsid w:val="0BBA6759"/>
    <w:rsid w:val="0BBB3DAC"/>
    <w:rsid w:val="0BC3017F"/>
    <w:rsid w:val="0BC419DA"/>
    <w:rsid w:val="0BC47C2C"/>
    <w:rsid w:val="0BC8327A"/>
    <w:rsid w:val="0BC96FF0"/>
    <w:rsid w:val="0BCB0FBA"/>
    <w:rsid w:val="0BCD5792"/>
    <w:rsid w:val="0BCE727D"/>
    <w:rsid w:val="0BD04822"/>
    <w:rsid w:val="0BD073E6"/>
    <w:rsid w:val="0BD95AF5"/>
    <w:rsid w:val="0BDA11FD"/>
    <w:rsid w:val="0BDC6D23"/>
    <w:rsid w:val="0BDD4ECD"/>
    <w:rsid w:val="0BE04A65"/>
    <w:rsid w:val="0BE90696"/>
    <w:rsid w:val="0BEF4CA9"/>
    <w:rsid w:val="0BF52D49"/>
    <w:rsid w:val="0BFA3DEC"/>
    <w:rsid w:val="0BFA452A"/>
    <w:rsid w:val="0C047238"/>
    <w:rsid w:val="0C083C74"/>
    <w:rsid w:val="0C0B3D36"/>
    <w:rsid w:val="0C0D15D3"/>
    <w:rsid w:val="0C0D3381"/>
    <w:rsid w:val="0C1069CD"/>
    <w:rsid w:val="0C126DC0"/>
    <w:rsid w:val="0C15330D"/>
    <w:rsid w:val="0C191D25"/>
    <w:rsid w:val="0C1B3CF0"/>
    <w:rsid w:val="0C1C1816"/>
    <w:rsid w:val="0C1D4B5E"/>
    <w:rsid w:val="0C1E4963"/>
    <w:rsid w:val="0C233E80"/>
    <w:rsid w:val="0C252478"/>
    <w:rsid w:val="0C2A17F5"/>
    <w:rsid w:val="0C2D15F3"/>
    <w:rsid w:val="0C2D57D1"/>
    <w:rsid w:val="0C300E1D"/>
    <w:rsid w:val="0C34090D"/>
    <w:rsid w:val="0C360B29"/>
    <w:rsid w:val="0C372580"/>
    <w:rsid w:val="0C37664F"/>
    <w:rsid w:val="0C3E353A"/>
    <w:rsid w:val="0C3F1993"/>
    <w:rsid w:val="0C403756"/>
    <w:rsid w:val="0C405504"/>
    <w:rsid w:val="0C411129"/>
    <w:rsid w:val="0C420FE0"/>
    <w:rsid w:val="0C427CB0"/>
    <w:rsid w:val="0C430B50"/>
    <w:rsid w:val="0C436DA2"/>
    <w:rsid w:val="0C446AE7"/>
    <w:rsid w:val="0C4A0131"/>
    <w:rsid w:val="0C4C3EA9"/>
    <w:rsid w:val="0C4D19CF"/>
    <w:rsid w:val="0C4D7C21"/>
    <w:rsid w:val="0C4E2D42"/>
    <w:rsid w:val="0C5132D7"/>
    <w:rsid w:val="0C522956"/>
    <w:rsid w:val="0C535B0C"/>
    <w:rsid w:val="0C5A218F"/>
    <w:rsid w:val="0C5B0590"/>
    <w:rsid w:val="0C5D5C14"/>
    <w:rsid w:val="0C5E598A"/>
    <w:rsid w:val="0C62191E"/>
    <w:rsid w:val="0C6324E7"/>
    <w:rsid w:val="0C670CE3"/>
    <w:rsid w:val="0C684A5B"/>
    <w:rsid w:val="0C696EFD"/>
    <w:rsid w:val="0C6A2409"/>
    <w:rsid w:val="0C6A2581"/>
    <w:rsid w:val="0C6B27B5"/>
    <w:rsid w:val="0C6B432B"/>
    <w:rsid w:val="0C6C6688"/>
    <w:rsid w:val="0C6E7EBE"/>
    <w:rsid w:val="0C6F1320"/>
    <w:rsid w:val="0C6F7B97"/>
    <w:rsid w:val="0C702ABC"/>
    <w:rsid w:val="0C721436"/>
    <w:rsid w:val="0C724A0B"/>
    <w:rsid w:val="0C734298"/>
    <w:rsid w:val="0C735804"/>
    <w:rsid w:val="0C7451AE"/>
    <w:rsid w:val="0C751CE9"/>
    <w:rsid w:val="0C752369"/>
    <w:rsid w:val="0C760F26"/>
    <w:rsid w:val="0C7B6AFD"/>
    <w:rsid w:val="0C7E602C"/>
    <w:rsid w:val="0C822728"/>
    <w:rsid w:val="0C851169"/>
    <w:rsid w:val="0C880C59"/>
    <w:rsid w:val="0C90065D"/>
    <w:rsid w:val="0C916589"/>
    <w:rsid w:val="0C943157"/>
    <w:rsid w:val="0C970E9C"/>
    <w:rsid w:val="0C9D4705"/>
    <w:rsid w:val="0C9E1BD2"/>
    <w:rsid w:val="0C9E7A71"/>
    <w:rsid w:val="0C9F66CF"/>
    <w:rsid w:val="0CA27F6D"/>
    <w:rsid w:val="0CAB1A4D"/>
    <w:rsid w:val="0CAC2B9A"/>
    <w:rsid w:val="0CAF6C77"/>
    <w:rsid w:val="0CB47CA0"/>
    <w:rsid w:val="0CB67574"/>
    <w:rsid w:val="0CB8153E"/>
    <w:rsid w:val="0CB952B6"/>
    <w:rsid w:val="0CBA0560"/>
    <w:rsid w:val="0CBA3508"/>
    <w:rsid w:val="0CBA4DDA"/>
    <w:rsid w:val="0CBB102F"/>
    <w:rsid w:val="0CBF1356"/>
    <w:rsid w:val="0CC44131"/>
    <w:rsid w:val="0CC60800"/>
    <w:rsid w:val="0CC9374C"/>
    <w:rsid w:val="0CCF6888"/>
    <w:rsid w:val="0CD327D4"/>
    <w:rsid w:val="0CD43E9E"/>
    <w:rsid w:val="0CD7085C"/>
    <w:rsid w:val="0CDB64C6"/>
    <w:rsid w:val="0CE1469A"/>
    <w:rsid w:val="0CE560AB"/>
    <w:rsid w:val="0CE7345E"/>
    <w:rsid w:val="0CE95B9C"/>
    <w:rsid w:val="0CEB1914"/>
    <w:rsid w:val="0CEC743A"/>
    <w:rsid w:val="0CF130C4"/>
    <w:rsid w:val="0CF22D90"/>
    <w:rsid w:val="0CF32576"/>
    <w:rsid w:val="0CF602B9"/>
    <w:rsid w:val="0CF85DDF"/>
    <w:rsid w:val="0CFC23B9"/>
    <w:rsid w:val="0CFE2CC9"/>
    <w:rsid w:val="0D0310AE"/>
    <w:rsid w:val="0D0504FC"/>
    <w:rsid w:val="0D076022"/>
    <w:rsid w:val="0D0B511E"/>
    <w:rsid w:val="0D0B5B12"/>
    <w:rsid w:val="0D0C3638"/>
    <w:rsid w:val="0D0D2CC5"/>
    <w:rsid w:val="0D0E115E"/>
    <w:rsid w:val="0D0F4ED6"/>
    <w:rsid w:val="0D110C4F"/>
    <w:rsid w:val="0D116EA1"/>
    <w:rsid w:val="0D126E23"/>
    <w:rsid w:val="0D1349C7"/>
    <w:rsid w:val="0D166265"/>
    <w:rsid w:val="0D182BF2"/>
    <w:rsid w:val="0D183D8B"/>
    <w:rsid w:val="0D1A5D55"/>
    <w:rsid w:val="0D1B1ACD"/>
    <w:rsid w:val="0D1B387B"/>
    <w:rsid w:val="0D1D3A97"/>
    <w:rsid w:val="0D1D75F3"/>
    <w:rsid w:val="0D1E58EC"/>
    <w:rsid w:val="0D1F511A"/>
    <w:rsid w:val="0D210A6C"/>
    <w:rsid w:val="0D224C0A"/>
    <w:rsid w:val="0D255390"/>
    <w:rsid w:val="0D291939"/>
    <w:rsid w:val="0D2C3CDA"/>
    <w:rsid w:val="0D31309F"/>
    <w:rsid w:val="0D352B8F"/>
    <w:rsid w:val="0D38267F"/>
    <w:rsid w:val="0D385C91"/>
    <w:rsid w:val="0D3D7C96"/>
    <w:rsid w:val="0D4032E2"/>
    <w:rsid w:val="0D4234FE"/>
    <w:rsid w:val="0D4252AC"/>
    <w:rsid w:val="0D4508F8"/>
    <w:rsid w:val="0D461955"/>
    <w:rsid w:val="0D464D9C"/>
    <w:rsid w:val="0D4C0A5B"/>
    <w:rsid w:val="0D4C273F"/>
    <w:rsid w:val="0D4E1EA3"/>
    <w:rsid w:val="0D4F5733"/>
    <w:rsid w:val="0D507F3E"/>
    <w:rsid w:val="0D5154EF"/>
    <w:rsid w:val="0D533015"/>
    <w:rsid w:val="0D542576"/>
    <w:rsid w:val="0D584ACF"/>
    <w:rsid w:val="0D58687D"/>
    <w:rsid w:val="0D5D1A56"/>
    <w:rsid w:val="0D5D4C0D"/>
    <w:rsid w:val="0D5F2739"/>
    <w:rsid w:val="0D695B8A"/>
    <w:rsid w:val="0D6A3A51"/>
    <w:rsid w:val="0D6F2BE9"/>
    <w:rsid w:val="0D70624C"/>
    <w:rsid w:val="0D7238E4"/>
    <w:rsid w:val="0D731909"/>
    <w:rsid w:val="0D755681"/>
    <w:rsid w:val="0D774F56"/>
    <w:rsid w:val="0D7E51F2"/>
    <w:rsid w:val="0D7F3E0A"/>
    <w:rsid w:val="0D814026"/>
    <w:rsid w:val="0D815DD4"/>
    <w:rsid w:val="0D817B82"/>
    <w:rsid w:val="0D821B4C"/>
    <w:rsid w:val="0D86163D"/>
    <w:rsid w:val="0D907DC5"/>
    <w:rsid w:val="0D9314BC"/>
    <w:rsid w:val="0D935B07"/>
    <w:rsid w:val="0D95362E"/>
    <w:rsid w:val="0D99471A"/>
    <w:rsid w:val="0D9A1C24"/>
    <w:rsid w:val="0D9F625A"/>
    <w:rsid w:val="0DA13B59"/>
    <w:rsid w:val="0DA90E87"/>
    <w:rsid w:val="0DAB2E51"/>
    <w:rsid w:val="0DAD0C1E"/>
    <w:rsid w:val="0DB55732"/>
    <w:rsid w:val="0DBB4974"/>
    <w:rsid w:val="0DC161D1"/>
    <w:rsid w:val="0DC34E57"/>
    <w:rsid w:val="0DC45CC1"/>
    <w:rsid w:val="0DC5559E"/>
    <w:rsid w:val="0DD203DE"/>
    <w:rsid w:val="0DD26630"/>
    <w:rsid w:val="0DD73C46"/>
    <w:rsid w:val="0DDC300B"/>
    <w:rsid w:val="0DDD6D83"/>
    <w:rsid w:val="0DDF0B0A"/>
    <w:rsid w:val="0DE3083D"/>
    <w:rsid w:val="0DE620DB"/>
    <w:rsid w:val="0DE85E53"/>
    <w:rsid w:val="0DED16BC"/>
    <w:rsid w:val="0DEF455C"/>
    <w:rsid w:val="0DF30354"/>
    <w:rsid w:val="0DF447F8"/>
    <w:rsid w:val="0DF50570"/>
    <w:rsid w:val="0DF5231E"/>
    <w:rsid w:val="0DF62E62"/>
    <w:rsid w:val="0DF75186"/>
    <w:rsid w:val="0DF77E44"/>
    <w:rsid w:val="0DF92502"/>
    <w:rsid w:val="0DFA16E3"/>
    <w:rsid w:val="0DFD583A"/>
    <w:rsid w:val="0DFD5F21"/>
    <w:rsid w:val="0DFE7425"/>
    <w:rsid w:val="0DFF169B"/>
    <w:rsid w:val="0E010CC3"/>
    <w:rsid w:val="0E0802A4"/>
    <w:rsid w:val="0E083E00"/>
    <w:rsid w:val="0E0B47C9"/>
    <w:rsid w:val="0E0E4C97"/>
    <w:rsid w:val="0E0F4568"/>
    <w:rsid w:val="0E107158"/>
    <w:rsid w:val="0E166FCE"/>
    <w:rsid w:val="0E172295"/>
    <w:rsid w:val="0E197ADC"/>
    <w:rsid w:val="0E1A239E"/>
    <w:rsid w:val="0E1C2F75"/>
    <w:rsid w:val="0E221ADE"/>
    <w:rsid w:val="0E225C0E"/>
    <w:rsid w:val="0E231F18"/>
    <w:rsid w:val="0E2350DD"/>
    <w:rsid w:val="0E2826F4"/>
    <w:rsid w:val="0E2A021A"/>
    <w:rsid w:val="0E2A68D3"/>
    <w:rsid w:val="0E2A7523"/>
    <w:rsid w:val="0E320E7D"/>
    <w:rsid w:val="0E325320"/>
    <w:rsid w:val="0E342E47"/>
    <w:rsid w:val="0E3469C7"/>
    <w:rsid w:val="0E364E11"/>
    <w:rsid w:val="0E39220B"/>
    <w:rsid w:val="0E3E5A73"/>
    <w:rsid w:val="0E4017EB"/>
    <w:rsid w:val="0E440BB0"/>
    <w:rsid w:val="0E460DCC"/>
    <w:rsid w:val="0E4B2C50"/>
    <w:rsid w:val="0E4B33A5"/>
    <w:rsid w:val="0E4C7BD1"/>
    <w:rsid w:val="0E4F1A2E"/>
    <w:rsid w:val="0E52151F"/>
    <w:rsid w:val="0E526B59"/>
    <w:rsid w:val="0E543BED"/>
    <w:rsid w:val="0E545297"/>
    <w:rsid w:val="0E552FD0"/>
    <w:rsid w:val="0E56100F"/>
    <w:rsid w:val="0E567261"/>
    <w:rsid w:val="0E5A03D3"/>
    <w:rsid w:val="0E5C7CF6"/>
    <w:rsid w:val="0E63197E"/>
    <w:rsid w:val="0E652296"/>
    <w:rsid w:val="0E664FCA"/>
    <w:rsid w:val="0E6D1AD9"/>
    <w:rsid w:val="0E717788"/>
    <w:rsid w:val="0E745939"/>
    <w:rsid w:val="0E762787"/>
    <w:rsid w:val="0E7771D7"/>
    <w:rsid w:val="0E7B0A75"/>
    <w:rsid w:val="0E7C47EE"/>
    <w:rsid w:val="0E813BB2"/>
    <w:rsid w:val="0E835B7C"/>
    <w:rsid w:val="0E8518F4"/>
    <w:rsid w:val="0E855450"/>
    <w:rsid w:val="0E8813E4"/>
    <w:rsid w:val="0E8D2367"/>
    <w:rsid w:val="0E912A94"/>
    <w:rsid w:val="0E924011"/>
    <w:rsid w:val="0E9438E5"/>
    <w:rsid w:val="0E992EBC"/>
    <w:rsid w:val="0E99714E"/>
    <w:rsid w:val="0E9A07D8"/>
    <w:rsid w:val="0E9D0085"/>
    <w:rsid w:val="0EA01784"/>
    <w:rsid w:val="0EA55AF2"/>
    <w:rsid w:val="0EA93835"/>
    <w:rsid w:val="0EAC0C2F"/>
    <w:rsid w:val="0EAC6E81"/>
    <w:rsid w:val="0EAF1A25"/>
    <w:rsid w:val="0EB0524A"/>
    <w:rsid w:val="0EB16245"/>
    <w:rsid w:val="0EB36461"/>
    <w:rsid w:val="0EB421D9"/>
    <w:rsid w:val="0EBA2495"/>
    <w:rsid w:val="0EBB3568"/>
    <w:rsid w:val="0EBE6757"/>
    <w:rsid w:val="0EC20452"/>
    <w:rsid w:val="0EC3241C"/>
    <w:rsid w:val="0EC35F79"/>
    <w:rsid w:val="0EC4066E"/>
    <w:rsid w:val="0ECA5559"/>
    <w:rsid w:val="0ECA7307"/>
    <w:rsid w:val="0ECC307F"/>
    <w:rsid w:val="0ECD2801"/>
    <w:rsid w:val="0ECF0BBD"/>
    <w:rsid w:val="0ECF2B6F"/>
    <w:rsid w:val="0ED4462A"/>
    <w:rsid w:val="0ED63EFE"/>
    <w:rsid w:val="0EDB32C2"/>
    <w:rsid w:val="0EDB7766"/>
    <w:rsid w:val="0EDF1579"/>
    <w:rsid w:val="0EE00C4F"/>
    <w:rsid w:val="0EE228A3"/>
    <w:rsid w:val="0EE26F61"/>
    <w:rsid w:val="0EE54141"/>
    <w:rsid w:val="0EE7610B"/>
    <w:rsid w:val="0EE76235"/>
    <w:rsid w:val="0EE77EB9"/>
    <w:rsid w:val="0EE963D0"/>
    <w:rsid w:val="0EEB09D7"/>
    <w:rsid w:val="0EEC54CF"/>
    <w:rsid w:val="0EF3685E"/>
    <w:rsid w:val="0EF55C38"/>
    <w:rsid w:val="0EF623A2"/>
    <w:rsid w:val="0EF95322"/>
    <w:rsid w:val="0EFB5712"/>
    <w:rsid w:val="0F024CF3"/>
    <w:rsid w:val="0F0F2D86"/>
    <w:rsid w:val="0F112F78"/>
    <w:rsid w:val="0F135AB3"/>
    <w:rsid w:val="0F1669F0"/>
    <w:rsid w:val="0F18046C"/>
    <w:rsid w:val="0F1B7B63"/>
    <w:rsid w:val="0F20161D"/>
    <w:rsid w:val="0F204B8F"/>
    <w:rsid w:val="0F27165A"/>
    <w:rsid w:val="0F29227F"/>
    <w:rsid w:val="0F296115"/>
    <w:rsid w:val="0F2A1B00"/>
    <w:rsid w:val="0F2A24A8"/>
    <w:rsid w:val="0F2A5FF8"/>
    <w:rsid w:val="0F2B15B9"/>
    <w:rsid w:val="0F2C1D70"/>
    <w:rsid w:val="0F2C2A23"/>
    <w:rsid w:val="0F2C326F"/>
    <w:rsid w:val="0F2C7FC2"/>
    <w:rsid w:val="0F2E21E0"/>
    <w:rsid w:val="0F31382A"/>
    <w:rsid w:val="0F317386"/>
    <w:rsid w:val="0F320442"/>
    <w:rsid w:val="0F334EAC"/>
    <w:rsid w:val="0F3550C8"/>
    <w:rsid w:val="0F362959"/>
    <w:rsid w:val="0F362BEE"/>
    <w:rsid w:val="0F363917"/>
    <w:rsid w:val="0F384024"/>
    <w:rsid w:val="0F3B0205"/>
    <w:rsid w:val="0F3B4AA4"/>
    <w:rsid w:val="0F430674"/>
    <w:rsid w:val="0F476BAA"/>
    <w:rsid w:val="0F4A0448"/>
    <w:rsid w:val="0F4B669A"/>
    <w:rsid w:val="0F4C3B6E"/>
    <w:rsid w:val="0F4D1BD5"/>
    <w:rsid w:val="0F4E618A"/>
    <w:rsid w:val="0F4F0B1B"/>
    <w:rsid w:val="0F4F61AB"/>
    <w:rsid w:val="0F503CB0"/>
    <w:rsid w:val="0F506A76"/>
    <w:rsid w:val="0F517A28"/>
    <w:rsid w:val="0F526DE9"/>
    <w:rsid w:val="0F543075"/>
    <w:rsid w:val="0F5454DF"/>
    <w:rsid w:val="0F59068B"/>
    <w:rsid w:val="0F5C08A7"/>
    <w:rsid w:val="0F5F2145"/>
    <w:rsid w:val="0F62166D"/>
    <w:rsid w:val="0F624FAC"/>
    <w:rsid w:val="0F6634D4"/>
    <w:rsid w:val="0F722315"/>
    <w:rsid w:val="0F784FB5"/>
    <w:rsid w:val="0F794448"/>
    <w:rsid w:val="0F7B6853"/>
    <w:rsid w:val="0F7F6343"/>
    <w:rsid w:val="0F815DA9"/>
    <w:rsid w:val="0F865924"/>
    <w:rsid w:val="0F8A4A20"/>
    <w:rsid w:val="0F8B2F3A"/>
    <w:rsid w:val="0F8C0A60"/>
    <w:rsid w:val="0F8C19AA"/>
    <w:rsid w:val="0F8E717E"/>
    <w:rsid w:val="0F8F670C"/>
    <w:rsid w:val="0F91066F"/>
    <w:rsid w:val="0F933B9D"/>
    <w:rsid w:val="0F987D01"/>
    <w:rsid w:val="0FA128A4"/>
    <w:rsid w:val="0FA4224E"/>
    <w:rsid w:val="0FA45DAA"/>
    <w:rsid w:val="0FA55F5E"/>
    <w:rsid w:val="0FA579EC"/>
    <w:rsid w:val="0FA77648"/>
    <w:rsid w:val="0FA83AEC"/>
    <w:rsid w:val="0FAE010D"/>
    <w:rsid w:val="0FAE0BB8"/>
    <w:rsid w:val="0FB104C7"/>
    <w:rsid w:val="0FB22537"/>
    <w:rsid w:val="0FB3423F"/>
    <w:rsid w:val="0FB35FED"/>
    <w:rsid w:val="0FB87AA7"/>
    <w:rsid w:val="0FBA381F"/>
    <w:rsid w:val="0FBB29F6"/>
    <w:rsid w:val="0FBB6525"/>
    <w:rsid w:val="0FBD0C1A"/>
    <w:rsid w:val="0FBF639E"/>
    <w:rsid w:val="0FC226D4"/>
    <w:rsid w:val="0FC63F72"/>
    <w:rsid w:val="0FCB77DB"/>
    <w:rsid w:val="0FCC36A0"/>
    <w:rsid w:val="0FD40780"/>
    <w:rsid w:val="0FD416B1"/>
    <w:rsid w:val="0FD47A59"/>
    <w:rsid w:val="0FD61CDB"/>
    <w:rsid w:val="0FD942C7"/>
    <w:rsid w:val="0FDA7A1E"/>
    <w:rsid w:val="0FDE750E"/>
    <w:rsid w:val="0FE10DAC"/>
    <w:rsid w:val="0FE10DFA"/>
    <w:rsid w:val="0FE60C31"/>
    <w:rsid w:val="0FE95EB3"/>
    <w:rsid w:val="0FE97C61"/>
    <w:rsid w:val="0FEB1C2B"/>
    <w:rsid w:val="0FEB39D9"/>
    <w:rsid w:val="0FEB5A0E"/>
    <w:rsid w:val="0FEE7934"/>
    <w:rsid w:val="0FF611C1"/>
    <w:rsid w:val="0FFA3C1C"/>
    <w:rsid w:val="0FFC1742"/>
    <w:rsid w:val="0FFC2289"/>
    <w:rsid w:val="0FFC5BE6"/>
    <w:rsid w:val="0FFE6E35"/>
    <w:rsid w:val="0FFF1232"/>
    <w:rsid w:val="10030D22"/>
    <w:rsid w:val="1003786F"/>
    <w:rsid w:val="10064267"/>
    <w:rsid w:val="10067155"/>
    <w:rsid w:val="10086339"/>
    <w:rsid w:val="100C7578"/>
    <w:rsid w:val="10116440"/>
    <w:rsid w:val="10120F66"/>
    <w:rsid w:val="10191947"/>
    <w:rsid w:val="101C1DE4"/>
    <w:rsid w:val="101E3DAE"/>
    <w:rsid w:val="101F096D"/>
    <w:rsid w:val="102534C2"/>
    <w:rsid w:val="10264A11"/>
    <w:rsid w:val="10283879"/>
    <w:rsid w:val="102D2243"/>
    <w:rsid w:val="102E38C6"/>
    <w:rsid w:val="10337898"/>
    <w:rsid w:val="10373ACC"/>
    <w:rsid w:val="10376C1E"/>
    <w:rsid w:val="10394744"/>
    <w:rsid w:val="103A226A"/>
    <w:rsid w:val="103B6D46"/>
    <w:rsid w:val="103C5FE2"/>
    <w:rsid w:val="103F5AD3"/>
    <w:rsid w:val="104170A6"/>
    <w:rsid w:val="104A1675"/>
    <w:rsid w:val="10505480"/>
    <w:rsid w:val="10513922"/>
    <w:rsid w:val="105915A8"/>
    <w:rsid w:val="105A290D"/>
    <w:rsid w:val="105C4E6D"/>
    <w:rsid w:val="105C7CC6"/>
    <w:rsid w:val="105E064F"/>
    <w:rsid w:val="105F7F23"/>
    <w:rsid w:val="10675755"/>
    <w:rsid w:val="106A7C46"/>
    <w:rsid w:val="10715F8F"/>
    <w:rsid w:val="10735B0F"/>
    <w:rsid w:val="107424C9"/>
    <w:rsid w:val="1074577C"/>
    <w:rsid w:val="107C247E"/>
    <w:rsid w:val="107E484D"/>
    <w:rsid w:val="10832DEB"/>
    <w:rsid w:val="108550E0"/>
    <w:rsid w:val="10855BDB"/>
    <w:rsid w:val="108654B0"/>
    <w:rsid w:val="108D2CE2"/>
    <w:rsid w:val="108D35E3"/>
    <w:rsid w:val="108D7E56"/>
    <w:rsid w:val="108E1F23"/>
    <w:rsid w:val="108F6A88"/>
    <w:rsid w:val="1092502E"/>
    <w:rsid w:val="1092654A"/>
    <w:rsid w:val="10940AC7"/>
    <w:rsid w:val="109A22B0"/>
    <w:rsid w:val="10A07A0D"/>
    <w:rsid w:val="10A1129A"/>
    <w:rsid w:val="10AD6EE0"/>
    <w:rsid w:val="10AF0EAA"/>
    <w:rsid w:val="10B262A5"/>
    <w:rsid w:val="10B77D5F"/>
    <w:rsid w:val="10BD0B5A"/>
    <w:rsid w:val="10BF7A6B"/>
    <w:rsid w:val="10C04E65"/>
    <w:rsid w:val="10C2298C"/>
    <w:rsid w:val="10C36704"/>
    <w:rsid w:val="10C66B57"/>
    <w:rsid w:val="10CC70C9"/>
    <w:rsid w:val="10CF0F65"/>
    <w:rsid w:val="10CF32FA"/>
    <w:rsid w:val="10D34B99"/>
    <w:rsid w:val="10D35AA2"/>
    <w:rsid w:val="10D426BF"/>
    <w:rsid w:val="10D51973"/>
    <w:rsid w:val="10D97CEA"/>
    <w:rsid w:val="10DB7FF7"/>
    <w:rsid w:val="10DE2489"/>
    <w:rsid w:val="10DF3E93"/>
    <w:rsid w:val="10E03921"/>
    <w:rsid w:val="10E16330"/>
    <w:rsid w:val="10E30B54"/>
    <w:rsid w:val="10E5667A"/>
    <w:rsid w:val="10E756E9"/>
    <w:rsid w:val="10EC7A09"/>
    <w:rsid w:val="10ED3781"/>
    <w:rsid w:val="10F42D61"/>
    <w:rsid w:val="10F45708"/>
    <w:rsid w:val="10F9524C"/>
    <w:rsid w:val="10FB7C4C"/>
    <w:rsid w:val="1102722C"/>
    <w:rsid w:val="11063794"/>
    <w:rsid w:val="110C1E59"/>
    <w:rsid w:val="111274C7"/>
    <w:rsid w:val="111725AC"/>
    <w:rsid w:val="11174FA1"/>
    <w:rsid w:val="11186A50"/>
    <w:rsid w:val="11196324"/>
    <w:rsid w:val="111A2B6D"/>
    <w:rsid w:val="111E393A"/>
    <w:rsid w:val="112A0531"/>
    <w:rsid w:val="112B4874"/>
    <w:rsid w:val="11306434"/>
    <w:rsid w:val="11330B1A"/>
    <w:rsid w:val="113B273E"/>
    <w:rsid w:val="113B44EC"/>
    <w:rsid w:val="114415F3"/>
    <w:rsid w:val="11481664"/>
    <w:rsid w:val="114943B8"/>
    <w:rsid w:val="114A2A3E"/>
    <w:rsid w:val="114A310B"/>
    <w:rsid w:val="114C494B"/>
    <w:rsid w:val="114E06C3"/>
    <w:rsid w:val="115361AC"/>
    <w:rsid w:val="11542370"/>
    <w:rsid w:val="1158509E"/>
    <w:rsid w:val="116220E5"/>
    <w:rsid w:val="11625F1D"/>
    <w:rsid w:val="11641C95"/>
    <w:rsid w:val="11647275"/>
    <w:rsid w:val="116577BB"/>
    <w:rsid w:val="11675B74"/>
    <w:rsid w:val="116A6B7F"/>
    <w:rsid w:val="116B2E8F"/>
    <w:rsid w:val="116C28F7"/>
    <w:rsid w:val="117030C0"/>
    <w:rsid w:val="1173012A"/>
    <w:rsid w:val="117431A9"/>
    <w:rsid w:val="11755C50"/>
    <w:rsid w:val="117A5014"/>
    <w:rsid w:val="117D4B05"/>
    <w:rsid w:val="117F6ACF"/>
    <w:rsid w:val="11803E80"/>
    <w:rsid w:val="118045F5"/>
    <w:rsid w:val="118115E6"/>
    <w:rsid w:val="11812C2C"/>
    <w:rsid w:val="11823EC9"/>
    <w:rsid w:val="11844B5F"/>
    <w:rsid w:val="11880A5B"/>
    <w:rsid w:val="11895257"/>
    <w:rsid w:val="118A0FD0"/>
    <w:rsid w:val="118D6A28"/>
    <w:rsid w:val="118E0AC0"/>
    <w:rsid w:val="11901781"/>
    <w:rsid w:val="11902C8D"/>
    <w:rsid w:val="11914EBF"/>
    <w:rsid w:val="11943BFC"/>
    <w:rsid w:val="11987B90"/>
    <w:rsid w:val="119F0F1F"/>
    <w:rsid w:val="119F3157"/>
    <w:rsid w:val="119F66A1"/>
    <w:rsid w:val="11A647B8"/>
    <w:rsid w:val="11A7346C"/>
    <w:rsid w:val="11A7392F"/>
    <w:rsid w:val="11AF29A7"/>
    <w:rsid w:val="11B30526"/>
    <w:rsid w:val="11B524F0"/>
    <w:rsid w:val="11B649B7"/>
    <w:rsid w:val="11BA3663"/>
    <w:rsid w:val="11BC1CA6"/>
    <w:rsid w:val="11C027B8"/>
    <w:rsid w:val="11C12C43"/>
    <w:rsid w:val="11C42733"/>
    <w:rsid w:val="11C73FD2"/>
    <w:rsid w:val="11C81C05"/>
    <w:rsid w:val="11CC3396"/>
    <w:rsid w:val="11CC3663"/>
    <w:rsid w:val="11CC4136"/>
    <w:rsid w:val="11D16BFE"/>
    <w:rsid w:val="11D34725"/>
    <w:rsid w:val="11D5049D"/>
    <w:rsid w:val="11D64215"/>
    <w:rsid w:val="11DD55A3"/>
    <w:rsid w:val="11E06E41"/>
    <w:rsid w:val="11E15093"/>
    <w:rsid w:val="11E45060"/>
    <w:rsid w:val="11E61C4B"/>
    <w:rsid w:val="11EB5465"/>
    <w:rsid w:val="11EC3A38"/>
    <w:rsid w:val="11EF337D"/>
    <w:rsid w:val="11F0177A"/>
    <w:rsid w:val="11F052D6"/>
    <w:rsid w:val="11FA7F03"/>
    <w:rsid w:val="11FC3C7B"/>
    <w:rsid w:val="11FF551A"/>
    <w:rsid w:val="12042B30"/>
    <w:rsid w:val="120668A8"/>
    <w:rsid w:val="1209418E"/>
    <w:rsid w:val="120E7E53"/>
    <w:rsid w:val="12103BCB"/>
    <w:rsid w:val="12154C59"/>
    <w:rsid w:val="1216366A"/>
    <w:rsid w:val="121865DB"/>
    <w:rsid w:val="121B6022"/>
    <w:rsid w:val="121C431D"/>
    <w:rsid w:val="121F5BBC"/>
    <w:rsid w:val="121F796A"/>
    <w:rsid w:val="12211934"/>
    <w:rsid w:val="122136E2"/>
    <w:rsid w:val="1222050A"/>
    <w:rsid w:val="122356AC"/>
    <w:rsid w:val="12241424"/>
    <w:rsid w:val="12260CF8"/>
    <w:rsid w:val="12266F4A"/>
    <w:rsid w:val="12296A3A"/>
    <w:rsid w:val="122A0630"/>
    <w:rsid w:val="12304CB5"/>
    <w:rsid w:val="1230601B"/>
    <w:rsid w:val="123A0C48"/>
    <w:rsid w:val="123C051C"/>
    <w:rsid w:val="123E4EF0"/>
    <w:rsid w:val="123F000C"/>
    <w:rsid w:val="123F1DBA"/>
    <w:rsid w:val="123F4FE3"/>
    <w:rsid w:val="12415B32"/>
    <w:rsid w:val="12434F9C"/>
    <w:rsid w:val="12472FE1"/>
    <w:rsid w:val="124F64A1"/>
    <w:rsid w:val="12541629"/>
    <w:rsid w:val="12671735"/>
    <w:rsid w:val="12696E37"/>
    <w:rsid w:val="126B3114"/>
    <w:rsid w:val="126D4B79"/>
    <w:rsid w:val="126D6927"/>
    <w:rsid w:val="127759F8"/>
    <w:rsid w:val="127A7296"/>
    <w:rsid w:val="127D1EFD"/>
    <w:rsid w:val="127E0B34"/>
    <w:rsid w:val="128351DA"/>
    <w:rsid w:val="12887127"/>
    <w:rsid w:val="128B0826"/>
    <w:rsid w:val="128C26B2"/>
    <w:rsid w:val="128D771C"/>
    <w:rsid w:val="12912211"/>
    <w:rsid w:val="12937E5A"/>
    <w:rsid w:val="12986018"/>
    <w:rsid w:val="129973FF"/>
    <w:rsid w:val="129B3083"/>
    <w:rsid w:val="12A04F4F"/>
    <w:rsid w:val="12A141B9"/>
    <w:rsid w:val="12A3218D"/>
    <w:rsid w:val="12A52565"/>
    <w:rsid w:val="12A55086"/>
    <w:rsid w:val="12A83E03"/>
    <w:rsid w:val="12B207DE"/>
    <w:rsid w:val="12B47815"/>
    <w:rsid w:val="12B509B0"/>
    <w:rsid w:val="12B560A5"/>
    <w:rsid w:val="12B77F3A"/>
    <w:rsid w:val="12B950BA"/>
    <w:rsid w:val="12B96010"/>
    <w:rsid w:val="12BA4BD2"/>
    <w:rsid w:val="12BB1F38"/>
    <w:rsid w:val="12BE3627"/>
    <w:rsid w:val="12C73D7C"/>
    <w:rsid w:val="12C76069"/>
    <w:rsid w:val="12C81DAF"/>
    <w:rsid w:val="12C94D9D"/>
    <w:rsid w:val="12CA3D79"/>
    <w:rsid w:val="12CA5B28"/>
    <w:rsid w:val="12CD386A"/>
    <w:rsid w:val="12D06EB6"/>
    <w:rsid w:val="12D270D2"/>
    <w:rsid w:val="12D60970"/>
    <w:rsid w:val="12D93FBD"/>
    <w:rsid w:val="12DB69F2"/>
    <w:rsid w:val="12E24D72"/>
    <w:rsid w:val="12E27315"/>
    <w:rsid w:val="12E666D9"/>
    <w:rsid w:val="12E817B6"/>
    <w:rsid w:val="12ED5CBA"/>
    <w:rsid w:val="12EF15FF"/>
    <w:rsid w:val="12F11306"/>
    <w:rsid w:val="12F157AA"/>
    <w:rsid w:val="12F2043F"/>
    <w:rsid w:val="12F2507E"/>
    <w:rsid w:val="12F3672E"/>
    <w:rsid w:val="12F47048"/>
    <w:rsid w:val="12F63DBA"/>
    <w:rsid w:val="12F731AE"/>
    <w:rsid w:val="12F83DE9"/>
    <w:rsid w:val="13021765"/>
    <w:rsid w:val="13086650"/>
    <w:rsid w:val="130A12D1"/>
    <w:rsid w:val="130D05BB"/>
    <w:rsid w:val="130D42AE"/>
    <w:rsid w:val="130F1E50"/>
    <w:rsid w:val="130F4FE6"/>
    <w:rsid w:val="13113756"/>
    <w:rsid w:val="13134970"/>
    <w:rsid w:val="13160D6D"/>
    <w:rsid w:val="1319085D"/>
    <w:rsid w:val="131A6D6F"/>
    <w:rsid w:val="131A6E9B"/>
    <w:rsid w:val="131B4622"/>
    <w:rsid w:val="132316DC"/>
    <w:rsid w:val="1324660E"/>
    <w:rsid w:val="13255454"/>
    <w:rsid w:val="13294F44"/>
    <w:rsid w:val="132A0CBC"/>
    <w:rsid w:val="132E6594"/>
    <w:rsid w:val="132F7EFE"/>
    <w:rsid w:val="13313DF9"/>
    <w:rsid w:val="13315BA7"/>
    <w:rsid w:val="1331686B"/>
    <w:rsid w:val="13345697"/>
    <w:rsid w:val="1334692D"/>
    <w:rsid w:val="13354E72"/>
    <w:rsid w:val="13361C43"/>
    <w:rsid w:val="13405DEA"/>
    <w:rsid w:val="1343000A"/>
    <w:rsid w:val="1344512C"/>
    <w:rsid w:val="13477178"/>
    <w:rsid w:val="134A310C"/>
    <w:rsid w:val="134A4EBA"/>
    <w:rsid w:val="134B3464"/>
    <w:rsid w:val="13511DA5"/>
    <w:rsid w:val="13546C62"/>
    <w:rsid w:val="135875D7"/>
    <w:rsid w:val="13596EAB"/>
    <w:rsid w:val="135A0648"/>
    <w:rsid w:val="135A7174"/>
    <w:rsid w:val="135B7955"/>
    <w:rsid w:val="135B7CC7"/>
    <w:rsid w:val="1360023A"/>
    <w:rsid w:val="13623FB2"/>
    <w:rsid w:val="13631AD8"/>
    <w:rsid w:val="13634A35"/>
    <w:rsid w:val="13651CF4"/>
    <w:rsid w:val="13653AA2"/>
    <w:rsid w:val="136C3083"/>
    <w:rsid w:val="136C5017"/>
    <w:rsid w:val="136D2A47"/>
    <w:rsid w:val="136D537D"/>
    <w:rsid w:val="136E0BA9"/>
    <w:rsid w:val="136E6DFB"/>
    <w:rsid w:val="13732930"/>
    <w:rsid w:val="13752BBF"/>
    <w:rsid w:val="13767A5D"/>
    <w:rsid w:val="13782436"/>
    <w:rsid w:val="13782D35"/>
    <w:rsid w:val="137B1518"/>
    <w:rsid w:val="13826402"/>
    <w:rsid w:val="1383313B"/>
    <w:rsid w:val="13857CA0"/>
    <w:rsid w:val="13891D18"/>
    <w:rsid w:val="1389246B"/>
    <w:rsid w:val="138A52B7"/>
    <w:rsid w:val="138C102F"/>
    <w:rsid w:val="138C39AA"/>
    <w:rsid w:val="138F28CD"/>
    <w:rsid w:val="13906D71"/>
    <w:rsid w:val="139323BD"/>
    <w:rsid w:val="13961EAE"/>
    <w:rsid w:val="139879D4"/>
    <w:rsid w:val="13994781"/>
    <w:rsid w:val="139E6114"/>
    <w:rsid w:val="139F6FB4"/>
    <w:rsid w:val="13A22600"/>
    <w:rsid w:val="13A91BE1"/>
    <w:rsid w:val="13AC347F"/>
    <w:rsid w:val="13AC7923"/>
    <w:rsid w:val="13B54A2A"/>
    <w:rsid w:val="13B660AC"/>
    <w:rsid w:val="13BB1914"/>
    <w:rsid w:val="13BB7B66"/>
    <w:rsid w:val="13C407C9"/>
    <w:rsid w:val="13C54541"/>
    <w:rsid w:val="13CC58CF"/>
    <w:rsid w:val="13CE33F5"/>
    <w:rsid w:val="13D50C28"/>
    <w:rsid w:val="13D8421E"/>
    <w:rsid w:val="13D93641"/>
    <w:rsid w:val="13DD2D88"/>
    <w:rsid w:val="13DD5D2E"/>
    <w:rsid w:val="13E26897"/>
    <w:rsid w:val="13E700E7"/>
    <w:rsid w:val="13E86A02"/>
    <w:rsid w:val="13E9022F"/>
    <w:rsid w:val="13EC3618"/>
    <w:rsid w:val="13EC5F71"/>
    <w:rsid w:val="13EE3A98"/>
    <w:rsid w:val="13EE708C"/>
    <w:rsid w:val="13F05A62"/>
    <w:rsid w:val="13F56556"/>
    <w:rsid w:val="13F74BF3"/>
    <w:rsid w:val="13F866C4"/>
    <w:rsid w:val="13FA243C"/>
    <w:rsid w:val="13FF3EF7"/>
    <w:rsid w:val="13FF5CA5"/>
    <w:rsid w:val="14001BB1"/>
    <w:rsid w:val="14011A1D"/>
    <w:rsid w:val="140210A2"/>
    <w:rsid w:val="140212F1"/>
    <w:rsid w:val="14025E1E"/>
    <w:rsid w:val="1404150D"/>
    <w:rsid w:val="140506E0"/>
    <w:rsid w:val="14101C60"/>
    <w:rsid w:val="1415241F"/>
    <w:rsid w:val="14155BA9"/>
    <w:rsid w:val="141702DA"/>
    <w:rsid w:val="14184FB8"/>
    <w:rsid w:val="1424395D"/>
    <w:rsid w:val="14263231"/>
    <w:rsid w:val="14264FE0"/>
    <w:rsid w:val="14294AD0"/>
    <w:rsid w:val="142B0848"/>
    <w:rsid w:val="142B4CEC"/>
    <w:rsid w:val="142B6A9A"/>
    <w:rsid w:val="14302626"/>
    <w:rsid w:val="14305E5E"/>
    <w:rsid w:val="143108FD"/>
    <w:rsid w:val="143D057B"/>
    <w:rsid w:val="144068BA"/>
    <w:rsid w:val="1441483B"/>
    <w:rsid w:val="14495172"/>
    <w:rsid w:val="144B7D94"/>
    <w:rsid w:val="144E5BAF"/>
    <w:rsid w:val="14506500"/>
    <w:rsid w:val="14551D69"/>
    <w:rsid w:val="14552EB1"/>
    <w:rsid w:val="145558C5"/>
    <w:rsid w:val="14593607"/>
    <w:rsid w:val="145A052F"/>
    <w:rsid w:val="145B1858"/>
    <w:rsid w:val="145B75D5"/>
    <w:rsid w:val="145E6E6F"/>
    <w:rsid w:val="145E7704"/>
    <w:rsid w:val="145F25F4"/>
    <w:rsid w:val="145F73BE"/>
    <w:rsid w:val="14602C66"/>
    <w:rsid w:val="14624F68"/>
    <w:rsid w:val="14637760"/>
    <w:rsid w:val="146467FB"/>
    <w:rsid w:val="14681A9C"/>
    <w:rsid w:val="14687658"/>
    <w:rsid w:val="146D071A"/>
    <w:rsid w:val="146E4BD8"/>
    <w:rsid w:val="1472415E"/>
    <w:rsid w:val="147321EF"/>
    <w:rsid w:val="1476335E"/>
    <w:rsid w:val="147A357D"/>
    <w:rsid w:val="147E4508"/>
    <w:rsid w:val="1481490C"/>
    <w:rsid w:val="14830684"/>
    <w:rsid w:val="14834EF9"/>
    <w:rsid w:val="14861D78"/>
    <w:rsid w:val="14885C9A"/>
    <w:rsid w:val="148937C0"/>
    <w:rsid w:val="148C5B2E"/>
    <w:rsid w:val="14922675"/>
    <w:rsid w:val="14932C7A"/>
    <w:rsid w:val="1493417A"/>
    <w:rsid w:val="14972381"/>
    <w:rsid w:val="149C40D3"/>
    <w:rsid w:val="149F2FE4"/>
    <w:rsid w:val="149F44E5"/>
    <w:rsid w:val="14A1415B"/>
    <w:rsid w:val="14A16D5C"/>
    <w:rsid w:val="14A30D26"/>
    <w:rsid w:val="14AB1989"/>
    <w:rsid w:val="14AB7BDB"/>
    <w:rsid w:val="14AC019B"/>
    <w:rsid w:val="14B00D4D"/>
    <w:rsid w:val="14B06F9F"/>
    <w:rsid w:val="14B37C3C"/>
    <w:rsid w:val="14B451F8"/>
    <w:rsid w:val="14B7032D"/>
    <w:rsid w:val="14B720DC"/>
    <w:rsid w:val="14B7556F"/>
    <w:rsid w:val="14BB6070"/>
    <w:rsid w:val="14BC43A1"/>
    <w:rsid w:val="14C03686"/>
    <w:rsid w:val="14C3035B"/>
    <w:rsid w:val="14C8078D"/>
    <w:rsid w:val="14CB3DD9"/>
    <w:rsid w:val="14D0319D"/>
    <w:rsid w:val="14D964F6"/>
    <w:rsid w:val="14DA5385"/>
    <w:rsid w:val="14DE58BA"/>
    <w:rsid w:val="14E12D38"/>
    <w:rsid w:val="14E135FC"/>
    <w:rsid w:val="14E46C49"/>
    <w:rsid w:val="14E804E7"/>
    <w:rsid w:val="14F41582"/>
    <w:rsid w:val="14F41FAC"/>
    <w:rsid w:val="14F5074A"/>
    <w:rsid w:val="14F71A30"/>
    <w:rsid w:val="14F7697C"/>
    <w:rsid w:val="14FB2325"/>
    <w:rsid w:val="14FB2910"/>
    <w:rsid w:val="14FE07B5"/>
    <w:rsid w:val="14FE0980"/>
    <w:rsid w:val="14FE5F5C"/>
    <w:rsid w:val="14FE6563"/>
    <w:rsid w:val="15033573"/>
    <w:rsid w:val="15064615"/>
    <w:rsid w:val="15086DDB"/>
    <w:rsid w:val="150A413D"/>
    <w:rsid w:val="150D168D"/>
    <w:rsid w:val="150D43F1"/>
    <w:rsid w:val="15103104"/>
    <w:rsid w:val="15113EE2"/>
    <w:rsid w:val="15147EEB"/>
    <w:rsid w:val="15171419"/>
    <w:rsid w:val="15175270"/>
    <w:rsid w:val="151758D1"/>
    <w:rsid w:val="15192A7B"/>
    <w:rsid w:val="151C1C5C"/>
    <w:rsid w:val="15211C4B"/>
    <w:rsid w:val="15227E9D"/>
    <w:rsid w:val="152A3A00"/>
    <w:rsid w:val="152E4A94"/>
    <w:rsid w:val="153014C3"/>
    <w:rsid w:val="15316332"/>
    <w:rsid w:val="15323E58"/>
    <w:rsid w:val="15326E42"/>
    <w:rsid w:val="15347BD0"/>
    <w:rsid w:val="15360A41"/>
    <w:rsid w:val="1542409B"/>
    <w:rsid w:val="15457CD3"/>
    <w:rsid w:val="154A11A2"/>
    <w:rsid w:val="154B44F8"/>
    <w:rsid w:val="154D0C92"/>
    <w:rsid w:val="154D73BC"/>
    <w:rsid w:val="154F0566"/>
    <w:rsid w:val="15591F94"/>
    <w:rsid w:val="15597637"/>
    <w:rsid w:val="155B46B2"/>
    <w:rsid w:val="155B515D"/>
    <w:rsid w:val="155E1945"/>
    <w:rsid w:val="15604521"/>
    <w:rsid w:val="156100F4"/>
    <w:rsid w:val="156264EB"/>
    <w:rsid w:val="15642450"/>
    <w:rsid w:val="15655021"/>
    <w:rsid w:val="15673B02"/>
    <w:rsid w:val="156E0F20"/>
    <w:rsid w:val="157224A6"/>
    <w:rsid w:val="15743686"/>
    <w:rsid w:val="15750149"/>
    <w:rsid w:val="157601E9"/>
    <w:rsid w:val="15762B4F"/>
    <w:rsid w:val="1578147E"/>
    <w:rsid w:val="15781EB2"/>
    <w:rsid w:val="157D1577"/>
    <w:rsid w:val="157D3325"/>
    <w:rsid w:val="157E0E4B"/>
    <w:rsid w:val="157F5F94"/>
    <w:rsid w:val="157F78DA"/>
    <w:rsid w:val="1582093B"/>
    <w:rsid w:val="15826150"/>
    <w:rsid w:val="15842905"/>
    <w:rsid w:val="1585042C"/>
    <w:rsid w:val="158A6A07"/>
    <w:rsid w:val="158C20CC"/>
    <w:rsid w:val="158E618A"/>
    <w:rsid w:val="159346A3"/>
    <w:rsid w:val="15937614"/>
    <w:rsid w:val="1594241D"/>
    <w:rsid w:val="15966195"/>
    <w:rsid w:val="15973CBB"/>
    <w:rsid w:val="15981F0D"/>
    <w:rsid w:val="159A0B6E"/>
    <w:rsid w:val="159E35A3"/>
    <w:rsid w:val="159E5049"/>
    <w:rsid w:val="15A5287C"/>
    <w:rsid w:val="15A563D8"/>
    <w:rsid w:val="15A56870"/>
    <w:rsid w:val="15A84394"/>
    <w:rsid w:val="15AA2882"/>
    <w:rsid w:val="15B17473"/>
    <w:rsid w:val="15B75502"/>
    <w:rsid w:val="15B85348"/>
    <w:rsid w:val="15BB3E4D"/>
    <w:rsid w:val="15BF35CE"/>
    <w:rsid w:val="15C4249B"/>
    <w:rsid w:val="15C47699"/>
    <w:rsid w:val="15C56A7A"/>
    <w:rsid w:val="15CE4AAD"/>
    <w:rsid w:val="15D3014F"/>
    <w:rsid w:val="15D32D5F"/>
    <w:rsid w:val="15D62A35"/>
    <w:rsid w:val="15D91F20"/>
    <w:rsid w:val="15DB44F0"/>
    <w:rsid w:val="15DC1C79"/>
    <w:rsid w:val="15DE7531"/>
    <w:rsid w:val="15E36499"/>
    <w:rsid w:val="15E74C42"/>
    <w:rsid w:val="15EB4733"/>
    <w:rsid w:val="15EC1E07"/>
    <w:rsid w:val="15EE7D7F"/>
    <w:rsid w:val="15EF58A5"/>
    <w:rsid w:val="15F02F00"/>
    <w:rsid w:val="15F07F9B"/>
    <w:rsid w:val="15F83966"/>
    <w:rsid w:val="15FC7ED7"/>
    <w:rsid w:val="16005D04"/>
    <w:rsid w:val="16021A7C"/>
    <w:rsid w:val="160475A2"/>
    <w:rsid w:val="16066CA6"/>
    <w:rsid w:val="160752E5"/>
    <w:rsid w:val="1609105D"/>
    <w:rsid w:val="160B2689"/>
    <w:rsid w:val="160D5411"/>
    <w:rsid w:val="160E7BE2"/>
    <w:rsid w:val="16102CDA"/>
    <w:rsid w:val="16104199"/>
    <w:rsid w:val="16117544"/>
    <w:rsid w:val="161517B0"/>
    <w:rsid w:val="1615355E"/>
    <w:rsid w:val="16184DFC"/>
    <w:rsid w:val="161C41E0"/>
    <w:rsid w:val="161F1D89"/>
    <w:rsid w:val="16201F02"/>
    <w:rsid w:val="16215F7C"/>
    <w:rsid w:val="1621751A"/>
    <w:rsid w:val="16225C7A"/>
    <w:rsid w:val="16231778"/>
    <w:rsid w:val="16245E7D"/>
    <w:rsid w:val="16270B89"/>
    <w:rsid w:val="16272F51"/>
    <w:rsid w:val="16273291"/>
    <w:rsid w:val="1629525B"/>
    <w:rsid w:val="162C6AF9"/>
    <w:rsid w:val="162D33AE"/>
    <w:rsid w:val="162E2871"/>
    <w:rsid w:val="163836F0"/>
    <w:rsid w:val="163A3A95"/>
    <w:rsid w:val="163A44FB"/>
    <w:rsid w:val="163C4F8E"/>
    <w:rsid w:val="163C6D3C"/>
    <w:rsid w:val="163D2096"/>
    <w:rsid w:val="163E476A"/>
    <w:rsid w:val="163F682C"/>
    <w:rsid w:val="16442095"/>
    <w:rsid w:val="164538FA"/>
    <w:rsid w:val="16491459"/>
    <w:rsid w:val="165027E8"/>
    <w:rsid w:val="165247B2"/>
    <w:rsid w:val="165322D8"/>
    <w:rsid w:val="165423D5"/>
    <w:rsid w:val="16571DC8"/>
    <w:rsid w:val="165B2F3A"/>
    <w:rsid w:val="1668223D"/>
    <w:rsid w:val="166A6DA0"/>
    <w:rsid w:val="166F2094"/>
    <w:rsid w:val="16716FDF"/>
    <w:rsid w:val="1672275E"/>
    <w:rsid w:val="16731C0F"/>
    <w:rsid w:val="16734728"/>
    <w:rsid w:val="167364D6"/>
    <w:rsid w:val="16781D3E"/>
    <w:rsid w:val="167A5AB7"/>
    <w:rsid w:val="167C35DD"/>
    <w:rsid w:val="167D5FB2"/>
    <w:rsid w:val="167E0875"/>
    <w:rsid w:val="167F30CD"/>
    <w:rsid w:val="16816E45"/>
    <w:rsid w:val="1686445B"/>
    <w:rsid w:val="16894F3A"/>
    <w:rsid w:val="168D3A3C"/>
    <w:rsid w:val="168E1562"/>
    <w:rsid w:val="168F38B2"/>
    <w:rsid w:val="1691415F"/>
    <w:rsid w:val="169337CF"/>
    <w:rsid w:val="1695469E"/>
    <w:rsid w:val="1697523C"/>
    <w:rsid w:val="16976668"/>
    <w:rsid w:val="169E168F"/>
    <w:rsid w:val="169E79F7"/>
    <w:rsid w:val="169F1079"/>
    <w:rsid w:val="16A160AE"/>
    <w:rsid w:val="16A30A6A"/>
    <w:rsid w:val="16A42C47"/>
    <w:rsid w:val="16A86180"/>
    <w:rsid w:val="16A91EF8"/>
    <w:rsid w:val="16AA639C"/>
    <w:rsid w:val="16AB0635"/>
    <w:rsid w:val="16AE5760"/>
    <w:rsid w:val="16AF2A39"/>
    <w:rsid w:val="16B14F38"/>
    <w:rsid w:val="16B15CA2"/>
    <w:rsid w:val="16B34B25"/>
    <w:rsid w:val="16B5089D"/>
    <w:rsid w:val="16B816C0"/>
    <w:rsid w:val="16BA2893"/>
    <w:rsid w:val="16BA5EB3"/>
    <w:rsid w:val="16BC611E"/>
    <w:rsid w:val="16BC7326"/>
    <w:rsid w:val="16BD23AB"/>
    <w:rsid w:val="16C240F4"/>
    <w:rsid w:val="16C62AAA"/>
    <w:rsid w:val="16CA3616"/>
    <w:rsid w:val="16D00254"/>
    <w:rsid w:val="16D13348"/>
    <w:rsid w:val="16D1671C"/>
    <w:rsid w:val="16D30EB2"/>
    <w:rsid w:val="16D76BD3"/>
    <w:rsid w:val="16D90A2F"/>
    <w:rsid w:val="16D92F79"/>
    <w:rsid w:val="16DB3436"/>
    <w:rsid w:val="16DE7DF3"/>
    <w:rsid w:val="16DF3B6C"/>
    <w:rsid w:val="16E15B36"/>
    <w:rsid w:val="16E41182"/>
    <w:rsid w:val="16E51F7C"/>
    <w:rsid w:val="16E53451"/>
    <w:rsid w:val="16E86EC4"/>
    <w:rsid w:val="16EA7BE5"/>
    <w:rsid w:val="16EF3DAF"/>
    <w:rsid w:val="16F24760"/>
    <w:rsid w:val="16F33BA1"/>
    <w:rsid w:val="16F413C5"/>
    <w:rsid w:val="16F5513D"/>
    <w:rsid w:val="16FB5E87"/>
    <w:rsid w:val="16FD08EE"/>
    <w:rsid w:val="16FD1648"/>
    <w:rsid w:val="17017F86"/>
    <w:rsid w:val="17022263"/>
    <w:rsid w:val="17035AAC"/>
    <w:rsid w:val="1707535A"/>
    <w:rsid w:val="17092996"/>
    <w:rsid w:val="17093BC9"/>
    <w:rsid w:val="170D647E"/>
    <w:rsid w:val="170F339C"/>
    <w:rsid w:val="17101F77"/>
    <w:rsid w:val="1710324E"/>
    <w:rsid w:val="17123F41"/>
    <w:rsid w:val="17136105"/>
    <w:rsid w:val="17147CB9"/>
    <w:rsid w:val="171536DD"/>
    <w:rsid w:val="17163862"/>
    <w:rsid w:val="171A0F3C"/>
    <w:rsid w:val="171B2DF6"/>
    <w:rsid w:val="171E6442"/>
    <w:rsid w:val="171E7FAF"/>
    <w:rsid w:val="17242ED8"/>
    <w:rsid w:val="17255A22"/>
    <w:rsid w:val="17261D21"/>
    <w:rsid w:val="172E1B66"/>
    <w:rsid w:val="172F56E2"/>
    <w:rsid w:val="172F68A1"/>
    <w:rsid w:val="173619DD"/>
    <w:rsid w:val="17367C2F"/>
    <w:rsid w:val="17397720"/>
    <w:rsid w:val="174136AE"/>
    <w:rsid w:val="1743234C"/>
    <w:rsid w:val="174340FA"/>
    <w:rsid w:val="17463A0E"/>
    <w:rsid w:val="17463BEB"/>
    <w:rsid w:val="17474F71"/>
    <w:rsid w:val="174A36DB"/>
    <w:rsid w:val="174D0F39"/>
    <w:rsid w:val="175005C5"/>
    <w:rsid w:val="17516817"/>
    <w:rsid w:val="1752433D"/>
    <w:rsid w:val="17546308"/>
    <w:rsid w:val="1755226F"/>
    <w:rsid w:val="17580455"/>
    <w:rsid w:val="175B58E8"/>
    <w:rsid w:val="175C6F6A"/>
    <w:rsid w:val="175E7186"/>
    <w:rsid w:val="17654071"/>
    <w:rsid w:val="1767603B"/>
    <w:rsid w:val="17680005"/>
    <w:rsid w:val="17681DB3"/>
    <w:rsid w:val="1773097C"/>
    <w:rsid w:val="17732C32"/>
    <w:rsid w:val="17740758"/>
    <w:rsid w:val="177644D0"/>
    <w:rsid w:val="17774FB9"/>
    <w:rsid w:val="17792AAB"/>
    <w:rsid w:val="177A1543"/>
    <w:rsid w:val="178169D1"/>
    <w:rsid w:val="17843771"/>
    <w:rsid w:val="17851F5A"/>
    <w:rsid w:val="17872239"/>
    <w:rsid w:val="178766DD"/>
    <w:rsid w:val="178B4D74"/>
    <w:rsid w:val="178C784F"/>
    <w:rsid w:val="178D1819"/>
    <w:rsid w:val="178D23B1"/>
    <w:rsid w:val="178E46F2"/>
    <w:rsid w:val="179521FA"/>
    <w:rsid w:val="179B7A92"/>
    <w:rsid w:val="179D7CAF"/>
    <w:rsid w:val="179E3A27"/>
    <w:rsid w:val="17A0154D"/>
    <w:rsid w:val="17A56B63"/>
    <w:rsid w:val="17A75B29"/>
    <w:rsid w:val="17A821AF"/>
    <w:rsid w:val="17AC0866"/>
    <w:rsid w:val="17B15508"/>
    <w:rsid w:val="17B42DE1"/>
    <w:rsid w:val="17B9260F"/>
    <w:rsid w:val="17B96D5D"/>
    <w:rsid w:val="17BA587C"/>
    <w:rsid w:val="17BA6AB6"/>
    <w:rsid w:val="17BD5C5B"/>
    <w:rsid w:val="17C0574B"/>
    <w:rsid w:val="17C34FBA"/>
    <w:rsid w:val="17C4145B"/>
    <w:rsid w:val="17C4348D"/>
    <w:rsid w:val="17C5305C"/>
    <w:rsid w:val="17C76AD9"/>
    <w:rsid w:val="17CA56FB"/>
    <w:rsid w:val="17CB4D41"/>
    <w:rsid w:val="17CF3BE0"/>
    <w:rsid w:val="17D3781F"/>
    <w:rsid w:val="17D82B4B"/>
    <w:rsid w:val="17DB07D7"/>
    <w:rsid w:val="17DC43BC"/>
    <w:rsid w:val="17DD0A7A"/>
    <w:rsid w:val="17DD454F"/>
    <w:rsid w:val="17E0315F"/>
    <w:rsid w:val="17E1382B"/>
    <w:rsid w:val="17E42B4D"/>
    <w:rsid w:val="17E45B88"/>
    <w:rsid w:val="17E775FC"/>
    <w:rsid w:val="17EE44A3"/>
    <w:rsid w:val="17EE4F3C"/>
    <w:rsid w:val="17EE6F98"/>
    <w:rsid w:val="17F43DDB"/>
    <w:rsid w:val="17F6116D"/>
    <w:rsid w:val="17F72AB1"/>
    <w:rsid w:val="17FD074D"/>
    <w:rsid w:val="17FD24FB"/>
    <w:rsid w:val="18025D64"/>
    <w:rsid w:val="18057602"/>
    <w:rsid w:val="18074166"/>
    <w:rsid w:val="18152C0C"/>
    <w:rsid w:val="181A12FF"/>
    <w:rsid w:val="181D2B9D"/>
    <w:rsid w:val="181D494B"/>
    <w:rsid w:val="181F6915"/>
    <w:rsid w:val="1820443C"/>
    <w:rsid w:val="182061EA"/>
    <w:rsid w:val="1822045E"/>
    <w:rsid w:val="182750E2"/>
    <w:rsid w:val="18281089"/>
    <w:rsid w:val="182909D5"/>
    <w:rsid w:val="182932F0"/>
    <w:rsid w:val="182B3FD2"/>
    <w:rsid w:val="182C3422"/>
    <w:rsid w:val="182D144B"/>
    <w:rsid w:val="183103F7"/>
    <w:rsid w:val="18331C1F"/>
    <w:rsid w:val="183323C1"/>
    <w:rsid w:val="18335F1D"/>
    <w:rsid w:val="18340258"/>
    <w:rsid w:val="18383533"/>
    <w:rsid w:val="18386BDE"/>
    <w:rsid w:val="183A374F"/>
    <w:rsid w:val="183B1275"/>
    <w:rsid w:val="183B74CA"/>
    <w:rsid w:val="183C74C7"/>
    <w:rsid w:val="183D0B4A"/>
    <w:rsid w:val="1840688C"/>
    <w:rsid w:val="18445345"/>
    <w:rsid w:val="18466AE5"/>
    <w:rsid w:val="18477A90"/>
    <w:rsid w:val="18495740"/>
    <w:rsid w:val="184B224B"/>
    <w:rsid w:val="184C1BAE"/>
    <w:rsid w:val="184D2CC7"/>
    <w:rsid w:val="184D68EB"/>
    <w:rsid w:val="1856296E"/>
    <w:rsid w:val="185760AF"/>
    <w:rsid w:val="185A1380"/>
    <w:rsid w:val="185B315E"/>
    <w:rsid w:val="185B5C3A"/>
    <w:rsid w:val="185D11EC"/>
    <w:rsid w:val="185F31B6"/>
    <w:rsid w:val="185F592A"/>
    <w:rsid w:val="185F6D12"/>
    <w:rsid w:val="18626802"/>
    <w:rsid w:val="1865164D"/>
    <w:rsid w:val="18695DE3"/>
    <w:rsid w:val="186E164B"/>
    <w:rsid w:val="18732B86"/>
    <w:rsid w:val="187452BA"/>
    <w:rsid w:val="18754787"/>
    <w:rsid w:val="18764249"/>
    <w:rsid w:val="18786026"/>
    <w:rsid w:val="18786866"/>
    <w:rsid w:val="18790655"/>
    <w:rsid w:val="187D0649"/>
    <w:rsid w:val="187F73B4"/>
    <w:rsid w:val="188127C0"/>
    <w:rsid w:val="18860743"/>
    <w:rsid w:val="188D1AD1"/>
    <w:rsid w:val="1890511D"/>
    <w:rsid w:val="189310B2"/>
    <w:rsid w:val="189342A4"/>
    <w:rsid w:val="189F35B2"/>
    <w:rsid w:val="18A11C77"/>
    <w:rsid w:val="18A234BB"/>
    <w:rsid w:val="18A30826"/>
    <w:rsid w:val="18A3130E"/>
    <w:rsid w:val="18A4506D"/>
    <w:rsid w:val="18A5236E"/>
    <w:rsid w:val="18A73767"/>
    <w:rsid w:val="18AB01A9"/>
    <w:rsid w:val="18AC5CCF"/>
    <w:rsid w:val="18B15F12"/>
    <w:rsid w:val="18B34E3F"/>
    <w:rsid w:val="18B51028"/>
    <w:rsid w:val="18B52204"/>
    <w:rsid w:val="18B73BBF"/>
    <w:rsid w:val="18B9375E"/>
    <w:rsid w:val="18BA4DAD"/>
    <w:rsid w:val="18BC4164"/>
    <w:rsid w:val="18C33745"/>
    <w:rsid w:val="18C80D5B"/>
    <w:rsid w:val="18CA6383"/>
    <w:rsid w:val="18D54962"/>
    <w:rsid w:val="18D617E6"/>
    <w:rsid w:val="18D71ED3"/>
    <w:rsid w:val="18DA3814"/>
    <w:rsid w:val="18DC0363"/>
    <w:rsid w:val="18DC7CA7"/>
    <w:rsid w:val="18DF60A5"/>
    <w:rsid w:val="18DF7E53"/>
    <w:rsid w:val="18E259B6"/>
    <w:rsid w:val="18E628F5"/>
    <w:rsid w:val="18E71B8F"/>
    <w:rsid w:val="18EA699E"/>
    <w:rsid w:val="18EA6F23"/>
    <w:rsid w:val="18F5652D"/>
    <w:rsid w:val="18F64569"/>
    <w:rsid w:val="18F71640"/>
    <w:rsid w:val="18F87A2A"/>
    <w:rsid w:val="18F90F15"/>
    <w:rsid w:val="18F93584"/>
    <w:rsid w:val="18F935F8"/>
    <w:rsid w:val="18F93848"/>
    <w:rsid w:val="18F97AF0"/>
    <w:rsid w:val="1905134C"/>
    <w:rsid w:val="19084BD2"/>
    <w:rsid w:val="19094ED0"/>
    <w:rsid w:val="190C734F"/>
    <w:rsid w:val="190F0738"/>
    <w:rsid w:val="190F4842"/>
    <w:rsid w:val="191331C3"/>
    <w:rsid w:val="19153875"/>
    <w:rsid w:val="191775ED"/>
    <w:rsid w:val="191C2D2F"/>
    <w:rsid w:val="19200BE6"/>
    <w:rsid w:val="1921046B"/>
    <w:rsid w:val="19212219"/>
    <w:rsid w:val="19231C11"/>
    <w:rsid w:val="19297320"/>
    <w:rsid w:val="192D6E10"/>
    <w:rsid w:val="192E5E0E"/>
    <w:rsid w:val="192F2B88"/>
    <w:rsid w:val="19306900"/>
    <w:rsid w:val="1935143B"/>
    <w:rsid w:val="19362169"/>
    <w:rsid w:val="193E2DCB"/>
    <w:rsid w:val="193E726F"/>
    <w:rsid w:val="19440BF5"/>
    <w:rsid w:val="194A43C8"/>
    <w:rsid w:val="194B373A"/>
    <w:rsid w:val="19503165"/>
    <w:rsid w:val="1951752A"/>
    <w:rsid w:val="195353BF"/>
    <w:rsid w:val="1954439D"/>
    <w:rsid w:val="195528EC"/>
    <w:rsid w:val="19575C3B"/>
    <w:rsid w:val="1958637E"/>
    <w:rsid w:val="195C14A3"/>
    <w:rsid w:val="195C5947"/>
    <w:rsid w:val="195C76F5"/>
    <w:rsid w:val="195F2D42"/>
    <w:rsid w:val="1963789A"/>
    <w:rsid w:val="19670574"/>
    <w:rsid w:val="196A01F9"/>
    <w:rsid w:val="196B2458"/>
    <w:rsid w:val="196D2DFC"/>
    <w:rsid w:val="196E7115"/>
    <w:rsid w:val="19704F4F"/>
    <w:rsid w:val="19706158"/>
    <w:rsid w:val="197467ED"/>
    <w:rsid w:val="19772F3A"/>
    <w:rsid w:val="197902A7"/>
    <w:rsid w:val="197C1B46"/>
    <w:rsid w:val="197D7D98"/>
    <w:rsid w:val="197E55A7"/>
    <w:rsid w:val="197E669D"/>
    <w:rsid w:val="198100D5"/>
    <w:rsid w:val="19810F0A"/>
    <w:rsid w:val="19831126"/>
    <w:rsid w:val="1985636E"/>
    <w:rsid w:val="198804EA"/>
    <w:rsid w:val="198A159C"/>
    <w:rsid w:val="198B3B37"/>
    <w:rsid w:val="198B4326"/>
    <w:rsid w:val="198B45F5"/>
    <w:rsid w:val="198B7A74"/>
    <w:rsid w:val="1991116D"/>
    <w:rsid w:val="19921369"/>
    <w:rsid w:val="199649B5"/>
    <w:rsid w:val="199944A6"/>
    <w:rsid w:val="199B021E"/>
    <w:rsid w:val="199E386A"/>
    <w:rsid w:val="19A03A86"/>
    <w:rsid w:val="19A12E37"/>
    <w:rsid w:val="19A1335A"/>
    <w:rsid w:val="19A45AB9"/>
    <w:rsid w:val="19A753EF"/>
    <w:rsid w:val="19A8293B"/>
    <w:rsid w:val="19A90B8D"/>
    <w:rsid w:val="19AB181D"/>
    <w:rsid w:val="19AB6941"/>
    <w:rsid w:val="19AC242B"/>
    <w:rsid w:val="19AF1F1B"/>
    <w:rsid w:val="19AF7825"/>
    <w:rsid w:val="19B117EF"/>
    <w:rsid w:val="19B231FF"/>
    <w:rsid w:val="19B337B9"/>
    <w:rsid w:val="19B376FE"/>
    <w:rsid w:val="19B412DF"/>
    <w:rsid w:val="19B4308D"/>
    <w:rsid w:val="19B65058"/>
    <w:rsid w:val="19B80DD0"/>
    <w:rsid w:val="19C01A32"/>
    <w:rsid w:val="19C07C84"/>
    <w:rsid w:val="19C21C4E"/>
    <w:rsid w:val="19C45C2E"/>
    <w:rsid w:val="19C54BF3"/>
    <w:rsid w:val="19C5529B"/>
    <w:rsid w:val="19C703ED"/>
    <w:rsid w:val="19C72DC1"/>
    <w:rsid w:val="19C9696B"/>
    <w:rsid w:val="19CA28B1"/>
    <w:rsid w:val="19CA465F"/>
    <w:rsid w:val="19D11E91"/>
    <w:rsid w:val="19D124FD"/>
    <w:rsid w:val="19D35C0A"/>
    <w:rsid w:val="19D8403F"/>
    <w:rsid w:val="19DA116E"/>
    <w:rsid w:val="19DB4CEB"/>
    <w:rsid w:val="19DC4185"/>
    <w:rsid w:val="19DD2D1E"/>
    <w:rsid w:val="19DE010A"/>
    <w:rsid w:val="19E06B20"/>
    <w:rsid w:val="19E33973"/>
    <w:rsid w:val="19E65668"/>
    <w:rsid w:val="19E716B5"/>
    <w:rsid w:val="19E82D37"/>
    <w:rsid w:val="19EA2F53"/>
    <w:rsid w:val="19EA4D01"/>
    <w:rsid w:val="19EA67AC"/>
    <w:rsid w:val="19EC6CCB"/>
    <w:rsid w:val="19F129A1"/>
    <w:rsid w:val="19F618F8"/>
    <w:rsid w:val="19F65454"/>
    <w:rsid w:val="19FB0CBC"/>
    <w:rsid w:val="19FD5E4A"/>
    <w:rsid w:val="1A037B71"/>
    <w:rsid w:val="1A0C2EC9"/>
    <w:rsid w:val="1A0E6F51"/>
    <w:rsid w:val="1A136196"/>
    <w:rsid w:val="1A163D48"/>
    <w:rsid w:val="1A1856F6"/>
    <w:rsid w:val="1A191E67"/>
    <w:rsid w:val="1A1B0030"/>
    <w:rsid w:val="1A1D520D"/>
    <w:rsid w:val="1A1E49AB"/>
    <w:rsid w:val="1A1F2BFD"/>
    <w:rsid w:val="1A240213"/>
    <w:rsid w:val="1A2521DD"/>
    <w:rsid w:val="1A2553F4"/>
    <w:rsid w:val="1A2577BE"/>
    <w:rsid w:val="1A293A7B"/>
    <w:rsid w:val="1A2B4B92"/>
    <w:rsid w:val="1A2B77F4"/>
    <w:rsid w:val="1A2C272E"/>
    <w:rsid w:val="1A2C356C"/>
    <w:rsid w:val="1A3348FA"/>
    <w:rsid w:val="1A3362B7"/>
    <w:rsid w:val="1A3441CE"/>
    <w:rsid w:val="1A372CFF"/>
    <w:rsid w:val="1A393593"/>
    <w:rsid w:val="1A3D3083"/>
    <w:rsid w:val="1A3F6DFB"/>
    <w:rsid w:val="1A4408B5"/>
    <w:rsid w:val="1A475CB0"/>
    <w:rsid w:val="1A4B1C44"/>
    <w:rsid w:val="1A4C32C6"/>
    <w:rsid w:val="1A4E5290"/>
    <w:rsid w:val="1A530AF8"/>
    <w:rsid w:val="1A5400C8"/>
    <w:rsid w:val="1A554870"/>
    <w:rsid w:val="1A55661F"/>
    <w:rsid w:val="1A5605E9"/>
    <w:rsid w:val="1A583FE3"/>
    <w:rsid w:val="1A597959"/>
    <w:rsid w:val="1A5D54D3"/>
    <w:rsid w:val="1A5E3E22"/>
    <w:rsid w:val="1A5F3272"/>
    <w:rsid w:val="1A604FC3"/>
    <w:rsid w:val="1A626F8D"/>
    <w:rsid w:val="1A676352"/>
    <w:rsid w:val="1A687B3A"/>
    <w:rsid w:val="1A6C5716"/>
    <w:rsid w:val="1A6F264A"/>
    <w:rsid w:val="1A6F6BE8"/>
    <w:rsid w:val="1A706B1D"/>
    <w:rsid w:val="1A7222BA"/>
    <w:rsid w:val="1A732F49"/>
    <w:rsid w:val="1A7A7E33"/>
    <w:rsid w:val="1A7B5EA3"/>
    <w:rsid w:val="1A81394D"/>
    <w:rsid w:val="1A8367FE"/>
    <w:rsid w:val="1A852016"/>
    <w:rsid w:val="1A855B5F"/>
    <w:rsid w:val="1A8567D8"/>
    <w:rsid w:val="1A864A2A"/>
    <w:rsid w:val="1A8769F4"/>
    <w:rsid w:val="1A89276C"/>
    <w:rsid w:val="1A8962C8"/>
    <w:rsid w:val="1A8C5DB8"/>
    <w:rsid w:val="1A8C7B66"/>
    <w:rsid w:val="1A9058A9"/>
    <w:rsid w:val="1A976C37"/>
    <w:rsid w:val="1A9C424D"/>
    <w:rsid w:val="1A9C560D"/>
    <w:rsid w:val="1A9C63B8"/>
    <w:rsid w:val="1A9D6217"/>
    <w:rsid w:val="1AA61B64"/>
    <w:rsid w:val="1AA621A8"/>
    <w:rsid w:val="1AA80704"/>
    <w:rsid w:val="1AAA08B7"/>
    <w:rsid w:val="1AAD641E"/>
    <w:rsid w:val="1AB1095E"/>
    <w:rsid w:val="1AB23A71"/>
    <w:rsid w:val="1AB53561"/>
    <w:rsid w:val="1AB56AD0"/>
    <w:rsid w:val="1AB67802"/>
    <w:rsid w:val="1AB84DFF"/>
    <w:rsid w:val="1ABC0E12"/>
    <w:rsid w:val="1ABD6CCE"/>
    <w:rsid w:val="1AC15A62"/>
    <w:rsid w:val="1AC371CC"/>
    <w:rsid w:val="1AC3735F"/>
    <w:rsid w:val="1AC419A5"/>
    <w:rsid w:val="1AC55BC3"/>
    <w:rsid w:val="1AC75042"/>
    <w:rsid w:val="1AC9700C"/>
    <w:rsid w:val="1ACA46F1"/>
    <w:rsid w:val="1ACC0A45"/>
    <w:rsid w:val="1AD31C39"/>
    <w:rsid w:val="1AD868E6"/>
    <w:rsid w:val="1ADA6B24"/>
    <w:rsid w:val="1ADC35A5"/>
    <w:rsid w:val="1ADD44FE"/>
    <w:rsid w:val="1ADD5D8C"/>
    <w:rsid w:val="1AEC17C4"/>
    <w:rsid w:val="1AEC4E70"/>
    <w:rsid w:val="1AEE0821"/>
    <w:rsid w:val="1AEF6A73"/>
    <w:rsid w:val="1AF35FC0"/>
    <w:rsid w:val="1AF851FC"/>
    <w:rsid w:val="1AF86AF1"/>
    <w:rsid w:val="1AF87311"/>
    <w:rsid w:val="1AFA18A5"/>
    <w:rsid w:val="1AFC1190"/>
    <w:rsid w:val="1AFC721E"/>
    <w:rsid w:val="1B020AE1"/>
    <w:rsid w:val="1B042A07"/>
    <w:rsid w:val="1B0578E8"/>
    <w:rsid w:val="1B075976"/>
    <w:rsid w:val="1B100ADF"/>
    <w:rsid w:val="1B175A4B"/>
    <w:rsid w:val="1B177D78"/>
    <w:rsid w:val="1B183D08"/>
    <w:rsid w:val="1B1C713C"/>
    <w:rsid w:val="1B1F09DB"/>
    <w:rsid w:val="1B2304CB"/>
    <w:rsid w:val="1B243606"/>
    <w:rsid w:val="1B26538E"/>
    <w:rsid w:val="1B2939DC"/>
    <w:rsid w:val="1B2B04D1"/>
    <w:rsid w:val="1B304996"/>
    <w:rsid w:val="1B324BB2"/>
    <w:rsid w:val="1B375878"/>
    <w:rsid w:val="1B3C77DE"/>
    <w:rsid w:val="1B3F2E2B"/>
    <w:rsid w:val="1B410951"/>
    <w:rsid w:val="1B41288F"/>
    <w:rsid w:val="1B43291B"/>
    <w:rsid w:val="1B480A88"/>
    <w:rsid w:val="1B486183"/>
    <w:rsid w:val="1B4944AD"/>
    <w:rsid w:val="1B495A57"/>
    <w:rsid w:val="1B4E010B"/>
    <w:rsid w:val="1B4F7512"/>
    <w:rsid w:val="1B50328A"/>
    <w:rsid w:val="1B522B5E"/>
    <w:rsid w:val="1B524EF6"/>
    <w:rsid w:val="1B542D7A"/>
    <w:rsid w:val="1B54661A"/>
    <w:rsid w:val="1B5468D6"/>
    <w:rsid w:val="1B5508A0"/>
    <w:rsid w:val="1B561F98"/>
    <w:rsid w:val="1B5A5FF4"/>
    <w:rsid w:val="1B6279E7"/>
    <w:rsid w:val="1B6300BB"/>
    <w:rsid w:val="1B6A6190"/>
    <w:rsid w:val="1B701236"/>
    <w:rsid w:val="1B724934"/>
    <w:rsid w:val="1B784A7E"/>
    <w:rsid w:val="1B7A20B5"/>
    <w:rsid w:val="1B7A51FD"/>
    <w:rsid w:val="1B7E7DF7"/>
    <w:rsid w:val="1B80591D"/>
    <w:rsid w:val="1B873AF1"/>
    <w:rsid w:val="1B8847D2"/>
    <w:rsid w:val="1B8A054A"/>
    <w:rsid w:val="1B8A679C"/>
    <w:rsid w:val="1B8F790E"/>
    <w:rsid w:val="1B937410"/>
    <w:rsid w:val="1B9413C8"/>
    <w:rsid w:val="1B965141"/>
    <w:rsid w:val="1B99253B"/>
    <w:rsid w:val="1B99332E"/>
    <w:rsid w:val="1B9C027D"/>
    <w:rsid w:val="1B9C64CF"/>
    <w:rsid w:val="1B9D3974"/>
    <w:rsid w:val="1B9E5DA3"/>
    <w:rsid w:val="1BA10E42"/>
    <w:rsid w:val="1BA12039"/>
    <w:rsid w:val="1BA424F6"/>
    <w:rsid w:val="1BA432A8"/>
    <w:rsid w:val="1BA535D6"/>
    <w:rsid w:val="1BA64C58"/>
    <w:rsid w:val="1BA710FC"/>
    <w:rsid w:val="1BA809D0"/>
    <w:rsid w:val="1BAD7544"/>
    <w:rsid w:val="1BB2184F"/>
    <w:rsid w:val="1BB27AA1"/>
    <w:rsid w:val="1BB90E2F"/>
    <w:rsid w:val="1BBC37D7"/>
    <w:rsid w:val="1BBE036A"/>
    <w:rsid w:val="1BC021BE"/>
    <w:rsid w:val="1BC0785C"/>
    <w:rsid w:val="1BC22D4C"/>
    <w:rsid w:val="1BC96205"/>
    <w:rsid w:val="1BCA64B0"/>
    <w:rsid w:val="1BCF41AF"/>
    <w:rsid w:val="1BD01CD5"/>
    <w:rsid w:val="1BD4757A"/>
    <w:rsid w:val="1BD6378F"/>
    <w:rsid w:val="1BD810A1"/>
    <w:rsid w:val="1BDB5E7D"/>
    <w:rsid w:val="1BDC68CC"/>
    <w:rsid w:val="1BDC7F27"/>
    <w:rsid w:val="1BE10EA6"/>
    <w:rsid w:val="1BE13EE2"/>
    <w:rsid w:val="1BE51C24"/>
    <w:rsid w:val="1BE85270"/>
    <w:rsid w:val="1BEA1958"/>
    <w:rsid w:val="1BEC08D4"/>
    <w:rsid w:val="1BF105C9"/>
    <w:rsid w:val="1BF1078A"/>
    <w:rsid w:val="1BF6798D"/>
    <w:rsid w:val="1BF9122C"/>
    <w:rsid w:val="1BFD59A0"/>
    <w:rsid w:val="1C0227D6"/>
    <w:rsid w:val="1C033E58"/>
    <w:rsid w:val="1C073948"/>
    <w:rsid w:val="1C116EA2"/>
    <w:rsid w:val="1C142509"/>
    <w:rsid w:val="1C161DDD"/>
    <w:rsid w:val="1C19155A"/>
    <w:rsid w:val="1C1918CE"/>
    <w:rsid w:val="1C19367C"/>
    <w:rsid w:val="1C194053"/>
    <w:rsid w:val="1C1B73F4"/>
    <w:rsid w:val="1C1D4DE7"/>
    <w:rsid w:val="1C1E2A11"/>
    <w:rsid w:val="1C1F5136"/>
    <w:rsid w:val="1C220782"/>
    <w:rsid w:val="1C241E68"/>
    <w:rsid w:val="1C251650"/>
    <w:rsid w:val="1C275E99"/>
    <w:rsid w:val="1C27763E"/>
    <w:rsid w:val="1C2A3ADB"/>
    <w:rsid w:val="1C2A5889"/>
    <w:rsid w:val="1C2C1601"/>
    <w:rsid w:val="1C314E69"/>
    <w:rsid w:val="1C346708"/>
    <w:rsid w:val="1C35495A"/>
    <w:rsid w:val="1C3A64A9"/>
    <w:rsid w:val="1C420E24"/>
    <w:rsid w:val="1C427076"/>
    <w:rsid w:val="1C437DDB"/>
    <w:rsid w:val="1C462BAA"/>
    <w:rsid w:val="1C471801"/>
    <w:rsid w:val="1C4934FF"/>
    <w:rsid w:val="1C494141"/>
    <w:rsid w:val="1C4C57FF"/>
    <w:rsid w:val="1C4C6479"/>
    <w:rsid w:val="1C4E7C80"/>
    <w:rsid w:val="1C512C50"/>
    <w:rsid w:val="1C5446B4"/>
    <w:rsid w:val="1C5B5A42"/>
    <w:rsid w:val="1C5D0BD6"/>
    <w:rsid w:val="1C5D17BA"/>
    <w:rsid w:val="1C5D3A88"/>
    <w:rsid w:val="1C5D575D"/>
    <w:rsid w:val="1C6074FD"/>
    <w:rsid w:val="1C623275"/>
    <w:rsid w:val="1C632B49"/>
    <w:rsid w:val="1C653C27"/>
    <w:rsid w:val="1C69015F"/>
    <w:rsid w:val="1C6A3ED7"/>
    <w:rsid w:val="1C6B5EFC"/>
    <w:rsid w:val="1C6B60F6"/>
    <w:rsid w:val="1C6F7740"/>
    <w:rsid w:val="1C705992"/>
    <w:rsid w:val="1C727160"/>
    <w:rsid w:val="1C730FDE"/>
    <w:rsid w:val="1C752FA8"/>
    <w:rsid w:val="1C7B4336"/>
    <w:rsid w:val="1C7D3C0B"/>
    <w:rsid w:val="1C7F3E27"/>
    <w:rsid w:val="1C876837"/>
    <w:rsid w:val="1C8C0334"/>
    <w:rsid w:val="1C8F393E"/>
    <w:rsid w:val="1C901B90"/>
    <w:rsid w:val="1C910D1F"/>
    <w:rsid w:val="1C9563AA"/>
    <w:rsid w:val="1C9848C0"/>
    <w:rsid w:val="1C99656B"/>
    <w:rsid w:val="1C9A35A6"/>
    <w:rsid w:val="1C9B22E3"/>
    <w:rsid w:val="1C9B452F"/>
    <w:rsid w:val="1C9D6D3C"/>
    <w:rsid w:val="1CA307DC"/>
    <w:rsid w:val="1CA438BF"/>
    <w:rsid w:val="1CA90C4F"/>
    <w:rsid w:val="1CA90EA4"/>
    <w:rsid w:val="1CAE0268"/>
    <w:rsid w:val="1CAF7160"/>
    <w:rsid w:val="1CB05D8E"/>
    <w:rsid w:val="1CB42B02"/>
    <w:rsid w:val="1CB6536F"/>
    <w:rsid w:val="1CB87617"/>
    <w:rsid w:val="1CBA4E5F"/>
    <w:rsid w:val="1CBD66FD"/>
    <w:rsid w:val="1CBF2475"/>
    <w:rsid w:val="1CBF5FD1"/>
    <w:rsid w:val="1CC47A8B"/>
    <w:rsid w:val="1CC655B2"/>
    <w:rsid w:val="1CC950A2"/>
    <w:rsid w:val="1CCB0E1A"/>
    <w:rsid w:val="1CCE0708"/>
    <w:rsid w:val="1CD001DE"/>
    <w:rsid w:val="1CD22196"/>
    <w:rsid w:val="1CD221A8"/>
    <w:rsid w:val="1CD31A7D"/>
    <w:rsid w:val="1CD32827"/>
    <w:rsid w:val="1CD51C99"/>
    <w:rsid w:val="1CD53A47"/>
    <w:rsid w:val="1CD6589C"/>
    <w:rsid w:val="1CD87093"/>
    <w:rsid w:val="1CDA2E0B"/>
    <w:rsid w:val="1CDA6DA1"/>
    <w:rsid w:val="1CE368CB"/>
    <w:rsid w:val="1CEB326A"/>
    <w:rsid w:val="1CF04057"/>
    <w:rsid w:val="1CF163A7"/>
    <w:rsid w:val="1CF1782B"/>
    <w:rsid w:val="1CF85987"/>
    <w:rsid w:val="1CFB0451"/>
    <w:rsid w:val="1D000EB9"/>
    <w:rsid w:val="1D04257E"/>
    <w:rsid w:val="1D091942"/>
    <w:rsid w:val="1D097B94"/>
    <w:rsid w:val="1D0E0D07"/>
    <w:rsid w:val="1D0E6F59"/>
    <w:rsid w:val="1D156539"/>
    <w:rsid w:val="1D167BBB"/>
    <w:rsid w:val="1D191211"/>
    <w:rsid w:val="1D1A4EF4"/>
    <w:rsid w:val="1D1B1B6E"/>
    <w:rsid w:val="1D1E3640"/>
    <w:rsid w:val="1D210A3A"/>
    <w:rsid w:val="1D230C56"/>
    <w:rsid w:val="1D231F24"/>
    <w:rsid w:val="1D232A04"/>
    <w:rsid w:val="1D2730E4"/>
    <w:rsid w:val="1D273504"/>
    <w:rsid w:val="1D281AFB"/>
    <w:rsid w:val="1D28626C"/>
    <w:rsid w:val="1D306ECF"/>
    <w:rsid w:val="1D39374C"/>
    <w:rsid w:val="1D3B167F"/>
    <w:rsid w:val="1D3C3AC6"/>
    <w:rsid w:val="1D4209B0"/>
    <w:rsid w:val="1D4B3699"/>
    <w:rsid w:val="1D4B3D09"/>
    <w:rsid w:val="1D50041F"/>
    <w:rsid w:val="1D532BBD"/>
    <w:rsid w:val="1D533EED"/>
    <w:rsid w:val="1D576253"/>
    <w:rsid w:val="1D5C1A72"/>
    <w:rsid w:val="1D5C5F16"/>
    <w:rsid w:val="1D5C6F54"/>
    <w:rsid w:val="1D5D7B3E"/>
    <w:rsid w:val="1D6152DA"/>
    <w:rsid w:val="1D632A06"/>
    <w:rsid w:val="1D632E00"/>
    <w:rsid w:val="1D677FC0"/>
    <w:rsid w:val="1D6C0DB1"/>
    <w:rsid w:val="1D6D3C7F"/>
    <w:rsid w:val="1D6F3E9B"/>
    <w:rsid w:val="1D70376F"/>
    <w:rsid w:val="1D727908"/>
    <w:rsid w:val="1D763768"/>
    <w:rsid w:val="1D7C7A9E"/>
    <w:rsid w:val="1D7F59C3"/>
    <w:rsid w:val="1D85546D"/>
    <w:rsid w:val="1D880AB9"/>
    <w:rsid w:val="1D882867"/>
    <w:rsid w:val="1D884F5D"/>
    <w:rsid w:val="1D8B05A9"/>
    <w:rsid w:val="1D8C0E02"/>
    <w:rsid w:val="1D8F0099"/>
    <w:rsid w:val="1D9119DC"/>
    <w:rsid w:val="1D921938"/>
    <w:rsid w:val="1D930EC8"/>
    <w:rsid w:val="1D9456B0"/>
    <w:rsid w:val="1D94745E"/>
    <w:rsid w:val="1D954F84"/>
    <w:rsid w:val="1D9C4564"/>
    <w:rsid w:val="1DA03CF6"/>
    <w:rsid w:val="1DA43419"/>
    <w:rsid w:val="1DA70C8C"/>
    <w:rsid w:val="1DA8115B"/>
    <w:rsid w:val="1DA811B7"/>
    <w:rsid w:val="1DA816C1"/>
    <w:rsid w:val="1DA83B18"/>
    <w:rsid w:val="1DA9076E"/>
    <w:rsid w:val="1DAB5436"/>
    <w:rsid w:val="1DAF3CDE"/>
    <w:rsid w:val="1DAF4298"/>
    <w:rsid w:val="1DAF7ACF"/>
    <w:rsid w:val="1DBA3F0B"/>
    <w:rsid w:val="1DBB273F"/>
    <w:rsid w:val="1DBC4B25"/>
    <w:rsid w:val="1DBC69B5"/>
    <w:rsid w:val="1DBF4A88"/>
    <w:rsid w:val="1DC064A5"/>
    <w:rsid w:val="1DC436C9"/>
    <w:rsid w:val="1DC53ABB"/>
    <w:rsid w:val="1DC870D5"/>
    <w:rsid w:val="1DCA10D2"/>
    <w:rsid w:val="1DCA2E80"/>
    <w:rsid w:val="1DCA5D9D"/>
    <w:rsid w:val="1DCA7323"/>
    <w:rsid w:val="1DCB145F"/>
    <w:rsid w:val="1DCB4E4A"/>
    <w:rsid w:val="1DCC7D88"/>
    <w:rsid w:val="1DD3481C"/>
    <w:rsid w:val="1DD60DE4"/>
    <w:rsid w:val="1DDB32DF"/>
    <w:rsid w:val="1DDE692B"/>
    <w:rsid w:val="1DE411F3"/>
    <w:rsid w:val="1DE41553"/>
    <w:rsid w:val="1DE85D20"/>
    <w:rsid w:val="1DEA52D0"/>
    <w:rsid w:val="1DEE3DF0"/>
    <w:rsid w:val="1DEF6D8A"/>
    <w:rsid w:val="1DF51867"/>
    <w:rsid w:val="1DF60118"/>
    <w:rsid w:val="1DFC227C"/>
    <w:rsid w:val="1DFD3AB5"/>
    <w:rsid w:val="1E050093"/>
    <w:rsid w:val="1E087E4C"/>
    <w:rsid w:val="1E0A3BC4"/>
    <w:rsid w:val="1E0E6E6F"/>
    <w:rsid w:val="1E1265D5"/>
    <w:rsid w:val="1E141EBA"/>
    <w:rsid w:val="1E16351C"/>
    <w:rsid w:val="1E165F1B"/>
    <w:rsid w:val="1E1862E1"/>
    <w:rsid w:val="1E187678"/>
    <w:rsid w:val="1E195BB5"/>
    <w:rsid w:val="1E197963"/>
    <w:rsid w:val="1E1D7FBF"/>
    <w:rsid w:val="1E1E31CB"/>
    <w:rsid w:val="1E1E4F79"/>
    <w:rsid w:val="1E200975"/>
    <w:rsid w:val="1E203DE2"/>
    <w:rsid w:val="1E205195"/>
    <w:rsid w:val="1E222CBC"/>
    <w:rsid w:val="1E2C65AF"/>
    <w:rsid w:val="1E2D1660"/>
    <w:rsid w:val="1E311151"/>
    <w:rsid w:val="1E326C77"/>
    <w:rsid w:val="1E366767"/>
    <w:rsid w:val="1E38786E"/>
    <w:rsid w:val="1E3A388B"/>
    <w:rsid w:val="1E3B1FCF"/>
    <w:rsid w:val="1E3E5BD7"/>
    <w:rsid w:val="1E4744D0"/>
    <w:rsid w:val="1E48649A"/>
    <w:rsid w:val="1E497981"/>
    <w:rsid w:val="1E4C01A5"/>
    <w:rsid w:val="1E4C1AE7"/>
    <w:rsid w:val="1E4C2B28"/>
    <w:rsid w:val="1E4C772B"/>
    <w:rsid w:val="1E4F1EF9"/>
    <w:rsid w:val="1E4F496B"/>
    <w:rsid w:val="1E4F7829"/>
    <w:rsid w:val="1E544E3F"/>
    <w:rsid w:val="1E562965"/>
    <w:rsid w:val="1E566E09"/>
    <w:rsid w:val="1E5D1F46"/>
    <w:rsid w:val="1E5E46DB"/>
    <w:rsid w:val="1E62453F"/>
    <w:rsid w:val="1E6471AD"/>
    <w:rsid w:val="1E6644BE"/>
    <w:rsid w:val="1E665FD7"/>
    <w:rsid w:val="1E6C03DB"/>
    <w:rsid w:val="1E6C45B6"/>
    <w:rsid w:val="1E6E34E1"/>
    <w:rsid w:val="1E71779F"/>
    <w:rsid w:val="1E730D3D"/>
    <w:rsid w:val="1E7352C5"/>
    <w:rsid w:val="1E755991"/>
    <w:rsid w:val="1E761259"/>
    <w:rsid w:val="1E764DB5"/>
    <w:rsid w:val="1E7C2114"/>
    <w:rsid w:val="1E803E86"/>
    <w:rsid w:val="1E8079E2"/>
    <w:rsid w:val="1E82375A"/>
    <w:rsid w:val="1E861883"/>
    <w:rsid w:val="1E86603F"/>
    <w:rsid w:val="1E8C45D9"/>
    <w:rsid w:val="1E8C6387"/>
    <w:rsid w:val="1E8E3F94"/>
    <w:rsid w:val="1E8E59B9"/>
    <w:rsid w:val="1E90231B"/>
    <w:rsid w:val="1E917E41"/>
    <w:rsid w:val="1E957931"/>
    <w:rsid w:val="1E9811D0"/>
    <w:rsid w:val="1E9A4F48"/>
    <w:rsid w:val="1E9B0CC0"/>
    <w:rsid w:val="1E9D3BAA"/>
    <w:rsid w:val="1E9E3084"/>
    <w:rsid w:val="1E9F430C"/>
    <w:rsid w:val="1EA00084"/>
    <w:rsid w:val="1EA638ED"/>
    <w:rsid w:val="1EA925F1"/>
    <w:rsid w:val="1EAC2150"/>
    <w:rsid w:val="1EAE762E"/>
    <w:rsid w:val="1EB12291"/>
    <w:rsid w:val="1EB26468"/>
    <w:rsid w:val="1EB26D4D"/>
    <w:rsid w:val="1EB3600A"/>
    <w:rsid w:val="1EB504E6"/>
    <w:rsid w:val="1EB51D82"/>
    <w:rsid w:val="1EB5437D"/>
    <w:rsid w:val="1EB63404"/>
    <w:rsid w:val="1EBD29E4"/>
    <w:rsid w:val="1EC3064A"/>
    <w:rsid w:val="1EC45B21"/>
    <w:rsid w:val="1EC73863"/>
    <w:rsid w:val="1EC91635"/>
    <w:rsid w:val="1EC93137"/>
    <w:rsid w:val="1ED55F80"/>
    <w:rsid w:val="1ED71235"/>
    <w:rsid w:val="1EDA5344"/>
    <w:rsid w:val="1EDB10BC"/>
    <w:rsid w:val="1EDF4BA4"/>
    <w:rsid w:val="1EE176D5"/>
    <w:rsid w:val="1EE61F3B"/>
    <w:rsid w:val="1EEA1761"/>
    <w:rsid w:val="1EEA76DE"/>
    <w:rsid w:val="1EEC146E"/>
    <w:rsid w:val="1EF26B32"/>
    <w:rsid w:val="1EF43DB2"/>
    <w:rsid w:val="1EF83A1C"/>
    <w:rsid w:val="1EF87EC0"/>
    <w:rsid w:val="1EF87F0A"/>
    <w:rsid w:val="1EFD1033"/>
    <w:rsid w:val="1EFD54D7"/>
    <w:rsid w:val="1EFF339B"/>
    <w:rsid w:val="1F0163B3"/>
    <w:rsid w:val="1F023A32"/>
    <w:rsid w:val="1F095C2A"/>
    <w:rsid w:val="1F0B19A2"/>
    <w:rsid w:val="1F0B7BF4"/>
    <w:rsid w:val="1F0C1A3D"/>
    <w:rsid w:val="1F0E0FDD"/>
    <w:rsid w:val="1F0E4FEE"/>
    <w:rsid w:val="1F1023E2"/>
    <w:rsid w:val="1F114ADE"/>
    <w:rsid w:val="1F1A3993"/>
    <w:rsid w:val="1F1A7E37"/>
    <w:rsid w:val="1F1F544D"/>
    <w:rsid w:val="1F212F73"/>
    <w:rsid w:val="1F240CB5"/>
    <w:rsid w:val="1F264229"/>
    <w:rsid w:val="1F280384"/>
    <w:rsid w:val="1F2B5BA0"/>
    <w:rsid w:val="1F2D7281"/>
    <w:rsid w:val="1F330EF8"/>
    <w:rsid w:val="1F3F08BC"/>
    <w:rsid w:val="1F3F6FED"/>
    <w:rsid w:val="1F4153C3"/>
    <w:rsid w:val="1F43546D"/>
    <w:rsid w:val="1F443106"/>
    <w:rsid w:val="1F444EB4"/>
    <w:rsid w:val="1F495DF9"/>
    <w:rsid w:val="1F4B4494"/>
    <w:rsid w:val="1F4B5F62"/>
    <w:rsid w:val="1F4F2CED"/>
    <w:rsid w:val="1F502B79"/>
    <w:rsid w:val="1F55375D"/>
    <w:rsid w:val="1F5E564A"/>
    <w:rsid w:val="1F5F584A"/>
    <w:rsid w:val="1F6115C2"/>
    <w:rsid w:val="1F630C5E"/>
    <w:rsid w:val="1F63358C"/>
    <w:rsid w:val="1F655514"/>
    <w:rsid w:val="1F686DF4"/>
    <w:rsid w:val="1F6A28DC"/>
    <w:rsid w:val="1F705622"/>
    <w:rsid w:val="1F72330C"/>
    <w:rsid w:val="1F7312F5"/>
    <w:rsid w:val="1F7C63FB"/>
    <w:rsid w:val="1F7E4991"/>
    <w:rsid w:val="1F7F7810"/>
    <w:rsid w:val="1F7F7C9A"/>
    <w:rsid w:val="1F811E9A"/>
    <w:rsid w:val="1F833C2E"/>
    <w:rsid w:val="1F8359DC"/>
    <w:rsid w:val="1F837499"/>
    <w:rsid w:val="1F843502"/>
    <w:rsid w:val="1F8452B0"/>
    <w:rsid w:val="1F861028"/>
    <w:rsid w:val="1F867203"/>
    <w:rsid w:val="1F871298"/>
    <w:rsid w:val="1F874F2C"/>
    <w:rsid w:val="1F88147C"/>
    <w:rsid w:val="1F884DA0"/>
    <w:rsid w:val="1F896D6A"/>
    <w:rsid w:val="1F8D685B"/>
    <w:rsid w:val="1F947BE9"/>
    <w:rsid w:val="1F983D76"/>
    <w:rsid w:val="1F9B55EC"/>
    <w:rsid w:val="1FA140B4"/>
    <w:rsid w:val="1FA63478"/>
    <w:rsid w:val="1FAA1080"/>
    <w:rsid w:val="1FAB577F"/>
    <w:rsid w:val="1FAC477F"/>
    <w:rsid w:val="1FAD2A59"/>
    <w:rsid w:val="1FAE057F"/>
    <w:rsid w:val="1FAF67D1"/>
    <w:rsid w:val="1FB02549"/>
    <w:rsid w:val="1FB049ED"/>
    <w:rsid w:val="1FB060A5"/>
    <w:rsid w:val="1FB42039"/>
    <w:rsid w:val="1FB5190D"/>
    <w:rsid w:val="1FB931AC"/>
    <w:rsid w:val="1FBE0F24"/>
    <w:rsid w:val="1FC16504"/>
    <w:rsid w:val="1FC54D53"/>
    <w:rsid w:val="1FCC110E"/>
    <w:rsid w:val="1FCD30FB"/>
    <w:rsid w:val="1FD23FA1"/>
    <w:rsid w:val="1FD92C27"/>
    <w:rsid w:val="1FD9384E"/>
    <w:rsid w:val="1FD9558D"/>
    <w:rsid w:val="1FDA1374"/>
    <w:rsid w:val="1FDB75C6"/>
    <w:rsid w:val="1FE4496A"/>
    <w:rsid w:val="1FE521F3"/>
    <w:rsid w:val="1FE71339"/>
    <w:rsid w:val="1FE81CE3"/>
    <w:rsid w:val="1FEA15B7"/>
    <w:rsid w:val="1FEB3581"/>
    <w:rsid w:val="1FF5674C"/>
    <w:rsid w:val="1FF836E7"/>
    <w:rsid w:val="200053CB"/>
    <w:rsid w:val="20016901"/>
    <w:rsid w:val="200505DA"/>
    <w:rsid w:val="200551B5"/>
    <w:rsid w:val="20094E17"/>
    <w:rsid w:val="200A7EAB"/>
    <w:rsid w:val="200C59D1"/>
    <w:rsid w:val="200C5D79"/>
    <w:rsid w:val="200F19CE"/>
    <w:rsid w:val="2014753F"/>
    <w:rsid w:val="201523AC"/>
    <w:rsid w:val="20152C0F"/>
    <w:rsid w:val="20184540"/>
    <w:rsid w:val="201851F3"/>
    <w:rsid w:val="201A5EE6"/>
    <w:rsid w:val="201C198C"/>
    <w:rsid w:val="201D7349"/>
    <w:rsid w:val="201E5705"/>
    <w:rsid w:val="202028F3"/>
    <w:rsid w:val="20223EA8"/>
    <w:rsid w:val="202251F5"/>
    <w:rsid w:val="20286583"/>
    <w:rsid w:val="202B1BD0"/>
    <w:rsid w:val="202B5AA9"/>
    <w:rsid w:val="202E7911"/>
    <w:rsid w:val="202F66FD"/>
    <w:rsid w:val="202F7912"/>
    <w:rsid w:val="203211B0"/>
    <w:rsid w:val="20322F5E"/>
    <w:rsid w:val="20360F5B"/>
    <w:rsid w:val="203767C6"/>
    <w:rsid w:val="20376F70"/>
    <w:rsid w:val="20397070"/>
    <w:rsid w:val="203E3C45"/>
    <w:rsid w:val="203E6362"/>
    <w:rsid w:val="20401B1F"/>
    <w:rsid w:val="20407429"/>
    <w:rsid w:val="20410EA7"/>
    <w:rsid w:val="204131A1"/>
    <w:rsid w:val="204213F3"/>
    <w:rsid w:val="20450EE3"/>
    <w:rsid w:val="20452C91"/>
    <w:rsid w:val="20453AA1"/>
    <w:rsid w:val="20472821"/>
    <w:rsid w:val="20475A9E"/>
    <w:rsid w:val="20483CF7"/>
    <w:rsid w:val="204A474C"/>
    <w:rsid w:val="204D5FEA"/>
    <w:rsid w:val="204F1B33"/>
    <w:rsid w:val="205041D0"/>
    <w:rsid w:val="20504286"/>
    <w:rsid w:val="205352E8"/>
    <w:rsid w:val="205729C5"/>
    <w:rsid w:val="20580C17"/>
    <w:rsid w:val="205B4263"/>
    <w:rsid w:val="205E3D53"/>
    <w:rsid w:val="205F77AD"/>
    <w:rsid w:val="206375BB"/>
    <w:rsid w:val="206A26F8"/>
    <w:rsid w:val="206C6470"/>
    <w:rsid w:val="206D3F96"/>
    <w:rsid w:val="206E5F46"/>
    <w:rsid w:val="2071749C"/>
    <w:rsid w:val="2076109D"/>
    <w:rsid w:val="20783067"/>
    <w:rsid w:val="207B2B57"/>
    <w:rsid w:val="207E61A3"/>
    <w:rsid w:val="2080016D"/>
    <w:rsid w:val="20817A88"/>
    <w:rsid w:val="20823EE5"/>
    <w:rsid w:val="20825C93"/>
    <w:rsid w:val="208A0FEC"/>
    <w:rsid w:val="208D63E6"/>
    <w:rsid w:val="208E3A04"/>
    <w:rsid w:val="208E4D2B"/>
    <w:rsid w:val="209061C6"/>
    <w:rsid w:val="2091237A"/>
    <w:rsid w:val="209338C0"/>
    <w:rsid w:val="20937EA1"/>
    <w:rsid w:val="209940FE"/>
    <w:rsid w:val="20997BE7"/>
    <w:rsid w:val="209B4FA7"/>
    <w:rsid w:val="209E7F72"/>
    <w:rsid w:val="209F6845"/>
    <w:rsid w:val="20A01003"/>
    <w:rsid w:val="20A0611A"/>
    <w:rsid w:val="20A53730"/>
    <w:rsid w:val="20A93735"/>
    <w:rsid w:val="20AB6E7D"/>
    <w:rsid w:val="20AC2D10"/>
    <w:rsid w:val="20AC5ADE"/>
    <w:rsid w:val="20B2762E"/>
    <w:rsid w:val="20B53A74"/>
    <w:rsid w:val="20B63B8F"/>
    <w:rsid w:val="20BC13BE"/>
    <w:rsid w:val="20BC4EBF"/>
    <w:rsid w:val="20BC5092"/>
    <w:rsid w:val="20BD316F"/>
    <w:rsid w:val="20C011F5"/>
    <w:rsid w:val="20C04A0E"/>
    <w:rsid w:val="20C067BC"/>
    <w:rsid w:val="20CE2C87"/>
    <w:rsid w:val="20CE5733"/>
    <w:rsid w:val="20CF5B23"/>
    <w:rsid w:val="20CF69FF"/>
    <w:rsid w:val="20D2008A"/>
    <w:rsid w:val="20D44015"/>
    <w:rsid w:val="20D64231"/>
    <w:rsid w:val="20D65FDF"/>
    <w:rsid w:val="20D66B76"/>
    <w:rsid w:val="20D858B3"/>
    <w:rsid w:val="20D8662B"/>
    <w:rsid w:val="20D924BC"/>
    <w:rsid w:val="20DF4E94"/>
    <w:rsid w:val="20E21CD6"/>
    <w:rsid w:val="20E3686D"/>
    <w:rsid w:val="20E51730"/>
    <w:rsid w:val="20E56222"/>
    <w:rsid w:val="20EB1A8B"/>
    <w:rsid w:val="20F63EFE"/>
    <w:rsid w:val="20F93396"/>
    <w:rsid w:val="20FD356C"/>
    <w:rsid w:val="210075E2"/>
    <w:rsid w:val="210419F9"/>
    <w:rsid w:val="21042B4C"/>
    <w:rsid w:val="21042EC9"/>
    <w:rsid w:val="210466A8"/>
    <w:rsid w:val="210668C5"/>
    <w:rsid w:val="21066D67"/>
    <w:rsid w:val="21075B00"/>
    <w:rsid w:val="210B3EDB"/>
    <w:rsid w:val="211508B6"/>
    <w:rsid w:val="211803A6"/>
    <w:rsid w:val="211939C3"/>
    <w:rsid w:val="211B258C"/>
    <w:rsid w:val="211C7E96"/>
    <w:rsid w:val="211F4828"/>
    <w:rsid w:val="212136FE"/>
    <w:rsid w:val="21224D81"/>
    <w:rsid w:val="212D0663"/>
    <w:rsid w:val="212E3725"/>
    <w:rsid w:val="2130749E"/>
    <w:rsid w:val="21350F58"/>
    <w:rsid w:val="2136458B"/>
    <w:rsid w:val="213A47C0"/>
    <w:rsid w:val="213A544A"/>
    <w:rsid w:val="213C7682"/>
    <w:rsid w:val="213D7E0C"/>
    <w:rsid w:val="213E0014"/>
    <w:rsid w:val="213F1DD6"/>
    <w:rsid w:val="213F3B84"/>
    <w:rsid w:val="214116AB"/>
    <w:rsid w:val="214178FD"/>
    <w:rsid w:val="21466CC1"/>
    <w:rsid w:val="2149055F"/>
    <w:rsid w:val="214B077B"/>
    <w:rsid w:val="214F751D"/>
    <w:rsid w:val="215037CC"/>
    <w:rsid w:val="2152600B"/>
    <w:rsid w:val="215313DE"/>
    <w:rsid w:val="21553545"/>
    <w:rsid w:val="21584C46"/>
    <w:rsid w:val="2158537E"/>
    <w:rsid w:val="2159284A"/>
    <w:rsid w:val="215A09BE"/>
    <w:rsid w:val="215B4F36"/>
    <w:rsid w:val="215D04AF"/>
    <w:rsid w:val="215D487C"/>
    <w:rsid w:val="21602400"/>
    <w:rsid w:val="21666CC5"/>
    <w:rsid w:val="21696E53"/>
    <w:rsid w:val="216F3BDD"/>
    <w:rsid w:val="21722884"/>
    <w:rsid w:val="21733504"/>
    <w:rsid w:val="217771F7"/>
    <w:rsid w:val="217A2E0F"/>
    <w:rsid w:val="217A696B"/>
    <w:rsid w:val="217C0935"/>
    <w:rsid w:val="217C6B87"/>
    <w:rsid w:val="21817CF9"/>
    <w:rsid w:val="21843F08"/>
    <w:rsid w:val="218477E9"/>
    <w:rsid w:val="2188552B"/>
    <w:rsid w:val="218D2B42"/>
    <w:rsid w:val="219043E0"/>
    <w:rsid w:val="2190618E"/>
    <w:rsid w:val="21926D9B"/>
    <w:rsid w:val="21983295"/>
    <w:rsid w:val="219B056F"/>
    <w:rsid w:val="219C53EF"/>
    <w:rsid w:val="21A25EC1"/>
    <w:rsid w:val="21A34D5E"/>
    <w:rsid w:val="21A63C04"/>
    <w:rsid w:val="21AF3686"/>
    <w:rsid w:val="21B04A82"/>
    <w:rsid w:val="21B14D8F"/>
    <w:rsid w:val="21B225A8"/>
    <w:rsid w:val="21B300CF"/>
    <w:rsid w:val="21B475A8"/>
    <w:rsid w:val="21C34409"/>
    <w:rsid w:val="21C61BB0"/>
    <w:rsid w:val="21C67E02"/>
    <w:rsid w:val="21D00C81"/>
    <w:rsid w:val="21D34730"/>
    <w:rsid w:val="21D56297"/>
    <w:rsid w:val="21D70C81"/>
    <w:rsid w:val="21D9405F"/>
    <w:rsid w:val="21DC13D3"/>
    <w:rsid w:val="21DE15EF"/>
    <w:rsid w:val="21E5472C"/>
    <w:rsid w:val="21E559DB"/>
    <w:rsid w:val="21E708E7"/>
    <w:rsid w:val="21E72028"/>
    <w:rsid w:val="21E9106C"/>
    <w:rsid w:val="21E94549"/>
    <w:rsid w:val="21E9748E"/>
    <w:rsid w:val="21ED5BD6"/>
    <w:rsid w:val="21EF6B7E"/>
    <w:rsid w:val="21F20BF7"/>
    <w:rsid w:val="21F55ABC"/>
    <w:rsid w:val="21FF3314"/>
    <w:rsid w:val="2201708C"/>
    <w:rsid w:val="220628F4"/>
    <w:rsid w:val="2208666C"/>
    <w:rsid w:val="22093F32"/>
    <w:rsid w:val="220C20F0"/>
    <w:rsid w:val="22114E6D"/>
    <w:rsid w:val="22121299"/>
    <w:rsid w:val="22162B37"/>
    <w:rsid w:val="221851D4"/>
    <w:rsid w:val="221F7512"/>
    <w:rsid w:val="22250C0C"/>
    <w:rsid w:val="222910F3"/>
    <w:rsid w:val="22296D16"/>
    <w:rsid w:val="222D7E81"/>
    <w:rsid w:val="2237485C"/>
    <w:rsid w:val="223B07F0"/>
    <w:rsid w:val="223B4467"/>
    <w:rsid w:val="223C6316"/>
    <w:rsid w:val="223D1D8E"/>
    <w:rsid w:val="22401962"/>
    <w:rsid w:val="22402003"/>
    <w:rsid w:val="22405E06"/>
    <w:rsid w:val="22426FD3"/>
    <w:rsid w:val="22463284"/>
    <w:rsid w:val="224A0A33"/>
    <w:rsid w:val="224D4B3E"/>
    <w:rsid w:val="224E01CB"/>
    <w:rsid w:val="225026C2"/>
    <w:rsid w:val="22525B39"/>
    <w:rsid w:val="225418B2"/>
    <w:rsid w:val="2254540E"/>
    <w:rsid w:val="22570824"/>
    <w:rsid w:val="225B5BFF"/>
    <w:rsid w:val="22614C55"/>
    <w:rsid w:val="22625D7D"/>
    <w:rsid w:val="22633993"/>
    <w:rsid w:val="22675018"/>
    <w:rsid w:val="2267626C"/>
    <w:rsid w:val="226E2973"/>
    <w:rsid w:val="227710FC"/>
    <w:rsid w:val="22791318"/>
    <w:rsid w:val="227B299A"/>
    <w:rsid w:val="228026A7"/>
    <w:rsid w:val="228323A4"/>
    <w:rsid w:val="228850B7"/>
    <w:rsid w:val="228A7081"/>
    <w:rsid w:val="228E4DC3"/>
    <w:rsid w:val="22902FD6"/>
    <w:rsid w:val="229163FB"/>
    <w:rsid w:val="22916662"/>
    <w:rsid w:val="22934978"/>
    <w:rsid w:val="2298377C"/>
    <w:rsid w:val="22A05692"/>
    <w:rsid w:val="22A05964"/>
    <w:rsid w:val="22A16B4E"/>
    <w:rsid w:val="22A2261D"/>
    <w:rsid w:val="22A55D80"/>
    <w:rsid w:val="22A83271"/>
    <w:rsid w:val="22A9658B"/>
    <w:rsid w:val="22AA14D2"/>
    <w:rsid w:val="22AB307D"/>
    <w:rsid w:val="22B10AB2"/>
    <w:rsid w:val="22B2478E"/>
    <w:rsid w:val="22B42350"/>
    <w:rsid w:val="22B57A34"/>
    <w:rsid w:val="22B61C24"/>
    <w:rsid w:val="22B73620"/>
    <w:rsid w:val="22B91715"/>
    <w:rsid w:val="22B97967"/>
    <w:rsid w:val="22BB548D"/>
    <w:rsid w:val="22BB723B"/>
    <w:rsid w:val="22C07DB6"/>
    <w:rsid w:val="22C34341"/>
    <w:rsid w:val="22C75BE0"/>
    <w:rsid w:val="22CA56D0"/>
    <w:rsid w:val="22CB4050"/>
    <w:rsid w:val="22CC31F6"/>
    <w:rsid w:val="22CD6F6E"/>
    <w:rsid w:val="22CF1302"/>
    <w:rsid w:val="22CF718A"/>
    <w:rsid w:val="22D02F26"/>
    <w:rsid w:val="22D17BAB"/>
    <w:rsid w:val="22D327D6"/>
    <w:rsid w:val="22D447A0"/>
    <w:rsid w:val="22D8603F"/>
    <w:rsid w:val="22DB5B2F"/>
    <w:rsid w:val="22DC6171"/>
    <w:rsid w:val="22DF561F"/>
    <w:rsid w:val="22E2665E"/>
    <w:rsid w:val="22E64FD6"/>
    <w:rsid w:val="22ED309F"/>
    <w:rsid w:val="22F43087"/>
    <w:rsid w:val="22F56BF1"/>
    <w:rsid w:val="22F62969"/>
    <w:rsid w:val="22FB1FE8"/>
    <w:rsid w:val="2304121A"/>
    <w:rsid w:val="23052BAC"/>
    <w:rsid w:val="230610BB"/>
    <w:rsid w:val="230B21F1"/>
    <w:rsid w:val="230E380E"/>
    <w:rsid w:val="23103A2A"/>
    <w:rsid w:val="231040B3"/>
    <w:rsid w:val="231559B0"/>
    <w:rsid w:val="231828DF"/>
    <w:rsid w:val="2318642C"/>
    <w:rsid w:val="231B52F0"/>
    <w:rsid w:val="231B7273"/>
    <w:rsid w:val="231D6147"/>
    <w:rsid w:val="23205257"/>
    <w:rsid w:val="23213690"/>
    <w:rsid w:val="23270D74"/>
    <w:rsid w:val="232748D0"/>
    <w:rsid w:val="23282A6B"/>
    <w:rsid w:val="232A616E"/>
    <w:rsid w:val="232C1EE7"/>
    <w:rsid w:val="23305E7B"/>
    <w:rsid w:val="23335A89"/>
    <w:rsid w:val="23386ADD"/>
    <w:rsid w:val="233A0AA7"/>
    <w:rsid w:val="233B143B"/>
    <w:rsid w:val="233B65CE"/>
    <w:rsid w:val="233D2346"/>
    <w:rsid w:val="233E0F44"/>
    <w:rsid w:val="23452FA8"/>
    <w:rsid w:val="234B4A63"/>
    <w:rsid w:val="234B6811"/>
    <w:rsid w:val="234E6301"/>
    <w:rsid w:val="234F6AC5"/>
    <w:rsid w:val="235167AB"/>
    <w:rsid w:val="2359758E"/>
    <w:rsid w:val="235C0A1E"/>
    <w:rsid w:val="235C1EDA"/>
    <w:rsid w:val="235C7D0C"/>
    <w:rsid w:val="235F544E"/>
    <w:rsid w:val="236129EF"/>
    <w:rsid w:val="23645B24"/>
    <w:rsid w:val="23650DCC"/>
    <w:rsid w:val="236553F8"/>
    <w:rsid w:val="23675615"/>
    <w:rsid w:val="236A5261"/>
    <w:rsid w:val="236A7EAD"/>
    <w:rsid w:val="236E0751"/>
    <w:rsid w:val="23742207"/>
    <w:rsid w:val="23775858"/>
    <w:rsid w:val="237A07B2"/>
    <w:rsid w:val="237A5348"/>
    <w:rsid w:val="237B2F79"/>
    <w:rsid w:val="237E588F"/>
    <w:rsid w:val="2382248F"/>
    <w:rsid w:val="23825A6F"/>
    <w:rsid w:val="23852551"/>
    <w:rsid w:val="23865BB6"/>
    <w:rsid w:val="23880ED2"/>
    <w:rsid w:val="23887A65"/>
    <w:rsid w:val="23952182"/>
    <w:rsid w:val="23A00529"/>
    <w:rsid w:val="23A128D5"/>
    <w:rsid w:val="23A61C99"/>
    <w:rsid w:val="23A75A11"/>
    <w:rsid w:val="23A805E2"/>
    <w:rsid w:val="23AD6B8C"/>
    <w:rsid w:val="23AD7468"/>
    <w:rsid w:val="23AE27BD"/>
    <w:rsid w:val="23AE4FF1"/>
    <w:rsid w:val="23B02B18"/>
    <w:rsid w:val="23B4085A"/>
    <w:rsid w:val="23B5012E"/>
    <w:rsid w:val="23B51EDC"/>
    <w:rsid w:val="23B814AB"/>
    <w:rsid w:val="23BC326A"/>
    <w:rsid w:val="23BD5235"/>
    <w:rsid w:val="23BE3486"/>
    <w:rsid w:val="23BF71FF"/>
    <w:rsid w:val="23C10881"/>
    <w:rsid w:val="23C14D25"/>
    <w:rsid w:val="23C1524C"/>
    <w:rsid w:val="23C44815"/>
    <w:rsid w:val="23C6233B"/>
    <w:rsid w:val="23C640E9"/>
    <w:rsid w:val="23C71C0F"/>
    <w:rsid w:val="23C95987"/>
    <w:rsid w:val="23CF1D34"/>
    <w:rsid w:val="23D0148B"/>
    <w:rsid w:val="23D36806"/>
    <w:rsid w:val="23D85A19"/>
    <w:rsid w:val="23DC7DD8"/>
    <w:rsid w:val="23E1512A"/>
    <w:rsid w:val="23E17175"/>
    <w:rsid w:val="23E2359F"/>
    <w:rsid w:val="23E922D9"/>
    <w:rsid w:val="23EB1DA2"/>
    <w:rsid w:val="23EB3B50"/>
    <w:rsid w:val="23F944BF"/>
    <w:rsid w:val="23FE1AD5"/>
    <w:rsid w:val="2403533D"/>
    <w:rsid w:val="24077D03"/>
    <w:rsid w:val="24087952"/>
    <w:rsid w:val="240A1DAC"/>
    <w:rsid w:val="240B2444"/>
    <w:rsid w:val="240E207C"/>
    <w:rsid w:val="240F2171"/>
    <w:rsid w:val="2422439F"/>
    <w:rsid w:val="24232A7B"/>
    <w:rsid w:val="242407F4"/>
    <w:rsid w:val="24264B88"/>
    <w:rsid w:val="242671BB"/>
    <w:rsid w:val="24276EB2"/>
    <w:rsid w:val="242A28CA"/>
    <w:rsid w:val="242D5F16"/>
    <w:rsid w:val="24305A06"/>
    <w:rsid w:val="24327D27"/>
    <w:rsid w:val="24333803"/>
    <w:rsid w:val="2435126F"/>
    <w:rsid w:val="243939D8"/>
    <w:rsid w:val="243A0633"/>
    <w:rsid w:val="243A5657"/>
    <w:rsid w:val="243D1432"/>
    <w:rsid w:val="243E413F"/>
    <w:rsid w:val="24464CB3"/>
    <w:rsid w:val="244D1CD6"/>
    <w:rsid w:val="244D6DE4"/>
    <w:rsid w:val="244F0582"/>
    <w:rsid w:val="244F4824"/>
    <w:rsid w:val="24504E10"/>
    <w:rsid w:val="24521E21"/>
    <w:rsid w:val="24540A05"/>
    <w:rsid w:val="245426CA"/>
    <w:rsid w:val="245B6F27"/>
    <w:rsid w:val="245F4340"/>
    <w:rsid w:val="24615D65"/>
    <w:rsid w:val="2466767A"/>
    <w:rsid w:val="24673ABF"/>
    <w:rsid w:val="246758CC"/>
    <w:rsid w:val="246D6C5B"/>
    <w:rsid w:val="24727DCD"/>
    <w:rsid w:val="247578BD"/>
    <w:rsid w:val="24771887"/>
    <w:rsid w:val="24782AD4"/>
    <w:rsid w:val="2478512B"/>
    <w:rsid w:val="247973AD"/>
    <w:rsid w:val="247C6E9E"/>
    <w:rsid w:val="247D50F0"/>
    <w:rsid w:val="247E6772"/>
    <w:rsid w:val="248024EA"/>
    <w:rsid w:val="24823DEC"/>
    <w:rsid w:val="248248DC"/>
    <w:rsid w:val="248306A9"/>
    <w:rsid w:val="2487781A"/>
    <w:rsid w:val="24885842"/>
    <w:rsid w:val="248F6BD1"/>
    <w:rsid w:val="249064A5"/>
    <w:rsid w:val="2494132C"/>
    <w:rsid w:val="24975A86"/>
    <w:rsid w:val="249F1DA8"/>
    <w:rsid w:val="24A02B8C"/>
    <w:rsid w:val="24AF6A9B"/>
    <w:rsid w:val="24B16B47"/>
    <w:rsid w:val="24B228BF"/>
    <w:rsid w:val="24BE3012"/>
    <w:rsid w:val="24C0215C"/>
    <w:rsid w:val="24C10D89"/>
    <w:rsid w:val="24C33509"/>
    <w:rsid w:val="24C370E4"/>
    <w:rsid w:val="24C525F3"/>
    <w:rsid w:val="24C70119"/>
    <w:rsid w:val="24CA19B7"/>
    <w:rsid w:val="24CB17A3"/>
    <w:rsid w:val="24CF3471"/>
    <w:rsid w:val="24D26ABE"/>
    <w:rsid w:val="24D942F0"/>
    <w:rsid w:val="24D9514F"/>
    <w:rsid w:val="24D9609E"/>
    <w:rsid w:val="24E30CCB"/>
    <w:rsid w:val="24E32A79"/>
    <w:rsid w:val="24E46F1D"/>
    <w:rsid w:val="24E567F1"/>
    <w:rsid w:val="24E67F90"/>
    <w:rsid w:val="24E76A0D"/>
    <w:rsid w:val="24EA7CBC"/>
    <w:rsid w:val="24EC60CE"/>
    <w:rsid w:val="24EF141E"/>
    <w:rsid w:val="24F627AC"/>
    <w:rsid w:val="24F93AAC"/>
    <w:rsid w:val="24FA6221"/>
    <w:rsid w:val="24FE3AF9"/>
    <w:rsid w:val="24FF7B7C"/>
    <w:rsid w:val="25032C35"/>
    <w:rsid w:val="25050C41"/>
    <w:rsid w:val="250749B9"/>
    <w:rsid w:val="250E4D5D"/>
    <w:rsid w:val="250F62BA"/>
    <w:rsid w:val="251141A0"/>
    <w:rsid w:val="25180974"/>
    <w:rsid w:val="25184E18"/>
    <w:rsid w:val="2519649B"/>
    <w:rsid w:val="251A1C6E"/>
    <w:rsid w:val="251C32F0"/>
    <w:rsid w:val="251D5F8B"/>
    <w:rsid w:val="252448AD"/>
    <w:rsid w:val="25286291"/>
    <w:rsid w:val="25312DBD"/>
    <w:rsid w:val="2532698F"/>
    <w:rsid w:val="25331C52"/>
    <w:rsid w:val="2536137E"/>
    <w:rsid w:val="2536529E"/>
    <w:rsid w:val="25380A89"/>
    <w:rsid w:val="253A3C68"/>
    <w:rsid w:val="253E7EED"/>
    <w:rsid w:val="253F23A5"/>
    <w:rsid w:val="2545782F"/>
    <w:rsid w:val="25494FD2"/>
    <w:rsid w:val="254E6862"/>
    <w:rsid w:val="255120D8"/>
    <w:rsid w:val="2551594B"/>
    <w:rsid w:val="25570396"/>
    <w:rsid w:val="25580701"/>
    <w:rsid w:val="2558445E"/>
    <w:rsid w:val="255B2F57"/>
    <w:rsid w:val="255C1030"/>
    <w:rsid w:val="255D0A7D"/>
    <w:rsid w:val="255F65A3"/>
    <w:rsid w:val="2564005E"/>
    <w:rsid w:val="25643BBA"/>
    <w:rsid w:val="25657932"/>
    <w:rsid w:val="256736AA"/>
    <w:rsid w:val="25695674"/>
    <w:rsid w:val="256C55FC"/>
    <w:rsid w:val="25706A02"/>
    <w:rsid w:val="25770F93"/>
    <w:rsid w:val="257775F1"/>
    <w:rsid w:val="25777D91"/>
    <w:rsid w:val="25790A8E"/>
    <w:rsid w:val="257A518B"/>
    <w:rsid w:val="257C41F1"/>
    <w:rsid w:val="257D4C7B"/>
    <w:rsid w:val="257F27A2"/>
    <w:rsid w:val="25865483"/>
    <w:rsid w:val="25873D4C"/>
    <w:rsid w:val="25882416"/>
    <w:rsid w:val="258A14CC"/>
    <w:rsid w:val="258B7398"/>
    <w:rsid w:val="25902C01"/>
    <w:rsid w:val="25950217"/>
    <w:rsid w:val="25952CA7"/>
    <w:rsid w:val="25956469"/>
    <w:rsid w:val="2596165B"/>
    <w:rsid w:val="2596587C"/>
    <w:rsid w:val="259721E1"/>
    <w:rsid w:val="25981AB5"/>
    <w:rsid w:val="25996526"/>
    <w:rsid w:val="259A12AB"/>
    <w:rsid w:val="259A3E92"/>
    <w:rsid w:val="259C3F9A"/>
    <w:rsid w:val="259D3570"/>
    <w:rsid w:val="25A0096A"/>
    <w:rsid w:val="25A22934"/>
    <w:rsid w:val="25AB17E9"/>
    <w:rsid w:val="25AC4A20"/>
    <w:rsid w:val="25AC5561"/>
    <w:rsid w:val="25AF25CB"/>
    <w:rsid w:val="25B05051"/>
    <w:rsid w:val="25B12B77"/>
    <w:rsid w:val="25B24442"/>
    <w:rsid w:val="25B27425"/>
    <w:rsid w:val="25B368EF"/>
    <w:rsid w:val="25B85CB3"/>
    <w:rsid w:val="25BC39F6"/>
    <w:rsid w:val="25BD20D7"/>
    <w:rsid w:val="25BF34E6"/>
    <w:rsid w:val="25C03A82"/>
    <w:rsid w:val="25C611BA"/>
    <w:rsid w:val="25C65751"/>
    <w:rsid w:val="25C66622"/>
    <w:rsid w:val="25C74149"/>
    <w:rsid w:val="25C97EC1"/>
    <w:rsid w:val="25CE0AE4"/>
    <w:rsid w:val="25CE3729"/>
    <w:rsid w:val="25D70D9C"/>
    <w:rsid w:val="25D725DE"/>
    <w:rsid w:val="25D80104"/>
    <w:rsid w:val="25DA20CE"/>
    <w:rsid w:val="25DC37DF"/>
    <w:rsid w:val="25DC5E46"/>
    <w:rsid w:val="25E167D1"/>
    <w:rsid w:val="25E33D5A"/>
    <w:rsid w:val="25E67B8C"/>
    <w:rsid w:val="25E75B10"/>
    <w:rsid w:val="25E81A23"/>
    <w:rsid w:val="25EC3BAF"/>
    <w:rsid w:val="25ED1E01"/>
    <w:rsid w:val="25ED5126"/>
    <w:rsid w:val="25EE433E"/>
    <w:rsid w:val="25F41D23"/>
    <w:rsid w:val="25F74A2E"/>
    <w:rsid w:val="25F807A6"/>
    <w:rsid w:val="25FA0384"/>
    <w:rsid w:val="25FD238D"/>
    <w:rsid w:val="25FD2587"/>
    <w:rsid w:val="25FE400E"/>
    <w:rsid w:val="2604539D"/>
    <w:rsid w:val="2607705C"/>
    <w:rsid w:val="26086C3B"/>
    <w:rsid w:val="26094761"/>
    <w:rsid w:val="260A23B5"/>
    <w:rsid w:val="260A65F0"/>
    <w:rsid w:val="260F621B"/>
    <w:rsid w:val="26103D41"/>
    <w:rsid w:val="26137398"/>
    <w:rsid w:val="261A071C"/>
    <w:rsid w:val="261A4BC0"/>
    <w:rsid w:val="261B78C8"/>
    <w:rsid w:val="261C26E6"/>
    <w:rsid w:val="261C73D9"/>
    <w:rsid w:val="261D6951"/>
    <w:rsid w:val="261F3F85"/>
    <w:rsid w:val="26263A75"/>
    <w:rsid w:val="2628108B"/>
    <w:rsid w:val="2628235B"/>
    <w:rsid w:val="262D026C"/>
    <w:rsid w:val="262D48F3"/>
    <w:rsid w:val="26306192"/>
    <w:rsid w:val="26362F31"/>
    <w:rsid w:val="2636387D"/>
    <w:rsid w:val="26386F4C"/>
    <w:rsid w:val="26393D02"/>
    <w:rsid w:val="263C0693"/>
    <w:rsid w:val="263C4B36"/>
    <w:rsid w:val="263E08AF"/>
    <w:rsid w:val="26411350"/>
    <w:rsid w:val="26440A8F"/>
    <w:rsid w:val="26462F1B"/>
    <w:rsid w:val="264659B5"/>
    <w:rsid w:val="264A775B"/>
    <w:rsid w:val="264C59E3"/>
    <w:rsid w:val="264D28A0"/>
    <w:rsid w:val="264E5249"/>
    <w:rsid w:val="264F1540"/>
    <w:rsid w:val="26526108"/>
    <w:rsid w:val="26541E80"/>
    <w:rsid w:val="265579A6"/>
    <w:rsid w:val="265A4FBD"/>
    <w:rsid w:val="265D18B9"/>
    <w:rsid w:val="265E7CB4"/>
    <w:rsid w:val="265F4953"/>
    <w:rsid w:val="26612EA7"/>
    <w:rsid w:val="26630315"/>
    <w:rsid w:val="2668100D"/>
    <w:rsid w:val="266841FB"/>
    <w:rsid w:val="26694BD2"/>
    <w:rsid w:val="266B476D"/>
    <w:rsid w:val="266D6A9E"/>
    <w:rsid w:val="266E0B2A"/>
    <w:rsid w:val="26723D89"/>
    <w:rsid w:val="26753BA5"/>
    <w:rsid w:val="2677323A"/>
    <w:rsid w:val="26775B6F"/>
    <w:rsid w:val="26797714"/>
    <w:rsid w:val="267A11BB"/>
    <w:rsid w:val="267A4692"/>
    <w:rsid w:val="267E6EFD"/>
    <w:rsid w:val="267F7A75"/>
    <w:rsid w:val="26812549"/>
    <w:rsid w:val="268362C1"/>
    <w:rsid w:val="26844E74"/>
    <w:rsid w:val="26880BB2"/>
    <w:rsid w:val="26887D7C"/>
    <w:rsid w:val="268A3AF4"/>
    <w:rsid w:val="2690249C"/>
    <w:rsid w:val="26920BC2"/>
    <w:rsid w:val="269B185D"/>
    <w:rsid w:val="269B6D34"/>
    <w:rsid w:val="26A10E3D"/>
    <w:rsid w:val="26A21A0C"/>
    <w:rsid w:val="26A34BB6"/>
    <w:rsid w:val="26A60202"/>
    <w:rsid w:val="26A824C5"/>
    <w:rsid w:val="26B07342"/>
    <w:rsid w:val="26B13852"/>
    <w:rsid w:val="26B448EF"/>
    <w:rsid w:val="26B91CE3"/>
    <w:rsid w:val="26BB5A5B"/>
    <w:rsid w:val="26BC1FEE"/>
    <w:rsid w:val="26BE554B"/>
    <w:rsid w:val="26BE72FA"/>
    <w:rsid w:val="26C0067A"/>
    <w:rsid w:val="26C16EF3"/>
    <w:rsid w:val="26C532ED"/>
    <w:rsid w:val="26C54B2C"/>
    <w:rsid w:val="26C80178"/>
    <w:rsid w:val="26CA2142"/>
    <w:rsid w:val="26CA3EF0"/>
    <w:rsid w:val="26CE1B16"/>
    <w:rsid w:val="26CF59AB"/>
    <w:rsid w:val="26CF6A37"/>
    <w:rsid w:val="26D01660"/>
    <w:rsid w:val="26D11723"/>
    <w:rsid w:val="26D14BAB"/>
    <w:rsid w:val="26D45A4C"/>
    <w:rsid w:val="26DA0DAE"/>
    <w:rsid w:val="26DE44CA"/>
    <w:rsid w:val="26E01966"/>
    <w:rsid w:val="26E50D2A"/>
    <w:rsid w:val="26E639E4"/>
    <w:rsid w:val="26E72CF4"/>
    <w:rsid w:val="26E74AA2"/>
    <w:rsid w:val="26EA75A9"/>
    <w:rsid w:val="26EE28D8"/>
    <w:rsid w:val="26F230B7"/>
    <w:rsid w:val="26F35E32"/>
    <w:rsid w:val="26F40822"/>
    <w:rsid w:val="26F45411"/>
    <w:rsid w:val="26F625B1"/>
    <w:rsid w:val="26FC7E22"/>
    <w:rsid w:val="27006243"/>
    <w:rsid w:val="2701429C"/>
    <w:rsid w:val="270278AC"/>
    <w:rsid w:val="270645C5"/>
    <w:rsid w:val="270A0791"/>
    <w:rsid w:val="270B02DB"/>
    <w:rsid w:val="270E5B21"/>
    <w:rsid w:val="270F224B"/>
    <w:rsid w:val="27127645"/>
    <w:rsid w:val="27154127"/>
    <w:rsid w:val="271909D4"/>
    <w:rsid w:val="271B230C"/>
    <w:rsid w:val="271E01AD"/>
    <w:rsid w:val="27201D62"/>
    <w:rsid w:val="27242217"/>
    <w:rsid w:val="27247AA4"/>
    <w:rsid w:val="27257379"/>
    <w:rsid w:val="272730F1"/>
    <w:rsid w:val="27286E69"/>
    <w:rsid w:val="272A0E33"/>
    <w:rsid w:val="272C03B2"/>
    <w:rsid w:val="272E26D1"/>
    <w:rsid w:val="272F1FA5"/>
    <w:rsid w:val="273030EB"/>
    <w:rsid w:val="273369E4"/>
    <w:rsid w:val="27351044"/>
    <w:rsid w:val="27363334"/>
    <w:rsid w:val="27445199"/>
    <w:rsid w:val="27483067"/>
    <w:rsid w:val="274A5BE1"/>
    <w:rsid w:val="274A6DDF"/>
    <w:rsid w:val="274F0899"/>
    <w:rsid w:val="274F37F6"/>
    <w:rsid w:val="27514612"/>
    <w:rsid w:val="275163C0"/>
    <w:rsid w:val="27544726"/>
    <w:rsid w:val="27565784"/>
    <w:rsid w:val="275D4D64"/>
    <w:rsid w:val="275E378D"/>
    <w:rsid w:val="27647521"/>
    <w:rsid w:val="27673E71"/>
    <w:rsid w:val="276915A8"/>
    <w:rsid w:val="27693709"/>
    <w:rsid w:val="276B08BE"/>
    <w:rsid w:val="276E2ACE"/>
    <w:rsid w:val="276E51C4"/>
    <w:rsid w:val="27710810"/>
    <w:rsid w:val="277327DA"/>
    <w:rsid w:val="27733977"/>
    <w:rsid w:val="27792DE4"/>
    <w:rsid w:val="277D5407"/>
    <w:rsid w:val="277F53E5"/>
    <w:rsid w:val="27806CA5"/>
    <w:rsid w:val="278142A6"/>
    <w:rsid w:val="278604CF"/>
    <w:rsid w:val="27893B0D"/>
    <w:rsid w:val="278B7B24"/>
    <w:rsid w:val="278C73F8"/>
    <w:rsid w:val="2791205B"/>
    <w:rsid w:val="279128C0"/>
    <w:rsid w:val="279369D8"/>
    <w:rsid w:val="27952750"/>
    <w:rsid w:val="279A7D67"/>
    <w:rsid w:val="279E6048"/>
    <w:rsid w:val="27A02543"/>
    <w:rsid w:val="27A26C1B"/>
    <w:rsid w:val="27AB7DB9"/>
    <w:rsid w:val="27AD6E2A"/>
    <w:rsid w:val="27AE3812"/>
    <w:rsid w:val="27B01338"/>
    <w:rsid w:val="27B34984"/>
    <w:rsid w:val="27B70919"/>
    <w:rsid w:val="27BA21B7"/>
    <w:rsid w:val="27C1276C"/>
    <w:rsid w:val="27C375BA"/>
    <w:rsid w:val="27C44DE4"/>
    <w:rsid w:val="27C46B92"/>
    <w:rsid w:val="27C75045"/>
    <w:rsid w:val="27C86D8B"/>
    <w:rsid w:val="27C941A8"/>
    <w:rsid w:val="27CC3C98"/>
    <w:rsid w:val="27CD7FC1"/>
    <w:rsid w:val="27D24A64"/>
    <w:rsid w:val="27D46A39"/>
    <w:rsid w:val="27D6453E"/>
    <w:rsid w:val="27D72D69"/>
    <w:rsid w:val="27DD5EA5"/>
    <w:rsid w:val="27DF5779"/>
    <w:rsid w:val="27E2526A"/>
    <w:rsid w:val="27E422B7"/>
    <w:rsid w:val="27E47234"/>
    <w:rsid w:val="27E83932"/>
    <w:rsid w:val="27EB2370"/>
    <w:rsid w:val="27F02A3C"/>
    <w:rsid w:val="27F05BD9"/>
    <w:rsid w:val="27F1053A"/>
    <w:rsid w:val="27F51441"/>
    <w:rsid w:val="27F82B28"/>
    <w:rsid w:val="27FA3A09"/>
    <w:rsid w:val="27FA6A57"/>
    <w:rsid w:val="27FF02F9"/>
    <w:rsid w:val="28003475"/>
    <w:rsid w:val="28013942"/>
    <w:rsid w:val="28020864"/>
    <w:rsid w:val="28025F3B"/>
    <w:rsid w:val="280273E9"/>
    <w:rsid w:val="28072F22"/>
    <w:rsid w:val="28074CD0"/>
    <w:rsid w:val="28081174"/>
    <w:rsid w:val="280C3067"/>
    <w:rsid w:val="280F7F64"/>
    <w:rsid w:val="2810627B"/>
    <w:rsid w:val="28142A61"/>
    <w:rsid w:val="28164F13"/>
    <w:rsid w:val="281E2746"/>
    <w:rsid w:val="281F24B4"/>
    <w:rsid w:val="28247630"/>
    <w:rsid w:val="282835C4"/>
    <w:rsid w:val="282910EA"/>
    <w:rsid w:val="282C1AD1"/>
    <w:rsid w:val="282F2496"/>
    <w:rsid w:val="282F3D2E"/>
    <w:rsid w:val="28321D4D"/>
    <w:rsid w:val="283261F1"/>
    <w:rsid w:val="28345B34"/>
    <w:rsid w:val="28357A8F"/>
    <w:rsid w:val="28377363"/>
    <w:rsid w:val="28393A4D"/>
    <w:rsid w:val="283A7E6E"/>
    <w:rsid w:val="283C52EC"/>
    <w:rsid w:val="283E4B96"/>
    <w:rsid w:val="284018B7"/>
    <w:rsid w:val="284350D7"/>
    <w:rsid w:val="284B4C25"/>
    <w:rsid w:val="284D6B87"/>
    <w:rsid w:val="285125F2"/>
    <w:rsid w:val="28520641"/>
    <w:rsid w:val="28551EE0"/>
    <w:rsid w:val="2858291B"/>
    <w:rsid w:val="285B6530"/>
    <w:rsid w:val="285E0D94"/>
    <w:rsid w:val="285E6FE6"/>
    <w:rsid w:val="285F2D5E"/>
    <w:rsid w:val="286120F8"/>
    <w:rsid w:val="28643ED1"/>
    <w:rsid w:val="28655BFD"/>
    <w:rsid w:val="28681C13"/>
    <w:rsid w:val="28697D76"/>
    <w:rsid w:val="286C5EC7"/>
    <w:rsid w:val="286E6AFD"/>
    <w:rsid w:val="28726D71"/>
    <w:rsid w:val="28773F6A"/>
    <w:rsid w:val="287A1946"/>
    <w:rsid w:val="287C1B46"/>
    <w:rsid w:val="287E6464"/>
    <w:rsid w:val="288065C9"/>
    <w:rsid w:val="28845678"/>
    <w:rsid w:val="28862099"/>
    <w:rsid w:val="288822B5"/>
    <w:rsid w:val="288B74EB"/>
    <w:rsid w:val="289277F4"/>
    <w:rsid w:val="28934F49"/>
    <w:rsid w:val="289423F2"/>
    <w:rsid w:val="2895052E"/>
    <w:rsid w:val="28964DAD"/>
    <w:rsid w:val="289724F8"/>
    <w:rsid w:val="28976054"/>
    <w:rsid w:val="28983C59"/>
    <w:rsid w:val="289B3D96"/>
    <w:rsid w:val="28A30E9D"/>
    <w:rsid w:val="28A569C3"/>
    <w:rsid w:val="28A6273B"/>
    <w:rsid w:val="28A847C9"/>
    <w:rsid w:val="28AF339E"/>
    <w:rsid w:val="28B177E2"/>
    <w:rsid w:val="28B27979"/>
    <w:rsid w:val="28B3224B"/>
    <w:rsid w:val="28B42122"/>
    <w:rsid w:val="28B446C9"/>
    <w:rsid w:val="28B60BD0"/>
    <w:rsid w:val="28BC1F5F"/>
    <w:rsid w:val="28BD4603"/>
    <w:rsid w:val="28BE5CD7"/>
    <w:rsid w:val="28C332ED"/>
    <w:rsid w:val="28C334D0"/>
    <w:rsid w:val="28C36618"/>
    <w:rsid w:val="28C85723"/>
    <w:rsid w:val="28D10715"/>
    <w:rsid w:val="28D472A8"/>
    <w:rsid w:val="28D56B7C"/>
    <w:rsid w:val="28D724FA"/>
    <w:rsid w:val="28D948BF"/>
    <w:rsid w:val="28E31299"/>
    <w:rsid w:val="28E374EB"/>
    <w:rsid w:val="28E55D2D"/>
    <w:rsid w:val="28E82D54"/>
    <w:rsid w:val="28E868B0"/>
    <w:rsid w:val="28EA0757"/>
    <w:rsid w:val="28F11C08"/>
    <w:rsid w:val="28F50A4C"/>
    <w:rsid w:val="28F5511D"/>
    <w:rsid w:val="28F65471"/>
    <w:rsid w:val="28F731F4"/>
    <w:rsid w:val="28F9286B"/>
    <w:rsid w:val="29001E4B"/>
    <w:rsid w:val="29037B8D"/>
    <w:rsid w:val="290A5E25"/>
    <w:rsid w:val="290A61DC"/>
    <w:rsid w:val="290D27BA"/>
    <w:rsid w:val="290D4568"/>
    <w:rsid w:val="29127DD1"/>
    <w:rsid w:val="29160554"/>
    <w:rsid w:val="29177195"/>
    <w:rsid w:val="29182370"/>
    <w:rsid w:val="2919115F"/>
    <w:rsid w:val="29194CBB"/>
    <w:rsid w:val="291B4ED7"/>
    <w:rsid w:val="291E49C7"/>
    <w:rsid w:val="292312F1"/>
    <w:rsid w:val="29235B3A"/>
    <w:rsid w:val="292875F4"/>
    <w:rsid w:val="292A035B"/>
    <w:rsid w:val="292A336C"/>
    <w:rsid w:val="292A463C"/>
    <w:rsid w:val="292B00E6"/>
    <w:rsid w:val="292F0D0E"/>
    <w:rsid w:val="29326C30"/>
    <w:rsid w:val="29396960"/>
    <w:rsid w:val="293B4358"/>
    <w:rsid w:val="293B649E"/>
    <w:rsid w:val="293E4722"/>
    <w:rsid w:val="2940049A"/>
    <w:rsid w:val="294206B6"/>
    <w:rsid w:val="29422464"/>
    <w:rsid w:val="29434B19"/>
    <w:rsid w:val="294D2BB7"/>
    <w:rsid w:val="294D3731"/>
    <w:rsid w:val="29522952"/>
    <w:rsid w:val="29534671"/>
    <w:rsid w:val="29542197"/>
    <w:rsid w:val="295C1BFA"/>
    <w:rsid w:val="29626662"/>
    <w:rsid w:val="2964062C"/>
    <w:rsid w:val="29645060"/>
    <w:rsid w:val="2964687E"/>
    <w:rsid w:val="29646DE7"/>
    <w:rsid w:val="29652E48"/>
    <w:rsid w:val="29673C78"/>
    <w:rsid w:val="296C128F"/>
    <w:rsid w:val="296D1B08"/>
    <w:rsid w:val="2970346A"/>
    <w:rsid w:val="29760805"/>
    <w:rsid w:val="297B7724"/>
    <w:rsid w:val="297D524A"/>
    <w:rsid w:val="29826D04"/>
    <w:rsid w:val="29833800"/>
    <w:rsid w:val="298A5BB9"/>
    <w:rsid w:val="298C36DF"/>
    <w:rsid w:val="29901AD4"/>
    <w:rsid w:val="29930F11"/>
    <w:rsid w:val="299B6018"/>
    <w:rsid w:val="299D769A"/>
    <w:rsid w:val="29A0362E"/>
    <w:rsid w:val="29A432AC"/>
    <w:rsid w:val="29A50C45"/>
    <w:rsid w:val="29A529F3"/>
    <w:rsid w:val="29A70519"/>
    <w:rsid w:val="29AD79E0"/>
    <w:rsid w:val="29AE38B3"/>
    <w:rsid w:val="29B50E88"/>
    <w:rsid w:val="29B7018F"/>
    <w:rsid w:val="29B71655"/>
    <w:rsid w:val="29B80127"/>
    <w:rsid w:val="29BB774B"/>
    <w:rsid w:val="29BC2488"/>
    <w:rsid w:val="29BD0664"/>
    <w:rsid w:val="29BF3AB4"/>
    <w:rsid w:val="29BF5862"/>
    <w:rsid w:val="29C235A5"/>
    <w:rsid w:val="29C4731D"/>
    <w:rsid w:val="29C63095"/>
    <w:rsid w:val="29C80F2B"/>
    <w:rsid w:val="29CD2EDE"/>
    <w:rsid w:val="29D21349"/>
    <w:rsid w:val="29D35C9A"/>
    <w:rsid w:val="29D4655D"/>
    <w:rsid w:val="29D56857"/>
    <w:rsid w:val="29DB733B"/>
    <w:rsid w:val="29DD218D"/>
    <w:rsid w:val="29E11C7D"/>
    <w:rsid w:val="29E17ECF"/>
    <w:rsid w:val="29E76B67"/>
    <w:rsid w:val="29EA6657"/>
    <w:rsid w:val="29EC0622"/>
    <w:rsid w:val="29EC4588"/>
    <w:rsid w:val="29ED0BA2"/>
    <w:rsid w:val="29F15C38"/>
    <w:rsid w:val="29F20F46"/>
    <w:rsid w:val="29F3375E"/>
    <w:rsid w:val="29F372CE"/>
    <w:rsid w:val="29F41202"/>
    <w:rsid w:val="29FB7AAE"/>
    <w:rsid w:val="29FF65A7"/>
    <w:rsid w:val="2A010565"/>
    <w:rsid w:val="2A025DDB"/>
    <w:rsid w:val="2A026E11"/>
    <w:rsid w:val="2A0616E3"/>
    <w:rsid w:val="2A070540"/>
    <w:rsid w:val="2A077209"/>
    <w:rsid w:val="2A091A9B"/>
    <w:rsid w:val="2A0B6CFA"/>
    <w:rsid w:val="2A0C2A72"/>
    <w:rsid w:val="2A0E0598"/>
    <w:rsid w:val="2A102562"/>
    <w:rsid w:val="2A113EF2"/>
    <w:rsid w:val="2A15310C"/>
    <w:rsid w:val="2A181417"/>
    <w:rsid w:val="2A1A518F"/>
    <w:rsid w:val="2A1F09F7"/>
    <w:rsid w:val="2A222295"/>
    <w:rsid w:val="2A224043"/>
    <w:rsid w:val="2A2402F4"/>
    <w:rsid w:val="2A263B34"/>
    <w:rsid w:val="2A2C5334"/>
    <w:rsid w:val="2A2E06F9"/>
    <w:rsid w:val="2A337FFE"/>
    <w:rsid w:val="2A355B25"/>
    <w:rsid w:val="2A375D41"/>
    <w:rsid w:val="2A3A1F0F"/>
    <w:rsid w:val="2A3B2210"/>
    <w:rsid w:val="2A3D18A8"/>
    <w:rsid w:val="2A41271B"/>
    <w:rsid w:val="2A44220C"/>
    <w:rsid w:val="2A465F84"/>
    <w:rsid w:val="2A474F73"/>
    <w:rsid w:val="2A4915D0"/>
    <w:rsid w:val="2A4B5348"/>
    <w:rsid w:val="2A4C4F69"/>
    <w:rsid w:val="2A4C77A2"/>
    <w:rsid w:val="2A4E5C45"/>
    <w:rsid w:val="2A4E6BE6"/>
    <w:rsid w:val="2A506E02"/>
    <w:rsid w:val="2A521878"/>
    <w:rsid w:val="2A5406E5"/>
    <w:rsid w:val="2A571F3F"/>
    <w:rsid w:val="2A572EBE"/>
    <w:rsid w:val="2A57372C"/>
    <w:rsid w:val="2A581813"/>
    <w:rsid w:val="2A5D659C"/>
    <w:rsid w:val="2A5E38F6"/>
    <w:rsid w:val="2A602795"/>
    <w:rsid w:val="2A6603D4"/>
    <w:rsid w:val="2A693A20"/>
    <w:rsid w:val="2A6B1546"/>
    <w:rsid w:val="2A6B1DEA"/>
    <w:rsid w:val="2A6D1762"/>
    <w:rsid w:val="2A6E7417"/>
    <w:rsid w:val="2A7227F3"/>
    <w:rsid w:val="2A741C3D"/>
    <w:rsid w:val="2A7A5C2D"/>
    <w:rsid w:val="2A7B2605"/>
    <w:rsid w:val="2A7C19A5"/>
    <w:rsid w:val="2A7C3C80"/>
    <w:rsid w:val="2A7E3773"/>
    <w:rsid w:val="2A7E571E"/>
    <w:rsid w:val="2A816FBC"/>
    <w:rsid w:val="2A846AAC"/>
    <w:rsid w:val="2A860537"/>
    <w:rsid w:val="2A88034A"/>
    <w:rsid w:val="2A8E3487"/>
    <w:rsid w:val="2A8F792B"/>
    <w:rsid w:val="2A9036A3"/>
    <w:rsid w:val="2A924D25"/>
    <w:rsid w:val="2A941B30"/>
    <w:rsid w:val="2A944CDC"/>
    <w:rsid w:val="2A951BB0"/>
    <w:rsid w:val="2A95678F"/>
    <w:rsid w:val="2A9A007E"/>
    <w:rsid w:val="2AA71827"/>
    <w:rsid w:val="2AAA6513"/>
    <w:rsid w:val="2AAB5DE7"/>
    <w:rsid w:val="2AAD2577"/>
    <w:rsid w:val="2AAF1D7B"/>
    <w:rsid w:val="2AAF1F86"/>
    <w:rsid w:val="2AB34A9C"/>
    <w:rsid w:val="2ABB2F65"/>
    <w:rsid w:val="2AC2615A"/>
    <w:rsid w:val="2AC55FB0"/>
    <w:rsid w:val="2AC7353B"/>
    <w:rsid w:val="2AC8717F"/>
    <w:rsid w:val="2AC944BF"/>
    <w:rsid w:val="2ACD1B61"/>
    <w:rsid w:val="2ACF5F79"/>
    <w:rsid w:val="2AD0038A"/>
    <w:rsid w:val="2AD56563"/>
    <w:rsid w:val="2AD76BDC"/>
    <w:rsid w:val="2AD777EB"/>
    <w:rsid w:val="2AD90BA6"/>
    <w:rsid w:val="2ADA66CC"/>
    <w:rsid w:val="2ADB00E5"/>
    <w:rsid w:val="2ADB2690"/>
    <w:rsid w:val="2ADF0F29"/>
    <w:rsid w:val="2AE00186"/>
    <w:rsid w:val="2AE3667A"/>
    <w:rsid w:val="2AE632C3"/>
    <w:rsid w:val="2AEA2DB3"/>
    <w:rsid w:val="2AEB2687"/>
    <w:rsid w:val="2AF02C34"/>
    <w:rsid w:val="2AF14141"/>
    <w:rsid w:val="2AF3451E"/>
    <w:rsid w:val="2AF34F9E"/>
    <w:rsid w:val="2AF43C32"/>
    <w:rsid w:val="2AF4778E"/>
    <w:rsid w:val="2AF503CD"/>
    <w:rsid w:val="2AF666D8"/>
    <w:rsid w:val="2AF929C6"/>
    <w:rsid w:val="2AF95FAD"/>
    <w:rsid w:val="2AFC4894"/>
    <w:rsid w:val="2AFF4321"/>
    <w:rsid w:val="2B004385"/>
    <w:rsid w:val="2B0971DB"/>
    <w:rsid w:val="2B0C37B5"/>
    <w:rsid w:val="2B0F45C8"/>
    <w:rsid w:val="2B0F61A3"/>
    <w:rsid w:val="2B0F6376"/>
    <w:rsid w:val="2B140A84"/>
    <w:rsid w:val="2B1C0FBD"/>
    <w:rsid w:val="2B1C4F36"/>
    <w:rsid w:val="2B1D5C3F"/>
    <w:rsid w:val="2B251974"/>
    <w:rsid w:val="2B252F4A"/>
    <w:rsid w:val="2B283BFC"/>
    <w:rsid w:val="2B2A0CD0"/>
    <w:rsid w:val="2B2C33CC"/>
    <w:rsid w:val="2B3109E2"/>
    <w:rsid w:val="2B362929"/>
    <w:rsid w:val="2B3A6F35"/>
    <w:rsid w:val="2B3C1135"/>
    <w:rsid w:val="2B41501B"/>
    <w:rsid w:val="2B41674B"/>
    <w:rsid w:val="2B44610B"/>
    <w:rsid w:val="2B4513D3"/>
    <w:rsid w:val="2B4A5600"/>
    <w:rsid w:val="2B4A5B06"/>
    <w:rsid w:val="2B4C581C"/>
    <w:rsid w:val="2B4D6E9E"/>
    <w:rsid w:val="2B51698E"/>
    <w:rsid w:val="2B5418F0"/>
    <w:rsid w:val="2B591D85"/>
    <w:rsid w:val="2B597F39"/>
    <w:rsid w:val="2B5A30BA"/>
    <w:rsid w:val="2B5B15BB"/>
    <w:rsid w:val="2B5C5333"/>
    <w:rsid w:val="2B5D38D3"/>
    <w:rsid w:val="2B5E10AB"/>
    <w:rsid w:val="2B65689F"/>
    <w:rsid w:val="2B664BE1"/>
    <w:rsid w:val="2B6C1A1A"/>
    <w:rsid w:val="2B6C5576"/>
    <w:rsid w:val="2B6D1FB5"/>
    <w:rsid w:val="2B730837"/>
    <w:rsid w:val="2B743A41"/>
    <w:rsid w:val="2B7623C7"/>
    <w:rsid w:val="2B792411"/>
    <w:rsid w:val="2B795EE5"/>
    <w:rsid w:val="2B7C0618"/>
    <w:rsid w:val="2B7E174D"/>
    <w:rsid w:val="2B7F799F"/>
    <w:rsid w:val="2B82123D"/>
    <w:rsid w:val="2B824D9A"/>
    <w:rsid w:val="2B876668"/>
    <w:rsid w:val="2B8C5C18"/>
    <w:rsid w:val="2B916962"/>
    <w:rsid w:val="2B92113C"/>
    <w:rsid w:val="2B936FA7"/>
    <w:rsid w:val="2B9A0608"/>
    <w:rsid w:val="2B9E76FA"/>
    <w:rsid w:val="2B9F3D2E"/>
    <w:rsid w:val="2B9F687E"/>
    <w:rsid w:val="2BA051BE"/>
    <w:rsid w:val="2BA055AF"/>
    <w:rsid w:val="2BAA11E8"/>
    <w:rsid w:val="2BAD5B8F"/>
    <w:rsid w:val="2BB73A2A"/>
    <w:rsid w:val="2BB811C2"/>
    <w:rsid w:val="2BBE1938"/>
    <w:rsid w:val="2BC15439"/>
    <w:rsid w:val="2BC37160"/>
    <w:rsid w:val="2BC55719"/>
    <w:rsid w:val="2BC730F4"/>
    <w:rsid w:val="2BC81F51"/>
    <w:rsid w:val="2BC90C1A"/>
    <w:rsid w:val="2BC96E6C"/>
    <w:rsid w:val="2BCA6741"/>
    <w:rsid w:val="2BCF4E81"/>
    <w:rsid w:val="2BD33847"/>
    <w:rsid w:val="2BD3443B"/>
    <w:rsid w:val="2BD4136D"/>
    <w:rsid w:val="2BD96984"/>
    <w:rsid w:val="2BDC7AE4"/>
    <w:rsid w:val="2BDD6474"/>
    <w:rsid w:val="2BDE3F9A"/>
    <w:rsid w:val="2BDF043E"/>
    <w:rsid w:val="2BE228F3"/>
    <w:rsid w:val="2BE700CF"/>
    <w:rsid w:val="2BE82DF6"/>
    <w:rsid w:val="2BEB6DE3"/>
    <w:rsid w:val="2BEC0C5E"/>
    <w:rsid w:val="2BEE0681"/>
    <w:rsid w:val="2BEF61A7"/>
    <w:rsid w:val="2BF13CCD"/>
    <w:rsid w:val="2BF41568"/>
    <w:rsid w:val="2BFA7026"/>
    <w:rsid w:val="2BFC0D12"/>
    <w:rsid w:val="2BFD6B16"/>
    <w:rsid w:val="2C002162"/>
    <w:rsid w:val="2C041C52"/>
    <w:rsid w:val="2C047EA4"/>
    <w:rsid w:val="2C097269"/>
    <w:rsid w:val="2C0B1233"/>
    <w:rsid w:val="2C0B560D"/>
    <w:rsid w:val="2C0C217F"/>
    <w:rsid w:val="2C0C6D59"/>
    <w:rsid w:val="2C0D6C02"/>
    <w:rsid w:val="2C0F23A5"/>
    <w:rsid w:val="2C142830"/>
    <w:rsid w:val="2C153E60"/>
    <w:rsid w:val="2C1A1476"/>
    <w:rsid w:val="2C1A76C8"/>
    <w:rsid w:val="2C1D0F66"/>
    <w:rsid w:val="2C1F6A8C"/>
    <w:rsid w:val="2C27196B"/>
    <w:rsid w:val="2C271DE5"/>
    <w:rsid w:val="2C332538"/>
    <w:rsid w:val="2C335A3F"/>
    <w:rsid w:val="2C363277"/>
    <w:rsid w:val="2C387B4E"/>
    <w:rsid w:val="2C393D1C"/>
    <w:rsid w:val="2C3A17EE"/>
    <w:rsid w:val="2C424529"/>
    <w:rsid w:val="2C432CE7"/>
    <w:rsid w:val="2C444501"/>
    <w:rsid w:val="2C461F33"/>
    <w:rsid w:val="2C46226B"/>
    <w:rsid w:val="2C463234"/>
    <w:rsid w:val="2C46349A"/>
    <w:rsid w:val="2C4B7881"/>
    <w:rsid w:val="2C4D7181"/>
    <w:rsid w:val="2C5253B4"/>
    <w:rsid w:val="2C5A1105"/>
    <w:rsid w:val="2C5A77ED"/>
    <w:rsid w:val="2C5C10E7"/>
    <w:rsid w:val="2C630D27"/>
    <w:rsid w:val="2C667138"/>
    <w:rsid w:val="2C6E7119"/>
    <w:rsid w:val="2C6F63F4"/>
    <w:rsid w:val="2C7072E8"/>
    <w:rsid w:val="2C7212B2"/>
    <w:rsid w:val="2C733DC5"/>
    <w:rsid w:val="2C74376C"/>
    <w:rsid w:val="2C772424"/>
    <w:rsid w:val="2C792640"/>
    <w:rsid w:val="2C792845"/>
    <w:rsid w:val="2C7A1F15"/>
    <w:rsid w:val="2C7A3CC3"/>
    <w:rsid w:val="2C7A5060"/>
    <w:rsid w:val="2C8132A3"/>
    <w:rsid w:val="2C831310"/>
    <w:rsid w:val="2C840FE5"/>
    <w:rsid w:val="2C892A3E"/>
    <w:rsid w:val="2C8A5613"/>
    <w:rsid w:val="2C8C6BBA"/>
    <w:rsid w:val="2C8E3746"/>
    <w:rsid w:val="2C8E62CA"/>
    <w:rsid w:val="2C916E83"/>
    <w:rsid w:val="2C934D84"/>
    <w:rsid w:val="2C970D19"/>
    <w:rsid w:val="2C9771BD"/>
    <w:rsid w:val="2C9A25B7"/>
    <w:rsid w:val="2C9B72AA"/>
    <w:rsid w:val="2C9D6B41"/>
    <w:rsid w:val="2C9E20A7"/>
    <w:rsid w:val="2CA84CD4"/>
    <w:rsid w:val="2CA96150"/>
    <w:rsid w:val="2CAA39A7"/>
    <w:rsid w:val="2CAD4098"/>
    <w:rsid w:val="2CB371D5"/>
    <w:rsid w:val="2CB50C49"/>
    <w:rsid w:val="2CB5406B"/>
    <w:rsid w:val="2CB72A17"/>
    <w:rsid w:val="2CB82A3D"/>
    <w:rsid w:val="2CBA3D86"/>
    <w:rsid w:val="2CBB7012"/>
    <w:rsid w:val="2CBC42DB"/>
    <w:rsid w:val="2CBF201D"/>
    <w:rsid w:val="2CC80ED2"/>
    <w:rsid w:val="2CC969F8"/>
    <w:rsid w:val="2CCB09C2"/>
    <w:rsid w:val="2CCB451E"/>
    <w:rsid w:val="2CCE28B7"/>
    <w:rsid w:val="2CCF04B2"/>
    <w:rsid w:val="2CD31625"/>
    <w:rsid w:val="2CD47877"/>
    <w:rsid w:val="2CD77E6A"/>
    <w:rsid w:val="2CDB64D3"/>
    <w:rsid w:val="2CDC497D"/>
    <w:rsid w:val="2CE20F7A"/>
    <w:rsid w:val="2CE33F5E"/>
    <w:rsid w:val="2CE37ABA"/>
    <w:rsid w:val="2CE43832"/>
    <w:rsid w:val="2CE61358"/>
    <w:rsid w:val="2CE90E48"/>
    <w:rsid w:val="2CE974BF"/>
    <w:rsid w:val="2CED0939"/>
    <w:rsid w:val="2CF041F1"/>
    <w:rsid w:val="2CF717B7"/>
    <w:rsid w:val="2CFE2B46"/>
    <w:rsid w:val="2CFE5CEE"/>
    <w:rsid w:val="2CFF3855"/>
    <w:rsid w:val="2D03015C"/>
    <w:rsid w:val="2D0363AE"/>
    <w:rsid w:val="2D057B74"/>
    <w:rsid w:val="2D0839C4"/>
    <w:rsid w:val="2D0A773C"/>
    <w:rsid w:val="2D1063D5"/>
    <w:rsid w:val="2D1101CC"/>
    <w:rsid w:val="2D12214D"/>
    <w:rsid w:val="2D1265F1"/>
    <w:rsid w:val="2D145EC5"/>
    <w:rsid w:val="2D157E8F"/>
    <w:rsid w:val="2D177764"/>
    <w:rsid w:val="2D1C4D7A"/>
    <w:rsid w:val="2D2105E2"/>
    <w:rsid w:val="2D216834"/>
    <w:rsid w:val="2D2307FE"/>
    <w:rsid w:val="2D256324"/>
    <w:rsid w:val="2D2916FA"/>
    <w:rsid w:val="2D3227EF"/>
    <w:rsid w:val="2D364E66"/>
    <w:rsid w:val="2D3B5B48"/>
    <w:rsid w:val="2D3C366E"/>
    <w:rsid w:val="2D3E2F42"/>
    <w:rsid w:val="2D406CBA"/>
    <w:rsid w:val="2D410C84"/>
    <w:rsid w:val="2D4331C7"/>
    <w:rsid w:val="2D4542D1"/>
    <w:rsid w:val="2D4936FE"/>
    <w:rsid w:val="2D4A7B39"/>
    <w:rsid w:val="2D4B5198"/>
    <w:rsid w:val="2D4D07A5"/>
    <w:rsid w:val="2D4F13CC"/>
    <w:rsid w:val="2D4F33A1"/>
    <w:rsid w:val="2D5034E4"/>
    <w:rsid w:val="2D510B0C"/>
    <w:rsid w:val="2D512B81"/>
    <w:rsid w:val="2D522E91"/>
    <w:rsid w:val="2D5269EE"/>
    <w:rsid w:val="2D55028C"/>
    <w:rsid w:val="2D5664DE"/>
    <w:rsid w:val="2D566574"/>
    <w:rsid w:val="2D570C43"/>
    <w:rsid w:val="2D584C67"/>
    <w:rsid w:val="2D586214"/>
    <w:rsid w:val="2D5B1D46"/>
    <w:rsid w:val="2D5B3AF4"/>
    <w:rsid w:val="2D653177"/>
    <w:rsid w:val="2D656721"/>
    <w:rsid w:val="2D680B8A"/>
    <w:rsid w:val="2D6A3D37"/>
    <w:rsid w:val="2D6C0765"/>
    <w:rsid w:val="2D6C23EE"/>
    <w:rsid w:val="2D6C2B82"/>
    <w:rsid w:val="2D6C3F53"/>
    <w:rsid w:val="2D6C5D01"/>
    <w:rsid w:val="2D71156A"/>
    <w:rsid w:val="2D72226F"/>
    <w:rsid w:val="2D750D43"/>
    <w:rsid w:val="2D751EAD"/>
    <w:rsid w:val="2D7626DC"/>
    <w:rsid w:val="2D765371"/>
    <w:rsid w:val="2D7E77E3"/>
    <w:rsid w:val="2D8017AD"/>
    <w:rsid w:val="2D83304B"/>
    <w:rsid w:val="2D850B71"/>
    <w:rsid w:val="2D855015"/>
    <w:rsid w:val="2D897C8D"/>
    <w:rsid w:val="2D8B304D"/>
    <w:rsid w:val="2D8B5B8A"/>
    <w:rsid w:val="2D935106"/>
    <w:rsid w:val="2D985547"/>
    <w:rsid w:val="2D991BC7"/>
    <w:rsid w:val="2D9B3102"/>
    <w:rsid w:val="2D9B4C0C"/>
    <w:rsid w:val="2D9B784F"/>
    <w:rsid w:val="2D9C1787"/>
    <w:rsid w:val="2D9C6DE6"/>
    <w:rsid w:val="2DA059AB"/>
    <w:rsid w:val="2DA134D1"/>
    <w:rsid w:val="2DA2331A"/>
    <w:rsid w:val="2DA74F8B"/>
    <w:rsid w:val="2DA84860"/>
    <w:rsid w:val="2DA973A0"/>
    <w:rsid w:val="2DAD000E"/>
    <w:rsid w:val="2DAD1E76"/>
    <w:rsid w:val="2DB72CF5"/>
    <w:rsid w:val="2DBC15E9"/>
    <w:rsid w:val="2DBE5C85"/>
    <w:rsid w:val="2DC01BA9"/>
    <w:rsid w:val="2DC25921"/>
    <w:rsid w:val="2DC31699"/>
    <w:rsid w:val="2DC45B3D"/>
    <w:rsid w:val="2DCA6ECC"/>
    <w:rsid w:val="2DCB0C51"/>
    <w:rsid w:val="2DCB4225"/>
    <w:rsid w:val="2DCC0ED0"/>
    <w:rsid w:val="2DD60E1C"/>
    <w:rsid w:val="2DDA60A5"/>
    <w:rsid w:val="2DDE64D3"/>
    <w:rsid w:val="2DE15688"/>
    <w:rsid w:val="2DE51D3E"/>
    <w:rsid w:val="2DE53D06"/>
    <w:rsid w:val="2DE822F5"/>
    <w:rsid w:val="2DE95F57"/>
    <w:rsid w:val="2DEF7AA7"/>
    <w:rsid w:val="2DF06932"/>
    <w:rsid w:val="2DF164FC"/>
    <w:rsid w:val="2DF53F49"/>
    <w:rsid w:val="2DFD2DFD"/>
    <w:rsid w:val="2DFF6B75"/>
    <w:rsid w:val="2E0028ED"/>
    <w:rsid w:val="2E055D71"/>
    <w:rsid w:val="2E093550"/>
    <w:rsid w:val="2E0979F4"/>
    <w:rsid w:val="2E0A72C8"/>
    <w:rsid w:val="2E0B376C"/>
    <w:rsid w:val="2E0C4DEE"/>
    <w:rsid w:val="2E0F14C6"/>
    <w:rsid w:val="2E1113B6"/>
    <w:rsid w:val="2E1317AC"/>
    <w:rsid w:val="2E132621"/>
    <w:rsid w:val="2E1668B4"/>
    <w:rsid w:val="2E167667"/>
    <w:rsid w:val="2E1764BB"/>
    <w:rsid w:val="2E1F0FC6"/>
    <w:rsid w:val="2E20089A"/>
    <w:rsid w:val="2E24038A"/>
    <w:rsid w:val="2E293BF2"/>
    <w:rsid w:val="2E29514B"/>
    <w:rsid w:val="2E3031D3"/>
    <w:rsid w:val="2E3055DF"/>
    <w:rsid w:val="2E312CE1"/>
    <w:rsid w:val="2E3305CD"/>
    <w:rsid w:val="2E3422F8"/>
    <w:rsid w:val="2E3569FF"/>
    <w:rsid w:val="2E365C2E"/>
    <w:rsid w:val="2E3A5DFF"/>
    <w:rsid w:val="2E3A7BAD"/>
    <w:rsid w:val="2E3B56D4"/>
    <w:rsid w:val="2E414D3F"/>
    <w:rsid w:val="2E422F06"/>
    <w:rsid w:val="2E426A62"/>
    <w:rsid w:val="2E447BF1"/>
    <w:rsid w:val="2E474856"/>
    <w:rsid w:val="2E4768B3"/>
    <w:rsid w:val="2E4938B9"/>
    <w:rsid w:val="2E4B194B"/>
    <w:rsid w:val="2E4E3659"/>
    <w:rsid w:val="2E4F2F2D"/>
    <w:rsid w:val="2E5237ED"/>
    <w:rsid w:val="2E56075F"/>
    <w:rsid w:val="2E5F1724"/>
    <w:rsid w:val="2E61338C"/>
    <w:rsid w:val="2E6241C8"/>
    <w:rsid w:val="2E6551CA"/>
    <w:rsid w:val="2E671D49"/>
    <w:rsid w:val="2E6B5FB9"/>
    <w:rsid w:val="2E6D6B17"/>
    <w:rsid w:val="2E717347"/>
    <w:rsid w:val="2E723FE5"/>
    <w:rsid w:val="2E757F38"/>
    <w:rsid w:val="2E772BB0"/>
    <w:rsid w:val="2E786928"/>
    <w:rsid w:val="2E7A26A0"/>
    <w:rsid w:val="2E7F7CB6"/>
    <w:rsid w:val="2E821554"/>
    <w:rsid w:val="2E861945"/>
    <w:rsid w:val="2E88614B"/>
    <w:rsid w:val="2E8928E3"/>
    <w:rsid w:val="2E89643F"/>
    <w:rsid w:val="2E8E1CA7"/>
    <w:rsid w:val="2E8E7EF9"/>
    <w:rsid w:val="2E8F6345"/>
    <w:rsid w:val="2E900890"/>
    <w:rsid w:val="2E903C71"/>
    <w:rsid w:val="2E980D78"/>
    <w:rsid w:val="2E982B26"/>
    <w:rsid w:val="2E9949CD"/>
    <w:rsid w:val="2E9961C2"/>
    <w:rsid w:val="2E9A064C"/>
    <w:rsid w:val="2E9E279E"/>
    <w:rsid w:val="2E9F1044"/>
    <w:rsid w:val="2E9F5C62"/>
    <w:rsid w:val="2EA43279"/>
    <w:rsid w:val="2EA72D69"/>
    <w:rsid w:val="2EAE5336"/>
    <w:rsid w:val="2EAE5763"/>
    <w:rsid w:val="2EAE5EA6"/>
    <w:rsid w:val="2EB01C1E"/>
    <w:rsid w:val="2EB07E70"/>
    <w:rsid w:val="2EB23BE8"/>
    <w:rsid w:val="2EB57234"/>
    <w:rsid w:val="2EB931C8"/>
    <w:rsid w:val="2EBA0CEE"/>
    <w:rsid w:val="2EBF00B3"/>
    <w:rsid w:val="2EBF4557"/>
    <w:rsid w:val="2EC15BD9"/>
    <w:rsid w:val="2EC3606D"/>
    <w:rsid w:val="2EC44DB8"/>
    <w:rsid w:val="2EC71DCC"/>
    <w:rsid w:val="2EC7601C"/>
    <w:rsid w:val="2EC92648"/>
    <w:rsid w:val="2EC97183"/>
    <w:rsid w:val="2ECE0D9E"/>
    <w:rsid w:val="2ECF0A7C"/>
    <w:rsid w:val="2ED51684"/>
    <w:rsid w:val="2ED54DE9"/>
    <w:rsid w:val="2ED64D0C"/>
    <w:rsid w:val="2ED77E99"/>
    <w:rsid w:val="2EDA313F"/>
    <w:rsid w:val="2EE16EB1"/>
    <w:rsid w:val="2EE6606D"/>
    <w:rsid w:val="2EEC3775"/>
    <w:rsid w:val="2EED4C20"/>
    <w:rsid w:val="2EED62B3"/>
    <w:rsid w:val="2EEF6BEA"/>
    <w:rsid w:val="2EF064BE"/>
    <w:rsid w:val="2EF47694"/>
    <w:rsid w:val="2EF667B7"/>
    <w:rsid w:val="2EFB1474"/>
    <w:rsid w:val="2EFF4999"/>
    <w:rsid w:val="2EFF6701"/>
    <w:rsid w:val="2F012479"/>
    <w:rsid w:val="2F0568D7"/>
    <w:rsid w:val="2F0B12B7"/>
    <w:rsid w:val="2F0B779C"/>
    <w:rsid w:val="2F0C30DE"/>
    <w:rsid w:val="2F0E5507"/>
    <w:rsid w:val="2F10285D"/>
    <w:rsid w:val="2F141827"/>
    <w:rsid w:val="2F1C5505"/>
    <w:rsid w:val="2F1F33C6"/>
    <w:rsid w:val="2F1F6DA3"/>
    <w:rsid w:val="2F226C62"/>
    <w:rsid w:val="2F2A7C22"/>
    <w:rsid w:val="2F2D6ACC"/>
    <w:rsid w:val="2F2F1092"/>
    <w:rsid w:val="2F300FB0"/>
    <w:rsid w:val="2F320885"/>
    <w:rsid w:val="2F324D29"/>
    <w:rsid w:val="2F327EB7"/>
    <w:rsid w:val="2F3320DE"/>
    <w:rsid w:val="2F350375"/>
    <w:rsid w:val="2F3565C7"/>
    <w:rsid w:val="2F3B3B6E"/>
    <w:rsid w:val="2F3C3031"/>
    <w:rsid w:val="2F4B4BBE"/>
    <w:rsid w:val="2F4C4A3D"/>
    <w:rsid w:val="2F510666"/>
    <w:rsid w:val="2F547ACA"/>
    <w:rsid w:val="2F580E21"/>
    <w:rsid w:val="2F600347"/>
    <w:rsid w:val="2F650C5A"/>
    <w:rsid w:val="2F6824F8"/>
    <w:rsid w:val="2F6D14BB"/>
    <w:rsid w:val="2F6D3FB3"/>
    <w:rsid w:val="2F6E5A5D"/>
    <w:rsid w:val="2F7336CB"/>
    <w:rsid w:val="2F740E9D"/>
    <w:rsid w:val="2F74111D"/>
    <w:rsid w:val="2F7470EF"/>
    <w:rsid w:val="2F7610B9"/>
    <w:rsid w:val="2F771369"/>
    <w:rsid w:val="2F775737"/>
    <w:rsid w:val="2F783DB5"/>
    <w:rsid w:val="2F7B047E"/>
    <w:rsid w:val="2F7B5EB1"/>
    <w:rsid w:val="2F7D4B9E"/>
    <w:rsid w:val="2F8137B5"/>
    <w:rsid w:val="2F866E22"/>
    <w:rsid w:val="2F8955FD"/>
    <w:rsid w:val="2F8C413D"/>
    <w:rsid w:val="2F8D6403"/>
    <w:rsid w:val="2F974B8C"/>
    <w:rsid w:val="2FA11189"/>
    <w:rsid w:val="2FA2183B"/>
    <w:rsid w:val="2FA61FEB"/>
    <w:rsid w:val="2FA6493F"/>
    <w:rsid w:val="2FA73E19"/>
    <w:rsid w:val="2FAF0127"/>
    <w:rsid w:val="2FB06F7A"/>
    <w:rsid w:val="2FB120F1"/>
    <w:rsid w:val="2FB15C4D"/>
    <w:rsid w:val="2FB2501E"/>
    <w:rsid w:val="2FB8078C"/>
    <w:rsid w:val="2FBA6D0A"/>
    <w:rsid w:val="2FBB0DE5"/>
    <w:rsid w:val="2FBE6E32"/>
    <w:rsid w:val="2FC02334"/>
    <w:rsid w:val="2FC03A92"/>
    <w:rsid w:val="2FC229D5"/>
    <w:rsid w:val="2FC503CB"/>
    <w:rsid w:val="2FC609B8"/>
    <w:rsid w:val="2FC94E33"/>
    <w:rsid w:val="2FCC5FF9"/>
    <w:rsid w:val="2FCD6AD8"/>
    <w:rsid w:val="2FCF2577"/>
    <w:rsid w:val="2FDB0F1C"/>
    <w:rsid w:val="2FEC2378"/>
    <w:rsid w:val="2FED78D5"/>
    <w:rsid w:val="2FEF4390"/>
    <w:rsid w:val="2FF13F9B"/>
    <w:rsid w:val="2FF40230"/>
    <w:rsid w:val="2FF41FDE"/>
    <w:rsid w:val="2FF87D20"/>
    <w:rsid w:val="2FF975F4"/>
    <w:rsid w:val="2FF97945"/>
    <w:rsid w:val="2FFD5337"/>
    <w:rsid w:val="300246FB"/>
    <w:rsid w:val="300541EB"/>
    <w:rsid w:val="30064097"/>
    <w:rsid w:val="300761B5"/>
    <w:rsid w:val="300A1801"/>
    <w:rsid w:val="301068EB"/>
    <w:rsid w:val="30142680"/>
    <w:rsid w:val="301614DA"/>
    <w:rsid w:val="30175AEF"/>
    <w:rsid w:val="301937F3"/>
    <w:rsid w:val="301B756B"/>
    <w:rsid w:val="30204B81"/>
    <w:rsid w:val="302170DE"/>
    <w:rsid w:val="30234671"/>
    <w:rsid w:val="30240B15"/>
    <w:rsid w:val="3029194E"/>
    <w:rsid w:val="302E493D"/>
    <w:rsid w:val="30304791"/>
    <w:rsid w:val="30304AFC"/>
    <w:rsid w:val="3030796F"/>
    <w:rsid w:val="30307BF4"/>
    <w:rsid w:val="30331386"/>
    <w:rsid w:val="30332B06"/>
    <w:rsid w:val="30360848"/>
    <w:rsid w:val="30361D19"/>
    <w:rsid w:val="303D1BD7"/>
    <w:rsid w:val="303E0F0F"/>
    <w:rsid w:val="303F76FD"/>
    <w:rsid w:val="30405223"/>
    <w:rsid w:val="30406FD1"/>
    <w:rsid w:val="304233F1"/>
    <w:rsid w:val="304545E8"/>
    <w:rsid w:val="30466CDD"/>
    <w:rsid w:val="304B610E"/>
    <w:rsid w:val="304F5466"/>
    <w:rsid w:val="305263C5"/>
    <w:rsid w:val="30534F57"/>
    <w:rsid w:val="30550CCF"/>
    <w:rsid w:val="30572F04"/>
    <w:rsid w:val="305B7388"/>
    <w:rsid w:val="305C4F1E"/>
    <w:rsid w:val="305D7B83"/>
    <w:rsid w:val="305E5633"/>
    <w:rsid w:val="305F5761"/>
    <w:rsid w:val="30607673"/>
    <w:rsid w:val="30611981"/>
    <w:rsid w:val="306145FA"/>
    <w:rsid w:val="30656A38"/>
    <w:rsid w:val="30657515"/>
    <w:rsid w:val="30691228"/>
    <w:rsid w:val="306B04F2"/>
    <w:rsid w:val="306B1215"/>
    <w:rsid w:val="306B50CC"/>
    <w:rsid w:val="306C2FD3"/>
    <w:rsid w:val="306C6018"/>
    <w:rsid w:val="306F78B6"/>
    <w:rsid w:val="30731155"/>
    <w:rsid w:val="30753E7A"/>
    <w:rsid w:val="30803872"/>
    <w:rsid w:val="30823A8E"/>
    <w:rsid w:val="308275EA"/>
    <w:rsid w:val="30861CF0"/>
    <w:rsid w:val="308710A4"/>
    <w:rsid w:val="30881645"/>
    <w:rsid w:val="30896BCA"/>
    <w:rsid w:val="308B46F0"/>
    <w:rsid w:val="308C0468"/>
    <w:rsid w:val="308C66BA"/>
    <w:rsid w:val="308D29D3"/>
    <w:rsid w:val="308F3A00"/>
    <w:rsid w:val="30980BBB"/>
    <w:rsid w:val="30A24B31"/>
    <w:rsid w:val="30A27C8C"/>
    <w:rsid w:val="30A457B2"/>
    <w:rsid w:val="30A6777C"/>
    <w:rsid w:val="30A752A2"/>
    <w:rsid w:val="30A92DC8"/>
    <w:rsid w:val="30AB6B41"/>
    <w:rsid w:val="30AC28B9"/>
    <w:rsid w:val="30AC4817"/>
    <w:rsid w:val="30B05F05"/>
    <w:rsid w:val="30B40A71"/>
    <w:rsid w:val="30B637BB"/>
    <w:rsid w:val="30B65658"/>
    <w:rsid w:val="30B73737"/>
    <w:rsid w:val="30B874AF"/>
    <w:rsid w:val="30BD3DC5"/>
    <w:rsid w:val="30C145B6"/>
    <w:rsid w:val="30C1718D"/>
    <w:rsid w:val="30CA24B9"/>
    <w:rsid w:val="30CB2A3C"/>
    <w:rsid w:val="30CB2D3F"/>
    <w:rsid w:val="30CD63FC"/>
    <w:rsid w:val="30D00355"/>
    <w:rsid w:val="30D24E4C"/>
    <w:rsid w:val="30D50061"/>
    <w:rsid w:val="30D77936"/>
    <w:rsid w:val="30DB4046"/>
    <w:rsid w:val="30E27F99"/>
    <w:rsid w:val="30E83DFF"/>
    <w:rsid w:val="30EA3353"/>
    <w:rsid w:val="30EC0F07"/>
    <w:rsid w:val="30EC4205"/>
    <w:rsid w:val="30F009F7"/>
    <w:rsid w:val="30F82B34"/>
    <w:rsid w:val="30FA10CA"/>
    <w:rsid w:val="30FC55EE"/>
    <w:rsid w:val="30FD0E1E"/>
    <w:rsid w:val="310149B3"/>
    <w:rsid w:val="31015D61"/>
    <w:rsid w:val="310249D5"/>
    <w:rsid w:val="31046251"/>
    <w:rsid w:val="31073FDA"/>
    <w:rsid w:val="31085D41"/>
    <w:rsid w:val="31091AB9"/>
    <w:rsid w:val="310D15A9"/>
    <w:rsid w:val="310E5321"/>
    <w:rsid w:val="31101099"/>
    <w:rsid w:val="311346E6"/>
    <w:rsid w:val="31170FD7"/>
    <w:rsid w:val="311A5A74"/>
    <w:rsid w:val="311F12DD"/>
    <w:rsid w:val="312036EB"/>
    <w:rsid w:val="312106D4"/>
    <w:rsid w:val="31210BB1"/>
    <w:rsid w:val="312A1499"/>
    <w:rsid w:val="312A28E8"/>
    <w:rsid w:val="312B27F7"/>
    <w:rsid w:val="312E1520"/>
    <w:rsid w:val="312E5FA6"/>
    <w:rsid w:val="312F7772"/>
    <w:rsid w:val="31350B00"/>
    <w:rsid w:val="31374878"/>
    <w:rsid w:val="313905F0"/>
    <w:rsid w:val="313B4368"/>
    <w:rsid w:val="313C59EB"/>
    <w:rsid w:val="313E104B"/>
    <w:rsid w:val="31404F80"/>
    <w:rsid w:val="31475925"/>
    <w:rsid w:val="314825E1"/>
    <w:rsid w:val="314C014C"/>
    <w:rsid w:val="314D52B6"/>
    <w:rsid w:val="314E571E"/>
    <w:rsid w:val="3151211B"/>
    <w:rsid w:val="31556AAC"/>
    <w:rsid w:val="3157228F"/>
    <w:rsid w:val="315B7855"/>
    <w:rsid w:val="3163566D"/>
    <w:rsid w:val="31644FD6"/>
    <w:rsid w:val="31662A68"/>
    <w:rsid w:val="31684A32"/>
    <w:rsid w:val="316867E0"/>
    <w:rsid w:val="316B62D0"/>
    <w:rsid w:val="317A6513"/>
    <w:rsid w:val="317C04DD"/>
    <w:rsid w:val="317F1D7B"/>
    <w:rsid w:val="31807FCD"/>
    <w:rsid w:val="318178A1"/>
    <w:rsid w:val="31834F09"/>
    <w:rsid w:val="318A0E4C"/>
    <w:rsid w:val="318A49A8"/>
    <w:rsid w:val="318E2DF7"/>
    <w:rsid w:val="319475D5"/>
    <w:rsid w:val="3195334D"/>
    <w:rsid w:val="31960B77"/>
    <w:rsid w:val="31975317"/>
    <w:rsid w:val="3197572D"/>
    <w:rsid w:val="319D29BF"/>
    <w:rsid w:val="31A43A20"/>
    <w:rsid w:val="31A517E2"/>
    <w:rsid w:val="31A57D49"/>
    <w:rsid w:val="31A9208A"/>
    <w:rsid w:val="31A97CD4"/>
    <w:rsid w:val="31B407AD"/>
    <w:rsid w:val="31B717A6"/>
    <w:rsid w:val="31C12394"/>
    <w:rsid w:val="31C3435E"/>
    <w:rsid w:val="31C471E9"/>
    <w:rsid w:val="31C83F88"/>
    <w:rsid w:val="31C854D0"/>
    <w:rsid w:val="31D33572"/>
    <w:rsid w:val="31D40319"/>
    <w:rsid w:val="31D811CF"/>
    <w:rsid w:val="31D976DD"/>
    <w:rsid w:val="31DB16A7"/>
    <w:rsid w:val="31DF79A9"/>
    <w:rsid w:val="31E16592"/>
    <w:rsid w:val="31E3212B"/>
    <w:rsid w:val="31E703BC"/>
    <w:rsid w:val="31EB4B1A"/>
    <w:rsid w:val="31EB7E4F"/>
    <w:rsid w:val="31EC14D5"/>
    <w:rsid w:val="31ED4F37"/>
    <w:rsid w:val="31F938DC"/>
    <w:rsid w:val="31FB7654"/>
    <w:rsid w:val="31FE7144"/>
    <w:rsid w:val="31FF5479"/>
    <w:rsid w:val="32002439"/>
    <w:rsid w:val="32004C6A"/>
    <w:rsid w:val="3202637A"/>
    <w:rsid w:val="32041D2B"/>
    <w:rsid w:val="32053B90"/>
    <w:rsid w:val="32087FC3"/>
    <w:rsid w:val="32096215"/>
    <w:rsid w:val="320A3D3B"/>
    <w:rsid w:val="320D154F"/>
    <w:rsid w:val="320E382B"/>
    <w:rsid w:val="32105A20"/>
    <w:rsid w:val="32124FE3"/>
    <w:rsid w:val="32134E8B"/>
    <w:rsid w:val="3216623C"/>
    <w:rsid w:val="32193F7E"/>
    <w:rsid w:val="321F3EBE"/>
    <w:rsid w:val="32212ED5"/>
    <w:rsid w:val="32290202"/>
    <w:rsid w:val="32292413"/>
    <w:rsid w:val="322D17D7"/>
    <w:rsid w:val="32364B30"/>
    <w:rsid w:val="323A730F"/>
    <w:rsid w:val="323B47BC"/>
    <w:rsid w:val="323F6BE3"/>
    <w:rsid w:val="324032C6"/>
    <w:rsid w:val="32414EF4"/>
    <w:rsid w:val="32427031"/>
    <w:rsid w:val="32473AFE"/>
    <w:rsid w:val="32502C46"/>
    <w:rsid w:val="3252431B"/>
    <w:rsid w:val="32537490"/>
    <w:rsid w:val="3255145A"/>
    <w:rsid w:val="32556321"/>
    <w:rsid w:val="32562178"/>
    <w:rsid w:val="32566604"/>
    <w:rsid w:val="325812E3"/>
    <w:rsid w:val="32584AA6"/>
    <w:rsid w:val="326351F9"/>
    <w:rsid w:val="32693C07"/>
    <w:rsid w:val="326C0551"/>
    <w:rsid w:val="326C15BB"/>
    <w:rsid w:val="326F1DF0"/>
    <w:rsid w:val="327019CA"/>
    <w:rsid w:val="3270424C"/>
    <w:rsid w:val="32713463"/>
    <w:rsid w:val="32717916"/>
    <w:rsid w:val="327319E5"/>
    <w:rsid w:val="327613D0"/>
    <w:rsid w:val="32764F2C"/>
    <w:rsid w:val="32785148"/>
    <w:rsid w:val="32786EF6"/>
    <w:rsid w:val="327A442A"/>
    <w:rsid w:val="327D275F"/>
    <w:rsid w:val="327F0285"/>
    <w:rsid w:val="32800130"/>
    <w:rsid w:val="328238D1"/>
    <w:rsid w:val="32840F7B"/>
    <w:rsid w:val="328533C1"/>
    <w:rsid w:val="3287002A"/>
    <w:rsid w:val="32876812"/>
    <w:rsid w:val="32885D3F"/>
    <w:rsid w:val="32891103"/>
    <w:rsid w:val="328A6C2A"/>
    <w:rsid w:val="328D0720"/>
    <w:rsid w:val="328D2734"/>
    <w:rsid w:val="328D4C46"/>
    <w:rsid w:val="328E66F6"/>
    <w:rsid w:val="328F5FEE"/>
    <w:rsid w:val="32935ADE"/>
    <w:rsid w:val="3293788C"/>
    <w:rsid w:val="329B2BE5"/>
    <w:rsid w:val="32A45F3D"/>
    <w:rsid w:val="32A93554"/>
    <w:rsid w:val="32AE0B6A"/>
    <w:rsid w:val="32AF6B06"/>
    <w:rsid w:val="32B029D6"/>
    <w:rsid w:val="32B06690"/>
    <w:rsid w:val="32B12408"/>
    <w:rsid w:val="32B141B6"/>
    <w:rsid w:val="32B31CDC"/>
    <w:rsid w:val="32B37F2E"/>
    <w:rsid w:val="32B51EF8"/>
    <w:rsid w:val="32B52DD7"/>
    <w:rsid w:val="32B617CD"/>
    <w:rsid w:val="32BA12BD"/>
    <w:rsid w:val="32BE5267"/>
    <w:rsid w:val="32C27B21"/>
    <w:rsid w:val="32C4213C"/>
    <w:rsid w:val="32C57C62"/>
    <w:rsid w:val="32C76412"/>
    <w:rsid w:val="32CB6042"/>
    <w:rsid w:val="32CC6509"/>
    <w:rsid w:val="32CC7242"/>
    <w:rsid w:val="32CE25D9"/>
    <w:rsid w:val="32CE2FBA"/>
    <w:rsid w:val="32CE4D68"/>
    <w:rsid w:val="32CE6D0B"/>
    <w:rsid w:val="32CE7342"/>
    <w:rsid w:val="32CF24E7"/>
    <w:rsid w:val="32CF3C2F"/>
    <w:rsid w:val="32D0288E"/>
    <w:rsid w:val="32D22AAA"/>
    <w:rsid w:val="32D3237F"/>
    <w:rsid w:val="32D57EA5"/>
    <w:rsid w:val="32D85BE7"/>
    <w:rsid w:val="32DB4DBB"/>
    <w:rsid w:val="32E26A66"/>
    <w:rsid w:val="32E427DE"/>
    <w:rsid w:val="32E5153A"/>
    <w:rsid w:val="32E620B2"/>
    <w:rsid w:val="32E66EB1"/>
    <w:rsid w:val="32EB3B6C"/>
    <w:rsid w:val="32EB76C8"/>
    <w:rsid w:val="32EC701F"/>
    <w:rsid w:val="32ED71B1"/>
    <w:rsid w:val="32F10A57"/>
    <w:rsid w:val="32F12805"/>
    <w:rsid w:val="32F143F0"/>
    <w:rsid w:val="32F66B11"/>
    <w:rsid w:val="32F66F4D"/>
    <w:rsid w:val="32F702BD"/>
    <w:rsid w:val="32F80037"/>
    <w:rsid w:val="32F83B93"/>
    <w:rsid w:val="32F87A34"/>
    <w:rsid w:val="32FE7554"/>
    <w:rsid w:val="3304078A"/>
    <w:rsid w:val="330662B0"/>
    <w:rsid w:val="33082BEB"/>
    <w:rsid w:val="33092244"/>
    <w:rsid w:val="330A65CF"/>
    <w:rsid w:val="330B1B18"/>
    <w:rsid w:val="330B7D6A"/>
    <w:rsid w:val="330C0CA8"/>
    <w:rsid w:val="331035D3"/>
    <w:rsid w:val="3312096C"/>
    <w:rsid w:val="33120A69"/>
    <w:rsid w:val="33134E71"/>
    <w:rsid w:val="33150BE9"/>
    <w:rsid w:val="33166F53"/>
    <w:rsid w:val="33180DAC"/>
    <w:rsid w:val="33185976"/>
    <w:rsid w:val="33196C24"/>
    <w:rsid w:val="331A64FB"/>
    <w:rsid w:val="331C1491"/>
    <w:rsid w:val="331C3D26"/>
    <w:rsid w:val="331F4DE7"/>
    <w:rsid w:val="33294694"/>
    <w:rsid w:val="332D4E2A"/>
    <w:rsid w:val="332E1CAB"/>
    <w:rsid w:val="33305A23"/>
    <w:rsid w:val="33322A43"/>
    <w:rsid w:val="33391627"/>
    <w:rsid w:val="3339208A"/>
    <w:rsid w:val="3339483C"/>
    <w:rsid w:val="333A0650"/>
    <w:rsid w:val="333A41AC"/>
    <w:rsid w:val="333B59DD"/>
    <w:rsid w:val="334212B2"/>
    <w:rsid w:val="334374EC"/>
    <w:rsid w:val="33437504"/>
    <w:rsid w:val="33446F9D"/>
    <w:rsid w:val="334756B8"/>
    <w:rsid w:val="33481151"/>
    <w:rsid w:val="33491D12"/>
    <w:rsid w:val="334B460B"/>
    <w:rsid w:val="335060F3"/>
    <w:rsid w:val="33527747"/>
    <w:rsid w:val="335464CF"/>
    <w:rsid w:val="33597056"/>
    <w:rsid w:val="335E6981"/>
    <w:rsid w:val="336B06DB"/>
    <w:rsid w:val="336B182D"/>
    <w:rsid w:val="336F7EC0"/>
    <w:rsid w:val="33781F9F"/>
    <w:rsid w:val="33792F26"/>
    <w:rsid w:val="337E678E"/>
    <w:rsid w:val="3381627F"/>
    <w:rsid w:val="3382578F"/>
    <w:rsid w:val="33865C45"/>
    <w:rsid w:val="33867AB4"/>
    <w:rsid w:val="338B0EAB"/>
    <w:rsid w:val="338D077F"/>
    <w:rsid w:val="338D2FFB"/>
    <w:rsid w:val="338D69D1"/>
    <w:rsid w:val="338E3D35"/>
    <w:rsid w:val="338E62A6"/>
    <w:rsid w:val="3392223A"/>
    <w:rsid w:val="33925D96"/>
    <w:rsid w:val="33960D4B"/>
    <w:rsid w:val="339C09C3"/>
    <w:rsid w:val="339D71FD"/>
    <w:rsid w:val="33A07129"/>
    <w:rsid w:val="33A45AC9"/>
    <w:rsid w:val="33A5344C"/>
    <w:rsid w:val="33A95A17"/>
    <w:rsid w:val="33AA5F1E"/>
    <w:rsid w:val="33AD0E22"/>
    <w:rsid w:val="33AD2BD0"/>
    <w:rsid w:val="33B0245F"/>
    <w:rsid w:val="33B13175"/>
    <w:rsid w:val="33B20B97"/>
    <w:rsid w:val="33BA52ED"/>
    <w:rsid w:val="33C148CD"/>
    <w:rsid w:val="33CD3272"/>
    <w:rsid w:val="33CD51A8"/>
    <w:rsid w:val="33CE4159"/>
    <w:rsid w:val="33CF6872"/>
    <w:rsid w:val="33D13B88"/>
    <w:rsid w:val="33D26746"/>
    <w:rsid w:val="33D34361"/>
    <w:rsid w:val="33D91F25"/>
    <w:rsid w:val="33DA14EB"/>
    <w:rsid w:val="33DC61DE"/>
    <w:rsid w:val="33DE547F"/>
    <w:rsid w:val="33E418C1"/>
    <w:rsid w:val="33E875E2"/>
    <w:rsid w:val="33EA7980"/>
    <w:rsid w:val="33EB691E"/>
    <w:rsid w:val="33ED7470"/>
    <w:rsid w:val="33F15BB7"/>
    <w:rsid w:val="33F627C9"/>
    <w:rsid w:val="33F80B41"/>
    <w:rsid w:val="33FE2133"/>
    <w:rsid w:val="33FF778B"/>
    <w:rsid w:val="34012F1B"/>
    <w:rsid w:val="34046C22"/>
    <w:rsid w:val="340547BA"/>
    <w:rsid w:val="340622E0"/>
    <w:rsid w:val="340846A1"/>
    <w:rsid w:val="34086058"/>
    <w:rsid w:val="340A1C1E"/>
    <w:rsid w:val="340D366E"/>
    <w:rsid w:val="340D7B12"/>
    <w:rsid w:val="340E19B7"/>
    <w:rsid w:val="3410040A"/>
    <w:rsid w:val="34117602"/>
    <w:rsid w:val="34120C85"/>
    <w:rsid w:val="34151D71"/>
    <w:rsid w:val="34180991"/>
    <w:rsid w:val="341A17BC"/>
    <w:rsid w:val="3421711A"/>
    <w:rsid w:val="342235BE"/>
    <w:rsid w:val="34232E92"/>
    <w:rsid w:val="34285153"/>
    <w:rsid w:val="342B1D46"/>
    <w:rsid w:val="342E1F62"/>
    <w:rsid w:val="34323D25"/>
    <w:rsid w:val="3437693D"/>
    <w:rsid w:val="34384B8F"/>
    <w:rsid w:val="343A66F1"/>
    <w:rsid w:val="343B642D"/>
    <w:rsid w:val="343D03F7"/>
    <w:rsid w:val="343D1FEE"/>
    <w:rsid w:val="343F70AD"/>
    <w:rsid w:val="34410F0D"/>
    <w:rsid w:val="344A2B14"/>
    <w:rsid w:val="34525219"/>
    <w:rsid w:val="34574C85"/>
    <w:rsid w:val="34586FDF"/>
    <w:rsid w:val="345871EF"/>
    <w:rsid w:val="345901E0"/>
    <w:rsid w:val="345B087E"/>
    <w:rsid w:val="345C3726"/>
    <w:rsid w:val="345E036E"/>
    <w:rsid w:val="346076B1"/>
    <w:rsid w:val="34607C42"/>
    <w:rsid w:val="34623159"/>
    <w:rsid w:val="3464057A"/>
    <w:rsid w:val="34643E26"/>
    <w:rsid w:val="34655258"/>
    <w:rsid w:val="346573C1"/>
    <w:rsid w:val="34692F9B"/>
    <w:rsid w:val="346A6D13"/>
    <w:rsid w:val="346B6210"/>
    <w:rsid w:val="346C4839"/>
    <w:rsid w:val="34733E19"/>
    <w:rsid w:val="34764968"/>
    <w:rsid w:val="34784F8C"/>
    <w:rsid w:val="347A51A8"/>
    <w:rsid w:val="3482405C"/>
    <w:rsid w:val="34853B4C"/>
    <w:rsid w:val="348953EB"/>
    <w:rsid w:val="348B3866"/>
    <w:rsid w:val="348C526C"/>
    <w:rsid w:val="348E47AF"/>
    <w:rsid w:val="34967B08"/>
    <w:rsid w:val="34974931"/>
    <w:rsid w:val="34977C79"/>
    <w:rsid w:val="349B2BDB"/>
    <w:rsid w:val="349C377A"/>
    <w:rsid w:val="34A1735C"/>
    <w:rsid w:val="34A43FD3"/>
    <w:rsid w:val="34A915E9"/>
    <w:rsid w:val="34AB348A"/>
    <w:rsid w:val="34AC2E87"/>
    <w:rsid w:val="34B87A7E"/>
    <w:rsid w:val="34B91993"/>
    <w:rsid w:val="34B94482"/>
    <w:rsid w:val="34BD008D"/>
    <w:rsid w:val="34BD5094"/>
    <w:rsid w:val="34BF2BBB"/>
    <w:rsid w:val="34BF4E4E"/>
    <w:rsid w:val="34C0036D"/>
    <w:rsid w:val="34C208FD"/>
    <w:rsid w:val="34C226C2"/>
    <w:rsid w:val="34C54742"/>
    <w:rsid w:val="34C71A6F"/>
    <w:rsid w:val="34CB5A03"/>
    <w:rsid w:val="34CC5FFC"/>
    <w:rsid w:val="34D2729D"/>
    <w:rsid w:val="34D64FD8"/>
    <w:rsid w:val="34D957F0"/>
    <w:rsid w:val="34DC33DB"/>
    <w:rsid w:val="34DD5737"/>
    <w:rsid w:val="34DE7220"/>
    <w:rsid w:val="34E24AFB"/>
    <w:rsid w:val="34E55763"/>
    <w:rsid w:val="34E66F54"/>
    <w:rsid w:val="34E72111"/>
    <w:rsid w:val="34EA39B0"/>
    <w:rsid w:val="34EC41DF"/>
    <w:rsid w:val="34EF0FC6"/>
    <w:rsid w:val="34F2334D"/>
    <w:rsid w:val="34F25CE1"/>
    <w:rsid w:val="34F565DC"/>
    <w:rsid w:val="34F605A6"/>
    <w:rsid w:val="34FA0097"/>
    <w:rsid w:val="34FA60D3"/>
    <w:rsid w:val="34FB796B"/>
    <w:rsid w:val="34FC2914"/>
    <w:rsid w:val="35020CF9"/>
    <w:rsid w:val="35040F15"/>
    <w:rsid w:val="35041D35"/>
    <w:rsid w:val="350456C1"/>
    <w:rsid w:val="350B5E00"/>
    <w:rsid w:val="350E3B42"/>
    <w:rsid w:val="351215FA"/>
    <w:rsid w:val="35123632"/>
    <w:rsid w:val="3513435D"/>
    <w:rsid w:val="3513615D"/>
    <w:rsid w:val="351443B7"/>
    <w:rsid w:val="35150A2C"/>
    <w:rsid w:val="351530B1"/>
    <w:rsid w:val="351849C1"/>
    <w:rsid w:val="351A5A0C"/>
    <w:rsid w:val="351F18AB"/>
    <w:rsid w:val="351F7AFD"/>
    <w:rsid w:val="35246EC1"/>
    <w:rsid w:val="35297DA2"/>
    <w:rsid w:val="352C4C96"/>
    <w:rsid w:val="353115DE"/>
    <w:rsid w:val="35325790"/>
    <w:rsid w:val="353510CF"/>
    <w:rsid w:val="35356084"/>
    <w:rsid w:val="3538471B"/>
    <w:rsid w:val="353A4937"/>
    <w:rsid w:val="353A66E5"/>
    <w:rsid w:val="353B411E"/>
    <w:rsid w:val="353C3B2E"/>
    <w:rsid w:val="353D7F83"/>
    <w:rsid w:val="35422DC7"/>
    <w:rsid w:val="35470E02"/>
    <w:rsid w:val="35484B2C"/>
    <w:rsid w:val="35507CB7"/>
    <w:rsid w:val="35521C81"/>
    <w:rsid w:val="3553513C"/>
    <w:rsid w:val="35610116"/>
    <w:rsid w:val="3566279F"/>
    <w:rsid w:val="35683252"/>
    <w:rsid w:val="3569521C"/>
    <w:rsid w:val="356B53D7"/>
    <w:rsid w:val="356D32C5"/>
    <w:rsid w:val="356E1B11"/>
    <w:rsid w:val="35753BC1"/>
    <w:rsid w:val="357850C8"/>
    <w:rsid w:val="357C572A"/>
    <w:rsid w:val="357D2B08"/>
    <w:rsid w:val="357E1E1C"/>
    <w:rsid w:val="35812566"/>
    <w:rsid w:val="35831E3A"/>
    <w:rsid w:val="35832925"/>
    <w:rsid w:val="358348E1"/>
    <w:rsid w:val="35845BB2"/>
    <w:rsid w:val="35847960"/>
    <w:rsid w:val="35860C9C"/>
    <w:rsid w:val="3586192A"/>
    <w:rsid w:val="358A47E7"/>
    <w:rsid w:val="358D3FE5"/>
    <w:rsid w:val="35907231"/>
    <w:rsid w:val="35935DF5"/>
    <w:rsid w:val="359A6B36"/>
    <w:rsid w:val="359B7BE8"/>
    <w:rsid w:val="359D59F5"/>
    <w:rsid w:val="35A03F42"/>
    <w:rsid w:val="35A149B6"/>
    <w:rsid w:val="35A3072E"/>
    <w:rsid w:val="35A443C1"/>
    <w:rsid w:val="35A86D48"/>
    <w:rsid w:val="35A95619"/>
    <w:rsid w:val="35AB313F"/>
    <w:rsid w:val="35AD6EB7"/>
    <w:rsid w:val="35B30245"/>
    <w:rsid w:val="35B446E9"/>
    <w:rsid w:val="35B46497"/>
    <w:rsid w:val="35BD630A"/>
    <w:rsid w:val="35BE5278"/>
    <w:rsid w:val="35C44201"/>
    <w:rsid w:val="35C6441D"/>
    <w:rsid w:val="35CB37E1"/>
    <w:rsid w:val="35D02BA5"/>
    <w:rsid w:val="35D50A51"/>
    <w:rsid w:val="35D71437"/>
    <w:rsid w:val="35D95EFE"/>
    <w:rsid w:val="35DB6CDC"/>
    <w:rsid w:val="35DC1B65"/>
    <w:rsid w:val="35DF1B9A"/>
    <w:rsid w:val="35E0012B"/>
    <w:rsid w:val="35E05A34"/>
    <w:rsid w:val="35E13004"/>
    <w:rsid w:val="35E338F4"/>
    <w:rsid w:val="35E656FC"/>
    <w:rsid w:val="35E93C67"/>
    <w:rsid w:val="35F1149A"/>
    <w:rsid w:val="35F2184C"/>
    <w:rsid w:val="35F31C3D"/>
    <w:rsid w:val="35F638E3"/>
    <w:rsid w:val="35F753F7"/>
    <w:rsid w:val="35F965A0"/>
    <w:rsid w:val="35FC7E3E"/>
    <w:rsid w:val="36005E25"/>
    <w:rsid w:val="3600792F"/>
    <w:rsid w:val="36021CA3"/>
    <w:rsid w:val="360311CD"/>
    <w:rsid w:val="36070CBD"/>
    <w:rsid w:val="36080591"/>
    <w:rsid w:val="360C07C6"/>
    <w:rsid w:val="36125042"/>
    <w:rsid w:val="36127662"/>
    <w:rsid w:val="36154A5C"/>
    <w:rsid w:val="361635F8"/>
    <w:rsid w:val="3619010D"/>
    <w:rsid w:val="361A00AC"/>
    <w:rsid w:val="361B6516"/>
    <w:rsid w:val="361C4362"/>
    <w:rsid w:val="361C4B81"/>
    <w:rsid w:val="361E1B63"/>
    <w:rsid w:val="36211653"/>
    <w:rsid w:val="362372D1"/>
    <w:rsid w:val="36241F94"/>
    <w:rsid w:val="362566B0"/>
    <w:rsid w:val="36260A17"/>
    <w:rsid w:val="36280C33"/>
    <w:rsid w:val="362D00F2"/>
    <w:rsid w:val="362D1DA6"/>
    <w:rsid w:val="362D7FF8"/>
    <w:rsid w:val="36330CB4"/>
    <w:rsid w:val="36367635"/>
    <w:rsid w:val="36372C24"/>
    <w:rsid w:val="3638360C"/>
    <w:rsid w:val="363D3622"/>
    <w:rsid w:val="36405F7D"/>
    <w:rsid w:val="36453593"/>
    <w:rsid w:val="36454940"/>
    <w:rsid w:val="36483FB0"/>
    <w:rsid w:val="36487398"/>
    <w:rsid w:val="364E048D"/>
    <w:rsid w:val="364F6A73"/>
    <w:rsid w:val="364F7F6E"/>
    <w:rsid w:val="36541A28"/>
    <w:rsid w:val="36545584"/>
    <w:rsid w:val="36571E58"/>
    <w:rsid w:val="36572E70"/>
    <w:rsid w:val="365B14FF"/>
    <w:rsid w:val="36631C6B"/>
    <w:rsid w:val="36653E51"/>
    <w:rsid w:val="366559E4"/>
    <w:rsid w:val="3666655F"/>
    <w:rsid w:val="366B3579"/>
    <w:rsid w:val="366C6D75"/>
    <w:rsid w:val="36713AB1"/>
    <w:rsid w:val="36714388"/>
    <w:rsid w:val="36722FD4"/>
    <w:rsid w:val="367406A4"/>
    <w:rsid w:val="367654FD"/>
    <w:rsid w:val="3679323D"/>
    <w:rsid w:val="36820344"/>
    <w:rsid w:val="36835E6A"/>
    <w:rsid w:val="368D0A96"/>
    <w:rsid w:val="36910587"/>
    <w:rsid w:val="369276DC"/>
    <w:rsid w:val="36962041"/>
    <w:rsid w:val="369732EB"/>
    <w:rsid w:val="3697433E"/>
    <w:rsid w:val="369B31B3"/>
    <w:rsid w:val="36A209E6"/>
    <w:rsid w:val="36A302BA"/>
    <w:rsid w:val="36A4475E"/>
    <w:rsid w:val="36A75FFC"/>
    <w:rsid w:val="36BD75CE"/>
    <w:rsid w:val="36BE1E2E"/>
    <w:rsid w:val="36C22E36"/>
    <w:rsid w:val="36C3270A"/>
    <w:rsid w:val="36C344B8"/>
    <w:rsid w:val="36C56642"/>
    <w:rsid w:val="36CD6D52"/>
    <w:rsid w:val="36D54BDE"/>
    <w:rsid w:val="36D6162D"/>
    <w:rsid w:val="36D84407"/>
    <w:rsid w:val="36DC53B7"/>
    <w:rsid w:val="36E065E3"/>
    <w:rsid w:val="36E42DAC"/>
    <w:rsid w:val="36E55920"/>
    <w:rsid w:val="36E602DC"/>
    <w:rsid w:val="36E9168E"/>
    <w:rsid w:val="36EB413B"/>
    <w:rsid w:val="36EE3C2B"/>
    <w:rsid w:val="36EE59D9"/>
    <w:rsid w:val="36EE7787"/>
    <w:rsid w:val="36F01751"/>
    <w:rsid w:val="36F079A3"/>
    <w:rsid w:val="36F668C1"/>
    <w:rsid w:val="36FA0940"/>
    <w:rsid w:val="36FE711A"/>
    <w:rsid w:val="3700570C"/>
    <w:rsid w:val="37012140"/>
    <w:rsid w:val="37021484"/>
    <w:rsid w:val="37040D59"/>
    <w:rsid w:val="370451FC"/>
    <w:rsid w:val="3705164D"/>
    <w:rsid w:val="37060F75"/>
    <w:rsid w:val="37106244"/>
    <w:rsid w:val="371A057C"/>
    <w:rsid w:val="37265173"/>
    <w:rsid w:val="37283125"/>
    <w:rsid w:val="372907BF"/>
    <w:rsid w:val="372B09DB"/>
    <w:rsid w:val="372C4753"/>
    <w:rsid w:val="372D6F71"/>
    <w:rsid w:val="372E4027"/>
    <w:rsid w:val="37305FF2"/>
    <w:rsid w:val="373065FE"/>
    <w:rsid w:val="37357164"/>
    <w:rsid w:val="373C3D5D"/>
    <w:rsid w:val="373D28D9"/>
    <w:rsid w:val="37423984"/>
    <w:rsid w:val="374E46CA"/>
    <w:rsid w:val="37503F9E"/>
    <w:rsid w:val="37551C98"/>
    <w:rsid w:val="3757089C"/>
    <w:rsid w:val="375D7637"/>
    <w:rsid w:val="37602A7B"/>
    <w:rsid w:val="37610B5A"/>
    <w:rsid w:val="37645C9B"/>
    <w:rsid w:val="376B6342"/>
    <w:rsid w:val="376C68FE"/>
    <w:rsid w:val="376E08C8"/>
    <w:rsid w:val="376E2321"/>
    <w:rsid w:val="376F0D70"/>
    <w:rsid w:val="37736D19"/>
    <w:rsid w:val="37753A04"/>
    <w:rsid w:val="37757EA8"/>
    <w:rsid w:val="377812B5"/>
    <w:rsid w:val="377A726D"/>
    <w:rsid w:val="377C4D93"/>
    <w:rsid w:val="37895702"/>
    <w:rsid w:val="378A5248"/>
    <w:rsid w:val="378E057B"/>
    <w:rsid w:val="379105D4"/>
    <w:rsid w:val="3793032E"/>
    <w:rsid w:val="379426CB"/>
    <w:rsid w:val="3795714D"/>
    <w:rsid w:val="37977E1F"/>
    <w:rsid w:val="379811C0"/>
    <w:rsid w:val="379A29E1"/>
    <w:rsid w:val="379D2376"/>
    <w:rsid w:val="379D2F5B"/>
    <w:rsid w:val="37A147F9"/>
    <w:rsid w:val="37A60062"/>
    <w:rsid w:val="37A61E10"/>
    <w:rsid w:val="37A64595"/>
    <w:rsid w:val="37A75B88"/>
    <w:rsid w:val="37A8202C"/>
    <w:rsid w:val="37AB38CA"/>
    <w:rsid w:val="37AC603F"/>
    <w:rsid w:val="37AD0BCB"/>
    <w:rsid w:val="37AD7642"/>
    <w:rsid w:val="37B207B5"/>
    <w:rsid w:val="37B53592"/>
    <w:rsid w:val="37B57733"/>
    <w:rsid w:val="37BD53AB"/>
    <w:rsid w:val="37BE182B"/>
    <w:rsid w:val="37BE3166"/>
    <w:rsid w:val="37BF1123"/>
    <w:rsid w:val="37C52BDE"/>
    <w:rsid w:val="37C91FA2"/>
    <w:rsid w:val="37C97707"/>
    <w:rsid w:val="37CF580A"/>
    <w:rsid w:val="37D509F0"/>
    <w:rsid w:val="37D526F5"/>
    <w:rsid w:val="37D87FD3"/>
    <w:rsid w:val="37DA2F9B"/>
    <w:rsid w:val="37DE08EF"/>
    <w:rsid w:val="37E312B6"/>
    <w:rsid w:val="37E62B54"/>
    <w:rsid w:val="37E666B0"/>
    <w:rsid w:val="37E86B3F"/>
    <w:rsid w:val="37EB0501"/>
    <w:rsid w:val="37F275B9"/>
    <w:rsid w:val="37F30353"/>
    <w:rsid w:val="37F555DB"/>
    <w:rsid w:val="37FA215C"/>
    <w:rsid w:val="37FC5ED4"/>
    <w:rsid w:val="37FE0E2D"/>
    <w:rsid w:val="37FE41BF"/>
    <w:rsid w:val="37FF55BD"/>
    <w:rsid w:val="3800025B"/>
    <w:rsid w:val="38037262"/>
    <w:rsid w:val="3805122C"/>
    <w:rsid w:val="38060B00"/>
    <w:rsid w:val="38064FA4"/>
    <w:rsid w:val="380B6D45"/>
    <w:rsid w:val="380F05A8"/>
    <w:rsid w:val="38100DBE"/>
    <w:rsid w:val="3810197F"/>
    <w:rsid w:val="3810372D"/>
    <w:rsid w:val="38123949"/>
    <w:rsid w:val="38140676"/>
    <w:rsid w:val="38147538"/>
    <w:rsid w:val="381765E1"/>
    <w:rsid w:val="381E409C"/>
    <w:rsid w:val="381F703F"/>
    <w:rsid w:val="382316B2"/>
    <w:rsid w:val="38233460"/>
    <w:rsid w:val="382471D8"/>
    <w:rsid w:val="382947EF"/>
    <w:rsid w:val="38314519"/>
    <w:rsid w:val="38332D76"/>
    <w:rsid w:val="38333969"/>
    <w:rsid w:val="383D6C98"/>
    <w:rsid w:val="38417D8A"/>
    <w:rsid w:val="38433B03"/>
    <w:rsid w:val="38455ACD"/>
    <w:rsid w:val="384A6C3F"/>
    <w:rsid w:val="384F06F9"/>
    <w:rsid w:val="3851621F"/>
    <w:rsid w:val="38523D46"/>
    <w:rsid w:val="38543F62"/>
    <w:rsid w:val="3854681D"/>
    <w:rsid w:val="38547ABE"/>
    <w:rsid w:val="385775AE"/>
    <w:rsid w:val="38591578"/>
    <w:rsid w:val="385C6972"/>
    <w:rsid w:val="385D660A"/>
    <w:rsid w:val="385F4A75"/>
    <w:rsid w:val="38613FB0"/>
    <w:rsid w:val="38614FA9"/>
    <w:rsid w:val="38635F53"/>
    <w:rsid w:val="38645D5B"/>
    <w:rsid w:val="38653A79"/>
    <w:rsid w:val="38657ACB"/>
    <w:rsid w:val="38661785"/>
    <w:rsid w:val="38685317"/>
    <w:rsid w:val="38726196"/>
    <w:rsid w:val="38741F0E"/>
    <w:rsid w:val="387A7D29"/>
    <w:rsid w:val="387B18C1"/>
    <w:rsid w:val="387C0DC3"/>
    <w:rsid w:val="387C2CF1"/>
    <w:rsid w:val="387E2B20"/>
    <w:rsid w:val="3881462B"/>
    <w:rsid w:val="38873E58"/>
    <w:rsid w:val="388760E5"/>
    <w:rsid w:val="38881374"/>
    <w:rsid w:val="38883C0B"/>
    <w:rsid w:val="388859B9"/>
    <w:rsid w:val="38887767"/>
    <w:rsid w:val="388A60A3"/>
    <w:rsid w:val="388E25E0"/>
    <w:rsid w:val="389067C1"/>
    <w:rsid w:val="3891486E"/>
    <w:rsid w:val="38914EC4"/>
    <w:rsid w:val="389425B0"/>
    <w:rsid w:val="389820A0"/>
    <w:rsid w:val="38994363"/>
    <w:rsid w:val="38995E18"/>
    <w:rsid w:val="38A00F55"/>
    <w:rsid w:val="38A04AB1"/>
    <w:rsid w:val="38A9631F"/>
    <w:rsid w:val="38B10582"/>
    <w:rsid w:val="38B367B1"/>
    <w:rsid w:val="38B467AE"/>
    <w:rsid w:val="38B62E37"/>
    <w:rsid w:val="38B844F1"/>
    <w:rsid w:val="38B866AC"/>
    <w:rsid w:val="38BF587F"/>
    <w:rsid w:val="38C2711D"/>
    <w:rsid w:val="38CB25B7"/>
    <w:rsid w:val="38D64014"/>
    <w:rsid w:val="38DD50D5"/>
    <w:rsid w:val="38DE55D9"/>
    <w:rsid w:val="38E51867"/>
    <w:rsid w:val="38E70932"/>
    <w:rsid w:val="38E858F9"/>
    <w:rsid w:val="38EA2B85"/>
    <w:rsid w:val="38EA6674"/>
    <w:rsid w:val="38EB2111"/>
    <w:rsid w:val="38EB6E70"/>
    <w:rsid w:val="38EC3DE0"/>
    <w:rsid w:val="38EF0262"/>
    <w:rsid w:val="38EF3C8A"/>
    <w:rsid w:val="38F372D7"/>
    <w:rsid w:val="38F64636"/>
    <w:rsid w:val="38F7297B"/>
    <w:rsid w:val="38F77995"/>
    <w:rsid w:val="38F8385F"/>
    <w:rsid w:val="38F86C0A"/>
    <w:rsid w:val="38FA157A"/>
    <w:rsid w:val="38FB43DD"/>
    <w:rsid w:val="38FC3975"/>
    <w:rsid w:val="38FE5C7B"/>
    <w:rsid w:val="38FE732B"/>
    <w:rsid w:val="39000EA4"/>
    <w:rsid w:val="39061108"/>
    <w:rsid w:val="39070260"/>
    <w:rsid w:val="390D70F4"/>
    <w:rsid w:val="391230D6"/>
    <w:rsid w:val="39137979"/>
    <w:rsid w:val="391A2AB5"/>
    <w:rsid w:val="391C07F9"/>
    <w:rsid w:val="391C49AF"/>
    <w:rsid w:val="391E78A1"/>
    <w:rsid w:val="39206326"/>
    <w:rsid w:val="39215D65"/>
    <w:rsid w:val="39227BBC"/>
    <w:rsid w:val="39290F4A"/>
    <w:rsid w:val="3930052B"/>
    <w:rsid w:val="393020A5"/>
    <w:rsid w:val="393323CA"/>
    <w:rsid w:val="39363D44"/>
    <w:rsid w:val="393722AC"/>
    <w:rsid w:val="393755D6"/>
    <w:rsid w:val="39396CB4"/>
    <w:rsid w:val="393B53E7"/>
    <w:rsid w:val="393D67A4"/>
    <w:rsid w:val="393E49CC"/>
    <w:rsid w:val="39496B0D"/>
    <w:rsid w:val="394B50AF"/>
    <w:rsid w:val="394C69E7"/>
    <w:rsid w:val="394E6769"/>
    <w:rsid w:val="39534219"/>
    <w:rsid w:val="395C1E67"/>
    <w:rsid w:val="39602492"/>
    <w:rsid w:val="3962445C"/>
    <w:rsid w:val="39671A73"/>
    <w:rsid w:val="39673821"/>
    <w:rsid w:val="396815F0"/>
    <w:rsid w:val="396918B8"/>
    <w:rsid w:val="396B5BD2"/>
    <w:rsid w:val="396C4956"/>
    <w:rsid w:val="396E79B7"/>
    <w:rsid w:val="39761CB6"/>
    <w:rsid w:val="397F4935"/>
    <w:rsid w:val="397F500E"/>
    <w:rsid w:val="397F6DBC"/>
    <w:rsid w:val="398048E2"/>
    <w:rsid w:val="39832353"/>
    <w:rsid w:val="39854E5D"/>
    <w:rsid w:val="3986014B"/>
    <w:rsid w:val="39867AC8"/>
    <w:rsid w:val="39893797"/>
    <w:rsid w:val="3991089E"/>
    <w:rsid w:val="3991156D"/>
    <w:rsid w:val="39935BA4"/>
    <w:rsid w:val="399B34CA"/>
    <w:rsid w:val="399D7242"/>
    <w:rsid w:val="39A22327"/>
    <w:rsid w:val="39A52F16"/>
    <w:rsid w:val="39A700C1"/>
    <w:rsid w:val="39A93E39"/>
    <w:rsid w:val="39AB7BB1"/>
    <w:rsid w:val="39B255C0"/>
    <w:rsid w:val="39B32F0A"/>
    <w:rsid w:val="39B3491A"/>
    <w:rsid w:val="39B52A0B"/>
    <w:rsid w:val="39BA1BA2"/>
    <w:rsid w:val="39BC3F72"/>
    <w:rsid w:val="39BF18AF"/>
    <w:rsid w:val="39BF3002"/>
    <w:rsid w:val="39C908AC"/>
    <w:rsid w:val="39C91A61"/>
    <w:rsid w:val="39CD6B84"/>
    <w:rsid w:val="39D37108"/>
    <w:rsid w:val="39DA3FF3"/>
    <w:rsid w:val="39DF5AAD"/>
    <w:rsid w:val="39E35F07"/>
    <w:rsid w:val="39EE7A9E"/>
    <w:rsid w:val="39F07CBA"/>
    <w:rsid w:val="39F50E2C"/>
    <w:rsid w:val="39F552D0"/>
    <w:rsid w:val="39F8091D"/>
    <w:rsid w:val="39FA7961"/>
    <w:rsid w:val="39FB153B"/>
    <w:rsid w:val="3A01504F"/>
    <w:rsid w:val="3A040A3F"/>
    <w:rsid w:val="3A0472C2"/>
    <w:rsid w:val="3A06128C"/>
    <w:rsid w:val="3A0D261A"/>
    <w:rsid w:val="3A0D3DA7"/>
    <w:rsid w:val="3A1043C5"/>
    <w:rsid w:val="3A12378C"/>
    <w:rsid w:val="3A127C30"/>
    <w:rsid w:val="3A141BDE"/>
    <w:rsid w:val="3A157721"/>
    <w:rsid w:val="3A1C0AAF"/>
    <w:rsid w:val="3A1C3C1A"/>
    <w:rsid w:val="3A1F5EA9"/>
    <w:rsid w:val="3A2654F7"/>
    <w:rsid w:val="3A2B22D6"/>
    <w:rsid w:val="3A2B484E"/>
    <w:rsid w:val="3A2B6F44"/>
    <w:rsid w:val="3A2D05C6"/>
    <w:rsid w:val="3A2D2BA5"/>
    <w:rsid w:val="3A2F2590"/>
    <w:rsid w:val="3A322081"/>
    <w:rsid w:val="3A39334E"/>
    <w:rsid w:val="3A3C68BF"/>
    <w:rsid w:val="3A3E0A25"/>
    <w:rsid w:val="3A3F6E8C"/>
    <w:rsid w:val="3A444EE4"/>
    <w:rsid w:val="3A4B6C9E"/>
    <w:rsid w:val="3A4F49E1"/>
    <w:rsid w:val="3A5063D0"/>
    <w:rsid w:val="3A5169AB"/>
    <w:rsid w:val="3A540249"/>
    <w:rsid w:val="3A563FC1"/>
    <w:rsid w:val="3A56470C"/>
    <w:rsid w:val="3A573895"/>
    <w:rsid w:val="3A5C534F"/>
    <w:rsid w:val="3A5D2C2A"/>
    <w:rsid w:val="3A5D5486"/>
    <w:rsid w:val="3A624D3E"/>
    <w:rsid w:val="3A6A7A6C"/>
    <w:rsid w:val="3A6F0BDF"/>
    <w:rsid w:val="3A6F6FBC"/>
    <w:rsid w:val="3A704957"/>
    <w:rsid w:val="3A712BA9"/>
    <w:rsid w:val="3A71736F"/>
    <w:rsid w:val="3A7601BF"/>
    <w:rsid w:val="3A7636D4"/>
    <w:rsid w:val="3A79380C"/>
    <w:rsid w:val="3A7B7D74"/>
    <w:rsid w:val="3A7E7074"/>
    <w:rsid w:val="3A8204A4"/>
    <w:rsid w:val="3A836438"/>
    <w:rsid w:val="3A8521B0"/>
    <w:rsid w:val="3A8B1D7A"/>
    <w:rsid w:val="3A914FF9"/>
    <w:rsid w:val="3A940645"/>
    <w:rsid w:val="3A960861"/>
    <w:rsid w:val="3A96260F"/>
    <w:rsid w:val="3A992100"/>
    <w:rsid w:val="3A995980"/>
    <w:rsid w:val="3A995C5C"/>
    <w:rsid w:val="3A9D5280"/>
    <w:rsid w:val="3A9E7716"/>
    <w:rsid w:val="3AA0442B"/>
    <w:rsid w:val="3AA17449"/>
    <w:rsid w:val="3AA50AA5"/>
    <w:rsid w:val="3AA60379"/>
    <w:rsid w:val="3AA765CB"/>
    <w:rsid w:val="3AA80595"/>
    <w:rsid w:val="3AA8624B"/>
    <w:rsid w:val="3AAC3BE1"/>
    <w:rsid w:val="3AAF36D1"/>
    <w:rsid w:val="3AB1591B"/>
    <w:rsid w:val="3AB17449"/>
    <w:rsid w:val="3AB35FA7"/>
    <w:rsid w:val="3AB418AB"/>
    <w:rsid w:val="3AB42A96"/>
    <w:rsid w:val="3ABA72EC"/>
    <w:rsid w:val="3ABB3E24"/>
    <w:rsid w:val="3AC2432A"/>
    <w:rsid w:val="3AC328E0"/>
    <w:rsid w:val="3AC36BD5"/>
    <w:rsid w:val="3AC41D77"/>
    <w:rsid w:val="3AC5113D"/>
    <w:rsid w:val="3AC56A51"/>
    <w:rsid w:val="3AC76C6D"/>
    <w:rsid w:val="3AC802EF"/>
    <w:rsid w:val="3ACA22B9"/>
    <w:rsid w:val="3ACB2887"/>
    <w:rsid w:val="3ACD1DA9"/>
    <w:rsid w:val="3ACD3B57"/>
    <w:rsid w:val="3ACF2ECE"/>
    <w:rsid w:val="3ACF78CF"/>
    <w:rsid w:val="3AD1189A"/>
    <w:rsid w:val="3AD82C28"/>
    <w:rsid w:val="3AD924FC"/>
    <w:rsid w:val="3AD92EAA"/>
    <w:rsid w:val="3AD92F0E"/>
    <w:rsid w:val="3ADE5D64"/>
    <w:rsid w:val="3ADF71D3"/>
    <w:rsid w:val="3AE07D2F"/>
    <w:rsid w:val="3AE113B1"/>
    <w:rsid w:val="3AE16F6A"/>
    <w:rsid w:val="3AE55345"/>
    <w:rsid w:val="3AE570F3"/>
    <w:rsid w:val="3AEC222F"/>
    <w:rsid w:val="3AED7D56"/>
    <w:rsid w:val="3AEF05BE"/>
    <w:rsid w:val="3AEF7F72"/>
    <w:rsid w:val="3AF17846"/>
    <w:rsid w:val="3AF45588"/>
    <w:rsid w:val="3AFA3615"/>
    <w:rsid w:val="3AFB6916"/>
    <w:rsid w:val="3AFF762B"/>
    <w:rsid w:val="3B000D0D"/>
    <w:rsid w:val="3B0322D5"/>
    <w:rsid w:val="3B033075"/>
    <w:rsid w:val="3B083BE3"/>
    <w:rsid w:val="3B0D3F91"/>
    <w:rsid w:val="3B1176E7"/>
    <w:rsid w:val="3B143534"/>
    <w:rsid w:val="3B1D063B"/>
    <w:rsid w:val="3B1F6C15"/>
    <w:rsid w:val="3B20012B"/>
    <w:rsid w:val="3B2055FD"/>
    <w:rsid w:val="3B221469"/>
    <w:rsid w:val="3B2220F5"/>
    <w:rsid w:val="3B2319C9"/>
    <w:rsid w:val="3B241CE3"/>
    <w:rsid w:val="3B260F5C"/>
    <w:rsid w:val="3B2A0FAA"/>
    <w:rsid w:val="3B2F036E"/>
    <w:rsid w:val="3B304812"/>
    <w:rsid w:val="3B310E70"/>
    <w:rsid w:val="3B334302"/>
    <w:rsid w:val="3B367357"/>
    <w:rsid w:val="3B37322C"/>
    <w:rsid w:val="3B375BA4"/>
    <w:rsid w:val="3B3A381D"/>
    <w:rsid w:val="3B3A4449"/>
    <w:rsid w:val="3B3C1238"/>
    <w:rsid w:val="3B3D6F2F"/>
    <w:rsid w:val="3B3D737E"/>
    <w:rsid w:val="3B425E7A"/>
    <w:rsid w:val="3B434ADA"/>
    <w:rsid w:val="3B4756B8"/>
    <w:rsid w:val="3B4E2EEA"/>
    <w:rsid w:val="3B4E361F"/>
    <w:rsid w:val="3B4E4C98"/>
    <w:rsid w:val="3B4F0A10"/>
    <w:rsid w:val="3B4F27BE"/>
    <w:rsid w:val="3B512103"/>
    <w:rsid w:val="3B520D7F"/>
    <w:rsid w:val="3B5407CB"/>
    <w:rsid w:val="3B5A188F"/>
    <w:rsid w:val="3B60677A"/>
    <w:rsid w:val="3B64626A"/>
    <w:rsid w:val="3B653D90"/>
    <w:rsid w:val="3B673FAC"/>
    <w:rsid w:val="3B675D5A"/>
    <w:rsid w:val="3B677093"/>
    <w:rsid w:val="3B68689B"/>
    <w:rsid w:val="3B6B527B"/>
    <w:rsid w:val="3B6D5674"/>
    <w:rsid w:val="3B714E2B"/>
    <w:rsid w:val="3B750477"/>
    <w:rsid w:val="3B7641EF"/>
    <w:rsid w:val="3B7D557D"/>
    <w:rsid w:val="3B7F7F0D"/>
    <w:rsid w:val="3B806E1C"/>
    <w:rsid w:val="3B8137E5"/>
    <w:rsid w:val="3B84690C"/>
    <w:rsid w:val="3B8A50BE"/>
    <w:rsid w:val="3B8D28A3"/>
    <w:rsid w:val="3B8E32E7"/>
    <w:rsid w:val="3B911029"/>
    <w:rsid w:val="3B9259C0"/>
    <w:rsid w:val="3B934DA1"/>
    <w:rsid w:val="3B936B4F"/>
    <w:rsid w:val="3B9823B7"/>
    <w:rsid w:val="3B984165"/>
    <w:rsid w:val="3B990846"/>
    <w:rsid w:val="3B9A2C1F"/>
    <w:rsid w:val="3B9E0A2B"/>
    <w:rsid w:val="3BA26C74"/>
    <w:rsid w:val="3BA31083"/>
    <w:rsid w:val="3BA33577"/>
    <w:rsid w:val="3BA40D5C"/>
    <w:rsid w:val="3BA66882"/>
    <w:rsid w:val="3BA943C4"/>
    <w:rsid w:val="3BAD5934"/>
    <w:rsid w:val="3BB002BA"/>
    <w:rsid w:val="3BB0325D"/>
    <w:rsid w:val="3BB35774"/>
    <w:rsid w:val="3BB51C22"/>
    <w:rsid w:val="3BB7708B"/>
    <w:rsid w:val="3BB777C2"/>
    <w:rsid w:val="3BB92704"/>
    <w:rsid w:val="3BBB5CD9"/>
    <w:rsid w:val="3BBB7EF1"/>
    <w:rsid w:val="3BBC0A63"/>
    <w:rsid w:val="3BBD597A"/>
    <w:rsid w:val="3BC136BC"/>
    <w:rsid w:val="3BC60CD2"/>
    <w:rsid w:val="3BC74A4B"/>
    <w:rsid w:val="3BC92C37"/>
    <w:rsid w:val="3BC9468F"/>
    <w:rsid w:val="3BCC6EE1"/>
    <w:rsid w:val="3BD333EF"/>
    <w:rsid w:val="3BD46CE9"/>
    <w:rsid w:val="3BD73F2D"/>
    <w:rsid w:val="3BD97883"/>
    <w:rsid w:val="3BDA29D0"/>
    <w:rsid w:val="3BE41159"/>
    <w:rsid w:val="3BE520E7"/>
    <w:rsid w:val="3BE60326"/>
    <w:rsid w:val="3BE66D80"/>
    <w:rsid w:val="3BE850ED"/>
    <w:rsid w:val="3BE97E3F"/>
    <w:rsid w:val="3BEE0229"/>
    <w:rsid w:val="3BEE647B"/>
    <w:rsid w:val="3BF154F2"/>
    <w:rsid w:val="3BF36984"/>
    <w:rsid w:val="3BF515B8"/>
    <w:rsid w:val="3BF53366"/>
    <w:rsid w:val="3BF5359A"/>
    <w:rsid w:val="3BF817F3"/>
    <w:rsid w:val="3BF83386"/>
    <w:rsid w:val="3BF84C04"/>
    <w:rsid w:val="3BF94770"/>
    <w:rsid w:val="3BFC46F4"/>
    <w:rsid w:val="3BFD221A"/>
    <w:rsid w:val="3C011D0B"/>
    <w:rsid w:val="3C017F5D"/>
    <w:rsid w:val="3C027831"/>
    <w:rsid w:val="3C047A4D"/>
    <w:rsid w:val="3C072D17"/>
    <w:rsid w:val="3C081B4B"/>
    <w:rsid w:val="3C084CC4"/>
    <w:rsid w:val="3C08753D"/>
    <w:rsid w:val="3C0A6817"/>
    <w:rsid w:val="3C10166C"/>
    <w:rsid w:val="3C1A69AE"/>
    <w:rsid w:val="3C1E0B0E"/>
    <w:rsid w:val="3C1E0C33"/>
    <w:rsid w:val="3C243C4B"/>
    <w:rsid w:val="3C29300F"/>
    <w:rsid w:val="3C2974B3"/>
    <w:rsid w:val="3C2D4205"/>
    <w:rsid w:val="3C324937"/>
    <w:rsid w:val="3C37572C"/>
    <w:rsid w:val="3C3F2442"/>
    <w:rsid w:val="3C404C14"/>
    <w:rsid w:val="3C406F08"/>
    <w:rsid w:val="3C41628F"/>
    <w:rsid w:val="3C445E89"/>
    <w:rsid w:val="3C4542ED"/>
    <w:rsid w:val="3C461E13"/>
    <w:rsid w:val="3C4A2E01"/>
    <w:rsid w:val="3C4B2FE3"/>
    <w:rsid w:val="3C4D31A2"/>
    <w:rsid w:val="3C4D750F"/>
    <w:rsid w:val="3C4F6F1A"/>
    <w:rsid w:val="3C51389E"/>
    <w:rsid w:val="3C522566"/>
    <w:rsid w:val="3C574020"/>
    <w:rsid w:val="3C593670"/>
    <w:rsid w:val="3C5938F5"/>
    <w:rsid w:val="3C5B7F89"/>
    <w:rsid w:val="3C5C33E5"/>
    <w:rsid w:val="3C5C4AD8"/>
    <w:rsid w:val="3C5E0AC9"/>
    <w:rsid w:val="3C5E0F0B"/>
    <w:rsid w:val="3C5E4324"/>
    <w:rsid w:val="3C5E715D"/>
    <w:rsid w:val="3C5F4E43"/>
    <w:rsid w:val="3C665111"/>
    <w:rsid w:val="3C687F58"/>
    <w:rsid w:val="3C6B42A6"/>
    <w:rsid w:val="3C6C4A4B"/>
    <w:rsid w:val="3C6E4EC6"/>
    <w:rsid w:val="3C73265E"/>
    <w:rsid w:val="3C747908"/>
    <w:rsid w:val="3C762309"/>
    <w:rsid w:val="3C771FCD"/>
    <w:rsid w:val="3C787D9B"/>
    <w:rsid w:val="3C7921E9"/>
    <w:rsid w:val="3C7B26BC"/>
    <w:rsid w:val="3C7D61AA"/>
    <w:rsid w:val="3C7F0F75"/>
    <w:rsid w:val="3C80719C"/>
    <w:rsid w:val="3C85293C"/>
    <w:rsid w:val="3C867288"/>
    <w:rsid w:val="3C895272"/>
    <w:rsid w:val="3C902B6C"/>
    <w:rsid w:val="3C950F0C"/>
    <w:rsid w:val="3C9B0F16"/>
    <w:rsid w:val="3C9E39FD"/>
    <w:rsid w:val="3C9E57AB"/>
    <w:rsid w:val="3CA134EE"/>
    <w:rsid w:val="3CA31014"/>
    <w:rsid w:val="3CA913EA"/>
    <w:rsid w:val="3CB15B4F"/>
    <w:rsid w:val="3CB53000"/>
    <w:rsid w:val="3CB83707"/>
    <w:rsid w:val="3CB932A2"/>
    <w:rsid w:val="3CBB481E"/>
    <w:rsid w:val="3CBC20D5"/>
    <w:rsid w:val="3CBD713E"/>
    <w:rsid w:val="3CBE19AA"/>
    <w:rsid w:val="3CCA073E"/>
    <w:rsid w:val="3CCC76F7"/>
    <w:rsid w:val="3CCF005B"/>
    <w:rsid w:val="3CCF5904"/>
    <w:rsid w:val="3CDB07AE"/>
    <w:rsid w:val="3CDD7800"/>
    <w:rsid w:val="3CE05DC4"/>
    <w:rsid w:val="3CE06BBC"/>
    <w:rsid w:val="3CE07B72"/>
    <w:rsid w:val="3CE5162C"/>
    <w:rsid w:val="3CE55188"/>
    <w:rsid w:val="3CEF368A"/>
    <w:rsid w:val="3CF64B22"/>
    <w:rsid w:val="3CFC24D2"/>
    <w:rsid w:val="3D006466"/>
    <w:rsid w:val="3D025872"/>
    <w:rsid w:val="3D026C56"/>
    <w:rsid w:val="3D037D04"/>
    <w:rsid w:val="3D0715A3"/>
    <w:rsid w:val="3D0C61A6"/>
    <w:rsid w:val="3D0D2931"/>
    <w:rsid w:val="3D112421"/>
    <w:rsid w:val="3D1752A8"/>
    <w:rsid w:val="3D1C63E7"/>
    <w:rsid w:val="3D225295"/>
    <w:rsid w:val="3D271579"/>
    <w:rsid w:val="3D2739F3"/>
    <w:rsid w:val="3D2E2FD3"/>
    <w:rsid w:val="3D3157A3"/>
    <w:rsid w:val="3D345DCA"/>
    <w:rsid w:val="3D361E88"/>
    <w:rsid w:val="3D374762"/>
    <w:rsid w:val="3D394B53"/>
    <w:rsid w:val="3D3B650C"/>
    <w:rsid w:val="3D3D6D72"/>
    <w:rsid w:val="3D3E0D3C"/>
    <w:rsid w:val="3D3E2EF3"/>
    <w:rsid w:val="3D402D06"/>
    <w:rsid w:val="3D403A6A"/>
    <w:rsid w:val="3D4742B2"/>
    <w:rsid w:val="3D475E43"/>
    <w:rsid w:val="3D485717"/>
    <w:rsid w:val="3D4C3459"/>
    <w:rsid w:val="3D4E5C03"/>
    <w:rsid w:val="3D5278D3"/>
    <w:rsid w:val="3D55271F"/>
    <w:rsid w:val="3D56117A"/>
    <w:rsid w:val="3D583BAC"/>
    <w:rsid w:val="3D5C3A0F"/>
    <w:rsid w:val="3D6267D9"/>
    <w:rsid w:val="3D64137B"/>
    <w:rsid w:val="3D647B80"/>
    <w:rsid w:val="3D652B23"/>
    <w:rsid w:val="3D65451B"/>
    <w:rsid w:val="3D663493"/>
    <w:rsid w:val="3D674177"/>
    <w:rsid w:val="3D6E33D0"/>
    <w:rsid w:val="3D6F7148"/>
    <w:rsid w:val="3D714C6E"/>
    <w:rsid w:val="3D7158E2"/>
    <w:rsid w:val="3D7824A0"/>
    <w:rsid w:val="3D785FFC"/>
    <w:rsid w:val="3D7A04E2"/>
    <w:rsid w:val="3D7A6218"/>
    <w:rsid w:val="3D7A7FC6"/>
    <w:rsid w:val="3D7B2612"/>
    <w:rsid w:val="3D7D3613"/>
    <w:rsid w:val="3D7E5FC1"/>
    <w:rsid w:val="3D7E73A2"/>
    <w:rsid w:val="3D7F382F"/>
    <w:rsid w:val="3D8A3F82"/>
    <w:rsid w:val="3D8C49FE"/>
    <w:rsid w:val="3D8C5F4C"/>
    <w:rsid w:val="3D8C7CFA"/>
    <w:rsid w:val="3D8E4FFB"/>
    <w:rsid w:val="3D927DB2"/>
    <w:rsid w:val="3D98044D"/>
    <w:rsid w:val="3D9C247F"/>
    <w:rsid w:val="3DA07301"/>
    <w:rsid w:val="3DA46DF1"/>
    <w:rsid w:val="3DA52B6A"/>
    <w:rsid w:val="3DA575C5"/>
    <w:rsid w:val="3DA579B2"/>
    <w:rsid w:val="3DA61D1A"/>
    <w:rsid w:val="3DA66B67"/>
    <w:rsid w:val="3DAA55A9"/>
    <w:rsid w:val="3DAD4B25"/>
    <w:rsid w:val="3DAF5796"/>
    <w:rsid w:val="3DB039E8"/>
    <w:rsid w:val="3DB2141D"/>
    <w:rsid w:val="3DB30CBC"/>
    <w:rsid w:val="3DB662EC"/>
    <w:rsid w:val="3DB80517"/>
    <w:rsid w:val="3DBA4867"/>
    <w:rsid w:val="3DBC0328"/>
    <w:rsid w:val="3DBE5819"/>
    <w:rsid w:val="3DBF59D9"/>
    <w:rsid w:val="3DC36CF0"/>
    <w:rsid w:val="3DC47494"/>
    <w:rsid w:val="3DC72AE0"/>
    <w:rsid w:val="3DC81C9F"/>
    <w:rsid w:val="3DC868CB"/>
    <w:rsid w:val="3DCE6FC5"/>
    <w:rsid w:val="3DD34A12"/>
    <w:rsid w:val="3DD82F3F"/>
    <w:rsid w:val="3DDA2813"/>
    <w:rsid w:val="3DDB173F"/>
    <w:rsid w:val="3DDD67A7"/>
    <w:rsid w:val="3DE61E54"/>
    <w:rsid w:val="3DE721EE"/>
    <w:rsid w:val="3DEA67CE"/>
    <w:rsid w:val="3DEE2762"/>
    <w:rsid w:val="3DF17FF3"/>
    <w:rsid w:val="3DF32FC8"/>
    <w:rsid w:val="3DF82C0C"/>
    <w:rsid w:val="3DF8713D"/>
    <w:rsid w:val="3DFD4812"/>
    <w:rsid w:val="3DFF04CC"/>
    <w:rsid w:val="3E021D6A"/>
    <w:rsid w:val="3E025EF9"/>
    <w:rsid w:val="3E0267EE"/>
    <w:rsid w:val="3E027FBC"/>
    <w:rsid w:val="3E06185A"/>
    <w:rsid w:val="3E0A3C03"/>
    <w:rsid w:val="3E0B26DF"/>
    <w:rsid w:val="3E0F0CDE"/>
    <w:rsid w:val="3E0F65A1"/>
    <w:rsid w:val="3E0F766A"/>
    <w:rsid w:val="3E1024F0"/>
    <w:rsid w:val="3E1201FF"/>
    <w:rsid w:val="3E145895"/>
    <w:rsid w:val="3E147B57"/>
    <w:rsid w:val="3E1675C3"/>
    <w:rsid w:val="3E183B96"/>
    <w:rsid w:val="3E1A521B"/>
    <w:rsid w:val="3E1C2E2C"/>
    <w:rsid w:val="3E1C7A0B"/>
    <w:rsid w:val="3E1E24A7"/>
    <w:rsid w:val="3E220635"/>
    <w:rsid w:val="3E285C74"/>
    <w:rsid w:val="3E295549"/>
    <w:rsid w:val="3E2B306F"/>
    <w:rsid w:val="3E2B4ACD"/>
    <w:rsid w:val="3E2C5AE2"/>
    <w:rsid w:val="3E2E2B5F"/>
    <w:rsid w:val="3E3065F3"/>
    <w:rsid w:val="3E3143FD"/>
    <w:rsid w:val="3E35112C"/>
    <w:rsid w:val="3E36702A"/>
    <w:rsid w:val="3E3839DE"/>
    <w:rsid w:val="3E3A7756"/>
    <w:rsid w:val="3E3C1720"/>
    <w:rsid w:val="3E3E19F7"/>
    <w:rsid w:val="3E410AE4"/>
    <w:rsid w:val="3E4660FB"/>
    <w:rsid w:val="3E4B1963"/>
    <w:rsid w:val="3E4B3711"/>
    <w:rsid w:val="3E4D10AF"/>
    <w:rsid w:val="3E4D7489"/>
    <w:rsid w:val="3E502AD5"/>
    <w:rsid w:val="3E595E2E"/>
    <w:rsid w:val="3E5A3954"/>
    <w:rsid w:val="3E5A7DF8"/>
    <w:rsid w:val="3E5B7667"/>
    <w:rsid w:val="3E5C40C3"/>
    <w:rsid w:val="3E5E0787"/>
    <w:rsid w:val="3E5E1D35"/>
    <w:rsid w:val="3E641E5A"/>
    <w:rsid w:val="3E6C7416"/>
    <w:rsid w:val="3E703177"/>
    <w:rsid w:val="3E704F26"/>
    <w:rsid w:val="3E78202C"/>
    <w:rsid w:val="3E786B8F"/>
    <w:rsid w:val="3E7A3FF6"/>
    <w:rsid w:val="3E8135D7"/>
    <w:rsid w:val="3E8409D1"/>
    <w:rsid w:val="3E846C23"/>
    <w:rsid w:val="3E864749"/>
    <w:rsid w:val="3E8D5AD7"/>
    <w:rsid w:val="3E944DA9"/>
    <w:rsid w:val="3E950E30"/>
    <w:rsid w:val="3E970704"/>
    <w:rsid w:val="3E9C3F92"/>
    <w:rsid w:val="3E9E7CE5"/>
    <w:rsid w:val="3EA13331"/>
    <w:rsid w:val="3EA3354D"/>
    <w:rsid w:val="3EA805F3"/>
    <w:rsid w:val="3EA846BF"/>
    <w:rsid w:val="3EA854ED"/>
    <w:rsid w:val="3EAF3CA0"/>
    <w:rsid w:val="3EB43064"/>
    <w:rsid w:val="3EB5502E"/>
    <w:rsid w:val="3EB56DDC"/>
    <w:rsid w:val="3EB73811"/>
    <w:rsid w:val="3EB76FF8"/>
    <w:rsid w:val="3EB92D70"/>
    <w:rsid w:val="3EBB0EC7"/>
    <w:rsid w:val="3EBE0387"/>
    <w:rsid w:val="3EBE3EE3"/>
    <w:rsid w:val="3EC11C25"/>
    <w:rsid w:val="3EC139D3"/>
    <w:rsid w:val="3ECC6A84"/>
    <w:rsid w:val="3ED41958"/>
    <w:rsid w:val="3ED4556B"/>
    <w:rsid w:val="3ED53463"/>
    <w:rsid w:val="3ED84A82"/>
    <w:rsid w:val="3ED90D1D"/>
    <w:rsid w:val="3EDB7EE9"/>
    <w:rsid w:val="3EDC080D"/>
    <w:rsid w:val="3EDE23C5"/>
    <w:rsid w:val="3EE651E8"/>
    <w:rsid w:val="3EE94C3D"/>
    <w:rsid w:val="3EEC1D93"/>
    <w:rsid w:val="3EEF0540"/>
    <w:rsid w:val="3EF142B8"/>
    <w:rsid w:val="3EF3633B"/>
    <w:rsid w:val="3EF43DA9"/>
    <w:rsid w:val="3EF5367D"/>
    <w:rsid w:val="3EF86514"/>
    <w:rsid w:val="3EF9316D"/>
    <w:rsid w:val="3EF94A9C"/>
    <w:rsid w:val="3EFC7EB5"/>
    <w:rsid w:val="3EFD0EAF"/>
    <w:rsid w:val="3EFF67ED"/>
    <w:rsid w:val="3F004C6A"/>
    <w:rsid w:val="3F010273"/>
    <w:rsid w:val="3F06588A"/>
    <w:rsid w:val="3F0F62AB"/>
    <w:rsid w:val="3F163D1F"/>
    <w:rsid w:val="3F1C4987"/>
    <w:rsid w:val="3F1E4982"/>
    <w:rsid w:val="3F214472"/>
    <w:rsid w:val="3F22506C"/>
    <w:rsid w:val="3F234637"/>
    <w:rsid w:val="3F23468E"/>
    <w:rsid w:val="3F2A7462"/>
    <w:rsid w:val="3F2A77CA"/>
    <w:rsid w:val="3F2B403E"/>
    <w:rsid w:val="3F3115A8"/>
    <w:rsid w:val="3F316DAB"/>
    <w:rsid w:val="3F340649"/>
    <w:rsid w:val="3F353E40"/>
    <w:rsid w:val="3F373773"/>
    <w:rsid w:val="3F375A43"/>
    <w:rsid w:val="3F381EE7"/>
    <w:rsid w:val="3F3917BB"/>
    <w:rsid w:val="3F3B0499"/>
    <w:rsid w:val="3F3B19D7"/>
    <w:rsid w:val="3F3B5D55"/>
    <w:rsid w:val="3F3D437E"/>
    <w:rsid w:val="3F424B14"/>
    <w:rsid w:val="3F4255B7"/>
    <w:rsid w:val="3F431DC2"/>
    <w:rsid w:val="3F454604"/>
    <w:rsid w:val="3F462621"/>
    <w:rsid w:val="3F472FDF"/>
    <w:rsid w:val="3F48643C"/>
    <w:rsid w:val="3F4877E1"/>
    <w:rsid w:val="3F4E563E"/>
    <w:rsid w:val="3F516B05"/>
    <w:rsid w:val="3F52287D"/>
    <w:rsid w:val="3F572CF8"/>
    <w:rsid w:val="3F591E5E"/>
    <w:rsid w:val="3F5A2F8A"/>
    <w:rsid w:val="3F5B2220"/>
    <w:rsid w:val="3F5B5BD6"/>
    <w:rsid w:val="3F5D194E"/>
    <w:rsid w:val="3F5E56C6"/>
    <w:rsid w:val="3F5E6FAF"/>
    <w:rsid w:val="3F6177C3"/>
    <w:rsid w:val="3F632CDC"/>
    <w:rsid w:val="3F636838"/>
    <w:rsid w:val="3F690947"/>
    <w:rsid w:val="3F6A5E19"/>
    <w:rsid w:val="3F6A79D4"/>
    <w:rsid w:val="3F6A7BC7"/>
    <w:rsid w:val="3F6C1B91"/>
    <w:rsid w:val="3F6E3B5B"/>
    <w:rsid w:val="3F6F1681"/>
    <w:rsid w:val="3F714EB9"/>
    <w:rsid w:val="3F7722E4"/>
    <w:rsid w:val="3F7E4374"/>
    <w:rsid w:val="3F8073EA"/>
    <w:rsid w:val="3F814696"/>
    <w:rsid w:val="3F836EDA"/>
    <w:rsid w:val="3F852C53"/>
    <w:rsid w:val="3F892743"/>
    <w:rsid w:val="3F8A4E31"/>
    <w:rsid w:val="3F8A61EF"/>
    <w:rsid w:val="3F8A64BB"/>
    <w:rsid w:val="3F8B6528"/>
    <w:rsid w:val="3F8D3732"/>
    <w:rsid w:val="3F8D3A97"/>
    <w:rsid w:val="3F8E74B7"/>
    <w:rsid w:val="3F8E7D59"/>
    <w:rsid w:val="3F93536F"/>
    <w:rsid w:val="3F97746F"/>
    <w:rsid w:val="3F980BD8"/>
    <w:rsid w:val="3F9A4950"/>
    <w:rsid w:val="3F9B2476"/>
    <w:rsid w:val="3F9E2F24"/>
    <w:rsid w:val="3F9E7240"/>
    <w:rsid w:val="3FA07A8C"/>
    <w:rsid w:val="3FA37D15"/>
    <w:rsid w:val="3FA42E4D"/>
    <w:rsid w:val="3FA57B79"/>
    <w:rsid w:val="3FA7706D"/>
    <w:rsid w:val="3FA86A4F"/>
    <w:rsid w:val="3FAA2106"/>
    <w:rsid w:val="3FB2205E"/>
    <w:rsid w:val="3FB2247C"/>
    <w:rsid w:val="3FB50C36"/>
    <w:rsid w:val="3FB6105E"/>
    <w:rsid w:val="3FBB48C6"/>
    <w:rsid w:val="3FBB5523"/>
    <w:rsid w:val="3FBB675E"/>
    <w:rsid w:val="3FBC70A9"/>
    <w:rsid w:val="3FC03C8B"/>
    <w:rsid w:val="3FC62D22"/>
    <w:rsid w:val="3FC65745"/>
    <w:rsid w:val="3FCB5E38"/>
    <w:rsid w:val="3FCC6AD3"/>
    <w:rsid w:val="3FCE63A8"/>
    <w:rsid w:val="3FCF3ECE"/>
    <w:rsid w:val="3FCF7B84"/>
    <w:rsid w:val="3FD53C6B"/>
    <w:rsid w:val="3FD70643"/>
    <w:rsid w:val="3FDD65EB"/>
    <w:rsid w:val="3FE060DB"/>
    <w:rsid w:val="3FE07E89"/>
    <w:rsid w:val="3FEA0D08"/>
    <w:rsid w:val="3FEA1EF2"/>
    <w:rsid w:val="3FEC675F"/>
    <w:rsid w:val="3FF019F4"/>
    <w:rsid w:val="3FF04570"/>
    <w:rsid w:val="3FF81676"/>
    <w:rsid w:val="3FFB252B"/>
    <w:rsid w:val="3FFB4CC3"/>
    <w:rsid w:val="4000052B"/>
    <w:rsid w:val="40077B0C"/>
    <w:rsid w:val="400B001F"/>
    <w:rsid w:val="400B3158"/>
    <w:rsid w:val="400C0C7E"/>
    <w:rsid w:val="400C205E"/>
    <w:rsid w:val="400D2BD1"/>
    <w:rsid w:val="4012098A"/>
    <w:rsid w:val="4013063E"/>
    <w:rsid w:val="40141163"/>
    <w:rsid w:val="40183AC7"/>
    <w:rsid w:val="401A15ED"/>
    <w:rsid w:val="401E3034"/>
    <w:rsid w:val="401E46B7"/>
    <w:rsid w:val="401E584A"/>
    <w:rsid w:val="401F30A7"/>
    <w:rsid w:val="40210BCD"/>
    <w:rsid w:val="4021297B"/>
    <w:rsid w:val="40232BB6"/>
    <w:rsid w:val="40241BD3"/>
    <w:rsid w:val="4024246B"/>
    <w:rsid w:val="40275AB8"/>
    <w:rsid w:val="4028272F"/>
    <w:rsid w:val="40297A82"/>
    <w:rsid w:val="402C1520"/>
    <w:rsid w:val="402E57D7"/>
    <w:rsid w:val="40316936"/>
    <w:rsid w:val="40324466"/>
    <w:rsid w:val="403326AF"/>
    <w:rsid w:val="40354679"/>
    <w:rsid w:val="4036334F"/>
    <w:rsid w:val="403703F1"/>
    <w:rsid w:val="40395473"/>
    <w:rsid w:val="403D52DB"/>
    <w:rsid w:val="403F042B"/>
    <w:rsid w:val="403F72A5"/>
    <w:rsid w:val="404448BC"/>
    <w:rsid w:val="40460634"/>
    <w:rsid w:val="40477F08"/>
    <w:rsid w:val="404D19C2"/>
    <w:rsid w:val="405014B2"/>
    <w:rsid w:val="40534AFF"/>
    <w:rsid w:val="405610C6"/>
    <w:rsid w:val="405745EF"/>
    <w:rsid w:val="4057711B"/>
    <w:rsid w:val="405A7C3B"/>
    <w:rsid w:val="405D597D"/>
    <w:rsid w:val="40621EDC"/>
    <w:rsid w:val="40646D0C"/>
    <w:rsid w:val="40657D71"/>
    <w:rsid w:val="40662A84"/>
    <w:rsid w:val="40672358"/>
    <w:rsid w:val="406A0466"/>
    <w:rsid w:val="406D3E12"/>
    <w:rsid w:val="406D5354"/>
    <w:rsid w:val="40713347"/>
    <w:rsid w:val="40716BF8"/>
    <w:rsid w:val="4072479D"/>
    <w:rsid w:val="40781723"/>
    <w:rsid w:val="407924B5"/>
    <w:rsid w:val="407D1B7C"/>
    <w:rsid w:val="407F2CCB"/>
    <w:rsid w:val="407F3B46"/>
    <w:rsid w:val="40826574"/>
    <w:rsid w:val="40840218"/>
    <w:rsid w:val="40844CB8"/>
    <w:rsid w:val="408973D9"/>
    <w:rsid w:val="408A2A5F"/>
    <w:rsid w:val="408D1DBF"/>
    <w:rsid w:val="408D5069"/>
    <w:rsid w:val="409018AF"/>
    <w:rsid w:val="40906D1B"/>
    <w:rsid w:val="40923879"/>
    <w:rsid w:val="40955117"/>
    <w:rsid w:val="409574E9"/>
    <w:rsid w:val="409610CA"/>
    <w:rsid w:val="409969B6"/>
    <w:rsid w:val="409A0980"/>
    <w:rsid w:val="409A44DC"/>
    <w:rsid w:val="409C567D"/>
    <w:rsid w:val="409D5D7A"/>
    <w:rsid w:val="409E549C"/>
    <w:rsid w:val="409F1AF2"/>
    <w:rsid w:val="40A13ABC"/>
    <w:rsid w:val="40A1586A"/>
    <w:rsid w:val="40A23390"/>
    <w:rsid w:val="40B03A35"/>
    <w:rsid w:val="40B03D74"/>
    <w:rsid w:val="40B41A41"/>
    <w:rsid w:val="40B87EA8"/>
    <w:rsid w:val="40B92FE2"/>
    <w:rsid w:val="40BA6355"/>
    <w:rsid w:val="40C17CBA"/>
    <w:rsid w:val="40C8729B"/>
    <w:rsid w:val="40CB6D8B"/>
    <w:rsid w:val="40CE2AB9"/>
    <w:rsid w:val="40CE4185"/>
    <w:rsid w:val="40D16787"/>
    <w:rsid w:val="40DA376D"/>
    <w:rsid w:val="40DA57F1"/>
    <w:rsid w:val="40DB5220"/>
    <w:rsid w:val="40DF6392"/>
    <w:rsid w:val="40E02836"/>
    <w:rsid w:val="40E439A9"/>
    <w:rsid w:val="40E63D94"/>
    <w:rsid w:val="40E67721"/>
    <w:rsid w:val="40EA513C"/>
    <w:rsid w:val="40EB11DB"/>
    <w:rsid w:val="40F05874"/>
    <w:rsid w:val="40F167F2"/>
    <w:rsid w:val="40F21062"/>
    <w:rsid w:val="40F260C6"/>
    <w:rsid w:val="40F63E08"/>
    <w:rsid w:val="40F7192E"/>
    <w:rsid w:val="40FA32D9"/>
    <w:rsid w:val="40FC2A5F"/>
    <w:rsid w:val="40FD6DCE"/>
    <w:rsid w:val="41010E9E"/>
    <w:rsid w:val="41012771"/>
    <w:rsid w:val="41063014"/>
    <w:rsid w:val="410A78B3"/>
    <w:rsid w:val="410F015D"/>
    <w:rsid w:val="410F4430"/>
    <w:rsid w:val="411058C0"/>
    <w:rsid w:val="41173388"/>
    <w:rsid w:val="411C1395"/>
    <w:rsid w:val="411E4559"/>
    <w:rsid w:val="41205106"/>
    <w:rsid w:val="412108AC"/>
    <w:rsid w:val="412546ED"/>
    <w:rsid w:val="41281A35"/>
    <w:rsid w:val="41287D39"/>
    <w:rsid w:val="412C782A"/>
    <w:rsid w:val="413540B1"/>
    <w:rsid w:val="41354204"/>
    <w:rsid w:val="413606A8"/>
    <w:rsid w:val="41362456"/>
    <w:rsid w:val="41391F47"/>
    <w:rsid w:val="41393CF5"/>
    <w:rsid w:val="413C37E5"/>
    <w:rsid w:val="413F18B2"/>
    <w:rsid w:val="413F2C56"/>
    <w:rsid w:val="41412BA9"/>
    <w:rsid w:val="41436921"/>
    <w:rsid w:val="414508EB"/>
    <w:rsid w:val="41451022"/>
    <w:rsid w:val="41452699"/>
    <w:rsid w:val="41456B3D"/>
    <w:rsid w:val="414601C0"/>
    <w:rsid w:val="414764A3"/>
    <w:rsid w:val="414A4154"/>
    <w:rsid w:val="414E62E5"/>
    <w:rsid w:val="414F3004"/>
    <w:rsid w:val="41511E82"/>
    <w:rsid w:val="41516AB9"/>
    <w:rsid w:val="41553829"/>
    <w:rsid w:val="415648A7"/>
    <w:rsid w:val="415B1EBD"/>
    <w:rsid w:val="41641B86"/>
    <w:rsid w:val="416835C8"/>
    <w:rsid w:val="416845DA"/>
    <w:rsid w:val="41697AF7"/>
    <w:rsid w:val="416F4B98"/>
    <w:rsid w:val="416F5968"/>
    <w:rsid w:val="41742F7F"/>
    <w:rsid w:val="41765F5A"/>
    <w:rsid w:val="4178604C"/>
    <w:rsid w:val="418132E9"/>
    <w:rsid w:val="418B6626"/>
    <w:rsid w:val="418D7E95"/>
    <w:rsid w:val="419158DF"/>
    <w:rsid w:val="41927676"/>
    <w:rsid w:val="41931657"/>
    <w:rsid w:val="41943621"/>
    <w:rsid w:val="41946A8A"/>
    <w:rsid w:val="4195639A"/>
    <w:rsid w:val="41986978"/>
    <w:rsid w:val="419D24D5"/>
    <w:rsid w:val="419E1DAA"/>
    <w:rsid w:val="419E3AB8"/>
    <w:rsid w:val="419E59BE"/>
    <w:rsid w:val="41A55A33"/>
    <w:rsid w:val="41A84607"/>
    <w:rsid w:val="41AC44C7"/>
    <w:rsid w:val="41AE46E3"/>
    <w:rsid w:val="41AE6B81"/>
    <w:rsid w:val="41B17D2F"/>
    <w:rsid w:val="41B31CF9"/>
    <w:rsid w:val="41B42253"/>
    <w:rsid w:val="41B72F70"/>
    <w:rsid w:val="41BB6E00"/>
    <w:rsid w:val="41BE11D2"/>
    <w:rsid w:val="41BE244C"/>
    <w:rsid w:val="41C77B45"/>
    <w:rsid w:val="41C97006"/>
    <w:rsid w:val="41CC5D09"/>
    <w:rsid w:val="41D27A48"/>
    <w:rsid w:val="41D30B02"/>
    <w:rsid w:val="41D80D83"/>
    <w:rsid w:val="41D852BC"/>
    <w:rsid w:val="41DC1D69"/>
    <w:rsid w:val="41DC3D66"/>
    <w:rsid w:val="41DF628C"/>
    <w:rsid w:val="41E07C98"/>
    <w:rsid w:val="41E225DE"/>
    <w:rsid w:val="41E33C60"/>
    <w:rsid w:val="41E40104"/>
    <w:rsid w:val="41E55A36"/>
    <w:rsid w:val="41E719A3"/>
    <w:rsid w:val="41E77BF5"/>
    <w:rsid w:val="41E859C2"/>
    <w:rsid w:val="41E940D6"/>
    <w:rsid w:val="41EB27F7"/>
    <w:rsid w:val="41EC520B"/>
    <w:rsid w:val="41EF3B98"/>
    <w:rsid w:val="41F219E0"/>
    <w:rsid w:val="41F45E6E"/>
    <w:rsid w:val="41F560D9"/>
    <w:rsid w:val="41F61BE6"/>
    <w:rsid w:val="41F808CE"/>
    <w:rsid w:val="41F93484"/>
    <w:rsid w:val="41FA176A"/>
    <w:rsid w:val="41FA5CB2"/>
    <w:rsid w:val="41FD0E53"/>
    <w:rsid w:val="41FF6CEC"/>
    <w:rsid w:val="42000CF9"/>
    <w:rsid w:val="42026F12"/>
    <w:rsid w:val="42042555"/>
    <w:rsid w:val="42044568"/>
    <w:rsid w:val="4206369D"/>
    <w:rsid w:val="42066D5B"/>
    <w:rsid w:val="42075BA1"/>
    <w:rsid w:val="420E3D47"/>
    <w:rsid w:val="421B164C"/>
    <w:rsid w:val="421B789E"/>
    <w:rsid w:val="42204EB5"/>
    <w:rsid w:val="42222C71"/>
    <w:rsid w:val="422363B5"/>
    <w:rsid w:val="42240004"/>
    <w:rsid w:val="4226071D"/>
    <w:rsid w:val="42274495"/>
    <w:rsid w:val="422B323C"/>
    <w:rsid w:val="422B5D33"/>
    <w:rsid w:val="422B7713"/>
    <w:rsid w:val="422C30CC"/>
    <w:rsid w:val="422E137F"/>
    <w:rsid w:val="423050F8"/>
    <w:rsid w:val="423224A3"/>
    <w:rsid w:val="42336996"/>
    <w:rsid w:val="4233787A"/>
    <w:rsid w:val="42360234"/>
    <w:rsid w:val="423B584A"/>
    <w:rsid w:val="423C120A"/>
    <w:rsid w:val="423D5A66"/>
    <w:rsid w:val="423F533B"/>
    <w:rsid w:val="42440A81"/>
    <w:rsid w:val="42472441"/>
    <w:rsid w:val="4249440B"/>
    <w:rsid w:val="42497F67"/>
    <w:rsid w:val="424E02AD"/>
    <w:rsid w:val="424E1A22"/>
    <w:rsid w:val="425132C0"/>
    <w:rsid w:val="4251506E"/>
    <w:rsid w:val="42536D5B"/>
    <w:rsid w:val="42540337"/>
    <w:rsid w:val="42562684"/>
    <w:rsid w:val="425C4AAE"/>
    <w:rsid w:val="425F778B"/>
    <w:rsid w:val="42611561"/>
    <w:rsid w:val="42613503"/>
    <w:rsid w:val="42663439"/>
    <w:rsid w:val="42666D6B"/>
    <w:rsid w:val="426A466F"/>
    <w:rsid w:val="426C25A8"/>
    <w:rsid w:val="426D4853"/>
    <w:rsid w:val="426E0F23"/>
    <w:rsid w:val="42727726"/>
    <w:rsid w:val="427A2817"/>
    <w:rsid w:val="427B7922"/>
    <w:rsid w:val="427D0CCE"/>
    <w:rsid w:val="427D230A"/>
    <w:rsid w:val="427D5E63"/>
    <w:rsid w:val="427E4504"/>
    <w:rsid w:val="427F1BDB"/>
    <w:rsid w:val="4280273E"/>
    <w:rsid w:val="42817701"/>
    <w:rsid w:val="42864F5B"/>
    <w:rsid w:val="42870A90"/>
    <w:rsid w:val="42892057"/>
    <w:rsid w:val="4290203A"/>
    <w:rsid w:val="429168C1"/>
    <w:rsid w:val="4292190E"/>
    <w:rsid w:val="42933DB2"/>
    <w:rsid w:val="42951A20"/>
    <w:rsid w:val="42972733"/>
    <w:rsid w:val="429A48F0"/>
    <w:rsid w:val="429B3630"/>
    <w:rsid w:val="42A8229B"/>
    <w:rsid w:val="42A96C58"/>
    <w:rsid w:val="42A97AE7"/>
    <w:rsid w:val="42AF2BEA"/>
    <w:rsid w:val="42AF682B"/>
    <w:rsid w:val="42B06238"/>
    <w:rsid w:val="42B15B0D"/>
    <w:rsid w:val="42B250CF"/>
    <w:rsid w:val="42B745D5"/>
    <w:rsid w:val="42B9333F"/>
    <w:rsid w:val="42BC0202"/>
    <w:rsid w:val="42BC2E2F"/>
    <w:rsid w:val="42C159A0"/>
    <w:rsid w:val="42C35F6C"/>
    <w:rsid w:val="42C41D89"/>
    <w:rsid w:val="42C45840"/>
    <w:rsid w:val="42CB6BCE"/>
    <w:rsid w:val="42CD0B98"/>
    <w:rsid w:val="42D12E7D"/>
    <w:rsid w:val="42D24401"/>
    <w:rsid w:val="42D334D2"/>
    <w:rsid w:val="42D44A08"/>
    <w:rsid w:val="42D628A5"/>
    <w:rsid w:val="42DC70F4"/>
    <w:rsid w:val="42DE57C7"/>
    <w:rsid w:val="42DF6B1E"/>
    <w:rsid w:val="42E12896"/>
    <w:rsid w:val="42E83C24"/>
    <w:rsid w:val="42EA174A"/>
    <w:rsid w:val="42EB54C2"/>
    <w:rsid w:val="42EE02D0"/>
    <w:rsid w:val="42EF274E"/>
    <w:rsid w:val="42F57F31"/>
    <w:rsid w:val="42F8373B"/>
    <w:rsid w:val="42FD2B88"/>
    <w:rsid w:val="42FE3A8C"/>
    <w:rsid w:val="430420E0"/>
    <w:rsid w:val="43065E58"/>
    <w:rsid w:val="43081841"/>
    <w:rsid w:val="430B16C1"/>
    <w:rsid w:val="430B4CAE"/>
    <w:rsid w:val="430B7913"/>
    <w:rsid w:val="430D5439"/>
    <w:rsid w:val="430E7011"/>
    <w:rsid w:val="43144A19"/>
    <w:rsid w:val="431474E3"/>
    <w:rsid w:val="43147B68"/>
    <w:rsid w:val="43151FA6"/>
    <w:rsid w:val="43157F9B"/>
    <w:rsid w:val="43160791"/>
    <w:rsid w:val="431C567C"/>
    <w:rsid w:val="431F4E4D"/>
    <w:rsid w:val="431F6F1A"/>
    <w:rsid w:val="43205ED1"/>
    <w:rsid w:val="432509D4"/>
    <w:rsid w:val="43251A0D"/>
    <w:rsid w:val="43291B47"/>
    <w:rsid w:val="432A7D99"/>
    <w:rsid w:val="43311E69"/>
    <w:rsid w:val="43324E9F"/>
    <w:rsid w:val="433367ED"/>
    <w:rsid w:val="43340C18"/>
    <w:rsid w:val="43341EB8"/>
    <w:rsid w:val="433462CE"/>
    <w:rsid w:val="43370708"/>
    <w:rsid w:val="433724B6"/>
    <w:rsid w:val="433B1FA6"/>
    <w:rsid w:val="433B2FD9"/>
    <w:rsid w:val="43443F6B"/>
    <w:rsid w:val="43456D9C"/>
    <w:rsid w:val="4348021F"/>
    <w:rsid w:val="434A21E9"/>
    <w:rsid w:val="434D3A87"/>
    <w:rsid w:val="43503578"/>
    <w:rsid w:val="435412BA"/>
    <w:rsid w:val="435C3CCA"/>
    <w:rsid w:val="43607C5E"/>
    <w:rsid w:val="43623DE4"/>
    <w:rsid w:val="43653ADA"/>
    <w:rsid w:val="43654793"/>
    <w:rsid w:val="43664E65"/>
    <w:rsid w:val="436E6CBC"/>
    <w:rsid w:val="43747266"/>
    <w:rsid w:val="43755B12"/>
    <w:rsid w:val="43790D20"/>
    <w:rsid w:val="437A0885"/>
    <w:rsid w:val="437B6846"/>
    <w:rsid w:val="437E1E93"/>
    <w:rsid w:val="438020AF"/>
    <w:rsid w:val="43807F75"/>
    <w:rsid w:val="43856775"/>
    <w:rsid w:val="4387343D"/>
    <w:rsid w:val="438F22F2"/>
    <w:rsid w:val="43910ACD"/>
    <w:rsid w:val="43911BC6"/>
    <w:rsid w:val="43911EEB"/>
    <w:rsid w:val="439270F8"/>
    <w:rsid w:val="439527E1"/>
    <w:rsid w:val="43964C01"/>
    <w:rsid w:val="4396542E"/>
    <w:rsid w:val="439728B3"/>
    <w:rsid w:val="439C056B"/>
    <w:rsid w:val="439D4D79"/>
    <w:rsid w:val="439D5133"/>
    <w:rsid w:val="43A062AD"/>
    <w:rsid w:val="43A3069B"/>
    <w:rsid w:val="43A63197"/>
    <w:rsid w:val="43AA712C"/>
    <w:rsid w:val="43AD2778"/>
    <w:rsid w:val="43AD4526"/>
    <w:rsid w:val="43B91BED"/>
    <w:rsid w:val="43B9736F"/>
    <w:rsid w:val="43BC29BB"/>
    <w:rsid w:val="43C24475"/>
    <w:rsid w:val="43C26223"/>
    <w:rsid w:val="43CA012F"/>
    <w:rsid w:val="43CA7AC6"/>
    <w:rsid w:val="43CC0D57"/>
    <w:rsid w:val="43CF0940"/>
    <w:rsid w:val="43D877F5"/>
    <w:rsid w:val="43D917BF"/>
    <w:rsid w:val="43D9531B"/>
    <w:rsid w:val="43DE23B3"/>
    <w:rsid w:val="43E066A9"/>
    <w:rsid w:val="43E1775F"/>
    <w:rsid w:val="43E37B64"/>
    <w:rsid w:val="43E43C44"/>
    <w:rsid w:val="43E837B0"/>
    <w:rsid w:val="43EA06B6"/>
    <w:rsid w:val="43EB2FE6"/>
    <w:rsid w:val="43EC32A0"/>
    <w:rsid w:val="43EE0B28"/>
    <w:rsid w:val="43EF0FE2"/>
    <w:rsid w:val="43F54BF4"/>
    <w:rsid w:val="43F81C45"/>
    <w:rsid w:val="43FB1735"/>
    <w:rsid w:val="43FB7987"/>
    <w:rsid w:val="43FD36FF"/>
    <w:rsid w:val="43FD54AD"/>
    <w:rsid w:val="43FE2FD4"/>
    <w:rsid w:val="4402453B"/>
    <w:rsid w:val="44044A8E"/>
    <w:rsid w:val="44084152"/>
    <w:rsid w:val="44093E52"/>
    <w:rsid w:val="44095C00"/>
    <w:rsid w:val="440A3726"/>
    <w:rsid w:val="44196207"/>
    <w:rsid w:val="441C79C2"/>
    <w:rsid w:val="441F5424"/>
    <w:rsid w:val="4420119C"/>
    <w:rsid w:val="44201EC6"/>
    <w:rsid w:val="44245098"/>
    <w:rsid w:val="44250560"/>
    <w:rsid w:val="442567B2"/>
    <w:rsid w:val="442742D8"/>
    <w:rsid w:val="44291920"/>
    <w:rsid w:val="442C303A"/>
    <w:rsid w:val="443133A9"/>
    <w:rsid w:val="44315157"/>
    <w:rsid w:val="44376ED5"/>
    <w:rsid w:val="44384737"/>
    <w:rsid w:val="443A2396"/>
    <w:rsid w:val="4440539A"/>
    <w:rsid w:val="444066D4"/>
    <w:rsid w:val="44415A25"/>
    <w:rsid w:val="444278FF"/>
    <w:rsid w:val="444924A1"/>
    <w:rsid w:val="444F55DD"/>
    <w:rsid w:val="4452329B"/>
    <w:rsid w:val="445A46AE"/>
    <w:rsid w:val="445A645C"/>
    <w:rsid w:val="445B0426"/>
    <w:rsid w:val="445D1118"/>
    <w:rsid w:val="445D2EF2"/>
    <w:rsid w:val="4465463E"/>
    <w:rsid w:val="446612A5"/>
    <w:rsid w:val="44670CE2"/>
    <w:rsid w:val="44674C13"/>
    <w:rsid w:val="44676DCB"/>
    <w:rsid w:val="446D460A"/>
    <w:rsid w:val="446E3C56"/>
    <w:rsid w:val="447514E8"/>
    <w:rsid w:val="44782D86"/>
    <w:rsid w:val="447872FD"/>
    <w:rsid w:val="447A6AFE"/>
    <w:rsid w:val="448434D9"/>
    <w:rsid w:val="448718D0"/>
    <w:rsid w:val="448E07FB"/>
    <w:rsid w:val="448E5F12"/>
    <w:rsid w:val="44916928"/>
    <w:rsid w:val="4492209A"/>
    <w:rsid w:val="44957494"/>
    <w:rsid w:val="44986F84"/>
    <w:rsid w:val="449A2E39"/>
    <w:rsid w:val="449F0313"/>
    <w:rsid w:val="449F3A39"/>
    <w:rsid w:val="449F47B6"/>
    <w:rsid w:val="44A116D8"/>
    <w:rsid w:val="44A122DD"/>
    <w:rsid w:val="44A678F3"/>
    <w:rsid w:val="44A818BD"/>
    <w:rsid w:val="44B07702"/>
    <w:rsid w:val="44B3648B"/>
    <w:rsid w:val="44B6565C"/>
    <w:rsid w:val="44BA6EFA"/>
    <w:rsid w:val="44BC7116"/>
    <w:rsid w:val="44BD2F35"/>
    <w:rsid w:val="44BF67C7"/>
    <w:rsid w:val="44C1472D"/>
    <w:rsid w:val="44C17BDD"/>
    <w:rsid w:val="44C653C5"/>
    <w:rsid w:val="44C7096D"/>
    <w:rsid w:val="44CB55AC"/>
    <w:rsid w:val="44CC2378"/>
    <w:rsid w:val="44CE29A6"/>
    <w:rsid w:val="44D06DB8"/>
    <w:rsid w:val="44D474EF"/>
    <w:rsid w:val="44D501D8"/>
    <w:rsid w:val="44D51F86"/>
    <w:rsid w:val="44D54762"/>
    <w:rsid w:val="44D6014B"/>
    <w:rsid w:val="44D75CFE"/>
    <w:rsid w:val="44D81A76"/>
    <w:rsid w:val="44DA57EF"/>
    <w:rsid w:val="44DA7358"/>
    <w:rsid w:val="44DC1567"/>
    <w:rsid w:val="44E35638"/>
    <w:rsid w:val="44E64193"/>
    <w:rsid w:val="44E87F0C"/>
    <w:rsid w:val="44ED76B2"/>
    <w:rsid w:val="44EF0E8E"/>
    <w:rsid w:val="44F02A36"/>
    <w:rsid w:val="44F07327"/>
    <w:rsid w:val="44F248E6"/>
    <w:rsid w:val="44F26671"/>
    <w:rsid w:val="44F3240C"/>
    <w:rsid w:val="44F7014F"/>
    <w:rsid w:val="44F87E27"/>
    <w:rsid w:val="44FA7BEF"/>
    <w:rsid w:val="44FB1DEC"/>
    <w:rsid w:val="44FE772F"/>
    <w:rsid w:val="45080E8A"/>
    <w:rsid w:val="45097E82"/>
    <w:rsid w:val="450C21F2"/>
    <w:rsid w:val="450E7246"/>
    <w:rsid w:val="45120AE5"/>
    <w:rsid w:val="45172404"/>
    <w:rsid w:val="45196317"/>
    <w:rsid w:val="45210735"/>
    <w:rsid w:val="45227082"/>
    <w:rsid w:val="45246A6A"/>
    <w:rsid w:val="45260A34"/>
    <w:rsid w:val="4528133D"/>
    <w:rsid w:val="45295074"/>
    <w:rsid w:val="452B429C"/>
    <w:rsid w:val="452C2417"/>
    <w:rsid w:val="452E1696"/>
    <w:rsid w:val="452F5B3A"/>
    <w:rsid w:val="45303661"/>
    <w:rsid w:val="4530540F"/>
    <w:rsid w:val="453374A0"/>
    <w:rsid w:val="45356EC9"/>
    <w:rsid w:val="453953D1"/>
    <w:rsid w:val="453A628D"/>
    <w:rsid w:val="453C2005"/>
    <w:rsid w:val="4542115E"/>
    <w:rsid w:val="45433394"/>
    <w:rsid w:val="454669E0"/>
    <w:rsid w:val="45482758"/>
    <w:rsid w:val="454B049A"/>
    <w:rsid w:val="454B6C29"/>
    <w:rsid w:val="45513D03"/>
    <w:rsid w:val="455309A5"/>
    <w:rsid w:val="455713BA"/>
    <w:rsid w:val="45574AAC"/>
    <w:rsid w:val="45576E3F"/>
    <w:rsid w:val="45583241"/>
    <w:rsid w:val="45592BB7"/>
    <w:rsid w:val="45594965"/>
    <w:rsid w:val="455A01AB"/>
    <w:rsid w:val="455E0543"/>
    <w:rsid w:val="45661ACE"/>
    <w:rsid w:val="45667082"/>
    <w:rsid w:val="456926CF"/>
    <w:rsid w:val="4569335F"/>
    <w:rsid w:val="456A6B72"/>
    <w:rsid w:val="456B61E8"/>
    <w:rsid w:val="45725A27"/>
    <w:rsid w:val="45737F88"/>
    <w:rsid w:val="457A62DE"/>
    <w:rsid w:val="457B0D80"/>
    <w:rsid w:val="457F5031"/>
    <w:rsid w:val="45800144"/>
    <w:rsid w:val="4586777B"/>
    <w:rsid w:val="4588524B"/>
    <w:rsid w:val="458A25F6"/>
    <w:rsid w:val="458A540E"/>
    <w:rsid w:val="458B0897"/>
    <w:rsid w:val="458E3E27"/>
    <w:rsid w:val="458F65D9"/>
    <w:rsid w:val="458F7371"/>
    <w:rsid w:val="4594599D"/>
    <w:rsid w:val="459E4A6E"/>
    <w:rsid w:val="45A007E6"/>
    <w:rsid w:val="45A32084"/>
    <w:rsid w:val="45A73923"/>
    <w:rsid w:val="45A81449"/>
    <w:rsid w:val="45AA3413"/>
    <w:rsid w:val="45AC6899"/>
    <w:rsid w:val="45B002FD"/>
    <w:rsid w:val="45B222C8"/>
    <w:rsid w:val="45B23521"/>
    <w:rsid w:val="45B24076"/>
    <w:rsid w:val="45B47DEE"/>
    <w:rsid w:val="45BB3317"/>
    <w:rsid w:val="45C0619F"/>
    <w:rsid w:val="45C06792"/>
    <w:rsid w:val="45C142B9"/>
    <w:rsid w:val="45C36283"/>
    <w:rsid w:val="45D00874"/>
    <w:rsid w:val="45D466E2"/>
    <w:rsid w:val="45D91E81"/>
    <w:rsid w:val="45D92E9F"/>
    <w:rsid w:val="45DC5398"/>
    <w:rsid w:val="45DF1C93"/>
    <w:rsid w:val="45E0753B"/>
    <w:rsid w:val="45E56A2B"/>
    <w:rsid w:val="45E87A97"/>
    <w:rsid w:val="45EC3A2B"/>
    <w:rsid w:val="45EC7588"/>
    <w:rsid w:val="45ED486E"/>
    <w:rsid w:val="45EE39A6"/>
    <w:rsid w:val="45F12DF0"/>
    <w:rsid w:val="45F46709"/>
    <w:rsid w:val="45F56C67"/>
    <w:rsid w:val="45F60406"/>
    <w:rsid w:val="45F67580"/>
    <w:rsid w:val="45F81B5F"/>
    <w:rsid w:val="45FE72BB"/>
    <w:rsid w:val="46003033"/>
    <w:rsid w:val="460074D7"/>
    <w:rsid w:val="46054AED"/>
    <w:rsid w:val="46072613"/>
    <w:rsid w:val="4609638B"/>
    <w:rsid w:val="460A5C60"/>
    <w:rsid w:val="460B164C"/>
    <w:rsid w:val="461207DE"/>
    <w:rsid w:val="46130FB8"/>
    <w:rsid w:val="46177262"/>
    <w:rsid w:val="461807D7"/>
    <w:rsid w:val="461B1C1B"/>
    <w:rsid w:val="461D1E37"/>
    <w:rsid w:val="4621127E"/>
    <w:rsid w:val="4622744D"/>
    <w:rsid w:val="46265FEC"/>
    <w:rsid w:val="4627674C"/>
    <w:rsid w:val="46277F1D"/>
    <w:rsid w:val="462C207A"/>
    <w:rsid w:val="462D1224"/>
    <w:rsid w:val="462D59F3"/>
    <w:rsid w:val="462E5DF2"/>
    <w:rsid w:val="462F56C6"/>
    <w:rsid w:val="46305CEA"/>
    <w:rsid w:val="4631143E"/>
    <w:rsid w:val="463B050F"/>
    <w:rsid w:val="463E3B5B"/>
    <w:rsid w:val="463F4088"/>
    <w:rsid w:val="463F4A63"/>
    <w:rsid w:val="46401681"/>
    <w:rsid w:val="46441477"/>
    <w:rsid w:val="46456C98"/>
    <w:rsid w:val="46466965"/>
    <w:rsid w:val="464A2500"/>
    <w:rsid w:val="464C6278"/>
    <w:rsid w:val="464D3B7F"/>
    <w:rsid w:val="464E066E"/>
    <w:rsid w:val="464E1FF0"/>
    <w:rsid w:val="46511A49"/>
    <w:rsid w:val="4654614B"/>
    <w:rsid w:val="465C539B"/>
    <w:rsid w:val="465D0485"/>
    <w:rsid w:val="465E1988"/>
    <w:rsid w:val="465E1F49"/>
    <w:rsid w:val="465F586F"/>
    <w:rsid w:val="46654C28"/>
    <w:rsid w:val="4665733A"/>
    <w:rsid w:val="46665782"/>
    <w:rsid w:val="466858A9"/>
    <w:rsid w:val="4669507C"/>
    <w:rsid w:val="466C6B04"/>
    <w:rsid w:val="46733805"/>
    <w:rsid w:val="4674757D"/>
    <w:rsid w:val="46767799"/>
    <w:rsid w:val="467D73E4"/>
    <w:rsid w:val="46801020"/>
    <w:rsid w:val="46805B79"/>
    <w:rsid w:val="46805F22"/>
    <w:rsid w:val="46841EB6"/>
    <w:rsid w:val="46862ED8"/>
    <w:rsid w:val="468679DC"/>
    <w:rsid w:val="46893028"/>
    <w:rsid w:val="46902609"/>
    <w:rsid w:val="4694615B"/>
    <w:rsid w:val="4694716E"/>
    <w:rsid w:val="469B2D5C"/>
    <w:rsid w:val="469F284C"/>
    <w:rsid w:val="469F45FA"/>
    <w:rsid w:val="46A01807"/>
    <w:rsid w:val="46A11681"/>
    <w:rsid w:val="46A2058E"/>
    <w:rsid w:val="46A61E2C"/>
    <w:rsid w:val="46A64E3E"/>
    <w:rsid w:val="46AC31BB"/>
    <w:rsid w:val="46AC4F69"/>
    <w:rsid w:val="46AE2A8F"/>
    <w:rsid w:val="46AE6F33"/>
    <w:rsid w:val="46AE7BBD"/>
    <w:rsid w:val="46B1257F"/>
    <w:rsid w:val="46B1432D"/>
    <w:rsid w:val="46B23EE8"/>
    <w:rsid w:val="46B32002"/>
    <w:rsid w:val="46B502C1"/>
    <w:rsid w:val="46BB4EF8"/>
    <w:rsid w:val="46BC634D"/>
    <w:rsid w:val="46BD0F24"/>
    <w:rsid w:val="46BD2CD2"/>
    <w:rsid w:val="46C03FD3"/>
    <w:rsid w:val="46C11D93"/>
    <w:rsid w:val="46C40504"/>
    <w:rsid w:val="46C60E54"/>
    <w:rsid w:val="46C73B51"/>
    <w:rsid w:val="46C95B1B"/>
    <w:rsid w:val="46CB53EF"/>
    <w:rsid w:val="46CC73B9"/>
    <w:rsid w:val="46CC7AD8"/>
    <w:rsid w:val="46CE1383"/>
    <w:rsid w:val="46D02A05"/>
    <w:rsid w:val="46D22C21"/>
    <w:rsid w:val="46D31D93"/>
    <w:rsid w:val="46D70238"/>
    <w:rsid w:val="46D964E0"/>
    <w:rsid w:val="46DB13AA"/>
    <w:rsid w:val="46DD3329"/>
    <w:rsid w:val="46E06CFB"/>
    <w:rsid w:val="46E131BE"/>
    <w:rsid w:val="46E13E64"/>
    <w:rsid w:val="46E22739"/>
    <w:rsid w:val="46E73DF6"/>
    <w:rsid w:val="46EB7948"/>
    <w:rsid w:val="46EC0F77"/>
    <w:rsid w:val="46ED2ABE"/>
    <w:rsid w:val="46F26E20"/>
    <w:rsid w:val="46F506BE"/>
    <w:rsid w:val="46F81F5C"/>
    <w:rsid w:val="46FA07D1"/>
    <w:rsid w:val="46FA3F26"/>
    <w:rsid w:val="46FA73EB"/>
    <w:rsid w:val="46FB5084"/>
    <w:rsid w:val="46FC37FA"/>
    <w:rsid w:val="46FE18DA"/>
    <w:rsid w:val="47061A14"/>
    <w:rsid w:val="470A192F"/>
    <w:rsid w:val="470D5A07"/>
    <w:rsid w:val="470D709C"/>
    <w:rsid w:val="4710374A"/>
    <w:rsid w:val="47135858"/>
    <w:rsid w:val="4719497A"/>
    <w:rsid w:val="471D4641"/>
    <w:rsid w:val="471D7DA5"/>
    <w:rsid w:val="47295356"/>
    <w:rsid w:val="472E1928"/>
    <w:rsid w:val="47351311"/>
    <w:rsid w:val="47393020"/>
    <w:rsid w:val="473A2575"/>
    <w:rsid w:val="473C009B"/>
    <w:rsid w:val="473F5BC6"/>
    <w:rsid w:val="4741315E"/>
    <w:rsid w:val="47457D8C"/>
    <w:rsid w:val="4747173E"/>
    <w:rsid w:val="474927B8"/>
    <w:rsid w:val="47501D98"/>
    <w:rsid w:val="475278BE"/>
    <w:rsid w:val="475934F8"/>
    <w:rsid w:val="475E2707"/>
    <w:rsid w:val="47620B70"/>
    <w:rsid w:val="47653656"/>
    <w:rsid w:val="476615BC"/>
    <w:rsid w:val="47677AF5"/>
    <w:rsid w:val="476870E2"/>
    <w:rsid w:val="47705F96"/>
    <w:rsid w:val="477261B2"/>
    <w:rsid w:val="477A76BA"/>
    <w:rsid w:val="477E227F"/>
    <w:rsid w:val="47812C3D"/>
    <w:rsid w:val="47824B30"/>
    <w:rsid w:val="47833F1C"/>
    <w:rsid w:val="478A30C7"/>
    <w:rsid w:val="478F28C0"/>
    <w:rsid w:val="478F5094"/>
    <w:rsid w:val="47975C19"/>
    <w:rsid w:val="479C4FDD"/>
    <w:rsid w:val="479C6D8B"/>
    <w:rsid w:val="47A04ACD"/>
    <w:rsid w:val="47A10846"/>
    <w:rsid w:val="47A304BD"/>
    <w:rsid w:val="47A65E5C"/>
    <w:rsid w:val="47B035A0"/>
    <w:rsid w:val="47B070CC"/>
    <w:rsid w:val="47B24801"/>
    <w:rsid w:val="47B31434"/>
    <w:rsid w:val="47B66A30"/>
    <w:rsid w:val="47B71E17"/>
    <w:rsid w:val="47B7441E"/>
    <w:rsid w:val="47B75973"/>
    <w:rsid w:val="47C05A64"/>
    <w:rsid w:val="47C65A96"/>
    <w:rsid w:val="47CA56A6"/>
    <w:rsid w:val="47CB141F"/>
    <w:rsid w:val="47CE66CD"/>
    <w:rsid w:val="47D26C51"/>
    <w:rsid w:val="47D756CB"/>
    <w:rsid w:val="47D93B3C"/>
    <w:rsid w:val="47DC362C"/>
    <w:rsid w:val="47DE55F6"/>
    <w:rsid w:val="47DE73A4"/>
    <w:rsid w:val="47E233FF"/>
    <w:rsid w:val="47E56984"/>
    <w:rsid w:val="47E744AA"/>
    <w:rsid w:val="47E81FD1"/>
    <w:rsid w:val="47E863B1"/>
    <w:rsid w:val="47EC0B0F"/>
    <w:rsid w:val="47F74D28"/>
    <w:rsid w:val="47F941DE"/>
    <w:rsid w:val="47FE33DA"/>
    <w:rsid w:val="47FF1015"/>
    <w:rsid w:val="48030BB8"/>
    <w:rsid w:val="48052B82"/>
    <w:rsid w:val="48054B73"/>
    <w:rsid w:val="48074B4D"/>
    <w:rsid w:val="480C3F11"/>
    <w:rsid w:val="480C5CBF"/>
    <w:rsid w:val="480D3502"/>
    <w:rsid w:val="480E5EDB"/>
    <w:rsid w:val="480F57AF"/>
    <w:rsid w:val="48111527"/>
    <w:rsid w:val="481A70F6"/>
    <w:rsid w:val="481B23A6"/>
    <w:rsid w:val="4820176A"/>
    <w:rsid w:val="482079BC"/>
    <w:rsid w:val="48254FD3"/>
    <w:rsid w:val="48284AC3"/>
    <w:rsid w:val="482974D0"/>
    <w:rsid w:val="482F5E51"/>
    <w:rsid w:val="483039B0"/>
    <w:rsid w:val="48315726"/>
    <w:rsid w:val="4832149E"/>
    <w:rsid w:val="483416BA"/>
    <w:rsid w:val="4835298D"/>
    <w:rsid w:val="4839282C"/>
    <w:rsid w:val="483F42E6"/>
    <w:rsid w:val="48401E0D"/>
    <w:rsid w:val="48483FF3"/>
    <w:rsid w:val="48497FEE"/>
    <w:rsid w:val="484D0086"/>
    <w:rsid w:val="4856518C"/>
    <w:rsid w:val="485671BC"/>
    <w:rsid w:val="48567CB8"/>
    <w:rsid w:val="485756B9"/>
    <w:rsid w:val="485B27A2"/>
    <w:rsid w:val="485B664E"/>
    <w:rsid w:val="485B6C46"/>
    <w:rsid w:val="485C3DC6"/>
    <w:rsid w:val="485F74F2"/>
    <w:rsid w:val="48602023"/>
    <w:rsid w:val="486242FA"/>
    <w:rsid w:val="48645AFB"/>
    <w:rsid w:val="48653621"/>
    <w:rsid w:val="48671147"/>
    <w:rsid w:val="486A7F63"/>
    <w:rsid w:val="486C0E54"/>
    <w:rsid w:val="487A531F"/>
    <w:rsid w:val="487A7FA6"/>
    <w:rsid w:val="487B1097"/>
    <w:rsid w:val="48813AA5"/>
    <w:rsid w:val="48831CF9"/>
    <w:rsid w:val="48861F15"/>
    <w:rsid w:val="48873598"/>
    <w:rsid w:val="48887C87"/>
    <w:rsid w:val="48897310"/>
    <w:rsid w:val="489839F7"/>
    <w:rsid w:val="48994295"/>
    <w:rsid w:val="489A776F"/>
    <w:rsid w:val="489B7043"/>
    <w:rsid w:val="489D4C33"/>
    <w:rsid w:val="48A028AB"/>
    <w:rsid w:val="48A405ED"/>
    <w:rsid w:val="48A56114"/>
    <w:rsid w:val="48AD10E3"/>
    <w:rsid w:val="48AF2AEE"/>
    <w:rsid w:val="48BE00D1"/>
    <w:rsid w:val="48BE2200"/>
    <w:rsid w:val="48C04CFB"/>
    <w:rsid w:val="48C711E3"/>
    <w:rsid w:val="48CB5B7A"/>
    <w:rsid w:val="48CD1173"/>
    <w:rsid w:val="48CD1B1A"/>
    <w:rsid w:val="48CF7FC0"/>
    <w:rsid w:val="48D03190"/>
    <w:rsid w:val="48D172E0"/>
    <w:rsid w:val="48D6451F"/>
    <w:rsid w:val="48D72771"/>
    <w:rsid w:val="48D82045"/>
    <w:rsid w:val="48DA07D7"/>
    <w:rsid w:val="48E32368"/>
    <w:rsid w:val="48E44E8E"/>
    <w:rsid w:val="48E46C3C"/>
    <w:rsid w:val="48E5335E"/>
    <w:rsid w:val="48E56510"/>
    <w:rsid w:val="48E640C7"/>
    <w:rsid w:val="48E872EB"/>
    <w:rsid w:val="48EE7ABB"/>
    <w:rsid w:val="48EF4135"/>
    <w:rsid w:val="48F23662"/>
    <w:rsid w:val="48F549A5"/>
    <w:rsid w:val="48F74BC1"/>
    <w:rsid w:val="48F7696F"/>
    <w:rsid w:val="48F826E7"/>
    <w:rsid w:val="48FA020D"/>
    <w:rsid w:val="48FC21D7"/>
    <w:rsid w:val="49025314"/>
    <w:rsid w:val="49042E3A"/>
    <w:rsid w:val="4907292A"/>
    <w:rsid w:val="490818E9"/>
    <w:rsid w:val="49085AF3"/>
    <w:rsid w:val="490916F4"/>
    <w:rsid w:val="49105C83"/>
    <w:rsid w:val="49107A31"/>
    <w:rsid w:val="49153299"/>
    <w:rsid w:val="49164C48"/>
    <w:rsid w:val="49180694"/>
    <w:rsid w:val="491D214E"/>
    <w:rsid w:val="491E3D44"/>
    <w:rsid w:val="491F1A22"/>
    <w:rsid w:val="491F7C74"/>
    <w:rsid w:val="49211C3E"/>
    <w:rsid w:val="492125A0"/>
    <w:rsid w:val="49262DB0"/>
    <w:rsid w:val="49284D7B"/>
    <w:rsid w:val="49297430"/>
    <w:rsid w:val="492A5348"/>
    <w:rsid w:val="49301F00"/>
    <w:rsid w:val="493059DD"/>
    <w:rsid w:val="49331971"/>
    <w:rsid w:val="4933371F"/>
    <w:rsid w:val="493F3E72"/>
    <w:rsid w:val="49425710"/>
    <w:rsid w:val="49463453"/>
    <w:rsid w:val="49471EF4"/>
    <w:rsid w:val="49496A9F"/>
    <w:rsid w:val="494B2817"/>
    <w:rsid w:val="494B72EB"/>
    <w:rsid w:val="494E0559"/>
    <w:rsid w:val="494E361F"/>
    <w:rsid w:val="4950636D"/>
    <w:rsid w:val="49520049"/>
    <w:rsid w:val="49527517"/>
    <w:rsid w:val="49581990"/>
    <w:rsid w:val="495A7384"/>
    <w:rsid w:val="495C67D2"/>
    <w:rsid w:val="495E76CE"/>
    <w:rsid w:val="496658A3"/>
    <w:rsid w:val="496A7F66"/>
    <w:rsid w:val="49706721"/>
    <w:rsid w:val="49706D54"/>
    <w:rsid w:val="4974519D"/>
    <w:rsid w:val="49781705"/>
    <w:rsid w:val="49836455"/>
    <w:rsid w:val="498B5309"/>
    <w:rsid w:val="498B7B96"/>
    <w:rsid w:val="49920446"/>
    <w:rsid w:val="49923E08"/>
    <w:rsid w:val="49940662"/>
    <w:rsid w:val="49975A5C"/>
    <w:rsid w:val="49997A26"/>
    <w:rsid w:val="499E503D"/>
    <w:rsid w:val="49A10689"/>
    <w:rsid w:val="49A168DB"/>
    <w:rsid w:val="49A5461D"/>
    <w:rsid w:val="49A63890"/>
    <w:rsid w:val="49A81A17"/>
    <w:rsid w:val="49A87C69"/>
    <w:rsid w:val="49AA39E1"/>
    <w:rsid w:val="49AB4142"/>
    <w:rsid w:val="49AD5280"/>
    <w:rsid w:val="49AE0DB3"/>
    <w:rsid w:val="49B36A6C"/>
    <w:rsid w:val="49B50F38"/>
    <w:rsid w:val="49B85C3D"/>
    <w:rsid w:val="49BC1967"/>
    <w:rsid w:val="49BD39E0"/>
    <w:rsid w:val="49BE0EEE"/>
    <w:rsid w:val="49BE123B"/>
    <w:rsid w:val="49C8156E"/>
    <w:rsid w:val="49CB3958"/>
    <w:rsid w:val="49CD774B"/>
    <w:rsid w:val="49D01A65"/>
    <w:rsid w:val="49D2118A"/>
    <w:rsid w:val="49D24CE6"/>
    <w:rsid w:val="49D70FB6"/>
    <w:rsid w:val="49DC3DB7"/>
    <w:rsid w:val="49DE7B2F"/>
    <w:rsid w:val="49DF64BD"/>
    <w:rsid w:val="49E24D81"/>
    <w:rsid w:val="49E74F9E"/>
    <w:rsid w:val="49E8275C"/>
    <w:rsid w:val="49E862B8"/>
    <w:rsid w:val="49EF3AEA"/>
    <w:rsid w:val="49F30BE7"/>
    <w:rsid w:val="49F74177"/>
    <w:rsid w:val="49FA5FEB"/>
    <w:rsid w:val="49FB277C"/>
    <w:rsid w:val="49FC0501"/>
    <w:rsid w:val="49FC7FB5"/>
    <w:rsid w:val="4A031344"/>
    <w:rsid w:val="4A0330F2"/>
    <w:rsid w:val="4A050C18"/>
    <w:rsid w:val="4A05330E"/>
    <w:rsid w:val="4A070EF8"/>
    <w:rsid w:val="4A0A4480"/>
    <w:rsid w:val="4A0C644A"/>
    <w:rsid w:val="4A0D6BF8"/>
    <w:rsid w:val="4A0F1A96"/>
    <w:rsid w:val="4A1518A2"/>
    <w:rsid w:val="4A176B9D"/>
    <w:rsid w:val="4A1946C3"/>
    <w:rsid w:val="4A1B668D"/>
    <w:rsid w:val="4A1B68CF"/>
    <w:rsid w:val="4A1C25C3"/>
    <w:rsid w:val="4A1E617D"/>
    <w:rsid w:val="4A201EF6"/>
    <w:rsid w:val="4A262CA0"/>
    <w:rsid w:val="4A2C089A"/>
    <w:rsid w:val="4A2D4613"/>
    <w:rsid w:val="4A2D63C1"/>
    <w:rsid w:val="4A2F2139"/>
    <w:rsid w:val="4A3241BC"/>
    <w:rsid w:val="4A331C29"/>
    <w:rsid w:val="4A38016A"/>
    <w:rsid w:val="4A385857"/>
    <w:rsid w:val="4A38723F"/>
    <w:rsid w:val="4A3B6D2F"/>
    <w:rsid w:val="4A4469AD"/>
    <w:rsid w:val="4A4A2ACF"/>
    <w:rsid w:val="4A4F3A29"/>
    <w:rsid w:val="4A563B69"/>
    <w:rsid w:val="4A57427F"/>
    <w:rsid w:val="4A58343D"/>
    <w:rsid w:val="4A5C330D"/>
    <w:rsid w:val="4A5D6CA6"/>
    <w:rsid w:val="4A5E47CC"/>
    <w:rsid w:val="4A60533E"/>
    <w:rsid w:val="4A636E05"/>
    <w:rsid w:val="4A645948"/>
    <w:rsid w:val="4A6718D3"/>
    <w:rsid w:val="4A693EDF"/>
    <w:rsid w:val="4A6B66E3"/>
    <w:rsid w:val="4A6D6E17"/>
    <w:rsid w:val="4A6E0EB3"/>
    <w:rsid w:val="4A6F2535"/>
    <w:rsid w:val="4A6F5691"/>
    <w:rsid w:val="4A7140CA"/>
    <w:rsid w:val="4A796076"/>
    <w:rsid w:val="4A7D2EA4"/>
    <w:rsid w:val="4A7E6C1C"/>
    <w:rsid w:val="4A7F6763"/>
    <w:rsid w:val="4A800BE6"/>
    <w:rsid w:val="4A802994"/>
    <w:rsid w:val="4A854522"/>
    <w:rsid w:val="4A87316D"/>
    <w:rsid w:val="4A873D23"/>
    <w:rsid w:val="4A874171"/>
    <w:rsid w:val="4A897A9B"/>
    <w:rsid w:val="4A8E3303"/>
    <w:rsid w:val="4A934476"/>
    <w:rsid w:val="4A9406C5"/>
    <w:rsid w:val="4A954692"/>
    <w:rsid w:val="4A975A51"/>
    <w:rsid w:val="4A991E77"/>
    <w:rsid w:val="4A995804"/>
    <w:rsid w:val="4A9A4EB7"/>
    <w:rsid w:val="4A9B157C"/>
    <w:rsid w:val="4A9C3794"/>
    <w:rsid w:val="4A9F72BE"/>
    <w:rsid w:val="4AA32B16"/>
    <w:rsid w:val="4AA82E5E"/>
    <w:rsid w:val="4AB253A0"/>
    <w:rsid w:val="4AB50890"/>
    <w:rsid w:val="4AB83EDC"/>
    <w:rsid w:val="4AB97C54"/>
    <w:rsid w:val="4ABA1BC3"/>
    <w:rsid w:val="4ABB39CC"/>
    <w:rsid w:val="4ABD7E8A"/>
    <w:rsid w:val="4ABF34BD"/>
    <w:rsid w:val="4AC13ECD"/>
    <w:rsid w:val="4AC37A7F"/>
    <w:rsid w:val="4AC85E62"/>
    <w:rsid w:val="4ACC2260"/>
    <w:rsid w:val="4AD4683C"/>
    <w:rsid w:val="4ADA20A4"/>
    <w:rsid w:val="4AE41175"/>
    <w:rsid w:val="4AE548B0"/>
    <w:rsid w:val="4AE553A4"/>
    <w:rsid w:val="4AE61DDE"/>
    <w:rsid w:val="4AE85620"/>
    <w:rsid w:val="4AEB0E78"/>
    <w:rsid w:val="4AEB192F"/>
    <w:rsid w:val="4AF113A3"/>
    <w:rsid w:val="4AF248D5"/>
    <w:rsid w:val="4AFC311F"/>
    <w:rsid w:val="4AFD7460"/>
    <w:rsid w:val="4AFF1532"/>
    <w:rsid w:val="4B0210BD"/>
    <w:rsid w:val="4B0215FB"/>
    <w:rsid w:val="4B0421EB"/>
    <w:rsid w:val="4B045373"/>
    <w:rsid w:val="4B052E99"/>
    <w:rsid w:val="4B074E64"/>
    <w:rsid w:val="4B0B04B0"/>
    <w:rsid w:val="4B0F02D7"/>
    <w:rsid w:val="4B133808"/>
    <w:rsid w:val="4B137364"/>
    <w:rsid w:val="4B15132F"/>
    <w:rsid w:val="4B170C2B"/>
    <w:rsid w:val="4B1F3F5B"/>
    <w:rsid w:val="4B217CD3"/>
    <w:rsid w:val="4B261723"/>
    <w:rsid w:val="4B286BF9"/>
    <w:rsid w:val="4B296B88"/>
    <w:rsid w:val="4B2E419E"/>
    <w:rsid w:val="4B320132"/>
    <w:rsid w:val="4B386DCB"/>
    <w:rsid w:val="4B391F26"/>
    <w:rsid w:val="4B3D2633"/>
    <w:rsid w:val="4B3D3B99"/>
    <w:rsid w:val="4B3E7382"/>
    <w:rsid w:val="4B412124"/>
    <w:rsid w:val="4B46773A"/>
    <w:rsid w:val="4B494ABD"/>
    <w:rsid w:val="4B4C3630"/>
    <w:rsid w:val="4B4D6D1A"/>
    <w:rsid w:val="4B4F56B7"/>
    <w:rsid w:val="4B5160DF"/>
    <w:rsid w:val="4B517646"/>
    <w:rsid w:val="4B5A1437"/>
    <w:rsid w:val="4B5A4F93"/>
    <w:rsid w:val="4B5B2467"/>
    <w:rsid w:val="4B5D2CD5"/>
    <w:rsid w:val="4B6B0F4E"/>
    <w:rsid w:val="4B7047B7"/>
    <w:rsid w:val="4B7122DD"/>
    <w:rsid w:val="4B7342A7"/>
    <w:rsid w:val="4B756271"/>
    <w:rsid w:val="4B773D97"/>
    <w:rsid w:val="4B7A5635"/>
    <w:rsid w:val="4B7E5126"/>
    <w:rsid w:val="4B7F0E9E"/>
    <w:rsid w:val="4B7F2C4C"/>
    <w:rsid w:val="4B844F66"/>
    <w:rsid w:val="4B8B15F1"/>
    <w:rsid w:val="4B8C5A1B"/>
    <w:rsid w:val="4B8D35BB"/>
    <w:rsid w:val="4B904E59"/>
    <w:rsid w:val="4B9132B3"/>
    <w:rsid w:val="4B914354"/>
    <w:rsid w:val="4B92297F"/>
    <w:rsid w:val="4B935FAA"/>
    <w:rsid w:val="4B943EF6"/>
    <w:rsid w:val="4B95421D"/>
    <w:rsid w:val="4B983D0E"/>
    <w:rsid w:val="4B9E08BB"/>
    <w:rsid w:val="4BA10E14"/>
    <w:rsid w:val="4BA24A06"/>
    <w:rsid w:val="4BA37354"/>
    <w:rsid w:val="4BA778C8"/>
    <w:rsid w:val="4BB17C4A"/>
    <w:rsid w:val="4BB41A6E"/>
    <w:rsid w:val="4BB46D99"/>
    <w:rsid w:val="4BB9615E"/>
    <w:rsid w:val="4BBA0128"/>
    <w:rsid w:val="4BBD70E5"/>
    <w:rsid w:val="4BC17A7B"/>
    <w:rsid w:val="4BC430B2"/>
    <w:rsid w:val="4BC700DB"/>
    <w:rsid w:val="4BC77B5C"/>
    <w:rsid w:val="4BC92119"/>
    <w:rsid w:val="4BCB40E3"/>
    <w:rsid w:val="4BCE4C57"/>
    <w:rsid w:val="4BD44D46"/>
    <w:rsid w:val="4BDA60D4"/>
    <w:rsid w:val="4BDE5BC4"/>
    <w:rsid w:val="4BE13907"/>
    <w:rsid w:val="4BE3142D"/>
    <w:rsid w:val="4BE3146E"/>
    <w:rsid w:val="4BEC465C"/>
    <w:rsid w:val="4BED4473"/>
    <w:rsid w:val="4BED5E07"/>
    <w:rsid w:val="4BF26018"/>
    <w:rsid w:val="4BF53F1A"/>
    <w:rsid w:val="4BF926A2"/>
    <w:rsid w:val="4BF947AC"/>
    <w:rsid w:val="4BF9486B"/>
    <w:rsid w:val="4C054A64"/>
    <w:rsid w:val="4C080E93"/>
    <w:rsid w:val="4C0A0767"/>
    <w:rsid w:val="4C0D46FC"/>
    <w:rsid w:val="4C0F2222"/>
    <w:rsid w:val="4C121D12"/>
    <w:rsid w:val="4C1514B9"/>
    <w:rsid w:val="4C15535E"/>
    <w:rsid w:val="4C167754"/>
    <w:rsid w:val="4C1710D6"/>
    <w:rsid w:val="4C181DE7"/>
    <w:rsid w:val="4C194E4E"/>
    <w:rsid w:val="4C1B0BC7"/>
    <w:rsid w:val="4C1E175F"/>
    <w:rsid w:val="4C235CCD"/>
    <w:rsid w:val="4C263D9D"/>
    <w:rsid w:val="4C2A0E0A"/>
    <w:rsid w:val="4C3103EA"/>
    <w:rsid w:val="4C325F10"/>
    <w:rsid w:val="4C35316B"/>
    <w:rsid w:val="4C356637"/>
    <w:rsid w:val="4C361B10"/>
    <w:rsid w:val="4C3752D5"/>
    <w:rsid w:val="4C404189"/>
    <w:rsid w:val="4C4227E3"/>
    <w:rsid w:val="4C431529"/>
    <w:rsid w:val="4C443573"/>
    <w:rsid w:val="4C483782"/>
    <w:rsid w:val="4C4B0C8F"/>
    <w:rsid w:val="4C4C5224"/>
    <w:rsid w:val="4C4F6AC2"/>
    <w:rsid w:val="4C516396"/>
    <w:rsid w:val="4C520A8B"/>
    <w:rsid w:val="4C52766B"/>
    <w:rsid w:val="4C53207E"/>
    <w:rsid w:val="4C547C35"/>
    <w:rsid w:val="4C55703E"/>
    <w:rsid w:val="4C56430C"/>
    <w:rsid w:val="4C567E51"/>
    <w:rsid w:val="4C591AA8"/>
    <w:rsid w:val="4C5A7F3B"/>
    <w:rsid w:val="4C5B2C87"/>
    <w:rsid w:val="4C5D3AE1"/>
    <w:rsid w:val="4C622843"/>
    <w:rsid w:val="4C673E0C"/>
    <w:rsid w:val="4C687790"/>
    <w:rsid w:val="4C6C31D0"/>
    <w:rsid w:val="4C700485"/>
    <w:rsid w:val="4C705C13"/>
    <w:rsid w:val="4C7107E7"/>
    <w:rsid w:val="4C71428E"/>
    <w:rsid w:val="4C716A38"/>
    <w:rsid w:val="4C741212"/>
    <w:rsid w:val="4C793B3F"/>
    <w:rsid w:val="4C7B1665"/>
    <w:rsid w:val="4C841BE8"/>
    <w:rsid w:val="4C8850D9"/>
    <w:rsid w:val="4C8E75EA"/>
    <w:rsid w:val="4C8F28A4"/>
    <w:rsid w:val="4C8F2B51"/>
    <w:rsid w:val="4C9149E5"/>
    <w:rsid w:val="4C932F91"/>
    <w:rsid w:val="4C9857D9"/>
    <w:rsid w:val="4CA010CC"/>
    <w:rsid w:val="4CA23096"/>
    <w:rsid w:val="4CA3296A"/>
    <w:rsid w:val="4CA87F80"/>
    <w:rsid w:val="4CAD5597"/>
    <w:rsid w:val="4CB16E35"/>
    <w:rsid w:val="4CB24C66"/>
    <w:rsid w:val="4CB46925"/>
    <w:rsid w:val="4CB66B41"/>
    <w:rsid w:val="4CB81AB8"/>
    <w:rsid w:val="4CBB6ED5"/>
    <w:rsid w:val="4CBC493D"/>
    <w:rsid w:val="4CBD1C7E"/>
    <w:rsid w:val="4CBE0A5A"/>
    <w:rsid w:val="4CBF4C66"/>
    <w:rsid w:val="4CBF59F6"/>
    <w:rsid w:val="4CC0351C"/>
    <w:rsid w:val="4CC151FB"/>
    <w:rsid w:val="4CCA1F4E"/>
    <w:rsid w:val="4CCA6149"/>
    <w:rsid w:val="4CCB47A4"/>
    <w:rsid w:val="4CCD2AC3"/>
    <w:rsid w:val="4CCD4879"/>
    <w:rsid w:val="4CCD5074"/>
    <w:rsid w:val="4CCE78AE"/>
    <w:rsid w:val="4CCF19B1"/>
    <w:rsid w:val="4CCF418E"/>
    <w:rsid w:val="4CD11285"/>
    <w:rsid w:val="4CD11D49"/>
    <w:rsid w:val="4CD40D75"/>
    <w:rsid w:val="4CD46FC7"/>
    <w:rsid w:val="4CD52BD1"/>
    <w:rsid w:val="4CD9237E"/>
    <w:rsid w:val="4CD945DE"/>
    <w:rsid w:val="4CDB3ED3"/>
    <w:rsid w:val="4CDC1A14"/>
    <w:rsid w:val="4CDD1CE5"/>
    <w:rsid w:val="4CE23492"/>
    <w:rsid w:val="4CE330B4"/>
    <w:rsid w:val="4CE54D31"/>
    <w:rsid w:val="4CE81E37"/>
    <w:rsid w:val="4CE876C0"/>
    <w:rsid w:val="4CE92A73"/>
    <w:rsid w:val="4CED0DC7"/>
    <w:rsid w:val="4CEE0089"/>
    <w:rsid w:val="4CEE62DB"/>
    <w:rsid w:val="4CF33589"/>
    <w:rsid w:val="4CFA3536"/>
    <w:rsid w:val="4CFB0E2C"/>
    <w:rsid w:val="4D04165B"/>
    <w:rsid w:val="4D070580"/>
    <w:rsid w:val="4D072EF9"/>
    <w:rsid w:val="4D07739D"/>
    <w:rsid w:val="4D0C49B3"/>
    <w:rsid w:val="4D12005B"/>
    <w:rsid w:val="4D14749C"/>
    <w:rsid w:val="4D16138E"/>
    <w:rsid w:val="4D183E14"/>
    <w:rsid w:val="4D1D1AE1"/>
    <w:rsid w:val="4D1F6494"/>
    <w:rsid w:val="4D212355"/>
    <w:rsid w:val="4D27359B"/>
    <w:rsid w:val="4D2A6229"/>
    <w:rsid w:val="4D2B5402"/>
    <w:rsid w:val="4D2C6E03"/>
    <w:rsid w:val="4D2D460D"/>
    <w:rsid w:val="4D2E66D8"/>
    <w:rsid w:val="4D2F49CF"/>
    <w:rsid w:val="4D31441A"/>
    <w:rsid w:val="4D31669E"/>
    <w:rsid w:val="4D341CB6"/>
    <w:rsid w:val="4D361447"/>
    <w:rsid w:val="4D373CCB"/>
    <w:rsid w:val="4D410116"/>
    <w:rsid w:val="4D437DB5"/>
    <w:rsid w:val="4D466AEE"/>
    <w:rsid w:val="4D467EC5"/>
    <w:rsid w:val="4D4759EB"/>
    <w:rsid w:val="4D4A45F7"/>
    <w:rsid w:val="4D4B4F80"/>
    <w:rsid w:val="4D5325E2"/>
    <w:rsid w:val="4D541FE4"/>
    <w:rsid w:val="4D572C97"/>
    <w:rsid w:val="4D5A571F"/>
    <w:rsid w:val="4D5C10B8"/>
    <w:rsid w:val="4D5D0312"/>
    <w:rsid w:val="4D5F0F87"/>
    <w:rsid w:val="4D602AFE"/>
    <w:rsid w:val="4D61344C"/>
    <w:rsid w:val="4D616AAD"/>
    <w:rsid w:val="4D626381"/>
    <w:rsid w:val="4D637AFB"/>
    <w:rsid w:val="4D64659D"/>
    <w:rsid w:val="4D654BAF"/>
    <w:rsid w:val="4D6640C3"/>
    <w:rsid w:val="4D6B0DBA"/>
    <w:rsid w:val="4D6F1F52"/>
    <w:rsid w:val="4D721822"/>
    <w:rsid w:val="4D73765F"/>
    <w:rsid w:val="4D7743B2"/>
    <w:rsid w:val="4D7D650E"/>
    <w:rsid w:val="4D7F33D7"/>
    <w:rsid w:val="4D861753"/>
    <w:rsid w:val="4D866514"/>
    <w:rsid w:val="4D871A97"/>
    <w:rsid w:val="4D8976AD"/>
    <w:rsid w:val="4D8B58D8"/>
    <w:rsid w:val="4D8C33FE"/>
    <w:rsid w:val="4D8D78A2"/>
    <w:rsid w:val="4D8E361A"/>
    <w:rsid w:val="4D907392"/>
    <w:rsid w:val="4D924008"/>
    <w:rsid w:val="4D93478D"/>
    <w:rsid w:val="4D935EAE"/>
    <w:rsid w:val="4D970A11"/>
    <w:rsid w:val="4D9D560B"/>
    <w:rsid w:val="4D9F3131"/>
    <w:rsid w:val="4D9F4CF1"/>
    <w:rsid w:val="4DA16EA9"/>
    <w:rsid w:val="4DA566B0"/>
    <w:rsid w:val="4DA57A87"/>
    <w:rsid w:val="4DA60964"/>
    <w:rsid w:val="4DA91AFB"/>
    <w:rsid w:val="4DAB5188"/>
    <w:rsid w:val="4DAC584E"/>
    <w:rsid w:val="4DB03590"/>
    <w:rsid w:val="4DB0489B"/>
    <w:rsid w:val="4DB12E65"/>
    <w:rsid w:val="4DB27309"/>
    <w:rsid w:val="4DB50BA7"/>
    <w:rsid w:val="4DB841F3"/>
    <w:rsid w:val="4DB90BDE"/>
    <w:rsid w:val="4DBE2FFA"/>
    <w:rsid w:val="4DC66910"/>
    <w:rsid w:val="4DC86B2C"/>
    <w:rsid w:val="4DCD139D"/>
    <w:rsid w:val="4DD30130"/>
    <w:rsid w:val="4DD3102D"/>
    <w:rsid w:val="4DD85128"/>
    <w:rsid w:val="4DD95072"/>
    <w:rsid w:val="4DDA685F"/>
    <w:rsid w:val="4DDE5ABF"/>
    <w:rsid w:val="4DDF5614"/>
    <w:rsid w:val="4DE1374A"/>
    <w:rsid w:val="4DE15085"/>
    <w:rsid w:val="4DE4148C"/>
    <w:rsid w:val="4DE771D2"/>
    <w:rsid w:val="4DEA4CF4"/>
    <w:rsid w:val="4DEC6D71"/>
    <w:rsid w:val="4DF81A75"/>
    <w:rsid w:val="4DFC121A"/>
    <w:rsid w:val="4DFC7385"/>
    <w:rsid w:val="4E04568A"/>
    <w:rsid w:val="4E08517B"/>
    <w:rsid w:val="4E0A3E8A"/>
    <w:rsid w:val="4E13252B"/>
    <w:rsid w:val="4E165B96"/>
    <w:rsid w:val="4E165FB9"/>
    <w:rsid w:val="4E196C07"/>
    <w:rsid w:val="4E197388"/>
    <w:rsid w:val="4E217FEA"/>
    <w:rsid w:val="4E263853"/>
    <w:rsid w:val="4E265C87"/>
    <w:rsid w:val="4E296E9F"/>
    <w:rsid w:val="4E2B603D"/>
    <w:rsid w:val="4E2C3395"/>
    <w:rsid w:val="4E2C3DCA"/>
    <w:rsid w:val="4E2D2E33"/>
    <w:rsid w:val="4E2F2707"/>
    <w:rsid w:val="4E30022D"/>
    <w:rsid w:val="4E316F4B"/>
    <w:rsid w:val="4E323FA5"/>
    <w:rsid w:val="4E351F78"/>
    <w:rsid w:val="4E355844"/>
    <w:rsid w:val="4E402B66"/>
    <w:rsid w:val="4E41068C"/>
    <w:rsid w:val="4E41400E"/>
    <w:rsid w:val="4E4156A1"/>
    <w:rsid w:val="4E43318D"/>
    <w:rsid w:val="4E434405"/>
    <w:rsid w:val="4E492CF7"/>
    <w:rsid w:val="4E4A575B"/>
    <w:rsid w:val="4E50267E"/>
    <w:rsid w:val="4E54216E"/>
    <w:rsid w:val="4E546612"/>
    <w:rsid w:val="4E5A6FCD"/>
    <w:rsid w:val="4E5B507E"/>
    <w:rsid w:val="4E5E2FEC"/>
    <w:rsid w:val="4E6600F3"/>
    <w:rsid w:val="4E674A05"/>
    <w:rsid w:val="4E687878"/>
    <w:rsid w:val="4E6879C7"/>
    <w:rsid w:val="4E6B5174"/>
    <w:rsid w:val="4E6C4333"/>
    <w:rsid w:val="4E6D3230"/>
    <w:rsid w:val="4E6D46B7"/>
    <w:rsid w:val="4E6E4F22"/>
    <w:rsid w:val="4E6F0D56"/>
    <w:rsid w:val="4E6F5B07"/>
    <w:rsid w:val="4E704ACE"/>
    <w:rsid w:val="4E710F72"/>
    <w:rsid w:val="4E730148"/>
    <w:rsid w:val="4E7455F3"/>
    <w:rsid w:val="4E791BD4"/>
    <w:rsid w:val="4E7A01FB"/>
    <w:rsid w:val="4E7C04E6"/>
    <w:rsid w:val="4E7F37F6"/>
    <w:rsid w:val="4E880069"/>
    <w:rsid w:val="4E8A405A"/>
    <w:rsid w:val="4E8A4C27"/>
    <w:rsid w:val="4E916D56"/>
    <w:rsid w:val="4E920EE8"/>
    <w:rsid w:val="4E93470B"/>
    <w:rsid w:val="4E9751B5"/>
    <w:rsid w:val="4E992277"/>
    <w:rsid w:val="4E9C131A"/>
    <w:rsid w:val="4E9E788D"/>
    <w:rsid w:val="4EA50C1B"/>
    <w:rsid w:val="4EA5286B"/>
    <w:rsid w:val="4EA56E6D"/>
    <w:rsid w:val="4EAA6232"/>
    <w:rsid w:val="4EAD089F"/>
    <w:rsid w:val="4EAD38E3"/>
    <w:rsid w:val="4EAD5D22"/>
    <w:rsid w:val="4EB22E53"/>
    <w:rsid w:val="4EB26E94"/>
    <w:rsid w:val="4EB86BA1"/>
    <w:rsid w:val="4EBE1CDD"/>
    <w:rsid w:val="4EC217CD"/>
    <w:rsid w:val="4EC347A3"/>
    <w:rsid w:val="4EC56BC8"/>
    <w:rsid w:val="4ECF2AAF"/>
    <w:rsid w:val="4ED27537"/>
    <w:rsid w:val="4ED60997"/>
    <w:rsid w:val="4EDB288F"/>
    <w:rsid w:val="4EDE412D"/>
    <w:rsid w:val="4EDF1E27"/>
    <w:rsid w:val="4EE122FC"/>
    <w:rsid w:val="4EE32AAD"/>
    <w:rsid w:val="4EE579DA"/>
    <w:rsid w:val="4EE94FAC"/>
    <w:rsid w:val="4EF15C0F"/>
    <w:rsid w:val="4EF474AD"/>
    <w:rsid w:val="4EF744A2"/>
    <w:rsid w:val="4EF92D15"/>
    <w:rsid w:val="4EFD0A57"/>
    <w:rsid w:val="4EFD50D2"/>
    <w:rsid w:val="4EFD55F3"/>
    <w:rsid w:val="4F045001"/>
    <w:rsid w:val="4F0771E0"/>
    <w:rsid w:val="4F0847F1"/>
    <w:rsid w:val="4F0973FC"/>
    <w:rsid w:val="4F0D592D"/>
    <w:rsid w:val="4F0E4A13"/>
    <w:rsid w:val="4F0E67C1"/>
    <w:rsid w:val="4F127867"/>
    <w:rsid w:val="4F157929"/>
    <w:rsid w:val="4F162706"/>
    <w:rsid w:val="4F1638C7"/>
    <w:rsid w:val="4F194455"/>
    <w:rsid w:val="4F196F13"/>
    <w:rsid w:val="4F1A3CF6"/>
    <w:rsid w:val="4F1B0EDE"/>
    <w:rsid w:val="4F1D6A04"/>
    <w:rsid w:val="4F21099D"/>
    <w:rsid w:val="4F2204BE"/>
    <w:rsid w:val="4F222ACD"/>
    <w:rsid w:val="4F270810"/>
    <w:rsid w:val="4F2B1B4F"/>
    <w:rsid w:val="4F2D310F"/>
    <w:rsid w:val="4F3501F1"/>
    <w:rsid w:val="4F384153"/>
    <w:rsid w:val="4F3E4456"/>
    <w:rsid w:val="4F3F2E1E"/>
    <w:rsid w:val="4F423AD7"/>
    <w:rsid w:val="4F42646A"/>
    <w:rsid w:val="4F4A1857"/>
    <w:rsid w:val="4F4A3571"/>
    <w:rsid w:val="4F4E12B3"/>
    <w:rsid w:val="4F4E7EFF"/>
    <w:rsid w:val="4F512B51"/>
    <w:rsid w:val="4F532425"/>
    <w:rsid w:val="4F553D3D"/>
    <w:rsid w:val="4F554DBC"/>
    <w:rsid w:val="4F5A728C"/>
    <w:rsid w:val="4F5B577E"/>
    <w:rsid w:val="4F5D14F6"/>
    <w:rsid w:val="4F5F526E"/>
    <w:rsid w:val="4F640AB9"/>
    <w:rsid w:val="4F6412DC"/>
    <w:rsid w:val="4F6D2A87"/>
    <w:rsid w:val="4F701229"/>
    <w:rsid w:val="4F734876"/>
    <w:rsid w:val="4F754A92"/>
    <w:rsid w:val="4F764366"/>
    <w:rsid w:val="4F781E8C"/>
    <w:rsid w:val="4F7A3E56"/>
    <w:rsid w:val="4F7B17E1"/>
    <w:rsid w:val="4F7E3CB9"/>
    <w:rsid w:val="4F7E58BD"/>
    <w:rsid w:val="4F7F660A"/>
    <w:rsid w:val="4F8137A2"/>
    <w:rsid w:val="4F824AB9"/>
    <w:rsid w:val="4F85275A"/>
    <w:rsid w:val="4F895E47"/>
    <w:rsid w:val="4F89708F"/>
    <w:rsid w:val="4F8B5932"/>
    <w:rsid w:val="4F8E564D"/>
    <w:rsid w:val="4F906258"/>
    <w:rsid w:val="4F93361D"/>
    <w:rsid w:val="4F934F18"/>
    <w:rsid w:val="4F974A08"/>
    <w:rsid w:val="4F9751E7"/>
    <w:rsid w:val="4F996851"/>
    <w:rsid w:val="4F9A44F8"/>
    <w:rsid w:val="4F9B4980"/>
    <w:rsid w:val="4F9F566B"/>
    <w:rsid w:val="4F9F72B7"/>
    <w:rsid w:val="4FA11436"/>
    <w:rsid w:val="4FA233AD"/>
    <w:rsid w:val="4FA64C4B"/>
    <w:rsid w:val="4FA709C3"/>
    <w:rsid w:val="4FAA5DE1"/>
    <w:rsid w:val="4FAE1D52"/>
    <w:rsid w:val="4FAE2A7A"/>
    <w:rsid w:val="4FB11910"/>
    <w:rsid w:val="4FB12E60"/>
    <w:rsid w:val="4FB37368"/>
    <w:rsid w:val="4FB70C06"/>
    <w:rsid w:val="4FBB7FCB"/>
    <w:rsid w:val="4FBE21CE"/>
    <w:rsid w:val="4FC0692D"/>
    <w:rsid w:val="4FC11A85"/>
    <w:rsid w:val="4FC275AB"/>
    <w:rsid w:val="4FC3627F"/>
    <w:rsid w:val="4FC41575"/>
    <w:rsid w:val="4FC41A15"/>
    <w:rsid w:val="4FC43323"/>
    <w:rsid w:val="4FCE7CFE"/>
    <w:rsid w:val="4FD521A6"/>
    <w:rsid w:val="4FD53180"/>
    <w:rsid w:val="4FD54639"/>
    <w:rsid w:val="4FD749BD"/>
    <w:rsid w:val="4FD74E04"/>
    <w:rsid w:val="4FD86DCF"/>
    <w:rsid w:val="4FDC536E"/>
    <w:rsid w:val="4FDE0ABB"/>
    <w:rsid w:val="4FDF1F0B"/>
    <w:rsid w:val="4FDF63AF"/>
    <w:rsid w:val="4FE06039"/>
    <w:rsid w:val="4FE51397"/>
    <w:rsid w:val="4FE53ABE"/>
    <w:rsid w:val="4FE569A2"/>
    <w:rsid w:val="4FE6773D"/>
    <w:rsid w:val="4FE9476C"/>
    <w:rsid w:val="4FE94B38"/>
    <w:rsid w:val="4FEE5DDD"/>
    <w:rsid w:val="4FEE605C"/>
    <w:rsid w:val="4FF43C08"/>
    <w:rsid w:val="4FF727BF"/>
    <w:rsid w:val="4FFA0AF3"/>
    <w:rsid w:val="4FFC2ABD"/>
    <w:rsid w:val="4FFC486B"/>
    <w:rsid w:val="4FFF25AD"/>
    <w:rsid w:val="50016325"/>
    <w:rsid w:val="500318DC"/>
    <w:rsid w:val="50051124"/>
    <w:rsid w:val="50067498"/>
    <w:rsid w:val="500863C4"/>
    <w:rsid w:val="500A342C"/>
    <w:rsid w:val="500C0359"/>
    <w:rsid w:val="500E3561"/>
    <w:rsid w:val="50146059"/>
    <w:rsid w:val="50152D26"/>
    <w:rsid w:val="501C6CBB"/>
    <w:rsid w:val="502145D3"/>
    <w:rsid w:val="50221525"/>
    <w:rsid w:val="50243DC2"/>
    <w:rsid w:val="502618E8"/>
    <w:rsid w:val="50285660"/>
    <w:rsid w:val="502A2F64"/>
    <w:rsid w:val="502B287F"/>
    <w:rsid w:val="502D0EC8"/>
    <w:rsid w:val="50323C0C"/>
    <w:rsid w:val="50342FA3"/>
    <w:rsid w:val="50355FCF"/>
    <w:rsid w:val="50385F7C"/>
    <w:rsid w:val="503D296E"/>
    <w:rsid w:val="503E4E84"/>
    <w:rsid w:val="50405CDD"/>
    <w:rsid w:val="504107A8"/>
    <w:rsid w:val="50470416"/>
    <w:rsid w:val="504812C4"/>
    <w:rsid w:val="50487AB0"/>
    <w:rsid w:val="504D7564"/>
    <w:rsid w:val="504E4A59"/>
    <w:rsid w:val="50506965"/>
    <w:rsid w:val="50530707"/>
    <w:rsid w:val="50537A01"/>
    <w:rsid w:val="5055143E"/>
    <w:rsid w:val="5056279F"/>
    <w:rsid w:val="50565954"/>
    <w:rsid w:val="50581EDC"/>
    <w:rsid w:val="505906B2"/>
    <w:rsid w:val="505A5A36"/>
    <w:rsid w:val="505C7A00"/>
    <w:rsid w:val="505D7C29"/>
    <w:rsid w:val="50610B72"/>
    <w:rsid w:val="50616DC4"/>
    <w:rsid w:val="50666188"/>
    <w:rsid w:val="5066682D"/>
    <w:rsid w:val="50666C7A"/>
    <w:rsid w:val="506B7C43"/>
    <w:rsid w:val="5076286F"/>
    <w:rsid w:val="507950F0"/>
    <w:rsid w:val="507A1C34"/>
    <w:rsid w:val="507C775A"/>
    <w:rsid w:val="508851A5"/>
    <w:rsid w:val="50896C6D"/>
    <w:rsid w:val="508A631B"/>
    <w:rsid w:val="508B782B"/>
    <w:rsid w:val="508D7BB9"/>
    <w:rsid w:val="508E1A12"/>
    <w:rsid w:val="508F56DF"/>
    <w:rsid w:val="509034F3"/>
    <w:rsid w:val="50915FFB"/>
    <w:rsid w:val="50947905"/>
    <w:rsid w:val="50967AA6"/>
    <w:rsid w:val="509947B0"/>
    <w:rsid w:val="509A5B6A"/>
    <w:rsid w:val="50A12EDC"/>
    <w:rsid w:val="50A62A29"/>
    <w:rsid w:val="50A70C7B"/>
    <w:rsid w:val="50A8054F"/>
    <w:rsid w:val="50A867A1"/>
    <w:rsid w:val="50AB637B"/>
    <w:rsid w:val="50AE1512"/>
    <w:rsid w:val="50B14CC8"/>
    <w:rsid w:val="50B72F84"/>
    <w:rsid w:val="50B76522"/>
    <w:rsid w:val="50B9275C"/>
    <w:rsid w:val="50BB0282"/>
    <w:rsid w:val="50BB0FB9"/>
    <w:rsid w:val="50BC3FFA"/>
    <w:rsid w:val="50C335DB"/>
    <w:rsid w:val="50C62D6D"/>
    <w:rsid w:val="50CC6933"/>
    <w:rsid w:val="50CD4459"/>
    <w:rsid w:val="50CE6E9B"/>
    <w:rsid w:val="50D578D0"/>
    <w:rsid w:val="50D94BAC"/>
    <w:rsid w:val="50E023DF"/>
    <w:rsid w:val="50E05F3B"/>
    <w:rsid w:val="50E22959"/>
    <w:rsid w:val="50E7376D"/>
    <w:rsid w:val="50E772C9"/>
    <w:rsid w:val="50ED0658"/>
    <w:rsid w:val="50EF617E"/>
    <w:rsid w:val="50F161FE"/>
    <w:rsid w:val="50FA09B1"/>
    <w:rsid w:val="50FA1F70"/>
    <w:rsid w:val="50FD12C7"/>
    <w:rsid w:val="50FE2865"/>
    <w:rsid w:val="51002139"/>
    <w:rsid w:val="51007ABC"/>
    <w:rsid w:val="51016B1B"/>
    <w:rsid w:val="51031C29"/>
    <w:rsid w:val="51053BF3"/>
    <w:rsid w:val="51071719"/>
    <w:rsid w:val="510734C7"/>
    <w:rsid w:val="51075407"/>
    <w:rsid w:val="510C4F82"/>
    <w:rsid w:val="510E1562"/>
    <w:rsid w:val="51136310"/>
    <w:rsid w:val="51162A3E"/>
    <w:rsid w:val="51167BAE"/>
    <w:rsid w:val="51181B78"/>
    <w:rsid w:val="51220301"/>
    <w:rsid w:val="5124706D"/>
    <w:rsid w:val="512555A3"/>
    <w:rsid w:val="512912FE"/>
    <w:rsid w:val="512C73D2"/>
    <w:rsid w:val="512C7ED2"/>
    <w:rsid w:val="512D476A"/>
    <w:rsid w:val="512D6CA6"/>
    <w:rsid w:val="512E4EF8"/>
    <w:rsid w:val="513149E8"/>
    <w:rsid w:val="51330760"/>
    <w:rsid w:val="5133250E"/>
    <w:rsid w:val="51361F95"/>
    <w:rsid w:val="51375EA3"/>
    <w:rsid w:val="513774DE"/>
    <w:rsid w:val="5139664E"/>
    <w:rsid w:val="513A2969"/>
    <w:rsid w:val="513A34BE"/>
    <w:rsid w:val="513F0D1B"/>
    <w:rsid w:val="51422751"/>
    <w:rsid w:val="51473475"/>
    <w:rsid w:val="514E559A"/>
    <w:rsid w:val="515001E4"/>
    <w:rsid w:val="51501312"/>
    <w:rsid w:val="51530A32"/>
    <w:rsid w:val="515626A1"/>
    <w:rsid w:val="51576752"/>
    <w:rsid w:val="51582419"/>
    <w:rsid w:val="51593D72"/>
    <w:rsid w:val="51597A9B"/>
    <w:rsid w:val="515D3A2F"/>
    <w:rsid w:val="515D4046"/>
    <w:rsid w:val="5164091A"/>
    <w:rsid w:val="516E081B"/>
    <w:rsid w:val="516F2B1D"/>
    <w:rsid w:val="51703763"/>
    <w:rsid w:val="51706AE7"/>
    <w:rsid w:val="51711289"/>
    <w:rsid w:val="51713037"/>
    <w:rsid w:val="51721459"/>
    <w:rsid w:val="51723E6D"/>
    <w:rsid w:val="5176064D"/>
    <w:rsid w:val="51782617"/>
    <w:rsid w:val="5180327A"/>
    <w:rsid w:val="51817717"/>
    <w:rsid w:val="51826FF2"/>
    <w:rsid w:val="51830055"/>
    <w:rsid w:val="5184720E"/>
    <w:rsid w:val="518965D2"/>
    <w:rsid w:val="518A7817"/>
    <w:rsid w:val="518E1FF8"/>
    <w:rsid w:val="518E3630"/>
    <w:rsid w:val="519105C3"/>
    <w:rsid w:val="51932EE3"/>
    <w:rsid w:val="51946C57"/>
    <w:rsid w:val="51960CEF"/>
    <w:rsid w:val="519803DE"/>
    <w:rsid w:val="519908AD"/>
    <w:rsid w:val="519A258E"/>
    <w:rsid w:val="519B00B4"/>
    <w:rsid w:val="519B1739"/>
    <w:rsid w:val="519C2CBA"/>
    <w:rsid w:val="51A451BA"/>
    <w:rsid w:val="51A64986"/>
    <w:rsid w:val="51A72608"/>
    <w:rsid w:val="51B26189"/>
    <w:rsid w:val="51B612C5"/>
    <w:rsid w:val="51B66C9C"/>
    <w:rsid w:val="51B7353F"/>
    <w:rsid w:val="51B86506"/>
    <w:rsid w:val="51BA678C"/>
    <w:rsid w:val="51BA6D89"/>
    <w:rsid w:val="51BC15B6"/>
    <w:rsid w:val="51BD627C"/>
    <w:rsid w:val="51BF1FF4"/>
    <w:rsid w:val="51BF3DA2"/>
    <w:rsid w:val="51C15D6C"/>
    <w:rsid w:val="51C172BC"/>
    <w:rsid w:val="51C452E5"/>
    <w:rsid w:val="51C4760A"/>
    <w:rsid w:val="51C92E73"/>
    <w:rsid w:val="51CC4711"/>
    <w:rsid w:val="51D20B6F"/>
    <w:rsid w:val="51DA0BDC"/>
    <w:rsid w:val="51DD06CC"/>
    <w:rsid w:val="51E02400"/>
    <w:rsid w:val="51E1151E"/>
    <w:rsid w:val="51E812F6"/>
    <w:rsid w:val="51EC0568"/>
    <w:rsid w:val="51EF7CC2"/>
    <w:rsid w:val="51F6353C"/>
    <w:rsid w:val="51F92890"/>
    <w:rsid w:val="51F93B90"/>
    <w:rsid w:val="51FC6DA4"/>
    <w:rsid w:val="5208381B"/>
    <w:rsid w:val="521045FE"/>
    <w:rsid w:val="521560B8"/>
    <w:rsid w:val="52173BDE"/>
    <w:rsid w:val="521A1920"/>
    <w:rsid w:val="521F256D"/>
    <w:rsid w:val="522169A8"/>
    <w:rsid w:val="52226B32"/>
    <w:rsid w:val="52227738"/>
    <w:rsid w:val="522462FB"/>
    <w:rsid w:val="5225760D"/>
    <w:rsid w:val="52263E33"/>
    <w:rsid w:val="522661B8"/>
    <w:rsid w:val="52274ACC"/>
    <w:rsid w:val="52284718"/>
    <w:rsid w:val="522B1438"/>
    <w:rsid w:val="522C5182"/>
    <w:rsid w:val="522D7D0E"/>
    <w:rsid w:val="522E4288"/>
    <w:rsid w:val="523620D4"/>
    <w:rsid w:val="5237342D"/>
    <w:rsid w:val="52396498"/>
    <w:rsid w:val="523A1C55"/>
    <w:rsid w:val="523C3243"/>
    <w:rsid w:val="523D6085"/>
    <w:rsid w:val="523F1387"/>
    <w:rsid w:val="52410C5B"/>
    <w:rsid w:val="52423AB8"/>
    <w:rsid w:val="52484C73"/>
    <w:rsid w:val="524C46D1"/>
    <w:rsid w:val="524E061E"/>
    <w:rsid w:val="525070F0"/>
    <w:rsid w:val="525941F7"/>
    <w:rsid w:val="525A7F6F"/>
    <w:rsid w:val="525E180D"/>
    <w:rsid w:val="52625E45"/>
    <w:rsid w:val="52661E4B"/>
    <w:rsid w:val="526861E8"/>
    <w:rsid w:val="52691F60"/>
    <w:rsid w:val="526A0470"/>
    <w:rsid w:val="526F21AB"/>
    <w:rsid w:val="52701540"/>
    <w:rsid w:val="52725AEE"/>
    <w:rsid w:val="52765043"/>
    <w:rsid w:val="527B23BF"/>
    <w:rsid w:val="527C230F"/>
    <w:rsid w:val="527C7EE5"/>
    <w:rsid w:val="527D696B"/>
    <w:rsid w:val="528305FD"/>
    <w:rsid w:val="52831274"/>
    <w:rsid w:val="52835444"/>
    <w:rsid w:val="5283552C"/>
    <w:rsid w:val="52850BDD"/>
    <w:rsid w:val="52860D64"/>
    <w:rsid w:val="5288347B"/>
    <w:rsid w:val="528B0128"/>
    <w:rsid w:val="528D5C4E"/>
    <w:rsid w:val="52913C5F"/>
    <w:rsid w:val="52927709"/>
    <w:rsid w:val="52953E78"/>
    <w:rsid w:val="52981271"/>
    <w:rsid w:val="529C1AA7"/>
    <w:rsid w:val="529F469E"/>
    <w:rsid w:val="52A03BD4"/>
    <w:rsid w:val="52A5571F"/>
    <w:rsid w:val="52A631B4"/>
    <w:rsid w:val="52AA4A52"/>
    <w:rsid w:val="52AB4326"/>
    <w:rsid w:val="52AF2069"/>
    <w:rsid w:val="52AF4A91"/>
    <w:rsid w:val="52B0193D"/>
    <w:rsid w:val="52B6141E"/>
    <w:rsid w:val="52B82B22"/>
    <w:rsid w:val="52BB6C5F"/>
    <w:rsid w:val="52C21214"/>
    <w:rsid w:val="52C2525C"/>
    <w:rsid w:val="52C33D66"/>
    <w:rsid w:val="52C5363A"/>
    <w:rsid w:val="52C61160"/>
    <w:rsid w:val="52CB6777"/>
    <w:rsid w:val="52CD5D13"/>
    <w:rsid w:val="52D01FDF"/>
    <w:rsid w:val="52D34955"/>
    <w:rsid w:val="52D675F5"/>
    <w:rsid w:val="52D7511B"/>
    <w:rsid w:val="52DC7F37"/>
    <w:rsid w:val="52DE64AA"/>
    <w:rsid w:val="52E141EC"/>
    <w:rsid w:val="52E361B6"/>
    <w:rsid w:val="52E37F64"/>
    <w:rsid w:val="52E97168"/>
    <w:rsid w:val="52EA0C77"/>
    <w:rsid w:val="52EA12F3"/>
    <w:rsid w:val="52ED0DE3"/>
    <w:rsid w:val="52ED2B91"/>
    <w:rsid w:val="52F05D67"/>
    <w:rsid w:val="52F30E49"/>
    <w:rsid w:val="52F35BB6"/>
    <w:rsid w:val="52F75F89"/>
    <w:rsid w:val="52F932E4"/>
    <w:rsid w:val="52FB52AE"/>
    <w:rsid w:val="52FC7231"/>
    <w:rsid w:val="52FF7B60"/>
    <w:rsid w:val="53072BCD"/>
    <w:rsid w:val="530D4FE1"/>
    <w:rsid w:val="5311062D"/>
    <w:rsid w:val="5314011E"/>
    <w:rsid w:val="53145A66"/>
    <w:rsid w:val="53165C44"/>
    <w:rsid w:val="531A161E"/>
    <w:rsid w:val="53204D14"/>
    <w:rsid w:val="5325232B"/>
    <w:rsid w:val="532760A3"/>
    <w:rsid w:val="53277E51"/>
    <w:rsid w:val="53285977"/>
    <w:rsid w:val="532A2681"/>
    <w:rsid w:val="532A5B93"/>
    <w:rsid w:val="532E3DF8"/>
    <w:rsid w:val="53332C9A"/>
    <w:rsid w:val="53363272"/>
    <w:rsid w:val="533A5BFF"/>
    <w:rsid w:val="533E0ACE"/>
    <w:rsid w:val="53426651"/>
    <w:rsid w:val="53426A39"/>
    <w:rsid w:val="53490F43"/>
    <w:rsid w:val="534B06FB"/>
    <w:rsid w:val="534C5B09"/>
    <w:rsid w:val="534F3C23"/>
    <w:rsid w:val="5352075A"/>
    <w:rsid w:val="535367A5"/>
    <w:rsid w:val="535446E7"/>
    <w:rsid w:val="53566988"/>
    <w:rsid w:val="535725A6"/>
    <w:rsid w:val="53573994"/>
    <w:rsid w:val="535B06A3"/>
    <w:rsid w:val="535B3F9E"/>
    <w:rsid w:val="535C556D"/>
    <w:rsid w:val="535D1AC5"/>
    <w:rsid w:val="535E2239"/>
    <w:rsid w:val="535E583D"/>
    <w:rsid w:val="535E75EB"/>
    <w:rsid w:val="536104D2"/>
    <w:rsid w:val="536270DB"/>
    <w:rsid w:val="53672943"/>
    <w:rsid w:val="53682217"/>
    <w:rsid w:val="536C1D08"/>
    <w:rsid w:val="536E2E07"/>
    <w:rsid w:val="536F17F8"/>
    <w:rsid w:val="53740BBC"/>
    <w:rsid w:val="5377063A"/>
    <w:rsid w:val="53784B50"/>
    <w:rsid w:val="5379604F"/>
    <w:rsid w:val="537A2677"/>
    <w:rsid w:val="537E1A3B"/>
    <w:rsid w:val="537F5EDF"/>
    <w:rsid w:val="53807CB0"/>
    <w:rsid w:val="5382030A"/>
    <w:rsid w:val="53826F9C"/>
    <w:rsid w:val="5383537F"/>
    <w:rsid w:val="53840377"/>
    <w:rsid w:val="538434F5"/>
    <w:rsid w:val="53887029"/>
    <w:rsid w:val="53936700"/>
    <w:rsid w:val="539543D2"/>
    <w:rsid w:val="53964B55"/>
    <w:rsid w:val="53964FD7"/>
    <w:rsid w:val="5398532A"/>
    <w:rsid w:val="53990623"/>
    <w:rsid w:val="539A4AC7"/>
    <w:rsid w:val="539A62D6"/>
    <w:rsid w:val="539A6875"/>
    <w:rsid w:val="539D0113"/>
    <w:rsid w:val="53A2396F"/>
    <w:rsid w:val="53A25729"/>
    <w:rsid w:val="53A35488"/>
    <w:rsid w:val="53A476F3"/>
    <w:rsid w:val="53A5521A"/>
    <w:rsid w:val="53AE0572"/>
    <w:rsid w:val="53B026BD"/>
    <w:rsid w:val="53B11E10"/>
    <w:rsid w:val="53B32CE2"/>
    <w:rsid w:val="53B353C8"/>
    <w:rsid w:val="53B3698A"/>
    <w:rsid w:val="53B46D3E"/>
    <w:rsid w:val="53B92230"/>
    <w:rsid w:val="53BE2279"/>
    <w:rsid w:val="53C02053"/>
    <w:rsid w:val="53C44A50"/>
    <w:rsid w:val="53C72D1A"/>
    <w:rsid w:val="53C75190"/>
    <w:rsid w:val="53C80F2B"/>
    <w:rsid w:val="53C953AC"/>
    <w:rsid w:val="53CA4C80"/>
    <w:rsid w:val="53CB1124"/>
    <w:rsid w:val="53CC150F"/>
    <w:rsid w:val="53D129E2"/>
    <w:rsid w:val="53D14261"/>
    <w:rsid w:val="53D37FD9"/>
    <w:rsid w:val="53D625BF"/>
    <w:rsid w:val="53DE7B5D"/>
    <w:rsid w:val="53DF072C"/>
    <w:rsid w:val="53E0223F"/>
    <w:rsid w:val="53E035E4"/>
    <w:rsid w:val="53E75832"/>
    <w:rsid w:val="53E775E0"/>
    <w:rsid w:val="53E915AA"/>
    <w:rsid w:val="53EC109A"/>
    <w:rsid w:val="53EC2E48"/>
    <w:rsid w:val="53ED4689"/>
    <w:rsid w:val="53EE096F"/>
    <w:rsid w:val="53EF611B"/>
    <w:rsid w:val="53F046E7"/>
    <w:rsid w:val="53F266B1"/>
    <w:rsid w:val="53F41D4A"/>
    <w:rsid w:val="53F73FEA"/>
    <w:rsid w:val="53F85C03"/>
    <w:rsid w:val="53FB24A6"/>
    <w:rsid w:val="53FC61C8"/>
    <w:rsid w:val="54014B46"/>
    <w:rsid w:val="540168F4"/>
    <w:rsid w:val="540543B5"/>
    <w:rsid w:val="54056A5C"/>
    <w:rsid w:val="54065CB8"/>
    <w:rsid w:val="54091C4C"/>
    <w:rsid w:val="540B5949"/>
    <w:rsid w:val="540C5299"/>
    <w:rsid w:val="540D6216"/>
    <w:rsid w:val="54102FDB"/>
    <w:rsid w:val="541052DD"/>
    <w:rsid w:val="541243D8"/>
    <w:rsid w:val="541250CE"/>
    <w:rsid w:val="541505F1"/>
    <w:rsid w:val="54183C3E"/>
    <w:rsid w:val="541A5E70"/>
    <w:rsid w:val="541F57A0"/>
    <w:rsid w:val="541F6D7A"/>
    <w:rsid w:val="54240834"/>
    <w:rsid w:val="542425E2"/>
    <w:rsid w:val="542B079B"/>
    <w:rsid w:val="542B571F"/>
    <w:rsid w:val="542D56BA"/>
    <w:rsid w:val="542D593B"/>
    <w:rsid w:val="54302D35"/>
    <w:rsid w:val="543A0058"/>
    <w:rsid w:val="543A1E06"/>
    <w:rsid w:val="543C6E26"/>
    <w:rsid w:val="543D3394"/>
    <w:rsid w:val="543D36A4"/>
    <w:rsid w:val="543F11CA"/>
    <w:rsid w:val="544215DC"/>
    <w:rsid w:val="544607AB"/>
    <w:rsid w:val="544B3DCF"/>
    <w:rsid w:val="544E58B1"/>
    <w:rsid w:val="544F687F"/>
    <w:rsid w:val="545114CB"/>
    <w:rsid w:val="54544F0D"/>
    <w:rsid w:val="54574766"/>
    <w:rsid w:val="5458228C"/>
    <w:rsid w:val="545F361A"/>
    <w:rsid w:val="545F66E9"/>
    <w:rsid w:val="546078A2"/>
    <w:rsid w:val="54617393"/>
    <w:rsid w:val="5464534D"/>
    <w:rsid w:val="546A1676"/>
    <w:rsid w:val="546E1AAF"/>
    <w:rsid w:val="54705699"/>
    <w:rsid w:val="547075D6"/>
    <w:rsid w:val="54770964"/>
    <w:rsid w:val="54790B80"/>
    <w:rsid w:val="548117E3"/>
    <w:rsid w:val="54854FBD"/>
    <w:rsid w:val="54857525"/>
    <w:rsid w:val="54887C0E"/>
    <w:rsid w:val="5489545D"/>
    <w:rsid w:val="548B2661"/>
    <w:rsid w:val="548B6B3A"/>
    <w:rsid w:val="548E14C3"/>
    <w:rsid w:val="548E3DC8"/>
    <w:rsid w:val="54901A26"/>
    <w:rsid w:val="54907C78"/>
    <w:rsid w:val="549414A4"/>
    <w:rsid w:val="549459BA"/>
    <w:rsid w:val="5495703C"/>
    <w:rsid w:val="54971006"/>
    <w:rsid w:val="5499253B"/>
    <w:rsid w:val="54996762"/>
    <w:rsid w:val="549A4653"/>
    <w:rsid w:val="549B224B"/>
    <w:rsid w:val="54A379AB"/>
    <w:rsid w:val="54A43A0B"/>
    <w:rsid w:val="54A7556A"/>
    <w:rsid w:val="54AB5F5C"/>
    <w:rsid w:val="54AD4EFB"/>
    <w:rsid w:val="54AE6CC5"/>
    <w:rsid w:val="54B03E76"/>
    <w:rsid w:val="54B30975"/>
    <w:rsid w:val="54B4085A"/>
    <w:rsid w:val="54B971CF"/>
    <w:rsid w:val="54BE2A37"/>
    <w:rsid w:val="54C6369A"/>
    <w:rsid w:val="54C87878"/>
    <w:rsid w:val="54CB6F02"/>
    <w:rsid w:val="54CC252E"/>
    <w:rsid w:val="54CE30F2"/>
    <w:rsid w:val="54D0720C"/>
    <w:rsid w:val="54D63807"/>
    <w:rsid w:val="54DE17E0"/>
    <w:rsid w:val="54DE4E87"/>
    <w:rsid w:val="54DF2861"/>
    <w:rsid w:val="54E16725"/>
    <w:rsid w:val="54E35FFA"/>
    <w:rsid w:val="54E44588"/>
    <w:rsid w:val="54EB07DA"/>
    <w:rsid w:val="54EB1352"/>
    <w:rsid w:val="54EF0E42"/>
    <w:rsid w:val="54F226E1"/>
    <w:rsid w:val="54F2623D"/>
    <w:rsid w:val="54F40D0A"/>
    <w:rsid w:val="54F75F49"/>
    <w:rsid w:val="54F86727"/>
    <w:rsid w:val="54F9459E"/>
    <w:rsid w:val="54FA3343"/>
    <w:rsid w:val="54FB3860"/>
    <w:rsid w:val="54FF2621"/>
    <w:rsid w:val="55006BAB"/>
    <w:rsid w:val="55052414"/>
    <w:rsid w:val="550B5550"/>
    <w:rsid w:val="550D12C8"/>
    <w:rsid w:val="550D4D6D"/>
    <w:rsid w:val="55102257"/>
    <w:rsid w:val="55117C10"/>
    <w:rsid w:val="55132319"/>
    <w:rsid w:val="55163B69"/>
    <w:rsid w:val="55164621"/>
    <w:rsid w:val="551B0B7E"/>
    <w:rsid w:val="551D5029"/>
    <w:rsid w:val="55216B22"/>
    <w:rsid w:val="5522370D"/>
    <w:rsid w:val="5523184A"/>
    <w:rsid w:val="55256612"/>
    <w:rsid w:val="55286102"/>
    <w:rsid w:val="552C4242"/>
    <w:rsid w:val="55314FB7"/>
    <w:rsid w:val="5532027E"/>
    <w:rsid w:val="55326F81"/>
    <w:rsid w:val="55376345"/>
    <w:rsid w:val="553B4087"/>
    <w:rsid w:val="553E3033"/>
    <w:rsid w:val="55464F8A"/>
    <w:rsid w:val="554B71F7"/>
    <w:rsid w:val="554B7E3A"/>
    <w:rsid w:val="554F18E1"/>
    <w:rsid w:val="55532353"/>
    <w:rsid w:val="55540CA5"/>
    <w:rsid w:val="555B26F2"/>
    <w:rsid w:val="555D3FFE"/>
    <w:rsid w:val="555E74A8"/>
    <w:rsid w:val="555F02AD"/>
    <w:rsid w:val="5563538C"/>
    <w:rsid w:val="5564234E"/>
    <w:rsid w:val="556709D9"/>
    <w:rsid w:val="556A7AAC"/>
    <w:rsid w:val="556E29D8"/>
    <w:rsid w:val="556E620B"/>
    <w:rsid w:val="556F3D31"/>
    <w:rsid w:val="55700164"/>
    <w:rsid w:val="557032C9"/>
    <w:rsid w:val="55741347"/>
    <w:rsid w:val="55741368"/>
    <w:rsid w:val="55752A31"/>
    <w:rsid w:val="55752B46"/>
    <w:rsid w:val="5578538C"/>
    <w:rsid w:val="557B0928"/>
    <w:rsid w:val="557B4484"/>
    <w:rsid w:val="557B7F69"/>
    <w:rsid w:val="557C3F5E"/>
    <w:rsid w:val="557D644E"/>
    <w:rsid w:val="557F199D"/>
    <w:rsid w:val="5583158B"/>
    <w:rsid w:val="558372DA"/>
    <w:rsid w:val="558A0B6B"/>
    <w:rsid w:val="558A4B53"/>
    <w:rsid w:val="558B6968"/>
    <w:rsid w:val="55927EA9"/>
    <w:rsid w:val="55937A20"/>
    <w:rsid w:val="559612BE"/>
    <w:rsid w:val="559F45C9"/>
    <w:rsid w:val="55A407C6"/>
    <w:rsid w:val="55A7171D"/>
    <w:rsid w:val="55A7328E"/>
    <w:rsid w:val="55A97243"/>
    <w:rsid w:val="55AC0AE1"/>
    <w:rsid w:val="55B31E70"/>
    <w:rsid w:val="55B55BE8"/>
    <w:rsid w:val="55B6370E"/>
    <w:rsid w:val="55BD3A86"/>
    <w:rsid w:val="55BF0B4D"/>
    <w:rsid w:val="55BF1F26"/>
    <w:rsid w:val="55BF6A67"/>
    <w:rsid w:val="55C23E61"/>
    <w:rsid w:val="55C6781D"/>
    <w:rsid w:val="55CC0ABE"/>
    <w:rsid w:val="55D70D09"/>
    <w:rsid w:val="55DB4F23"/>
    <w:rsid w:val="55DC08B1"/>
    <w:rsid w:val="55DD6EED"/>
    <w:rsid w:val="55E258B5"/>
    <w:rsid w:val="55E768EE"/>
    <w:rsid w:val="55E92DAA"/>
    <w:rsid w:val="55F54236"/>
    <w:rsid w:val="55F81F79"/>
    <w:rsid w:val="55F8409D"/>
    <w:rsid w:val="55F935FB"/>
    <w:rsid w:val="55FC08FE"/>
    <w:rsid w:val="55FC3817"/>
    <w:rsid w:val="56004669"/>
    <w:rsid w:val="56006415"/>
    <w:rsid w:val="56051FA0"/>
    <w:rsid w:val="560763AD"/>
    <w:rsid w:val="56082035"/>
    <w:rsid w:val="5608693D"/>
    <w:rsid w:val="56091A90"/>
    <w:rsid w:val="560B1CAC"/>
    <w:rsid w:val="560E52F8"/>
    <w:rsid w:val="56155DC3"/>
    <w:rsid w:val="56186203"/>
    <w:rsid w:val="56187F25"/>
    <w:rsid w:val="561A3C9D"/>
    <w:rsid w:val="561B14C6"/>
    <w:rsid w:val="561B661D"/>
    <w:rsid w:val="561D19DF"/>
    <w:rsid w:val="561F5757"/>
    <w:rsid w:val="561F7505"/>
    <w:rsid w:val="56200587"/>
    <w:rsid w:val="5621502B"/>
    <w:rsid w:val="56226FF5"/>
    <w:rsid w:val="56270168"/>
    <w:rsid w:val="56293EE0"/>
    <w:rsid w:val="562B23E6"/>
    <w:rsid w:val="562F17B8"/>
    <w:rsid w:val="563509C5"/>
    <w:rsid w:val="56350AD7"/>
    <w:rsid w:val="56356D29"/>
    <w:rsid w:val="563665FD"/>
    <w:rsid w:val="563805C7"/>
    <w:rsid w:val="56384123"/>
    <w:rsid w:val="563C00B7"/>
    <w:rsid w:val="563D098A"/>
    <w:rsid w:val="563F7BDE"/>
    <w:rsid w:val="56435B52"/>
    <w:rsid w:val="56464A92"/>
    <w:rsid w:val="5648537C"/>
    <w:rsid w:val="564E3947"/>
    <w:rsid w:val="564F2D6B"/>
    <w:rsid w:val="56552F27"/>
    <w:rsid w:val="565C1C77"/>
    <w:rsid w:val="565E627F"/>
    <w:rsid w:val="56607753"/>
    <w:rsid w:val="566108F6"/>
    <w:rsid w:val="5664316A"/>
    <w:rsid w:val="56660C21"/>
    <w:rsid w:val="566B274A"/>
    <w:rsid w:val="566E7EBE"/>
    <w:rsid w:val="5671686A"/>
    <w:rsid w:val="56746754"/>
    <w:rsid w:val="56763709"/>
    <w:rsid w:val="567A298E"/>
    <w:rsid w:val="567B2901"/>
    <w:rsid w:val="56837A94"/>
    <w:rsid w:val="5686732F"/>
    <w:rsid w:val="56890E23"/>
    <w:rsid w:val="56892BD1"/>
    <w:rsid w:val="568D4F3A"/>
    <w:rsid w:val="56905D0D"/>
    <w:rsid w:val="56925F29"/>
    <w:rsid w:val="56933A4F"/>
    <w:rsid w:val="569577C7"/>
    <w:rsid w:val="56975989"/>
    <w:rsid w:val="56985F83"/>
    <w:rsid w:val="56992FA3"/>
    <w:rsid w:val="569F41A2"/>
    <w:rsid w:val="56A10441"/>
    <w:rsid w:val="56A25A40"/>
    <w:rsid w:val="56A30329"/>
    <w:rsid w:val="56AB18AC"/>
    <w:rsid w:val="56B04601"/>
    <w:rsid w:val="56B20379"/>
    <w:rsid w:val="56B24BDB"/>
    <w:rsid w:val="56B33514"/>
    <w:rsid w:val="56B41542"/>
    <w:rsid w:val="56B569A0"/>
    <w:rsid w:val="56BA722E"/>
    <w:rsid w:val="56BC2FA6"/>
    <w:rsid w:val="56BC6B02"/>
    <w:rsid w:val="56C43B07"/>
    <w:rsid w:val="56C46063"/>
    <w:rsid w:val="56C500AD"/>
    <w:rsid w:val="56C9121F"/>
    <w:rsid w:val="56CA2358"/>
    <w:rsid w:val="56CF2CD9"/>
    <w:rsid w:val="56D14650"/>
    <w:rsid w:val="56D73109"/>
    <w:rsid w:val="56D97D8C"/>
    <w:rsid w:val="56DA6638"/>
    <w:rsid w:val="56DC71A4"/>
    <w:rsid w:val="56E04EE6"/>
    <w:rsid w:val="56E10F23"/>
    <w:rsid w:val="56E91B2A"/>
    <w:rsid w:val="56EA7B13"/>
    <w:rsid w:val="56F02FEC"/>
    <w:rsid w:val="56F30FEE"/>
    <w:rsid w:val="56F3629C"/>
    <w:rsid w:val="57014562"/>
    <w:rsid w:val="57016C0B"/>
    <w:rsid w:val="570603AC"/>
    <w:rsid w:val="5706053E"/>
    <w:rsid w:val="57090274"/>
    <w:rsid w:val="570F1328"/>
    <w:rsid w:val="5712700E"/>
    <w:rsid w:val="571E156B"/>
    <w:rsid w:val="57266671"/>
    <w:rsid w:val="57266E42"/>
    <w:rsid w:val="572C46A3"/>
    <w:rsid w:val="572F4D08"/>
    <w:rsid w:val="572F5526"/>
    <w:rsid w:val="5730791B"/>
    <w:rsid w:val="57307C8C"/>
    <w:rsid w:val="57346FE0"/>
    <w:rsid w:val="57371D02"/>
    <w:rsid w:val="57377475"/>
    <w:rsid w:val="57390153"/>
    <w:rsid w:val="573A241D"/>
    <w:rsid w:val="573C6E3A"/>
    <w:rsid w:val="573F3B3C"/>
    <w:rsid w:val="574014E1"/>
    <w:rsid w:val="57417420"/>
    <w:rsid w:val="57462870"/>
    <w:rsid w:val="57467DC2"/>
    <w:rsid w:val="574B0874"/>
    <w:rsid w:val="575147F9"/>
    <w:rsid w:val="57560ECF"/>
    <w:rsid w:val="575B456D"/>
    <w:rsid w:val="575D034E"/>
    <w:rsid w:val="575D33A9"/>
    <w:rsid w:val="575E57AA"/>
    <w:rsid w:val="576337CE"/>
    <w:rsid w:val="576378C6"/>
    <w:rsid w:val="576553EC"/>
    <w:rsid w:val="576D1445"/>
    <w:rsid w:val="57730ABB"/>
    <w:rsid w:val="57743881"/>
    <w:rsid w:val="577929D4"/>
    <w:rsid w:val="577D0B9E"/>
    <w:rsid w:val="577E64AD"/>
    <w:rsid w:val="577E792A"/>
    <w:rsid w:val="57847330"/>
    <w:rsid w:val="578530FA"/>
    <w:rsid w:val="57882E88"/>
    <w:rsid w:val="578940FB"/>
    <w:rsid w:val="57897E23"/>
    <w:rsid w:val="578A30A4"/>
    <w:rsid w:val="578C0BCA"/>
    <w:rsid w:val="578C2978"/>
    <w:rsid w:val="578D049F"/>
    <w:rsid w:val="578D66F1"/>
    <w:rsid w:val="578F4217"/>
    <w:rsid w:val="57935AA3"/>
    <w:rsid w:val="5794182D"/>
    <w:rsid w:val="5798756F"/>
    <w:rsid w:val="57A001D2"/>
    <w:rsid w:val="57A44166"/>
    <w:rsid w:val="57AA1F7E"/>
    <w:rsid w:val="57AE0B41"/>
    <w:rsid w:val="57AE79CC"/>
    <w:rsid w:val="57B10061"/>
    <w:rsid w:val="57B207BD"/>
    <w:rsid w:val="57B228D8"/>
    <w:rsid w:val="57BE68AA"/>
    <w:rsid w:val="57C74156"/>
    <w:rsid w:val="57C84CF5"/>
    <w:rsid w:val="57CA34A1"/>
    <w:rsid w:val="57CB175B"/>
    <w:rsid w:val="57D1482F"/>
    <w:rsid w:val="57D367F9"/>
    <w:rsid w:val="57DA7B88"/>
    <w:rsid w:val="57DB4A0B"/>
    <w:rsid w:val="57E427B4"/>
    <w:rsid w:val="57E5652D"/>
    <w:rsid w:val="57E57449"/>
    <w:rsid w:val="57E64A8D"/>
    <w:rsid w:val="57E74053"/>
    <w:rsid w:val="57E938E0"/>
    <w:rsid w:val="57EA3B43"/>
    <w:rsid w:val="57EA58F1"/>
    <w:rsid w:val="57EE0746"/>
    <w:rsid w:val="57F10A2D"/>
    <w:rsid w:val="57F4051E"/>
    <w:rsid w:val="57F72A76"/>
    <w:rsid w:val="57F91F71"/>
    <w:rsid w:val="57F920D5"/>
    <w:rsid w:val="57F96D33"/>
    <w:rsid w:val="57FE314A"/>
    <w:rsid w:val="580263B8"/>
    <w:rsid w:val="5803300E"/>
    <w:rsid w:val="580746F5"/>
    <w:rsid w:val="58093FC9"/>
    <w:rsid w:val="58095D77"/>
    <w:rsid w:val="580A1AEF"/>
    <w:rsid w:val="580C686D"/>
    <w:rsid w:val="580F0218"/>
    <w:rsid w:val="5813309A"/>
    <w:rsid w:val="5818245E"/>
    <w:rsid w:val="581A7F84"/>
    <w:rsid w:val="581D59FA"/>
    <w:rsid w:val="581D69E7"/>
    <w:rsid w:val="58201313"/>
    <w:rsid w:val="58262DCD"/>
    <w:rsid w:val="5829466B"/>
    <w:rsid w:val="58295004"/>
    <w:rsid w:val="582E477C"/>
    <w:rsid w:val="58337298"/>
    <w:rsid w:val="5837673D"/>
    <w:rsid w:val="58384622"/>
    <w:rsid w:val="58403763"/>
    <w:rsid w:val="58414090"/>
    <w:rsid w:val="58421289"/>
    <w:rsid w:val="584C2575"/>
    <w:rsid w:val="58515970"/>
    <w:rsid w:val="5851771E"/>
    <w:rsid w:val="58537B11"/>
    <w:rsid w:val="585676D7"/>
    <w:rsid w:val="58584F50"/>
    <w:rsid w:val="585D2567"/>
    <w:rsid w:val="585E160F"/>
    <w:rsid w:val="585F21C4"/>
    <w:rsid w:val="58613E05"/>
    <w:rsid w:val="58634A72"/>
    <w:rsid w:val="58640548"/>
    <w:rsid w:val="586456A3"/>
    <w:rsid w:val="5866146B"/>
    <w:rsid w:val="586616BE"/>
    <w:rsid w:val="586A7D22"/>
    <w:rsid w:val="586B4C84"/>
    <w:rsid w:val="586C6306"/>
    <w:rsid w:val="5870349C"/>
    <w:rsid w:val="58704048"/>
    <w:rsid w:val="58731391"/>
    <w:rsid w:val="5873188B"/>
    <w:rsid w:val="5875340D"/>
    <w:rsid w:val="587A0A23"/>
    <w:rsid w:val="587D0513"/>
    <w:rsid w:val="587D195C"/>
    <w:rsid w:val="58800F28"/>
    <w:rsid w:val="58817BCA"/>
    <w:rsid w:val="58845D45"/>
    <w:rsid w:val="58851FAA"/>
    <w:rsid w:val="588673C8"/>
    <w:rsid w:val="58891339"/>
    <w:rsid w:val="588B4B69"/>
    <w:rsid w:val="588E27A9"/>
    <w:rsid w:val="588F4693"/>
    <w:rsid w:val="58911ED4"/>
    <w:rsid w:val="58951D01"/>
    <w:rsid w:val="58975378"/>
    <w:rsid w:val="58980858"/>
    <w:rsid w:val="589C308F"/>
    <w:rsid w:val="589D59C2"/>
    <w:rsid w:val="58A678B0"/>
    <w:rsid w:val="58A67A6A"/>
    <w:rsid w:val="58AE2DC2"/>
    <w:rsid w:val="58AE691E"/>
    <w:rsid w:val="58AF37CB"/>
    <w:rsid w:val="58B04375"/>
    <w:rsid w:val="58B101BD"/>
    <w:rsid w:val="58B2640F"/>
    <w:rsid w:val="58B8154B"/>
    <w:rsid w:val="58B93524"/>
    <w:rsid w:val="58B967FB"/>
    <w:rsid w:val="58BC0931"/>
    <w:rsid w:val="58C63C68"/>
    <w:rsid w:val="58CC1E76"/>
    <w:rsid w:val="58CC2052"/>
    <w:rsid w:val="58CE1D23"/>
    <w:rsid w:val="58CF5213"/>
    <w:rsid w:val="58DC761D"/>
    <w:rsid w:val="58DF11CE"/>
    <w:rsid w:val="58DF4D2A"/>
    <w:rsid w:val="58E022CE"/>
    <w:rsid w:val="58E30CBE"/>
    <w:rsid w:val="58E40592"/>
    <w:rsid w:val="58E42340"/>
    <w:rsid w:val="58E94320"/>
    <w:rsid w:val="58E97957"/>
    <w:rsid w:val="58EA168C"/>
    <w:rsid w:val="58F06F37"/>
    <w:rsid w:val="58F307D5"/>
    <w:rsid w:val="58F317BE"/>
    <w:rsid w:val="58F470AD"/>
    <w:rsid w:val="58F702C5"/>
    <w:rsid w:val="58F76F6F"/>
    <w:rsid w:val="58FA5C90"/>
    <w:rsid w:val="5900361E"/>
    <w:rsid w:val="59034EBC"/>
    <w:rsid w:val="590B0690"/>
    <w:rsid w:val="590B2212"/>
    <w:rsid w:val="59123351"/>
    <w:rsid w:val="59190DEC"/>
    <w:rsid w:val="591C0056"/>
    <w:rsid w:val="591E3AA4"/>
    <w:rsid w:val="592117E6"/>
    <w:rsid w:val="59213594"/>
    <w:rsid w:val="5923730C"/>
    <w:rsid w:val="592F7A5F"/>
    <w:rsid w:val="593037D7"/>
    <w:rsid w:val="5932754F"/>
    <w:rsid w:val="593610DC"/>
    <w:rsid w:val="593B1E90"/>
    <w:rsid w:val="593B6ECF"/>
    <w:rsid w:val="593C3F2A"/>
    <w:rsid w:val="59411F8B"/>
    <w:rsid w:val="594352B9"/>
    <w:rsid w:val="594554D5"/>
    <w:rsid w:val="594D1C44"/>
    <w:rsid w:val="594D5181"/>
    <w:rsid w:val="59514A6D"/>
    <w:rsid w:val="59575208"/>
    <w:rsid w:val="59594ADC"/>
    <w:rsid w:val="595E0345"/>
    <w:rsid w:val="595E5A0C"/>
    <w:rsid w:val="595E600E"/>
    <w:rsid w:val="59602EFC"/>
    <w:rsid w:val="59633756"/>
    <w:rsid w:val="59653481"/>
    <w:rsid w:val="596811C3"/>
    <w:rsid w:val="596A0441"/>
    <w:rsid w:val="596A338E"/>
    <w:rsid w:val="596B480F"/>
    <w:rsid w:val="596C2A61"/>
    <w:rsid w:val="59764446"/>
    <w:rsid w:val="59771406"/>
    <w:rsid w:val="59784ED1"/>
    <w:rsid w:val="597D4C6F"/>
    <w:rsid w:val="59814E47"/>
    <w:rsid w:val="59851D75"/>
    <w:rsid w:val="5987475E"/>
    <w:rsid w:val="59876F82"/>
    <w:rsid w:val="59883613"/>
    <w:rsid w:val="598B2F92"/>
    <w:rsid w:val="59907772"/>
    <w:rsid w:val="59957847"/>
    <w:rsid w:val="59965D30"/>
    <w:rsid w:val="59986A19"/>
    <w:rsid w:val="59994428"/>
    <w:rsid w:val="599975CF"/>
    <w:rsid w:val="599A1AF4"/>
    <w:rsid w:val="59A57117"/>
    <w:rsid w:val="59A73A9A"/>
    <w:rsid w:val="59A93559"/>
    <w:rsid w:val="59AB58B3"/>
    <w:rsid w:val="59AD307A"/>
    <w:rsid w:val="59B144D2"/>
    <w:rsid w:val="59B2243E"/>
    <w:rsid w:val="59B30690"/>
    <w:rsid w:val="59B368E2"/>
    <w:rsid w:val="59B407AC"/>
    <w:rsid w:val="59B47CF8"/>
    <w:rsid w:val="59B83EF9"/>
    <w:rsid w:val="59BA483A"/>
    <w:rsid w:val="59BC2D25"/>
    <w:rsid w:val="59BD150F"/>
    <w:rsid w:val="59C71625"/>
    <w:rsid w:val="59C83A10"/>
    <w:rsid w:val="59CC52AE"/>
    <w:rsid w:val="59D2488F"/>
    <w:rsid w:val="59D423B5"/>
    <w:rsid w:val="59D45822"/>
    <w:rsid w:val="59D61838"/>
    <w:rsid w:val="59D94599"/>
    <w:rsid w:val="59DA7DBC"/>
    <w:rsid w:val="59DD570D"/>
    <w:rsid w:val="59DF0C26"/>
    <w:rsid w:val="59E15D18"/>
    <w:rsid w:val="59E20F76"/>
    <w:rsid w:val="59E85E60"/>
    <w:rsid w:val="59EA4662"/>
    <w:rsid w:val="59EC1A3B"/>
    <w:rsid w:val="59EC3BA2"/>
    <w:rsid w:val="59ED6E39"/>
    <w:rsid w:val="59EE6A80"/>
    <w:rsid w:val="59EE798A"/>
    <w:rsid w:val="59F12F67"/>
    <w:rsid w:val="59F30104"/>
    <w:rsid w:val="59F51902"/>
    <w:rsid w:val="59FA7758"/>
    <w:rsid w:val="59FC7CE0"/>
    <w:rsid w:val="59FD190B"/>
    <w:rsid w:val="59FE7432"/>
    <w:rsid w:val="59FF38D6"/>
    <w:rsid w:val="5A010404"/>
    <w:rsid w:val="5A0375EE"/>
    <w:rsid w:val="5A100D6E"/>
    <w:rsid w:val="5A113609"/>
    <w:rsid w:val="5A121BEB"/>
    <w:rsid w:val="5A1A6CEB"/>
    <w:rsid w:val="5A1B4F97"/>
    <w:rsid w:val="5A1B6236"/>
    <w:rsid w:val="5A1C1B2F"/>
    <w:rsid w:val="5A2055FA"/>
    <w:rsid w:val="5A210A43"/>
    <w:rsid w:val="5A250E62"/>
    <w:rsid w:val="5A264BBB"/>
    <w:rsid w:val="5A296BA4"/>
    <w:rsid w:val="5A2A0227"/>
    <w:rsid w:val="5A2A3397"/>
    <w:rsid w:val="5A2C0443"/>
    <w:rsid w:val="5A2E4268"/>
    <w:rsid w:val="5A2E5F69"/>
    <w:rsid w:val="5A2F0A36"/>
    <w:rsid w:val="5A2F1B9D"/>
    <w:rsid w:val="5A2F1CE1"/>
    <w:rsid w:val="5A303411"/>
    <w:rsid w:val="5A377ECF"/>
    <w:rsid w:val="5A3B0F8E"/>
    <w:rsid w:val="5A3D220E"/>
    <w:rsid w:val="5A3D7C8E"/>
    <w:rsid w:val="5A3E46B4"/>
    <w:rsid w:val="5A3F54C6"/>
    <w:rsid w:val="5A4412E8"/>
    <w:rsid w:val="5A444881"/>
    <w:rsid w:val="5A455061"/>
    <w:rsid w:val="5A473648"/>
    <w:rsid w:val="5A496F20"/>
    <w:rsid w:val="5A4C4641"/>
    <w:rsid w:val="5A511C57"/>
    <w:rsid w:val="5A5359CF"/>
    <w:rsid w:val="5A5906B0"/>
    <w:rsid w:val="5A5B2AD6"/>
    <w:rsid w:val="5A5B3207"/>
    <w:rsid w:val="5A5B4884"/>
    <w:rsid w:val="5A5C0D28"/>
    <w:rsid w:val="5A614A65"/>
    <w:rsid w:val="5A643FF8"/>
    <w:rsid w:val="5A6574B1"/>
    <w:rsid w:val="5A6776CD"/>
    <w:rsid w:val="5A7438CB"/>
    <w:rsid w:val="5A783688"/>
    <w:rsid w:val="5A78780E"/>
    <w:rsid w:val="5A7914CD"/>
    <w:rsid w:val="5A7C05B3"/>
    <w:rsid w:val="5A843DDB"/>
    <w:rsid w:val="5A85009C"/>
    <w:rsid w:val="5A854A24"/>
    <w:rsid w:val="5A8B554A"/>
    <w:rsid w:val="5A8C5C9B"/>
    <w:rsid w:val="5A8E4C59"/>
    <w:rsid w:val="5A90452E"/>
    <w:rsid w:val="5A9164F8"/>
    <w:rsid w:val="5A963B0E"/>
    <w:rsid w:val="5A9B1124"/>
    <w:rsid w:val="5A9B5353"/>
    <w:rsid w:val="5A9D13F5"/>
    <w:rsid w:val="5A9D2978"/>
    <w:rsid w:val="5A9F29C3"/>
    <w:rsid w:val="5A9F79EB"/>
    <w:rsid w:val="5AA004E9"/>
    <w:rsid w:val="5AA2266F"/>
    <w:rsid w:val="5AA24EF7"/>
    <w:rsid w:val="5AA4622B"/>
    <w:rsid w:val="5AA61FA3"/>
    <w:rsid w:val="5AAE0E58"/>
    <w:rsid w:val="5AB0697E"/>
    <w:rsid w:val="5AB13DD7"/>
    <w:rsid w:val="5AB55328"/>
    <w:rsid w:val="5AB62DF0"/>
    <w:rsid w:val="5AB67D0C"/>
    <w:rsid w:val="5AB90BE4"/>
    <w:rsid w:val="5ABA09C3"/>
    <w:rsid w:val="5ABA15AB"/>
    <w:rsid w:val="5ABA77FD"/>
    <w:rsid w:val="5ABD109B"/>
    <w:rsid w:val="5ABD553F"/>
    <w:rsid w:val="5ABD72ED"/>
    <w:rsid w:val="5ABE0477"/>
    <w:rsid w:val="5ABF12B7"/>
    <w:rsid w:val="5AC04615"/>
    <w:rsid w:val="5AC73CC7"/>
    <w:rsid w:val="5ACA6E7D"/>
    <w:rsid w:val="5ACD39D4"/>
    <w:rsid w:val="5ACE04AA"/>
    <w:rsid w:val="5AD00DCE"/>
    <w:rsid w:val="5AD2671A"/>
    <w:rsid w:val="5AD800DE"/>
    <w:rsid w:val="5AD92379"/>
    <w:rsid w:val="5ADC7773"/>
    <w:rsid w:val="5ADD173D"/>
    <w:rsid w:val="5AE1122D"/>
    <w:rsid w:val="5AE569F0"/>
    <w:rsid w:val="5AE8101D"/>
    <w:rsid w:val="5AE825BC"/>
    <w:rsid w:val="5AEC5C63"/>
    <w:rsid w:val="5AF02B4E"/>
    <w:rsid w:val="5AF0321E"/>
    <w:rsid w:val="5AF070FE"/>
    <w:rsid w:val="5AF251E8"/>
    <w:rsid w:val="5AF575E6"/>
    <w:rsid w:val="5AFC776D"/>
    <w:rsid w:val="5AFD593B"/>
    <w:rsid w:val="5AFE1DDF"/>
    <w:rsid w:val="5B0171D9"/>
    <w:rsid w:val="5B070568"/>
    <w:rsid w:val="5B081497"/>
    <w:rsid w:val="5B084A0C"/>
    <w:rsid w:val="5B0942E0"/>
    <w:rsid w:val="5B094599"/>
    <w:rsid w:val="5B0A2ABB"/>
    <w:rsid w:val="5B0D415F"/>
    <w:rsid w:val="5B0E18F6"/>
    <w:rsid w:val="5B0F66FA"/>
    <w:rsid w:val="5B1B612A"/>
    <w:rsid w:val="5B1C4E27"/>
    <w:rsid w:val="5B1E5FDD"/>
    <w:rsid w:val="5B201C2D"/>
    <w:rsid w:val="5B2335F4"/>
    <w:rsid w:val="5B2555BE"/>
    <w:rsid w:val="5B2B19F2"/>
    <w:rsid w:val="5B3475AF"/>
    <w:rsid w:val="5B372BFB"/>
    <w:rsid w:val="5B3F7D02"/>
    <w:rsid w:val="5B465534"/>
    <w:rsid w:val="5B4B2B4A"/>
    <w:rsid w:val="5B4F43E9"/>
    <w:rsid w:val="5B501F0F"/>
    <w:rsid w:val="5B503CBD"/>
    <w:rsid w:val="5B536E52"/>
    <w:rsid w:val="5B5437AD"/>
    <w:rsid w:val="5B557525"/>
    <w:rsid w:val="5B57109D"/>
    <w:rsid w:val="5B5945B0"/>
    <w:rsid w:val="5B5A2D8E"/>
    <w:rsid w:val="5B5A4B3C"/>
    <w:rsid w:val="5B5C4D58"/>
    <w:rsid w:val="5B5E462C"/>
    <w:rsid w:val="5B5F03A4"/>
    <w:rsid w:val="5B6065F6"/>
    <w:rsid w:val="5B61236E"/>
    <w:rsid w:val="5B6156E4"/>
    <w:rsid w:val="5B66154C"/>
    <w:rsid w:val="5B6836FC"/>
    <w:rsid w:val="5B687259"/>
    <w:rsid w:val="5B690172"/>
    <w:rsid w:val="5B6A1223"/>
    <w:rsid w:val="5B6A7475"/>
    <w:rsid w:val="5B6B6089"/>
    <w:rsid w:val="5B7008B1"/>
    <w:rsid w:val="5B7421E7"/>
    <w:rsid w:val="5B791466"/>
    <w:rsid w:val="5B7F215F"/>
    <w:rsid w:val="5B7F3088"/>
    <w:rsid w:val="5B8147BE"/>
    <w:rsid w:val="5B816694"/>
    <w:rsid w:val="5B8322E4"/>
    <w:rsid w:val="5B87543D"/>
    <w:rsid w:val="5B892397"/>
    <w:rsid w:val="5B8A3895"/>
    <w:rsid w:val="5B8B2F47"/>
    <w:rsid w:val="5B8F0C89"/>
    <w:rsid w:val="5B8F2A37"/>
    <w:rsid w:val="5B90055D"/>
    <w:rsid w:val="5B9462A0"/>
    <w:rsid w:val="5B955B74"/>
    <w:rsid w:val="5B967F61"/>
    <w:rsid w:val="5B982F36"/>
    <w:rsid w:val="5B995664"/>
    <w:rsid w:val="5B9B02E9"/>
    <w:rsid w:val="5B9C5154"/>
    <w:rsid w:val="5B9C6F02"/>
    <w:rsid w:val="5B9F7C18"/>
    <w:rsid w:val="5BA136D1"/>
    <w:rsid w:val="5BA31EA0"/>
    <w:rsid w:val="5BA33F26"/>
    <w:rsid w:val="5BA70BBD"/>
    <w:rsid w:val="5BA74225"/>
    <w:rsid w:val="5BAB5397"/>
    <w:rsid w:val="5BAC1AA0"/>
    <w:rsid w:val="5BAF4E87"/>
    <w:rsid w:val="5BB029AE"/>
    <w:rsid w:val="5BC052E6"/>
    <w:rsid w:val="5BC30933"/>
    <w:rsid w:val="5BC508FC"/>
    <w:rsid w:val="5BC63D2F"/>
    <w:rsid w:val="5BCA7F13"/>
    <w:rsid w:val="5BCC6A4F"/>
    <w:rsid w:val="5BCF72D8"/>
    <w:rsid w:val="5BD1041F"/>
    <w:rsid w:val="5BD112A2"/>
    <w:rsid w:val="5BD427C0"/>
    <w:rsid w:val="5BD655D8"/>
    <w:rsid w:val="5BD668B8"/>
    <w:rsid w:val="5BDB3ECE"/>
    <w:rsid w:val="5BDE751B"/>
    <w:rsid w:val="5BDF1983"/>
    <w:rsid w:val="5BE2525D"/>
    <w:rsid w:val="5BE275B6"/>
    <w:rsid w:val="5BE34E8E"/>
    <w:rsid w:val="5BE508A9"/>
    <w:rsid w:val="5BE54D4D"/>
    <w:rsid w:val="5BE56AFB"/>
    <w:rsid w:val="5BE70AC5"/>
    <w:rsid w:val="5BEC60DC"/>
    <w:rsid w:val="5BEC7022"/>
    <w:rsid w:val="5BEC7E8A"/>
    <w:rsid w:val="5BEF05B4"/>
    <w:rsid w:val="5BF154A0"/>
    <w:rsid w:val="5BF2247E"/>
    <w:rsid w:val="5BF44F90"/>
    <w:rsid w:val="5BF46D3E"/>
    <w:rsid w:val="5BF705DC"/>
    <w:rsid w:val="5BFB00CD"/>
    <w:rsid w:val="5C023AB7"/>
    <w:rsid w:val="5C061FC0"/>
    <w:rsid w:val="5C097DDA"/>
    <w:rsid w:val="5C1318BA"/>
    <w:rsid w:val="5C133668"/>
    <w:rsid w:val="5C1843D5"/>
    <w:rsid w:val="5C1B076F"/>
    <w:rsid w:val="5C1C3CDD"/>
    <w:rsid w:val="5C1E200D"/>
    <w:rsid w:val="5C201020"/>
    <w:rsid w:val="5C277114"/>
    <w:rsid w:val="5C2A09B2"/>
    <w:rsid w:val="5C2B0C2F"/>
    <w:rsid w:val="5C2C0724"/>
    <w:rsid w:val="5C2C69A2"/>
    <w:rsid w:val="5C2D3FFE"/>
    <w:rsid w:val="5C317F92"/>
    <w:rsid w:val="5C337620"/>
    <w:rsid w:val="5C3E620B"/>
    <w:rsid w:val="5C401F83"/>
    <w:rsid w:val="5C407CBB"/>
    <w:rsid w:val="5C412E25"/>
    <w:rsid w:val="5C47523D"/>
    <w:rsid w:val="5C4A6206"/>
    <w:rsid w:val="5C4B1054"/>
    <w:rsid w:val="5C4C26D6"/>
    <w:rsid w:val="5C4E644E"/>
    <w:rsid w:val="5C5201E5"/>
    <w:rsid w:val="5C52446F"/>
    <w:rsid w:val="5C545A2F"/>
    <w:rsid w:val="5C58551F"/>
    <w:rsid w:val="5C5872CD"/>
    <w:rsid w:val="5C5A1AFD"/>
    <w:rsid w:val="5C5B4ECA"/>
    <w:rsid w:val="5C642116"/>
    <w:rsid w:val="5C6739B4"/>
    <w:rsid w:val="5C6A0DAE"/>
    <w:rsid w:val="5C6A5252"/>
    <w:rsid w:val="5C6B141E"/>
    <w:rsid w:val="5C6E4D42"/>
    <w:rsid w:val="5C71038F"/>
    <w:rsid w:val="5C712BB9"/>
    <w:rsid w:val="5C73108E"/>
    <w:rsid w:val="5C734107"/>
    <w:rsid w:val="5C764489"/>
    <w:rsid w:val="5C7878F3"/>
    <w:rsid w:val="5C7B2FBB"/>
    <w:rsid w:val="5C7D4A92"/>
    <w:rsid w:val="5C7F2257"/>
    <w:rsid w:val="5C80749E"/>
    <w:rsid w:val="5C822C17"/>
    <w:rsid w:val="5C841FC5"/>
    <w:rsid w:val="5C846314"/>
    <w:rsid w:val="5C8C341B"/>
    <w:rsid w:val="5C8D7423"/>
    <w:rsid w:val="5C8E7193"/>
    <w:rsid w:val="5C904CB9"/>
    <w:rsid w:val="5C9347A9"/>
    <w:rsid w:val="5C9522CF"/>
    <w:rsid w:val="5C981DBF"/>
    <w:rsid w:val="5C98591B"/>
    <w:rsid w:val="5C9B6DBC"/>
    <w:rsid w:val="5C9E4E84"/>
    <w:rsid w:val="5C9F4BDD"/>
    <w:rsid w:val="5CA11C62"/>
    <w:rsid w:val="5CA2679A"/>
    <w:rsid w:val="5CA32F34"/>
    <w:rsid w:val="5CA365BB"/>
    <w:rsid w:val="5CA3732E"/>
    <w:rsid w:val="5CA6628A"/>
    <w:rsid w:val="5CAC13C7"/>
    <w:rsid w:val="5CB0535B"/>
    <w:rsid w:val="5CB52E0B"/>
    <w:rsid w:val="5CB607B2"/>
    <w:rsid w:val="5CB90DDD"/>
    <w:rsid w:val="5CBB785C"/>
    <w:rsid w:val="5CBD0CC6"/>
    <w:rsid w:val="5CBF734C"/>
    <w:rsid w:val="5CC46711"/>
    <w:rsid w:val="5CC76201"/>
    <w:rsid w:val="5CCC41A5"/>
    <w:rsid w:val="5CD16E8B"/>
    <w:rsid w:val="5CD34BA6"/>
    <w:rsid w:val="5CD524C8"/>
    <w:rsid w:val="5CDA2C58"/>
    <w:rsid w:val="5CDA7A5D"/>
    <w:rsid w:val="5CDB3A5A"/>
    <w:rsid w:val="5CDC1CAC"/>
    <w:rsid w:val="5CDD5A24"/>
    <w:rsid w:val="5CE15B8E"/>
    <w:rsid w:val="5CE3143C"/>
    <w:rsid w:val="5CE61957"/>
    <w:rsid w:val="5CE648D9"/>
    <w:rsid w:val="5CE91451"/>
    <w:rsid w:val="5CE943C9"/>
    <w:rsid w:val="5CEF0F84"/>
    <w:rsid w:val="5CF4010E"/>
    <w:rsid w:val="5CF54B1C"/>
    <w:rsid w:val="5CF61D0D"/>
    <w:rsid w:val="5CF74DCB"/>
    <w:rsid w:val="5CF907A3"/>
    <w:rsid w:val="5CFA0384"/>
    <w:rsid w:val="5CFA6097"/>
    <w:rsid w:val="5D001FBB"/>
    <w:rsid w:val="5D051F04"/>
    <w:rsid w:val="5D094A6B"/>
    <w:rsid w:val="5D0A60D4"/>
    <w:rsid w:val="5D0A6A27"/>
    <w:rsid w:val="5D0B433F"/>
    <w:rsid w:val="5D0F1CEF"/>
    <w:rsid w:val="5D106B74"/>
    <w:rsid w:val="5D121B72"/>
    <w:rsid w:val="5D1276BE"/>
    <w:rsid w:val="5D13681F"/>
    <w:rsid w:val="5D141BFE"/>
    <w:rsid w:val="5D153410"/>
    <w:rsid w:val="5D156F6C"/>
    <w:rsid w:val="5D166770"/>
    <w:rsid w:val="5D183B9A"/>
    <w:rsid w:val="5D186A5C"/>
    <w:rsid w:val="5D1D22C5"/>
    <w:rsid w:val="5D1E0517"/>
    <w:rsid w:val="5D1E6BAB"/>
    <w:rsid w:val="5D221689"/>
    <w:rsid w:val="5D250D53"/>
    <w:rsid w:val="5D255D71"/>
    <w:rsid w:val="5D2B2E5F"/>
    <w:rsid w:val="5D2B49E2"/>
    <w:rsid w:val="5D2C42B6"/>
    <w:rsid w:val="5D2D075A"/>
    <w:rsid w:val="5D2E002E"/>
    <w:rsid w:val="5D333FB4"/>
    <w:rsid w:val="5D336228"/>
    <w:rsid w:val="5D3513BC"/>
    <w:rsid w:val="5D35760E"/>
    <w:rsid w:val="5D37780B"/>
    <w:rsid w:val="5D382866"/>
    <w:rsid w:val="5D3C274B"/>
    <w:rsid w:val="5D41204D"/>
    <w:rsid w:val="5D443097"/>
    <w:rsid w:val="5D445AA3"/>
    <w:rsid w:val="5D4810F0"/>
    <w:rsid w:val="5D4925EF"/>
    <w:rsid w:val="5D4930BA"/>
    <w:rsid w:val="5D4A130C"/>
    <w:rsid w:val="5D4E06D0"/>
    <w:rsid w:val="5D4E5C9E"/>
    <w:rsid w:val="5D55380D"/>
    <w:rsid w:val="5D58371F"/>
    <w:rsid w:val="5D5C2DED"/>
    <w:rsid w:val="5D5C575A"/>
    <w:rsid w:val="5D5F28DD"/>
    <w:rsid w:val="5D600B2F"/>
    <w:rsid w:val="5D612F48"/>
    <w:rsid w:val="5D656145"/>
    <w:rsid w:val="5D6A2948"/>
    <w:rsid w:val="5D6B1282"/>
    <w:rsid w:val="5D6B3030"/>
    <w:rsid w:val="5D706898"/>
    <w:rsid w:val="5D7243BE"/>
    <w:rsid w:val="5D72616D"/>
    <w:rsid w:val="5D752101"/>
    <w:rsid w:val="5D7A3273"/>
    <w:rsid w:val="5D861C18"/>
    <w:rsid w:val="5D8B36D2"/>
    <w:rsid w:val="5D8E030D"/>
    <w:rsid w:val="5D900CE9"/>
    <w:rsid w:val="5D921815"/>
    <w:rsid w:val="5D92680F"/>
    <w:rsid w:val="5D934731"/>
    <w:rsid w:val="5D950922"/>
    <w:rsid w:val="5D964551"/>
    <w:rsid w:val="5D972077"/>
    <w:rsid w:val="5D9A3915"/>
    <w:rsid w:val="5D9A50C1"/>
    <w:rsid w:val="5D9B46DB"/>
    <w:rsid w:val="5D9B59DE"/>
    <w:rsid w:val="5D9C760D"/>
    <w:rsid w:val="5D9E1657"/>
    <w:rsid w:val="5D9E3405"/>
    <w:rsid w:val="5DA402F0"/>
    <w:rsid w:val="5DA622BA"/>
    <w:rsid w:val="5DA65A29"/>
    <w:rsid w:val="5DAB167E"/>
    <w:rsid w:val="5DAC027C"/>
    <w:rsid w:val="5DB22A0D"/>
    <w:rsid w:val="5DB42C29"/>
    <w:rsid w:val="5DB91015"/>
    <w:rsid w:val="5DBA7AE6"/>
    <w:rsid w:val="5DBB08AD"/>
    <w:rsid w:val="5DBE13B2"/>
    <w:rsid w:val="5DC2273B"/>
    <w:rsid w:val="5DC26F4C"/>
    <w:rsid w:val="5DCC3CE5"/>
    <w:rsid w:val="5DD00075"/>
    <w:rsid w:val="5DD15C52"/>
    <w:rsid w:val="5DD241E2"/>
    <w:rsid w:val="5DD40BD5"/>
    <w:rsid w:val="5DD45079"/>
    <w:rsid w:val="5DD5494D"/>
    <w:rsid w:val="5DD737C6"/>
    <w:rsid w:val="5DD75540"/>
    <w:rsid w:val="5DD856BC"/>
    <w:rsid w:val="5DD9443E"/>
    <w:rsid w:val="5DDB01B6"/>
    <w:rsid w:val="5DDE7CA6"/>
    <w:rsid w:val="5DE30E18"/>
    <w:rsid w:val="5DE3706A"/>
    <w:rsid w:val="5DEA664B"/>
    <w:rsid w:val="5DF16D45"/>
    <w:rsid w:val="5DF272AD"/>
    <w:rsid w:val="5DF63241"/>
    <w:rsid w:val="5DF87F5B"/>
    <w:rsid w:val="5DF9063C"/>
    <w:rsid w:val="5DFB26F6"/>
    <w:rsid w:val="5DFC1EDA"/>
    <w:rsid w:val="5DFC5C02"/>
    <w:rsid w:val="5DFD102D"/>
    <w:rsid w:val="5E017F6F"/>
    <w:rsid w:val="5E063C0F"/>
    <w:rsid w:val="5E06796E"/>
    <w:rsid w:val="5E0A0A9B"/>
    <w:rsid w:val="5E0A1696"/>
    <w:rsid w:val="5E0A2849"/>
    <w:rsid w:val="5E0B036F"/>
    <w:rsid w:val="5E0D40BF"/>
    <w:rsid w:val="5E111E29"/>
    <w:rsid w:val="5E145476"/>
    <w:rsid w:val="5E1611EE"/>
    <w:rsid w:val="5E1831B8"/>
    <w:rsid w:val="5E1A0753"/>
    <w:rsid w:val="5E27164D"/>
    <w:rsid w:val="5E287173"/>
    <w:rsid w:val="5E2A4C99"/>
    <w:rsid w:val="5E2C0A8E"/>
    <w:rsid w:val="5E2E29DB"/>
    <w:rsid w:val="5E2F0501"/>
    <w:rsid w:val="5E317DD6"/>
    <w:rsid w:val="5E331DA0"/>
    <w:rsid w:val="5E343198"/>
    <w:rsid w:val="5E345B18"/>
    <w:rsid w:val="5E361890"/>
    <w:rsid w:val="5E371164"/>
    <w:rsid w:val="5E430D28"/>
    <w:rsid w:val="5E4858FC"/>
    <w:rsid w:val="5E56792A"/>
    <w:rsid w:val="5E572149"/>
    <w:rsid w:val="5E587A58"/>
    <w:rsid w:val="5E5A356B"/>
    <w:rsid w:val="5E5A37D0"/>
    <w:rsid w:val="5E5F0DE7"/>
    <w:rsid w:val="5E6006BB"/>
    <w:rsid w:val="5E622685"/>
    <w:rsid w:val="5E631F59"/>
    <w:rsid w:val="5E655CD1"/>
    <w:rsid w:val="5E6B4592"/>
    <w:rsid w:val="5E6C52B2"/>
    <w:rsid w:val="5E6D1EC3"/>
    <w:rsid w:val="5E6E2166"/>
    <w:rsid w:val="5E7000A2"/>
    <w:rsid w:val="5E7121C4"/>
    <w:rsid w:val="5E722310"/>
    <w:rsid w:val="5E731539"/>
    <w:rsid w:val="5E761C8C"/>
    <w:rsid w:val="5E781BA7"/>
    <w:rsid w:val="5E7A5C21"/>
    <w:rsid w:val="5E7B7B65"/>
    <w:rsid w:val="5E7C3B11"/>
    <w:rsid w:val="5E7F18F6"/>
    <w:rsid w:val="5E7F3237"/>
    <w:rsid w:val="5E7F5A64"/>
    <w:rsid w:val="5E800D5D"/>
    <w:rsid w:val="5E803816"/>
    <w:rsid w:val="5E8664B5"/>
    <w:rsid w:val="5E8B074B"/>
    <w:rsid w:val="5E8C5954"/>
    <w:rsid w:val="5E902AE4"/>
    <w:rsid w:val="5E916AC6"/>
    <w:rsid w:val="5E944DCF"/>
    <w:rsid w:val="5E9640DD"/>
    <w:rsid w:val="5E987DA6"/>
    <w:rsid w:val="5E993BCD"/>
    <w:rsid w:val="5E99422F"/>
    <w:rsid w:val="5E996841"/>
    <w:rsid w:val="5E9D190F"/>
    <w:rsid w:val="5E9E3FC3"/>
    <w:rsid w:val="5EA00E30"/>
    <w:rsid w:val="5EA06D09"/>
    <w:rsid w:val="5EA12A0D"/>
    <w:rsid w:val="5EA13984"/>
    <w:rsid w:val="5EA22A81"/>
    <w:rsid w:val="5EA26F25"/>
    <w:rsid w:val="5EA47734"/>
    <w:rsid w:val="5EA52296"/>
    <w:rsid w:val="5EA874D1"/>
    <w:rsid w:val="5EAB2B62"/>
    <w:rsid w:val="5EAE0B30"/>
    <w:rsid w:val="5EB20774"/>
    <w:rsid w:val="5EB34C8F"/>
    <w:rsid w:val="5EB61B49"/>
    <w:rsid w:val="5EB6652D"/>
    <w:rsid w:val="5EB97DCB"/>
    <w:rsid w:val="5EBD5B0D"/>
    <w:rsid w:val="5EBD6861"/>
    <w:rsid w:val="5EC23124"/>
    <w:rsid w:val="5EC24ED2"/>
    <w:rsid w:val="5EC37249"/>
    <w:rsid w:val="5EC618CD"/>
    <w:rsid w:val="5EC7073A"/>
    <w:rsid w:val="5EC84BE0"/>
    <w:rsid w:val="5ECA55AD"/>
    <w:rsid w:val="5ECB647C"/>
    <w:rsid w:val="5ECD6BB5"/>
    <w:rsid w:val="5ED13367"/>
    <w:rsid w:val="5ED17C75"/>
    <w:rsid w:val="5ED2144E"/>
    <w:rsid w:val="5ED54C05"/>
    <w:rsid w:val="5ED637A3"/>
    <w:rsid w:val="5EDD191F"/>
    <w:rsid w:val="5EE52114"/>
    <w:rsid w:val="5EE534AD"/>
    <w:rsid w:val="5EE623B8"/>
    <w:rsid w:val="5EEC5BF1"/>
    <w:rsid w:val="5EEE3F19"/>
    <w:rsid w:val="5EF17A08"/>
    <w:rsid w:val="5EF37781"/>
    <w:rsid w:val="5EF46FA5"/>
    <w:rsid w:val="5EF55450"/>
    <w:rsid w:val="5EFA466C"/>
    <w:rsid w:val="5EFB03E4"/>
    <w:rsid w:val="5EFD23AE"/>
    <w:rsid w:val="5EFE5F68"/>
    <w:rsid w:val="5F012A97"/>
    <w:rsid w:val="5F013C4C"/>
    <w:rsid w:val="5F04373C"/>
    <w:rsid w:val="5F047298"/>
    <w:rsid w:val="5F0722E5"/>
    <w:rsid w:val="5F097036"/>
    <w:rsid w:val="5F0A6F89"/>
    <w:rsid w:val="5F0B19F9"/>
    <w:rsid w:val="5F0B5DC4"/>
    <w:rsid w:val="5F0C3BEC"/>
    <w:rsid w:val="5F0E693E"/>
    <w:rsid w:val="5F116103"/>
    <w:rsid w:val="5F143F03"/>
    <w:rsid w:val="5F156170"/>
    <w:rsid w:val="5F1F0576"/>
    <w:rsid w:val="5F1F0ABA"/>
    <w:rsid w:val="5F2068AB"/>
    <w:rsid w:val="5F211675"/>
    <w:rsid w:val="5F2350ED"/>
    <w:rsid w:val="5F261904"/>
    <w:rsid w:val="5F2636B2"/>
    <w:rsid w:val="5F2B735B"/>
    <w:rsid w:val="5F2C67EF"/>
    <w:rsid w:val="5F2D79C0"/>
    <w:rsid w:val="5F2E7AD5"/>
    <w:rsid w:val="5F301459"/>
    <w:rsid w:val="5F3116A2"/>
    <w:rsid w:val="5F37357A"/>
    <w:rsid w:val="5F41229A"/>
    <w:rsid w:val="5F461F92"/>
    <w:rsid w:val="5F4916B0"/>
    <w:rsid w:val="5F4E6765"/>
    <w:rsid w:val="5F571ABE"/>
    <w:rsid w:val="5F584871"/>
    <w:rsid w:val="5F5A061E"/>
    <w:rsid w:val="5F5D15EE"/>
    <w:rsid w:val="5F6027EA"/>
    <w:rsid w:val="5F6D12E1"/>
    <w:rsid w:val="5F6D308F"/>
    <w:rsid w:val="5F6E5059"/>
    <w:rsid w:val="5F6F5E8B"/>
    <w:rsid w:val="5F700DD2"/>
    <w:rsid w:val="5F761C8C"/>
    <w:rsid w:val="5F7736B6"/>
    <w:rsid w:val="5F775965"/>
    <w:rsid w:val="5F7A1C50"/>
    <w:rsid w:val="5F7E529D"/>
    <w:rsid w:val="5F7F7267"/>
    <w:rsid w:val="5F8108E9"/>
    <w:rsid w:val="5F814D8D"/>
    <w:rsid w:val="5F822EB6"/>
    <w:rsid w:val="5F830B05"/>
    <w:rsid w:val="5F8328B3"/>
    <w:rsid w:val="5F85487D"/>
    <w:rsid w:val="5F904FD0"/>
    <w:rsid w:val="5F910885"/>
    <w:rsid w:val="5F9178F9"/>
    <w:rsid w:val="5F926F9A"/>
    <w:rsid w:val="5F944AC0"/>
    <w:rsid w:val="5F947E0F"/>
    <w:rsid w:val="5F97010C"/>
    <w:rsid w:val="5F9745B0"/>
    <w:rsid w:val="5F9C5723"/>
    <w:rsid w:val="5FA12D39"/>
    <w:rsid w:val="5FA1715B"/>
    <w:rsid w:val="5FA62A45"/>
    <w:rsid w:val="5FA90A86"/>
    <w:rsid w:val="5FAA769A"/>
    <w:rsid w:val="5FAC48A4"/>
    <w:rsid w:val="5FAD7930"/>
    <w:rsid w:val="5FAE77E2"/>
    <w:rsid w:val="5FB017A8"/>
    <w:rsid w:val="5FB23C7C"/>
    <w:rsid w:val="5FB40CBE"/>
    <w:rsid w:val="5FB4164E"/>
    <w:rsid w:val="5FBC5DC5"/>
    <w:rsid w:val="5FBC7B73"/>
    <w:rsid w:val="5FC03B07"/>
    <w:rsid w:val="5FC15189"/>
    <w:rsid w:val="5FCA3343"/>
    <w:rsid w:val="5FD50C35"/>
    <w:rsid w:val="5FD90725"/>
    <w:rsid w:val="5FDB26EF"/>
    <w:rsid w:val="5FDD644A"/>
    <w:rsid w:val="5FEA0B84"/>
    <w:rsid w:val="5FEC2C85"/>
    <w:rsid w:val="5FED06E7"/>
    <w:rsid w:val="5FED2422"/>
    <w:rsid w:val="5FED41D0"/>
    <w:rsid w:val="5FEF1A8F"/>
    <w:rsid w:val="5FEF49B4"/>
    <w:rsid w:val="5FF11F12"/>
    <w:rsid w:val="5FF217E7"/>
    <w:rsid w:val="5FF61893"/>
    <w:rsid w:val="5FF8296E"/>
    <w:rsid w:val="5FF90DC7"/>
    <w:rsid w:val="5FF92322"/>
    <w:rsid w:val="5FF92B75"/>
    <w:rsid w:val="5FFB6BBC"/>
    <w:rsid w:val="5FFC08B7"/>
    <w:rsid w:val="5FFC3630"/>
    <w:rsid w:val="5FFE018B"/>
    <w:rsid w:val="60017C7C"/>
    <w:rsid w:val="600357A2"/>
    <w:rsid w:val="60074B26"/>
    <w:rsid w:val="600751AC"/>
    <w:rsid w:val="600800F7"/>
    <w:rsid w:val="600A22DC"/>
    <w:rsid w:val="600C3A36"/>
    <w:rsid w:val="60144D8D"/>
    <w:rsid w:val="6015049B"/>
    <w:rsid w:val="6017749F"/>
    <w:rsid w:val="60186BB6"/>
    <w:rsid w:val="601A4CF4"/>
    <w:rsid w:val="601E438A"/>
    <w:rsid w:val="60200932"/>
    <w:rsid w:val="6022031E"/>
    <w:rsid w:val="60231E82"/>
    <w:rsid w:val="60235E44"/>
    <w:rsid w:val="6025396A"/>
    <w:rsid w:val="60261490"/>
    <w:rsid w:val="602A0F80"/>
    <w:rsid w:val="602A5E0F"/>
    <w:rsid w:val="602A6E66"/>
    <w:rsid w:val="602C4CF9"/>
    <w:rsid w:val="602D7562"/>
    <w:rsid w:val="603042C2"/>
    <w:rsid w:val="60326087"/>
    <w:rsid w:val="60340051"/>
    <w:rsid w:val="6034444C"/>
    <w:rsid w:val="603718EF"/>
    <w:rsid w:val="60395667"/>
    <w:rsid w:val="603B13E0"/>
    <w:rsid w:val="603D5158"/>
    <w:rsid w:val="603E2D6B"/>
    <w:rsid w:val="603E7357"/>
    <w:rsid w:val="604118D5"/>
    <w:rsid w:val="60432529"/>
    <w:rsid w:val="604638E0"/>
    <w:rsid w:val="60487659"/>
    <w:rsid w:val="604934C1"/>
    <w:rsid w:val="60502829"/>
    <w:rsid w:val="605424A1"/>
    <w:rsid w:val="60591866"/>
    <w:rsid w:val="605F08C6"/>
    <w:rsid w:val="60627DEA"/>
    <w:rsid w:val="60641BBB"/>
    <w:rsid w:val="6064388A"/>
    <w:rsid w:val="60673F83"/>
    <w:rsid w:val="606B2F7F"/>
    <w:rsid w:val="606F4BE5"/>
    <w:rsid w:val="6074175A"/>
    <w:rsid w:val="607707F4"/>
    <w:rsid w:val="60772BBC"/>
    <w:rsid w:val="6079674C"/>
    <w:rsid w:val="607B7A2E"/>
    <w:rsid w:val="60806DF2"/>
    <w:rsid w:val="60817D76"/>
    <w:rsid w:val="608763D3"/>
    <w:rsid w:val="608C39E9"/>
    <w:rsid w:val="608D07DE"/>
    <w:rsid w:val="60913BC8"/>
    <w:rsid w:val="60927EFB"/>
    <w:rsid w:val="60986EE8"/>
    <w:rsid w:val="609C5C96"/>
    <w:rsid w:val="60A11618"/>
    <w:rsid w:val="60A616D2"/>
    <w:rsid w:val="60A63BDA"/>
    <w:rsid w:val="60A70823"/>
    <w:rsid w:val="60A757D2"/>
    <w:rsid w:val="60A87C3C"/>
    <w:rsid w:val="60AD48C6"/>
    <w:rsid w:val="60AE30F2"/>
    <w:rsid w:val="60AE3960"/>
    <w:rsid w:val="60AF35A7"/>
    <w:rsid w:val="60B273BC"/>
    <w:rsid w:val="60B3336B"/>
    <w:rsid w:val="60B368B6"/>
    <w:rsid w:val="60B56102"/>
    <w:rsid w:val="60B66712"/>
    <w:rsid w:val="60B70030"/>
    <w:rsid w:val="60B92304"/>
    <w:rsid w:val="60BA798A"/>
    <w:rsid w:val="60BB607C"/>
    <w:rsid w:val="60C07B37"/>
    <w:rsid w:val="60C25428"/>
    <w:rsid w:val="60C2565D"/>
    <w:rsid w:val="60C3622F"/>
    <w:rsid w:val="60C43E0C"/>
    <w:rsid w:val="60C7179F"/>
    <w:rsid w:val="60CC028A"/>
    <w:rsid w:val="60CF38D6"/>
    <w:rsid w:val="60D1764E"/>
    <w:rsid w:val="60D55DC9"/>
    <w:rsid w:val="60DD5441"/>
    <w:rsid w:val="60E25622"/>
    <w:rsid w:val="60E303C2"/>
    <w:rsid w:val="60E5371E"/>
    <w:rsid w:val="60E65FE3"/>
    <w:rsid w:val="60E70C20"/>
    <w:rsid w:val="60E864B2"/>
    <w:rsid w:val="60E90DF8"/>
    <w:rsid w:val="60E92BEA"/>
    <w:rsid w:val="60EF50B4"/>
    <w:rsid w:val="60F000B2"/>
    <w:rsid w:val="60F83D92"/>
    <w:rsid w:val="60FA5880"/>
    <w:rsid w:val="60FF41BB"/>
    <w:rsid w:val="61026B02"/>
    <w:rsid w:val="610406F2"/>
    <w:rsid w:val="610572F8"/>
    <w:rsid w:val="610C4B2A"/>
    <w:rsid w:val="610C68D8"/>
    <w:rsid w:val="610D6197"/>
    <w:rsid w:val="61100A07"/>
    <w:rsid w:val="61101FD1"/>
    <w:rsid w:val="611063C8"/>
    <w:rsid w:val="611B4D6D"/>
    <w:rsid w:val="611D2893"/>
    <w:rsid w:val="611F03B9"/>
    <w:rsid w:val="61204131"/>
    <w:rsid w:val="61213F4D"/>
    <w:rsid w:val="612400C6"/>
    <w:rsid w:val="612468CF"/>
    <w:rsid w:val="61271964"/>
    <w:rsid w:val="612C0D28"/>
    <w:rsid w:val="612C2B73"/>
    <w:rsid w:val="613100ED"/>
    <w:rsid w:val="61354081"/>
    <w:rsid w:val="613A3445"/>
    <w:rsid w:val="613F0422"/>
    <w:rsid w:val="613F0C1E"/>
    <w:rsid w:val="61404918"/>
    <w:rsid w:val="614442C4"/>
    <w:rsid w:val="61447E20"/>
    <w:rsid w:val="61451398"/>
    <w:rsid w:val="61461DEA"/>
    <w:rsid w:val="614918DA"/>
    <w:rsid w:val="61493688"/>
    <w:rsid w:val="614B51D2"/>
    <w:rsid w:val="614E7324"/>
    <w:rsid w:val="61587D6F"/>
    <w:rsid w:val="615C33BC"/>
    <w:rsid w:val="615D0EE2"/>
    <w:rsid w:val="615E238B"/>
    <w:rsid w:val="61614E76"/>
    <w:rsid w:val="61623328"/>
    <w:rsid w:val="6162474A"/>
    <w:rsid w:val="616358D2"/>
    <w:rsid w:val="61642270"/>
    <w:rsid w:val="61693D2A"/>
    <w:rsid w:val="61695AD8"/>
    <w:rsid w:val="616B7AA3"/>
    <w:rsid w:val="616E7F43"/>
    <w:rsid w:val="6171498D"/>
    <w:rsid w:val="61761FA3"/>
    <w:rsid w:val="61776447"/>
    <w:rsid w:val="617A443A"/>
    <w:rsid w:val="617A7CE6"/>
    <w:rsid w:val="617B49BF"/>
    <w:rsid w:val="617C3A5E"/>
    <w:rsid w:val="617C65A2"/>
    <w:rsid w:val="617D175B"/>
    <w:rsid w:val="617D786E"/>
    <w:rsid w:val="617E0582"/>
    <w:rsid w:val="617E3FA0"/>
    <w:rsid w:val="617F525C"/>
    <w:rsid w:val="61834DEC"/>
    <w:rsid w:val="61867EFF"/>
    <w:rsid w:val="6187432E"/>
    <w:rsid w:val="618943CD"/>
    <w:rsid w:val="618C54A5"/>
    <w:rsid w:val="618E3791"/>
    <w:rsid w:val="61923281"/>
    <w:rsid w:val="6192502F"/>
    <w:rsid w:val="61927223"/>
    <w:rsid w:val="619C5EAE"/>
    <w:rsid w:val="61A60B24"/>
    <w:rsid w:val="61A644C1"/>
    <w:rsid w:val="61A905CB"/>
    <w:rsid w:val="61AF6787"/>
    <w:rsid w:val="61B64F19"/>
    <w:rsid w:val="61B74A96"/>
    <w:rsid w:val="61BD612B"/>
    <w:rsid w:val="61BD6238"/>
    <w:rsid w:val="61BF0FEC"/>
    <w:rsid w:val="61C14BD4"/>
    <w:rsid w:val="61C471B3"/>
    <w:rsid w:val="61CD4827"/>
    <w:rsid w:val="61CE1DDF"/>
    <w:rsid w:val="61CF0031"/>
    <w:rsid w:val="61D2007C"/>
    <w:rsid w:val="61D45648"/>
    <w:rsid w:val="61D513C0"/>
    <w:rsid w:val="61D90EB0"/>
    <w:rsid w:val="61DB4C28"/>
    <w:rsid w:val="61DF5D9B"/>
    <w:rsid w:val="61E41603"/>
    <w:rsid w:val="61E82EA1"/>
    <w:rsid w:val="61EB0BE3"/>
    <w:rsid w:val="61EF12F8"/>
    <w:rsid w:val="61F23D20"/>
    <w:rsid w:val="61F25ACE"/>
    <w:rsid w:val="61F56E30"/>
    <w:rsid w:val="61F950AE"/>
    <w:rsid w:val="61F96E5C"/>
    <w:rsid w:val="61FA4982"/>
    <w:rsid w:val="61FD050F"/>
    <w:rsid w:val="61FE26C5"/>
    <w:rsid w:val="61FF01EB"/>
    <w:rsid w:val="61FF0D24"/>
    <w:rsid w:val="620147DB"/>
    <w:rsid w:val="620175A2"/>
    <w:rsid w:val="620344FC"/>
    <w:rsid w:val="62084F7A"/>
    <w:rsid w:val="620A5C42"/>
    <w:rsid w:val="620A72BB"/>
    <w:rsid w:val="620B6B90"/>
    <w:rsid w:val="620D2908"/>
    <w:rsid w:val="62106DE2"/>
    <w:rsid w:val="6211652C"/>
    <w:rsid w:val="62141EE8"/>
    <w:rsid w:val="62161C21"/>
    <w:rsid w:val="62182951"/>
    <w:rsid w:val="62186708"/>
    <w:rsid w:val="621B5854"/>
    <w:rsid w:val="621C2B4B"/>
    <w:rsid w:val="621E68C3"/>
    <w:rsid w:val="621E7BD5"/>
    <w:rsid w:val="621E7D05"/>
    <w:rsid w:val="62210161"/>
    <w:rsid w:val="62214605"/>
    <w:rsid w:val="62220D6D"/>
    <w:rsid w:val="62233AB5"/>
    <w:rsid w:val="622639C9"/>
    <w:rsid w:val="622814F0"/>
    <w:rsid w:val="622A34BA"/>
    <w:rsid w:val="622A4573"/>
    <w:rsid w:val="622B7232"/>
    <w:rsid w:val="622D3B0B"/>
    <w:rsid w:val="622F0AD0"/>
    <w:rsid w:val="62331DD1"/>
    <w:rsid w:val="6235771E"/>
    <w:rsid w:val="62397BA1"/>
    <w:rsid w:val="623A400D"/>
    <w:rsid w:val="62456545"/>
    <w:rsid w:val="624655C2"/>
    <w:rsid w:val="624721CA"/>
    <w:rsid w:val="624B3430"/>
    <w:rsid w:val="624D53FA"/>
    <w:rsid w:val="624D71A8"/>
    <w:rsid w:val="624F1172"/>
    <w:rsid w:val="62500A46"/>
    <w:rsid w:val="625642AF"/>
    <w:rsid w:val="625B64BB"/>
    <w:rsid w:val="625F41EC"/>
    <w:rsid w:val="626369CC"/>
    <w:rsid w:val="626469D9"/>
    <w:rsid w:val="626562A0"/>
    <w:rsid w:val="62683FE2"/>
    <w:rsid w:val="62685F81"/>
    <w:rsid w:val="626B762E"/>
    <w:rsid w:val="626F3524"/>
    <w:rsid w:val="626F35C2"/>
    <w:rsid w:val="627110E9"/>
    <w:rsid w:val="62726C0F"/>
    <w:rsid w:val="627604AD"/>
    <w:rsid w:val="62764951"/>
    <w:rsid w:val="62782DE6"/>
    <w:rsid w:val="62797F9D"/>
    <w:rsid w:val="627B5AC3"/>
    <w:rsid w:val="627C183B"/>
    <w:rsid w:val="627F5FC2"/>
    <w:rsid w:val="628202AE"/>
    <w:rsid w:val="62825B94"/>
    <w:rsid w:val="62827BEF"/>
    <w:rsid w:val="628C1A7E"/>
    <w:rsid w:val="628F5A13"/>
    <w:rsid w:val="62931EA3"/>
    <w:rsid w:val="6299063F"/>
    <w:rsid w:val="629A19E4"/>
    <w:rsid w:val="629B7F14"/>
    <w:rsid w:val="629C78BE"/>
    <w:rsid w:val="629E63D3"/>
    <w:rsid w:val="629F0EE6"/>
    <w:rsid w:val="62AA45FB"/>
    <w:rsid w:val="62AB5540"/>
    <w:rsid w:val="62AD7C47"/>
    <w:rsid w:val="62AF55C1"/>
    <w:rsid w:val="62B109CD"/>
    <w:rsid w:val="62B17737"/>
    <w:rsid w:val="62B2525D"/>
    <w:rsid w:val="62B64D4D"/>
    <w:rsid w:val="62B677F6"/>
    <w:rsid w:val="62B709DB"/>
    <w:rsid w:val="62B72874"/>
    <w:rsid w:val="62B9483E"/>
    <w:rsid w:val="62BD432E"/>
    <w:rsid w:val="62BD60DC"/>
    <w:rsid w:val="62BE6CEE"/>
    <w:rsid w:val="62C148EB"/>
    <w:rsid w:val="62C605FC"/>
    <w:rsid w:val="62C751AC"/>
    <w:rsid w:val="62C87CC4"/>
    <w:rsid w:val="62C90A4D"/>
    <w:rsid w:val="62CC4571"/>
    <w:rsid w:val="62CD2097"/>
    <w:rsid w:val="62CE224E"/>
    <w:rsid w:val="62CE653B"/>
    <w:rsid w:val="62CF5E0F"/>
    <w:rsid w:val="62D75D07"/>
    <w:rsid w:val="62D81168"/>
    <w:rsid w:val="62D908FE"/>
    <w:rsid w:val="62DA0995"/>
    <w:rsid w:val="62DB4EC3"/>
    <w:rsid w:val="62DE7137"/>
    <w:rsid w:val="62DF22AC"/>
    <w:rsid w:val="62E0001C"/>
    <w:rsid w:val="62E053D1"/>
    <w:rsid w:val="62E0626E"/>
    <w:rsid w:val="62E278F0"/>
    <w:rsid w:val="62E729B6"/>
    <w:rsid w:val="62F15D85"/>
    <w:rsid w:val="62F87114"/>
    <w:rsid w:val="62F94AE8"/>
    <w:rsid w:val="63014319"/>
    <w:rsid w:val="630261E5"/>
    <w:rsid w:val="63087FBC"/>
    <w:rsid w:val="630930CF"/>
    <w:rsid w:val="630C7063"/>
    <w:rsid w:val="63111CAA"/>
    <w:rsid w:val="63116AB8"/>
    <w:rsid w:val="63133F4E"/>
    <w:rsid w:val="631877B6"/>
    <w:rsid w:val="6319481C"/>
    <w:rsid w:val="631A0A4F"/>
    <w:rsid w:val="631A5562"/>
    <w:rsid w:val="631A7ACB"/>
    <w:rsid w:val="632148F9"/>
    <w:rsid w:val="632423AF"/>
    <w:rsid w:val="63251ED3"/>
    <w:rsid w:val="632919C3"/>
    <w:rsid w:val="63295EFC"/>
    <w:rsid w:val="632C3261"/>
    <w:rsid w:val="632D74D1"/>
    <w:rsid w:val="63310878"/>
    <w:rsid w:val="63342FD3"/>
    <w:rsid w:val="63367C3C"/>
    <w:rsid w:val="63373059"/>
    <w:rsid w:val="63387E58"/>
    <w:rsid w:val="633A47AB"/>
    <w:rsid w:val="633C413C"/>
    <w:rsid w:val="633D7B3E"/>
    <w:rsid w:val="63402869"/>
    <w:rsid w:val="63426FCC"/>
    <w:rsid w:val="634D1C25"/>
    <w:rsid w:val="63500CFE"/>
    <w:rsid w:val="6353259C"/>
    <w:rsid w:val="63547058"/>
    <w:rsid w:val="63556A01"/>
    <w:rsid w:val="63581625"/>
    <w:rsid w:val="63583DC3"/>
    <w:rsid w:val="635C6E8C"/>
    <w:rsid w:val="635D2B8F"/>
    <w:rsid w:val="635D341B"/>
    <w:rsid w:val="635F7193"/>
    <w:rsid w:val="636141C9"/>
    <w:rsid w:val="636447A9"/>
    <w:rsid w:val="63655DDF"/>
    <w:rsid w:val="63690012"/>
    <w:rsid w:val="63710C7C"/>
    <w:rsid w:val="63716EC6"/>
    <w:rsid w:val="637718CB"/>
    <w:rsid w:val="637B5DFA"/>
    <w:rsid w:val="637B6D43"/>
    <w:rsid w:val="637D1D0F"/>
    <w:rsid w:val="63870498"/>
    <w:rsid w:val="638852F4"/>
    <w:rsid w:val="63964B41"/>
    <w:rsid w:val="63967213"/>
    <w:rsid w:val="639808F7"/>
    <w:rsid w:val="639E415F"/>
    <w:rsid w:val="639F3A33"/>
    <w:rsid w:val="63A13A48"/>
    <w:rsid w:val="63A454EE"/>
    <w:rsid w:val="63A55C7A"/>
    <w:rsid w:val="63A82261"/>
    <w:rsid w:val="63A92B04"/>
    <w:rsid w:val="63AA6CC5"/>
    <w:rsid w:val="63AB062A"/>
    <w:rsid w:val="63AB4186"/>
    <w:rsid w:val="63AC3236"/>
    <w:rsid w:val="63AE011A"/>
    <w:rsid w:val="63B034EF"/>
    <w:rsid w:val="63B05C41"/>
    <w:rsid w:val="63B63828"/>
    <w:rsid w:val="63C34DCA"/>
    <w:rsid w:val="63C74D38"/>
    <w:rsid w:val="63CB4828"/>
    <w:rsid w:val="63D23FB7"/>
    <w:rsid w:val="63D3192F"/>
    <w:rsid w:val="63D7141F"/>
    <w:rsid w:val="63DC4C88"/>
    <w:rsid w:val="63DF4869"/>
    <w:rsid w:val="63E34F0E"/>
    <w:rsid w:val="63E65EA6"/>
    <w:rsid w:val="63E9358D"/>
    <w:rsid w:val="63EE27C4"/>
    <w:rsid w:val="63F024E1"/>
    <w:rsid w:val="63F41FD1"/>
    <w:rsid w:val="63F7386F"/>
    <w:rsid w:val="64020214"/>
    <w:rsid w:val="64021259"/>
    <w:rsid w:val="64030466"/>
    <w:rsid w:val="64047D3A"/>
    <w:rsid w:val="640C6011"/>
    <w:rsid w:val="640D6BEF"/>
    <w:rsid w:val="6411291E"/>
    <w:rsid w:val="641A062E"/>
    <w:rsid w:val="641A130C"/>
    <w:rsid w:val="641C32D6"/>
    <w:rsid w:val="641D26A4"/>
    <w:rsid w:val="641F52F4"/>
    <w:rsid w:val="641F57D1"/>
    <w:rsid w:val="6421269A"/>
    <w:rsid w:val="6424218B"/>
    <w:rsid w:val="64243F39"/>
    <w:rsid w:val="64283A29"/>
    <w:rsid w:val="642C2D5B"/>
    <w:rsid w:val="642E3052"/>
    <w:rsid w:val="64307FF3"/>
    <w:rsid w:val="64314686"/>
    <w:rsid w:val="643423CE"/>
    <w:rsid w:val="64345721"/>
    <w:rsid w:val="64346872"/>
    <w:rsid w:val="64365C1B"/>
    <w:rsid w:val="643E149E"/>
    <w:rsid w:val="643F0D73"/>
    <w:rsid w:val="64435C97"/>
    <w:rsid w:val="64446389"/>
    <w:rsid w:val="64464CA2"/>
    <w:rsid w:val="64475192"/>
    <w:rsid w:val="644F7C1E"/>
    <w:rsid w:val="64504D2E"/>
    <w:rsid w:val="645675F7"/>
    <w:rsid w:val="645962D8"/>
    <w:rsid w:val="645B6903"/>
    <w:rsid w:val="645C36D2"/>
    <w:rsid w:val="64635A96"/>
    <w:rsid w:val="646430D2"/>
    <w:rsid w:val="64681492"/>
    <w:rsid w:val="646B1B68"/>
    <w:rsid w:val="646B1E49"/>
    <w:rsid w:val="64713622"/>
    <w:rsid w:val="64714514"/>
    <w:rsid w:val="64722EF6"/>
    <w:rsid w:val="6477675E"/>
    <w:rsid w:val="64790728"/>
    <w:rsid w:val="647A694B"/>
    <w:rsid w:val="648132E9"/>
    <w:rsid w:val="64832C8B"/>
    <w:rsid w:val="6484382A"/>
    <w:rsid w:val="648A7D10"/>
    <w:rsid w:val="648D0B4D"/>
    <w:rsid w:val="648D5F82"/>
    <w:rsid w:val="64921A25"/>
    <w:rsid w:val="64925346"/>
    <w:rsid w:val="64937ECC"/>
    <w:rsid w:val="64971B93"/>
    <w:rsid w:val="649800FE"/>
    <w:rsid w:val="649B65B9"/>
    <w:rsid w:val="649D2B7A"/>
    <w:rsid w:val="64A47615"/>
    <w:rsid w:val="64A532CB"/>
    <w:rsid w:val="64A647DB"/>
    <w:rsid w:val="64A828F2"/>
    <w:rsid w:val="64AA6B34"/>
    <w:rsid w:val="64B11C70"/>
    <w:rsid w:val="64B3431F"/>
    <w:rsid w:val="64B60388"/>
    <w:rsid w:val="64B810FC"/>
    <w:rsid w:val="64BA31EF"/>
    <w:rsid w:val="64BB3817"/>
    <w:rsid w:val="64BD6867"/>
    <w:rsid w:val="64BE438D"/>
    <w:rsid w:val="64C00105"/>
    <w:rsid w:val="64C03C61"/>
    <w:rsid w:val="64CA68EA"/>
    <w:rsid w:val="64CC0858"/>
    <w:rsid w:val="64CE1249"/>
    <w:rsid w:val="64CF0348"/>
    <w:rsid w:val="64CF3D12"/>
    <w:rsid w:val="64D231FC"/>
    <w:rsid w:val="64D30D38"/>
    <w:rsid w:val="64D43BB1"/>
    <w:rsid w:val="64E10EF8"/>
    <w:rsid w:val="64E65D0A"/>
    <w:rsid w:val="64EA33D4"/>
    <w:rsid w:val="64ED59C5"/>
    <w:rsid w:val="64EF67D0"/>
    <w:rsid w:val="64F32289"/>
    <w:rsid w:val="64F323A8"/>
    <w:rsid w:val="64F83556"/>
    <w:rsid w:val="64FB2EEB"/>
    <w:rsid w:val="64FD70F1"/>
    <w:rsid w:val="65003A7D"/>
    <w:rsid w:val="650049A6"/>
    <w:rsid w:val="650A1380"/>
    <w:rsid w:val="650B7C52"/>
    <w:rsid w:val="6511270F"/>
    <w:rsid w:val="65130235"/>
    <w:rsid w:val="651641C9"/>
    <w:rsid w:val="651B533C"/>
    <w:rsid w:val="651C7526"/>
    <w:rsid w:val="65206DF6"/>
    <w:rsid w:val="65232544"/>
    <w:rsid w:val="652561BA"/>
    <w:rsid w:val="65284422"/>
    <w:rsid w:val="65284B3F"/>
    <w:rsid w:val="65295CAB"/>
    <w:rsid w:val="65312DB1"/>
    <w:rsid w:val="65322E16"/>
    <w:rsid w:val="65332685"/>
    <w:rsid w:val="653829A3"/>
    <w:rsid w:val="653C401F"/>
    <w:rsid w:val="653D306F"/>
    <w:rsid w:val="653F54CE"/>
    <w:rsid w:val="65426543"/>
    <w:rsid w:val="65426D6C"/>
    <w:rsid w:val="65451129"/>
    <w:rsid w:val="65462486"/>
    <w:rsid w:val="65474383"/>
    <w:rsid w:val="654C7BEB"/>
    <w:rsid w:val="654D7A6A"/>
    <w:rsid w:val="654F4632"/>
    <w:rsid w:val="65534D5A"/>
    <w:rsid w:val="655B2009"/>
    <w:rsid w:val="655D20EC"/>
    <w:rsid w:val="655D22A1"/>
    <w:rsid w:val="655F1843"/>
    <w:rsid w:val="65694C64"/>
    <w:rsid w:val="656A1E1F"/>
    <w:rsid w:val="656B2E57"/>
    <w:rsid w:val="657038D9"/>
    <w:rsid w:val="65717584"/>
    <w:rsid w:val="65766C11"/>
    <w:rsid w:val="657F2BAF"/>
    <w:rsid w:val="65815AE7"/>
    <w:rsid w:val="65856C59"/>
    <w:rsid w:val="658E3D60"/>
    <w:rsid w:val="659306C0"/>
    <w:rsid w:val="65960E66"/>
    <w:rsid w:val="659770B8"/>
    <w:rsid w:val="659A23A3"/>
    <w:rsid w:val="65A2780B"/>
    <w:rsid w:val="65A6554D"/>
    <w:rsid w:val="65A73073"/>
    <w:rsid w:val="65A768B8"/>
    <w:rsid w:val="65AC3FF6"/>
    <w:rsid w:val="65B337C6"/>
    <w:rsid w:val="65B761F3"/>
    <w:rsid w:val="65B823CC"/>
    <w:rsid w:val="65BA6D04"/>
    <w:rsid w:val="65BB267B"/>
    <w:rsid w:val="65BB3A0B"/>
    <w:rsid w:val="65BD4645"/>
    <w:rsid w:val="65C069AA"/>
    <w:rsid w:val="65C216D1"/>
    <w:rsid w:val="65C37EAD"/>
    <w:rsid w:val="65C47781"/>
    <w:rsid w:val="65C94D98"/>
    <w:rsid w:val="65CE23AE"/>
    <w:rsid w:val="65D11E9E"/>
    <w:rsid w:val="65D210BA"/>
    <w:rsid w:val="65D61B75"/>
    <w:rsid w:val="65D666C7"/>
    <w:rsid w:val="65DA191F"/>
    <w:rsid w:val="65DF027B"/>
    <w:rsid w:val="65EC0A86"/>
    <w:rsid w:val="65ED6CD8"/>
    <w:rsid w:val="65F43A83"/>
    <w:rsid w:val="65F47883"/>
    <w:rsid w:val="65F938CF"/>
    <w:rsid w:val="65FE7137"/>
    <w:rsid w:val="66017D8B"/>
    <w:rsid w:val="6605264C"/>
    <w:rsid w:val="66062A2F"/>
    <w:rsid w:val="660666C3"/>
    <w:rsid w:val="66067718"/>
    <w:rsid w:val="66080974"/>
    <w:rsid w:val="660D5738"/>
    <w:rsid w:val="660E6C4E"/>
    <w:rsid w:val="66131576"/>
    <w:rsid w:val="661923AE"/>
    <w:rsid w:val="66195D61"/>
    <w:rsid w:val="66287D10"/>
    <w:rsid w:val="662927B2"/>
    <w:rsid w:val="662D3578"/>
    <w:rsid w:val="662E109F"/>
    <w:rsid w:val="66313D01"/>
    <w:rsid w:val="663259A2"/>
    <w:rsid w:val="663364E4"/>
    <w:rsid w:val="663733D8"/>
    <w:rsid w:val="663A3EE7"/>
    <w:rsid w:val="663A5CF9"/>
    <w:rsid w:val="663C7C5F"/>
    <w:rsid w:val="663E5786"/>
    <w:rsid w:val="663F14FE"/>
    <w:rsid w:val="66417024"/>
    <w:rsid w:val="664E451E"/>
    <w:rsid w:val="66507267"/>
    <w:rsid w:val="665A00E6"/>
    <w:rsid w:val="665A7368"/>
    <w:rsid w:val="665F43C6"/>
    <w:rsid w:val="665F56FC"/>
    <w:rsid w:val="6662260E"/>
    <w:rsid w:val="666275C3"/>
    <w:rsid w:val="666351EC"/>
    <w:rsid w:val="66664CDC"/>
    <w:rsid w:val="66676FC8"/>
    <w:rsid w:val="666920D7"/>
    <w:rsid w:val="666E7681"/>
    <w:rsid w:val="66721954"/>
    <w:rsid w:val="6672542F"/>
    <w:rsid w:val="667411A7"/>
    <w:rsid w:val="66775E80"/>
    <w:rsid w:val="667E3E31"/>
    <w:rsid w:val="66805D9E"/>
    <w:rsid w:val="668138C4"/>
    <w:rsid w:val="66846F11"/>
    <w:rsid w:val="668A1AC1"/>
    <w:rsid w:val="668C77E3"/>
    <w:rsid w:val="668F3F0D"/>
    <w:rsid w:val="66912501"/>
    <w:rsid w:val="66922450"/>
    <w:rsid w:val="6697075E"/>
    <w:rsid w:val="66996E60"/>
    <w:rsid w:val="669B6734"/>
    <w:rsid w:val="669D2007"/>
    <w:rsid w:val="66A33575"/>
    <w:rsid w:val="66A92AAF"/>
    <w:rsid w:val="66AD7DFD"/>
    <w:rsid w:val="66AF21DF"/>
    <w:rsid w:val="66B22D14"/>
    <w:rsid w:val="66B27F22"/>
    <w:rsid w:val="66BB5D42"/>
    <w:rsid w:val="66BB6DD6"/>
    <w:rsid w:val="66BC66AA"/>
    <w:rsid w:val="66BE68C6"/>
    <w:rsid w:val="66C37A39"/>
    <w:rsid w:val="66C51A03"/>
    <w:rsid w:val="66CA0DC7"/>
    <w:rsid w:val="66D25B39"/>
    <w:rsid w:val="66D34D52"/>
    <w:rsid w:val="66D4709A"/>
    <w:rsid w:val="66D94053"/>
    <w:rsid w:val="66DC6D4D"/>
    <w:rsid w:val="66E04A8F"/>
    <w:rsid w:val="66E20DA6"/>
    <w:rsid w:val="66E705D8"/>
    <w:rsid w:val="66EA6951"/>
    <w:rsid w:val="66EB307D"/>
    <w:rsid w:val="66EC51E2"/>
    <w:rsid w:val="66ED2D08"/>
    <w:rsid w:val="66F0723C"/>
    <w:rsid w:val="66F61840"/>
    <w:rsid w:val="66F67E0E"/>
    <w:rsid w:val="66FF01DF"/>
    <w:rsid w:val="67005783"/>
    <w:rsid w:val="67010561"/>
    <w:rsid w:val="6701797F"/>
    <w:rsid w:val="6703077D"/>
    <w:rsid w:val="6703252B"/>
    <w:rsid w:val="67064295"/>
    <w:rsid w:val="670A5668"/>
    <w:rsid w:val="670C501E"/>
    <w:rsid w:val="670D2D8F"/>
    <w:rsid w:val="671309C0"/>
    <w:rsid w:val="67137B2E"/>
    <w:rsid w:val="6716225F"/>
    <w:rsid w:val="67186F4B"/>
    <w:rsid w:val="67211987"/>
    <w:rsid w:val="672506F4"/>
    <w:rsid w:val="67286A40"/>
    <w:rsid w:val="672A5946"/>
    <w:rsid w:val="6733076E"/>
    <w:rsid w:val="67350BA6"/>
    <w:rsid w:val="673646AF"/>
    <w:rsid w:val="67386679"/>
    <w:rsid w:val="67395F4D"/>
    <w:rsid w:val="673B1CC5"/>
    <w:rsid w:val="673B289D"/>
    <w:rsid w:val="673E5311"/>
    <w:rsid w:val="67437A9A"/>
    <w:rsid w:val="6744072E"/>
    <w:rsid w:val="67455F68"/>
    <w:rsid w:val="674641DC"/>
    <w:rsid w:val="674A42A4"/>
    <w:rsid w:val="674B6AFE"/>
    <w:rsid w:val="674D37A6"/>
    <w:rsid w:val="674D51E2"/>
    <w:rsid w:val="674E075B"/>
    <w:rsid w:val="6751773B"/>
    <w:rsid w:val="67564D51"/>
    <w:rsid w:val="67582877"/>
    <w:rsid w:val="67596FAF"/>
    <w:rsid w:val="675A65EF"/>
    <w:rsid w:val="675C2E80"/>
    <w:rsid w:val="675C4FE0"/>
    <w:rsid w:val="675E537A"/>
    <w:rsid w:val="67605611"/>
    <w:rsid w:val="676204CA"/>
    <w:rsid w:val="67694A84"/>
    <w:rsid w:val="676A25AA"/>
    <w:rsid w:val="67723A7B"/>
    <w:rsid w:val="67742764"/>
    <w:rsid w:val="67784CC7"/>
    <w:rsid w:val="67790849"/>
    <w:rsid w:val="677A0EB9"/>
    <w:rsid w:val="677A27ED"/>
    <w:rsid w:val="677E6BDE"/>
    <w:rsid w:val="67815CB5"/>
    <w:rsid w:val="678278F4"/>
    <w:rsid w:val="678371C8"/>
    <w:rsid w:val="6784541A"/>
    <w:rsid w:val="67852F40"/>
    <w:rsid w:val="678673E4"/>
    <w:rsid w:val="67874F0A"/>
    <w:rsid w:val="678A1321"/>
    <w:rsid w:val="67902011"/>
    <w:rsid w:val="67915D89"/>
    <w:rsid w:val="6792015B"/>
    <w:rsid w:val="679715F1"/>
    <w:rsid w:val="679A2E90"/>
    <w:rsid w:val="679A4C3E"/>
    <w:rsid w:val="679B1F3D"/>
    <w:rsid w:val="679F04A6"/>
    <w:rsid w:val="67A12D77"/>
    <w:rsid w:val="67A45ABC"/>
    <w:rsid w:val="67A64C27"/>
    <w:rsid w:val="67A71109"/>
    <w:rsid w:val="67AD298A"/>
    <w:rsid w:val="67AF7FBD"/>
    <w:rsid w:val="67B96E39"/>
    <w:rsid w:val="67BA708E"/>
    <w:rsid w:val="67BC1058"/>
    <w:rsid w:val="67BE4CCD"/>
    <w:rsid w:val="67BF615D"/>
    <w:rsid w:val="67D320AA"/>
    <w:rsid w:val="67D72E96"/>
    <w:rsid w:val="67D82F6B"/>
    <w:rsid w:val="67D8505A"/>
    <w:rsid w:val="67D85766"/>
    <w:rsid w:val="67DE3824"/>
    <w:rsid w:val="67E40DD3"/>
    <w:rsid w:val="67EB5499"/>
    <w:rsid w:val="67ED1853"/>
    <w:rsid w:val="67EE03D0"/>
    <w:rsid w:val="67F24A7A"/>
    <w:rsid w:val="67F26434"/>
    <w:rsid w:val="67F509FE"/>
    <w:rsid w:val="67F93F02"/>
    <w:rsid w:val="67FA56DC"/>
    <w:rsid w:val="67FB097F"/>
    <w:rsid w:val="67FD6F7B"/>
    <w:rsid w:val="67FE2A02"/>
    <w:rsid w:val="68024591"/>
    <w:rsid w:val="680449F3"/>
    <w:rsid w:val="680B72D0"/>
    <w:rsid w:val="680D3662"/>
    <w:rsid w:val="680D45C4"/>
    <w:rsid w:val="680E630A"/>
    <w:rsid w:val="680F1245"/>
    <w:rsid w:val="681413E6"/>
    <w:rsid w:val="68150768"/>
    <w:rsid w:val="68152516"/>
    <w:rsid w:val="68171E62"/>
    <w:rsid w:val="681744E0"/>
    <w:rsid w:val="68190258"/>
    <w:rsid w:val="681F15E7"/>
    <w:rsid w:val="681F1D2F"/>
    <w:rsid w:val="6821710D"/>
    <w:rsid w:val="68222D7D"/>
    <w:rsid w:val="68242759"/>
    <w:rsid w:val="682911A7"/>
    <w:rsid w:val="682938C0"/>
    <w:rsid w:val="682B7F8C"/>
    <w:rsid w:val="682C0094"/>
    <w:rsid w:val="682C4A12"/>
    <w:rsid w:val="683230C8"/>
    <w:rsid w:val="68376930"/>
    <w:rsid w:val="683926A8"/>
    <w:rsid w:val="683C1168"/>
    <w:rsid w:val="6841330B"/>
    <w:rsid w:val="68417A6E"/>
    <w:rsid w:val="68445BD6"/>
    <w:rsid w:val="68466B73"/>
    <w:rsid w:val="68483BEC"/>
    <w:rsid w:val="68486E25"/>
    <w:rsid w:val="684B5F38"/>
    <w:rsid w:val="685272C6"/>
    <w:rsid w:val="68556DB7"/>
    <w:rsid w:val="68570D81"/>
    <w:rsid w:val="685972D9"/>
    <w:rsid w:val="685A7913"/>
    <w:rsid w:val="685C0145"/>
    <w:rsid w:val="686018B9"/>
    <w:rsid w:val="6860298C"/>
    <w:rsid w:val="68606C3C"/>
    <w:rsid w:val="686A361B"/>
    <w:rsid w:val="686B0F3D"/>
    <w:rsid w:val="68710AB1"/>
    <w:rsid w:val="687234C5"/>
    <w:rsid w:val="68752FB5"/>
    <w:rsid w:val="687638D1"/>
    <w:rsid w:val="68784853"/>
    <w:rsid w:val="68790F6F"/>
    <w:rsid w:val="68802085"/>
    <w:rsid w:val="6881195A"/>
    <w:rsid w:val="6882401D"/>
    <w:rsid w:val="688346AE"/>
    <w:rsid w:val="68851E8B"/>
    <w:rsid w:val="68866CD3"/>
    <w:rsid w:val="68896A60"/>
    <w:rsid w:val="688B4586"/>
    <w:rsid w:val="688D47A2"/>
    <w:rsid w:val="688E2261"/>
    <w:rsid w:val="688F22C8"/>
    <w:rsid w:val="68923B67"/>
    <w:rsid w:val="6894168D"/>
    <w:rsid w:val="68945B31"/>
    <w:rsid w:val="68953657"/>
    <w:rsid w:val="689A2A1B"/>
    <w:rsid w:val="689C0681"/>
    <w:rsid w:val="689C2C31"/>
    <w:rsid w:val="689E075E"/>
    <w:rsid w:val="689E4674"/>
    <w:rsid w:val="689F3708"/>
    <w:rsid w:val="68A35D74"/>
    <w:rsid w:val="68A662B1"/>
    <w:rsid w:val="68A81BF4"/>
    <w:rsid w:val="68AB69D7"/>
    <w:rsid w:val="68AD6BF3"/>
    <w:rsid w:val="68B03349"/>
    <w:rsid w:val="68B27CF3"/>
    <w:rsid w:val="68B47F81"/>
    <w:rsid w:val="68B5103C"/>
    <w:rsid w:val="68B72045"/>
    <w:rsid w:val="68B95597"/>
    <w:rsid w:val="68BB1E56"/>
    <w:rsid w:val="68BC3B69"/>
    <w:rsid w:val="68C26B6A"/>
    <w:rsid w:val="68C32CE5"/>
    <w:rsid w:val="68C379BF"/>
    <w:rsid w:val="68C45EA4"/>
    <w:rsid w:val="68C47A98"/>
    <w:rsid w:val="68C55AD9"/>
    <w:rsid w:val="68C55CF7"/>
    <w:rsid w:val="68CA6CAA"/>
    <w:rsid w:val="68CB0E27"/>
    <w:rsid w:val="68CF0B69"/>
    <w:rsid w:val="68D208D6"/>
    <w:rsid w:val="68D31480"/>
    <w:rsid w:val="68D42BBE"/>
    <w:rsid w:val="68D4417F"/>
    <w:rsid w:val="68D47062"/>
    <w:rsid w:val="68DC3034"/>
    <w:rsid w:val="68E5638B"/>
    <w:rsid w:val="68E65C61"/>
    <w:rsid w:val="68E722BD"/>
    <w:rsid w:val="68E819D9"/>
    <w:rsid w:val="68EC14C9"/>
    <w:rsid w:val="68EC43AE"/>
    <w:rsid w:val="68EC771B"/>
    <w:rsid w:val="68ED5241"/>
    <w:rsid w:val="68F04EED"/>
    <w:rsid w:val="68F20BAB"/>
    <w:rsid w:val="68F25E0D"/>
    <w:rsid w:val="68F54A9C"/>
    <w:rsid w:val="68F57ADC"/>
    <w:rsid w:val="68F640F6"/>
    <w:rsid w:val="68FB5BB0"/>
    <w:rsid w:val="68FB795E"/>
    <w:rsid w:val="6905258B"/>
    <w:rsid w:val="69076303"/>
    <w:rsid w:val="690A7BA1"/>
    <w:rsid w:val="690F3371"/>
    <w:rsid w:val="69131242"/>
    <w:rsid w:val="691526C3"/>
    <w:rsid w:val="69157AC8"/>
    <w:rsid w:val="69166546"/>
    <w:rsid w:val="69196036"/>
    <w:rsid w:val="691B590A"/>
    <w:rsid w:val="691B68D3"/>
    <w:rsid w:val="691C093F"/>
    <w:rsid w:val="691C6E3B"/>
    <w:rsid w:val="691E189E"/>
    <w:rsid w:val="692073C4"/>
    <w:rsid w:val="69232A11"/>
    <w:rsid w:val="69252C2D"/>
    <w:rsid w:val="69253492"/>
    <w:rsid w:val="692661DB"/>
    <w:rsid w:val="6929048D"/>
    <w:rsid w:val="692A1FF1"/>
    <w:rsid w:val="6933534A"/>
    <w:rsid w:val="693410C2"/>
    <w:rsid w:val="69344C1E"/>
    <w:rsid w:val="693A6DAC"/>
    <w:rsid w:val="693B3C03"/>
    <w:rsid w:val="6941293B"/>
    <w:rsid w:val="69417918"/>
    <w:rsid w:val="694330B3"/>
    <w:rsid w:val="69454B3C"/>
    <w:rsid w:val="69461F71"/>
    <w:rsid w:val="69482477"/>
    <w:rsid w:val="694D1071"/>
    <w:rsid w:val="694E3F32"/>
    <w:rsid w:val="695006F9"/>
    <w:rsid w:val="69511E82"/>
    <w:rsid w:val="6954706E"/>
    <w:rsid w:val="69564B94"/>
    <w:rsid w:val="695A606E"/>
    <w:rsid w:val="69603C65"/>
    <w:rsid w:val="6961453F"/>
    <w:rsid w:val="6962178B"/>
    <w:rsid w:val="69623539"/>
    <w:rsid w:val="69653029"/>
    <w:rsid w:val="69654D1D"/>
    <w:rsid w:val="696C43B8"/>
    <w:rsid w:val="6975068F"/>
    <w:rsid w:val="69766FE4"/>
    <w:rsid w:val="6977720C"/>
    <w:rsid w:val="69821BA7"/>
    <w:rsid w:val="69855479"/>
    <w:rsid w:val="698A1A7B"/>
    <w:rsid w:val="698D0D6B"/>
    <w:rsid w:val="698E50A0"/>
    <w:rsid w:val="698F00A6"/>
    <w:rsid w:val="69925B6A"/>
    <w:rsid w:val="69963A9F"/>
    <w:rsid w:val="699734A1"/>
    <w:rsid w:val="699D27C3"/>
    <w:rsid w:val="69A24899"/>
    <w:rsid w:val="69A41463"/>
    <w:rsid w:val="69A96200"/>
    <w:rsid w:val="69AF24F6"/>
    <w:rsid w:val="69B30239"/>
    <w:rsid w:val="69B31FE7"/>
    <w:rsid w:val="69B61AD7"/>
    <w:rsid w:val="69B652E8"/>
    <w:rsid w:val="69B662D2"/>
    <w:rsid w:val="69BB2CC4"/>
    <w:rsid w:val="69BD10B7"/>
    <w:rsid w:val="69BD7B06"/>
    <w:rsid w:val="69C266CE"/>
    <w:rsid w:val="69C51D1A"/>
    <w:rsid w:val="69C573AB"/>
    <w:rsid w:val="69C57EFA"/>
    <w:rsid w:val="69C67AB9"/>
    <w:rsid w:val="69C70B64"/>
    <w:rsid w:val="69C73CE4"/>
    <w:rsid w:val="69C90904"/>
    <w:rsid w:val="69CC54A8"/>
    <w:rsid w:val="69D22FB6"/>
    <w:rsid w:val="69D35BDD"/>
    <w:rsid w:val="69D41F5D"/>
    <w:rsid w:val="69DB392C"/>
    <w:rsid w:val="69DB3BEF"/>
    <w:rsid w:val="69DB3FA5"/>
    <w:rsid w:val="69DD3507"/>
    <w:rsid w:val="69DF4B8A"/>
    <w:rsid w:val="69E26AA4"/>
    <w:rsid w:val="69E5015B"/>
    <w:rsid w:val="69EC0BB2"/>
    <w:rsid w:val="69EC175E"/>
    <w:rsid w:val="69EC54F9"/>
    <w:rsid w:val="69EC72A7"/>
    <w:rsid w:val="69EE4CD0"/>
    <w:rsid w:val="69F04FE9"/>
    <w:rsid w:val="69F128F9"/>
    <w:rsid w:val="69F30635"/>
    <w:rsid w:val="69F354F2"/>
    <w:rsid w:val="69F543AD"/>
    <w:rsid w:val="69FA5E67"/>
    <w:rsid w:val="69FC398E"/>
    <w:rsid w:val="6A00650A"/>
    <w:rsid w:val="6A093FB8"/>
    <w:rsid w:val="6A0A597F"/>
    <w:rsid w:val="6A0C487B"/>
    <w:rsid w:val="6A0E1913"/>
    <w:rsid w:val="6A0E546F"/>
    <w:rsid w:val="6A0E7DD9"/>
    <w:rsid w:val="6A107439"/>
    <w:rsid w:val="6A135438"/>
    <w:rsid w:val="6A1567FD"/>
    <w:rsid w:val="6A162576"/>
    <w:rsid w:val="6A1758CD"/>
    <w:rsid w:val="6A1862EE"/>
    <w:rsid w:val="6A1A02B8"/>
    <w:rsid w:val="6A1E54D8"/>
    <w:rsid w:val="6A204128"/>
    <w:rsid w:val="6A20486E"/>
    <w:rsid w:val="6A211646"/>
    <w:rsid w:val="6A2353BE"/>
    <w:rsid w:val="6A2922A9"/>
    <w:rsid w:val="6A2A1419"/>
    <w:rsid w:val="6A2B7DCF"/>
    <w:rsid w:val="6A2E4706"/>
    <w:rsid w:val="6A2E5C82"/>
    <w:rsid w:val="6A3550F2"/>
    <w:rsid w:val="6A372C18"/>
    <w:rsid w:val="6A375D9B"/>
    <w:rsid w:val="6A3C022E"/>
    <w:rsid w:val="6A3C1FDC"/>
    <w:rsid w:val="6A3D4D04"/>
    <w:rsid w:val="6A4110C0"/>
    <w:rsid w:val="6A415844"/>
    <w:rsid w:val="6A4B221F"/>
    <w:rsid w:val="6A4C5508"/>
    <w:rsid w:val="6A503CD9"/>
    <w:rsid w:val="6A505A87"/>
    <w:rsid w:val="6A52046E"/>
    <w:rsid w:val="6A543F1A"/>
    <w:rsid w:val="6A554E4C"/>
    <w:rsid w:val="6A591A2A"/>
    <w:rsid w:val="6A5A6906"/>
    <w:rsid w:val="6A5C067A"/>
    <w:rsid w:val="6A66369E"/>
    <w:rsid w:val="6A667059"/>
    <w:rsid w:val="6A667F37"/>
    <w:rsid w:val="6A674C80"/>
    <w:rsid w:val="6A681023"/>
    <w:rsid w:val="6A6908F7"/>
    <w:rsid w:val="6A691E74"/>
    <w:rsid w:val="6A701D35"/>
    <w:rsid w:val="6A771266"/>
    <w:rsid w:val="6A793230"/>
    <w:rsid w:val="6A794AE6"/>
    <w:rsid w:val="6A7F2960"/>
    <w:rsid w:val="6A7F45BF"/>
    <w:rsid w:val="6A7F5888"/>
    <w:rsid w:val="6A841BD5"/>
    <w:rsid w:val="6A845731"/>
    <w:rsid w:val="6A8B4D12"/>
    <w:rsid w:val="6A90057A"/>
    <w:rsid w:val="6A9040D6"/>
    <w:rsid w:val="6A911080"/>
    <w:rsid w:val="6A933BC6"/>
    <w:rsid w:val="6A937BEE"/>
    <w:rsid w:val="6A955B90"/>
    <w:rsid w:val="6A984704"/>
    <w:rsid w:val="6A9B2132"/>
    <w:rsid w:val="6A9D053D"/>
    <w:rsid w:val="6A9E2C97"/>
    <w:rsid w:val="6AA027B2"/>
    <w:rsid w:val="6AA3648C"/>
    <w:rsid w:val="6AA4253C"/>
    <w:rsid w:val="6AA858C3"/>
    <w:rsid w:val="6AA85E77"/>
    <w:rsid w:val="6AAB7162"/>
    <w:rsid w:val="6AB0096F"/>
    <w:rsid w:val="6AB06526"/>
    <w:rsid w:val="6AB448D3"/>
    <w:rsid w:val="6AB57FE0"/>
    <w:rsid w:val="6AB6231D"/>
    <w:rsid w:val="6ABA17BC"/>
    <w:rsid w:val="6ABA5C34"/>
    <w:rsid w:val="6ABC136F"/>
    <w:rsid w:val="6ABD4E35"/>
    <w:rsid w:val="6ABE0C43"/>
    <w:rsid w:val="6AC16985"/>
    <w:rsid w:val="6AC3133E"/>
    <w:rsid w:val="6AC41FD2"/>
    <w:rsid w:val="6AC975E8"/>
    <w:rsid w:val="6ACB461D"/>
    <w:rsid w:val="6AD00976"/>
    <w:rsid w:val="6AD23C49"/>
    <w:rsid w:val="6AD246EE"/>
    <w:rsid w:val="6AD2655D"/>
    <w:rsid w:val="6AD7160D"/>
    <w:rsid w:val="6AD761A9"/>
    <w:rsid w:val="6AD95A7D"/>
    <w:rsid w:val="6AD9782B"/>
    <w:rsid w:val="6ADA17F5"/>
    <w:rsid w:val="6ADE49F4"/>
    <w:rsid w:val="6ADF0BB9"/>
    <w:rsid w:val="6AE1392A"/>
    <w:rsid w:val="6AEA7C8A"/>
    <w:rsid w:val="6AEB755E"/>
    <w:rsid w:val="6AEC1F80"/>
    <w:rsid w:val="6AED777A"/>
    <w:rsid w:val="6AEF0A55"/>
    <w:rsid w:val="6AF03167"/>
    <w:rsid w:val="6AF164A8"/>
    <w:rsid w:val="6AF57361"/>
    <w:rsid w:val="6AFE0B90"/>
    <w:rsid w:val="6B00125C"/>
    <w:rsid w:val="6B013EB0"/>
    <w:rsid w:val="6B026E31"/>
    <w:rsid w:val="6B032AFA"/>
    <w:rsid w:val="6B064398"/>
    <w:rsid w:val="6B0674D8"/>
    <w:rsid w:val="6B08115A"/>
    <w:rsid w:val="6B0A20DA"/>
    <w:rsid w:val="6B0D3C2F"/>
    <w:rsid w:val="6B0E1277"/>
    <w:rsid w:val="6B107B61"/>
    <w:rsid w:val="6B136FFE"/>
    <w:rsid w:val="6B141439"/>
    <w:rsid w:val="6B152AFF"/>
    <w:rsid w:val="6B160A7F"/>
    <w:rsid w:val="6B1723EC"/>
    <w:rsid w:val="6B174C46"/>
    <w:rsid w:val="6B184A21"/>
    <w:rsid w:val="6B1D2776"/>
    <w:rsid w:val="6B217424"/>
    <w:rsid w:val="6B262FE1"/>
    <w:rsid w:val="6B264A3A"/>
    <w:rsid w:val="6B27673E"/>
    <w:rsid w:val="6B296F44"/>
    <w:rsid w:val="6B2D7B77"/>
    <w:rsid w:val="6B2F37C4"/>
    <w:rsid w:val="6B301415"/>
    <w:rsid w:val="6B3158B9"/>
    <w:rsid w:val="6B380F1E"/>
    <w:rsid w:val="6B3B6AF9"/>
    <w:rsid w:val="6B3C5BB6"/>
    <w:rsid w:val="6B3C600C"/>
    <w:rsid w:val="6B3E26B2"/>
    <w:rsid w:val="6B453112"/>
    <w:rsid w:val="6B454EC0"/>
    <w:rsid w:val="6B464D0B"/>
    <w:rsid w:val="6B4750DC"/>
    <w:rsid w:val="6B4802DC"/>
    <w:rsid w:val="6B5061EC"/>
    <w:rsid w:val="6B51505D"/>
    <w:rsid w:val="6B5300C4"/>
    <w:rsid w:val="6B55564C"/>
    <w:rsid w:val="6B563571"/>
    <w:rsid w:val="6B5670CE"/>
    <w:rsid w:val="6B583B8B"/>
    <w:rsid w:val="6B59096C"/>
    <w:rsid w:val="6B5B0B88"/>
    <w:rsid w:val="6B5B46E4"/>
    <w:rsid w:val="6B600128"/>
    <w:rsid w:val="6B6562D0"/>
    <w:rsid w:val="6B6B1252"/>
    <w:rsid w:val="6B6C069F"/>
    <w:rsid w:val="6B6E391A"/>
    <w:rsid w:val="6B6F63E1"/>
    <w:rsid w:val="6B735ED1"/>
    <w:rsid w:val="6B792DBC"/>
    <w:rsid w:val="6B7A086E"/>
    <w:rsid w:val="6B7A7C19"/>
    <w:rsid w:val="6B7C0A68"/>
    <w:rsid w:val="6B7F40E2"/>
    <w:rsid w:val="6B8034FD"/>
    <w:rsid w:val="6B823847"/>
    <w:rsid w:val="6B823B05"/>
    <w:rsid w:val="6B8359E9"/>
    <w:rsid w:val="6B851761"/>
    <w:rsid w:val="6B87093F"/>
    <w:rsid w:val="6B8B6638"/>
    <w:rsid w:val="6B8C6F93"/>
    <w:rsid w:val="6B8E6209"/>
    <w:rsid w:val="6B9145AA"/>
    <w:rsid w:val="6B923E7E"/>
    <w:rsid w:val="6B96571C"/>
    <w:rsid w:val="6B985938"/>
    <w:rsid w:val="6B9B0F84"/>
    <w:rsid w:val="6BA0733A"/>
    <w:rsid w:val="6BA3608B"/>
    <w:rsid w:val="6BA53BB1"/>
    <w:rsid w:val="6BA845D7"/>
    <w:rsid w:val="6BAA0EA5"/>
    <w:rsid w:val="6BAC3191"/>
    <w:rsid w:val="6BAF38BB"/>
    <w:rsid w:val="6BAF67DE"/>
    <w:rsid w:val="6BB107A8"/>
    <w:rsid w:val="6BB12556"/>
    <w:rsid w:val="6BB258D0"/>
    <w:rsid w:val="6BB65DBE"/>
    <w:rsid w:val="6BB87D88"/>
    <w:rsid w:val="6BBB1626"/>
    <w:rsid w:val="6BBD463B"/>
    <w:rsid w:val="6BC02171"/>
    <w:rsid w:val="6BC222E0"/>
    <w:rsid w:val="6BC24763"/>
    <w:rsid w:val="6BC45A4E"/>
    <w:rsid w:val="6BC70124"/>
    <w:rsid w:val="6BC729AC"/>
    <w:rsid w:val="6BC8041C"/>
    <w:rsid w:val="6BCB213B"/>
    <w:rsid w:val="6BCF0C2E"/>
    <w:rsid w:val="6BD072CF"/>
    <w:rsid w:val="6BD1148C"/>
    <w:rsid w:val="6BD15E4E"/>
    <w:rsid w:val="6BD6020E"/>
    <w:rsid w:val="6BD703A2"/>
    <w:rsid w:val="6BD83F86"/>
    <w:rsid w:val="6BE02E3B"/>
    <w:rsid w:val="6BE04BE9"/>
    <w:rsid w:val="6BE4292B"/>
    <w:rsid w:val="6BE42E1B"/>
    <w:rsid w:val="6BE50451"/>
    <w:rsid w:val="6BE566A3"/>
    <w:rsid w:val="6BE64567"/>
    <w:rsid w:val="6BEC17E0"/>
    <w:rsid w:val="6BEC7A32"/>
    <w:rsid w:val="6BEF1545"/>
    <w:rsid w:val="6BF012D0"/>
    <w:rsid w:val="6BF1329A"/>
    <w:rsid w:val="6BF1593D"/>
    <w:rsid w:val="6BF259ED"/>
    <w:rsid w:val="6BF6265F"/>
    <w:rsid w:val="6BF957EC"/>
    <w:rsid w:val="6BFE44B9"/>
    <w:rsid w:val="6C016C3D"/>
    <w:rsid w:val="6C045913"/>
    <w:rsid w:val="6C076D2D"/>
    <w:rsid w:val="6C0773F2"/>
    <w:rsid w:val="6C094140"/>
    <w:rsid w:val="6C0E1756"/>
    <w:rsid w:val="6C1006D1"/>
    <w:rsid w:val="6C1113F9"/>
    <w:rsid w:val="6C150D37"/>
    <w:rsid w:val="6C16685D"/>
    <w:rsid w:val="6C167959"/>
    <w:rsid w:val="6C1A0BD4"/>
    <w:rsid w:val="6C1A459F"/>
    <w:rsid w:val="6C1C3DE2"/>
    <w:rsid w:val="6C206A71"/>
    <w:rsid w:val="6C211FF2"/>
    <w:rsid w:val="6C21592D"/>
    <w:rsid w:val="6C272818"/>
    <w:rsid w:val="6C2A6280"/>
    <w:rsid w:val="6C2C7E2E"/>
    <w:rsid w:val="6C303DC2"/>
    <w:rsid w:val="6C305B70"/>
    <w:rsid w:val="6C3118E9"/>
    <w:rsid w:val="6C33135C"/>
    <w:rsid w:val="6C390B20"/>
    <w:rsid w:val="6C3C2767"/>
    <w:rsid w:val="6C3D1EED"/>
    <w:rsid w:val="6C3F7B62"/>
    <w:rsid w:val="6C423AF6"/>
    <w:rsid w:val="6C427189"/>
    <w:rsid w:val="6C4437D8"/>
    <w:rsid w:val="6C45027B"/>
    <w:rsid w:val="6C466691"/>
    <w:rsid w:val="6C496C32"/>
    <w:rsid w:val="6C4C227F"/>
    <w:rsid w:val="6C4E5FF7"/>
    <w:rsid w:val="6C501D6F"/>
    <w:rsid w:val="6C5162EE"/>
    <w:rsid w:val="6C547BC5"/>
    <w:rsid w:val="6C557385"/>
    <w:rsid w:val="6C563029"/>
    <w:rsid w:val="6C575537"/>
    <w:rsid w:val="6C586E75"/>
    <w:rsid w:val="6C5A355C"/>
    <w:rsid w:val="6C5D418F"/>
    <w:rsid w:val="6C5F0204"/>
    <w:rsid w:val="6C631E53"/>
    <w:rsid w:val="6C6C1DA1"/>
    <w:rsid w:val="6C6D0B73"/>
    <w:rsid w:val="6C6D7573"/>
    <w:rsid w:val="6C6E6699"/>
    <w:rsid w:val="6C7052FA"/>
    <w:rsid w:val="6C7218C1"/>
    <w:rsid w:val="6C7812C6"/>
    <w:rsid w:val="6C7A6242"/>
    <w:rsid w:val="6C81461E"/>
    <w:rsid w:val="6C847C6A"/>
    <w:rsid w:val="6C861C34"/>
    <w:rsid w:val="6C875F9B"/>
    <w:rsid w:val="6C885B00"/>
    <w:rsid w:val="6C8934D3"/>
    <w:rsid w:val="6C8B464E"/>
    <w:rsid w:val="6C8E1FC4"/>
    <w:rsid w:val="6C9511F7"/>
    <w:rsid w:val="6C97799E"/>
    <w:rsid w:val="6C9854C4"/>
    <w:rsid w:val="6C9A123C"/>
    <w:rsid w:val="6C9B12C6"/>
    <w:rsid w:val="6C9E6846"/>
    <w:rsid w:val="6CA355A5"/>
    <w:rsid w:val="6CA72958"/>
    <w:rsid w:val="6CA9147F"/>
    <w:rsid w:val="6CA976D1"/>
    <w:rsid w:val="6CAB4F9E"/>
    <w:rsid w:val="6CAD5413"/>
    <w:rsid w:val="6CAD7550"/>
    <w:rsid w:val="6CB00A5F"/>
    <w:rsid w:val="6CB06CB1"/>
    <w:rsid w:val="6CB239D6"/>
    <w:rsid w:val="6CB3461B"/>
    <w:rsid w:val="6CBA2EBB"/>
    <w:rsid w:val="6CBD018F"/>
    <w:rsid w:val="6CC063CB"/>
    <w:rsid w:val="6CC06CAB"/>
    <w:rsid w:val="6CC12C6C"/>
    <w:rsid w:val="6CC664D5"/>
    <w:rsid w:val="6CC830AB"/>
    <w:rsid w:val="6CCE0EE6"/>
    <w:rsid w:val="6CD209D6"/>
    <w:rsid w:val="6CD504C6"/>
    <w:rsid w:val="6CD56718"/>
    <w:rsid w:val="6CD6489B"/>
    <w:rsid w:val="6CD7713F"/>
    <w:rsid w:val="6CDA7151"/>
    <w:rsid w:val="6CDC7AA6"/>
    <w:rsid w:val="6CDE737B"/>
    <w:rsid w:val="6CDF3EB6"/>
    <w:rsid w:val="6CE54BAD"/>
    <w:rsid w:val="6CE60925"/>
    <w:rsid w:val="6CE60DBE"/>
    <w:rsid w:val="6CE93F71"/>
    <w:rsid w:val="6CE95D1F"/>
    <w:rsid w:val="6CEA4B2E"/>
    <w:rsid w:val="6CED3A62"/>
    <w:rsid w:val="6CED5810"/>
    <w:rsid w:val="6CEF77DA"/>
    <w:rsid w:val="6CF7003C"/>
    <w:rsid w:val="6CF80313"/>
    <w:rsid w:val="6D0035B5"/>
    <w:rsid w:val="6D017C66"/>
    <w:rsid w:val="6D056FFD"/>
    <w:rsid w:val="6D0A25E7"/>
    <w:rsid w:val="6D0A4613"/>
    <w:rsid w:val="6D1159A2"/>
    <w:rsid w:val="6D1234C8"/>
    <w:rsid w:val="6D136580"/>
    <w:rsid w:val="6D1A1643"/>
    <w:rsid w:val="6D251D5E"/>
    <w:rsid w:val="6D254FA9"/>
    <w:rsid w:val="6D262AD0"/>
    <w:rsid w:val="6D2A6A64"/>
    <w:rsid w:val="6D2F407A"/>
    <w:rsid w:val="6D305089"/>
    <w:rsid w:val="6D32233D"/>
    <w:rsid w:val="6D394EF9"/>
    <w:rsid w:val="6D396CA7"/>
    <w:rsid w:val="6D3A3E93"/>
    <w:rsid w:val="6D3C0545"/>
    <w:rsid w:val="6D3C3CB7"/>
    <w:rsid w:val="6D3E7FC5"/>
    <w:rsid w:val="6D430958"/>
    <w:rsid w:val="6D434CF3"/>
    <w:rsid w:val="6D455ECA"/>
    <w:rsid w:val="6D484D05"/>
    <w:rsid w:val="6D4B211B"/>
    <w:rsid w:val="6D4C4C2C"/>
    <w:rsid w:val="6D4F0278"/>
    <w:rsid w:val="6D54763D"/>
    <w:rsid w:val="6D550310"/>
    <w:rsid w:val="6D5533B5"/>
    <w:rsid w:val="6D57084A"/>
    <w:rsid w:val="6D5E71F6"/>
    <w:rsid w:val="6D64078D"/>
    <w:rsid w:val="6D673814"/>
    <w:rsid w:val="6D6830E8"/>
    <w:rsid w:val="6D6A6E60"/>
    <w:rsid w:val="6D7777CF"/>
    <w:rsid w:val="6D7B2E1B"/>
    <w:rsid w:val="6D7E0B5E"/>
    <w:rsid w:val="6D832633"/>
    <w:rsid w:val="6D8343C6"/>
    <w:rsid w:val="6D851816"/>
    <w:rsid w:val="6D8819DC"/>
    <w:rsid w:val="6D88378A"/>
    <w:rsid w:val="6D885538"/>
    <w:rsid w:val="6D8D2B4F"/>
    <w:rsid w:val="6D8F4B19"/>
    <w:rsid w:val="6D9C0FE4"/>
    <w:rsid w:val="6D9D25B1"/>
    <w:rsid w:val="6D9D5488"/>
    <w:rsid w:val="6D9D7236"/>
    <w:rsid w:val="6D9F0F5B"/>
    <w:rsid w:val="6DA02635"/>
    <w:rsid w:val="6DA34120"/>
    <w:rsid w:val="6DAF51BB"/>
    <w:rsid w:val="6DAF6549"/>
    <w:rsid w:val="6DAF6778"/>
    <w:rsid w:val="6DB225B5"/>
    <w:rsid w:val="6DB24ECA"/>
    <w:rsid w:val="6DB620A5"/>
    <w:rsid w:val="6DB72B96"/>
    <w:rsid w:val="6DBD1686"/>
    <w:rsid w:val="6DC17626"/>
    <w:rsid w:val="6DC20840"/>
    <w:rsid w:val="6DC36570"/>
    <w:rsid w:val="6DC67757"/>
    <w:rsid w:val="6DC9002B"/>
    <w:rsid w:val="6DCA78FF"/>
    <w:rsid w:val="6DD33B3E"/>
    <w:rsid w:val="6DD547CC"/>
    <w:rsid w:val="6DD80B4F"/>
    <w:rsid w:val="6DDA2238"/>
    <w:rsid w:val="6DDB5FB0"/>
    <w:rsid w:val="6DDB7A31"/>
    <w:rsid w:val="6DE1631A"/>
    <w:rsid w:val="6DE210EC"/>
    <w:rsid w:val="6DE309C1"/>
    <w:rsid w:val="6DE313AF"/>
    <w:rsid w:val="6DE42570"/>
    <w:rsid w:val="6DE44E65"/>
    <w:rsid w:val="6DEC4041"/>
    <w:rsid w:val="6DEF55B7"/>
    <w:rsid w:val="6DF3652E"/>
    <w:rsid w:val="6DF57072"/>
    <w:rsid w:val="6DFB24AB"/>
    <w:rsid w:val="6E0252EB"/>
    <w:rsid w:val="6E045E75"/>
    <w:rsid w:val="6E05302D"/>
    <w:rsid w:val="6E0C405A"/>
    <w:rsid w:val="6E13254A"/>
    <w:rsid w:val="6E1357F0"/>
    <w:rsid w:val="6E1A6AD8"/>
    <w:rsid w:val="6E201C15"/>
    <w:rsid w:val="6E20596C"/>
    <w:rsid w:val="6E25722B"/>
    <w:rsid w:val="6E262018"/>
    <w:rsid w:val="6E292877"/>
    <w:rsid w:val="6E297DEE"/>
    <w:rsid w:val="6E2B5F27"/>
    <w:rsid w:val="6E2C680B"/>
    <w:rsid w:val="6E2D4DE6"/>
    <w:rsid w:val="6E315BD0"/>
    <w:rsid w:val="6E316BBC"/>
    <w:rsid w:val="6E331948"/>
    <w:rsid w:val="6E345A9F"/>
    <w:rsid w:val="6E351368"/>
    <w:rsid w:val="6E376F09"/>
    <w:rsid w:val="6E386F5E"/>
    <w:rsid w:val="6E3D27C7"/>
    <w:rsid w:val="6E407BC1"/>
    <w:rsid w:val="6E4628FB"/>
    <w:rsid w:val="6E4678CD"/>
    <w:rsid w:val="6E470F4F"/>
    <w:rsid w:val="6E476C9B"/>
    <w:rsid w:val="6E477B77"/>
    <w:rsid w:val="6E481A15"/>
    <w:rsid w:val="6E4F6056"/>
    <w:rsid w:val="6E50156F"/>
    <w:rsid w:val="6E502E84"/>
    <w:rsid w:val="6E564A32"/>
    <w:rsid w:val="6E56638E"/>
    <w:rsid w:val="6E5813AF"/>
    <w:rsid w:val="6E5D69C5"/>
    <w:rsid w:val="6E6733A0"/>
    <w:rsid w:val="6E6935BC"/>
    <w:rsid w:val="6E70494A"/>
    <w:rsid w:val="6E7066F8"/>
    <w:rsid w:val="6E731D44"/>
    <w:rsid w:val="6E761835"/>
    <w:rsid w:val="6E7C129A"/>
    <w:rsid w:val="6E7D0E15"/>
    <w:rsid w:val="6E7E2F5F"/>
    <w:rsid w:val="6E810905"/>
    <w:rsid w:val="6E8173BF"/>
    <w:rsid w:val="6E821BA6"/>
    <w:rsid w:val="6E851A78"/>
    <w:rsid w:val="6E8757F0"/>
    <w:rsid w:val="6E8B1784"/>
    <w:rsid w:val="6E8C2E06"/>
    <w:rsid w:val="6E8E3022"/>
    <w:rsid w:val="6E9323E7"/>
    <w:rsid w:val="6E990ACA"/>
    <w:rsid w:val="6E9A3578"/>
    <w:rsid w:val="6EA346F6"/>
    <w:rsid w:val="6EA42846"/>
    <w:rsid w:val="6EA75E92"/>
    <w:rsid w:val="6EA80D0D"/>
    <w:rsid w:val="6EA939B8"/>
    <w:rsid w:val="6EAA6B36"/>
    <w:rsid w:val="6EAB5982"/>
    <w:rsid w:val="6EAF27BF"/>
    <w:rsid w:val="6EB505AF"/>
    <w:rsid w:val="6EB506C4"/>
    <w:rsid w:val="6EBC0F1A"/>
    <w:rsid w:val="6EBF31DC"/>
    <w:rsid w:val="6ECA2705"/>
    <w:rsid w:val="6ECC074E"/>
    <w:rsid w:val="6ECE341F"/>
    <w:rsid w:val="6ECE7F5F"/>
    <w:rsid w:val="6ED36DCB"/>
    <w:rsid w:val="6ED651FE"/>
    <w:rsid w:val="6ED749C9"/>
    <w:rsid w:val="6ED753F0"/>
    <w:rsid w:val="6ED76777"/>
    <w:rsid w:val="6EDC1FE0"/>
    <w:rsid w:val="6EDC5B3C"/>
    <w:rsid w:val="6EE113A4"/>
    <w:rsid w:val="6EE175F6"/>
    <w:rsid w:val="6EE24EE2"/>
    <w:rsid w:val="6EE25B67"/>
    <w:rsid w:val="6EE3336E"/>
    <w:rsid w:val="6EE449F0"/>
    <w:rsid w:val="6EEA75A4"/>
    <w:rsid w:val="6EEE3AC1"/>
    <w:rsid w:val="6EF11CDF"/>
    <w:rsid w:val="6EF2710D"/>
    <w:rsid w:val="6EF47329"/>
    <w:rsid w:val="6EF71290"/>
    <w:rsid w:val="6EF976BC"/>
    <w:rsid w:val="6EFA2466"/>
    <w:rsid w:val="6EFC0D9C"/>
    <w:rsid w:val="6EFD5AB2"/>
    <w:rsid w:val="6F045092"/>
    <w:rsid w:val="6F04776F"/>
    <w:rsid w:val="6F0D3F47"/>
    <w:rsid w:val="6F0F4C78"/>
    <w:rsid w:val="6F1127FC"/>
    <w:rsid w:val="6F12155D"/>
    <w:rsid w:val="6F1420BD"/>
    <w:rsid w:val="6F1438C0"/>
    <w:rsid w:val="6F15104E"/>
    <w:rsid w:val="6F1515FC"/>
    <w:rsid w:val="6F152942"/>
    <w:rsid w:val="6F1654F2"/>
    <w:rsid w:val="6F234F46"/>
    <w:rsid w:val="6F251DD7"/>
    <w:rsid w:val="6F255735"/>
    <w:rsid w:val="6F2B0871"/>
    <w:rsid w:val="6F2B0E87"/>
    <w:rsid w:val="6F2D52BA"/>
    <w:rsid w:val="6F2E4DCD"/>
    <w:rsid w:val="6F2F0361"/>
    <w:rsid w:val="6F3239AE"/>
    <w:rsid w:val="6F387459"/>
    <w:rsid w:val="6F3B7994"/>
    <w:rsid w:val="6F3E05A4"/>
    <w:rsid w:val="6F40431D"/>
    <w:rsid w:val="6F410095"/>
    <w:rsid w:val="6F435BBB"/>
    <w:rsid w:val="6F4C3B58"/>
    <w:rsid w:val="6F516023"/>
    <w:rsid w:val="6F5360CD"/>
    <w:rsid w:val="6F573414"/>
    <w:rsid w:val="6F5778B8"/>
    <w:rsid w:val="6F5D0AEB"/>
    <w:rsid w:val="6F631DB9"/>
    <w:rsid w:val="6F6807A8"/>
    <w:rsid w:val="6F6A0B6A"/>
    <w:rsid w:val="6F6A75EB"/>
    <w:rsid w:val="6F6D49E6"/>
    <w:rsid w:val="6F6F69B0"/>
    <w:rsid w:val="6F7044D6"/>
    <w:rsid w:val="6F717E51"/>
    <w:rsid w:val="6F72024E"/>
    <w:rsid w:val="6F75788C"/>
    <w:rsid w:val="6F765F90"/>
    <w:rsid w:val="6F7915DC"/>
    <w:rsid w:val="6F7A7103"/>
    <w:rsid w:val="6F802714"/>
    <w:rsid w:val="6F833207"/>
    <w:rsid w:val="6F8561D3"/>
    <w:rsid w:val="6F857F81"/>
    <w:rsid w:val="6F863CF9"/>
    <w:rsid w:val="6F8A0D5F"/>
    <w:rsid w:val="6F8A37EA"/>
    <w:rsid w:val="6F8D32DA"/>
    <w:rsid w:val="6F8D4885"/>
    <w:rsid w:val="6F944668"/>
    <w:rsid w:val="6F9603E0"/>
    <w:rsid w:val="6F9A24B4"/>
    <w:rsid w:val="6F9B59F7"/>
    <w:rsid w:val="6F9B7998"/>
    <w:rsid w:val="6F9E1043"/>
    <w:rsid w:val="6FA10B33"/>
    <w:rsid w:val="6FA21B17"/>
    <w:rsid w:val="6FA32B4A"/>
    <w:rsid w:val="6FA6614D"/>
    <w:rsid w:val="6FA66E52"/>
    <w:rsid w:val="6FAB034B"/>
    <w:rsid w:val="6FAF4FFE"/>
    <w:rsid w:val="6FB90350"/>
    <w:rsid w:val="6FBB7E47"/>
    <w:rsid w:val="6FC36CFC"/>
    <w:rsid w:val="6FC50CC6"/>
    <w:rsid w:val="6FC7059A"/>
    <w:rsid w:val="6FCA1E38"/>
    <w:rsid w:val="6FD0271D"/>
    <w:rsid w:val="6FD1640C"/>
    <w:rsid w:val="6FD57046"/>
    <w:rsid w:val="6FD74E38"/>
    <w:rsid w:val="6FD827A7"/>
    <w:rsid w:val="6FDB06D2"/>
    <w:rsid w:val="6FDB5DF3"/>
    <w:rsid w:val="6FE0165C"/>
    <w:rsid w:val="6FE02711"/>
    <w:rsid w:val="6FE50A20"/>
    <w:rsid w:val="6FE54EC4"/>
    <w:rsid w:val="6FE86D01"/>
    <w:rsid w:val="6FED3D79"/>
    <w:rsid w:val="6FF20953"/>
    <w:rsid w:val="6FF365B2"/>
    <w:rsid w:val="6FF46EB5"/>
    <w:rsid w:val="6FF53990"/>
    <w:rsid w:val="6FF60E7F"/>
    <w:rsid w:val="6FF83771"/>
    <w:rsid w:val="6FF9271D"/>
    <w:rsid w:val="6FFC25FA"/>
    <w:rsid w:val="6FFD3FBC"/>
    <w:rsid w:val="700215D2"/>
    <w:rsid w:val="700510C2"/>
    <w:rsid w:val="70077DE7"/>
    <w:rsid w:val="700A0487"/>
    <w:rsid w:val="700C2451"/>
    <w:rsid w:val="700E441B"/>
    <w:rsid w:val="70124E98"/>
    <w:rsid w:val="701557A9"/>
    <w:rsid w:val="701632CF"/>
    <w:rsid w:val="7016507D"/>
    <w:rsid w:val="70182BA3"/>
    <w:rsid w:val="7019691C"/>
    <w:rsid w:val="701B2D0A"/>
    <w:rsid w:val="701E458A"/>
    <w:rsid w:val="701F0C3F"/>
    <w:rsid w:val="701F4144"/>
    <w:rsid w:val="702264D1"/>
    <w:rsid w:val="70227EC6"/>
    <w:rsid w:val="70280836"/>
    <w:rsid w:val="702E0619"/>
    <w:rsid w:val="702F488E"/>
    <w:rsid w:val="70334DF3"/>
    <w:rsid w:val="70335C2F"/>
    <w:rsid w:val="703662F0"/>
    <w:rsid w:val="7037611F"/>
    <w:rsid w:val="703B4AE4"/>
    <w:rsid w:val="703E40E6"/>
    <w:rsid w:val="703F594A"/>
    <w:rsid w:val="703F6DF3"/>
    <w:rsid w:val="70414443"/>
    <w:rsid w:val="70441BEA"/>
    <w:rsid w:val="70457711"/>
    <w:rsid w:val="70481E91"/>
    <w:rsid w:val="704A5E9F"/>
    <w:rsid w:val="70512559"/>
    <w:rsid w:val="705512D7"/>
    <w:rsid w:val="7056191E"/>
    <w:rsid w:val="705636CC"/>
    <w:rsid w:val="705D0EFE"/>
    <w:rsid w:val="705D136C"/>
    <w:rsid w:val="705E70EC"/>
    <w:rsid w:val="706013F8"/>
    <w:rsid w:val="70621D1E"/>
    <w:rsid w:val="70626515"/>
    <w:rsid w:val="706933FF"/>
    <w:rsid w:val="706B361B"/>
    <w:rsid w:val="706E1599"/>
    <w:rsid w:val="707115E3"/>
    <w:rsid w:val="70730946"/>
    <w:rsid w:val="707572CE"/>
    <w:rsid w:val="70763D6E"/>
    <w:rsid w:val="707826B9"/>
    <w:rsid w:val="707B16E7"/>
    <w:rsid w:val="707D23AD"/>
    <w:rsid w:val="70827D2B"/>
    <w:rsid w:val="708741CD"/>
    <w:rsid w:val="708A15C7"/>
    <w:rsid w:val="708B7819"/>
    <w:rsid w:val="709541F4"/>
    <w:rsid w:val="70965A08"/>
    <w:rsid w:val="70974410"/>
    <w:rsid w:val="709A3F00"/>
    <w:rsid w:val="709A7A5C"/>
    <w:rsid w:val="709D754D"/>
    <w:rsid w:val="70A11939"/>
    <w:rsid w:val="70A27048"/>
    <w:rsid w:val="70A30770"/>
    <w:rsid w:val="70A307A5"/>
    <w:rsid w:val="70A466EE"/>
    <w:rsid w:val="70A66401"/>
    <w:rsid w:val="70A67761"/>
    <w:rsid w:val="70A70F35"/>
    <w:rsid w:val="70AD3C34"/>
    <w:rsid w:val="70AF7259"/>
    <w:rsid w:val="70B328CC"/>
    <w:rsid w:val="70B50529"/>
    <w:rsid w:val="70B50803"/>
    <w:rsid w:val="70B772CB"/>
    <w:rsid w:val="70B77F84"/>
    <w:rsid w:val="70BB4FBA"/>
    <w:rsid w:val="70C26FB3"/>
    <w:rsid w:val="70C77B9F"/>
    <w:rsid w:val="70CA394F"/>
    <w:rsid w:val="70CB230C"/>
    <w:rsid w:val="70CE3BAA"/>
    <w:rsid w:val="70CE5958"/>
    <w:rsid w:val="70D016D0"/>
    <w:rsid w:val="70D171F6"/>
    <w:rsid w:val="70D72A5F"/>
    <w:rsid w:val="70D80585"/>
    <w:rsid w:val="70D867D7"/>
    <w:rsid w:val="70D91FE6"/>
    <w:rsid w:val="70DA60AB"/>
    <w:rsid w:val="70DB6ABB"/>
    <w:rsid w:val="70DC1E23"/>
    <w:rsid w:val="70DC7FD3"/>
    <w:rsid w:val="70DF36C1"/>
    <w:rsid w:val="70E1568B"/>
    <w:rsid w:val="70E17439"/>
    <w:rsid w:val="70E231B1"/>
    <w:rsid w:val="70E46F2A"/>
    <w:rsid w:val="70E611B1"/>
    <w:rsid w:val="70EC3251"/>
    <w:rsid w:val="70EC5DDE"/>
    <w:rsid w:val="70F03B20"/>
    <w:rsid w:val="70F05EBF"/>
    <w:rsid w:val="70F366F9"/>
    <w:rsid w:val="70F93618"/>
    <w:rsid w:val="70FD7F18"/>
    <w:rsid w:val="7100051B"/>
    <w:rsid w:val="71045EE2"/>
    <w:rsid w:val="71076B0B"/>
    <w:rsid w:val="71096990"/>
    <w:rsid w:val="710A504B"/>
    <w:rsid w:val="710B2708"/>
    <w:rsid w:val="710B6BAC"/>
    <w:rsid w:val="71107D1F"/>
    <w:rsid w:val="71114604"/>
    <w:rsid w:val="711315BD"/>
    <w:rsid w:val="71165496"/>
    <w:rsid w:val="71193077"/>
    <w:rsid w:val="71194D60"/>
    <w:rsid w:val="711A517D"/>
    <w:rsid w:val="711C4915"/>
    <w:rsid w:val="7121017E"/>
    <w:rsid w:val="71217498"/>
    <w:rsid w:val="712437CA"/>
    <w:rsid w:val="712B27CE"/>
    <w:rsid w:val="712E63F7"/>
    <w:rsid w:val="712F38BD"/>
    <w:rsid w:val="713559D7"/>
    <w:rsid w:val="7137174F"/>
    <w:rsid w:val="71381023"/>
    <w:rsid w:val="713A62F4"/>
    <w:rsid w:val="713C4FB8"/>
    <w:rsid w:val="713D72C6"/>
    <w:rsid w:val="713E01C0"/>
    <w:rsid w:val="713E6F88"/>
    <w:rsid w:val="71413F85"/>
    <w:rsid w:val="7141612A"/>
    <w:rsid w:val="714800F5"/>
    <w:rsid w:val="714A1482"/>
    <w:rsid w:val="714D0F73"/>
    <w:rsid w:val="714D4363"/>
    <w:rsid w:val="71502811"/>
    <w:rsid w:val="71535E5D"/>
    <w:rsid w:val="71544AC9"/>
    <w:rsid w:val="71551BD5"/>
    <w:rsid w:val="715916C6"/>
    <w:rsid w:val="715C11B6"/>
    <w:rsid w:val="715E053C"/>
    <w:rsid w:val="7161057A"/>
    <w:rsid w:val="71657792"/>
    <w:rsid w:val="716A5681"/>
    <w:rsid w:val="71725481"/>
    <w:rsid w:val="717604C9"/>
    <w:rsid w:val="71775FF0"/>
    <w:rsid w:val="7179414C"/>
    <w:rsid w:val="717965EC"/>
    <w:rsid w:val="717E276B"/>
    <w:rsid w:val="717F07C0"/>
    <w:rsid w:val="71812C2E"/>
    <w:rsid w:val="71830371"/>
    <w:rsid w:val="71877958"/>
    <w:rsid w:val="718D75C1"/>
    <w:rsid w:val="719426FE"/>
    <w:rsid w:val="71975701"/>
    <w:rsid w:val="719A3A8C"/>
    <w:rsid w:val="719A4CA2"/>
    <w:rsid w:val="719C73E0"/>
    <w:rsid w:val="71A010A2"/>
    <w:rsid w:val="71AF7537"/>
    <w:rsid w:val="71B0783F"/>
    <w:rsid w:val="71B52674"/>
    <w:rsid w:val="71B615C9"/>
    <w:rsid w:val="71B661CD"/>
    <w:rsid w:val="71BA21A5"/>
    <w:rsid w:val="71BC0331"/>
    <w:rsid w:val="71BC0854"/>
    <w:rsid w:val="71BC663C"/>
    <w:rsid w:val="71C02989"/>
    <w:rsid w:val="71C226B0"/>
    <w:rsid w:val="71C57B35"/>
    <w:rsid w:val="71C8684B"/>
    <w:rsid w:val="71CA7AAC"/>
    <w:rsid w:val="71D02900"/>
    <w:rsid w:val="71D036B2"/>
    <w:rsid w:val="71D7083C"/>
    <w:rsid w:val="71D76A8E"/>
    <w:rsid w:val="71D84CE0"/>
    <w:rsid w:val="71DE7E1D"/>
    <w:rsid w:val="71E4686B"/>
    <w:rsid w:val="71E52F59"/>
    <w:rsid w:val="71E72B3A"/>
    <w:rsid w:val="71E84D6B"/>
    <w:rsid w:val="71E96CF5"/>
    <w:rsid w:val="71F11C6E"/>
    <w:rsid w:val="71F63220"/>
    <w:rsid w:val="71F66F14"/>
    <w:rsid w:val="71F87130"/>
    <w:rsid w:val="71FE04BF"/>
    <w:rsid w:val="720021F2"/>
    <w:rsid w:val="72037883"/>
    <w:rsid w:val="72037E55"/>
    <w:rsid w:val="72046799"/>
    <w:rsid w:val="720A6E64"/>
    <w:rsid w:val="720D24B0"/>
    <w:rsid w:val="72106CAE"/>
    <w:rsid w:val="72135D18"/>
    <w:rsid w:val="721455EC"/>
    <w:rsid w:val="72165809"/>
    <w:rsid w:val="72185393"/>
    <w:rsid w:val="721D26F3"/>
    <w:rsid w:val="721D6B97"/>
    <w:rsid w:val="722021E3"/>
    <w:rsid w:val="72203C7E"/>
    <w:rsid w:val="72203F91"/>
    <w:rsid w:val="72205E21"/>
    <w:rsid w:val="722067C4"/>
    <w:rsid w:val="722208DE"/>
    <w:rsid w:val="722241AD"/>
    <w:rsid w:val="72227D09"/>
    <w:rsid w:val="72231CD3"/>
    <w:rsid w:val="72233A82"/>
    <w:rsid w:val="72247F25"/>
    <w:rsid w:val="7225294B"/>
    <w:rsid w:val="72255807"/>
    <w:rsid w:val="722F2426"/>
    <w:rsid w:val="722F68CA"/>
    <w:rsid w:val="7231619E"/>
    <w:rsid w:val="72322596"/>
    <w:rsid w:val="72343EE1"/>
    <w:rsid w:val="7235272A"/>
    <w:rsid w:val="72356B79"/>
    <w:rsid w:val="723637B5"/>
    <w:rsid w:val="723773DE"/>
    <w:rsid w:val="72380374"/>
    <w:rsid w:val="723914F7"/>
    <w:rsid w:val="723E2669"/>
    <w:rsid w:val="723F4D5F"/>
    <w:rsid w:val="72415683"/>
    <w:rsid w:val="72442376"/>
    <w:rsid w:val="72461F6E"/>
    <w:rsid w:val="724629C5"/>
    <w:rsid w:val="7249173A"/>
    <w:rsid w:val="72495AEB"/>
    <w:rsid w:val="724A0C8F"/>
    <w:rsid w:val="724A3704"/>
    <w:rsid w:val="72533556"/>
    <w:rsid w:val="72541E8D"/>
    <w:rsid w:val="72563E57"/>
    <w:rsid w:val="725956F5"/>
    <w:rsid w:val="725B146D"/>
    <w:rsid w:val="725B76BF"/>
    <w:rsid w:val="725C58D5"/>
    <w:rsid w:val="725E2D0C"/>
    <w:rsid w:val="726172B9"/>
    <w:rsid w:val="726447C6"/>
    <w:rsid w:val="726542C5"/>
    <w:rsid w:val="72664129"/>
    <w:rsid w:val="72683363"/>
    <w:rsid w:val="726C71D7"/>
    <w:rsid w:val="7270316B"/>
    <w:rsid w:val="72743C0D"/>
    <w:rsid w:val="72757DED"/>
    <w:rsid w:val="727644F9"/>
    <w:rsid w:val="72793A9B"/>
    <w:rsid w:val="727B38BE"/>
    <w:rsid w:val="727F47EA"/>
    <w:rsid w:val="727F56E3"/>
    <w:rsid w:val="72807126"/>
    <w:rsid w:val="728269FA"/>
    <w:rsid w:val="72874F0D"/>
    <w:rsid w:val="728B0E5E"/>
    <w:rsid w:val="728E35F1"/>
    <w:rsid w:val="729329B5"/>
    <w:rsid w:val="72933FAE"/>
    <w:rsid w:val="72936E59"/>
    <w:rsid w:val="72952DA1"/>
    <w:rsid w:val="72A417C6"/>
    <w:rsid w:val="72A46970"/>
    <w:rsid w:val="72A93F87"/>
    <w:rsid w:val="72AA7CFF"/>
    <w:rsid w:val="72AC7F1B"/>
    <w:rsid w:val="72AE426E"/>
    <w:rsid w:val="72AF1FFE"/>
    <w:rsid w:val="72B1108D"/>
    <w:rsid w:val="72B166D3"/>
    <w:rsid w:val="72B33057"/>
    <w:rsid w:val="72B62B48"/>
    <w:rsid w:val="72B82D9A"/>
    <w:rsid w:val="72C25048"/>
    <w:rsid w:val="72C517E6"/>
    <w:rsid w:val="72C76B03"/>
    <w:rsid w:val="72CA214F"/>
    <w:rsid w:val="72CD4767"/>
    <w:rsid w:val="72CD6E1B"/>
    <w:rsid w:val="72D27981"/>
    <w:rsid w:val="72D51220"/>
    <w:rsid w:val="72D57472"/>
    <w:rsid w:val="72D64BB1"/>
    <w:rsid w:val="72D72C18"/>
    <w:rsid w:val="72D964AF"/>
    <w:rsid w:val="72DA6836"/>
    <w:rsid w:val="72E15E16"/>
    <w:rsid w:val="72E41463"/>
    <w:rsid w:val="72EB0A43"/>
    <w:rsid w:val="72EB459F"/>
    <w:rsid w:val="72EE408F"/>
    <w:rsid w:val="72EE7A98"/>
    <w:rsid w:val="72F0605A"/>
    <w:rsid w:val="72F378F8"/>
    <w:rsid w:val="72FE511A"/>
    <w:rsid w:val="73001473"/>
    <w:rsid w:val="730218E9"/>
    <w:rsid w:val="73027296"/>
    <w:rsid w:val="730438B3"/>
    <w:rsid w:val="730613D9"/>
    <w:rsid w:val="7306762B"/>
    <w:rsid w:val="73076EFF"/>
    <w:rsid w:val="730B2E93"/>
    <w:rsid w:val="730B69EF"/>
    <w:rsid w:val="730D3EE6"/>
    <w:rsid w:val="730E16C7"/>
    <w:rsid w:val="73102258"/>
    <w:rsid w:val="73194274"/>
    <w:rsid w:val="73223D39"/>
    <w:rsid w:val="7326114F"/>
    <w:rsid w:val="7327134F"/>
    <w:rsid w:val="7329331A"/>
    <w:rsid w:val="732D5122"/>
    <w:rsid w:val="732D5B56"/>
    <w:rsid w:val="732E6B82"/>
    <w:rsid w:val="732F6990"/>
    <w:rsid w:val="73306456"/>
    <w:rsid w:val="733A72D5"/>
    <w:rsid w:val="733C30F6"/>
    <w:rsid w:val="733F6699"/>
    <w:rsid w:val="73412411"/>
    <w:rsid w:val="73422449"/>
    <w:rsid w:val="73440153"/>
    <w:rsid w:val="73441F01"/>
    <w:rsid w:val="734727DF"/>
    <w:rsid w:val="73481007"/>
    <w:rsid w:val="73487C44"/>
    <w:rsid w:val="734E4B2E"/>
    <w:rsid w:val="734F0FD2"/>
    <w:rsid w:val="735069CE"/>
    <w:rsid w:val="735672C4"/>
    <w:rsid w:val="73577A3C"/>
    <w:rsid w:val="73596236"/>
    <w:rsid w:val="735C4D9E"/>
    <w:rsid w:val="735F0AE9"/>
    <w:rsid w:val="735F4F8D"/>
    <w:rsid w:val="736016F9"/>
    <w:rsid w:val="7361287D"/>
    <w:rsid w:val="736821FE"/>
    <w:rsid w:val="73685BF0"/>
    <w:rsid w:val="73690C8A"/>
    <w:rsid w:val="736965FD"/>
    <w:rsid w:val="736B748E"/>
    <w:rsid w:val="736D1458"/>
    <w:rsid w:val="736D57A1"/>
    <w:rsid w:val="736E4F36"/>
    <w:rsid w:val="73706B2A"/>
    <w:rsid w:val="73774085"/>
    <w:rsid w:val="73832A2A"/>
    <w:rsid w:val="738549F4"/>
    <w:rsid w:val="738A2D42"/>
    <w:rsid w:val="738D2DAE"/>
    <w:rsid w:val="738D5656"/>
    <w:rsid w:val="738E6EB4"/>
    <w:rsid w:val="73922834"/>
    <w:rsid w:val="73922C6D"/>
    <w:rsid w:val="7394433A"/>
    <w:rsid w:val="739509AF"/>
    <w:rsid w:val="73966C01"/>
    <w:rsid w:val="73974727"/>
    <w:rsid w:val="73A04439"/>
    <w:rsid w:val="73A61FB3"/>
    <w:rsid w:val="73AA26AC"/>
    <w:rsid w:val="73B016BD"/>
    <w:rsid w:val="73B85401"/>
    <w:rsid w:val="73BD2809"/>
    <w:rsid w:val="73BE7F06"/>
    <w:rsid w:val="73C13552"/>
    <w:rsid w:val="73C15CA6"/>
    <w:rsid w:val="73C3376E"/>
    <w:rsid w:val="73C66EB8"/>
    <w:rsid w:val="73CB617F"/>
    <w:rsid w:val="73CC5264"/>
    <w:rsid w:val="73CF5C6F"/>
    <w:rsid w:val="73DA4A3B"/>
    <w:rsid w:val="73DE006D"/>
    <w:rsid w:val="73DE4104"/>
    <w:rsid w:val="73DE5EB2"/>
    <w:rsid w:val="73DF2241"/>
    <w:rsid w:val="73DF7406"/>
    <w:rsid w:val="73E07E7C"/>
    <w:rsid w:val="73E43920"/>
    <w:rsid w:val="73E536E4"/>
    <w:rsid w:val="73E62FB9"/>
    <w:rsid w:val="73ED07EB"/>
    <w:rsid w:val="73ED4347"/>
    <w:rsid w:val="73F27BAF"/>
    <w:rsid w:val="73F41B79"/>
    <w:rsid w:val="73F43927"/>
    <w:rsid w:val="73F647A5"/>
    <w:rsid w:val="73F76F74"/>
    <w:rsid w:val="73F90F3E"/>
    <w:rsid w:val="74024296"/>
    <w:rsid w:val="74033B6B"/>
    <w:rsid w:val="74063369"/>
    <w:rsid w:val="740718AD"/>
    <w:rsid w:val="74092BD2"/>
    <w:rsid w:val="740C6EC3"/>
    <w:rsid w:val="740E2A73"/>
    <w:rsid w:val="74122000"/>
    <w:rsid w:val="741369A5"/>
    <w:rsid w:val="7416564C"/>
    <w:rsid w:val="741713C4"/>
    <w:rsid w:val="741A79D0"/>
    <w:rsid w:val="741B7106"/>
    <w:rsid w:val="74212243"/>
    <w:rsid w:val="74290773"/>
    <w:rsid w:val="742D6E39"/>
    <w:rsid w:val="742F64DB"/>
    <w:rsid w:val="743108DF"/>
    <w:rsid w:val="7443665D"/>
    <w:rsid w:val="74463A57"/>
    <w:rsid w:val="74466CA0"/>
    <w:rsid w:val="74471CA9"/>
    <w:rsid w:val="7447614D"/>
    <w:rsid w:val="744875A2"/>
    <w:rsid w:val="74493C73"/>
    <w:rsid w:val="744A543C"/>
    <w:rsid w:val="744C5512"/>
    <w:rsid w:val="744F0B5E"/>
    <w:rsid w:val="745240E9"/>
    <w:rsid w:val="74534AF2"/>
    <w:rsid w:val="74534C0D"/>
    <w:rsid w:val="74545EA0"/>
    <w:rsid w:val="74582108"/>
    <w:rsid w:val="745919DD"/>
    <w:rsid w:val="745B519B"/>
    <w:rsid w:val="745D771F"/>
    <w:rsid w:val="745E5245"/>
    <w:rsid w:val="74607416"/>
    <w:rsid w:val="74640AAD"/>
    <w:rsid w:val="746A3BEA"/>
    <w:rsid w:val="74707312"/>
    <w:rsid w:val="747800B5"/>
    <w:rsid w:val="74784559"/>
    <w:rsid w:val="7479207F"/>
    <w:rsid w:val="74793E2D"/>
    <w:rsid w:val="747A1FA3"/>
    <w:rsid w:val="747E4FA9"/>
    <w:rsid w:val="7480369F"/>
    <w:rsid w:val="7483647D"/>
    <w:rsid w:val="74841743"/>
    <w:rsid w:val="748B489E"/>
    <w:rsid w:val="748F0928"/>
    <w:rsid w:val="74924153"/>
    <w:rsid w:val="749B4A84"/>
    <w:rsid w:val="74A002AA"/>
    <w:rsid w:val="74A17F46"/>
    <w:rsid w:val="74A37772"/>
    <w:rsid w:val="74A540DA"/>
    <w:rsid w:val="74A55187"/>
    <w:rsid w:val="74AE04E1"/>
    <w:rsid w:val="74B35591"/>
    <w:rsid w:val="74B4507D"/>
    <w:rsid w:val="74B54F8D"/>
    <w:rsid w:val="74B6336E"/>
    <w:rsid w:val="74B65081"/>
    <w:rsid w:val="74BA691F"/>
    <w:rsid w:val="74BD01BD"/>
    <w:rsid w:val="74BD1575"/>
    <w:rsid w:val="74C0081B"/>
    <w:rsid w:val="74C27FD3"/>
    <w:rsid w:val="74C4779E"/>
    <w:rsid w:val="74C47C67"/>
    <w:rsid w:val="74C5300F"/>
    <w:rsid w:val="74C55CDC"/>
    <w:rsid w:val="74CA4688"/>
    <w:rsid w:val="74CA6436"/>
    <w:rsid w:val="74D472B5"/>
    <w:rsid w:val="74D65A4E"/>
    <w:rsid w:val="74D81CF7"/>
    <w:rsid w:val="74DC0F51"/>
    <w:rsid w:val="74E00EBC"/>
    <w:rsid w:val="74E120FE"/>
    <w:rsid w:val="74E514C2"/>
    <w:rsid w:val="74E53270"/>
    <w:rsid w:val="74E64777"/>
    <w:rsid w:val="74E67714"/>
    <w:rsid w:val="74E7348C"/>
    <w:rsid w:val="74E873CF"/>
    <w:rsid w:val="74E97204"/>
    <w:rsid w:val="74ED2FA0"/>
    <w:rsid w:val="74EE481B"/>
    <w:rsid w:val="74F02341"/>
    <w:rsid w:val="74F040EF"/>
    <w:rsid w:val="74F11099"/>
    <w:rsid w:val="74F14015"/>
    <w:rsid w:val="74F160B9"/>
    <w:rsid w:val="74F65471"/>
    <w:rsid w:val="74F71921"/>
    <w:rsid w:val="75015B2D"/>
    <w:rsid w:val="75023E22"/>
    <w:rsid w:val="75041948"/>
    <w:rsid w:val="7504638B"/>
    <w:rsid w:val="75047B9A"/>
    <w:rsid w:val="75071439"/>
    <w:rsid w:val="750951B1"/>
    <w:rsid w:val="750B31FF"/>
    <w:rsid w:val="750D429A"/>
    <w:rsid w:val="75125903"/>
    <w:rsid w:val="75137DDD"/>
    <w:rsid w:val="75141839"/>
    <w:rsid w:val="75154B78"/>
    <w:rsid w:val="75181898"/>
    <w:rsid w:val="751849FB"/>
    <w:rsid w:val="751B6BE1"/>
    <w:rsid w:val="7523174E"/>
    <w:rsid w:val="75260C91"/>
    <w:rsid w:val="752866D8"/>
    <w:rsid w:val="75287D2D"/>
    <w:rsid w:val="75295853"/>
    <w:rsid w:val="752B74EC"/>
    <w:rsid w:val="752F33C9"/>
    <w:rsid w:val="752F71BF"/>
    <w:rsid w:val="7530098F"/>
    <w:rsid w:val="75315CE9"/>
    <w:rsid w:val="75322959"/>
    <w:rsid w:val="75327CAC"/>
    <w:rsid w:val="753366D1"/>
    <w:rsid w:val="75351ABD"/>
    <w:rsid w:val="75377F70"/>
    <w:rsid w:val="75383CE8"/>
    <w:rsid w:val="75385A96"/>
    <w:rsid w:val="753A5BD8"/>
    <w:rsid w:val="753A6D9B"/>
    <w:rsid w:val="753F75F1"/>
    <w:rsid w:val="75412B9C"/>
    <w:rsid w:val="75441D32"/>
    <w:rsid w:val="754461E9"/>
    <w:rsid w:val="754774C7"/>
    <w:rsid w:val="754C32EF"/>
    <w:rsid w:val="75564973"/>
    <w:rsid w:val="755713D1"/>
    <w:rsid w:val="755A3C5E"/>
    <w:rsid w:val="755D5C2B"/>
    <w:rsid w:val="755E305D"/>
    <w:rsid w:val="75640639"/>
    <w:rsid w:val="75662603"/>
    <w:rsid w:val="756B5E6B"/>
    <w:rsid w:val="75705230"/>
    <w:rsid w:val="75713CC4"/>
    <w:rsid w:val="757446FB"/>
    <w:rsid w:val="757554AA"/>
    <w:rsid w:val="7577691F"/>
    <w:rsid w:val="757A7E5C"/>
    <w:rsid w:val="757C1E26"/>
    <w:rsid w:val="757C3BD5"/>
    <w:rsid w:val="757C3C72"/>
    <w:rsid w:val="757E78F3"/>
    <w:rsid w:val="7581079F"/>
    <w:rsid w:val="758142C0"/>
    <w:rsid w:val="75874327"/>
    <w:rsid w:val="758807CB"/>
    <w:rsid w:val="758A612B"/>
    <w:rsid w:val="758C45A3"/>
    <w:rsid w:val="75940383"/>
    <w:rsid w:val="759727BC"/>
    <w:rsid w:val="75A013ED"/>
    <w:rsid w:val="75A1614F"/>
    <w:rsid w:val="75A16F23"/>
    <w:rsid w:val="75A35605"/>
    <w:rsid w:val="75AB44BA"/>
    <w:rsid w:val="75B415C0"/>
    <w:rsid w:val="75BE5F9B"/>
    <w:rsid w:val="75C5641D"/>
    <w:rsid w:val="75C822A0"/>
    <w:rsid w:val="75CB06B8"/>
    <w:rsid w:val="75CB690A"/>
    <w:rsid w:val="75CD4430"/>
    <w:rsid w:val="75D05CCE"/>
    <w:rsid w:val="75D27C98"/>
    <w:rsid w:val="75D44E5F"/>
    <w:rsid w:val="75D46A3D"/>
    <w:rsid w:val="75DA6B4D"/>
    <w:rsid w:val="75DC4673"/>
    <w:rsid w:val="75DD54F1"/>
    <w:rsid w:val="75DE03EB"/>
    <w:rsid w:val="75E1612D"/>
    <w:rsid w:val="75E2200E"/>
    <w:rsid w:val="75E33C54"/>
    <w:rsid w:val="75E557F7"/>
    <w:rsid w:val="75E706DE"/>
    <w:rsid w:val="75E8797A"/>
    <w:rsid w:val="75EA3234"/>
    <w:rsid w:val="75ED2393"/>
    <w:rsid w:val="75ED4AD2"/>
    <w:rsid w:val="75F0011F"/>
    <w:rsid w:val="75F776FF"/>
    <w:rsid w:val="75F95225"/>
    <w:rsid w:val="75FC4D15"/>
    <w:rsid w:val="7600703B"/>
    <w:rsid w:val="76007DF5"/>
    <w:rsid w:val="760270D7"/>
    <w:rsid w:val="76041632"/>
    <w:rsid w:val="760A0EFA"/>
    <w:rsid w:val="760C3C18"/>
    <w:rsid w:val="760D77C7"/>
    <w:rsid w:val="760F67F7"/>
    <w:rsid w:val="76120095"/>
    <w:rsid w:val="76123E95"/>
    <w:rsid w:val="761476FD"/>
    <w:rsid w:val="76177B6A"/>
    <w:rsid w:val="761F65ED"/>
    <w:rsid w:val="7625426C"/>
    <w:rsid w:val="762624A4"/>
    <w:rsid w:val="76277FE4"/>
    <w:rsid w:val="76283D5C"/>
    <w:rsid w:val="76287001"/>
    <w:rsid w:val="762B0A11"/>
    <w:rsid w:val="76326989"/>
    <w:rsid w:val="763513AC"/>
    <w:rsid w:val="76351605"/>
    <w:rsid w:val="76361D57"/>
    <w:rsid w:val="76366479"/>
    <w:rsid w:val="76393874"/>
    <w:rsid w:val="763D71E2"/>
    <w:rsid w:val="763D73C1"/>
    <w:rsid w:val="764204EA"/>
    <w:rsid w:val="764446D2"/>
    <w:rsid w:val="764C16D6"/>
    <w:rsid w:val="764D731F"/>
    <w:rsid w:val="764F12E9"/>
    <w:rsid w:val="764F753B"/>
    <w:rsid w:val="76522B87"/>
    <w:rsid w:val="76544B51"/>
    <w:rsid w:val="7657103F"/>
    <w:rsid w:val="765B7F46"/>
    <w:rsid w:val="765C05BD"/>
    <w:rsid w:val="766021BB"/>
    <w:rsid w:val="76610B37"/>
    <w:rsid w:val="766160CD"/>
    <w:rsid w:val="76622BF2"/>
    <w:rsid w:val="76650013"/>
    <w:rsid w:val="76650B0D"/>
    <w:rsid w:val="76681FFD"/>
    <w:rsid w:val="766823AB"/>
    <w:rsid w:val="76682D6F"/>
    <w:rsid w:val="76684159"/>
    <w:rsid w:val="766B1729"/>
    <w:rsid w:val="766B4556"/>
    <w:rsid w:val="766F056D"/>
    <w:rsid w:val="7671125F"/>
    <w:rsid w:val="7671300D"/>
    <w:rsid w:val="76790114"/>
    <w:rsid w:val="767D1768"/>
    <w:rsid w:val="768014A2"/>
    <w:rsid w:val="76856AB9"/>
    <w:rsid w:val="76866499"/>
    <w:rsid w:val="768720F9"/>
    <w:rsid w:val="76872831"/>
    <w:rsid w:val="768A0B82"/>
    <w:rsid w:val="768C7E47"/>
    <w:rsid w:val="768E2879"/>
    <w:rsid w:val="768F7680"/>
    <w:rsid w:val="769431A0"/>
    <w:rsid w:val="76944F4E"/>
    <w:rsid w:val="769646BD"/>
    <w:rsid w:val="76967E0B"/>
    <w:rsid w:val="769907B6"/>
    <w:rsid w:val="76992564"/>
    <w:rsid w:val="769A4C9C"/>
    <w:rsid w:val="769A6A08"/>
    <w:rsid w:val="769F401E"/>
    <w:rsid w:val="76A01AAC"/>
    <w:rsid w:val="76A258BD"/>
    <w:rsid w:val="76A26E4A"/>
    <w:rsid w:val="76A273C4"/>
    <w:rsid w:val="76A73656"/>
    <w:rsid w:val="76AA29C3"/>
    <w:rsid w:val="76AA7328"/>
    <w:rsid w:val="76AD013F"/>
    <w:rsid w:val="76B15747"/>
    <w:rsid w:val="76B21C38"/>
    <w:rsid w:val="76B45CD1"/>
    <w:rsid w:val="76B571BE"/>
    <w:rsid w:val="76B660A1"/>
    <w:rsid w:val="76B850E0"/>
    <w:rsid w:val="76B949B4"/>
    <w:rsid w:val="76BB072D"/>
    <w:rsid w:val="76BC414A"/>
    <w:rsid w:val="76BD26F7"/>
    <w:rsid w:val="76BD44A5"/>
    <w:rsid w:val="76C05D43"/>
    <w:rsid w:val="76C07AF1"/>
    <w:rsid w:val="76C43A85"/>
    <w:rsid w:val="76C5563F"/>
    <w:rsid w:val="76C7193E"/>
    <w:rsid w:val="76CB0C87"/>
    <w:rsid w:val="76D812DE"/>
    <w:rsid w:val="76DB7386"/>
    <w:rsid w:val="76DD4B47"/>
    <w:rsid w:val="76DE7091"/>
    <w:rsid w:val="76DF45C6"/>
    <w:rsid w:val="76E063E5"/>
    <w:rsid w:val="76E079B9"/>
    <w:rsid w:val="76E2215D"/>
    <w:rsid w:val="76E40BEB"/>
    <w:rsid w:val="76E624BA"/>
    <w:rsid w:val="76E732D0"/>
    <w:rsid w:val="76EC4D8A"/>
    <w:rsid w:val="76EC6B38"/>
    <w:rsid w:val="76F105F2"/>
    <w:rsid w:val="76F37EC6"/>
    <w:rsid w:val="76F51E90"/>
    <w:rsid w:val="76F53C3E"/>
    <w:rsid w:val="76F548A9"/>
    <w:rsid w:val="76F679B7"/>
    <w:rsid w:val="76F93159"/>
    <w:rsid w:val="76FD2DA9"/>
    <w:rsid w:val="76FF2D0F"/>
    <w:rsid w:val="76FF686B"/>
    <w:rsid w:val="77000835"/>
    <w:rsid w:val="77015F50"/>
    <w:rsid w:val="7703779B"/>
    <w:rsid w:val="77043E82"/>
    <w:rsid w:val="7706409E"/>
    <w:rsid w:val="770F2826"/>
    <w:rsid w:val="7711659E"/>
    <w:rsid w:val="77130569"/>
    <w:rsid w:val="77130798"/>
    <w:rsid w:val="771340C5"/>
    <w:rsid w:val="7716156E"/>
    <w:rsid w:val="77183DD1"/>
    <w:rsid w:val="77197998"/>
    <w:rsid w:val="771A18F7"/>
    <w:rsid w:val="771D13E7"/>
    <w:rsid w:val="772207AC"/>
    <w:rsid w:val="772517BD"/>
    <w:rsid w:val="77287243"/>
    <w:rsid w:val="7730111A"/>
    <w:rsid w:val="7730219F"/>
    <w:rsid w:val="77343595"/>
    <w:rsid w:val="773B361B"/>
    <w:rsid w:val="773E11F4"/>
    <w:rsid w:val="7741041B"/>
    <w:rsid w:val="77434C5B"/>
    <w:rsid w:val="77440722"/>
    <w:rsid w:val="774424D0"/>
    <w:rsid w:val="774C5829"/>
    <w:rsid w:val="774E761B"/>
    <w:rsid w:val="77521091"/>
    <w:rsid w:val="77557678"/>
    <w:rsid w:val="7758241F"/>
    <w:rsid w:val="775A411F"/>
    <w:rsid w:val="775A6197"/>
    <w:rsid w:val="77601B0A"/>
    <w:rsid w:val="77675276"/>
    <w:rsid w:val="77690189"/>
    <w:rsid w:val="776B2153"/>
    <w:rsid w:val="776F7ED6"/>
    <w:rsid w:val="77706CFD"/>
    <w:rsid w:val="77707769"/>
    <w:rsid w:val="77720F61"/>
    <w:rsid w:val="77737259"/>
    <w:rsid w:val="777B322D"/>
    <w:rsid w:val="777C0FE5"/>
    <w:rsid w:val="777D1E86"/>
    <w:rsid w:val="777D3C34"/>
    <w:rsid w:val="777E28EC"/>
    <w:rsid w:val="777E64BA"/>
    <w:rsid w:val="7780101E"/>
    <w:rsid w:val="77903967"/>
    <w:rsid w:val="779276DF"/>
    <w:rsid w:val="779C230C"/>
    <w:rsid w:val="779C67B0"/>
    <w:rsid w:val="779E3056"/>
    <w:rsid w:val="77A13DC6"/>
    <w:rsid w:val="77A34D11"/>
    <w:rsid w:val="77A35836"/>
    <w:rsid w:val="77A37BA9"/>
    <w:rsid w:val="77A37E61"/>
    <w:rsid w:val="77A6318B"/>
    <w:rsid w:val="77A85155"/>
    <w:rsid w:val="77A86F03"/>
    <w:rsid w:val="77AB3A64"/>
    <w:rsid w:val="77AD4519"/>
    <w:rsid w:val="77AD6BD4"/>
    <w:rsid w:val="77AE0291"/>
    <w:rsid w:val="77B02BCE"/>
    <w:rsid w:val="77B07B65"/>
    <w:rsid w:val="77B34420"/>
    <w:rsid w:val="77B51620"/>
    <w:rsid w:val="77BA6C36"/>
    <w:rsid w:val="77BA7741"/>
    <w:rsid w:val="77BF1E80"/>
    <w:rsid w:val="77C222EA"/>
    <w:rsid w:val="77C57280"/>
    <w:rsid w:val="77C64979"/>
    <w:rsid w:val="77C71AC8"/>
    <w:rsid w:val="77C81353"/>
    <w:rsid w:val="77C875A5"/>
    <w:rsid w:val="77C960E3"/>
    <w:rsid w:val="77C96E08"/>
    <w:rsid w:val="77CB0E43"/>
    <w:rsid w:val="77D5581E"/>
    <w:rsid w:val="77D60C9C"/>
    <w:rsid w:val="77DA5E6E"/>
    <w:rsid w:val="77DD5253"/>
    <w:rsid w:val="77DF044B"/>
    <w:rsid w:val="77DF669D"/>
    <w:rsid w:val="77E16552"/>
    <w:rsid w:val="77E837A3"/>
    <w:rsid w:val="77E8451C"/>
    <w:rsid w:val="77EE068E"/>
    <w:rsid w:val="77EF3D6E"/>
    <w:rsid w:val="77F02658"/>
    <w:rsid w:val="77F04406"/>
    <w:rsid w:val="77F9150C"/>
    <w:rsid w:val="77FF1415"/>
    <w:rsid w:val="77FF2645"/>
    <w:rsid w:val="7803238B"/>
    <w:rsid w:val="780659D7"/>
    <w:rsid w:val="780B1240"/>
    <w:rsid w:val="78126B68"/>
    <w:rsid w:val="78140B23"/>
    <w:rsid w:val="78144598"/>
    <w:rsid w:val="78146346"/>
    <w:rsid w:val="78174A3B"/>
    <w:rsid w:val="78180F9C"/>
    <w:rsid w:val="78197E01"/>
    <w:rsid w:val="781A0151"/>
    <w:rsid w:val="781C51FB"/>
    <w:rsid w:val="781D1CE1"/>
    <w:rsid w:val="781E3FAA"/>
    <w:rsid w:val="781E41F2"/>
    <w:rsid w:val="781E5417"/>
    <w:rsid w:val="78281DF2"/>
    <w:rsid w:val="78283BA0"/>
    <w:rsid w:val="782F13D2"/>
    <w:rsid w:val="782F3180"/>
    <w:rsid w:val="782F4F2E"/>
    <w:rsid w:val="78320EC2"/>
    <w:rsid w:val="783235DF"/>
    <w:rsid w:val="783267CC"/>
    <w:rsid w:val="783469E8"/>
    <w:rsid w:val="78364901"/>
    <w:rsid w:val="783A38D3"/>
    <w:rsid w:val="783C3AEF"/>
    <w:rsid w:val="783F0E2D"/>
    <w:rsid w:val="7840713B"/>
    <w:rsid w:val="784371AE"/>
    <w:rsid w:val="78466E51"/>
    <w:rsid w:val="78484242"/>
    <w:rsid w:val="78492C6B"/>
    <w:rsid w:val="784E74CE"/>
    <w:rsid w:val="784F1BB4"/>
    <w:rsid w:val="784F55D0"/>
    <w:rsid w:val="78511F99"/>
    <w:rsid w:val="7859644F"/>
    <w:rsid w:val="785B2336"/>
    <w:rsid w:val="785B6CC4"/>
    <w:rsid w:val="786077DD"/>
    <w:rsid w:val="78607BB1"/>
    <w:rsid w:val="786646C8"/>
    <w:rsid w:val="78672ABE"/>
    <w:rsid w:val="786A065C"/>
    <w:rsid w:val="786A240A"/>
    <w:rsid w:val="786E1805"/>
    <w:rsid w:val="786F17CF"/>
    <w:rsid w:val="786F5C73"/>
    <w:rsid w:val="78720AE0"/>
    <w:rsid w:val="78767001"/>
    <w:rsid w:val="78782095"/>
    <w:rsid w:val="787B63C5"/>
    <w:rsid w:val="788039DC"/>
    <w:rsid w:val="78822566"/>
    <w:rsid w:val="78832579"/>
    <w:rsid w:val="788334CB"/>
    <w:rsid w:val="7883527A"/>
    <w:rsid w:val="78852DA0"/>
    <w:rsid w:val="788672E2"/>
    <w:rsid w:val="78874D6A"/>
    <w:rsid w:val="78876ED7"/>
    <w:rsid w:val="78877325"/>
    <w:rsid w:val="788A485A"/>
    <w:rsid w:val="788A77FE"/>
    <w:rsid w:val="788C05D2"/>
    <w:rsid w:val="788D60F9"/>
    <w:rsid w:val="78915BE9"/>
    <w:rsid w:val="7899684C"/>
    <w:rsid w:val="789C3017"/>
    <w:rsid w:val="789C633C"/>
    <w:rsid w:val="78A551F0"/>
    <w:rsid w:val="78A70967"/>
    <w:rsid w:val="78A91184"/>
    <w:rsid w:val="78AC0EF3"/>
    <w:rsid w:val="78B00909"/>
    <w:rsid w:val="78B10039"/>
    <w:rsid w:val="78B11DE7"/>
    <w:rsid w:val="78B74F24"/>
    <w:rsid w:val="78B95E63"/>
    <w:rsid w:val="78BA32A4"/>
    <w:rsid w:val="78BB2C66"/>
    <w:rsid w:val="78BB4A14"/>
    <w:rsid w:val="78BE0FF9"/>
    <w:rsid w:val="78BE530C"/>
    <w:rsid w:val="78C064CE"/>
    <w:rsid w:val="78C31956"/>
    <w:rsid w:val="78C37D6C"/>
    <w:rsid w:val="78C43643"/>
    <w:rsid w:val="78C513CB"/>
    <w:rsid w:val="78C74B42"/>
    <w:rsid w:val="78C77601"/>
    <w:rsid w:val="78CA2EA9"/>
    <w:rsid w:val="78CB6D84"/>
    <w:rsid w:val="78CF04BF"/>
    <w:rsid w:val="78CF6711"/>
    <w:rsid w:val="78D04063"/>
    <w:rsid w:val="78D73FB1"/>
    <w:rsid w:val="78D814AE"/>
    <w:rsid w:val="78D9465E"/>
    <w:rsid w:val="78DA7590"/>
    <w:rsid w:val="78DC4AC9"/>
    <w:rsid w:val="78DE4B27"/>
    <w:rsid w:val="78E0091E"/>
    <w:rsid w:val="78E03EA7"/>
    <w:rsid w:val="78E81581"/>
    <w:rsid w:val="78EE4DE9"/>
    <w:rsid w:val="78F10436"/>
    <w:rsid w:val="78F711B4"/>
    <w:rsid w:val="78F9227F"/>
    <w:rsid w:val="78FF0DA4"/>
    <w:rsid w:val="78FF656E"/>
    <w:rsid w:val="790068CB"/>
    <w:rsid w:val="79020895"/>
    <w:rsid w:val="79042F51"/>
    <w:rsid w:val="790C34C1"/>
    <w:rsid w:val="790C6FFA"/>
    <w:rsid w:val="790D504A"/>
    <w:rsid w:val="790E0FE8"/>
    <w:rsid w:val="790E1ADB"/>
    <w:rsid w:val="790E548B"/>
    <w:rsid w:val="79132D7C"/>
    <w:rsid w:val="79144124"/>
    <w:rsid w:val="791736B1"/>
    <w:rsid w:val="791F31F5"/>
    <w:rsid w:val="79206F6D"/>
    <w:rsid w:val="792173E6"/>
    <w:rsid w:val="792200CE"/>
    <w:rsid w:val="792441A4"/>
    <w:rsid w:val="79257C48"/>
    <w:rsid w:val="792611B8"/>
    <w:rsid w:val="79263BFD"/>
    <w:rsid w:val="792E168A"/>
    <w:rsid w:val="79301BFB"/>
    <w:rsid w:val="79303CAC"/>
    <w:rsid w:val="79312F28"/>
    <w:rsid w:val="79346EAF"/>
    <w:rsid w:val="793B7903"/>
    <w:rsid w:val="7947274B"/>
    <w:rsid w:val="794744F9"/>
    <w:rsid w:val="794762A8"/>
    <w:rsid w:val="794C7D62"/>
    <w:rsid w:val="794D5677"/>
    <w:rsid w:val="795065ED"/>
    <w:rsid w:val="79534964"/>
    <w:rsid w:val="7954169F"/>
    <w:rsid w:val="79546DD1"/>
    <w:rsid w:val="79555D31"/>
    <w:rsid w:val="795632E7"/>
    <w:rsid w:val="7956428E"/>
    <w:rsid w:val="795D0D57"/>
    <w:rsid w:val="7961380D"/>
    <w:rsid w:val="796450AB"/>
    <w:rsid w:val="79654980"/>
    <w:rsid w:val="796D4705"/>
    <w:rsid w:val="796E7CD8"/>
    <w:rsid w:val="79733ABC"/>
    <w:rsid w:val="797816DF"/>
    <w:rsid w:val="797D2716"/>
    <w:rsid w:val="798412AA"/>
    <w:rsid w:val="7985453F"/>
    <w:rsid w:val="798600AB"/>
    <w:rsid w:val="798A01C7"/>
    <w:rsid w:val="798B088A"/>
    <w:rsid w:val="798B6ADC"/>
    <w:rsid w:val="798C015E"/>
    <w:rsid w:val="798F5FF5"/>
    <w:rsid w:val="79955F30"/>
    <w:rsid w:val="7997516A"/>
    <w:rsid w:val="79975481"/>
    <w:rsid w:val="7997722F"/>
    <w:rsid w:val="799B65F3"/>
    <w:rsid w:val="79A06EC4"/>
    <w:rsid w:val="79A1187B"/>
    <w:rsid w:val="79A11E5C"/>
    <w:rsid w:val="79A436FA"/>
    <w:rsid w:val="79A8143C"/>
    <w:rsid w:val="79A951B4"/>
    <w:rsid w:val="79AA4C98"/>
    <w:rsid w:val="79AB2CDA"/>
    <w:rsid w:val="79AB4DB8"/>
    <w:rsid w:val="79B337FD"/>
    <w:rsid w:val="79B576B5"/>
    <w:rsid w:val="79B74A9C"/>
    <w:rsid w:val="79BA561A"/>
    <w:rsid w:val="79BE03C3"/>
    <w:rsid w:val="79BF2189"/>
    <w:rsid w:val="79C142AC"/>
    <w:rsid w:val="79C1668B"/>
    <w:rsid w:val="79C71E79"/>
    <w:rsid w:val="79C76223"/>
    <w:rsid w:val="79CB6ED9"/>
    <w:rsid w:val="79CD2C51"/>
    <w:rsid w:val="79D248D3"/>
    <w:rsid w:val="79D52367"/>
    <w:rsid w:val="79D7762B"/>
    <w:rsid w:val="79E1494E"/>
    <w:rsid w:val="79E24222"/>
    <w:rsid w:val="79E30FE6"/>
    <w:rsid w:val="79E34845"/>
    <w:rsid w:val="79E63D12"/>
    <w:rsid w:val="79E7016D"/>
    <w:rsid w:val="79E85CDC"/>
    <w:rsid w:val="79EB30D7"/>
    <w:rsid w:val="79EC5DAB"/>
    <w:rsid w:val="79F006ED"/>
    <w:rsid w:val="79F03C35"/>
    <w:rsid w:val="79F04B91"/>
    <w:rsid w:val="79F25E0C"/>
    <w:rsid w:val="79F71A7C"/>
    <w:rsid w:val="79FA5A10"/>
    <w:rsid w:val="79FE0E72"/>
    <w:rsid w:val="7A015119"/>
    <w:rsid w:val="7A021737"/>
    <w:rsid w:val="7A023763"/>
    <w:rsid w:val="7A0348C4"/>
    <w:rsid w:val="7A0702E3"/>
    <w:rsid w:val="7A0961A9"/>
    <w:rsid w:val="7A0F3ECF"/>
    <w:rsid w:val="7A106FE1"/>
    <w:rsid w:val="7A113C8C"/>
    <w:rsid w:val="7A150E8B"/>
    <w:rsid w:val="7A1545F8"/>
    <w:rsid w:val="7A1F0FD2"/>
    <w:rsid w:val="7A1F7224"/>
    <w:rsid w:val="7A21433A"/>
    <w:rsid w:val="7A24682A"/>
    <w:rsid w:val="7A262068"/>
    <w:rsid w:val="7A28268B"/>
    <w:rsid w:val="7A291E51"/>
    <w:rsid w:val="7A292592"/>
    <w:rsid w:val="7A2A6524"/>
    <w:rsid w:val="7A320D06"/>
    <w:rsid w:val="7A340F22"/>
    <w:rsid w:val="7A347524"/>
    <w:rsid w:val="7A3507F6"/>
    <w:rsid w:val="7A356A48"/>
    <w:rsid w:val="7A392094"/>
    <w:rsid w:val="7A3C1B84"/>
    <w:rsid w:val="7A3E6FBF"/>
    <w:rsid w:val="7A3E70DD"/>
    <w:rsid w:val="7A407871"/>
    <w:rsid w:val="7A4078C7"/>
    <w:rsid w:val="7A41363F"/>
    <w:rsid w:val="7A431165"/>
    <w:rsid w:val="7A450F4C"/>
    <w:rsid w:val="7A462A03"/>
    <w:rsid w:val="7A474C9A"/>
    <w:rsid w:val="7A4B2F05"/>
    <w:rsid w:val="7A5213A8"/>
    <w:rsid w:val="7A54030D"/>
    <w:rsid w:val="7A545120"/>
    <w:rsid w:val="7A5C1F07"/>
    <w:rsid w:val="7A5C2227"/>
    <w:rsid w:val="7A5D3FF0"/>
    <w:rsid w:val="7A5E1AFB"/>
    <w:rsid w:val="7A604E8D"/>
    <w:rsid w:val="7A61631D"/>
    <w:rsid w:val="7A61783D"/>
    <w:rsid w:val="7A617D24"/>
    <w:rsid w:val="7A6730A5"/>
    <w:rsid w:val="7A682979"/>
    <w:rsid w:val="7A6A04A0"/>
    <w:rsid w:val="7A715CD2"/>
    <w:rsid w:val="7A7237F8"/>
    <w:rsid w:val="7A746345"/>
    <w:rsid w:val="7A747570"/>
    <w:rsid w:val="7A792DD8"/>
    <w:rsid w:val="7A7D22D7"/>
    <w:rsid w:val="7A7E3E8C"/>
    <w:rsid w:val="7A804167"/>
    <w:rsid w:val="7A8539F5"/>
    <w:rsid w:val="7A8772A3"/>
    <w:rsid w:val="7A887BAE"/>
    <w:rsid w:val="7A890372"/>
    <w:rsid w:val="7A8A3EB9"/>
    <w:rsid w:val="7A8D3EE5"/>
    <w:rsid w:val="7A923E9A"/>
    <w:rsid w:val="7A9279F6"/>
    <w:rsid w:val="7A946624"/>
    <w:rsid w:val="7A965D40"/>
    <w:rsid w:val="7A990D85"/>
    <w:rsid w:val="7A9B2D4F"/>
    <w:rsid w:val="7A9E53BF"/>
    <w:rsid w:val="7A9F32A4"/>
    <w:rsid w:val="7AA339B1"/>
    <w:rsid w:val="7AA50F4D"/>
    <w:rsid w:val="7AA7237E"/>
    <w:rsid w:val="7AA878B8"/>
    <w:rsid w:val="7AA92902"/>
    <w:rsid w:val="7AAF665C"/>
    <w:rsid w:val="7AB20098"/>
    <w:rsid w:val="7AB219F9"/>
    <w:rsid w:val="7AB23BF5"/>
    <w:rsid w:val="7AB24735"/>
    <w:rsid w:val="7AB564A9"/>
    <w:rsid w:val="7AB756AF"/>
    <w:rsid w:val="7AB81A24"/>
    <w:rsid w:val="7ABA3647"/>
    <w:rsid w:val="7ABC2242"/>
    <w:rsid w:val="7ABC4A73"/>
    <w:rsid w:val="7AC027B5"/>
    <w:rsid w:val="7AC20292"/>
    <w:rsid w:val="7AC322A6"/>
    <w:rsid w:val="7AC55567"/>
    <w:rsid w:val="7AC7009C"/>
    <w:rsid w:val="7ACA2089"/>
    <w:rsid w:val="7ACC1A47"/>
    <w:rsid w:val="7ACD1873"/>
    <w:rsid w:val="7ACF47A6"/>
    <w:rsid w:val="7AD11083"/>
    <w:rsid w:val="7AD46261"/>
    <w:rsid w:val="7AD87333"/>
    <w:rsid w:val="7ADB75EF"/>
    <w:rsid w:val="7ADE2810"/>
    <w:rsid w:val="7AE71E06"/>
    <w:rsid w:val="7AE9650D"/>
    <w:rsid w:val="7AEA15E0"/>
    <w:rsid w:val="7AEA6C1B"/>
    <w:rsid w:val="7AEC4F31"/>
    <w:rsid w:val="7AED7521"/>
    <w:rsid w:val="7AEF6BF7"/>
    <w:rsid w:val="7AF04E49"/>
    <w:rsid w:val="7AF6463E"/>
    <w:rsid w:val="7AF661D7"/>
    <w:rsid w:val="7AFA0536"/>
    <w:rsid w:val="7AFC290B"/>
    <w:rsid w:val="7B046B46"/>
    <w:rsid w:val="7B081276"/>
    <w:rsid w:val="7B090716"/>
    <w:rsid w:val="7B0A3FC4"/>
    <w:rsid w:val="7B0F54EB"/>
    <w:rsid w:val="7B135D9A"/>
    <w:rsid w:val="7B137904"/>
    <w:rsid w:val="7B15171A"/>
    <w:rsid w:val="7B1520C0"/>
    <w:rsid w:val="7B1623D5"/>
    <w:rsid w:val="7B1C7966"/>
    <w:rsid w:val="7B1D19B6"/>
    <w:rsid w:val="7B1F572E"/>
    <w:rsid w:val="7B1F7F21"/>
    <w:rsid w:val="7B234AF2"/>
    <w:rsid w:val="7B2678E9"/>
    <w:rsid w:val="7B2833D7"/>
    <w:rsid w:val="7B2E1F18"/>
    <w:rsid w:val="7B2F3497"/>
    <w:rsid w:val="7B324429"/>
    <w:rsid w:val="7B357CEB"/>
    <w:rsid w:val="7B38234C"/>
    <w:rsid w:val="7B3F7B7E"/>
    <w:rsid w:val="7B422E9E"/>
    <w:rsid w:val="7B424F78"/>
    <w:rsid w:val="7B425F88"/>
    <w:rsid w:val="7B42766E"/>
    <w:rsid w:val="7B430CF1"/>
    <w:rsid w:val="7B436926"/>
    <w:rsid w:val="7B4707E1"/>
    <w:rsid w:val="7B476A33"/>
    <w:rsid w:val="7B4909FD"/>
    <w:rsid w:val="7B4E7DC1"/>
    <w:rsid w:val="7B4F1153"/>
    <w:rsid w:val="7B4F248C"/>
    <w:rsid w:val="7B503B39"/>
    <w:rsid w:val="7B512D3B"/>
    <w:rsid w:val="7B566455"/>
    <w:rsid w:val="7B580C40"/>
    <w:rsid w:val="7B5E4B73"/>
    <w:rsid w:val="7B5F3D7C"/>
    <w:rsid w:val="7B6522AB"/>
    <w:rsid w:val="7B65510B"/>
    <w:rsid w:val="7B690757"/>
    <w:rsid w:val="7B6C0247"/>
    <w:rsid w:val="7B6E0463"/>
    <w:rsid w:val="7B6F1AE6"/>
    <w:rsid w:val="7B716A8E"/>
    <w:rsid w:val="7B724302"/>
    <w:rsid w:val="7B7610C6"/>
    <w:rsid w:val="7B78626D"/>
    <w:rsid w:val="7B7A2964"/>
    <w:rsid w:val="7B7C0170"/>
    <w:rsid w:val="7B7D06A6"/>
    <w:rsid w:val="7B821819"/>
    <w:rsid w:val="7B881928"/>
    <w:rsid w:val="7B890243"/>
    <w:rsid w:val="7B8B2DC3"/>
    <w:rsid w:val="7B8C2698"/>
    <w:rsid w:val="7B917CAE"/>
    <w:rsid w:val="7B923A26"/>
    <w:rsid w:val="7B95154C"/>
    <w:rsid w:val="7B9F3C35"/>
    <w:rsid w:val="7BA14395"/>
    <w:rsid w:val="7BA2164F"/>
    <w:rsid w:val="7BA21EBB"/>
    <w:rsid w:val="7BA43E85"/>
    <w:rsid w:val="7BA479E1"/>
    <w:rsid w:val="7BA52B1A"/>
    <w:rsid w:val="7BA71385"/>
    <w:rsid w:val="7BA774D1"/>
    <w:rsid w:val="7BA9149B"/>
    <w:rsid w:val="7BAB0D70"/>
    <w:rsid w:val="7BB0282A"/>
    <w:rsid w:val="7BB045D8"/>
    <w:rsid w:val="7BB57E40"/>
    <w:rsid w:val="7BB668F4"/>
    <w:rsid w:val="7BB67C52"/>
    <w:rsid w:val="7BB811E4"/>
    <w:rsid w:val="7BB86609"/>
    <w:rsid w:val="7BB87930"/>
    <w:rsid w:val="7BBC1DFF"/>
    <w:rsid w:val="7BC168A4"/>
    <w:rsid w:val="7BC232E2"/>
    <w:rsid w:val="7BC3148B"/>
    <w:rsid w:val="7BC41E31"/>
    <w:rsid w:val="7BC77B74"/>
    <w:rsid w:val="7BCC50F8"/>
    <w:rsid w:val="7BD007D6"/>
    <w:rsid w:val="7BD12528"/>
    <w:rsid w:val="7BD15117"/>
    <w:rsid w:val="7BD27334"/>
    <w:rsid w:val="7BD32380"/>
    <w:rsid w:val="7BD340B3"/>
    <w:rsid w:val="7BD47EB4"/>
    <w:rsid w:val="7BD94479"/>
    <w:rsid w:val="7BDA78A7"/>
    <w:rsid w:val="7BDC0B0E"/>
    <w:rsid w:val="7BDF6C6B"/>
    <w:rsid w:val="7BE10C35"/>
    <w:rsid w:val="7BE60B36"/>
    <w:rsid w:val="7BE6624C"/>
    <w:rsid w:val="7BE75B20"/>
    <w:rsid w:val="7BEA2403"/>
    <w:rsid w:val="7BEB1AB4"/>
    <w:rsid w:val="7BEC7562"/>
    <w:rsid w:val="7BF00E78"/>
    <w:rsid w:val="7BF02C26"/>
    <w:rsid w:val="7BF1074D"/>
    <w:rsid w:val="7BF30969"/>
    <w:rsid w:val="7BF5023D"/>
    <w:rsid w:val="7BF81ADB"/>
    <w:rsid w:val="7C016BE2"/>
    <w:rsid w:val="7C044924"/>
    <w:rsid w:val="7C0868D0"/>
    <w:rsid w:val="7C097B61"/>
    <w:rsid w:val="7C0D19E3"/>
    <w:rsid w:val="7C107B4C"/>
    <w:rsid w:val="7C1511CA"/>
    <w:rsid w:val="7C156B31"/>
    <w:rsid w:val="7C183F2B"/>
    <w:rsid w:val="7C1903CF"/>
    <w:rsid w:val="7C1B48DE"/>
    <w:rsid w:val="7C1E59E5"/>
    <w:rsid w:val="7C1F175E"/>
    <w:rsid w:val="7C213B22"/>
    <w:rsid w:val="7C25286A"/>
    <w:rsid w:val="7C26489A"/>
    <w:rsid w:val="7C2D5C29"/>
    <w:rsid w:val="7C306AB2"/>
    <w:rsid w:val="7C316837"/>
    <w:rsid w:val="7C382CE9"/>
    <w:rsid w:val="7C3C2310"/>
    <w:rsid w:val="7C3F770A"/>
    <w:rsid w:val="7C405184"/>
    <w:rsid w:val="7C4B417B"/>
    <w:rsid w:val="7C4C618D"/>
    <w:rsid w:val="7C52568F"/>
    <w:rsid w:val="7C5530C2"/>
    <w:rsid w:val="7C5C4760"/>
    <w:rsid w:val="7C5D297D"/>
    <w:rsid w:val="7C604753"/>
    <w:rsid w:val="7C613B24"/>
    <w:rsid w:val="7C63789C"/>
    <w:rsid w:val="7C647170"/>
    <w:rsid w:val="7C686623"/>
    <w:rsid w:val="7C691A96"/>
    <w:rsid w:val="7C6A0195"/>
    <w:rsid w:val="7C725D31"/>
    <w:rsid w:val="7C727ADF"/>
    <w:rsid w:val="7C745605"/>
    <w:rsid w:val="7C75756D"/>
    <w:rsid w:val="7C7C270C"/>
    <w:rsid w:val="7C805B2C"/>
    <w:rsid w:val="7C8617DD"/>
    <w:rsid w:val="7C882E5F"/>
    <w:rsid w:val="7C8D2B6B"/>
    <w:rsid w:val="7C8D66C7"/>
    <w:rsid w:val="7C9061B7"/>
    <w:rsid w:val="7C91652D"/>
    <w:rsid w:val="7C923CDE"/>
    <w:rsid w:val="7C961804"/>
    <w:rsid w:val="7C961A20"/>
    <w:rsid w:val="7C975798"/>
    <w:rsid w:val="7C981D12"/>
    <w:rsid w:val="7C9C4B5C"/>
    <w:rsid w:val="7CA0289E"/>
    <w:rsid w:val="7CA0464C"/>
    <w:rsid w:val="7CA13F21"/>
    <w:rsid w:val="7CA85D25"/>
    <w:rsid w:val="7CAB4D9F"/>
    <w:rsid w:val="7CB11429"/>
    <w:rsid w:val="7CB71996"/>
    <w:rsid w:val="7CB969EA"/>
    <w:rsid w:val="7CBB1486"/>
    <w:rsid w:val="7CBC51FE"/>
    <w:rsid w:val="7CBE03EA"/>
    <w:rsid w:val="7CBE1A00"/>
    <w:rsid w:val="7CC145C3"/>
    <w:rsid w:val="7CC809C8"/>
    <w:rsid w:val="7CCB4BA1"/>
    <w:rsid w:val="7CCD11BA"/>
    <w:rsid w:val="7CCD537C"/>
    <w:rsid w:val="7CCF0A8E"/>
    <w:rsid w:val="7CCF78AB"/>
    <w:rsid w:val="7CD30DCF"/>
    <w:rsid w:val="7CD51E1C"/>
    <w:rsid w:val="7CD82038"/>
    <w:rsid w:val="7CDD3FD3"/>
    <w:rsid w:val="7CE54755"/>
    <w:rsid w:val="7CE57515"/>
    <w:rsid w:val="7CE840C9"/>
    <w:rsid w:val="7CE87DA1"/>
    <w:rsid w:val="7CEB31AD"/>
    <w:rsid w:val="7CF54075"/>
    <w:rsid w:val="7CF76237"/>
    <w:rsid w:val="7CF95B0B"/>
    <w:rsid w:val="7CFD1E2E"/>
    <w:rsid w:val="7CFD6611"/>
    <w:rsid w:val="7D000B0A"/>
    <w:rsid w:val="7D040E7C"/>
    <w:rsid w:val="7D055652"/>
    <w:rsid w:val="7D0A41BC"/>
    <w:rsid w:val="7D0A5F6A"/>
    <w:rsid w:val="7D0A74F5"/>
    <w:rsid w:val="7D0A7D18"/>
    <w:rsid w:val="7D0C2494"/>
    <w:rsid w:val="7D0D15B6"/>
    <w:rsid w:val="7D0D7808"/>
    <w:rsid w:val="7D0E4A50"/>
    <w:rsid w:val="7D126BCC"/>
    <w:rsid w:val="7D133473"/>
    <w:rsid w:val="7D160F4B"/>
    <w:rsid w:val="7D16490F"/>
    <w:rsid w:val="7D17610A"/>
    <w:rsid w:val="7D1B0177"/>
    <w:rsid w:val="7D1B064F"/>
    <w:rsid w:val="7D1D30D6"/>
    <w:rsid w:val="7D1F08A1"/>
    <w:rsid w:val="7D1F7C67"/>
    <w:rsid w:val="7D2232B3"/>
    <w:rsid w:val="7D243F63"/>
    <w:rsid w:val="7D2F59D0"/>
    <w:rsid w:val="7D381673"/>
    <w:rsid w:val="7D3B77E8"/>
    <w:rsid w:val="7D3D00ED"/>
    <w:rsid w:val="7D417BC2"/>
    <w:rsid w:val="7D4278A5"/>
    <w:rsid w:val="7D4408F3"/>
    <w:rsid w:val="7D45616A"/>
    <w:rsid w:val="7D464AE5"/>
    <w:rsid w:val="7D474AC8"/>
    <w:rsid w:val="7D4A0A5C"/>
    <w:rsid w:val="7D4A45B8"/>
    <w:rsid w:val="7D4C0330"/>
    <w:rsid w:val="7D4F6073"/>
    <w:rsid w:val="7D500572"/>
    <w:rsid w:val="7D551D5F"/>
    <w:rsid w:val="7D555E34"/>
    <w:rsid w:val="7D567A86"/>
    <w:rsid w:val="7D5740E3"/>
    <w:rsid w:val="7D5764FE"/>
    <w:rsid w:val="7D5E1E12"/>
    <w:rsid w:val="7D6343F9"/>
    <w:rsid w:val="7D637428"/>
    <w:rsid w:val="7D640789"/>
    <w:rsid w:val="7D667EF0"/>
    <w:rsid w:val="7D6853B2"/>
    <w:rsid w:val="7D690EE2"/>
    <w:rsid w:val="7D697134"/>
    <w:rsid w:val="7D6E474B"/>
    <w:rsid w:val="7D6F13AB"/>
    <w:rsid w:val="7D6F2271"/>
    <w:rsid w:val="7D6F401F"/>
    <w:rsid w:val="7D7004C3"/>
    <w:rsid w:val="7D7064FE"/>
    <w:rsid w:val="7D711B45"/>
    <w:rsid w:val="7D741635"/>
    <w:rsid w:val="7D781125"/>
    <w:rsid w:val="7D7D498E"/>
    <w:rsid w:val="7D82243A"/>
    <w:rsid w:val="7D847ACA"/>
    <w:rsid w:val="7D853842"/>
    <w:rsid w:val="7D8775BA"/>
    <w:rsid w:val="7D8850B7"/>
    <w:rsid w:val="7D892F42"/>
    <w:rsid w:val="7D893333"/>
    <w:rsid w:val="7D896EB3"/>
    <w:rsid w:val="7D8C2E23"/>
    <w:rsid w:val="7D8D13ED"/>
    <w:rsid w:val="7D8E0949"/>
    <w:rsid w:val="7D8F5B68"/>
    <w:rsid w:val="7D9046C1"/>
    <w:rsid w:val="7D9056B7"/>
    <w:rsid w:val="7D913F95"/>
    <w:rsid w:val="7D921908"/>
    <w:rsid w:val="7D9341B1"/>
    <w:rsid w:val="7D943A85"/>
    <w:rsid w:val="7D964996"/>
    <w:rsid w:val="7D9817C8"/>
    <w:rsid w:val="7D9E0601"/>
    <w:rsid w:val="7D9E35B6"/>
    <w:rsid w:val="7DA22646"/>
    <w:rsid w:val="7DA243F4"/>
    <w:rsid w:val="7DA261A2"/>
    <w:rsid w:val="7DA63EE4"/>
    <w:rsid w:val="7DAC5273"/>
    <w:rsid w:val="7DB163E5"/>
    <w:rsid w:val="7DBA3CA6"/>
    <w:rsid w:val="7DBD6FA3"/>
    <w:rsid w:val="7DBF0B02"/>
    <w:rsid w:val="7DBF6D54"/>
    <w:rsid w:val="7DC26844"/>
    <w:rsid w:val="7DC65FAE"/>
    <w:rsid w:val="7DC81DD0"/>
    <w:rsid w:val="7DC97BD3"/>
    <w:rsid w:val="7DCB4A28"/>
    <w:rsid w:val="7DCB675C"/>
    <w:rsid w:val="7DCE51E9"/>
    <w:rsid w:val="7DD32800"/>
    <w:rsid w:val="7DD50326"/>
    <w:rsid w:val="7DD65E4C"/>
    <w:rsid w:val="7DD730B0"/>
    <w:rsid w:val="7DD95881"/>
    <w:rsid w:val="7DDA1DE0"/>
    <w:rsid w:val="7DDB39E7"/>
    <w:rsid w:val="7DDD542C"/>
    <w:rsid w:val="7DDF73F6"/>
    <w:rsid w:val="7DE06CCB"/>
    <w:rsid w:val="7DE762AB"/>
    <w:rsid w:val="7DE844FD"/>
    <w:rsid w:val="7DE85A60"/>
    <w:rsid w:val="7DE927A5"/>
    <w:rsid w:val="7DEC3DB3"/>
    <w:rsid w:val="7DEC566F"/>
    <w:rsid w:val="7DED1B13"/>
    <w:rsid w:val="7DEE13E8"/>
    <w:rsid w:val="7DF12C86"/>
    <w:rsid w:val="7DF1701B"/>
    <w:rsid w:val="7DF22A5C"/>
    <w:rsid w:val="7DF47D52"/>
    <w:rsid w:val="7DF6029C"/>
    <w:rsid w:val="7DFC0C1A"/>
    <w:rsid w:val="7DFF5F32"/>
    <w:rsid w:val="7E0522D0"/>
    <w:rsid w:val="7E0C7AC0"/>
    <w:rsid w:val="7E12157A"/>
    <w:rsid w:val="7E1846B6"/>
    <w:rsid w:val="7E1A21DD"/>
    <w:rsid w:val="7E1E7F1F"/>
    <w:rsid w:val="7E27263C"/>
    <w:rsid w:val="7E301A00"/>
    <w:rsid w:val="7E307C52"/>
    <w:rsid w:val="7E327526"/>
    <w:rsid w:val="7E3420E2"/>
    <w:rsid w:val="7E355268"/>
    <w:rsid w:val="7E357016"/>
    <w:rsid w:val="7E3C60AD"/>
    <w:rsid w:val="7E407B75"/>
    <w:rsid w:val="7E410A4A"/>
    <w:rsid w:val="7E4169A2"/>
    <w:rsid w:val="7E4436FD"/>
    <w:rsid w:val="7E490D14"/>
    <w:rsid w:val="7E4A7074"/>
    <w:rsid w:val="7E4D25B2"/>
    <w:rsid w:val="7E505BFE"/>
    <w:rsid w:val="7E5576B9"/>
    <w:rsid w:val="7E577880"/>
    <w:rsid w:val="7E5A082B"/>
    <w:rsid w:val="7E5C016A"/>
    <w:rsid w:val="7E5C0A47"/>
    <w:rsid w:val="7E5F5E41"/>
    <w:rsid w:val="7E600DA5"/>
    <w:rsid w:val="7E61605D"/>
    <w:rsid w:val="7E62154E"/>
    <w:rsid w:val="7E622385"/>
    <w:rsid w:val="7E635932"/>
    <w:rsid w:val="7E655B4E"/>
    <w:rsid w:val="7E693BC1"/>
    <w:rsid w:val="7E6B47E6"/>
    <w:rsid w:val="7E6B6EDC"/>
    <w:rsid w:val="7E6D67B0"/>
    <w:rsid w:val="7E6E05F5"/>
    <w:rsid w:val="7E6F669E"/>
    <w:rsid w:val="7E723DC7"/>
    <w:rsid w:val="7E724332"/>
    <w:rsid w:val="7E751E9B"/>
    <w:rsid w:val="7E76574C"/>
    <w:rsid w:val="7E7D7915"/>
    <w:rsid w:val="7E834226"/>
    <w:rsid w:val="7E850941"/>
    <w:rsid w:val="7E863124"/>
    <w:rsid w:val="7E867F8B"/>
    <w:rsid w:val="7E891395"/>
    <w:rsid w:val="7E89487A"/>
    <w:rsid w:val="7E8B4E88"/>
    <w:rsid w:val="7E8F4979"/>
    <w:rsid w:val="7E9D7975"/>
    <w:rsid w:val="7EA128FE"/>
    <w:rsid w:val="7EAA0F27"/>
    <w:rsid w:val="7EB048EF"/>
    <w:rsid w:val="7EB12BA5"/>
    <w:rsid w:val="7EB4618D"/>
    <w:rsid w:val="7EB57FB8"/>
    <w:rsid w:val="7EB75C7D"/>
    <w:rsid w:val="7EB77390"/>
    <w:rsid w:val="7EB92320"/>
    <w:rsid w:val="7EBC14E6"/>
    <w:rsid w:val="7EBD1E63"/>
    <w:rsid w:val="7EBE0DBA"/>
    <w:rsid w:val="7EC00FD6"/>
    <w:rsid w:val="7EC02D84"/>
    <w:rsid w:val="7EC24105"/>
    <w:rsid w:val="7EC42148"/>
    <w:rsid w:val="7ECA3C03"/>
    <w:rsid w:val="7ED44A81"/>
    <w:rsid w:val="7EDE7842"/>
    <w:rsid w:val="7EDF5174"/>
    <w:rsid w:val="7EE051D4"/>
    <w:rsid w:val="7EE50A3C"/>
    <w:rsid w:val="7EE822DB"/>
    <w:rsid w:val="7EEE6ED6"/>
    <w:rsid w:val="7EEF6E43"/>
    <w:rsid w:val="7EF21766"/>
    <w:rsid w:val="7EF611D4"/>
    <w:rsid w:val="7EF75370"/>
    <w:rsid w:val="7EF938C0"/>
    <w:rsid w:val="7EFC5D37"/>
    <w:rsid w:val="7EFC5E66"/>
    <w:rsid w:val="7F007624"/>
    <w:rsid w:val="7F08297D"/>
    <w:rsid w:val="7F084AA3"/>
    <w:rsid w:val="7F0A3FFF"/>
    <w:rsid w:val="7F0D1D41"/>
    <w:rsid w:val="7F0D3AEF"/>
    <w:rsid w:val="7F0D7F93"/>
    <w:rsid w:val="7F0E7B2D"/>
    <w:rsid w:val="7F136DEC"/>
    <w:rsid w:val="7F191A15"/>
    <w:rsid w:val="7F1B445E"/>
    <w:rsid w:val="7F1B620C"/>
    <w:rsid w:val="7F1B7FBA"/>
    <w:rsid w:val="7F1E5CFC"/>
    <w:rsid w:val="7F2262A6"/>
    <w:rsid w:val="7F25708B"/>
    <w:rsid w:val="7F272E03"/>
    <w:rsid w:val="7F2B3FEF"/>
    <w:rsid w:val="7F2C7BF1"/>
    <w:rsid w:val="7F2D4191"/>
    <w:rsid w:val="7F2E23E3"/>
    <w:rsid w:val="7F313C82"/>
    <w:rsid w:val="7F361298"/>
    <w:rsid w:val="7F383855"/>
    <w:rsid w:val="7F3A764D"/>
    <w:rsid w:val="7F3B68AE"/>
    <w:rsid w:val="7F3C0728"/>
    <w:rsid w:val="7F3C34A5"/>
    <w:rsid w:val="7F401C7A"/>
    <w:rsid w:val="7F413799"/>
    <w:rsid w:val="7F46753F"/>
    <w:rsid w:val="7F480FCB"/>
    <w:rsid w:val="7F4A6AF1"/>
    <w:rsid w:val="7F535190"/>
    <w:rsid w:val="7F54171E"/>
    <w:rsid w:val="7F565496"/>
    <w:rsid w:val="7F587F4E"/>
    <w:rsid w:val="7F592E8B"/>
    <w:rsid w:val="7F604954"/>
    <w:rsid w:val="7F623E3B"/>
    <w:rsid w:val="7F6406A7"/>
    <w:rsid w:val="7F673200"/>
    <w:rsid w:val="7F6C2F0C"/>
    <w:rsid w:val="7F6C2FC6"/>
    <w:rsid w:val="7F6D27E0"/>
    <w:rsid w:val="7F737DF6"/>
    <w:rsid w:val="7F775DA9"/>
    <w:rsid w:val="7F8177A4"/>
    <w:rsid w:val="7F822F9D"/>
    <w:rsid w:val="7F8479E4"/>
    <w:rsid w:val="7F871AF4"/>
    <w:rsid w:val="7F8A71CC"/>
    <w:rsid w:val="7F8E1CB6"/>
    <w:rsid w:val="7F8E6B9E"/>
    <w:rsid w:val="7F983D01"/>
    <w:rsid w:val="7F9A432B"/>
    <w:rsid w:val="7F9B559F"/>
    <w:rsid w:val="7F9D1317"/>
    <w:rsid w:val="7F9D30C5"/>
    <w:rsid w:val="7F9E0BEB"/>
    <w:rsid w:val="7FA51744"/>
    <w:rsid w:val="7FA5731B"/>
    <w:rsid w:val="7FA75CF2"/>
    <w:rsid w:val="7FBC5F9D"/>
    <w:rsid w:val="7FBE4DEA"/>
    <w:rsid w:val="7FC02FA8"/>
    <w:rsid w:val="7FC05006"/>
    <w:rsid w:val="7FC20D7E"/>
    <w:rsid w:val="7FC70142"/>
    <w:rsid w:val="7FCF47DB"/>
    <w:rsid w:val="7FD15A02"/>
    <w:rsid w:val="7FD63921"/>
    <w:rsid w:val="7FD92575"/>
    <w:rsid w:val="7FDA7E75"/>
    <w:rsid w:val="7FDD1714"/>
    <w:rsid w:val="7FDE792C"/>
    <w:rsid w:val="7FDF723A"/>
    <w:rsid w:val="7FE54676"/>
    <w:rsid w:val="7FE74340"/>
    <w:rsid w:val="7FE9455C"/>
    <w:rsid w:val="7FE9630A"/>
    <w:rsid w:val="7FEE3D87"/>
    <w:rsid w:val="7FF01D29"/>
    <w:rsid w:val="7FF058EB"/>
    <w:rsid w:val="7FF07699"/>
    <w:rsid w:val="7FF30F37"/>
    <w:rsid w:val="7FF4427A"/>
    <w:rsid w:val="7FF54CAF"/>
    <w:rsid w:val="7FF8479F"/>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pPr>
    <w:rPr>
      <w:rFonts w:ascii="Times New Roman" w:hAnsi="Times New Roman" w:eastAsia="宋体" w:cs="Times New Roman"/>
      <w:kern w:val="2"/>
      <w:sz w:val="28"/>
      <w:szCs w:val="24"/>
      <w:lang w:val="en-US" w:eastAsia="zh-CN" w:bidi="ar-SA"/>
    </w:rPr>
  </w:style>
  <w:style w:type="paragraph" w:styleId="3">
    <w:name w:val="heading 1"/>
    <w:basedOn w:val="1"/>
    <w:next w:val="1"/>
    <w:link w:val="149"/>
    <w:qFormat/>
    <w:uiPriority w:val="0"/>
    <w:pPr>
      <w:adjustRightInd w:val="0"/>
      <w:snapToGrid w:val="0"/>
      <w:spacing w:line="240" w:lineRule="auto"/>
      <w:ind w:firstLine="0" w:firstLineChars="0"/>
      <w:jc w:val="center"/>
      <w:outlineLvl w:val="0"/>
    </w:pPr>
    <w:rPr>
      <w:rFonts w:hint="eastAsia"/>
      <w:b/>
      <w:bCs/>
      <w:kern w:val="44"/>
      <w:sz w:val="36"/>
      <w:szCs w:val="48"/>
    </w:rPr>
  </w:style>
  <w:style w:type="paragraph" w:styleId="4">
    <w:name w:val="heading 2"/>
    <w:basedOn w:val="1"/>
    <w:next w:val="1"/>
    <w:link w:val="53"/>
    <w:qFormat/>
    <w:uiPriority w:val="0"/>
    <w:pPr>
      <w:adjustRightInd w:val="0"/>
      <w:snapToGrid w:val="0"/>
      <w:spacing w:before="100" w:beforeLines="100" w:after="50" w:afterLines="50" w:line="240" w:lineRule="auto"/>
      <w:ind w:firstLine="0" w:firstLineChars="0"/>
      <w:outlineLvl w:val="1"/>
    </w:pPr>
    <w:rPr>
      <w:b/>
      <w:smallCaps/>
      <w:kern w:val="0"/>
      <w:sz w:val="30"/>
      <w:szCs w:val="20"/>
    </w:rPr>
  </w:style>
  <w:style w:type="paragraph" w:styleId="5">
    <w:name w:val="heading 3"/>
    <w:basedOn w:val="1"/>
    <w:next w:val="1"/>
    <w:link w:val="54"/>
    <w:qFormat/>
    <w:uiPriority w:val="0"/>
    <w:pPr>
      <w:keepNext/>
      <w:keepLines/>
      <w:spacing w:beforeAutospacing="1" w:after="50" w:afterLines="50" w:line="240" w:lineRule="auto"/>
      <w:ind w:firstLine="0" w:firstLineChars="0"/>
      <w:outlineLvl w:val="2"/>
    </w:pPr>
    <w:rPr>
      <w:b/>
      <w:bCs/>
      <w:snapToGrid w:val="0"/>
      <w:szCs w:val="32"/>
    </w:rPr>
  </w:style>
  <w:style w:type="paragraph" w:styleId="6">
    <w:name w:val="heading 4"/>
    <w:basedOn w:val="1"/>
    <w:next w:val="1"/>
    <w:link w:val="55"/>
    <w:qFormat/>
    <w:uiPriority w:val="0"/>
    <w:pPr>
      <w:adjustRightInd w:val="0"/>
      <w:snapToGrid w:val="0"/>
      <w:spacing w:before="50" w:beforeLines="50" w:after="50" w:afterLines="50" w:line="240" w:lineRule="auto"/>
      <w:ind w:firstLine="0" w:firstLineChars="0"/>
      <w:outlineLvl w:val="3"/>
    </w:pPr>
    <w:rPr>
      <w:b/>
      <w:kern w:val="0"/>
      <w:szCs w:val="20"/>
    </w:rPr>
  </w:style>
  <w:style w:type="paragraph" w:styleId="7">
    <w:name w:val="heading 5"/>
    <w:basedOn w:val="1"/>
    <w:link w:val="150"/>
    <w:qFormat/>
    <w:uiPriority w:val="0"/>
    <w:pPr>
      <w:keepNext/>
      <w:keepLines/>
      <w:tabs>
        <w:tab w:val="left" w:pos="3827"/>
      </w:tabs>
      <w:spacing w:before="280" w:after="290" w:line="372" w:lineRule="auto"/>
      <w:ind w:left="3402"/>
      <w:outlineLvl w:val="4"/>
    </w:pPr>
    <w:rPr>
      <w:b/>
      <w:szCs w:val="20"/>
    </w:rPr>
  </w:style>
  <w:style w:type="paragraph" w:styleId="8">
    <w:name w:val="heading 6"/>
    <w:basedOn w:val="1"/>
    <w:link w:val="151"/>
    <w:qFormat/>
    <w:uiPriority w:val="0"/>
    <w:pPr>
      <w:keepNext/>
      <w:keepLines/>
      <w:tabs>
        <w:tab w:val="left" w:pos="4677"/>
      </w:tabs>
      <w:spacing w:before="240" w:after="64" w:line="317" w:lineRule="auto"/>
      <w:ind w:left="4252"/>
      <w:outlineLvl w:val="5"/>
    </w:pPr>
    <w:rPr>
      <w:rFonts w:ascii="Arial" w:hAnsi="Arial" w:eastAsia="黑体"/>
      <w:b/>
      <w:sz w:val="24"/>
      <w:szCs w:val="20"/>
    </w:rPr>
  </w:style>
  <w:style w:type="paragraph" w:styleId="9">
    <w:name w:val="heading 7"/>
    <w:basedOn w:val="1"/>
    <w:link w:val="152"/>
    <w:qFormat/>
    <w:uiPriority w:val="0"/>
    <w:pPr>
      <w:keepNext/>
      <w:keepLines/>
      <w:tabs>
        <w:tab w:val="left" w:pos="5528"/>
      </w:tabs>
      <w:spacing w:before="240" w:after="64" w:line="317" w:lineRule="auto"/>
      <w:ind w:left="5102"/>
      <w:outlineLvl w:val="6"/>
    </w:pPr>
    <w:rPr>
      <w:b/>
      <w:sz w:val="24"/>
      <w:szCs w:val="20"/>
    </w:rPr>
  </w:style>
  <w:style w:type="paragraph" w:styleId="10">
    <w:name w:val="heading 8"/>
    <w:basedOn w:val="1"/>
    <w:link w:val="153"/>
    <w:qFormat/>
    <w:uiPriority w:val="0"/>
    <w:pPr>
      <w:keepNext/>
      <w:keepLines/>
      <w:tabs>
        <w:tab w:val="left" w:pos="6378"/>
      </w:tabs>
      <w:spacing w:before="240" w:after="64" w:line="317" w:lineRule="auto"/>
      <w:ind w:left="5953"/>
      <w:outlineLvl w:val="7"/>
    </w:pPr>
    <w:rPr>
      <w:rFonts w:ascii="Arial" w:hAnsi="Arial" w:eastAsia="黑体"/>
      <w:sz w:val="24"/>
      <w:szCs w:val="20"/>
    </w:rPr>
  </w:style>
  <w:style w:type="paragraph" w:styleId="11">
    <w:name w:val="heading 9"/>
    <w:basedOn w:val="1"/>
    <w:link w:val="154"/>
    <w:qFormat/>
    <w:uiPriority w:val="0"/>
    <w:pPr>
      <w:keepNext/>
      <w:keepLines/>
      <w:tabs>
        <w:tab w:val="left" w:pos="7228"/>
      </w:tabs>
      <w:spacing w:before="240" w:after="64" w:line="317" w:lineRule="auto"/>
      <w:ind w:left="6803"/>
      <w:outlineLvl w:val="8"/>
    </w:pPr>
    <w:rPr>
      <w:rFonts w:ascii="Arial" w:hAnsi="Arial" w:eastAsia="黑体"/>
      <w:szCs w:val="20"/>
    </w:r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styleId="2">
    <w:name w:val="macro"/>
    <w:link w:val="155"/>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pPr>
  </w:style>
  <w:style w:type="paragraph" w:styleId="14">
    <w:name w:val="Normal Indent"/>
    <w:basedOn w:val="1"/>
    <w:qFormat/>
    <w:uiPriority w:val="0"/>
    <w:pPr>
      <w:ind w:firstLine="420"/>
    </w:pPr>
  </w:style>
  <w:style w:type="paragraph" w:styleId="15">
    <w:name w:val="caption"/>
    <w:basedOn w:val="1"/>
    <w:next w:val="1"/>
    <w:qFormat/>
    <w:uiPriority w:val="0"/>
  </w:style>
  <w:style w:type="paragraph" w:styleId="16">
    <w:name w:val="Document Map"/>
    <w:basedOn w:val="1"/>
    <w:link w:val="156"/>
    <w:qFormat/>
    <w:uiPriority w:val="0"/>
    <w:pPr>
      <w:shd w:val="clear" w:color="auto" w:fill="000080"/>
    </w:pPr>
  </w:style>
  <w:style w:type="paragraph" w:styleId="17">
    <w:name w:val="annotation text"/>
    <w:basedOn w:val="1"/>
    <w:link w:val="157"/>
    <w:qFormat/>
    <w:uiPriority w:val="0"/>
  </w:style>
  <w:style w:type="paragraph" w:styleId="18">
    <w:name w:val="Body Text"/>
    <w:basedOn w:val="1"/>
    <w:link w:val="158"/>
    <w:unhideWhenUsed/>
    <w:qFormat/>
    <w:uiPriority w:val="99"/>
    <w:pPr>
      <w:spacing w:after="120"/>
    </w:pPr>
  </w:style>
  <w:style w:type="paragraph" w:styleId="19">
    <w:name w:val="Body Text Indent"/>
    <w:basedOn w:val="1"/>
    <w:link w:val="139"/>
    <w:qFormat/>
    <w:uiPriority w:val="0"/>
    <w:pPr>
      <w:spacing w:after="120"/>
      <w:ind w:left="420" w:leftChars="200"/>
    </w:pPr>
  </w:style>
  <w:style w:type="paragraph" w:styleId="20">
    <w:name w:val="List Bullet 2"/>
    <w:basedOn w:val="1"/>
    <w:qFormat/>
    <w:uiPriority w:val="0"/>
    <w:pPr>
      <w:spacing w:line="500" w:lineRule="atLeast"/>
      <w:jc w:val="center"/>
    </w:pPr>
    <w:rPr>
      <w:snapToGrid w:val="0"/>
      <w:color w:val="000000"/>
      <w:kern w:val="0"/>
      <w:sz w:val="24"/>
    </w:rPr>
  </w:style>
  <w:style w:type="paragraph" w:styleId="21">
    <w:name w:val="toc 5"/>
    <w:basedOn w:val="1"/>
    <w:next w:val="1"/>
    <w:qFormat/>
    <w:uiPriority w:val="39"/>
    <w:pPr>
      <w:ind w:left="1680" w:leftChars="800"/>
    </w:pPr>
  </w:style>
  <w:style w:type="paragraph" w:styleId="22">
    <w:name w:val="toc 3"/>
    <w:basedOn w:val="1"/>
    <w:next w:val="1"/>
    <w:link w:val="56"/>
    <w:qFormat/>
    <w:uiPriority w:val="39"/>
    <w:pPr>
      <w:adjustRightInd w:val="0"/>
      <w:snapToGrid w:val="0"/>
      <w:spacing w:line="500" w:lineRule="exact"/>
      <w:ind w:firstLine="0" w:firstLineChars="0"/>
      <w:jc w:val="both"/>
    </w:pPr>
    <w:rPr>
      <w:sz w:val="24"/>
    </w:rPr>
  </w:style>
  <w:style w:type="paragraph" w:styleId="23">
    <w:name w:val="Plain Text"/>
    <w:basedOn w:val="1"/>
    <w:link w:val="57"/>
    <w:qFormat/>
    <w:uiPriority w:val="0"/>
    <w:rPr>
      <w:rFonts w:ascii="宋体" w:hAnsi="Courier New"/>
      <w:szCs w:val="20"/>
    </w:rPr>
  </w:style>
  <w:style w:type="paragraph" w:styleId="24">
    <w:name w:val="toc 8"/>
    <w:basedOn w:val="1"/>
    <w:next w:val="1"/>
    <w:qFormat/>
    <w:uiPriority w:val="39"/>
    <w:pPr>
      <w:ind w:left="2940" w:leftChars="1400"/>
    </w:pPr>
  </w:style>
  <w:style w:type="paragraph" w:styleId="25">
    <w:name w:val="Date"/>
    <w:basedOn w:val="1"/>
    <w:next w:val="1"/>
    <w:link w:val="159"/>
    <w:qFormat/>
    <w:uiPriority w:val="0"/>
    <w:pPr>
      <w:ind w:left="100" w:leftChars="2500"/>
    </w:pPr>
    <w:rPr>
      <w:rFonts w:ascii="宋体" w:hAnsi="宋体"/>
      <w:b/>
      <w:bCs/>
      <w:szCs w:val="20"/>
    </w:rPr>
  </w:style>
  <w:style w:type="paragraph" w:styleId="26">
    <w:name w:val="Body Text Indent 2"/>
    <w:basedOn w:val="1"/>
    <w:link w:val="143"/>
    <w:qFormat/>
    <w:uiPriority w:val="0"/>
    <w:pPr>
      <w:spacing w:after="120" w:line="480" w:lineRule="auto"/>
      <w:ind w:left="420" w:leftChars="200"/>
    </w:pPr>
  </w:style>
  <w:style w:type="paragraph" w:styleId="27">
    <w:name w:val="Balloon Text"/>
    <w:basedOn w:val="1"/>
    <w:link w:val="160"/>
    <w:qFormat/>
    <w:uiPriority w:val="0"/>
    <w:rPr>
      <w:sz w:val="18"/>
      <w:szCs w:val="18"/>
    </w:rPr>
  </w:style>
  <w:style w:type="paragraph" w:styleId="28">
    <w:name w:val="footer"/>
    <w:basedOn w:val="1"/>
    <w:link w:val="58"/>
    <w:qFormat/>
    <w:uiPriority w:val="0"/>
    <w:pPr>
      <w:tabs>
        <w:tab w:val="center" w:pos="4153"/>
        <w:tab w:val="right" w:pos="8306"/>
      </w:tabs>
      <w:snapToGrid w:val="0"/>
      <w:ind w:firstLine="200"/>
    </w:pPr>
    <w:rPr>
      <w:sz w:val="18"/>
      <w:szCs w:val="20"/>
    </w:rPr>
  </w:style>
  <w:style w:type="paragraph" w:styleId="29">
    <w:name w:val="header"/>
    <w:basedOn w:val="1"/>
    <w:link w:val="59"/>
    <w:qFormat/>
    <w:uiPriority w:val="0"/>
    <w:pPr>
      <w:pBdr>
        <w:bottom w:val="single" w:color="auto" w:sz="6" w:space="1"/>
      </w:pBdr>
      <w:tabs>
        <w:tab w:val="center" w:pos="4153"/>
        <w:tab w:val="right" w:pos="8306"/>
      </w:tabs>
      <w:adjustRightInd w:val="0"/>
      <w:snapToGrid w:val="0"/>
      <w:spacing w:after="120"/>
      <w:ind w:firstLine="0" w:firstLineChars="0"/>
      <w:jc w:val="center"/>
    </w:pPr>
    <w:rPr>
      <w:kern w:val="0"/>
      <w:sz w:val="21"/>
      <w:szCs w:val="18"/>
    </w:rPr>
  </w:style>
  <w:style w:type="paragraph" w:styleId="30">
    <w:name w:val="toc 1"/>
    <w:basedOn w:val="1"/>
    <w:next w:val="1"/>
    <w:link w:val="60"/>
    <w:qFormat/>
    <w:uiPriority w:val="39"/>
    <w:pPr>
      <w:adjustRightInd w:val="0"/>
      <w:snapToGrid w:val="0"/>
      <w:spacing w:line="560" w:lineRule="exact"/>
    </w:pPr>
    <w:rPr>
      <w:b/>
    </w:rPr>
  </w:style>
  <w:style w:type="paragraph" w:styleId="31">
    <w:name w:val="toc 4"/>
    <w:basedOn w:val="1"/>
    <w:next w:val="1"/>
    <w:qFormat/>
    <w:uiPriority w:val="39"/>
    <w:pPr>
      <w:ind w:left="1260" w:leftChars="600"/>
    </w:pPr>
  </w:style>
  <w:style w:type="paragraph" w:styleId="32">
    <w:name w:val="Subtitle"/>
    <w:basedOn w:val="1"/>
    <w:next w:val="1"/>
    <w:link w:val="161"/>
    <w:qFormat/>
    <w:uiPriority w:val="11"/>
    <w:pPr>
      <w:spacing w:line="320" w:lineRule="exact"/>
      <w:ind w:firstLine="0" w:firstLineChars="0"/>
      <w:jc w:val="center"/>
    </w:pPr>
    <w:rPr>
      <w:bCs/>
      <w:kern w:val="28"/>
      <w:sz w:val="22"/>
      <w:szCs w:val="32"/>
    </w:rPr>
  </w:style>
  <w:style w:type="paragraph" w:styleId="33">
    <w:name w:val="List"/>
    <w:basedOn w:val="1"/>
    <w:qFormat/>
    <w:uiPriority w:val="0"/>
    <w:pPr>
      <w:jc w:val="center"/>
    </w:pPr>
    <w:rPr>
      <w:szCs w:val="21"/>
    </w:rPr>
  </w:style>
  <w:style w:type="paragraph" w:styleId="34">
    <w:name w:val="toc 6"/>
    <w:basedOn w:val="1"/>
    <w:next w:val="1"/>
    <w:link w:val="61"/>
    <w:qFormat/>
    <w:uiPriority w:val="39"/>
    <w:pPr>
      <w:ind w:left="2100" w:leftChars="1000"/>
    </w:pPr>
  </w:style>
  <w:style w:type="paragraph" w:styleId="35">
    <w:name w:val="table of figures"/>
    <w:basedOn w:val="1"/>
    <w:next w:val="1"/>
    <w:link w:val="62"/>
    <w:qFormat/>
    <w:uiPriority w:val="0"/>
    <w:pPr>
      <w:ind w:left="200" w:leftChars="200" w:hanging="200" w:hangingChars="200"/>
    </w:pPr>
  </w:style>
  <w:style w:type="paragraph" w:styleId="36">
    <w:name w:val="toc 2"/>
    <w:basedOn w:val="1"/>
    <w:next w:val="1"/>
    <w:link w:val="63"/>
    <w:qFormat/>
    <w:uiPriority w:val="39"/>
    <w:pPr>
      <w:adjustRightInd w:val="0"/>
      <w:snapToGrid w:val="0"/>
      <w:spacing w:line="560" w:lineRule="exact"/>
      <w:ind w:firstLine="320" w:firstLineChars="100"/>
    </w:pPr>
    <w:rPr>
      <w:b/>
      <w:sz w:val="24"/>
    </w:rPr>
  </w:style>
  <w:style w:type="paragraph" w:styleId="37">
    <w:name w:val="toc 9"/>
    <w:basedOn w:val="1"/>
    <w:next w:val="1"/>
    <w:qFormat/>
    <w:uiPriority w:val="39"/>
    <w:pPr>
      <w:ind w:left="3360" w:leftChars="1600"/>
    </w:pPr>
  </w:style>
  <w:style w:type="paragraph" w:styleId="38">
    <w:name w:val="HTML Preformatted"/>
    <w:basedOn w:val="1"/>
    <w:link w:val="1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Courier New" w:eastAsia="黑体" w:cs="Courier New"/>
      <w:kern w:val="0"/>
      <w:sz w:val="20"/>
      <w:szCs w:val="20"/>
    </w:rPr>
  </w:style>
  <w:style w:type="paragraph" w:styleId="39">
    <w:name w:val="Normal (Web)"/>
    <w:basedOn w:val="1"/>
    <w:qFormat/>
    <w:uiPriority w:val="99"/>
    <w:pPr>
      <w:widowControl/>
      <w:spacing w:before="100" w:beforeAutospacing="1" w:after="100" w:afterAutospacing="1"/>
    </w:pPr>
    <w:rPr>
      <w:rFonts w:ascii="Arial Unicode MS" w:hAnsi="Arial Unicode MS" w:eastAsia="Arial Unicode MS" w:cs="Arial Unicode MS"/>
      <w:color w:val="0840B1"/>
      <w:kern w:val="0"/>
      <w:sz w:val="24"/>
    </w:rPr>
  </w:style>
  <w:style w:type="paragraph" w:styleId="40">
    <w:name w:val="index 1"/>
    <w:basedOn w:val="1"/>
    <w:next w:val="1"/>
    <w:qFormat/>
    <w:uiPriority w:val="0"/>
  </w:style>
  <w:style w:type="paragraph" w:styleId="41">
    <w:name w:val="Title"/>
    <w:basedOn w:val="1"/>
    <w:next w:val="1"/>
    <w:link w:val="163"/>
    <w:qFormat/>
    <w:uiPriority w:val="0"/>
    <w:pPr>
      <w:spacing w:before="240" w:after="60"/>
      <w:jc w:val="center"/>
      <w:outlineLvl w:val="0"/>
    </w:pPr>
    <w:rPr>
      <w:rFonts w:ascii="Arial" w:hAnsi="Arial" w:eastAsia="方正小标宋简体" w:cs="Arial"/>
      <w:bCs/>
      <w:sz w:val="36"/>
      <w:szCs w:val="32"/>
    </w:rPr>
  </w:style>
  <w:style w:type="paragraph" w:styleId="42">
    <w:name w:val="annotation subject"/>
    <w:basedOn w:val="17"/>
    <w:next w:val="17"/>
    <w:link w:val="164"/>
    <w:qFormat/>
    <w:uiPriority w:val="0"/>
    <w:rPr>
      <w:b/>
      <w:bCs/>
    </w:rPr>
  </w:style>
  <w:style w:type="paragraph" w:styleId="43">
    <w:name w:val="Body Text First Indent"/>
    <w:basedOn w:val="18"/>
    <w:link w:val="165"/>
    <w:unhideWhenUsed/>
    <w:qFormat/>
    <w:uiPriority w:val="99"/>
    <w:pPr>
      <w:spacing w:line="240" w:lineRule="auto"/>
      <w:ind w:firstLine="420" w:firstLineChars="100"/>
      <w:jc w:val="both"/>
    </w:pPr>
    <w:rPr>
      <w:sz w:val="21"/>
      <w:szCs w:val="20"/>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qFormat/>
    <w:uiPriority w:val="0"/>
  </w:style>
  <w:style w:type="character" w:styleId="49">
    <w:name w:val="FollowedHyperlink"/>
    <w:qFormat/>
    <w:uiPriority w:val="0"/>
    <w:rPr>
      <w:color w:val="800080"/>
      <w:u w:val="single"/>
    </w:rPr>
  </w:style>
  <w:style w:type="character" w:styleId="50">
    <w:name w:val="Emphasis"/>
    <w:qFormat/>
    <w:uiPriority w:val="0"/>
    <w:rPr>
      <w:i/>
    </w:rPr>
  </w:style>
  <w:style w:type="character" w:styleId="51">
    <w:name w:val="Hyperlink"/>
    <w:qFormat/>
    <w:uiPriority w:val="99"/>
    <w:rPr>
      <w:color w:val="0000FF"/>
      <w:u w:val="single"/>
    </w:rPr>
  </w:style>
  <w:style w:type="character" w:styleId="52">
    <w:name w:val="annotation reference"/>
    <w:qFormat/>
    <w:uiPriority w:val="0"/>
    <w:rPr>
      <w:sz w:val="21"/>
    </w:rPr>
  </w:style>
  <w:style w:type="character" w:customStyle="1" w:styleId="53">
    <w:name w:val="标题 2 字符"/>
    <w:link w:val="4"/>
    <w:qFormat/>
    <w:uiPriority w:val="0"/>
    <w:rPr>
      <w:rFonts w:eastAsia="宋体"/>
      <w:b/>
      <w:smallCaps/>
      <w:kern w:val="0"/>
      <w:sz w:val="30"/>
      <w:szCs w:val="20"/>
    </w:rPr>
  </w:style>
  <w:style w:type="character" w:customStyle="1" w:styleId="54">
    <w:name w:val="标题 3 字符"/>
    <w:link w:val="5"/>
    <w:qFormat/>
    <w:uiPriority w:val="0"/>
    <w:rPr>
      <w:rFonts w:ascii="Times New Roman" w:hAnsi="Times New Roman" w:eastAsia="宋体"/>
      <w:b/>
      <w:bCs/>
      <w:kern w:val="2"/>
      <w:sz w:val="28"/>
      <w:szCs w:val="32"/>
    </w:rPr>
  </w:style>
  <w:style w:type="character" w:customStyle="1" w:styleId="55">
    <w:name w:val="标题 4 字符"/>
    <w:link w:val="6"/>
    <w:qFormat/>
    <w:uiPriority w:val="0"/>
    <w:rPr>
      <w:rFonts w:eastAsia="宋体"/>
      <w:b/>
      <w:kern w:val="0"/>
      <w:szCs w:val="20"/>
    </w:rPr>
  </w:style>
  <w:style w:type="character" w:customStyle="1" w:styleId="56">
    <w:name w:val="TOC 3 字符"/>
    <w:link w:val="22"/>
    <w:qFormat/>
    <w:uiPriority w:val="39"/>
    <w:rPr>
      <w:sz w:val="24"/>
    </w:rPr>
  </w:style>
  <w:style w:type="character" w:customStyle="1" w:styleId="57">
    <w:name w:val="纯文本 字符"/>
    <w:link w:val="23"/>
    <w:qFormat/>
    <w:uiPriority w:val="0"/>
    <w:rPr>
      <w:rFonts w:ascii="宋体" w:hAnsi="Courier New" w:eastAsia="宋体"/>
      <w:kern w:val="2"/>
      <w:sz w:val="28"/>
      <w:lang w:val="en-US" w:eastAsia="zh-CN" w:bidi="ar-SA"/>
    </w:rPr>
  </w:style>
  <w:style w:type="character" w:customStyle="1" w:styleId="58">
    <w:name w:val="页脚 字符"/>
    <w:link w:val="28"/>
    <w:qFormat/>
    <w:uiPriority w:val="0"/>
    <w:rPr>
      <w:kern w:val="2"/>
      <w:sz w:val="18"/>
    </w:rPr>
  </w:style>
  <w:style w:type="character" w:customStyle="1" w:styleId="59">
    <w:name w:val="页眉 字符"/>
    <w:link w:val="29"/>
    <w:qFormat/>
    <w:uiPriority w:val="0"/>
    <w:rPr>
      <w:rFonts w:ascii="Times New Roman" w:hAnsi="Times New Roman" w:eastAsia="宋体"/>
      <w:kern w:val="0"/>
      <w:sz w:val="21"/>
      <w:szCs w:val="18"/>
    </w:rPr>
  </w:style>
  <w:style w:type="character" w:customStyle="1" w:styleId="60">
    <w:name w:val="TOC 1 字符"/>
    <w:link w:val="30"/>
    <w:qFormat/>
    <w:uiPriority w:val="39"/>
    <w:rPr>
      <w:rFonts w:ascii="Times New Roman" w:hAnsi="Times New Roman" w:eastAsia="宋体"/>
      <w:b/>
      <w:sz w:val="28"/>
    </w:rPr>
  </w:style>
  <w:style w:type="character" w:customStyle="1" w:styleId="61">
    <w:name w:val="TOC 6 字符"/>
    <w:link w:val="34"/>
    <w:qFormat/>
    <w:uiPriority w:val="39"/>
  </w:style>
  <w:style w:type="character" w:customStyle="1" w:styleId="62">
    <w:name w:val="图表目录 字符"/>
    <w:link w:val="35"/>
    <w:qFormat/>
    <w:uiPriority w:val="0"/>
  </w:style>
  <w:style w:type="character" w:customStyle="1" w:styleId="63">
    <w:name w:val="TOC 2 字符"/>
    <w:link w:val="36"/>
    <w:qFormat/>
    <w:uiPriority w:val="39"/>
    <w:rPr>
      <w:rFonts w:ascii="Times New Roman" w:hAnsi="Times New Roman" w:eastAsia="宋体"/>
      <w:b/>
      <w:sz w:val="24"/>
    </w:rPr>
  </w:style>
  <w:style w:type="paragraph" w:customStyle="1" w:styleId="64">
    <w:name w:val="表头"/>
    <w:basedOn w:val="1"/>
    <w:link w:val="65"/>
    <w:qFormat/>
    <w:uiPriority w:val="0"/>
    <w:pPr>
      <w:spacing w:before="50" w:beforeLines="50" w:after="50" w:afterLines="50"/>
      <w:ind w:firstLine="0" w:firstLineChars="0"/>
      <w:jc w:val="center"/>
    </w:pPr>
    <w:rPr>
      <w:b/>
      <w:sz w:val="24"/>
      <w:szCs w:val="28"/>
    </w:rPr>
  </w:style>
  <w:style w:type="character" w:customStyle="1" w:styleId="65">
    <w:name w:val="表头 Char"/>
    <w:link w:val="64"/>
    <w:qFormat/>
    <w:uiPriority w:val="0"/>
    <w:rPr>
      <w:rFonts w:eastAsia="宋体"/>
      <w:b/>
      <w:sz w:val="24"/>
      <w:szCs w:val="28"/>
    </w:rPr>
  </w:style>
  <w:style w:type="paragraph" w:customStyle="1" w:styleId="66">
    <w:name w:val="表格、图头"/>
    <w:basedOn w:val="67"/>
    <w:qFormat/>
    <w:uiPriority w:val="0"/>
    <w:pPr>
      <w:spacing w:before="50" w:beforeLines="50" w:after="50" w:afterLines="50" w:line="240" w:lineRule="auto"/>
    </w:pPr>
    <w:rPr>
      <w:rFonts w:hint="default"/>
      <w:sz w:val="24"/>
    </w:rPr>
  </w:style>
  <w:style w:type="paragraph" w:customStyle="1" w:styleId="67">
    <w:name w:val="表格 表头"/>
    <w:basedOn w:val="1"/>
    <w:qFormat/>
    <w:uiPriority w:val="0"/>
    <w:pPr>
      <w:spacing w:line="360" w:lineRule="exact"/>
      <w:ind w:firstLine="0" w:firstLineChars="0"/>
      <w:jc w:val="center"/>
    </w:pPr>
    <w:rPr>
      <w:rFonts w:hint="eastAsia"/>
      <w:b/>
      <w:sz w:val="21"/>
      <w:szCs w:val="21"/>
    </w:rPr>
  </w:style>
  <w:style w:type="character" w:customStyle="1" w:styleId="68">
    <w:name w:val="表格 内容 Char"/>
    <w:link w:val="69"/>
    <w:qFormat/>
    <w:uiPriority w:val="0"/>
    <w:rPr>
      <w:rFonts w:hint="eastAsia" w:ascii="Times New Roman" w:hAnsi="Times New Roman" w:eastAsia="宋体"/>
      <w:sz w:val="21"/>
      <w:szCs w:val="21"/>
    </w:rPr>
  </w:style>
  <w:style w:type="paragraph" w:customStyle="1" w:styleId="69">
    <w:name w:val="表格内容中"/>
    <w:basedOn w:val="1"/>
    <w:link w:val="68"/>
    <w:qFormat/>
    <w:uiPriority w:val="0"/>
    <w:pPr>
      <w:spacing w:line="360" w:lineRule="exact"/>
      <w:ind w:firstLine="0" w:firstLineChars="0"/>
      <w:jc w:val="center"/>
    </w:pPr>
    <w:rPr>
      <w:rFonts w:hint="eastAsia"/>
      <w:sz w:val="21"/>
      <w:szCs w:val="21"/>
    </w:rPr>
  </w:style>
  <w:style w:type="character" w:customStyle="1" w:styleId="70">
    <w:name w:val="标题 3 Char"/>
    <w:qFormat/>
    <w:uiPriority w:val="0"/>
    <w:rPr>
      <w:rFonts w:eastAsia="宋体"/>
      <w:b/>
      <w:bCs/>
      <w:snapToGrid w:val="0"/>
      <w:kern w:val="2"/>
      <w:sz w:val="28"/>
      <w:szCs w:val="32"/>
    </w:rPr>
  </w:style>
  <w:style w:type="paragraph" w:customStyle="1" w:styleId="71">
    <w:name w:val="表格内容左"/>
    <w:basedOn w:val="23"/>
    <w:link w:val="72"/>
    <w:qFormat/>
    <w:uiPriority w:val="0"/>
    <w:pPr>
      <w:widowControl/>
      <w:spacing w:line="240" w:lineRule="auto"/>
      <w:ind w:firstLine="0" w:firstLineChars="0"/>
    </w:pPr>
    <w:rPr>
      <w:rFonts w:hint="eastAsia" w:ascii="Times New Roman" w:hAnsi="Times New Roman"/>
      <w:kern w:val="0"/>
      <w:sz w:val="21"/>
    </w:rPr>
  </w:style>
  <w:style w:type="character" w:customStyle="1" w:styleId="72">
    <w:name w:val="表格W Char"/>
    <w:link w:val="71"/>
    <w:qFormat/>
    <w:uiPriority w:val="0"/>
    <w:rPr>
      <w:rFonts w:hint="eastAsia" w:ascii="Times New Roman" w:hAnsi="Times New Roman" w:eastAsia="宋体" w:cs="Times New Roman"/>
      <w:kern w:val="0"/>
      <w:sz w:val="21"/>
      <w:szCs w:val="20"/>
    </w:rPr>
  </w:style>
  <w:style w:type="paragraph" w:customStyle="1" w:styleId="73">
    <w:name w:val="表格内容"/>
    <w:basedOn w:val="1"/>
    <w:link w:val="74"/>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74">
    <w:name w:val="表格内容 Char"/>
    <w:link w:val="73"/>
    <w:qFormat/>
    <w:uiPriority w:val="0"/>
    <w:rPr>
      <w:rFonts w:ascii="Arial" w:hAnsi="Arial" w:eastAsia="仿宋_GB2312"/>
      <w:kern w:val="0"/>
      <w:sz w:val="24"/>
      <w:szCs w:val="20"/>
      <w:lang w:val="en-US" w:eastAsia="zh-CN"/>
    </w:rPr>
  </w:style>
  <w:style w:type="paragraph" w:customStyle="1" w:styleId="75">
    <w:name w:val="表左侧"/>
    <w:basedOn w:val="1"/>
    <w:qFormat/>
    <w:uiPriority w:val="0"/>
    <w:pPr>
      <w:spacing w:line="240" w:lineRule="exact"/>
      <w:ind w:firstLine="0" w:firstLineChars="0"/>
      <w:jc w:val="center"/>
    </w:pPr>
    <w:rPr>
      <w:b/>
      <w:sz w:val="21"/>
      <w:szCs w:val="21"/>
    </w:rPr>
  </w:style>
  <w:style w:type="paragraph" w:customStyle="1" w:styleId="76">
    <w:name w:val="填表4小中"/>
    <w:basedOn w:val="1"/>
    <w:next w:val="1"/>
    <w:qFormat/>
    <w:uiPriority w:val="0"/>
    <w:pPr>
      <w:spacing w:line="240" w:lineRule="auto"/>
      <w:ind w:firstLine="0" w:firstLineChars="0"/>
      <w:jc w:val="center"/>
    </w:pPr>
    <w:rPr>
      <w:rFonts w:cs="宋体"/>
      <w:sz w:val="24"/>
      <w:szCs w:val="20"/>
    </w:rPr>
  </w:style>
  <w:style w:type="paragraph" w:customStyle="1" w:styleId="77">
    <w:name w:val="填表4小"/>
    <w:basedOn w:val="1"/>
    <w:next w:val="1"/>
    <w:link w:val="78"/>
    <w:qFormat/>
    <w:uiPriority w:val="0"/>
    <w:pPr>
      <w:snapToGrid w:val="0"/>
      <w:spacing w:line="240" w:lineRule="auto"/>
      <w:ind w:firstLine="0" w:firstLineChars="0"/>
    </w:pPr>
    <w:rPr>
      <w:rFonts w:ascii="宋体" w:hAnsi="宋体"/>
      <w:sz w:val="24"/>
      <w:szCs w:val="20"/>
    </w:rPr>
  </w:style>
  <w:style w:type="character" w:customStyle="1" w:styleId="78">
    <w:name w:val="填表4小 Char"/>
    <w:link w:val="77"/>
    <w:qFormat/>
    <w:uiPriority w:val="0"/>
    <w:rPr>
      <w:rFonts w:ascii="宋体" w:hAnsi="宋体" w:eastAsia="宋体"/>
      <w:kern w:val="2"/>
      <w:sz w:val="24"/>
    </w:rPr>
  </w:style>
  <w:style w:type="paragraph" w:customStyle="1" w:styleId="79">
    <w:name w:val="正文标题1"/>
    <w:basedOn w:val="1"/>
    <w:qFormat/>
    <w:uiPriority w:val="0"/>
    <w:pPr>
      <w:adjustRightInd w:val="0"/>
      <w:snapToGrid w:val="0"/>
      <w:spacing w:before="50" w:beforeLines="50" w:line="500" w:lineRule="exact"/>
      <w:ind w:firstLine="560"/>
    </w:pPr>
    <w:rPr>
      <w:rFonts w:hint="eastAsia" w:ascii="宋体" w:hAnsi="宋体" w:cs="宋体"/>
      <w:szCs w:val="28"/>
    </w:rPr>
  </w:style>
  <w:style w:type="paragraph" w:customStyle="1" w:styleId="80">
    <w:name w:val="正文文字"/>
    <w:basedOn w:val="1"/>
    <w:qFormat/>
    <w:uiPriority w:val="0"/>
    <w:pPr>
      <w:ind w:firstLine="480"/>
    </w:pPr>
  </w:style>
  <w:style w:type="paragraph" w:customStyle="1" w:styleId="81">
    <w:name w:val="样式 标题 1 + 四号 段前: 0 磅 段后: 0 磅 行距: 1.5 倍行距"/>
    <w:basedOn w:val="3"/>
    <w:qFormat/>
    <w:uiPriority w:val="0"/>
    <w:pPr>
      <w:tabs>
        <w:tab w:val="left" w:pos="360"/>
      </w:tabs>
      <w:spacing w:line="360" w:lineRule="auto"/>
      <w:ind w:left="2296"/>
    </w:pPr>
    <w:rPr>
      <w:sz w:val="32"/>
    </w:rPr>
  </w:style>
  <w:style w:type="character" w:customStyle="1" w:styleId="82">
    <w:name w:val="样式 标题 3 + 首行缩进:  0 字符 Char Char"/>
    <w:link w:val="83"/>
    <w:qFormat/>
    <w:uiPriority w:val="0"/>
    <w:rPr>
      <w:rFonts w:ascii="Arial" w:hAnsi="Arial" w:eastAsia="宋体" w:cs="宋体"/>
      <w:b/>
      <w:bCs/>
      <w:kern w:val="2"/>
      <w:sz w:val="32"/>
      <w:lang w:val="en-US" w:eastAsia="zh-CN" w:bidi="ar-SA"/>
    </w:rPr>
  </w:style>
  <w:style w:type="paragraph" w:customStyle="1" w:styleId="83">
    <w:name w:val="样式 标题 3 + 首行缩进:  0 字符"/>
    <w:basedOn w:val="5"/>
    <w:link w:val="82"/>
    <w:qFormat/>
    <w:uiPriority w:val="0"/>
    <w:pPr>
      <w:tabs>
        <w:tab w:val="left" w:pos="737"/>
      </w:tabs>
      <w:spacing w:after="100" w:afterLines="0" w:afterAutospacing="1"/>
    </w:pPr>
    <w:rPr>
      <w:rFonts w:ascii="Arial" w:hAnsi="Arial" w:cs="宋体"/>
      <w:snapToGrid/>
      <w:sz w:val="32"/>
      <w:szCs w:val="20"/>
    </w:rPr>
  </w:style>
  <w:style w:type="character" w:customStyle="1" w:styleId="84">
    <w:name w:val="ttitle1"/>
    <w:qFormat/>
    <w:uiPriority w:val="0"/>
    <w:rPr>
      <w:spacing w:val="120"/>
      <w:sz w:val="21"/>
      <w:szCs w:val="21"/>
    </w:rPr>
  </w:style>
  <w:style w:type="character" w:customStyle="1" w:styleId="85">
    <w:name w:val="纯文本 Char Char"/>
    <w:qFormat/>
    <w:uiPriority w:val="0"/>
    <w:rPr>
      <w:rFonts w:ascii="宋体" w:hAnsi="Courier New" w:eastAsia="宋体"/>
      <w:kern w:val="2"/>
      <w:sz w:val="28"/>
      <w:lang w:val="en-US" w:eastAsia="zh-CN" w:bidi="ar-SA"/>
    </w:rPr>
  </w:style>
  <w:style w:type="character" w:customStyle="1" w:styleId="86">
    <w:name w:val="标题 1 Char Char"/>
    <w:qFormat/>
    <w:uiPriority w:val="0"/>
    <w:rPr>
      <w:rFonts w:eastAsia="宋体"/>
      <w:b/>
      <w:bCs/>
      <w:kern w:val="44"/>
      <w:sz w:val="44"/>
      <w:szCs w:val="44"/>
      <w:lang w:val="en-US" w:eastAsia="zh-CN" w:bidi="ar-SA"/>
    </w:rPr>
  </w:style>
  <w:style w:type="character" w:customStyle="1" w:styleId="87">
    <w:name w:val="font1"/>
    <w:qFormat/>
    <w:uiPriority w:val="0"/>
    <w:rPr>
      <w:color w:val="000000"/>
      <w:sz w:val="24"/>
      <w:szCs w:val="24"/>
      <w:u w:val="none"/>
    </w:rPr>
  </w:style>
  <w:style w:type="paragraph" w:customStyle="1" w:styleId="88">
    <w:name w:val="样式4"/>
    <w:basedOn w:val="1"/>
    <w:qFormat/>
    <w:uiPriority w:val="0"/>
    <w:pPr>
      <w:adjustRightInd w:val="0"/>
      <w:snapToGrid w:val="0"/>
      <w:spacing w:line="500" w:lineRule="exact"/>
      <w:ind w:firstLine="560"/>
    </w:pPr>
    <w:rPr>
      <w:rFonts w:ascii="仿宋_GB2312" w:hAnsi="宋体" w:eastAsia="仿宋_GB2312"/>
      <w:szCs w:val="28"/>
    </w:rPr>
  </w:style>
  <w:style w:type="paragraph" w:customStyle="1" w:styleId="89">
    <w:name w:val="Char Char Char Char"/>
    <w:basedOn w:val="1"/>
    <w:next w:val="1"/>
    <w:qFormat/>
    <w:uiPriority w:val="0"/>
  </w:style>
  <w:style w:type="paragraph" w:customStyle="1" w:styleId="90">
    <w:name w:val="xl59"/>
    <w:basedOn w:val="1"/>
    <w:qFormat/>
    <w:uiPriority w:val="0"/>
    <w:pPr>
      <w:widowControl/>
      <w:pBdr>
        <w:left w:val="single" w:color="auto" w:sz="8" w:space="0"/>
        <w:bottom w:val="single" w:color="auto" w:sz="4" w:space="0"/>
      </w:pBdr>
      <w:spacing w:before="100" w:beforeAutospacing="1" w:after="100" w:afterAutospacing="1"/>
      <w:jc w:val="center"/>
    </w:pPr>
    <w:rPr>
      <w:rFonts w:hint="eastAsia" w:ascii="仿宋_GB2312" w:hAnsi="宋体" w:eastAsia="仿宋_GB2312"/>
      <w:kern w:val="0"/>
      <w:szCs w:val="28"/>
    </w:rPr>
  </w:style>
  <w:style w:type="paragraph" w:customStyle="1" w:styleId="91">
    <w:name w:val="表格"/>
    <w:next w:val="1"/>
    <w:qFormat/>
    <w:uiPriority w:val="0"/>
    <w:pPr>
      <w:adjustRightInd w:val="0"/>
      <w:snapToGrid w:val="0"/>
      <w:spacing w:line="0" w:lineRule="atLeast"/>
      <w:jc w:val="center"/>
    </w:pPr>
    <w:rPr>
      <w:rFonts w:ascii="Arial Narrow" w:hAnsi="Arial Narrow" w:eastAsia="仿宋_GB2312" w:cs="Times New Roman"/>
      <w:sz w:val="24"/>
      <w:lang w:val="en-US" w:eastAsia="zh-CN" w:bidi="ar-SA"/>
    </w:rPr>
  </w:style>
  <w:style w:type="paragraph" w:customStyle="1" w:styleId="92">
    <w:name w:val="Char Char Char"/>
    <w:basedOn w:val="1"/>
    <w:next w:val="2"/>
    <w:qFormat/>
    <w:uiPriority w:val="0"/>
    <w:rPr>
      <w:szCs w:val="28"/>
    </w:rPr>
  </w:style>
  <w:style w:type="paragraph" w:customStyle="1" w:styleId="93">
    <w:name w:val="Char Char Char Char Char Char Char"/>
    <w:basedOn w:val="1"/>
    <w:qFormat/>
    <w:uiPriority w:val="0"/>
    <w:pPr>
      <w:spacing w:line="520" w:lineRule="exact"/>
    </w:pPr>
  </w:style>
  <w:style w:type="paragraph" w:customStyle="1" w:styleId="94">
    <w:name w:val="Char"/>
    <w:basedOn w:val="1"/>
    <w:qFormat/>
    <w:uiPriority w:val="0"/>
  </w:style>
  <w:style w:type="paragraph" w:customStyle="1" w:styleId="95">
    <w:name w:val="3"/>
    <w:basedOn w:val="1"/>
    <w:qFormat/>
    <w:uiPriority w:val="0"/>
    <w:pPr>
      <w:ind w:firstLine="630"/>
    </w:pPr>
    <w:rPr>
      <w:rFonts w:eastAsia="方正仿宋简体"/>
      <w:sz w:val="30"/>
      <w:szCs w:val="20"/>
    </w:rPr>
  </w:style>
  <w:style w:type="paragraph" w:customStyle="1" w:styleId="96">
    <w:name w:val="样式5"/>
    <w:basedOn w:val="3"/>
    <w:qFormat/>
    <w:uiPriority w:val="0"/>
    <w:pPr>
      <w:spacing w:line="560" w:lineRule="exact"/>
      <w:jc w:val="left"/>
    </w:pPr>
    <w:rPr>
      <w:sz w:val="28"/>
    </w:rPr>
  </w:style>
  <w:style w:type="paragraph" w:customStyle="1" w:styleId="97">
    <w:name w:val="说明书正文"/>
    <w:basedOn w:val="1"/>
    <w:qFormat/>
    <w:uiPriority w:val="0"/>
    <w:pPr>
      <w:spacing w:line="520" w:lineRule="exact"/>
      <w:ind w:firstLine="200"/>
    </w:pPr>
    <w:rPr>
      <w:rFonts w:ascii="Trebuchet MS" w:hAnsi="Trebuchet MS"/>
    </w:rPr>
  </w:style>
  <w:style w:type="paragraph" w:customStyle="1" w:styleId="98">
    <w:name w:val="xl24"/>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9">
    <w:name w:val="节标题2"/>
    <w:basedOn w:val="1"/>
    <w:qFormat/>
    <w:uiPriority w:val="0"/>
    <w:pPr>
      <w:spacing w:after="156" w:afterLines="50" w:line="700" w:lineRule="exact"/>
      <w:outlineLvl w:val="3"/>
    </w:pPr>
    <w:rPr>
      <w:rFonts w:ascii="Arial Narrow" w:hAnsi="Arial Narrow" w:eastAsia="仿宋_GB2312"/>
      <w:b/>
      <w:szCs w:val="20"/>
    </w:rPr>
  </w:style>
  <w:style w:type="paragraph" w:customStyle="1" w:styleId="100">
    <w:name w:val="节标题1"/>
    <w:basedOn w:val="101"/>
    <w:qFormat/>
    <w:uiPriority w:val="0"/>
    <w:pPr>
      <w:adjustRightInd w:val="0"/>
      <w:snapToGrid w:val="0"/>
      <w:spacing w:line="360" w:lineRule="auto"/>
      <w:outlineLvl w:val="0"/>
    </w:pPr>
    <w:rPr>
      <w:rFonts w:ascii="仿宋_GB2312" w:eastAsia="仿宋_GB2312"/>
      <w:sz w:val="30"/>
    </w:rPr>
  </w:style>
  <w:style w:type="paragraph" w:customStyle="1" w:styleId="101">
    <w:name w:val="节标题"/>
    <w:basedOn w:val="1"/>
    <w:qFormat/>
    <w:uiPriority w:val="0"/>
    <w:pPr>
      <w:spacing w:before="120" w:after="120" w:line="700" w:lineRule="exact"/>
      <w:outlineLvl w:val="1"/>
    </w:pPr>
    <w:rPr>
      <w:rFonts w:ascii="Arial" w:hAnsi="Arial" w:eastAsia="华文中宋" w:cs="Arial"/>
      <w:b/>
      <w:bCs/>
      <w:sz w:val="32"/>
      <w:szCs w:val="20"/>
    </w:rPr>
  </w:style>
  <w:style w:type="paragraph" w:customStyle="1" w:styleId="102">
    <w:name w:val="样式9"/>
    <w:basedOn w:val="36"/>
    <w:next w:val="5"/>
    <w:qFormat/>
    <w:uiPriority w:val="0"/>
    <w:pPr>
      <w:ind w:firstLine="640" w:firstLineChars="200"/>
    </w:pPr>
  </w:style>
  <w:style w:type="paragraph" w:customStyle="1" w:styleId="103">
    <w:name w:val="xl40"/>
    <w:basedOn w:val="1"/>
    <w:qFormat/>
    <w:uiPriority w:val="0"/>
    <w:pPr>
      <w:widowControl/>
      <w:pBdr>
        <w:bottom w:val="single" w:color="auto" w:sz="8"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104">
    <w:name w:val="样式6"/>
    <w:basedOn w:val="4"/>
    <w:qFormat/>
    <w:uiPriority w:val="0"/>
    <w:pPr>
      <w:spacing w:line="560" w:lineRule="exact"/>
      <w:ind w:firstLine="320" w:firstLineChars="100"/>
    </w:pPr>
    <w:rPr>
      <w:sz w:val="24"/>
    </w:rPr>
  </w:style>
  <w:style w:type="paragraph" w:customStyle="1" w:styleId="105">
    <w:name w:val="样式7"/>
    <w:basedOn w:val="5"/>
    <w:qFormat/>
    <w:uiPriority w:val="0"/>
    <w:pPr>
      <w:adjustRightInd w:val="0"/>
      <w:snapToGrid w:val="0"/>
      <w:spacing w:line="560" w:lineRule="exact"/>
      <w:ind w:firstLine="640" w:firstLineChars="200"/>
    </w:pPr>
    <w:rPr>
      <w:sz w:val="24"/>
    </w:rPr>
  </w:style>
  <w:style w:type="paragraph" w:customStyle="1" w:styleId="106">
    <w:name w:val="样式8"/>
    <w:basedOn w:val="3"/>
    <w:qFormat/>
    <w:uiPriority w:val="0"/>
    <w:pPr>
      <w:spacing w:line="560" w:lineRule="exact"/>
    </w:pPr>
    <w:rPr>
      <w:sz w:val="28"/>
    </w:rPr>
  </w:style>
  <w:style w:type="paragraph" w:customStyle="1" w:styleId="107">
    <w:name w:val="表格1"/>
    <w:qFormat/>
    <w:uiPriority w:val="0"/>
    <w:pPr>
      <w:adjustRightInd w:val="0"/>
      <w:spacing w:line="360" w:lineRule="auto"/>
      <w:jc w:val="center"/>
      <w:textAlignment w:val="center"/>
    </w:pPr>
    <w:rPr>
      <w:rFonts w:ascii="Times New Roman" w:hAnsi="Times New Roman" w:eastAsia="宋体" w:cs="Times New Roman"/>
      <w:sz w:val="21"/>
      <w:lang w:val="en-US" w:eastAsia="zh-CN" w:bidi="ar-SA"/>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reader-word-layer"/>
    <w:basedOn w:val="1"/>
    <w:qFormat/>
    <w:uiPriority w:val="0"/>
    <w:pPr>
      <w:widowControl/>
      <w:spacing w:before="100" w:beforeAutospacing="1" w:after="100" w:afterAutospacing="1" w:line="240" w:lineRule="auto"/>
    </w:pPr>
    <w:rPr>
      <w:rFonts w:hAnsi="宋体" w:cs="宋体"/>
      <w:kern w:val="0"/>
      <w:sz w:val="24"/>
    </w:rPr>
  </w:style>
  <w:style w:type="paragraph" w:styleId="110">
    <w:name w:val="List Paragraph"/>
    <w:basedOn w:val="1"/>
    <w:qFormat/>
    <w:uiPriority w:val="34"/>
    <w:pPr>
      <w:spacing w:line="460" w:lineRule="atLeast"/>
      <w:ind w:firstLine="420"/>
    </w:pPr>
    <w:rPr>
      <w:rFonts w:ascii="Calibri" w:hAnsi="Calibri"/>
      <w:sz w:val="21"/>
      <w:szCs w:val="22"/>
    </w:rPr>
  </w:style>
  <w:style w:type="character" w:customStyle="1" w:styleId="111">
    <w:name w:val="font10 Char Char"/>
    <w:qFormat/>
    <w:uiPriority w:val="0"/>
    <w:rPr>
      <w:rFonts w:ascii="宋体" w:hAnsi="宋体" w:eastAsia="宋体"/>
      <w:color w:val="FF00FF"/>
      <w:lang w:val="en-US" w:eastAsia="zh-CN" w:bidi="ar-SA"/>
    </w:rPr>
  </w:style>
  <w:style w:type="paragraph" w:customStyle="1" w:styleId="112">
    <w:name w:val="样式2"/>
    <w:qFormat/>
    <w:uiPriority w:val="0"/>
    <w:pPr>
      <w:spacing w:line="360" w:lineRule="auto"/>
    </w:pPr>
    <w:rPr>
      <w:rFonts w:ascii="Times New Roman" w:hAnsi="Times New Roman" w:eastAsia="宋体" w:cs="Times New Roman"/>
      <w:kern w:val="2"/>
      <w:sz w:val="28"/>
      <w:szCs w:val="28"/>
      <w:lang w:val="en-US" w:eastAsia="zh-CN" w:bidi="ar-SA"/>
    </w:rPr>
  </w:style>
  <w:style w:type="paragraph" w:customStyle="1" w:styleId="113">
    <w:name w:val="HJ正文"/>
    <w:qFormat/>
    <w:uiPriority w:val="0"/>
    <w:pPr>
      <w:spacing w:line="360" w:lineRule="auto"/>
      <w:ind w:firstLine="600" w:firstLineChars="200"/>
    </w:pPr>
    <w:rPr>
      <w:rFonts w:ascii="Times New Roman" w:hAnsi="Times New Roman" w:eastAsia="宋体" w:cs="Times New Roman"/>
      <w:sz w:val="28"/>
      <w:lang w:val="en-US" w:eastAsia="zh-CN" w:bidi="ar-SA"/>
    </w:rPr>
  </w:style>
  <w:style w:type="paragraph" w:customStyle="1" w:styleId="114">
    <w:name w:val="Body text|1"/>
    <w:basedOn w:val="1"/>
    <w:qFormat/>
    <w:uiPriority w:val="0"/>
    <w:pPr>
      <w:ind w:firstLine="210"/>
    </w:pPr>
    <w:rPr>
      <w:rFonts w:ascii="宋体" w:hAnsi="宋体" w:cs="宋体"/>
      <w:sz w:val="19"/>
      <w:szCs w:val="19"/>
      <w:lang w:val="zh-TW" w:eastAsia="zh-TW" w:bidi="zh-TW"/>
    </w:rPr>
  </w:style>
  <w:style w:type="character" w:customStyle="1" w:styleId="115">
    <w:name w:val="样式 宋体 小三"/>
    <w:qFormat/>
    <w:uiPriority w:val="0"/>
    <w:rPr>
      <w:rFonts w:ascii="宋体" w:hAnsi="宋体"/>
      <w:sz w:val="28"/>
    </w:rPr>
  </w:style>
  <w:style w:type="paragraph" w:customStyle="1" w:styleId="116">
    <w:name w:val="字母编号列项（一级）"/>
    <w:qFormat/>
    <w:uiPriority w:val="99"/>
    <w:pPr>
      <w:numPr>
        <w:ilvl w:val="0"/>
        <w:numId w:val="2"/>
      </w:numPr>
      <w:tabs>
        <w:tab w:val="left" w:pos="839"/>
      </w:tabs>
      <w:jc w:val="both"/>
    </w:pPr>
    <w:rPr>
      <w:rFonts w:ascii="宋体" w:hAnsi="Times New Roman" w:eastAsia="宋体" w:cs="Times New Roman"/>
      <w:sz w:val="21"/>
      <w:lang w:val="en-US" w:eastAsia="zh-CN" w:bidi="ar-SA"/>
    </w:rPr>
  </w:style>
  <w:style w:type="paragraph" w:customStyle="1" w:styleId="117">
    <w:name w:val="正文表标题"/>
    <w:next w:val="1"/>
    <w:qFormat/>
    <w:uiPriority w:val="0"/>
    <w:pPr>
      <w:tabs>
        <w:tab w:val="left" w:pos="360"/>
      </w:tabs>
      <w:jc w:val="center"/>
    </w:pPr>
    <w:rPr>
      <w:rFonts w:ascii="黑体" w:hAnsi="Times New Roman" w:eastAsia="黑体" w:cs="Times New Roman"/>
      <w:sz w:val="21"/>
      <w:lang w:val="en-US" w:eastAsia="zh-CN" w:bidi="ar-SA"/>
    </w:rPr>
  </w:style>
  <w:style w:type="paragraph" w:customStyle="1" w:styleId="118">
    <w:name w:val="填表4中"/>
    <w:basedOn w:val="1"/>
    <w:next w:val="1"/>
    <w:qFormat/>
    <w:uiPriority w:val="0"/>
    <w:pPr>
      <w:snapToGrid w:val="0"/>
      <w:spacing w:line="440" w:lineRule="exact"/>
      <w:jc w:val="center"/>
    </w:pPr>
    <w:rPr>
      <w:rFonts w:ascii="宋体" w:cs="宋体"/>
      <w:szCs w:val="28"/>
    </w:rPr>
  </w:style>
  <w:style w:type="paragraph" w:styleId="119">
    <w:name w:val="No Spacing"/>
    <w:qFormat/>
    <w:uiPriority w:val="1"/>
    <w:pPr>
      <w:widowControl w:val="0"/>
      <w:spacing w:line="280" w:lineRule="exact"/>
      <w:jc w:val="both"/>
    </w:pPr>
    <w:rPr>
      <w:rFonts w:ascii="Calibri" w:hAnsi="Calibri" w:eastAsia="仿宋" w:cs="Times New Roman"/>
      <w:kern w:val="2"/>
      <w:sz w:val="21"/>
      <w:szCs w:val="22"/>
      <w:lang w:val="en-US" w:eastAsia="zh-CN" w:bidi="ar-SA"/>
    </w:rPr>
  </w:style>
  <w:style w:type="character" w:customStyle="1" w:styleId="120">
    <w:name w:val="font01"/>
    <w:qFormat/>
    <w:uiPriority w:val="0"/>
    <w:rPr>
      <w:rFonts w:hint="eastAsia" w:ascii="宋体" w:hAnsi="宋体" w:eastAsia="宋体" w:cs="宋体"/>
      <w:color w:val="000000"/>
      <w:kern w:val="0"/>
      <w:sz w:val="21"/>
      <w:szCs w:val="21"/>
      <w:u w:val="none"/>
    </w:rPr>
  </w:style>
  <w:style w:type="paragraph" w:customStyle="1" w:styleId="121">
    <w:name w:val="Table Text"/>
    <w:basedOn w:val="1"/>
    <w:semiHidden/>
    <w:qFormat/>
    <w:uiPriority w:val="0"/>
    <w:rPr>
      <w:rFonts w:ascii="宋体" w:hAnsi="宋体" w:cs="宋体"/>
      <w:sz w:val="24"/>
      <w:lang w:eastAsia="en-US"/>
    </w:rPr>
  </w:style>
  <w:style w:type="paragraph" w:customStyle="1" w:styleId="122">
    <w:name w:val="zw"/>
    <w:basedOn w:val="1"/>
    <w:link w:val="123"/>
    <w:qFormat/>
    <w:uiPriority w:val="0"/>
    <w:pPr>
      <w:ind w:firstLine="200"/>
    </w:pPr>
    <w:rPr>
      <w:rFonts w:ascii="宋体" w:hAnsi="宋体"/>
    </w:rPr>
  </w:style>
  <w:style w:type="character" w:customStyle="1" w:styleId="123">
    <w:name w:val="zw Char"/>
    <w:link w:val="122"/>
    <w:qFormat/>
    <w:uiPriority w:val="0"/>
    <w:rPr>
      <w:rFonts w:ascii="宋体" w:hAnsi="宋体"/>
      <w:sz w:val="28"/>
    </w:rPr>
  </w:style>
  <w:style w:type="character" w:customStyle="1" w:styleId="124">
    <w:name w:val="font61"/>
    <w:qFormat/>
    <w:uiPriority w:val="0"/>
    <w:rPr>
      <w:rFonts w:hint="eastAsia" w:ascii="宋体" w:hAnsi="宋体" w:eastAsia="宋体" w:cs="宋体"/>
      <w:color w:val="000000"/>
      <w:sz w:val="20"/>
      <w:szCs w:val="20"/>
      <w:u w:val="none"/>
    </w:rPr>
  </w:style>
  <w:style w:type="character" w:customStyle="1" w:styleId="125">
    <w:name w:val="font71"/>
    <w:qFormat/>
    <w:uiPriority w:val="0"/>
    <w:rPr>
      <w:rFonts w:hint="eastAsia" w:ascii="宋体" w:hAnsi="宋体" w:eastAsia="宋体" w:cs="宋体"/>
      <w:color w:val="000000"/>
      <w:sz w:val="20"/>
      <w:szCs w:val="20"/>
      <w:u w:val="none"/>
      <w:vertAlign w:val="subscript"/>
    </w:rPr>
  </w:style>
  <w:style w:type="paragraph" w:customStyle="1" w:styleId="126">
    <w:name w:val="表文"/>
    <w:basedOn w:val="1"/>
    <w:next w:val="1"/>
    <w:qFormat/>
    <w:uiPriority w:val="0"/>
    <w:pPr>
      <w:spacing w:line="240" w:lineRule="auto"/>
      <w:ind w:firstLine="0" w:firstLineChars="0"/>
      <w:jc w:val="center"/>
    </w:pPr>
    <w:rPr>
      <w:rFonts w:ascii="宋体" w:hAnsi="宋体"/>
      <w:sz w:val="24"/>
    </w:rPr>
  </w:style>
  <w:style w:type="paragraph" w:customStyle="1" w:styleId="127">
    <w:name w:val="表格文字内容"/>
    <w:basedOn w:val="1"/>
    <w:qFormat/>
    <w:uiPriority w:val="0"/>
    <w:pPr>
      <w:adjustRightInd w:val="0"/>
      <w:snapToGrid w:val="0"/>
      <w:spacing w:line="400" w:lineRule="exact"/>
      <w:ind w:firstLine="0" w:firstLineChars="0"/>
      <w:jc w:val="center"/>
      <w:textAlignment w:val="center"/>
    </w:pPr>
    <w:rPr>
      <w:sz w:val="21"/>
      <w:szCs w:val="21"/>
    </w:rPr>
  </w:style>
  <w:style w:type="paragraph" w:customStyle="1" w:styleId="128">
    <w:name w:val="a正文首行缩进"/>
    <w:basedOn w:val="1"/>
    <w:qFormat/>
    <w:uiPriority w:val="0"/>
    <w:rPr>
      <w:szCs w:val="20"/>
    </w:rPr>
  </w:style>
  <w:style w:type="table" w:customStyle="1" w:styleId="129">
    <w:name w:val="网格型4"/>
    <w:basedOn w:val="44"/>
    <w:qFormat/>
    <w:uiPriority w:val="3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0">
    <w:name w:val="Default"/>
    <w:qFormat/>
    <w:uiPriority w:val="2"/>
    <w:pPr>
      <w:widowControl w:val="0"/>
      <w:autoSpaceDE w:val="0"/>
      <w:autoSpaceDN w:val="0"/>
      <w:adjustRightInd w:val="0"/>
      <w:spacing w:line="520" w:lineRule="exact"/>
    </w:pPr>
    <w:rPr>
      <w:rFonts w:ascii="华文中宋" w:hAnsi="华文中宋" w:eastAsia="宋体" w:cs="华文中宋"/>
      <w:color w:val="000000"/>
      <w:sz w:val="24"/>
      <w:szCs w:val="24"/>
      <w:lang w:val="en-US" w:eastAsia="zh-CN" w:bidi="ar-SA"/>
    </w:rPr>
  </w:style>
  <w:style w:type="paragraph" w:customStyle="1" w:styleId="131">
    <w:name w:val="表格内容宋五左"/>
    <w:next w:val="1"/>
    <w:link w:val="132"/>
    <w:qFormat/>
    <w:uiPriority w:val="0"/>
    <w:rPr>
      <w:rFonts w:ascii="Calibri" w:hAnsi="Calibri" w:eastAsia="宋体" w:cs="Times New Roman"/>
      <w:kern w:val="2"/>
      <w:sz w:val="21"/>
      <w:szCs w:val="24"/>
      <w:lang w:val="en-US" w:eastAsia="zh-CN" w:bidi="ar-SA"/>
    </w:rPr>
  </w:style>
  <w:style w:type="character" w:customStyle="1" w:styleId="132">
    <w:name w:val="表格内容宋五左 Char"/>
    <w:link w:val="131"/>
    <w:qFormat/>
    <w:uiPriority w:val="0"/>
    <w:rPr>
      <w:rFonts w:ascii="Calibri" w:hAnsi="Calibri" w:eastAsia="宋体" w:cs="Times New Roman"/>
      <w:kern w:val="2"/>
      <w:sz w:val="21"/>
      <w:szCs w:val="24"/>
      <w:lang w:val="en-US" w:eastAsia="zh-CN" w:bidi="ar-SA"/>
    </w:rPr>
  </w:style>
  <w:style w:type="paragraph" w:customStyle="1" w:styleId="133">
    <w:name w:val="序号 2"/>
    <w:qFormat/>
    <w:uiPriority w:val="0"/>
    <w:pPr>
      <w:numPr>
        <w:ilvl w:val="0"/>
        <w:numId w:val="3"/>
      </w:numPr>
      <w:spacing w:line="360" w:lineRule="auto"/>
      <w:jc w:val="both"/>
    </w:pPr>
    <w:rPr>
      <w:rFonts w:ascii="Times New Roman" w:hAnsi="Times New Roman" w:eastAsia="宋体" w:cs="Times New Roman"/>
      <w:kern w:val="2"/>
      <w:sz w:val="28"/>
      <w:szCs w:val="28"/>
      <w:lang w:val="en-US" w:eastAsia="zh-CN" w:bidi="ar-SA"/>
    </w:rPr>
  </w:style>
  <w:style w:type="paragraph" w:customStyle="1" w:styleId="134">
    <w:name w:val="表文字"/>
    <w:basedOn w:val="64"/>
    <w:qFormat/>
    <w:uiPriority w:val="0"/>
    <w:pPr>
      <w:tabs>
        <w:tab w:val="left" w:pos="5327"/>
        <w:tab w:val="left" w:pos="6326"/>
        <w:tab w:val="left" w:pos="7230"/>
        <w:tab w:val="left" w:pos="9301"/>
      </w:tabs>
      <w:spacing w:line="240" w:lineRule="auto"/>
    </w:pPr>
    <w:rPr>
      <w:rFonts w:cs="宋体"/>
      <w:szCs w:val="21"/>
    </w:rPr>
  </w:style>
  <w:style w:type="paragraph" w:customStyle="1" w:styleId="135">
    <w:name w:val="WPSOffice手动目录 1"/>
    <w:qFormat/>
    <w:uiPriority w:val="0"/>
    <w:rPr>
      <w:rFonts w:ascii="Times New Roman" w:hAnsi="Times New Roman" w:eastAsia="宋体" w:cs="Times New Roman"/>
      <w:lang w:val="en-US" w:eastAsia="zh-CN" w:bidi="ar-SA"/>
    </w:rPr>
  </w:style>
  <w:style w:type="paragraph" w:customStyle="1" w:styleId="1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8">
    <w:name w:val="填表4小单倍行距"/>
    <w:basedOn w:val="1"/>
    <w:qFormat/>
    <w:uiPriority w:val="0"/>
    <w:pPr>
      <w:spacing w:line="240" w:lineRule="auto"/>
    </w:pPr>
    <w:rPr>
      <w:rFonts w:cs="宋体"/>
      <w:sz w:val="24"/>
      <w:szCs w:val="20"/>
    </w:rPr>
  </w:style>
  <w:style w:type="character" w:customStyle="1" w:styleId="139">
    <w:name w:val="正文文本缩进 字符"/>
    <w:link w:val="19"/>
    <w:qFormat/>
    <w:uiPriority w:val="0"/>
    <w:rPr>
      <w:kern w:val="2"/>
      <w:sz w:val="28"/>
      <w:szCs w:val="24"/>
    </w:rPr>
  </w:style>
  <w:style w:type="paragraph" w:customStyle="1" w:styleId="140">
    <w:name w:val="_Style 81"/>
    <w:basedOn w:val="1"/>
    <w:qFormat/>
    <w:uiPriority w:val="0"/>
    <w:pPr>
      <w:autoSpaceDE w:val="0"/>
      <w:autoSpaceDN w:val="0"/>
      <w:adjustRightInd w:val="0"/>
      <w:snapToGrid w:val="0"/>
      <w:spacing w:before="50" w:after="50"/>
      <w:ind w:firstLine="560"/>
      <w:jc w:val="both"/>
    </w:pPr>
    <w:rPr>
      <w:rFonts w:eastAsia="仿宋_GB2312"/>
      <w:color w:val="000000"/>
      <w:sz w:val="24"/>
    </w:rPr>
  </w:style>
  <w:style w:type="character" w:customStyle="1" w:styleId="141">
    <w:name w:val="font21"/>
    <w:qFormat/>
    <w:uiPriority w:val="0"/>
    <w:rPr>
      <w:rFonts w:hint="default" w:ascii="Times New Roman" w:hAnsi="Times New Roman" w:cs="Times New Roman"/>
      <w:color w:val="000000"/>
      <w:sz w:val="20"/>
      <w:szCs w:val="20"/>
      <w:u w:val="none"/>
    </w:rPr>
  </w:style>
  <w:style w:type="character" w:customStyle="1" w:styleId="142">
    <w:name w:val="未处理的提及1"/>
    <w:semiHidden/>
    <w:unhideWhenUsed/>
    <w:qFormat/>
    <w:uiPriority w:val="99"/>
    <w:rPr>
      <w:color w:val="605E5C"/>
      <w:shd w:val="clear" w:color="auto" w:fill="E1DFDD"/>
    </w:rPr>
  </w:style>
  <w:style w:type="character" w:customStyle="1" w:styleId="143">
    <w:name w:val="正文文本缩进 2 字符"/>
    <w:basedOn w:val="46"/>
    <w:link w:val="26"/>
    <w:qFormat/>
    <w:uiPriority w:val="0"/>
    <w:rPr>
      <w:kern w:val="2"/>
      <w:sz w:val="28"/>
      <w:szCs w:val="24"/>
    </w:rPr>
  </w:style>
  <w:style w:type="paragraph" w:customStyle="1" w:styleId="144">
    <w:name w:val="仿宋正文"/>
    <w:basedOn w:val="1"/>
    <w:qFormat/>
    <w:uiPriority w:val="99"/>
    <w:pPr>
      <w:ind w:firstLine="0" w:firstLineChars="0"/>
      <w:jc w:val="both"/>
    </w:pPr>
    <w:rPr>
      <w:color w:val="000000"/>
      <w:kern w:val="0"/>
      <w:sz w:val="20"/>
      <w:szCs w:val="20"/>
    </w:rPr>
  </w:style>
  <w:style w:type="paragraph" w:customStyle="1" w:styleId="145">
    <w:name w:val="表格 内容"/>
    <w:basedOn w:val="1"/>
    <w:qFormat/>
    <w:uiPriority w:val="0"/>
    <w:pPr>
      <w:spacing w:line="360" w:lineRule="exact"/>
      <w:ind w:firstLine="0" w:firstLineChars="0"/>
      <w:jc w:val="center"/>
    </w:pPr>
    <w:rPr>
      <w:rFonts w:hint="eastAsia"/>
      <w:sz w:val="21"/>
      <w:szCs w:val="21"/>
    </w:rPr>
  </w:style>
  <w:style w:type="paragraph" w:customStyle="1" w:styleId="146">
    <w:name w:val="正文1 Char"/>
    <w:basedOn w:val="1"/>
    <w:link w:val="147"/>
    <w:qFormat/>
    <w:uiPriority w:val="0"/>
    <w:pPr>
      <w:tabs>
        <w:tab w:val="left" w:pos="5327"/>
        <w:tab w:val="left" w:pos="6326"/>
        <w:tab w:val="left" w:pos="7230"/>
        <w:tab w:val="left" w:pos="9301"/>
      </w:tabs>
      <w:autoSpaceDE w:val="0"/>
      <w:autoSpaceDN w:val="0"/>
      <w:adjustRightInd w:val="0"/>
      <w:snapToGrid w:val="0"/>
      <w:spacing w:line="500" w:lineRule="exact"/>
      <w:ind w:firstLine="560"/>
      <w:jc w:val="both"/>
    </w:pPr>
    <w:rPr>
      <w:rFonts w:ascii="Arial Narrow" w:hAnsi="Arial Narrow"/>
      <w:color w:val="000000"/>
      <w:kern w:val="10"/>
      <w:szCs w:val="28"/>
      <w:lang w:val="zh-CN"/>
    </w:rPr>
  </w:style>
  <w:style w:type="character" w:customStyle="1" w:styleId="147">
    <w:name w:val="正文1 Char Char"/>
    <w:link w:val="146"/>
    <w:qFormat/>
    <w:uiPriority w:val="0"/>
    <w:rPr>
      <w:rFonts w:ascii="Arial Narrow" w:hAnsi="Arial Narrow"/>
      <w:color w:val="000000"/>
      <w:kern w:val="10"/>
      <w:sz w:val="28"/>
      <w:szCs w:val="28"/>
      <w:lang w:val="zh-CN"/>
    </w:rPr>
  </w:style>
  <w:style w:type="paragraph" w:customStyle="1" w:styleId="148">
    <w:name w:val="表格内容宋五（左）"/>
    <w:basedOn w:val="23"/>
    <w:qFormat/>
    <w:uiPriority w:val="0"/>
    <w:pPr>
      <w:widowControl/>
      <w:spacing w:line="240" w:lineRule="auto"/>
      <w:ind w:firstLine="0" w:firstLineChars="0"/>
    </w:pPr>
    <w:rPr>
      <w:rFonts w:ascii="Times New Roman" w:hAnsi="Times New Roman"/>
      <w:kern w:val="0"/>
      <w:sz w:val="21"/>
    </w:rPr>
  </w:style>
  <w:style w:type="character" w:customStyle="1" w:styleId="149">
    <w:name w:val="标题 1 字符"/>
    <w:basedOn w:val="46"/>
    <w:link w:val="3"/>
    <w:qFormat/>
    <w:uiPriority w:val="0"/>
    <w:rPr>
      <w:b/>
      <w:bCs/>
      <w:kern w:val="44"/>
      <w:sz w:val="36"/>
      <w:szCs w:val="48"/>
    </w:rPr>
  </w:style>
  <w:style w:type="character" w:customStyle="1" w:styleId="150">
    <w:name w:val="标题 5 字符"/>
    <w:basedOn w:val="46"/>
    <w:link w:val="7"/>
    <w:qFormat/>
    <w:uiPriority w:val="0"/>
    <w:rPr>
      <w:b/>
      <w:kern w:val="2"/>
      <w:sz w:val="28"/>
    </w:rPr>
  </w:style>
  <w:style w:type="character" w:customStyle="1" w:styleId="151">
    <w:name w:val="标题 6 字符"/>
    <w:basedOn w:val="46"/>
    <w:link w:val="8"/>
    <w:qFormat/>
    <w:uiPriority w:val="0"/>
    <w:rPr>
      <w:rFonts w:ascii="Arial" w:hAnsi="Arial" w:eastAsia="黑体"/>
      <w:b/>
      <w:kern w:val="2"/>
      <w:sz w:val="24"/>
    </w:rPr>
  </w:style>
  <w:style w:type="character" w:customStyle="1" w:styleId="152">
    <w:name w:val="标题 7 字符"/>
    <w:basedOn w:val="46"/>
    <w:link w:val="9"/>
    <w:qFormat/>
    <w:uiPriority w:val="0"/>
    <w:rPr>
      <w:b/>
      <w:kern w:val="2"/>
      <w:sz w:val="24"/>
    </w:rPr>
  </w:style>
  <w:style w:type="character" w:customStyle="1" w:styleId="153">
    <w:name w:val="标题 8 字符"/>
    <w:basedOn w:val="46"/>
    <w:link w:val="10"/>
    <w:qFormat/>
    <w:uiPriority w:val="0"/>
    <w:rPr>
      <w:rFonts w:ascii="Arial" w:hAnsi="Arial" w:eastAsia="黑体"/>
      <w:kern w:val="2"/>
      <w:sz w:val="24"/>
    </w:rPr>
  </w:style>
  <w:style w:type="character" w:customStyle="1" w:styleId="154">
    <w:name w:val="标题 9 字符"/>
    <w:basedOn w:val="46"/>
    <w:link w:val="11"/>
    <w:qFormat/>
    <w:uiPriority w:val="0"/>
    <w:rPr>
      <w:rFonts w:ascii="Arial" w:hAnsi="Arial" w:eastAsia="黑体"/>
      <w:kern w:val="2"/>
      <w:sz w:val="28"/>
    </w:rPr>
  </w:style>
  <w:style w:type="character" w:customStyle="1" w:styleId="155">
    <w:name w:val="宏文本 字符"/>
    <w:basedOn w:val="46"/>
    <w:link w:val="2"/>
    <w:qFormat/>
    <w:uiPriority w:val="0"/>
    <w:rPr>
      <w:rFonts w:ascii="Courier New" w:hAnsi="Courier New" w:cs="Courier New"/>
      <w:kern w:val="2"/>
      <w:sz w:val="24"/>
      <w:szCs w:val="24"/>
    </w:rPr>
  </w:style>
  <w:style w:type="character" w:customStyle="1" w:styleId="156">
    <w:name w:val="文档结构图 字符"/>
    <w:basedOn w:val="46"/>
    <w:link w:val="16"/>
    <w:qFormat/>
    <w:uiPriority w:val="0"/>
    <w:rPr>
      <w:kern w:val="2"/>
      <w:sz w:val="28"/>
      <w:szCs w:val="24"/>
      <w:shd w:val="clear" w:color="auto" w:fill="000080"/>
    </w:rPr>
  </w:style>
  <w:style w:type="character" w:customStyle="1" w:styleId="157">
    <w:name w:val="批注文字 字符"/>
    <w:basedOn w:val="46"/>
    <w:link w:val="17"/>
    <w:qFormat/>
    <w:uiPriority w:val="0"/>
    <w:rPr>
      <w:kern w:val="2"/>
      <w:sz w:val="28"/>
      <w:szCs w:val="24"/>
    </w:rPr>
  </w:style>
  <w:style w:type="character" w:customStyle="1" w:styleId="158">
    <w:name w:val="正文文本 字符"/>
    <w:basedOn w:val="46"/>
    <w:link w:val="18"/>
    <w:qFormat/>
    <w:uiPriority w:val="99"/>
    <w:rPr>
      <w:kern w:val="2"/>
      <w:sz w:val="28"/>
      <w:szCs w:val="24"/>
    </w:rPr>
  </w:style>
  <w:style w:type="character" w:customStyle="1" w:styleId="159">
    <w:name w:val="日期 字符"/>
    <w:basedOn w:val="46"/>
    <w:link w:val="25"/>
    <w:qFormat/>
    <w:uiPriority w:val="0"/>
    <w:rPr>
      <w:rFonts w:ascii="宋体" w:hAnsi="宋体"/>
      <w:b/>
      <w:bCs/>
      <w:kern w:val="2"/>
      <w:sz w:val="28"/>
    </w:rPr>
  </w:style>
  <w:style w:type="character" w:customStyle="1" w:styleId="160">
    <w:name w:val="批注框文本 字符"/>
    <w:basedOn w:val="46"/>
    <w:link w:val="27"/>
    <w:qFormat/>
    <w:uiPriority w:val="0"/>
    <w:rPr>
      <w:kern w:val="2"/>
      <w:sz w:val="18"/>
      <w:szCs w:val="18"/>
    </w:rPr>
  </w:style>
  <w:style w:type="character" w:customStyle="1" w:styleId="161">
    <w:name w:val="副标题 字符"/>
    <w:basedOn w:val="46"/>
    <w:link w:val="32"/>
    <w:qFormat/>
    <w:uiPriority w:val="11"/>
    <w:rPr>
      <w:bCs/>
      <w:kern w:val="28"/>
      <w:sz w:val="22"/>
      <w:szCs w:val="32"/>
    </w:rPr>
  </w:style>
  <w:style w:type="character" w:customStyle="1" w:styleId="162">
    <w:name w:val="HTML 预设格式 字符"/>
    <w:basedOn w:val="46"/>
    <w:link w:val="38"/>
    <w:qFormat/>
    <w:uiPriority w:val="0"/>
    <w:rPr>
      <w:rFonts w:ascii="黑体" w:hAnsi="Courier New" w:eastAsia="黑体" w:cs="Courier New"/>
    </w:rPr>
  </w:style>
  <w:style w:type="character" w:customStyle="1" w:styleId="163">
    <w:name w:val="标题 字符"/>
    <w:basedOn w:val="46"/>
    <w:link w:val="41"/>
    <w:qFormat/>
    <w:uiPriority w:val="0"/>
    <w:rPr>
      <w:rFonts w:ascii="Arial" w:hAnsi="Arial" w:eastAsia="方正小标宋简体" w:cs="Arial"/>
      <w:bCs/>
      <w:kern w:val="2"/>
      <w:sz w:val="36"/>
      <w:szCs w:val="32"/>
    </w:rPr>
  </w:style>
  <w:style w:type="character" w:customStyle="1" w:styleId="164">
    <w:name w:val="批注主题 字符"/>
    <w:basedOn w:val="157"/>
    <w:link w:val="42"/>
    <w:qFormat/>
    <w:uiPriority w:val="0"/>
    <w:rPr>
      <w:b/>
      <w:bCs/>
      <w:kern w:val="2"/>
      <w:sz w:val="28"/>
      <w:szCs w:val="24"/>
    </w:rPr>
  </w:style>
  <w:style w:type="character" w:customStyle="1" w:styleId="165">
    <w:name w:val="正文文本首行缩进 字符"/>
    <w:basedOn w:val="158"/>
    <w:link w:val="43"/>
    <w:qFormat/>
    <w:uiPriority w:val="99"/>
    <w:rPr>
      <w:kern w:val="2"/>
      <w:sz w:val="21"/>
      <w:szCs w:val="24"/>
    </w:rPr>
  </w:style>
  <w:style w:type="paragraph" w:customStyle="1" w:styleId="166">
    <w:name w:val="正文顶格"/>
    <w:basedOn w:val="1"/>
    <w:qFormat/>
    <w:uiPriority w:val="0"/>
    <w:pPr>
      <w:ind w:firstLine="0" w:firstLineChars="0"/>
    </w:pPr>
    <w:rPr>
      <w:rFonts w:hint="eastAsia"/>
    </w:rPr>
  </w:style>
  <w:style w:type="paragraph" w:customStyle="1" w:styleId="167">
    <w:name w:val="Char Char Char1"/>
    <w:basedOn w:val="1"/>
    <w:next w:val="2"/>
    <w:qFormat/>
    <w:uiPriority w:val="0"/>
    <w:rPr>
      <w:szCs w:val="28"/>
    </w:rPr>
  </w:style>
  <w:style w:type="paragraph" w:customStyle="1" w:styleId="168">
    <w:name w:val="Char Char Char Char Char Char Char1"/>
    <w:basedOn w:val="1"/>
    <w:qFormat/>
    <w:uiPriority w:val="0"/>
    <w:pPr>
      <w:spacing w:line="520" w:lineRule="exact"/>
    </w:pPr>
  </w:style>
  <w:style w:type="paragraph" w:customStyle="1" w:styleId="169">
    <w:name w:val="Char1"/>
    <w:basedOn w:val="1"/>
    <w:qFormat/>
    <w:uiPriority w:val="0"/>
  </w:style>
  <w:style w:type="paragraph" w:customStyle="1" w:styleId="170">
    <w:name w:val="页眉、页脚"/>
    <w:basedOn w:val="171"/>
    <w:qFormat/>
    <w:uiPriority w:val="0"/>
    <w:pPr>
      <w:spacing w:line="240" w:lineRule="auto"/>
    </w:pPr>
    <w:rPr>
      <w:sz w:val="18"/>
      <w:szCs w:val="20"/>
    </w:rPr>
  </w:style>
  <w:style w:type="paragraph" w:customStyle="1" w:styleId="171">
    <w:name w:val="附件内容"/>
    <w:basedOn w:val="172"/>
    <w:qFormat/>
    <w:uiPriority w:val="0"/>
    <w:rPr>
      <w:b w:val="0"/>
      <w:sz w:val="28"/>
      <w:szCs w:val="21"/>
    </w:rPr>
  </w:style>
  <w:style w:type="paragraph" w:customStyle="1" w:styleId="172">
    <w:name w:val="附件、附图"/>
    <w:basedOn w:val="173"/>
    <w:qFormat/>
    <w:uiPriority w:val="0"/>
    <w:pPr>
      <w:jc w:val="both"/>
    </w:pPr>
    <w:rPr>
      <w:kern w:val="0"/>
      <w:sz w:val="32"/>
      <w:szCs w:val="20"/>
    </w:rPr>
  </w:style>
  <w:style w:type="paragraph" w:customStyle="1" w:styleId="173">
    <w:name w:val="附件及附图"/>
    <w:basedOn w:val="174"/>
    <w:qFormat/>
    <w:uiPriority w:val="0"/>
    <w:pPr>
      <w:spacing w:line="360" w:lineRule="auto"/>
    </w:pPr>
    <w:rPr>
      <w:b/>
      <w:sz w:val="36"/>
    </w:rPr>
  </w:style>
  <w:style w:type="paragraph" w:customStyle="1" w:styleId="174">
    <w:name w:val="无间隔1"/>
    <w:basedOn w:val="64"/>
    <w:qFormat/>
    <w:uiPriority w:val="0"/>
    <w:pPr>
      <w:spacing w:after="25" w:afterLines="25" w:line="240" w:lineRule="auto"/>
    </w:pPr>
    <w:rPr>
      <w:b w:val="0"/>
      <w:szCs w:val="21"/>
    </w:rPr>
  </w:style>
  <w:style w:type="paragraph" w:customStyle="1" w:styleId="175">
    <w:name w:val="表格头行"/>
    <w:basedOn w:val="1"/>
    <w:qFormat/>
    <w:uiPriority w:val="0"/>
    <w:pPr>
      <w:overflowPunct w:val="0"/>
      <w:spacing w:line="240" w:lineRule="auto"/>
      <w:ind w:firstLine="0" w:firstLineChars="0"/>
      <w:jc w:val="center"/>
      <w:textAlignment w:val="baseline"/>
    </w:pPr>
    <w:rPr>
      <w:rFonts w:ascii="Arial" w:hAnsi="Arial"/>
      <w:kern w:val="0"/>
      <w:sz w:val="21"/>
      <w:szCs w:val="20"/>
    </w:rPr>
  </w:style>
  <w:style w:type="paragraph" w:customStyle="1" w:styleId="176">
    <w:name w:val="11正文"/>
    <w:basedOn w:val="1"/>
    <w:qFormat/>
    <w:uiPriority w:val="0"/>
    <w:pPr>
      <w:spacing w:before="240" w:line="240" w:lineRule="auto"/>
      <w:ind w:firstLine="200"/>
    </w:pPr>
    <w:rPr>
      <w:rFonts w:ascii="仿宋_GB2312" w:hAnsi="Calibri" w:eastAsia="仿宋_GB2312"/>
      <w:szCs w:val="28"/>
    </w:rPr>
  </w:style>
  <w:style w:type="paragraph" w:customStyle="1" w:styleId="177">
    <w:name w:val="正文-河底岗"/>
    <w:basedOn w:val="18"/>
    <w:qFormat/>
    <w:uiPriority w:val="0"/>
    <w:pPr>
      <w:spacing w:after="0" w:line="480" w:lineRule="auto"/>
      <w:ind w:firstLine="880"/>
    </w:pPr>
    <w:rPr>
      <w:rFonts w:ascii="宋体" w:hAnsi="宋体"/>
      <w:sz w:val="24"/>
    </w:rPr>
  </w:style>
  <w:style w:type="paragraph" w:customStyle="1" w:styleId="178">
    <w:name w:val="样式 文本正文 + 首行缩进:  2 字符 Char"/>
    <w:basedOn w:val="1"/>
    <w:qFormat/>
    <w:uiPriority w:val="0"/>
    <w:pPr>
      <w:spacing w:line="560" w:lineRule="exact"/>
      <w:ind w:firstLine="480"/>
      <w:jc w:val="both"/>
    </w:pPr>
    <w:rPr>
      <w:rFonts w:ascii="Arial" w:hAnsi="Arial" w:eastAsia="幼圆" w:cs="宋体"/>
      <w:szCs w:val="20"/>
    </w:rPr>
  </w:style>
  <w:style w:type="paragraph" w:customStyle="1" w:styleId="179">
    <w:name w:val="00表格"/>
    <w:basedOn w:val="1"/>
    <w:next w:val="1"/>
    <w:qFormat/>
    <w:uiPriority w:val="0"/>
    <w:pPr>
      <w:widowControl/>
      <w:spacing w:line="240" w:lineRule="auto"/>
      <w:jc w:val="center"/>
    </w:pPr>
    <w:rPr>
      <w:sz w:val="24"/>
      <w:szCs w:val="21"/>
    </w:rPr>
  </w:style>
  <w:style w:type="paragraph" w:customStyle="1" w:styleId="180">
    <w:name w:val="表内正文"/>
    <w:basedOn w:val="1"/>
    <w:qFormat/>
    <w:uiPriority w:val="0"/>
    <w:pPr>
      <w:ind w:firstLine="0" w:firstLineChars="0"/>
      <w:jc w:val="both"/>
    </w:pPr>
    <w:rPr>
      <w:sz w:val="21"/>
    </w:rPr>
  </w:style>
  <w:style w:type="paragraph" w:customStyle="1" w:styleId="181">
    <w:name w:val="正文（首行缩进两字）"/>
    <w:basedOn w:val="1"/>
    <w:qFormat/>
    <w:uiPriority w:val="0"/>
    <w:pPr>
      <w:adjustRightInd w:val="0"/>
      <w:snapToGrid w:val="0"/>
    </w:pPr>
    <w:rPr>
      <w:szCs w:val="20"/>
    </w:rPr>
  </w:style>
  <w:style w:type="character" w:customStyle="1" w:styleId="182">
    <w:name w:val="font31"/>
    <w:basedOn w:val="46"/>
    <w:qFormat/>
    <w:uiPriority w:val="0"/>
    <w:rPr>
      <w:rFonts w:hint="default" w:ascii="Times New Roman" w:hAnsi="Times New Roman" w:cs="Times New Roman"/>
      <w:color w:val="000000"/>
      <w:sz w:val="20"/>
      <w:szCs w:val="20"/>
      <w:u w:val="none"/>
    </w:rPr>
  </w:style>
  <w:style w:type="character" w:customStyle="1" w:styleId="183">
    <w:name w:val="font51"/>
    <w:basedOn w:val="46"/>
    <w:qFormat/>
    <w:uiPriority w:val="0"/>
    <w:rPr>
      <w:rFonts w:hint="default" w:ascii="Times New Roman" w:hAnsi="Times New Roman" w:cs="Times New Roman"/>
      <w:color w:val="000000"/>
      <w:sz w:val="20"/>
      <w:szCs w:val="20"/>
      <w:u w:val="none"/>
    </w:rPr>
  </w:style>
  <w:style w:type="character" w:customStyle="1" w:styleId="184">
    <w:name w:val="font81"/>
    <w:basedOn w:val="46"/>
    <w:qFormat/>
    <w:uiPriority w:val="0"/>
    <w:rPr>
      <w:rFonts w:hint="default" w:ascii="Times New Roman" w:hAnsi="Times New Roman" w:cs="Times New Roman"/>
      <w:color w:val="000000"/>
      <w:sz w:val="20"/>
      <w:szCs w:val="20"/>
      <w:u w:val="none"/>
      <w:vertAlign w:val="superscript"/>
    </w:rPr>
  </w:style>
  <w:style w:type="character" w:customStyle="1" w:styleId="185">
    <w:name w:val="Unresolved Mention"/>
    <w:basedOn w:val="4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wmf"/><Relationship Id="rId52" Type="http://schemas.openxmlformats.org/officeDocument/2006/relationships/oleObject" Target="embeddings/oleObject4.bin"/><Relationship Id="rId51" Type="http://schemas.openxmlformats.org/officeDocument/2006/relationships/image" Target="media/image28.wmf"/><Relationship Id="rId50" Type="http://schemas.openxmlformats.org/officeDocument/2006/relationships/oleObject" Target="embeddings/oleObject3.bin"/><Relationship Id="rId5" Type="http://schemas.openxmlformats.org/officeDocument/2006/relationships/header" Target="header1.xml"/><Relationship Id="rId49" Type="http://schemas.openxmlformats.org/officeDocument/2006/relationships/image" Target="media/image27.wmf"/><Relationship Id="rId48" Type="http://schemas.openxmlformats.org/officeDocument/2006/relationships/oleObject" Target="embeddings/oleObject2.bin"/><Relationship Id="rId47" Type="http://schemas.openxmlformats.org/officeDocument/2006/relationships/image" Target="media/image26.wmf"/><Relationship Id="rId46" Type="http://schemas.openxmlformats.org/officeDocument/2006/relationships/oleObject" Target="embeddings/oleObject1.bin"/><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4E38C-D83F-43F6-B840-4990B2CBD71A}">
  <ds:schemaRefs/>
</ds:datastoreItem>
</file>

<file path=docProps/app.xml><?xml version="1.0" encoding="utf-8"?>
<Properties xmlns="http://schemas.openxmlformats.org/officeDocument/2006/extended-properties" xmlns:vt="http://schemas.openxmlformats.org/officeDocument/2006/docPropsVTypes">
  <Template>Normal</Template>
  <Company>t</Company>
  <Pages>204</Pages>
  <Words>14580</Words>
  <Characters>18493</Characters>
  <Lines>1056</Lines>
  <Paragraphs>297</Paragraphs>
  <TotalTime>90</TotalTime>
  <ScaleCrop>false</ScaleCrop>
  <LinksUpToDate>false</LinksUpToDate>
  <CharactersWithSpaces>18813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2025-09-16T11:52:00Z</dcterms:created>
  <dc:creator>Tt</dc:creator>
  <cp:lastModifiedBy>王树连</cp:lastModifiedBy>
  <cp:lastPrinted>2025-11-28T03:54:00Z</cp:lastPrinted>
  <dcterms:modified xsi:type="dcterms:W3CDTF">2025-11-28T06:31:04Z</dcterms:modified>
  <dc:title>123</dc:title>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9F00B1AC942A4106A547B7F52F6B1C22_13</vt:lpwstr>
  </property>
  <property fmtid="{D5CDD505-2E9C-101B-9397-08002B2CF9AE}" pid="4" name="commondata">
    <vt:lpwstr>eyJoZGlkIjoiMjFlMzRiNzQyNWNiMmMzY2M2MzM2NTJjNGI3NDkyYWQifQ==</vt:lpwstr>
  </property>
  <property fmtid="{D5CDD505-2E9C-101B-9397-08002B2CF9AE}" pid="5" name="KSOTemplateDocerSaveRecord">
    <vt:lpwstr>eyJoZGlkIjoiNTEyZjY5OTNlZjU0NjlmNjM2MDZmNjJkMmZjMjE0OGIiLCJ1c2VySWQiOiIyODQ4NDkwMDQifQ==</vt:lpwstr>
  </property>
</Properties>
</file>