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2C8620">
      <w:pPr>
        <w:widowControl/>
        <w:ind w:left="0" w:leftChars="0" w:firstLine="0" w:firstLineChars="0"/>
        <w:jc w:val="center"/>
        <w:rPr>
          <w:rFonts w:hint="eastAsia" w:ascii="宋体" w:hAnsi="宋体"/>
          <w:b/>
          <w:color w:val="000000" w:themeColor="text1"/>
          <w:kern w:val="0"/>
          <w:sz w:val="44"/>
          <w:szCs w:val="20"/>
          <w:lang w:val="en-US" w:eastAsia="zh-CN"/>
          <w14:textFill>
            <w14:solidFill>
              <w14:schemeClr w14:val="tx1"/>
            </w14:solidFill>
          </w14:textFill>
        </w:rPr>
      </w:pPr>
      <w:bookmarkStart w:id="175" w:name="_GoBack"/>
      <w:bookmarkEnd w:id="175"/>
    </w:p>
    <w:p w14:paraId="400D1C05">
      <w:pPr>
        <w:widowControl/>
        <w:ind w:left="0" w:leftChars="0" w:firstLine="0" w:firstLineChars="0"/>
        <w:jc w:val="center"/>
        <w:rPr>
          <w:rFonts w:hint="eastAsia" w:ascii="宋体" w:hAnsi="宋体"/>
          <w:b/>
          <w:color w:val="000000" w:themeColor="text1"/>
          <w:kern w:val="0"/>
          <w:sz w:val="44"/>
          <w:szCs w:val="20"/>
          <w:lang w:val="en-US" w:eastAsia="zh-CN"/>
          <w14:textFill>
            <w14:solidFill>
              <w14:schemeClr w14:val="tx1"/>
            </w14:solidFill>
          </w14:textFill>
        </w:rPr>
      </w:pPr>
    </w:p>
    <w:p w14:paraId="2B02B5A8">
      <w:pPr>
        <w:keepNext w:val="0"/>
        <w:keepLines w:val="0"/>
        <w:pageBreakBefore w:val="0"/>
        <w:widowControl/>
        <w:kinsoku/>
        <w:wordWrap/>
        <w:overflowPunct/>
        <w:topLinePunct w:val="0"/>
        <w:autoSpaceDE/>
        <w:autoSpaceDN/>
        <w:bidi w:val="0"/>
        <w:adjustRightInd/>
        <w:snapToGrid/>
        <w:spacing w:line="700" w:lineRule="exact"/>
        <w:ind w:left="0" w:leftChars="0" w:firstLine="0" w:firstLineChars="0"/>
        <w:jc w:val="center"/>
        <w:textAlignment w:val="auto"/>
        <w:rPr>
          <w:rFonts w:hint="eastAsia" w:ascii="宋体" w:hAnsi="宋体" w:eastAsia="宋体" w:cs="Times New Roman"/>
          <w:b/>
          <w:color w:val="000000" w:themeColor="text1"/>
          <w:kern w:val="0"/>
          <w:sz w:val="44"/>
          <w:szCs w:val="20"/>
          <w:lang w:val="en-US" w:eastAsia="zh-CN"/>
          <w14:textFill>
            <w14:solidFill>
              <w14:schemeClr w14:val="tx1"/>
            </w14:solidFill>
          </w14:textFill>
        </w:rPr>
      </w:pPr>
      <w:r>
        <w:rPr>
          <w:rFonts w:hint="eastAsia" w:ascii="宋体" w:hAnsi="宋体"/>
          <w:b/>
          <w:color w:val="000000" w:themeColor="text1"/>
          <w:kern w:val="0"/>
          <w:sz w:val="44"/>
          <w:szCs w:val="20"/>
          <w:lang w:val="en-US" w:eastAsia="zh-CN"/>
          <w14:textFill>
            <w14:solidFill>
              <w14:schemeClr w14:val="tx1"/>
            </w14:solidFill>
          </w14:textFill>
        </w:rPr>
        <w:t>南</w:t>
      </w:r>
      <w:r>
        <w:rPr>
          <w:rFonts w:hint="eastAsia" w:ascii="宋体" w:hAnsi="宋体"/>
          <w:b/>
          <w:color w:val="000000" w:themeColor="text1"/>
          <w:kern w:val="0"/>
          <w:sz w:val="44"/>
          <w:szCs w:val="20"/>
          <w14:textFill>
            <w14:solidFill>
              <w14:schemeClr w14:val="tx1"/>
            </w14:solidFill>
          </w14:textFill>
        </w:rPr>
        <w:t>昌</w:t>
      </w:r>
      <w:r>
        <w:rPr>
          <w:rFonts w:hint="eastAsia" w:ascii="宋体" w:hAnsi="宋体" w:eastAsia="宋体" w:cs="Times New Roman"/>
          <w:b/>
          <w:color w:val="000000" w:themeColor="text1"/>
          <w:kern w:val="0"/>
          <w:sz w:val="44"/>
          <w:szCs w:val="20"/>
          <w:lang w:val="en-US" w:eastAsia="zh-CN"/>
          <w14:textFill>
            <w14:solidFill>
              <w14:schemeClr w14:val="tx1"/>
            </w14:solidFill>
          </w14:textFill>
        </w:rPr>
        <w:t>布莱特进出口有限责任公司</w:t>
      </w:r>
    </w:p>
    <w:p w14:paraId="6A47E2D7">
      <w:pPr>
        <w:keepNext w:val="0"/>
        <w:keepLines w:val="0"/>
        <w:pageBreakBefore w:val="0"/>
        <w:tabs>
          <w:tab w:val="center" w:pos="4535"/>
          <w:tab w:val="left" w:pos="6484"/>
        </w:tabs>
        <w:kinsoku/>
        <w:wordWrap/>
        <w:overflowPunct/>
        <w:topLinePunct w:val="0"/>
        <w:autoSpaceDE/>
        <w:autoSpaceDN/>
        <w:bidi w:val="0"/>
        <w:adjustRightInd/>
        <w:snapToGrid/>
        <w:spacing w:after="120" w:line="700" w:lineRule="exact"/>
        <w:ind w:left="0" w:leftChars="0" w:firstLine="0" w:firstLineChars="0"/>
        <w:jc w:val="center"/>
        <w:textAlignment w:val="auto"/>
        <w:rPr>
          <w:rFonts w:hint="eastAsia" w:ascii="宋体" w:hAnsi="宋体" w:eastAsia="宋体"/>
          <w:b/>
          <w:color w:val="000000" w:themeColor="text1"/>
          <w:spacing w:val="60"/>
          <w:sz w:val="44"/>
          <w:lang w:val="en-US" w:eastAsia="zh-CN"/>
          <w14:textFill>
            <w14:solidFill>
              <w14:schemeClr w14:val="tx1"/>
            </w14:solidFill>
          </w14:textFill>
        </w:rPr>
      </w:pPr>
      <w:r>
        <w:rPr>
          <w:rFonts w:hint="eastAsia" w:ascii="宋体" w:hAnsi="宋体"/>
          <w:b/>
          <w:color w:val="000000" w:themeColor="text1"/>
          <w:sz w:val="44"/>
          <w14:textFill>
            <w14:solidFill>
              <w14:schemeClr w14:val="tx1"/>
            </w14:solidFill>
          </w14:textFill>
        </w:rPr>
        <w:t>烟花爆竹经营（批发）</w:t>
      </w:r>
      <w:r>
        <w:rPr>
          <w:rFonts w:hint="eastAsia" w:ascii="宋体" w:hAnsi="宋体"/>
          <w:b/>
          <w:color w:val="000000" w:themeColor="text1"/>
          <w:sz w:val="44"/>
          <w:lang w:val="en-US" w:eastAsia="zh-CN"/>
          <w14:textFill>
            <w14:solidFill>
              <w14:schemeClr w14:val="tx1"/>
            </w14:solidFill>
          </w14:textFill>
        </w:rPr>
        <w:t>项目</w:t>
      </w:r>
    </w:p>
    <w:p w14:paraId="50859060">
      <w:pPr>
        <w:keepNext w:val="0"/>
        <w:keepLines w:val="0"/>
        <w:pageBreakBefore w:val="0"/>
        <w:kinsoku/>
        <w:wordWrap/>
        <w:overflowPunct/>
        <w:topLinePunct w:val="0"/>
        <w:autoSpaceDE/>
        <w:autoSpaceDN/>
        <w:bidi w:val="0"/>
        <w:adjustRightInd/>
        <w:snapToGrid/>
        <w:spacing w:after="120" w:line="700" w:lineRule="exact"/>
        <w:ind w:left="0" w:leftChars="0" w:firstLine="0" w:firstLineChars="0"/>
        <w:jc w:val="center"/>
        <w:textAlignment w:val="auto"/>
        <w:rPr>
          <w:rFonts w:ascii="黑体" w:eastAsia="黑体"/>
          <w:b/>
          <w:color w:val="000000" w:themeColor="text1"/>
          <w:kern w:val="0"/>
          <w:sz w:val="52"/>
          <w:szCs w:val="20"/>
          <w14:textFill>
            <w14:solidFill>
              <w14:schemeClr w14:val="tx1"/>
            </w14:solidFill>
          </w14:textFill>
        </w:rPr>
      </w:pPr>
      <w:r>
        <w:rPr>
          <w:rFonts w:hint="eastAsia" w:ascii="黑体" w:eastAsia="黑体"/>
          <w:b/>
          <w:color w:val="000000" w:themeColor="text1"/>
          <w:kern w:val="0"/>
          <w:sz w:val="52"/>
          <w:szCs w:val="20"/>
          <w14:textFill>
            <w14:solidFill>
              <w14:schemeClr w14:val="tx1"/>
            </w14:solidFill>
          </w14:textFill>
        </w:rPr>
        <w:t>安全现状评价报告</w:t>
      </w:r>
    </w:p>
    <w:p w14:paraId="429EE01A">
      <w:pPr>
        <w:spacing w:line="360" w:lineRule="auto"/>
        <w:jc w:val="center"/>
        <w:rPr>
          <w:rFonts w:ascii="宋体" w:hAnsi="宋体"/>
          <w:color w:val="000000" w:themeColor="text1"/>
          <w:sz w:val="28"/>
          <w:szCs w:val="20"/>
          <w14:textFill>
            <w14:solidFill>
              <w14:schemeClr w14:val="tx1"/>
            </w14:solidFill>
          </w14:textFill>
        </w:rPr>
      </w:pPr>
    </w:p>
    <w:p w14:paraId="64081C96">
      <w:pPr>
        <w:spacing w:line="360" w:lineRule="auto"/>
        <w:jc w:val="center"/>
        <w:rPr>
          <w:rFonts w:ascii="宋体" w:hAnsi="宋体"/>
          <w:color w:val="000000" w:themeColor="text1"/>
          <w:sz w:val="28"/>
          <w:szCs w:val="20"/>
          <w14:textFill>
            <w14:solidFill>
              <w14:schemeClr w14:val="tx1"/>
            </w14:solidFill>
          </w14:textFill>
        </w:rPr>
      </w:pPr>
    </w:p>
    <w:p w14:paraId="21DE1E21">
      <w:pPr>
        <w:spacing w:line="360" w:lineRule="auto"/>
        <w:jc w:val="center"/>
        <w:rPr>
          <w:rFonts w:ascii="宋体" w:hAnsi="宋体"/>
          <w:color w:val="000000" w:themeColor="text1"/>
          <w:sz w:val="28"/>
          <w:szCs w:val="20"/>
          <w14:textFill>
            <w14:solidFill>
              <w14:schemeClr w14:val="tx1"/>
            </w14:solidFill>
          </w14:textFill>
        </w:rPr>
      </w:pPr>
    </w:p>
    <w:p w14:paraId="613698BA">
      <w:pPr>
        <w:spacing w:line="360" w:lineRule="auto"/>
        <w:jc w:val="center"/>
        <w:rPr>
          <w:rFonts w:ascii="宋体" w:hAnsi="宋体"/>
          <w:color w:val="000000" w:themeColor="text1"/>
          <w:sz w:val="28"/>
          <w:szCs w:val="20"/>
          <w14:textFill>
            <w14:solidFill>
              <w14:schemeClr w14:val="tx1"/>
            </w14:solidFill>
          </w14:textFill>
        </w:rPr>
      </w:pPr>
    </w:p>
    <w:p w14:paraId="068DEF04">
      <w:pPr>
        <w:spacing w:line="360" w:lineRule="auto"/>
        <w:jc w:val="center"/>
        <w:rPr>
          <w:rFonts w:ascii="宋体" w:hAnsi="宋体"/>
          <w:color w:val="000000" w:themeColor="text1"/>
          <w:sz w:val="28"/>
          <w:szCs w:val="20"/>
          <w14:textFill>
            <w14:solidFill>
              <w14:schemeClr w14:val="tx1"/>
            </w14:solidFill>
          </w14:textFill>
        </w:rPr>
      </w:pPr>
    </w:p>
    <w:p w14:paraId="0E171EF5">
      <w:pPr>
        <w:spacing w:line="360" w:lineRule="auto"/>
        <w:jc w:val="center"/>
        <w:rPr>
          <w:rFonts w:ascii="宋体" w:hAnsi="宋体"/>
          <w:color w:val="000000" w:themeColor="text1"/>
          <w:sz w:val="28"/>
          <w:szCs w:val="20"/>
          <w14:textFill>
            <w14:solidFill>
              <w14:schemeClr w14:val="tx1"/>
            </w14:solidFill>
          </w14:textFill>
        </w:rPr>
      </w:pPr>
    </w:p>
    <w:p w14:paraId="280B60D1">
      <w:pPr>
        <w:spacing w:line="360" w:lineRule="auto"/>
        <w:jc w:val="center"/>
        <w:rPr>
          <w:rFonts w:ascii="宋体" w:hAnsi="宋体"/>
          <w:color w:val="000000" w:themeColor="text1"/>
          <w:sz w:val="28"/>
          <w:szCs w:val="20"/>
          <w14:textFill>
            <w14:solidFill>
              <w14:schemeClr w14:val="tx1"/>
            </w14:solidFill>
          </w14:textFill>
        </w:rPr>
      </w:pPr>
    </w:p>
    <w:p w14:paraId="578DF429">
      <w:pPr>
        <w:spacing w:line="360" w:lineRule="auto"/>
        <w:jc w:val="center"/>
        <w:rPr>
          <w:rFonts w:ascii="宋体" w:hAnsi="宋体"/>
          <w:color w:val="000000" w:themeColor="text1"/>
          <w:sz w:val="28"/>
          <w:szCs w:val="20"/>
          <w14:textFill>
            <w14:solidFill>
              <w14:schemeClr w14:val="tx1"/>
            </w14:solidFill>
          </w14:textFill>
        </w:rPr>
      </w:pPr>
    </w:p>
    <w:p w14:paraId="7BDCB89C">
      <w:pPr>
        <w:spacing w:line="360" w:lineRule="auto"/>
        <w:jc w:val="center"/>
        <w:rPr>
          <w:rFonts w:ascii="宋体" w:hAnsi="宋体"/>
          <w:color w:val="000000" w:themeColor="text1"/>
          <w:sz w:val="28"/>
          <w:szCs w:val="20"/>
          <w14:textFill>
            <w14:solidFill>
              <w14:schemeClr w14:val="tx1"/>
            </w14:solidFill>
          </w14:textFill>
        </w:rPr>
      </w:pPr>
    </w:p>
    <w:p w14:paraId="5DA33234">
      <w:pPr>
        <w:spacing w:line="360" w:lineRule="auto"/>
        <w:jc w:val="center"/>
        <w:rPr>
          <w:rFonts w:ascii="宋体" w:hAnsi="宋体"/>
          <w:color w:val="000000" w:themeColor="text1"/>
          <w:sz w:val="28"/>
          <w:szCs w:val="20"/>
          <w14:textFill>
            <w14:solidFill>
              <w14:schemeClr w14:val="tx1"/>
            </w14:solidFill>
          </w14:textFill>
        </w:rPr>
      </w:pPr>
    </w:p>
    <w:p w14:paraId="7701E92F">
      <w:pPr>
        <w:spacing w:line="360" w:lineRule="auto"/>
        <w:jc w:val="center"/>
        <w:rPr>
          <w:rFonts w:ascii="宋体" w:hAnsi="宋体"/>
          <w:color w:val="000000" w:themeColor="text1"/>
          <w:sz w:val="28"/>
          <w:szCs w:val="20"/>
          <w14:textFill>
            <w14:solidFill>
              <w14:schemeClr w14:val="tx1"/>
            </w14:solidFill>
          </w14:textFill>
        </w:rPr>
      </w:pPr>
    </w:p>
    <w:p w14:paraId="298DA576">
      <w:pPr>
        <w:spacing w:line="360" w:lineRule="auto"/>
        <w:jc w:val="center"/>
        <w:rPr>
          <w:rFonts w:ascii="宋体" w:hAnsi="宋体"/>
          <w:color w:val="000000" w:themeColor="text1"/>
          <w:sz w:val="28"/>
          <w:szCs w:val="20"/>
          <w14:textFill>
            <w14:solidFill>
              <w14:schemeClr w14:val="tx1"/>
            </w14:solidFill>
          </w14:textFill>
        </w:rPr>
      </w:pPr>
    </w:p>
    <w:p w14:paraId="54A48438">
      <w:pPr>
        <w:snapToGrid w:val="0"/>
        <w:spacing w:line="360" w:lineRule="auto"/>
        <w:jc w:val="center"/>
        <w:rPr>
          <w:rFonts w:ascii="宋体" w:hAnsi="宋体" w:cs="宋体"/>
          <w:b/>
          <w:color w:val="000000" w:themeColor="text1"/>
          <w:sz w:val="44"/>
          <w:szCs w:val="20"/>
          <w14:textFill>
            <w14:solidFill>
              <w14:schemeClr w14:val="tx1"/>
            </w14:solidFill>
          </w14:textFill>
        </w:rPr>
      </w:pPr>
      <w:r>
        <w:rPr>
          <w:rFonts w:hint="eastAsia" w:ascii="宋体" w:hAnsi="宋体" w:cs="宋体"/>
          <w:b/>
          <w:color w:val="000000" w:themeColor="text1"/>
          <w:sz w:val="44"/>
          <w:szCs w:val="20"/>
          <w14:textFill>
            <w14:solidFill>
              <w14:schemeClr w14:val="tx1"/>
            </w14:solidFill>
          </w14:textFill>
        </w:rPr>
        <w:t>江西赣安安全生产科学技术咨询服务中心</w:t>
      </w:r>
    </w:p>
    <w:p w14:paraId="467149B6">
      <w:pPr>
        <w:snapToGrid w:val="0"/>
        <w:spacing w:line="360" w:lineRule="auto"/>
        <w:jc w:val="center"/>
        <w:rPr>
          <w:rFonts w:ascii="宋体" w:hAnsi="宋体" w:cs="宋体"/>
          <w:b/>
          <w:color w:val="000000" w:themeColor="text1"/>
          <w:w w:val="70"/>
          <w:sz w:val="48"/>
          <w:szCs w:val="20"/>
          <w14:textFill>
            <w14:solidFill>
              <w14:schemeClr w14:val="tx1"/>
            </w14:solidFill>
          </w14:textFill>
        </w:rPr>
      </w:pPr>
      <w:r>
        <w:rPr>
          <w:rFonts w:hint="eastAsia" w:ascii="宋体" w:hAnsi="宋体" w:cs="宋体"/>
          <w:b/>
          <w:color w:val="000000" w:themeColor="text1"/>
          <w:sz w:val="32"/>
          <w:szCs w:val="20"/>
          <w14:textFill>
            <w14:solidFill>
              <w14:schemeClr w14:val="tx1"/>
            </w14:solidFill>
          </w14:textFill>
        </w:rPr>
        <w:t>资质证书编号：APJ-（赣）-002</w:t>
      </w:r>
    </w:p>
    <w:p w14:paraId="03259E24">
      <w:pPr>
        <w:jc w:val="center"/>
        <w:rPr>
          <w:rFonts w:ascii="宋体" w:hAnsi="宋体"/>
          <w:b/>
          <w:color w:val="000000" w:themeColor="text1"/>
          <w:sz w:val="32"/>
          <w:szCs w:val="20"/>
          <w14:textFill>
            <w14:solidFill>
              <w14:schemeClr w14:val="tx1"/>
            </w14:solidFill>
          </w14:textFill>
        </w:rPr>
      </w:pPr>
      <w:r>
        <w:rPr>
          <w:rFonts w:hint="eastAsia" w:ascii="宋体" w:hAnsi="宋体"/>
          <w:b/>
          <w:color w:val="000000" w:themeColor="text1"/>
          <w:sz w:val="32"/>
          <w:szCs w:val="20"/>
          <w14:textFill>
            <w14:solidFill>
              <w14:schemeClr w14:val="tx1"/>
            </w14:solidFill>
          </w14:textFill>
        </w:rPr>
        <w:t>二○二五年</w:t>
      </w:r>
      <w:r>
        <w:rPr>
          <w:rFonts w:hint="eastAsia" w:ascii="宋体" w:hAnsi="宋体"/>
          <w:b/>
          <w:color w:val="000000" w:themeColor="text1"/>
          <w:sz w:val="32"/>
          <w:szCs w:val="20"/>
          <w:lang w:val="en-US" w:eastAsia="zh-CN"/>
          <w14:textFill>
            <w14:solidFill>
              <w14:schemeClr w14:val="tx1"/>
            </w14:solidFill>
          </w14:textFill>
        </w:rPr>
        <w:t>十二</w:t>
      </w:r>
      <w:r>
        <w:rPr>
          <w:rFonts w:hint="eastAsia" w:ascii="宋体" w:hAnsi="宋体"/>
          <w:b/>
          <w:color w:val="000000" w:themeColor="text1"/>
          <w:sz w:val="32"/>
          <w:szCs w:val="20"/>
          <w14:textFill>
            <w14:solidFill>
              <w14:schemeClr w14:val="tx1"/>
            </w14:solidFill>
          </w14:textFill>
        </w:rPr>
        <w:t>月</w:t>
      </w:r>
      <w:r>
        <w:rPr>
          <w:rFonts w:hint="eastAsia" w:ascii="宋体" w:hAnsi="宋体"/>
          <w:b/>
          <w:color w:val="000000" w:themeColor="text1"/>
          <w:sz w:val="32"/>
          <w:szCs w:val="20"/>
          <w:lang w:val="en-US" w:eastAsia="zh-CN"/>
          <w14:textFill>
            <w14:solidFill>
              <w14:schemeClr w14:val="tx1"/>
            </w14:solidFill>
          </w14:textFill>
        </w:rPr>
        <w:t>二十四</w:t>
      </w:r>
      <w:r>
        <w:rPr>
          <w:rFonts w:hint="eastAsia" w:ascii="宋体" w:hAnsi="宋体"/>
          <w:b/>
          <w:color w:val="000000" w:themeColor="text1"/>
          <w:sz w:val="32"/>
          <w:szCs w:val="20"/>
          <w14:textFill>
            <w14:solidFill>
              <w14:schemeClr w14:val="tx1"/>
            </w14:solidFill>
          </w14:textFill>
        </w:rPr>
        <w:t>日</w:t>
      </w:r>
    </w:p>
    <w:p w14:paraId="55308872">
      <w:pPr>
        <w:spacing w:line="360" w:lineRule="auto"/>
        <w:jc w:val="center"/>
        <w:rPr>
          <w:rFonts w:ascii="宋体" w:hAnsi="宋体"/>
          <w:b/>
          <w:kern w:val="0"/>
          <w:sz w:val="44"/>
          <w:szCs w:val="44"/>
          <w:u w:color="FF0000"/>
        </w:rPr>
      </w:pPr>
    </w:p>
    <w:p w14:paraId="0A4FDF14">
      <w:pPr>
        <w:spacing w:line="360" w:lineRule="auto"/>
        <w:jc w:val="center"/>
        <w:rPr>
          <w:rFonts w:ascii="宋体" w:hAnsi="宋体"/>
          <w:b/>
          <w:kern w:val="0"/>
          <w:sz w:val="44"/>
          <w:szCs w:val="44"/>
          <w:u w:color="FF0000"/>
        </w:rPr>
        <w:sectPr>
          <w:headerReference r:id="rId7" w:type="first"/>
          <w:headerReference r:id="rId5" w:type="default"/>
          <w:footerReference r:id="rId8" w:type="default"/>
          <w:headerReference r:id="rId6" w:type="even"/>
          <w:footerReference r:id="rId9" w:type="even"/>
          <w:pgSz w:w="11906" w:h="16838"/>
          <w:pgMar w:top="1417" w:right="1417" w:bottom="1417" w:left="1417" w:header="851" w:footer="839" w:gutter="0"/>
          <w:paperSrc w:first="7" w:other="7"/>
          <w:pgBorders>
            <w:top w:val="none" w:sz="0" w:space="0"/>
            <w:left w:val="none" w:sz="0" w:space="0"/>
            <w:bottom w:val="none" w:sz="0" w:space="0"/>
            <w:right w:val="none" w:sz="0" w:space="0"/>
          </w:pgBorders>
          <w:pgNumType w:fmt="upperRoman" w:start="1"/>
          <w:cols w:space="720" w:num="1"/>
          <w:titlePg/>
          <w:docGrid w:linePitch="312" w:charSpace="0"/>
        </w:sectPr>
      </w:pPr>
    </w:p>
    <w:p w14:paraId="429C6BE1">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Times New Roman"/>
          <w:b/>
          <w:kern w:val="0"/>
          <w:sz w:val="36"/>
          <w:szCs w:val="36"/>
          <w:u w:color="FF0000"/>
          <w:lang w:val="en-US" w:eastAsia="zh-CN"/>
        </w:rPr>
      </w:pPr>
    </w:p>
    <w:p w14:paraId="77E1D4BC">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Times New Roman"/>
          <w:b/>
          <w:kern w:val="0"/>
          <w:sz w:val="36"/>
          <w:szCs w:val="36"/>
          <w:u w:color="FF0000"/>
          <w:lang w:val="en-US" w:eastAsia="zh-CN"/>
        </w:rPr>
      </w:pPr>
    </w:p>
    <w:p w14:paraId="0E713267">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Times New Roman"/>
          <w:b/>
          <w:kern w:val="0"/>
          <w:sz w:val="36"/>
          <w:szCs w:val="36"/>
          <w:u w:color="FF0000"/>
          <w:lang w:val="en-US" w:eastAsia="zh-CN"/>
        </w:rPr>
      </w:pPr>
      <w:r>
        <w:rPr>
          <w:rFonts w:hint="eastAsia" w:ascii="宋体" w:hAnsi="宋体" w:eastAsia="宋体" w:cs="Times New Roman"/>
          <w:b/>
          <w:kern w:val="0"/>
          <w:sz w:val="36"/>
          <w:szCs w:val="36"/>
          <w:u w:color="FF0000"/>
          <w:lang w:val="en-US" w:eastAsia="zh-CN"/>
        </w:rPr>
        <w:t>南</w:t>
      </w:r>
      <w:r>
        <w:rPr>
          <w:rFonts w:hint="eastAsia" w:ascii="宋体" w:hAnsi="宋体" w:eastAsia="宋体" w:cs="Times New Roman"/>
          <w:b/>
          <w:kern w:val="0"/>
          <w:sz w:val="36"/>
          <w:szCs w:val="36"/>
          <w:u w:color="FF0000"/>
        </w:rPr>
        <w:t>昌</w:t>
      </w:r>
      <w:r>
        <w:rPr>
          <w:rFonts w:hint="eastAsia" w:ascii="宋体" w:hAnsi="宋体" w:eastAsia="宋体" w:cs="Times New Roman"/>
          <w:b/>
          <w:kern w:val="0"/>
          <w:sz w:val="36"/>
          <w:szCs w:val="36"/>
          <w:u w:color="FF0000"/>
          <w:lang w:val="en-US" w:eastAsia="zh-CN"/>
        </w:rPr>
        <w:t>布莱特进出口有限责任公司</w:t>
      </w:r>
    </w:p>
    <w:p w14:paraId="41F6CBC5">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b/>
          <w:kern w:val="0"/>
          <w:sz w:val="36"/>
          <w:szCs w:val="36"/>
          <w:u w:color="FF0000"/>
          <w:lang w:eastAsia="zh-CN"/>
        </w:rPr>
      </w:pPr>
      <w:r>
        <w:rPr>
          <w:rFonts w:hint="eastAsia" w:ascii="宋体" w:hAnsi="宋体"/>
          <w:b/>
          <w:kern w:val="0"/>
          <w:sz w:val="36"/>
          <w:szCs w:val="36"/>
          <w:u w:color="FF0000"/>
        </w:rPr>
        <w:t>烟花爆竹经营（批发）</w:t>
      </w:r>
      <w:r>
        <w:rPr>
          <w:rFonts w:hint="eastAsia" w:ascii="宋体" w:hAnsi="宋体"/>
          <w:b/>
          <w:kern w:val="0"/>
          <w:sz w:val="36"/>
          <w:szCs w:val="36"/>
          <w:u w:color="FF0000"/>
          <w:lang w:val="en-US" w:eastAsia="zh-CN"/>
        </w:rPr>
        <w:t>项目</w:t>
      </w:r>
    </w:p>
    <w:p w14:paraId="47791876">
      <w:pPr>
        <w:keepNext w:val="0"/>
        <w:keepLines w:val="0"/>
        <w:pageBreakBefore w:val="0"/>
        <w:kinsoku/>
        <w:wordWrap/>
        <w:overflowPunct/>
        <w:topLinePunct w:val="0"/>
        <w:autoSpaceDE/>
        <w:autoSpaceDN/>
        <w:bidi w:val="0"/>
        <w:adjustRightInd/>
        <w:snapToGrid/>
        <w:spacing w:line="360" w:lineRule="auto"/>
        <w:ind w:left="0" w:leftChars="0" w:firstLine="0" w:firstLineChars="0"/>
        <w:jc w:val="center"/>
        <w:textAlignment w:val="auto"/>
        <w:rPr>
          <w:rFonts w:ascii="宋体" w:hAnsi="宋体"/>
          <w:sz w:val="24"/>
          <w:szCs w:val="20"/>
        </w:rPr>
      </w:pPr>
      <w:r>
        <w:rPr>
          <w:rFonts w:hint="eastAsia" w:ascii="黑体" w:hAnsi="黑体" w:eastAsia="黑体"/>
          <w:b/>
          <w:spacing w:val="50"/>
          <w:kern w:val="0"/>
          <w:sz w:val="44"/>
          <w:szCs w:val="20"/>
        </w:rPr>
        <w:t>安全现状评价报告</w:t>
      </w:r>
    </w:p>
    <w:p w14:paraId="0BAC3E2A">
      <w:pPr>
        <w:jc w:val="center"/>
        <w:rPr>
          <w:rFonts w:ascii="宋体" w:hAnsi="宋体"/>
          <w:sz w:val="24"/>
          <w:szCs w:val="20"/>
        </w:rPr>
      </w:pPr>
    </w:p>
    <w:p w14:paraId="69D975D2">
      <w:pPr>
        <w:jc w:val="center"/>
        <w:rPr>
          <w:rFonts w:ascii="宋体" w:hAnsi="宋体"/>
          <w:sz w:val="24"/>
          <w:szCs w:val="20"/>
        </w:rPr>
      </w:pPr>
    </w:p>
    <w:p w14:paraId="49918900">
      <w:pPr>
        <w:jc w:val="center"/>
        <w:rPr>
          <w:rFonts w:ascii="宋体" w:hAnsi="宋体"/>
          <w:sz w:val="24"/>
          <w:szCs w:val="20"/>
        </w:rPr>
      </w:pPr>
    </w:p>
    <w:p w14:paraId="0AD9B622">
      <w:pPr>
        <w:jc w:val="center"/>
        <w:rPr>
          <w:rFonts w:ascii="宋体" w:hAnsi="宋体"/>
          <w:sz w:val="24"/>
          <w:szCs w:val="20"/>
        </w:rPr>
      </w:pPr>
    </w:p>
    <w:p w14:paraId="1742C2DB">
      <w:pPr>
        <w:jc w:val="center"/>
        <w:rPr>
          <w:rFonts w:ascii="宋体" w:hAnsi="宋体"/>
          <w:sz w:val="24"/>
          <w:szCs w:val="20"/>
        </w:rPr>
      </w:pPr>
    </w:p>
    <w:p w14:paraId="6F41A6C7">
      <w:pPr>
        <w:jc w:val="center"/>
        <w:rPr>
          <w:rFonts w:ascii="宋体" w:hAnsi="宋体"/>
          <w:sz w:val="24"/>
          <w:szCs w:val="20"/>
        </w:rPr>
      </w:pPr>
    </w:p>
    <w:p w14:paraId="153BA5A2">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sz w:val="28"/>
          <w:szCs w:val="20"/>
        </w:rPr>
      </w:pPr>
      <w:r>
        <w:rPr>
          <w:rFonts w:hint="eastAsia" w:ascii="宋体" w:hAnsi="宋体"/>
          <w:sz w:val="28"/>
          <w:szCs w:val="20"/>
        </w:rPr>
        <w:t>法定代表人：应 宏</w:t>
      </w:r>
    </w:p>
    <w:p w14:paraId="488CA61C">
      <w:pPr>
        <w:keepNext w:val="0"/>
        <w:keepLines w:val="0"/>
        <w:pageBreakBefore w:val="0"/>
        <w:widowControl w:val="0"/>
        <w:kinsoku/>
        <w:wordWrap/>
        <w:overflowPunct/>
        <w:topLinePunct w:val="0"/>
        <w:autoSpaceDE/>
        <w:autoSpaceDN/>
        <w:bidi w:val="0"/>
        <w:adjustRightInd/>
        <w:snapToGrid/>
        <w:jc w:val="center"/>
        <w:textAlignment w:val="auto"/>
        <w:rPr>
          <w:rFonts w:ascii="宋体" w:hAnsi="宋体"/>
          <w:sz w:val="28"/>
          <w:szCs w:val="20"/>
        </w:rPr>
      </w:pPr>
      <w:r>
        <w:rPr>
          <w:rFonts w:hint="eastAsia" w:ascii="宋体" w:hAnsi="宋体"/>
          <w:sz w:val="28"/>
          <w:szCs w:val="20"/>
        </w:rPr>
        <w:t>技术负责人：应 宏</w:t>
      </w:r>
    </w:p>
    <w:p w14:paraId="6D90EEBE">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sz w:val="28"/>
          <w:szCs w:val="20"/>
        </w:rPr>
      </w:pPr>
      <w:r>
        <w:rPr>
          <w:rFonts w:hint="eastAsia" w:ascii="宋体" w:hAnsi="宋体"/>
          <w:sz w:val="28"/>
          <w:szCs w:val="20"/>
        </w:rPr>
        <w:t>评价项目负责人：</w:t>
      </w:r>
      <w:r>
        <w:rPr>
          <w:rFonts w:hint="eastAsia"/>
        </w:rPr>
        <w:t>王建新</w:t>
      </w:r>
    </w:p>
    <w:p w14:paraId="6C23E5B5">
      <w:pPr>
        <w:widowControl/>
        <w:snapToGrid w:val="0"/>
        <w:spacing w:before="360" w:beforeLines="150" w:line="360" w:lineRule="auto"/>
        <w:jc w:val="center"/>
        <w:rPr>
          <w:rFonts w:ascii="宋体" w:hAnsi="宋体" w:cs="宋体"/>
          <w:b/>
          <w:sz w:val="28"/>
          <w:szCs w:val="28"/>
          <w:u w:color="FF0000"/>
        </w:rPr>
      </w:pPr>
      <w:r>
        <w:rPr>
          <w:rFonts w:hint="eastAsia" w:ascii="宋体" w:hAnsi="宋体"/>
          <w:b/>
          <w:sz w:val="28"/>
          <w:szCs w:val="28"/>
        </w:rPr>
        <w:t>报告完成时间：二○二五年</w:t>
      </w:r>
      <w:r>
        <w:rPr>
          <w:rFonts w:hint="eastAsia" w:ascii="宋体" w:hAnsi="宋体"/>
          <w:b/>
          <w:sz w:val="28"/>
          <w:szCs w:val="28"/>
          <w:lang w:val="en-US" w:eastAsia="zh-CN"/>
        </w:rPr>
        <w:t>十二</w:t>
      </w:r>
      <w:r>
        <w:rPr>
          <w:rFonts w:hint="eastAsia" w:ascii="宋体" w:hAnsi="宋体"/>
          <w:b/>
          <w:sz w:val="28"/>
          <w:szCs w:val="28"/>
        </w:rPr>
        <w:t>月</w:t>
      </w:r>
      <w:r>
        <w:rPr>
          <w:rFonts w:hint="eastAsia" w:ascii="宋体" w:hAnsi="宋体"/>
          <w:b/>
          <w:sz w:val="28"/>
          <w:szCs w:val="28"/>
          <w:lang w:val="en-US" w:eastAsia="zh-CN"/>
        </w:rPr>
        <w:t>二十四</w:t>
      </w:r>
      <w:r>
        <w:rPr>
          <w:rFonts w:hint="eastAsia" w:ascii="宋体" w:hAnsi="宋体"/>
          <w:b/>
          <w:sz w:val="28"/>
          <w:szCs w:val="28"/>
        </w:rPr>
        <w:t>日</w:t>
      </w:r>
      <w:r>
        <w:rPr>
          <w:rFonts w:ascii="宋体" w:hAnsi="宋体" w:cs="宋体"/>
          <w:b/>
          <w:sz w:val="28"/>
          <w:szCs w:val="28"/>
          <w:u w:color="FF0000"/>
        </w:rPr>
        <w:br w:type="page"/>
      </w:r>
    </w:p>
    <w:p w14:paraId="7F102210">
      <w:pPr>
        <w:bidi w:val="0"/>
        <w:jc w:val="center"/>
        <w:rPr>
          <w:rFonts w:hint="eastAsia"/>
          <w:b/>
          <w:bCs/>
          <w:sz w:val="36"/>
          <w:szCs w:val="36"/>
          <w:lang w:val="en-US" w:eastAsia="zh-CN"/>
        </w:rPr>
      </w:pPr>
      <w:r>
        <w:rPr>
          <w:rFonts w:hint="eastAsia"/>
          <w:b/>
          <w:bCs/>
          <w:sz w:val="36"/>
          <w:szCs w:val="36"/>
          <w:lang w:val="en-US" w:eastAsia="zh-CN"/>
        </w:rPr>
        <w:t>南</w:t>
      </w:r>
      <w:r>
        <w:rPr>
          <w:rFonts w:hint="eastAsia"/>
          <w:b/>
          <w:bCs/>
          <w:sz w:val="36"/>
          <w:szCs w:val="36"/>
        </w:rPr>
        <w:t>昌</w:t>
      </w:r>
      <w:r>
        <w:rPr>
          <w:rFonts w:hint="eastAsia"/>
          <w:b/>
          <w:bCs/>
          <w:sz w:val="36"/>
          <w:szCs w:val="36"/>
          <w:lang w:val="en-US" w:eastAsia="zh-CN"/>
        </w:rPr>
        <w:t>布莱特进出口有限责任公司</w:t>
      </w:r>
    </w:p>
    <w:p w14:paraId="2F00AB60">
      <w:pPr>
        <w:bidi w:val="0"/>
        <w:jc w:val="center"/>
        <w:rPr>
          <w:rFonts w:hint="eastAsia"/>
          <w:b/>
          <w:bCs/>
          <w:sz w:val="36"/>
          <w:szCs w:val="36"/>
          <w:lang w:eastAsia="zh-CN"/>
        </w:rPr>
      </w:pPr>
      <w:r>
        <w:rPr>
          <w:rFonts w:hint="eastAsia"/>
          <w:b/>
          <w:bCs/>
          <w:sz w:val="36"/>
          <w:szCs w:val="36"/>
        </w:rPr>
        <w:t>烟花爆竹经营（批发）</w:t>
      </w:r>
      <w:r>
        <w:rPr>
          <w:rFonts w:hint="eastAsia"/>
          <w:b/>
          <w:bCs/>
          <w:sz w:val="36"/>
          <w:szCs w:val="36"/>
          <w:lang w:val="en-US" w:eastAsia="zh-CN"/>
        </w:rPr>
        <w:t>项目</w:t>
      </w:r>
    </w:p>
    <w:p w14:paraId="5834ECE8">
      <w:pPr>
        <w:bidi w:val="0"/>
        <w:jc w:val="center"/>
        <w:rPr>
          <w:rFonts w:hint="eastAsia"/>
          <w:b/>
          <w:bCs/>
          <w:sz w:val="36"/>
          <w:szCs w:val="36"/>
        </w:rPr>
      </w:pPr>
    </w:p>
    <w:p w14:paraId="47BB4DDA">
      <w:pPr>
        <w:bidi w:val="0"/>
        <w:jc w:val="center"/>
        <w:rPr>
          <w:b/>
          <w:bCs/>
          <w:sz w:val="36"/>
          <w:szCs w:val="36"/>
        </w:rPr>
      </w:pPr>
      <w:r>
        <w:rPr>
          <w:rFonts w:hint="eastAsia"/>
          <w:b/>
          <w:bCs/>
          <w:sz w:val="36"/>
          <w:szCs w:val="36"/>
        </w:rPr>
        <w:t>安全评价技术服务承诺书</w:t>
      </w:r>
    </w:p>
    <w:p w14:paraId="4D74C3CA">
      <w:pPr>
        <w:bidi w:val="0"/>
        <w:rPr>
          <w:rFonts w:hint="eastAsia"/>
          <w:sz w:val="32"/>
          <w:szCs w:val="32"/>
        </w:rPr>
      </w:pPr>
    </w:p>
    <w:p w14:paraId="77A68513">
      <w:pPr>
        <w:keepNext w:val="0"/>
        <w:keepLines w:val="0"/>
        <w:pageBreakBefore w:val="0"/>
        <w:widowControl w:val="0"/>
        <w:kinsoku/>
        <w:wordWrap/>
        <w:overflowPunct/>
        <w:topLinePunct w:val="0"/>
        <w:autoSpaceDE/>
        <w:autoSpaceDN/>
        <w:bidi w:val="0"/>
        <w:adjustRightInd/>
        <w:snapToGrid/>
        <w:textAlignment w:val="auto"/>
        <w:rPr>
          <w:sz w:val="32"/>
          <w:szCs w:val="32"/>
        </w:rPr>
      </w:pPr>
      <w:r>
        <w:rPr>
          <w:rFonts w:hint="eastAsia"/>
          <w:sz w:val="32"/>
          <w:szCs w:val="32"/>
        </w:rPr>
        <w:t>一、在本项目安全评价活动过程中，我单位严格遵守《安全生产法》及相关法律、法规和标准的要求。</w:t>
      </w:r>
    </w:p>
    <w:p w14:paraId="4A4C24C9">
      <w:pPr>
        <w:keepNext w:val="0"/>
        <w:keepLines w:val="0"/>
        <w:pageBreakBefore w:val="0"/>
        <w:widowControl w:val="0"/>
        <w:kinsoku/>
        <w:wordWrap/>
        <w:overflowPunct/>
        <w:topLinePunct w:val="0"/>
        <w:autoSpaceDE/>
        <w:autoSpaceDN/>
        <w:bidi w:val="0"/>
        <w:adjustRightInd/>
        <w:snapToGrid/>
        <w:textAlignment w:val="auto"/>
        <w:rPr>
          <w:sz w:val="32"/>
          <w:szCs w:val="32"/>
        </w:rPr>
      </w:pPr>
      <w:r>
        <w:rPr>
          <w:rFonts w:hint="eastAsia"/>
          <w:sz w:val="32"/>
          <w:szCs w:val="32"/>
        </w:rPr>
        <w:t>二、在本项目安全评价活动过程中，我单位作为第三方，未受到任何组织和个人的干预和影响，依法独立开展工作，保证了技术服务活动的客观公正性。</w:t>
      </w:r>
    </w:p>
    <w:p w14:paraId="662C08A9">
      <w:pPr>
        <w:keepNext w:val="0"/>
        <w:keepLines w:val="0"/>
        <w:pageBreakBefore w:val="0"/>
        <w:widowControl w:val="0"/>
        <w:kinsoku/>
        <w:wordWrap/>
        <w:overflowPunct/>
        <w:topLinePunct w:val="0"/>
        <w:autoSpaceDE/>
        <w:autoSpaceDN/>
        <w:bidi w:val="0"/>
        <w:adjustRightInd/>
        <w:snapToGrid/>
        <w:textAlignment w:val="auto"/>
        <w:rPr>
          <w:sz w:val="32"/>
          <w:szCs w:val="32"/>
        </w:rPr>
      </w:pPr>
      <w:r>
        <w:rPr>
          <w:rFonts w:hint="eastAsia"/>
          <w:sz w:val="32"/>
          <w:szCs w:val="32"/>
        </w:rPr>
        <w:t>三、我单位按照实事求是的原则，对本项目进行安全评价，确保出具的报告均真实有效，报告所提出的措施具有针对性、有效性和可行性。</w:t>
      </w:r>
    </w:p>
    <w:p w14:paraId="5B56E873">
      <w:pPr>
        <w:keepNext w:val="0"/>
        <w:keepLines w:val="0"/>
        <w:pageBreakBefore w:val="0"/>
        <w:widowControl w:val="0"/>
        <w:kinsoku/>
        <w:wordWrap/>
        <w:overflowPunct/>
        <w:topLinePunct w:val="0"/>
        <w:autoSpaceDE/>
        <w:autoSpaceDN/>
        <w:bidi w:val="0"/>
        <w:adjustRightInd/>
        <w:snapToGrid/>
        <w:textAlignment w:val="auto"/>
        <w:rPr>
          <w:rFonts w:hint="eastAsia"/>
          <w:sz w:val="32"/>
          <w:szCs w:val="32"/>
        </w:rPr>
      </w:pPr>
      <w:r>
        <w:rPr>
          <w:rFonts w:hint="eastAsia"/>
          <w:sz w:val="32"/>
          <w:szCs w:val="32"/>
        </w:rPr>
        <w:t>四、我单位对本项目安全评价报告中结论性内容承担法律责任。</w:t>
      </w:r>
    </w:p>
    <w:p w14:paraId="58A5E7BB">
      <w:pPr>
        <w:bidi w:val="0"/>
      </w:pPr>
      <w:r>
        <w:rPr>
          <w:rFonts w:hint="eastAsia"/>
        </w:rPr>
        <w:t xml:space="preserve">               </w:t>
      </w:r>
    </w:p>
    <w:p w14:paraId="136254EC">
      <w:pPr>
        <w:widowControl/>
        <w:snapToGrid w:val="0"/>
        <w:spacing w:line="360" w:lineRule="auto"/>
        <w:ind w:firstLine="3040" w:firstLineChars="950"/>
        <w:rPr>
          <w:rFonts w:hint="eastAsia" w:ascii="宋体" w:hAnsi="宋体" w:cs="宋体"/>
          <w:color w:val="000000" w:themeColor="text1"/>
          <w:kern w:val="0"/>
          <w:sz w:val="32"/>
          <w:szCs w:val="32"/>
          <w14:textFill>
            <w14:solidFill>
              <w14:schemeClr w14:val="tx1"/>
            </w14:solidFill>
          </w14:textFill>
        </w:rPr>
      </w:pPr>
    </w:p>
    <w:p w14:paraId="6FB7D08A">
      <w:pPr>
        <w:widowControl/>
        <w:snapToGrid w:val="0"/>
        <w:spacing w:line="360" w:lineRule="auto"/>
        <w:ind w:firstLine="3040" w:firstLineChars="950"/>
        <w:rPr>
          <w:rFonts w:ascii="宋体" w:hAnsi="宋体" w:cs="宋体"/>
          <w:color w:val="000000" w:themeColor="text1"/>
          <w:kern w:val="0"/>
          <w:sz w:val="32"/>
          <w:szCs w:val="32"/>
          <w14:textFill>
            <w14:solidFill>
              <w14:schemeClr w14:val="tx1"/>
            </w14:solidFill>
          </w14:textFill>
        </w:rPr>
      </w:pPr>
      <w:r>
        <w:rPr>
          <w:rFonts w:hint="eastAsia" w:ascii="宋体" w:hAnsi="宋体" w:cs="宋体"/>
          <w:color w:val="000000" w:themeColor="text1"/>
          <w:kern w:val="0"/>
          <w:sz w:val="32"/>
          <w:szCs w:val="32"/>
          <w14:textFill>
            <w14:solidFill>
              <w14:schemeClr w14:val="tx1"/>
            </w14:solidFill>
          </w14:textFill>
        </w:rPr>
        <w:t xml:space="preserve"> 江西赣安安全生产科学技术咨询服务中心</w:t>
      </w:r>
    </w:p>
    <w:p w14:paraId="79C835A4">
      <w:pPr>
        <w:widowControl/>
        <w:spacing w:line="360" w:lineRule="auto"/>
        <w:rPr>
          <w:rFonts w:ascii="黑体" w:hAnsi="宋体" w:eastAsia="黑体" w:cs="宋体"/>
          <w:bCs/>
          <w:color w:val="000000" w:themeColor="text1"/>
          <w:kern w:val="0"/>
          <w:sz w:val="44"/>
          <w:szCs w:val="44"/>
          <w14:textFill>
            <w14:solidFill>
              <w14:schemeClr w14:val="tx1"/>
            </w14:solidFill>
          </w14:textFill>
        </w:rPr>
      </w:pPr>
      <w:r>
        <w:rPr>
          <w:rFonts w:hint="eastAsia" w:ascii="宋体" w:hAnsi="宋体" w:cs="宋体"/>
          <w:color w:val="000000" w:themeColor="text1"/>
          <w:kern w:val="0"/>
          <w:sz w:val="32"/>
          <w:szCs w:val="32"/>
          <w14:textFill>
            <w14:solidFill>
              <w14:schemeClr w14:val="tx1"/>
            </w14:solidFill>
          </w14:textFill>
        </w:rPr>
        <w:t xml:space="preserve">                                 202</w:t>
      </w:r>
      <w:r>
        <w:rPr>
          <w:rFonts w:ascii="宋体" w:hAnsi="宋体" w:cs="宋体"/>
          <w:color w:val="000000" w:themeColor="text1"/>
          <w:kern w:val="0"/>
          <w:sz w:val="32"/>
          <w:szCs w:val="32"/>
          <w14:textFill>
            <w14:solidFill>
              <w14:schemeClr w14:val="tx1"/>
            </w14:solidFill>
          </w14:textFill>
        </w:rPr>
        <w:t>5</w:t>
      </w:r>
      <w:r>
        <w:rPr>
          <w:rFonts w:hint="eastAsia" w:ascii="宋体" w:hAnsi="宋体" w:cs="宋体"/>
          <w:color w:val="000000" w:themeColor="text1"/>
          <w:kern w:val="0"/>
          <w:sz w:val="32"/>
          <w:szCs w:val="32"/>
          <w14:textFill>
            <w14:solidFill>
              <w14:schemeClr w14:val="tx1"/>
            </w14:solidFill>
          </w14:textFill>
        </w:rPr>
        <w:t>年</w:t>
      </w:r>
      <w:r>
        <w:rPr>
          <w:rFonts w:hint="eastAsia" w:ascii="宋体" w:hAnsi="宋体" w:cs="宋体"/>
          <w:color w:val="000000" w:themeColor="text1"/>
          <w:kern w:val="0"/>
          <w:sz w:val="32"/>
          <w:szCs w:val="32"/>
          <w:lang w:val="en-US" w:eastAsia="zh-CN"/>
          <w14:textFill>
            <w14:solidFill>
              <w14:schemeClr w14:val="tx1"/>
            </w14:solidFill>
          </w14:textFill>
        </w:rPr>
        <w:t>12</w:t>
      </w:r>
      <w:r>
        <w:rPr>
          <w:rFonts w:hint="eastAsia" w:ascii="宋体" w:hAnsi="宋体" w:cs="宋体"/>
          <w:color w:val="000000" w:themeColor="text1"/>
          <w:kern w:val="0"/>
          <w:sz w:val="32"/>
          <w:szCs w:val="32"/>
          <w14:textFill>
            <w14:solidFill>
              <w14:schemeClr w14:val="tx1"/>
            </w14:solidFill>
          </w14:textFill>
        </w:rPr>
        <w:t>月</w:t>
      </w:r>
      <w:r>
        <w:rPr>
          <w:rFonts w:hint="eastAsia" w:ascii="宋体" w:hAnsi="宋体" w:cs="宋体"/>
          <w:color w:val="000000" w:themeColor="text1"/>
          <w:kern w:val="0"/>
          <w:sz w:val="32"/>
          <w:szCs w:val="32"/>
          <w:lang w:val="en-US" w:eastAsia="zh-CN"/>
          <w14:textFill>
            <w14:solidFill>
              <w14:schemeClr w14:val="tx1"/>
            </w14:solidFill>
          </w14:textFill>
        </w:rPr>
        <w:t>24</w:t>
      </w:r>
      <w:r>
        <w:rPr>
          <w:rFonts w:hint="eastAsia" w:ascii="宋体" w:hAnsi="宋体" w:cs="宋体"/>
          <w:color w:val="000000" w:themeColor="text1"/>
          <w:kern w:val="0"/>
          <w:sz w:val="32"/>
          <w:szCs w:val="32"/>
          <w14:textFill>
            <w14:solidFill>
              <w14:schemeClr w14:val="tx1"/>
            </w14:solidFill>
          </w14:textFill>
        </w:rPr>
        <w:t xml:space="preserve">日 </w:t>
      </w:r>
      <w:r>
        <w:rPr>
          <w:rFonts w:ascii="宋体" w:hAnsi="宋体" w:cs="宋体"/>
          <w:color w:val="000000" w:themeColor="text1"/>
          <w:kern w:val="0"/>
          <w:sz w:val="32"/>
          <w:szCs w:val="32"/>
          <w14:textFill>
            <w14:solidFill>
              <w14:schemeClr w14:val="tx1"/>
            </w14:solidFill>
          </w14:textFill>
        </w:rPr>
        <w:t xml:space="preserve">  </w:t>
      </w:r>
      <w:r>
        <w:rPr>
          <w:rFonts w:hint="eastAsia" w:ascii="宋体" w:hAnsi="宋体" w:cs="宋体"/>
          <w:color w:val="000000" w:themeColor="text1"/>
          <w:kern w:val="0"/>
          <w:sz w:val="32"/>
          <w:szCs w:val="32"/>
          <w14:textFill>
            <w14:solidFill>
              <w14:schemeClr w14:val="tx1"/>
            </w14:solidFill>
          </w14:textFill>
        </w:rPr>
        <w:t xml:space="preserve"> </w:t>
      </w:r>
    </w:p>
    <w:p w14:paraId="10BEC9FE">
      <w:pPr>
        <w:spacing w:after="120" w:line="360" w:lineRule="auto"/>
        <w:jc w:val="center"/>
        <w:rPr>
          <w:rFonts w:ascii="宋体" w:hAnsi="宋体" w:cs="宋体"/>
          <w:kern w:val="0"/>
          <w:sz w:val="32"/>
          <w:szCs w:val="32"/>
        </w:rPr>
      </w:pPr>
    </w:p>
    <w:p w14:paraId="3AE4B65F">
      <w:pPr>
        <w:pStyle w:val="35"/>
        <w:spacing w:before="0" w:beforeAutospacing="0" w:after="0" w:afterAutospacing="0" w:line="360" w:lineRule="auto"/>
        <w:ind w:firstLine="640" w:firstLineChars="200"/>
        <w:rPr>
          <w:rFonts w:ascii="宋体" w:hAnsi="宋体" w:cs="宋体"/>
          <w:sz w:val="32"/>
          <w:szCs w:val="32"/>
        </w:rPr>
      </w:pPr>
      <w:r>
        <w:rPr>
          <w:rFonts w:ascii="宋体" w:hAnsi="宋体" w:cs="宋体"/>
          <w:sz w:val="32"/>
          <w:szCs w:val="32"/>
        </w:rPr>
        <w:br w:type="page"/>
      </w:r>
    </w:p>
    <w:p w14:paraId="0257E108">
      <w:pPr>
        <w:spacing w:after="120" w:line="360" w:lineRule="auto"/>
        <w:jc w:val="center"/>
        <w:rPr>
          <w:rFonts w:ascii="方正小标宋简体" w:hAnsi="微软雅黑" w:eastAsia="方正小标宋简体"/>
          <w:sz w:val="36"/>
          <w:szCs w:val="36"/>
        </w:rPr>
      </w:pPr>
      <w:r>
        <w:rPr>
          <w:rFonts w:hint="eastAsia" w:ascii="方正小标宋简体" w:hAnsi="微软雅黑" w:eastAsia="方正小标宋简体"/>
          <w:sz w:val="36"/>
          <w:szCs w:val="36"/>
        </w:rPr>
        <w:t>规范安全生产中介行为的九条禁令</w:t>
      </w:r>
    </w:p>
    <w:p w14:paraId="00609586">
      <w:pPr>
        <w:pStyle w:val="35"/>
        <w:spacing w:before="0" w:beforeAutospacing="0" w:after="0" w:afterAutospacing="0" w:line="360" w:lineRule="auto"/>
        <w:ind w:firstLine="640" w:firstLineChars="200"/>
        <w:rPr>
          <w:sz w:val="32"/>
          <w:szCs w:val="32"/>
        </w:rPr>
      </w:pPr>
      <w:r>
        <w:rPr>
          <w:rFonts w:hint="eastAsia"/>
          <w:sz w:val="32"/>
          <w:szCs w:val="32"/>
        </w:rPr>
        <w:t xml:space="preserve">一、禁止从事安全生产和职业卫生服务的中介服务机构（以下统称中介机构）租借资质证书、非法挂靠、转包服务项目的行为； </w:t>
      </w:r>
    </w:p>
    <w:p w14:paraId="1454F034">
      <w:pPr>
        <w:pStyle w:val="35"/>
        <w:spacing w:before="0" w:beforeAutospacing="0" w:after="0" w:afterAutospacing="0" w:line="360" w:lineRule="auto"/>
        <w:ind w:firstLine="640" w:firstLineChars="200"/>
        <w:rPr>
          <w:sz w:val="32"/>
          <w:szCs w:val="32"/>
        </w:rPr>
      </w:pPr>
      <w:r>
        <w:rPr>
          <w:rFonts w:hint="eastAsia"/>
          <w:sz w:val="32"/>
          <w:szCs w:val="32"/>
        </w:rPr>
        <w:t xml:space="preserve">二、禁止中介机构假借、冒用他人名义要求服务对象接受有偿服务，或者恶意低价竞争以及采取串标、围标等不正当竞争手段，扰乱技术服务市场秩序的行为； </w:t>
      </w:r>
    </w:p>
    <w:p w14:paraId="198FC00C">
      <w:pPr>
        <w:pStyle w:val="35"/>
        <w:spacing w:before="0" w:beforeAutospacing="0" w:after="0" w:afterAutospacing="0" w:line="360" w:lineRule="auto"/>
        <w:ind w:firstLine="640" w:firstLineChars="200"/>
        <w:rPr>
          <w:sz w:val="32"/>
          <w:szCs w:val="32"/>
        </w:rPr>
      </w:pPr>
      <w:r>
        <w:rPr>
          <w:rFonts w:hint="eastAsia"/>
          <w:sz w:val="32"/>
          <w:szCs w:val="32"/>
        </w:rPr>
        <w:t xml:space="preserve">三、禁止中介机构出具虚假或漏项、缺项技术报告的行为； </w:t>
      </w:r>
    </w:p>
    <w:p w14:paraId="3AC748AD">
      <w:pPr>
        <w:pStyle w:val="35"/>
        <w:spacing w:before="0" w:beforeAutospacing="0" w:after="0" w:afterAutospacing="0" w:line="360" w:lineRule="auto"/>
        <w:ind w:firstLine="640" w:firstLineChars="200"/>
        <w:rPr>
          <w:sz w:val="32"/>
          <w:szCs w:val="32"/>
        </w:rPr>
      </w:pPr>
      <w:r>
        <w:rPr>
          <w:rFonts w:hint="eastAsia"/>
          <w:sz w:val="32"/>
          <w:szCs w:val="32"/>
        </w:rPr>
        <w:t xml:space="preserve">四、禁止中介机构出租、出借资格证书、在报告上冒用他人签名的行为； </w:t>
      </w:r>
    </w:p>
    <w:p w14:paraId="0A3BF728">
      <w:pPr>
        <w:pStyle w:val="35"/>
        <w:spacing w:before="0" w:beforeAutospacing="0" w:after="0" w:afterAutospacing="0" w:line="360" w:lineRule="auto"/>
        <w:ind w:firstLine="640" w:firstLineChars="200"/>
        <w:rPr>
          <w:sz w:val="32"/>
          <w:szCs w:val="32"/>
        </w:rPr>
      </w:pPr>
      <w:r>
        <w:rPr>
          <w:rFonts w:hint="eastAsia"/>
          <w:sz w:val="32"/>
          <w:szCs w:val="32"/>
        </w:rPr>
        <w:t xml:space="preserve">五、禁止中介机构有应到而不到现场开展技术服务的行为； </w:t>
      </w:r>
    </w:p>
    <w:p w14:paraId="398578FF">
      <w:pPr>
        <w:pStyle w:val="35"/>
        <w:spacing w:before="0" w:beforeAutospacing="0" w:after="0" w:afterAutospacing="0" w:line="360" w:lineRule="auto"/>
        <w:ind w:firstLine="640" w:firstLineChars="200"/>
        <w:rPr>
          <w:sz w:val="32"/>
          <w:szCs w:val="32"/>
        </w:rPr>
      </w:pPr>
      <w:r>
        <w:rPr>
          <w:rFonts w:hint="eastAsia"/>
          <w:sz w:val="32"/>
          <w:szCs w:val="32"/>
        </w:rPr>
        <w:t xml:space="preserve">六、禁止安全生产监管部门及其工作人员要求生产经营单位接受指定的中介机构开展技术服务的行为； </w:t>
      </w:r>
    </w:p>
    <w:p w14:paraId="507FA2B5">
      <w:pPr>
        <w:pStyle w:val="35"/>
        <w:spacing w:before="0" w:beforeAutospacing="0" w:after="0" w:afterAutospacing="0" w:line="360" w:lineRule="auto"/>
        <w:ind w:firstLine="640" w:firstLineChars="200"/>
        <w:rPr>
          <w:sz w:val="32"/>
          <w:szCs w:val="32"/>
        </w:rPr>
      </w:pPr>
      <w:r>
        <w:rPr>
          <w:rFonts w:hint="eastAsia"/>
          <w:sz w:val="32"/>
          <w:szCs w:val="32"/>
        </w:rPr>
        <w:t xml:space="preserve">七、禁止安全生产监管部门及其工作人员没有法律依据组织由生产经营单位或机构支付费用的行政性评审的行为； </w:t>
      </w:r>
    </w:p>
    <w:p w14:paraId="4B91CBF3">
      <w:pPr>
        <w:pStyle w:val="35"/>
        <w:spacing w:before="0" w:beforeAutospacing="0" w:after="0" w:afterAutospacing="0" w:line="360" w:lineRule="auto"/>
        <w:ind w:firstLine="640" w:firstLineChars="200"/>
        <w:rPr>
          <w:sz w:val="32"/>
          <w:szCs w:val="32"/>
        </w:rPr>
      </w:pPr>
      <w:r>
        <w:rPr>
          <w:rFonts w:hint="eastAsia"/>
          <w:sz w:val="32"/>
          <w:szCs w:val="32"/>
        </w:rPr>
        <w:t xml:space="preserve">八、禁止安全生产监管部门及其工作人员干预市场定价，违规擅自出台技术服务收费标准的行为； </w:t>
      </w:r>
    </w:p>
    <w:p w14:paraId="334A0D15">
      <w:pPr>
        <w:pStyle w:val="35"/>
        <w:spacing w:before="0" w:beforeAutospacing="0" w:after="0" w:afterAutospacing="0" w:line="360" w:lineRule="auto"/>
        <w:ind w:firstLine="640" w:firstLineChars="200"/>
        <w:rPr>
          <w:sz w:val="32"/>
          <w:szCs w:val="32"/>
        </w:rPr>
      </w:pPr>
      <w:r>
        <w:rPr>
          <w:rFonts w:hint="eastAsia"/>
          <w:sz w:val="32"/>
          <w:szCs w:val="32"/>
        </w:rPr>
        <w:t>九、禁止安全生产监管部门及其工作人员参与、擅自干预中介机构从业活动，或者有获取不正当利益的行为。</w:t>
      </w:r>
    </w:p>
    <w:p w14:paraId="46CDFCE8">
      <w:pPr>
        <w:rPr>
          <w:rFonts w:ascii="宋体" w:hAnsi="宋体" w:cs="宋体"/>
          <w:sz w:val="32"/>
          <w:szCs w:val="32"/>
        </w:rPr>
      </w:pPr>
      <w:r>
        <w:rPr>
          <w:rFonts w:ascii="宋体" w:hAnsi="宋体" w:cs="宋体"/>
          <w:sz w:val="32"/>
          <w:szCs w:val="32"/>
        </w:rPr>
        <w:br w:type="page"/>
      </w:r>
    </w:p>
    <w:p w14:paraId="7B51D057">
      <w:pPr>
        <w:spacing w:before="100" w:beforeAutospacing="1" w:after="100" w:afterAutospacing="1"/>
        <w:ind w:firstLine="157" w:firstLineChars="49"/>
        <w:jc w:val="center"/>
        <w:rPr>
          <w:rFonts w:ascii="宋体" w:hAnsi="宋体"/>
          <w:b/>
          <w:bCs/>
          <w:sz w:val="32"/>
          <w:szCs w:val="32"/>
        </w:rPr>
      </w:pPr>
      <w:r>
        <w:rPr>
          <w:rFonts w:hint="eastAsia" w:ascii="宋体" w:hAnsi="宋体"/>
          <w:b/>
          <w:bCs/>
          <w:sz w:val="32"/>
          <w:szCs w:val="32"/>
        </w:rPr>
        <w:t>评 价 人 员</w:t>
      </w:r>
    </w:p>
    <w:tbl>
      <w:tblPr>
        <w:tblStyle w:val="41"/>
        <w:tblW w:w="88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0"/>
        <w:gridCol w:w="960"/>
        <w:gridCol w:w="2685"/>
        <w:gridCol w:w="1392"/>
        <w:gridCol w:w="1076"/>
        <w:gridCol w:w="1300"/>
      </w:tblGrid>
      <w:tr w14:paraId="3443E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410" w:type="dxa"/>
            <w:vAlign w:val="center"/>
          </w:tcPr>
          <w:p w14:paraId="0CB28235">
            <w:pPr>
              <w:pStyle w:val="14"/>
              <w:bidi w:val="0"/>
            </w:pPr>
          </w:p>
        </w:tc>
        <w:tc>
          <w:tcPr>
            <w:tcW w:w="960" w:type="dxa"/>
            <w:vAlign w:val="center"/>
          </w:tcPr>
          <w:p w14:paraId="3739F49C">
            <w:pPr>
              <w:pStyle w:val="14"/>
              <w:bidi w:val="0"/>
            </w:pPr>
            <w:r>
              <w:rPr>
                <w:rFonts w:hint="eastAsia"/>
              </w:rPr>
              <w:t>姓名</w:t>
            </w:r>
          </w:p>
        </w:tc>
        <w:tc>
          <w:tcPr>
            <w:tcW w:w="2685" w:type="dxa"/>
            <w:vAlign w:val="center"/>
          </w:tcPr>
          <w:p w14:paraId="4569D7D8">
            <w:pPr>
              <w:pStyle w:val="14"/>
              <w:bidi w:val="0"/>
            </w:pPr>
            <w:r>
              <w:rPr>
                <w:rFonts w:hint="eastAsia"/>
              </w:rPr>
              <w:t>职业资格证书号</w:t>
            </w:r>
          </w:p>
        </w:tc>
        <w:tc>
          <w:tcPr>
            <w:tcW w:w="1392" w:type="dxa"/>
            <w:vAlign w:val="center"/>
          </w:tcPr>
          <w:p w14:paraId="088A44C7">
            <w:pPr>
              <w:pStyle w:val="14"/>
              <w:bidi w:val="0"/>
            </w:pPr>
            <w:r>
              <w:rPr>
                <w:rFonts w:hint="eastAsia"/>
              </w:rPr>
              <w:t>从业信息</w:t>
            </w:r>
          </w:p>
          <w:p w14:paraId="3B7D2876">
            <w:pPr>
              <w:pStyle w:val="14"/>
              <w:bidi w:val="0"/>
            </w:pPr>
            <w:r>
              <w:rPr>
                <w:rFonts w:hint="eastAsia"/>
              </w:rPr>
              <w:t>识别卡号</w:t>
            </w:r>
          </w:p>
        </w:tc>
        <w:tc>
          <w:tcPr>
            <w:tcW w:w="1076" w:type="dxa"/>
            <w:vAlign w:val="center"/>
          </w:tcPr>
          <w:p w14:paraId="4B860A1D">
            <w:pPr>
              <w:pStyle w:val="14"/>
              <w:bidi w:val="0"/>
            </w:pPr>
            <w:r>
              <w:rPr>
                <w:rFonts w:hint="eastAsia"/>
              </w:rPr>
              <w:t>专业</w:t>
            </w:r>
          </w:p>
        </w:tc>
        <w:tc>
          <w:tcPr>
            <w:tcW w:w="1300" w:type="dxa"/>
            <w:vAlign w:val="center"/>
          </w:tcPr>
          <w:p w14:paraId="703ECCCE">
            <w:pPr>
              <w:pStyle w:val="14"/>
              <w:bidi w:val="0"/>
            </w:pPr>
            <w:r>
              <w:rPr>
                <w:rFonts w:hint="eastAsia"/>
              </w:rPr>
              <w:t>签字</w:t>
            </w:r>
          </w:p>
        </w:tc>
      </w:tr>
      <w:tr w14:paraId="5C8D6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1410" w:type="dxa"/>
            <w:vAlign w:val="center"/>
          </w:tcPr>
          <w:p w14:paraId="2BCC655E">
            <w:pPr>
              <w:pStyle w:val="14"/>
              <w:bidi w:val="0"/>
            </w:pPr>
            <w:r>
              <w:rPr>
                <w:rFonts w:hint="eastAsia"/>
              </w:rPr>
              <w:t>项目负责人</w:t>
            </w:r>
          </w:p>
        </w:tc>
        <w:tc>
          <w:tcPr>
            <w:tcW w:w="960" w:type="dxa"/>
            <w:vAlign w:val="center"/>
          </w:tcPr>
          <w:p w14:paraId="5B599CDD">
            <w:pPr>
              <w:pStyle w:val="14"/>
              <w:bidi w:val="0"/>
            </w:pPr>
            <w:r>
              <w:rPr>
                <w:rFonts w:hint="eastAsia"/>
              </w:rPr>
              <w:t>王建新</w:t>
            </w:r>
          </w:p>
        </w:tc>
        <w:tc>
          <w:tcPr>
            <w:tcW w:w="2685" w:type="dxa"/>
            <w:vAlign w:val="center"/>
          </w:tcPr>
          <w:p w14:paraId="17E3C2B3">
            <w:pPr>
              <w:pStyle w:val="14"/>
              <w:bidi w:val="0"/>
            </w:pPr>
            <w:r>
              <w:rPr>
                <w:rFonts w:hint="eastAsia"/>
              </w:rPr>
              <w:t>1200000000100297</w:t>
            </w:r>
          </w:p>
        </w:tc>
        <w:tc>
          <w:tcPr>
            <w:tcW w:w="1392" w:type="dxa"/>
            <w:vAlign w:val="center"/>
          </w:tcPr>
          <w:p w14:paraId="17B0FC89">
            <w:pPr>
              <w:pStyle w:val="14"/>
              <w:bidi w:val="0"/>
            </w:pPr>
            <w:r>
              <w:rPr>
                <w:rFonts w:hint="eastAsia"/>
              </w:rPr>
              <w:t>009826</w:t>
            </w:r>
          </w:p>
        </w:tc>
        <w:tc>
          <w:tcPr>
            <w:tcW w:w="1076" w:type="dxa"/>
            <w:vAlign w:val="center"/>
          </w:tcPr>
          <w:p w14:paraId="7BD4CD63">
            <w:pPr>
              <w:pStyle w:val="14"/>
              <w:bidi w:val="0"/>
            </w:pPr>
            <w:r>
              <w:rPr>
                <w:rFonts w:hint="eastAsia"/>
              </w:rPr>
              <w:t>爆炸技术</w:t>
            </w:r>
          </w:p>
        </w:tc>
        <w:tc>
          <w:tcPr>
            <w:tcW w:w="1300" w:type="dxa"/>
            <w:vAlign w:val="center"/>
          </w:tcPr>
          <w:p w14:paraId="2DD842F5">
            <w:pPr>
              <w:pStyle w:val="14"/>
              <w:bidi w:val="0"/>
            </w:pPr>
          </w:p>
        </w:tc>
      </w:tr>
      <w:tr w14:paraId="7DAD8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1410" w:type="dxa"/>
            <w:vMerge w:val="restart"/>
            <w:vAlign w:val="center"/>
          </w:tcPr>
          <w:p w14:paraId="385D0875">
            <w:pPr>
              <w:pStyle w:val="14"/>
              <w:bidi w:val="0"/>
            </w:pPr>
            <w:r>
              <w:rPr>
                <w:rFonts w:hint="eastAsia"/>
              </w:rPr>
              <w:t>项目组成员</w:t>
            </w:r>
          </w:p>
        </w:tc>
        <w:tc>
          <w:tcPr>
            <w:tcW w:w="960" w:type="dxa"/>
            <w:vAlign w:val="center"/>
          </w:tcPr>
          <w:p w14:paraId="641A4E63">
            <w:pPr>
              <w:pStyle w:val="14"/>
              <w:bidi w:val="0"/>
            </w:pPr>
            <w:r>
              <w:rPr>
                <w:rFonts w:hint="eastAsia"/>
              </w:rPr>
              <w:t>王建新</w:t>
            </w:r>
          </w:p>
        </w:tc>
        <w:tc>
          <w:tcPr>
            <w:tcW w:w="2685" w:type="dxa"/>
            <w:vAlign w:val="center"/>
          </w:tcPr>
          <w:p w14:paraId="603E1CA8">
            <w:pPr>
              <w:pStyle w:val="14"/>
              <w:bidi w:val="0"/>
            </w:pPr>
            <w:r>
              <w:rPr>
                <w:rFonts w:hint="eastAsia"/>
              </w:rPr>
              <w:t>1200000000100297</w:t>
            </w:r>
          </w:p>
        </w:tc>
        <w:tc>
          <w:tcPr>
            <w:tcW w:w="1392" w:type="dxa"/>
            <w:vAlign w:val="center"/>
          </w:tcPr>
          <w:p w14:paraId="49DE3A10">
            <w:pPr>
              <w:pStyle w:val="14"/>
              <w:bidi w:val="0"/>
            </w:pPr>
            <w:r>
              <w:rPr>
                <w:rFonts w:hint="eastAsia"/>
              </w:rPr>
              <w:t>009826</w:t>
            </w:r>
          </w:p>
        </w:tc>
        <w:tc>
          <w:tcPr>
            <w:tcW w:w="1076" w:type="dxa"/>
            <w:vAlign w:val="center"/>
          </w:tcPr>
          <w:p w14:paraId="6D665A44">
            <w:pPr>
              <w:pStyle w:val="14"/>
              <w:bidi w:val="0"/>
            </w:pPr>
            <w:r>
              <w:rPr>
                <w:rFonts w:hint="eastAsia"/>
              </w:rPr>
              <w:t>爆炸技术</w:t>
            </w:r>
          </w:p>
        </w:tc>
        <w:tc>
          <w:tcPr>
            <w:tcW w:w="1300" w:type="dxa"/>
            <w:vAlign w:val="center"/>
          </w:tcPr>
          <w:p w14:paraId="0AA1D679">
            <w:pPr>
              <w:pStyle w:val="14"/>
              <w:bidi w:val="0"/>
            </w:pPr>
          </w:p>
        </w:tc>
      </w:tr>
      <w:tr w14:paraId="2EC8E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1410" w:type="dxa"/>
            <w:vMerge w:val="continue"/>
            <w:vAlign w:val="center"/>
          </w:tcPr>
          <w:p w14:paraId="04E7330E">
            <w:pPr>
              <w:pStyle w:val="14"/>
              <w:bidi w:val="0"/>
            </w:pPr>
          </w:p>
        </w:tc>
        <w:tc>
          <w:tcPr>
            <w:tcW w:w="960" w:type="dxa"/>
            <w:vAlign w:val="center"/>
          </w:tcPr>
          <w:p w14:paraId="349E525D">
            <w:pPr>
              <w:pStyle w:val="14"/>
              <w:bidi w:val="0"/>
            </w:pPr>
            <w:r>
              <w:rPr>
                <w:rFonts w:hint="eastAsia"/>
              </w:rPr>
              <w:t>姚 渊</w:t>
            </w:r>
          </w:p>
        </w:tc>
        <w:tc>
          <w:tcPr>
            <w:tcW w:w="2685" w:type="dxa"/>
            <w:vAlign w:val="center"/>
          </w:tcPr>
          <w:p w14:paraId="38CA8F0E">
            <w:pPr>
              <w:pStyle w:val="14"/>
              <w:bidi w:val="0"/>
            </w:pPr>
            <w:r>
              <w:rPr>
                <w:rFonts w:hint="eastAsia"/>
              </w:rPr>
              <w:t>1100000000302052</w:t>
            </w:r>
          </w:p>
        </w:tc>
        <w:tc>
          <w:tcPr>
            <w:tcW w:w="1392" w:type="dxa"/>
            <w:vAlign w:val="center"/>
          </w:tcPr>
          <w:p w14:paraId="4DDEDAAF">
            <w:pPr>
              <w:pStyle w:val="14"/>
              <w:bidi w:val="0"/>
            </w:pPr>
            <w:r>
              <w:rPr>
                <w:rFonts w:hint="eastAsia"/>
              </w:rPr>
              <w:t>018487</w:t>
            </w:r>
          </w:p>
        </w:tc>
        <w:tc>
          <w:tcPr>
            <w:tcW w:w="1076" w:type="dxa"/>
            <w:vAlign w:val="center"/>
          </w:tcPr>
          <w:p w14:paraId="79785A2A">
            <w:pPr>
              <w:pStyle w:val="14"/>
              <w:bidi w:val="0"/>
            </w:pPr>
            <w:r>
              <w:rPr>
                <w:rFonts w:hint="eastAsia"/>
              </w:rPr>
              <w:t>火炸药</w:t>
            </w:r>
          </w:p>
        </w:tc>
        <w:tc>
          <w:tcPr>
            <w:tcW w:w="1300" w:type="dxa"/>
            <w:vAlign w:val="center"/>
          </w:tcPr>
          <w:p w14:paraId="1928015C">
            <w:pPr>
              <w:pStyle w:val="14"/>
              <w:bidi w:val="0"/>
            </w:pPr>
          </w:p>
        </w:tc>
      </w:tr>
      <w:tr w14:paraId="2AA4C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1410" w:type="dxa"/>
            <w:vMerge w:val="continue"/>
            <w:vAlign w:val="center"/>
          </w:tcPr>
          <w:p w14:paraId="6BB50EB5">
            <w:pPr>
              <w:pStyle w:val="14"/>
              <w:bidi w:val="0"/>
            </w:pPr>
          </w:p>
        </w:tc>
        <w:tc>
          <w:tcPr>
            <w:tcW w:w="960" w:type="dxa"/>
            <w:vAlign w:val="center"/>
          </w:tcPr>
          <w:p w14:paraId="1C021358">
            <w:pPr>
              <w:pStyle w:val="14"/>
              <w:bidi w:val="0"/>
            </w:pPr>
            <w:r>
              <w:rPr>
                <w:rFonts w:hint="eastAsia"/>
              </w:rPr>
              <w:t>朱 俊</w:t>
            </w:r>
          </w:p>
        </w:tc>
        <w:tc>
          <w:tcPr>
            <w:tcW w:w="2685" w:type="dxa"/>
            <w:vAlign w:val="center"/>
          </w:tcPr>
          <w:p w14:paraId="16ACC581">
            <w:pPr>
              <w:pStyle w:val="14"/>
              <w:bidi w:val="0"/>
            </w:pPr>
            <w:r>
              <w:rPr>
                <w:rFonts w:hint="eastAsia"/>
              </w:rPr>
              <w:t>S011044000110193002093</w:t>
            </w:r>
          </w:p>
        </w:tc>
        <w:tc>
          <w:tcPr>
            <w:tcW w:w="1392" w:type="dxa"/>
            <w:vAlign w:val="center"/>
          </w:tcPr>
          <w:p w14:paraId="7D21919E">
            <w:pPr>
              <w:pStyle w:val="14"/>
              <w:bidi w:val="0"/>
            </w:pPr>
            <w:r>
              <w:rPr>
                <w:rFonts w:hint="eastAsia"/>
              </w:rPr>
              <w:t>037984</w:t>
            </w:r>
          </w:p>
        </w:tc>
        <w:tc>
          <w:tcPr>
            <w:tcW w:w="1076" w:type="dxa"/>
            <w:vAlign w:val="center"/>
          </w:tcPr>
          <w:p w14:paraId="0BDC5D9A">
            <w:pPr>
              <w:pStyle w:val="14"/>
              <w:bidi w:val="0"/>
            </w:pPr>
            <w:r>
              <w:rPr>
                <w:rFonts w:hint="eastAsia"/>
              </w:rPr>
              <w:t>安全工程</w:t>
            </w:r>
          </w:p>
        </w:tc>
        <w:tc>
          <w:tcPr>
            <w:tcW w:w="1300" w:type="dxa"/>
            <w:vAlign w:val="center"/>
          </w:tcPr>
          <w:p w14:paraId="1FFF9285">
            <w:pPr>
              <w:pStyle w:val="14"/>
              <w:bidi w:val="0"/>
            </w:pPr>
          </w:p>
        </w:tc>
      </w:tr>
      <w:tr w14:paraId="2354D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1410" w:type="dxa"/>
            <w:vMerge w:val="continue"/>
            <w:vAlign w:val="center"/>
          </w:tcPr>
          <w:p w14:paraId="0F64429D">
            <w:pPr>
              <w:pStyle w:val="14"/>
              <w:bidi w:val="0"/>
            </w:pPr>
          </w:p>
        </w:tc>
        <w:tc>
          <w:tcPr>
            <w:tcW w:w="960" w:type="dxa"/>
            <w:vAlign w:val="center"/>
          </w:tcPr>
          <w:p w14:paraId="145C3364">
            <w:pPr>
              <w:pStyle w:val="14"/>
              <w:bidi w:val="0"/>
              <w:rPr>
                <w:rFonts w:hint="eastAsia"/>
              </w:rPr>
            </w:pPr>
            <w:r>
              <w:rPr>
                <w:rFonts w:hint="eastAsia"/>
              </w:rPr>
              <w:t>谢寒梅</w:t>
            </w:r>
          </w:p>
        </w:tc>
        <w:tc>
          <w:tcPr>
            <w:tcW w:w="2685" w:type="dxa"/>
            <w:vAlign w:val="center"/>
          </w:tcPr>
          <w:p w14:paraId="302C3934">
            <w:pPr>
              <w:pStyle w:val="14"/>
              <w:bidi w:val="0"/>
              <w:rPr>
                <w:rFonts w:hint="eastAsia"/>
                <w:lang w:val="en-US" w:eastAsia="zh-CN"/>
              </w:rPr>
            </w:pPr>
            <w:r>
              <w:rPr>
                <w:rFonts w:hint="eastAsia"/>
              </w:rPr>
              <w:t>S011035000110192001584</w:t>
            </w:r>
          </w:p>
        </w:tc>
        <w:tc>
          <w:tcPr>
            <w:tcW w:w="1392" w:type="dxa"/>
            <w:vAlign w:val="center"/>
          </w:tcPr>
          <w:p w14:paraId="2B9B4A5F">
            <w:pPr>
              <w:pStyle w:val="14"/>
              <w:bidi w:val="0"/>
              <w:rPr>
                <w:rFonts w:hint="eastAsia"/>
                <w:lang w:val="en-US" w:eastAsia="zh-CN"/>
              </w:rPr>
            </w:pPr>
            <w:r>
              <w:rPr>
                <w:rFonts w:hint="eastAsia"/>
              </w:rPr>
              <w:t>027089</w:t>
            </w:r>
          </w:p>
        </w:tc>
        <w:tc>
          <w:tcPr>
            <w:tcW w:w="1076" w:type="dxa"/>
            <w:vAlign w:val="center"/>
          </w:tcPr>
          <w:p w14:paraId="7F80E71D">
            <w:pPr>
              <w:pStyle w:val="14"/>
              <w:bidi w:val="0"/>
              <w:rPr>
                <w:rFonts w:hint="eastAsia"/>
              </w:rPr>
            </w:pPr>
            <w:r>
              <w:rPr>
                <w:rFonts w:hint="eastAsia"/>
              </w:rPr>
              <w:t>电气</w:t>
            </w:r>
          </w:p>
        </w:tc>
        <w:tc>
          <w:tcPr>
            <w:tcW w:w="1300" w:type="dxa"/>
            <w:vAlign w:val="center"/>
          </w:tcPr>
          <w:p w14:paraId="0F2F441E">
            <w:pPr>
              <w:pStyle w:val="14"/>
              <w:bidi w:val="0"/>
            </w:pPr>
          </w:p>
        </w:tc>
      </w:tr>
      <w:tr w14:paraId="45715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1410" w:type="dxa"/>
            <w:vMerge w:val="continue"/>
            <w:vAlign w:val="center"/>
          </w:tcPr>
          <w:p w14:paraId="095656BA">
            <w:pPr>
              <w:pStyle w:val="14"/>
              <w:bidi w:val="0"/>
            </w:pPr>
          </w:p>
        </w:tc>
        <w:tc>
          <w:tcPr>
            <w:tcW w:w="960" w:type="dxa"/>
            <w:vAlign w:val="center"/>
          </w:tcPr>
          <w:p w14:paraId="5049C74E">
            <w:pPr>
              <w:pStyle w:val="14"/>
              <w:bidi w:val="0"/>
            </w:pPr>
            <w:r>
              <w:rPr>
                <w:rFonts w:hint="eastAsia"/>
              </w:rPr>
              <w:t>黄伯扬</w:t>
            </w:r>
          </w:p>
        </w:tc>
        <w:tc>
          <w:tcPr>
            <w:tcW w:w="2685" w:type="dxa"/>
            <w:vAlign w:val="center"/>
          </w:tcPr>
          <w:p w14:paraId="396FDBD8">
            <w:pPr>
              <w:pStyle w:val="14"/>
              <w:bidi w:val="0"/>
            </w:pPr>
            <w:r>
              <w:t>1800000000300643</w:t>
            </w:r>
          </w:p>
        </w:tc>
        <w:tc>
          <w:tcPr>
            <w:tcW w:w="1392" w:type="dxa"/>
            <w:vAlign w:val="center"/>
          </w:tcPr>
          <w:p w14:paraId="1351C583">
            <w:pPr>
              <w:pStyle w:val="14"/>
              <w:bidi w:val="0"/>
            </w:pPr>
            <w:r>
              <w:t>032737</w:t>
            </w:r>
          </w:p>
        </w:tc>
        <w:tc>
          <w:tcPr>
            <w:tcW w:w="1076" w:type="dxa"/>
            <w:vAlign w:val="center"/>
          </w:tcPr>
          <w:p w14:paraId="4312F67A">
            <w:pPr>
              <w:pStyle w:val="14"/>
              <w:bidi w:val="0"/>
            </w:pPr>
            <w:r>
              <w:rPr>
                <w:rFonts w:hint="eastAsia"/>
              </w:rPr>
              <w:t>化工机械</w:t>
            </w:r>
          </w:p>
        </w:tc>
        <w:tc>
          <w:tcPr>
            <w:tcW w:w="1300" w:type="dxa"/>
            <w:vAlign w:val="center"/>
          </w:tcPr>
          <w:p w14:paraId="49866F86">
            <w:pPr>
              <w:pStyle w:val="14"/>
              <w:bidi w:val="0"/>
            </w:pPr>
          </w:p>
        </w:tc>
      </w:tr>
      <w:tr w14:paraId="0C788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1410" w:type="dxa"/>
            <w:vMerge w:val="restart"/>
            <w:vAlign w:val="center"/>
          </w:tcPr>
          <w:p w14:paraId="27949E57">
            <w:pPr>
              <w:pStyle w:val="14"/>
              <w:bidi w:val="0"/>
            </w:pPr>
            <w:r>
              <w:rPr>
                <w:rFonts w:hint="eastAsia"/>
              </w:rPr>
              <w:t>报告编制人</w:t>
            </w:r>
          </w:p>
        </w:tc>
        <w:tc>
          <w:tcPr>
            <w:tcW w:w="960" w:type="dxa"/>
            <w:shd w:val="clear" w:color="auto" w:fill="auto"/>
            <w:vAlign w:val="center"/>
          </w:tcPr>
          <w:p w14:paraId="0B8B3764">
            <w:pPr>
              <w:pStyle w:val="14"/>
              <w:bidi w:val="0"/>
              <w:ind w:firstLine="0" w:firstLineChars="0"/>
              <w:rPr>
                <w:rFonts w:ascii="Times New Roman" w:hAnsi="Times New Roman" w:eastAsia="宋体" w:cs="Times New Roman"/>
                <w:kern w:val="2"/>
                <w:sz w:val="21"/>
                <w:szCs w:val="20"/>
                <w:lang w:val="en-US" w:eastAsia="zh-CN" w:bidi="ar-SA"/>
              </w:rPr>
            </w:pPr>
            <w:r>
              <w:rPr>
                <w:rFonts w:hint="eastAsia"/>
              </w:rPr>
              <w:t>王建新</w:t>
            </w:r>
          </w:p>
        </w:tc>
        <w:tc>
          <w:tcPr>
            <w:tcW w:w="2685" w:type="dxa"/>
            <w:shd w:val="clear" w:color="auto" w:fill="auto"/>
            <w:vAlign w:val="center"/>
          </w:tcPr>
          <w:p w14:paraId="76D8AB40">
            <w:pPr>
              <w:pStyle w:val="14"/>
              <w:bidi w:val="0"/>
              <w:ind w:firstLine="0" w:firstLineChars="0"/>
              <w:rPr>
                <w:rFonts w:ascii="Times New Roman" w:hAnsi="Times New Roman" w:eastAsia="宋体" w:cs="Times New Roman"/>
                <w:kern w:val="2"/>
                <w:sz w:val="21"/>
                <w:szCs w:val="20"/>
                <w:lang w:val="en-US" w:eastAsia="zh-CN" w:bidi="ar-SA"/>
              </w:rPr>
            </w:pPr>
            <w:r>
              <w:rPr>
                <w:rFonts w:hint="eastAsia"/>
              </w:rPr>
              <w:t>1200000000100297</w:t>
            </w:r>
          </w:p>
        </w:tc>
        <w:tc>
          <w:tcPr>
            <w:tcW w:w="1392" w:type="dxa"/>
            <w:shd w:val="clear" w:color="auto" w:fill="auto"/>
            <w:vAlign w:val="center"/>
          </w:tcPr>
          <w:p w14:paraId="712EB1BB">
            <w:pPr>
              <w:pStyle w:val="14"/>
              <w:bidi w:val="0"/>
              <w:ind w:firstLine="0" w:firstLineChars="0"/>
              <w:rPr>
                <w:rFonts w:ascii="Times New Roman" w:hAnsi="Times New Roman" w:eastAsia="宋体" w:cs="Times New Roman"/>
                <w:kern w:val="2"/>
                <w:sz w:val="21"/>
                <w:szCs w:val="20"/>
                <w:lang w:val="en-US" w:eastAsia="zh-CN" w:bidi="ar-SA"/>
              </w:rPr>
            </w:pPr>
            <w:r>
              <w:rPr>
                <w:rFonts w:hint="eastAsia"/>
              </w:rPr>
              <w:t>009826</w:t>
            </w:r>
          </w:p>
        </w:tc>
        <w:tc>
          <w:tcPr>
            <w:tcW w:w="1076" w:type="dxa"/>
            <w:vAlign w:val="center"/>
          </w:tcPr>
          <w:p w14:paraId="276539F6">
            <w:pPr>
              <w:pStyle w:val="14"/>
              <w:bidi w:val="0"/>
            </w:pPr>
            <w:r>
              <w:rPr>
                <w:rFonts w:hint="eastAsia"/>
              </w:rPr>
              <w:t>爆炸技术</w:t>
            </w:r>
          </w:p>
        </w:tc>
        <w:tc>
          <w:tcPr>
            <w:tcW w:w="1300" w:type="dxa"/>
            <w:vAlign w:val="center"/>
          </w:tcPr>
          <w:p w14:paraId="716D62EA">
            <w:pPr>
              <w:pStyle w:val="14"/>
              <w:bidi w:val="0"/>
            </w:pPr>
          </w:p>
        </w:tc>
      </w:tr>
      <w:tr w14:paraId="4B78F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1410" w:type="dxa"/>
            <w:vMerge w:val="continue"/>
            <w:vAlign w:val="center"/>
          </w:tcPr>
          <w:p w14:paraId="08115933">
            <w:pPr>
              <w:pStyle w:val="14"/>
              <w:bidi w:val="0"/>
            </w:pPr>
          </w:p>
        </w:tc>
        <w:tc>
          <w:tcPr>
            <w:tcW w:w="960" w:type="dxa"/>
            <w:shd w:val="clear" w:color="auto" w:fill="auto"/>
            <w:vAlign w:val="center"/>
          </w:tcPr>
          <w:p w14:paraId="1C97A73C">
            <w:pPr>
              <w:pStyle w:val="14"/>
              <w:bidi w:val="0"/>
              <w:ind w:firstLine="0" w:firstLineChars="0"/>
              <w:rPr>
                <w:rFonts w:ascii="Times New Roman" w:hAnsi="Times New Roman" w:eastAsia="宋体" w:cs="Times New Roman"/>
                <w:kern w:val="2"/>
                <w:sz w:val="21"/>
                <w:szCs w:val="20"/>
                <w:lang w:val="en-US" w:eastAsia="zh-CN" w:bidi="ar-SA"/>
              </w:rPr>
            </w:pPr>
            <w:r>
              <w:rPr>
                <w:rFonts w:hint="eastAsia"/>
              </w:rPr>
              <w:t>朱 俊</w:t>
            </w:r>
          </w:p>
        </w:tc>
        <w:tc>
          <w:tcPr>
            <w:tcW w:w="2685" w:type="dxa"/>
            <w:shd w:val="clear" w:color="auto" w:fill="auto"/>
            <w:vAlign w:val="center"/>
          </w:tcPr>
          <w:p w14:paraId="00F77AFF">
            <w:pPr>
              <w:pStyle w:val="14"/>
              <w:bidi w:val="0"/>
              <w:ind w:firstLine="0" w:firstLineChars="0"/>
              <w:rPr>
                <w:rFonts w:ascii="Times New Roman" w:hAnsi="Times New Roman" w:eastAsia="宋体" w:cs="Times New Roman"/>
                <w:kern w:val="2"/>
                <w:sz w:val="21"/>
                <w:szCs w:val="20"/>
                <w:lang w:val="en-US" w:eastAsia="zh-CN" w:bidi="ar-SA"/>
              </w:rPr>
            </w:pPr>
            <w:r>
              <w:rPr>
                <w:rFonts w:hint="eastAsia"/>
              </w:rPr>
              <w:t>S011044000110193002093</w:t>
            </w:r>
          </w:p>
        </w:tc>
        <w:tc>
          <w:tcPr>
            <w:tcW w:w="1392" w:type="dxa"/>
            <w:shd w:val="clear" w:color="auto" w:fill="auto"/>
            <w:vAlign w:val="center"/>
          </w:tcPr>
          <w:p w14:paraId="31364614">
            <w:pPr>
              <w:pStyle w:val="14"/>
              <w:bidi w:val="0"/>
              <w:ind w:firstLine="0" w:firstLineChars="0"/>
              <w:rPr>
                <w:rFonts w:ascii="Times New Roman" w:hAnsi="Times New Roman" w:eastAsia="宋体" w:cs="Times New Roman"/>
                <w:kern w:val="2"/>
                <w:sz w:val="21"/>
                <w:szCs w:val="20"/>
                <w:lang w:val="en-US" w:eastAsia="zh-CN" w:bidi="ar-SA"/>
              </w:rPr>
            </w:pPr>
            <w:r>
              <w:rPr>
                <w:rFonts w:hint="eastAsia"/>
              </w:rPr>
              <w:t>037984</w:t>
            </w:r>
          </w:p>
        </w:tc>
        <w:tc>
          <w:tcPr>
            <w:tcW w:w="1076" w:type="dxa"/>
            <w:vAlign w:val="center"/>
          </w:tcPr>
          <w:p w14:paraId="0A2B4503">
            <w:pPr>
              <w:pStyle w:val="14"/>
              <w:bidi w:val="0"/>
            </w:pPr>
            <w:r>
              <w:rPr>
                <w:rFonts w:hint="eastAsia"/>
              </w:rPr>
              <w:t>安全工程</w:t>
            </w:r>
          </w:p>
        </w:tc>
        <w:tc>
          <w:tcPr>
            <w:tcW w:w="1300" w:type="dxa"/>
            <w:vAlign w:val="center"/>
          </w:tcPr>
          <w:p w14:paraId="3903379B">
            <w:pPr>
              <w:pStyle w:val="14"/>
              <w:bidi w:val="0"/>
            </w:pPr>
          </w:p>
        </w:tc>
      </w:tr>
      <w:tr w14:paraId="30B89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1410" w:type="dxa"/>
            <w:vAlign w:val="center"/>
          </w:tcPr>
          <w:p w14:paraId="7AB36FB3">
            <w:pPr>
              <w:pStyle w:val="14"/>
              <w:bidi w:val="0"/>
            </w:pPr>
            <w:r>
              <w:rPr>
                <w:rFonts w:hint="eastAsia"/>
              </w:rPr>
              <w:t>报告审核人</w:t>
            </w:r>
          </w:p>
        </w:tc>
        <w:tc>
          <w:tcPr>
            <w:tcW w:w="960" w:type="dxa"/>
            <w:vAlign w:val="center"/>
          </w:tcPr>
          <w:p w14:paraId="50D13178">
            <w:pPr>
              <w:pStyle w:val="14"/>
              <w:bidi w:val="0"/>
            </w:pPr>
            <w:r>
              <w:rPr>
                <w:rFonts w:hint="eastAsia"/>
              </w:rPr>
              <w:t>郑 强</w:t>
            </w:r>
          </w:p>
        </w:tc>
        <w:tc>
          <w:tcPr>
            <w:tcW w:w="2685" w:type="dxa"/>
            <w:vAlign w:val="center"/>
          </w:tcPr>
          <w:p w14:paraId="0463A3C9">
            <w:pPr>
              <w:pStyle w:val="14"/>
              <w:bidi w:val="0"/>
            </w:pPr>
            <w:r>
              <w:t>0800000000101605</w:t>
            </w:r>
          </w:p>
        </w:tc>
        <w:tc>
          <w:tcPr>
            <w:tcW w:w="1392" w:type="dxa"/>
            <w:vAlign w:val="center"/>
          </w:tcPr>
          <w:p w14:paraId="7D8F0BAA">
            <w:pPr>
              <w:pStyle w:val="14"/>
              <w:bidi w:val="0"/>
            </w:pPr>
            <w:r>
              <w:t>001851</w:t>
            </w:r>
          </w:p>
        </w:tc>
        <w:tc>
          <w:tcPr>
            <w:tcW w:w="1076" w:type="dxa"/>
            <w:vAlign w:val="center"/>
          </w:tcPr>
          <w:p w14:paraId="73BF7B0E">
            <w:pPr>
              <w:pStyle w:val="14"/>
              <w:bidi w:val="0"/>
            </w:pPr>
            <w:r>
              <w:rPr>
                <w:rFonts w:hint="eastAsia"/>
              </w:rPr>
              <w:t>爆炸技术</w:t>
            </w:r>
          </w:p>
        </w:tc>
        <w:tc>
          <w:tcPr>
            <w:tcW w:w="1300" w:type="dxa"/>
            <w:vAlign w:val="center"/>
          </w:tcPr>
          <w:p w14:paraId="13E0C37F">
            <w:pPr>
              <w:pStyle w:val="14"/>
              <w:bidi w:val="0"/>
            </w:pPr>
          </w:p>
        </w:tc>
      </w:tr>
      <w:tr w14:paraId="47E3D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1410" w:type="dxa"/>
            <w:vAlign w:val="center"/>
          </w:tcPr>
          <w:p w14:paraId="34CED7D8">
            <w:pPr>
              <w:pStyle w:val="14"/>
              <w:bidi w:val="0"/>
            </w:pPr>
            <w:r>
              <w:rPr>
                <w:rFonts w:hint="eastAsia"/>
              </w:rPr>
              <w:t>过程控制</w:t>
            </w:r>
          </w:p>
          <w:p w14:paraId="7E3B51F5">
            <w:pPr>
              <w:pStyle w:val="14"/>
              <w:bidi w:val="0"/>
            </w:pPr>
            <w:r>
              <w:rPr>
                <w:rFonts w:hint="eastAsia"/>
              </w:rPr>
              <w:t>负责人</w:t>
            </w:r>
          </w:p>
        </w:tc>
        <w:tc>
          <w:tcPr>
            <w:tcW w:w="960" w:type="dxa"/>
            <w:vAlign w:val="center"/>
          </w:tcPr>
          <w:p w14:paraId="44C411B3">
            <w:pPr>
              <w:pStyle w:val="14"/>
              <w:bidi w:val="0"/>
            </w:pPr>
            <w:r>
              <w:rPr>
                <w:rFonts w:hint="eastAsia"/>
              </w:rPr>
              <w:t>檀廷斌</w:t>
            </w:r>
          </w:p>
        </w:tc>
        <w:tc>
          <w:tcPr>
            <w:tcW w:w="2685" w:type="dxa"/>
            <w:vAlign w:val="center"/>
          </w:tcPr>
          <w:p w14:paraId="30E7D6DF">
            <w:pPr>
              <w:pStyle w:val="14"/>
              <w:bidi w:val="0"/>
            </w:pPr>
            <w:r>
              <w:rPr>
                <w:rFonts w:hint="eastAsia"/>
              </w:rPr>
              <w:t>1600000000200717</w:t>
            </w:r>
          </w:p>
        </w:tc>
        <w:tc>
          <w:tcPr>
            <w:tcW w:w="1392" w:type="dxa"/>
            <w:vAlign w:val="center"/>
          </w:tcPr>
          <w:p w14:paraId="492AF07E">
            <w:pPr>
              <w:pStyle w:val="14"/>
              <w:bidi w:val="0"/>
            </w:pPr>
            <w:r>
              <w:rPr>
                <w:rFonts w:hint="eastAsia"/>
              </w:rPr>
              <w:t>029648</w:t>
            </w:r>
          </w:p>
        </w:tc>
        <w:tc>
          <w:tcPr>
            <w:tcW w:w="1076" w:type="dxa"/>
            <w:vAlign w:val="center"/>
          </w:tcPr>
          <w:p w14:paraId="0F58F68E">
            <w:pPr>
              <w:pStyle w:val="14"/>
              <w:bidi w:val="0"/>
            </w:pPr>
            <w:r>
              <w:rPr>
                <w:rFonts w:hint="eastAsia"/>
              </w:rPr>
              <w:t>化工工艺</w:t>
            </w:r>
          </w:p>
        </w:tc>
        <w:tc>
          <w:tcPr>
            <w:tcW w:w="1300" w:type="dxa"/>
            <w:vAlign w:val="center"/>
          </w:tcPr>
          <w:p w14:paraId="62F764D3">
            <w:pPr>
              <w:pStyle w:val="14"/>
              <w:bidi w:val="0"/>
            </w:pPr>
          </w:p>
        </w:tc>
      </w:tr>
      <w:tr w14:paraId="36483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1410" w:type="dxa"/>
            <w:vAlign w:val="center"/>
          </w:tcPr>
          <w:p w14:paraId="0AE93B46">
            <w:pPr>
              <w:pStyle w:val="14"/>
              <w:bidi w:val="0"/>
            </w:pPr>
            <w:r>
              <w:rPr>
                <w:rFonts w:hint="eastAsia"/>
              </w:rPr>
              <w:t>技术负责人</w:t>
            </w:r>
          </w:p>
        </w:tc>
        <w:tc>
          <w:tcPr>
            <w:tcW w:w="960" w:type="dxa"/>
            <w:vAlign w:val="center"/>
          </w:tcPr>
          <w:p w14:paraId="3093A8C0">
            <w:pPr>
              <w:pStyle w:val="14"/>
              <w:bidi w:val="0"/>
            </w:pPr>
            <w:r>
              <w:rPr>
                <w:rFonts w:hint="eastAsia"/>
              </w:rPr>
              <w:t>应 宏</w:t>
            </w:r>
          </w:p>
        </w:tc>
        <w:tc>
          <w:tcPr>
            <w:tcW w:w="2685" w:type="dxa"/>
            <w:vAlign w:val="center"/>
          </w:tcPr>
          <w:p w14:paraId="2BBD89B2">
            <w:pPr>
              <w:pStyle w:val="14"/>
              <w:bidi w:val="0"/>
            </w:pPr>
            <w:r>
              <w:t>0800000000101630</w:t>
            </w:r>
          </w:p>
        </w:tc>
        <w:tc>
          <w:tcPr>
            <w:tcW w:w="1392" w:type="dxa"/>
            <w:vAlign w:val="center"/>
          </w:tcPr>
          <w:p w14:paraId="21583121">
            <w:pPr>
              <w:pStyle w:val="14"/>
              <w:bidi w:val="0"/>
            </w:pPr>
            <w:r>
              <w:t>001630</w:t>
            </w:r>
          </w:p>
        </w:tc>
        <w:tc>
          <w:tcPr>
            <w:tcW w:w="1076" w:type="dxa"/>
            <w:vAlign w:val="center"/>
          </w:tcPr>
          <w:p w14:paraId="4F61930F">
            <w:pPr>
              <w:pStyle w:val="14"/>
              <w:bidi w:val="0"/>
            </w:pPr>
            <w:r>
              <w:rPr>
                <w:rFonts w:hint="eastAsia"/>
              </w:rPr>
              <w:t>电气</w:t>
            </w:r>
          </w:p>
        </w:tc>
        <w:tc>
          <w:tcPr>
            <w:tcW w:w="1300" w:type="dxa"/>
            <w:vAlign w:val="center"/>
          </w:tcPr>
          <w:p w14:paraId="6D5378A5">
            <w:pPr>
              <w:pStyle w:val="14"/>
              <w:bidi w:val="0"/>
            </w:pPr>
          </w:p>
        </w:tc>
      </w:tr>
    </w:tbl>
    <w:p w14:paraId="34418046">
      <w:pPr>
        <w:widowControl/>
        <w:jc w:val="left"/>
        <w:rPr>
          <w:rFonts w:ascii="宋体" w:hAnsi="宋体" w:cs="宋体"/>
          <w:kern w:val="0"/>
          <w:sz w:val="32"/>
          <w:szCs w:val="32"/>
        </w:rPr>
      </w:pPr>
    </w:p>
    <w:p w14:paraId="3A1FD409">
      <w:pPr>
        <w:pStyle w:val="35"/>
        <w:spacing w:before="0" w:beforeAutospacing="0" w:after="0" w:afterAutospacing="0" w:line="360" w:lineRule="auto"/>
        <w:ind w:firstLine="640" w:firstLineChars="200"/>
        <w:rPr>
          <w:sz w:val="32"/>
          <w:szCs w:val="32"/>
        </w:rPr>
        <w:sectPr>
          <w:headerReference r:id="rId11" w:type="first"/>
          <w:footerReference r:id="rId13" w:type="first"/>
          <w:headerReference r:id="rId10" w:type="default"/>
          <w:footerReference r:id="rId12" w:type="default"/>
          <w:pgSz w:w="11906" w:h="16838"/>
          <w:pgMar w:top="1417" w:right="1417" w:bottom="1417" w:left="1417" w:header="851" w:footer="992" w:gutter="0"/>
          <w:paperSrc w:first="7" w:other="7"/>
          <w:pgBorders>
            <w:top w:val="none" w:sz="0" w:space="0"/>
            <w:left w:val="none" w:sz="0" w:space="0"/>
            <w:bottom w:val="none" w:sz="0" w:space="0"/>
            <w:right w:val="none" w:sz="0" w:space="0"/>
          </w:pgBorders>
          <w:pgNumType w:fmt="upperRoman" w:start="1"/>
          <w:cols w:space="720" w:num="1"/>
          <w:docGrid w:linePitch="312" w:charSpace="0"/>
        </w:sectPr>
      </w:pPr>
    </w:p>
    <w:p w14:paraId="74480179">
      <w:pPr>
        <w:jc w:val="center"/>
        <w:rPr>
          <w:rFonts w:ascii="黑体" w:hAnsi="宋体" w:eastAsia="黑体" w:cs="宋体"/>
          <w:b/>
          <w:bCs w:val="0"/>
          <w:kern w:val="0"/>
          <w:sz w:val="36"/>
          <w:szCs w:val="36"/>
        </w:rPr>
      </w:pPr>
      <w:r>
        <w:rPr>
          <w:rFonts w:hint="eastAsia" w:ascii="黑体" w:hAnsi="宋体" w:eastAsia="黑体" w:cs="宋体"/>
          <w:b/>
          <w:bCs w:val="0"/>
          <w:kern w:val="0"/>
          <w:sz w:val="36"/>
          <w:szCs w:val="36"/>
        </w:rPr>
        <w:t>前     言</w:t>
      </w:r>
    </w:p>
    <w:p w14:paraId="62291F69">
      <w:pPr>
        <w:spacing w:line="560" w:lineRule="exact"/>
        <w:ind w:firstLine="552" w:firstLineChars="200"/>
        <w:rPr>
          <w:rFonts w:hint="eastAsia" w:ascii="宋体" w:hAnsi="宋体"/>
          <w:color w:val="000000" w:themeColor="text1"/>
          <w:spacing w:val="-2"/>
          <w:sz w:val="28"/>
          <w:szCs w:val="28"/>
          <w14:textFill>
            <w14:solidFill>
              <w14:schemeClr w14:val="tx1"/>
            </w14:solidFill>
          </w14:textFill>
        </w:rPr>
      </w:pPr>
    </w:p>
    <w:p w14:paraId="3ACB75CF">
      <w:pPr>
        <w:spacing w:line="560" w:lineRule="exact"/>
        <w:ind w:firstLine="552" w:firstLineChars="200"/>
        <w:rPr>
          <w:rFonts w:hint="eastAsia" w:ascii="宋体" w:hAnsi="宋体"/>
          <w:color w:val="000000" w:themeColor="text1"/>
          <w:spacing w:val="-2"/>
          <w:sz w:val="28"/>
          <w:szCs w:val="28"/>
          <w:lang w:eastAsia="zh-CN"/>
          <w14:textFill>
            <w14:solidFill>
              <w14:schemeClr w14:val="tx1"/>
            </w14:solidFill>
          </w14:textFill>
        </w:rPr>
      </w:pPr>
      <w:r>
        <w:rPr>
          <w:rFonts w:hint="eastAsia" w:ascii="宋体" w:hAnsi="宋体"/>
          <w:color w:val="000000" w:themeColor="text1"/>
          <w:spacing w:val="-2"/>
          <w:sz w:val="28"/>
          <w:szCs w:val="28"/>
          <w14:textFill>
            <w14:solidFill>
              <w14:schemeClr w14:val="tx1"/>
            </w14:solidFill>
          </w14:textFill>
        </w:rPr>
        <w:t>南昌布莱特进出口有限责任公司(以下简称该公司)于2013年04月成立</w:t>
      </w:r>
      <w:r>
        <w:rPr>
          <w:rFonts w:hint="eastAsia" w:ascii="宋体" w:hAnsi="宋体"/>
          <w:color w:val="000000" w:themeColor="text1"/>
          <w:spacing w:val="-2"/>
          <w:sz w:val="28"/>
          <w:szCs w:val="28"/>
          <w:lang w:eastAsia="zh-CN"/>
          <w14:textFill>
            <w14:solidFill>
              <w14:schemeClr w14:val="tx1"/>
            </w14:solidFill>
          </w14:textFill>
        </w:rPr>
        <w:t>，</w:t>
      </w:r>
      <w:r>
        <w:rPr>
          <w:rFonts w:hint="eastAsia" w:ascii="宋体" w:hAnsi="宋体"/>
          <w:color w:val="000000" w:themeColor="text1"/>
          <w:spacing w:val="-2"/>
          <w:sz w:val="28"/>
          <w:szCs w:val="28"/>
          <w14:textFill>
            <w14:solidFill>
              <w14:schemeClr w14:val="tx1"/>
            </w14:solidFill>
          </w14:textFill>
        </w:rPr>
        <w:t>是一家烟花、爆竹销售的公司。公司法定代表人</w:t>
      </w:r>
      <w:r>
        <w:rPr>
          <w:rFonts w:hint="eastAsia" w:ascii="宋体" w:hAnsi="宋体"/>
          <w:color w:val="000000" w:themeColor="text1"/>
          <w:spacing w:val="-2"/>
          <w:sz w:val="28"/>
          <w:szCs w:val="28"/>
          <w:lang w:val="en-US" w:eastAsia="zh-CN"/>
          <w14:textFill>
            <w14:solidFill>
              <w14:schemeClr w14:val="tx1"/>
            </w14:solidFill>
          </w14:textFill>
        </w:rPr>
        <w:t>卢琛芸</w:t>
      </w:r>
      <w:r>
        <w:rPr>
          <w:rFonts w:hint="eastAsia" w:ascii="宋体" w:hAnsi="宋体"/>
          <w:color w:val="000000" w:themeColor="text1"/>
          <w:spacing w:val="-2"/>
          <w:sz w:val="28"/>
          <w:szCs w:val="28"/>
          <w14:textFill>
            <w14:solidFill>
              <w14:schemeClr w14:val="tx1"/>
            </w14:solidFill>
          </w14:textFill>
        </w:rPr>
        <w:t>。营业执照注册号为91360125065381860</w:t>
      </w:r>
      <w:r>
        <w:rPr>
          <w:rFonts w:hint="eastAsia" w:ascii="宋体" w:hAnsi="宋体"/>
          <w:color w:val="000000" w:themeColor="text1"/>
          <w:spacing w:val="-2"/>
          <w:sz w:val="28"/>
          <w:szCs w:val="28"/>
          <w:lang w:val="en-US" w:eastAsia="zh-CN"/>
          <w14:textFill>
            <w14:solidFill>
              <w14:schemeClr w14:val="tx1"/>
            </w14:solidFill>
          </w14:textFill>
        </w:rPr>
        <w:t>Q</w:t>
      </w:r>
      <w:r>
        <w:rPr>
          <w:rFonts w:hint="eastAsia" w:ascii="宋体" w:hAnsi="宋体"/>
          <w:color w:val="000000" w:themeColor="text1"/>
          <w:spacing w:val="-2"/>
          <w:sz w:val="28"/>
          <w:szCs w:val="28"/>
          <w:lang w:eastAsia="zh-CN"/>
          <w14:textFill>
            <w14:solidFill>
              <w14:schemeClr w14:val="tx1"/>
            </w14:solidFill>
          </w14:textFill>
        </w:rPr>
        <w:t>，</w:t>
      </w:r>
      <w:r>
        <w:rPr>
          <w:rFonts w:hint="eastAsia" w:ascii="宋体" w:hAnsi="宋体"/>
          <w:color w:val="000000" w:themeColor="text1"/>
          <w:spacing w:val="-2"/>
          <w:sz w:val="28"/>
          <w:szCs w:val="28"/>
          <w:lang w:val="en-US" w:eastAsia="zh-CN"/>
          <w14:textFill>
            <w14:solidFill>
              <w14:schemeClr w14:val="tx1"/>
            </w14:solidFill>
          </w14:textFill>
        </w:rPr>
        <w:t>经营范围：</w:t>
      </w:r>
      <w:r>
        <w:rPr>
          <w:rFonts w:hint="eastAsia" w:ascii="宋体" w:hAnsi="宋体"/>
          <w:color w:val="000000" w:themeColor="text1"/>
          <w:spacing w:val="-2"/>
          <w:sz w:val="28"/>
          <w:szCs w:val="28"/>
          <w:lang w:eastAsia="zh-CN"/>
          <w14:textFill>
            <w14:solidFill>
              <w14:schemeClr w14:val="tx1"/>
            </w14:solidFill>
          </w14:textFill>
        </w:rPr>
        <w:t>自营和代理各类商品及技术的进出口业务(国家限定公司经营或禁止进出口的商品和技术除外)，国内贸易(以上项目国家有专项规定的凭许可证、资质证或其他批准文件经营)，</w:t>
      </w:r>
      <w:r>
        <w:rPr>
          <w:rFonts w:hint="eastAsia" w:ascii="宋体" w:hAnsi="宋体"/>
          <w:color w:val="000000" w:themeColor="text1"/>
          <w:spacing w:val="-2"/>
          <w:sz w:val="28"/>
          <w:szCs w:val="28"/>
          <w14:textFill>
            <w14:solidFill>
              <w14:schemeClr w14:val="tx1"/>
            </w14:solidFill>
          </w14:textFill>
        </w:rPr>
        <w:t>登记机关</w:t>
      </w:r>
      <w:r>
        <w:rPr>
          <w:rFonts w:hint="eastAsia" w:ascii="宋体" w:hAnsi="宋体"/>
          <w:color w:val="000000" w:themeColor="text1"/>
          <w:spacing w:val="-2"/>
          <w:sz w:val="28"/>
          <w:szCs w:val="28"/>
          <w:lang w:val="en-US" w:eastAsia="zh-CN"/>
          <w14:textFill>
            <w14:solidFill>
              <w14:schemeClr w14:val="tx1"/>
            </w14:solidFill>
          </w14:textFill>
        </w:rPr>
        <w:t>为</w:t>
      </w:r>
      <w:r>
        <w:rPr>
          <w:rFonts w:hint="eastAsia" w:ascii="宋体" w:hAnsi="宋体"/>
          <w:color w:val="000000" w:themeColor="text1"/>
          <w:spacing w:val="-2"/>
          <w:sz w:val="28"/>
          <w:szCs w:val="28"/>
          <w14:textFill>
            <w14:solidFill>
              <w14:schemeClr w14:val="tx1"/>
            </w14:solidFill>
          </w14:textFill>
        </w:rPr>
        <w:t>南昌市红谷滩</w:t>
      </w:r>
      <w:r>
        <w:rPr>
          <w:rFonts w:hint="eastAsia" w:ascii="宋体" w:hAnsi="宋体"/>
          <w:color w:val="000000" w:themeColor="text1"/>
          <w:spacing w:val="-2"/>
          <w:sz w:val="28"/>
          <w:szCs w:val="28"/>
          <w:lang w:val="en-US" w:eastAsia="zh-CN"/>
          <w14:textFill>
            <w14:solidFill>
              <w14:schemeClr w14:val="tx1"/>
            </w14:solidFill>
          </w14:textFill>
        </w:rPr>
        <w:t>市场监督管理局，</w:t>
      </w:r>
      <w:r>
        <w:rPr>
          <w:rFonts w:hint="eastAsia" w:ascii="宋体" w:hAnsi="宋体"/>
          <w:color w:val="000000" w:themeColor="text1"/>
          <w:spacing w:val="-2"/>
          <w:sz w:val="28"/>
          <w:szCs w:val="28"/>
          <w14:textFill>
            <w14:solidFill>
              <w14:schemeClr w14:val="tx1"/>
            </w14:solidFill>
          </w14:textFill>
        </w:rPr>
        <w:t>该公司注册地址为江西省南昌市红谷滩区会展路唐宁街A座B座写字楼A座1804室</w:t>
      </w:r>
      <w:r>
        <w:rPr>
          <w:rFonts w:hint="eastAsia" w:ascii="宋体" w:hAnsi="宋体"/>
          <w:color w:val="000000" w:themeColor="text1"/>
          <w:spacing w:val="-2"/>
          <w:sz w:val="28"/>
          <w:szCs w:val="28"/>
          <w:lang w:eastAsia="zh-CN"/>
          <w14:textFill>
            <w14:solidFill>
              <w14:schemeClr w14:val="tx1"/>
            </w14:solidFill>
          </w14:textFill>
        </w:rPr>
        <w:t>，</w:t>
      </w:r>
      <w:r>
        <w:rPr>
          <w:rFonts w:hint="eastAsia" w:ascii="宋体" w:hAnsi="宋体"/>
          <w:color w:val="000000" w:themeColor="text1"/>
          <w:spacing w:val="-2"/>
          <w:sz w:val="28"/>
          <w:szCs w:val="28"/>
          <w14:textFill>
            <w14:solidFill>
              <w14:schemeClr w14:val="tx1"/>
            </w14:solidFill>
          </w14:textFill>
        </w:rPr>
        <w:t>注册资本300万</w:t>
      </w:r>
      <w:r>
        <w:rPr>
          <w:rFonts w:hint="eastAsia" w:ascii="宋体" w:hAnsi="宋体"/>
          <w:color w:val="000000" w:themeColor="text1"/>
          <w:spacing w:val="-2"/>
          <w:sz w:val="28"/>
          <w:szCs w:val="28"/>
          <w:lang w:eastAsia="zh-CN"/>
          <w14:textFill>
            <w14:solidFill>
              <w14:schemeClr w14:val="tx1"/>
            </w14:solidFill>
          </w14:textFill>
        </w:rPr>
        <w:t>。</w:t>
      </w:r>
    </w:p>
    <w:p w14:paraId="523E5684">
      <w:pPr>
        <w:bidi w:val="0"/>
        <w:rPr>
          <w:rFonts w:hint="eastAsia"/>
          <w:spacing w:val="-6"/>
          <w:sz w:val="28"/>
          <w:lang w:eastAsia="zh-CN"/>
        </w:rPr>
      </w:pPr>
      <w:r>
        <w:rPr>
          <w:rFonts w:hint="eastAsia"/>
          <w:spacing w:val="-6"/>
          <w:sz w:val="28"/>
          <w:lang w:val="en-US" w:eastAsia="zh-CN"/>
        </w:rPr>
        <w:t>该</w:t>
      </w:r>
      <w:r>
        <w:rPr>
          <w:rFonts w:hint="eastAsia"/>
          <w:spacing w:val="-6"/>
          <w:sz w:val="28"/>
        </w:rPr>
        <w:t>公司租赁萍乡市金坪烟花制造有限公司的成品库</w:t>
      </w:r>
      <w:r>
        <w:rPr>
          <w:rFonts w:hint="eastAsia"/>
          <w:spacing w:val="-6"/>
          <w:sz w:val="28"/>
          <w:lang w:eastAsia="zh-CN"/>
        </w:rPr>
        <w:t>，</w:t>
      </w:r>
      <w:r>
        <w:rPr>
          <w:rFonts w:hint="eastAsia"/>
          <w:spacing w:val="-6"/>
          <w:sz w:val="28"/>
        </w:rPr>
        <w:t>仓库地址位于萍乡市上栗县桐木镇马岭</w:t>
      </w:r>
      <w:r>
        <w:rPr>
          <w:rFonts w:hint="eastAsia"/>
          <w:spacing w:val="-6"/>
          <w:sz w:val="28"/>
          <w:lang w:eastAsia="zh-CN"/>
        </w:rPr>
        <w:t>，</w:t>
      </w:r>
      <w:r>
        <w:rPr>
          <w:rFonts w:hint="eastAsia"/>
          <w:spacing w:val="-6"/>
          <w:sz w:val="28"/>
          <w:lang w:val="en-US" w:eastAsia="zh-CN"/>
        </w:rPr>
        <w:t>该</w:t>
      </w:r>
      <w:r>
        <w:rPr>
          <w:rFonts w:hint="eastAsia"/>
          <w:spacing w:val="-6"/>
          <w:sz w:val="28"/>
        </w:rPr>
        <w:t>公司烟花爆竹产品均储存在供货方的厂区成品库</w:t>
      </w:r>
      <w:r>
        <w:rPr>
          <w:rFonts w:hint="eastAsia"/>
          <w:spacing w:val="-6"/>
          <w:sz w:val="28"/>
          <w:lang w:eastAsia="zh-CN"/>
        </w:rPr>
        <w:t>。</w:t>
      </w:r>
      <w:r>
        <w:rPr>
          <w:rFonts w:hint="eastAsia"/>
          <w:spacing w:val="-6"/>
          <w:sz w:val="28"/>
        </w:rPr>
        <w:t>用于储存烟花爆竹产品为租用萍乡市金坪烟花制造有限公司的540、542、545号成品库</w:t>
      </w:r>
      <w:r>
        <w:rPr>
          <w:rFonts w:hint="eastAsia"/>
          <w:spacing w:val="-6"/>
          <w:sz w:val="28"/>
          <w:lang w:eastAsia="zh-CN"/>
        </w:rPr>
        <w:t>，</w:t>
      </w:r>
      <w:r>
        <w:rPr>
          <w:rFonts w:hint="eastAsia"/>
          <w:spacing w:val="-6"/>
          <w:sz w:val="28"/>
        </w:rPr>
        <w:t>租用的540号成品库危险等级为1.3级</w:t>
      </w:r>
      <w:r>
        <w:rPr>
          <w:rFonts w:hint="eastAsia"/>
          <w:spacing w:val="-6"/>
          <w:sz w:val="28"/>
          <w:lang w:eastAsia="zh-CN"/>
        </w:rPr>
        <w:t>，</w:t>
      </w:r>
      <w:r>
        <w:rPr>
          <w:rFonts w:hint="eastAsia"/>
          <w:spacing w:val="-6"/>
          <w:sz w:val="28"/>
        </w:rPr>
        <w:t>面积为420m²</w:t>
      </w:r>
      <w:r>
        <w:rPr>
          <w:rFonts w:hint="eastAsia"/>
          <w:spacing w:val="-6"/>
          <w:sz w:val="28"/>
          <w:lang w:eastAsia="zh-CN"/>
        </w:rPr>
        <w:t>，</w:t>
      </w:r>
      <w:r>
        <w:rPr>
          <w:rFonts w:hint="eastAsia"/>
          <w:spacing w:val="-6"/>
          <w:sz w:val="28"/>
        </w:rPr>
        <w:t>设置为1间</w:t>
      </w:r>
      <w:r>
        <w:rPr>
          <w:rFonts w:hint="eastAsia"/>
          <w:spacing w:val="-6"/>
          <w:sz w:val="28"/>
          <w:lang w:eastAsia="zh-CN"/>
        </w:rPr>
        <w:t>，</w:t>
      </w:r>
      <w:r>
        <w:rPr>
          <w:rFonts w:hint="eastAsia"/>
          <w:spacing w:val="-6"/>
          <w:sz w:val="28"/>
        </w:rPr>
        <w:t>用于储存C级爆竹类产品</w:t>
      </w:r>
      <w:r>
        <w:rPr>
          <w:rFonts w:hint="eastAsia"/>
          <w:spacing w:val="-6"/>
          <w:sz w:val="28"/>
          <w:lang w:eastAsia="zh-CN"/>
        </w:rPr>
        <w:t>，</w:t>
      </w:r>
      <w:r>
        <w:rPr>
          <w:rFonts w:hint="eastAsia"/>
          <w:spacing w:val="-6"/>
          <w:sz w:val="28"/>
        </w:rPr>
        <w:t>总限药量为9000kg</w:t>
      </w:r>
      <w:r>
        <w:rPr>
          <w:rFonts w:hint="eastAsia"/>
          <w:spacing w:val="-6"/>
          <w:sz w:val="28"/>
          <w:lang w:eastAsia="zh-CN"/>
        </w:rPr>
        <w:t>，</w:t>
      </w:r>
      <w:r>
        <w:rPr>
          <w:rFonts w:hint="eastAsia"/>
          <w:spacing w:val="-6"/>
          <w:sz w:val="28"/>
        </w:rPr>
        <w:t>租用的542号成品库危险等级为1.3级</w:t>
      </w:r>
      <w:r>
        <w:rPr>
          <w:rFonts w:hint="eastAsia"/>
          <w:spacing w:val="-6"/>
          <w:sz w:val="28"/>
          <w:lang w:eastAsia="zh-CN"/>
        </w:rPr>
        <w:t>，</w:t>
      </w:r>
      <w:r>
        <w:rPr>
          <w:rFonts w:hint="eastAsia"/>
          <w:spacing w:val="-6"/>
          <w:sz w:val="28"/>
        </w:rPr>
        <w:t>面积为294m²</w:t>
      </w:r>
      <w:r>
        <w:rPr>
          <w:rFonts w:hint="eastAsia"/>
          <w:spacing w:val="-6"/>
          <w:sz w:val="28"/>
          <w:lang w:eastAsia="zh-CN"/>
        </w:rPr>
        <w:t>，</w:t>
      </w:r>
      <w:r>
        <w:rPr>
          <w:rFonts w:hint="eastAsia"/>
          <w:spacing w:val="-6"/>
          <w:sz w:val="28"/>
        </w:rPr>
        <w:t>设置为1间</w:t>
      </w:r>
      <w:r>
        <w:rPr>
          <w:rFonts w:hint="eastAsia"/>
          <w:spacing w:val="-6"/>
          <w:sz w:val="28"/>
          <w:lang w:eastAsia="zh-CN"/>
        </w:rPr>
        <w:t>，</w:t>
      </w:r>
      <w:r>
        <w:rPr>
          <w:rFonts w:hint="eastAsia"/>
          <w:spacing w:val="-6"/>
          <w:sz w:val="28"/>
        </w:rPr>
        <w:t>用于储存C</w:t>
      </w:r>
      <w:r>
        <w:rPr>
          <w:rFonts w:hint="eastAsia"/>
          <w:spacing w:val="-6"/>
          <w:sz w:val="28"/>
          <w:lang w:eastAsia="zh-CN"/>
        </w:rPr>
        <w:t>、</w:t>
      </w:r>
      <w:r>
        <w:rPr>
          <w:rFonts w:hint="eastAsia"/>
          <w:spacing w:val="-6"/>
          <w:sz w:val="28"/>
        </w:rPr>
        <w:t>D级烟花类产品</w:t>
      </w:r>
      <w:r>
        <w:rPr>
          <w:rFonts w:hint="eastAsia"/>
          <w:spacing w:val="-6"/>
          <w:sz w:val="28"/>
          <w:lang w:eastAsia="zh-CN"/>
        </w:rPr>
        <w:t>，</w:t>
      </w:r>
      <w:r>
        <w:rPr>
          <w:rFonts w:hint="eastAsia"/>
          <w:spacing w:val="-6"/>
          <w:sz w:val="28"/>
        </w:rPr>
        <w:t>总限药量为5000kg</w:t>
      </w:r>
      <w:r>
        <w:rPr>
          <w:rFonts w:hint="eastAsia"/>
          <w:spacing w:val="-6"/>
          <w:sz w:val="28"/>
          <w:lang w:eastAsia="zh-CN"/>
        </w:rPr>
        <w:t>，</w:t>
      </w:r>
      <w:r>
        <w:rPr>
          <w:rFonts w:hint="eastAsia"/>
          <w:spacing w:val="-6"/>
          <w:sz w:val="28"/>
        </w:rPr>
        <w:t>租用的545号成品库危险等级为1.1</w:t>
      </w:r>
      <w:r>
        <w:rPr>
          <w:rFonts w:hint="eastAsia"/>
          <w:spacing w:val="-6"/>
          <w:sz w:val="28"/>
          <w:lang w:val="en-US" w:eastAsia="zh-CN"/>
        </w:rPr>
        <w:t>-2</w:t>
      </w:r>
      <w:r>
        <w:rPr>
          <w:rFonts w:hint="eastAsia"/>
          <w:spacing w:val="-6"/>
          <w:sz w:val="28"/>
        </w:rPr>
        <w:t>级</w:t>
      </w:r>
      <w:r>
        <w:rPr>
          <w:rFonts w:hint="eastAsia"/>
          <w:spacing w:val="-6"/>
          <w:sz w:val="28"/>
          <w:lang w:eastAsia="zh-CN"/>
        </w:rPr>
        <w:t>，</w:t>
      </w:r>
      <w:r>
        <w:rPr>
          <w:rFonts w:hint="eastAsia"/>
          <w:spacing w:val="-6"/>
          <w:sz w:val="28"/>
        </w:rPr>
        <w:t>面积为216m²</w:t>
      </w:r>
      <w:r>
        <w:rPr>
          <w:rFonts w:hint="eastAsia"/>
          <w:spacing w:val="-6"/>
          <w:sz w:val="28"/>
          <w:lang w:eastAsia="zh-CN"/>
        </w:rPr>
        <w:t>，</w:t>
      </w:r>
      <w:r>
        <w:rPr>
          <w:rFonts w:hint="eastAsia"/>
          <w:spacing w:val="-6"/>
          <w:sz w:val="28"/>
        </w:rPr>
        <w:t>设置为1间</w:t>
      </w:r>
      <w:r>
        <w:rPr>
          <w:rFonts w:hint="eastAsia"/>
          <w:spacing w:val="-6"/>
          <w:sz w:val="28"/>
          <w:lang w:eastAsia="zh-CN"/>
        </w:rPr>
        <w:t>，</w:t>
      </w:r>
      <w:r>
        <w:rPr>
          <w:rFonts w:hint="eastAsia"/>
          <w:spacing w:val="-6"/>
          <w:sz w:val="28"/>
        </w:rPr>
        <w:t>用于储存A、B级烟花类产品</w:t>
      </w:r>
      <w:r>
        <w:rPr>
          <w:rFonts w:hint="eastAsia"/>
          <w:spacing w:val="-6"/>
          <w:sz w:val="28"/>
          <w:lang w:eastAsia="zh-CN"/>
        </w:rPr>
        <w:t>，</w:t>
      </w:r>
      <w:r>
        <w:rPr>
          <w:rFonts w:hint="eastAsia"/>
          <w:spacing w:val="-6"/>
          <w:sz w:val="28"/>
        </w:rPr>
        <w:t>总限药量为2000kg</w:t>
      </w:r>
      <w:r>
        <w:rPr>
          <w:rFonts w:hint="eastAsia"/>
          <w:spacing w:val="-6"/>
          <w:sz w:val="28"/>
          <w:lang w:eastAsia="zh-CN"/>
        </w:rPr>
        <w:t>。公司与</w:t>
      </w:r>
      <w:r>
        <w:rPr>
          <w:rFonts w:hint="eastAsia"/>
          <w:spacing w:val="-6"/>
          <w:sz w:val="28"/>
        </w:rPr>
        <w:t>江西波波物流有限公司负责</w:t>
      </w:r>
      <w:r>
        <w:rPr>
          <w:rFonts w:hint="eastAsia"/>
          <w:spacing w:val="-6"/>
          <w:sz w:val="28"/>
          <w:lang w:eastAsia="zh-CN"/>
        </w:rPr>
        <w:t>签订了货物运输合同，委托其承运烟花爆竹；库区防雷、防静电及监控设施装备完备，防雷、防静电经检验合格并运行良好。</w:t>
      </w:r>
    </w:p>
    <w:p w14:paraId="52813013">
      <w:pPr>
        <w:spacing w:line="560" w:lineRule="exact"/>
        <w:ind w:firstLine="536" w:firstLineChars="200"/>
        <w:rPr>
          <w:rFonts w:hint="eastAsia" w:ascii="宋体" w:hAnsi="宋体" w:eastAsia="宋体" w:cs="Times New Roman"/>
          <w:color w:val="000000" w:themeColor="text1"/>
          <w:spacing w:val="-2"/>
          <w:sz w:val="28"/>
          <w:szCs w:val="28"/>
          <w:lang w:val="en-US" w:eastAsia="zh-CN"/>
          <w14:textFill>
            <w14:solidFill>
              <w14:schemeClr w14:val="tx1"/>
            </w14:solidFill>
          </w14:textFill>
        </w:rPr>
      </w:pPr>
      <w:r>
        <w:rPr>
          <w:rFonts w:hint="eastAsia" w:ascii="宋体" w:hAnsi="宋体"/>
          <w:color w:val="000000" w:themeColor="text1"/>
          <w:spacing w:val="-6"/>
          <w:sz w:val="28"/>
          <w:szCs w:val="28"/>
          <w14:textFill>
            <w14:solidFill>
              <w14:schemeClr w14:val="tx1"/>
            </w14:solidFill>
          </w14:textFill>
        </w:rPr>
        <w:t>该公司</w:t>
      </w:r>
      <w:r>
        <w:rPr>
          <w:rFonts w:hint="eastAsia" w:ascii="宋体" w:hAnsi="宋体"/>
          <w:color w:val="000000" w:themeColor="text1"/>
          <w:spacing w:val="-6"/>
          <w:sz w:val="28"/>
          <w:szCs w:val="28"/>
          <w:lang w:val="en-US" w:eastAsia="zh-CN"/>
          <w14:textFill>
            <w14:solidFill>
              <w14:schemeClr w14:val="tx1"/>
            </w14:solidFill>
          </w14:textFill>
        </w:rPr>
        <w:t>于2023年01月17日</w:t>
      </w:r>
      <w:r>
        <w:rPr>
          <w:rFonts w:hint="eastAsia" w:ascii="Times New Roman" w:hAnsi="Times New Roman" w:eastAsia="宋体" w:cs="Times New Roman"/>
          <w:spacing w:val="-6"/>
          <w:sz w:val="28"/>
          <w:szCs w:val="28"/>
          <w:lang w:val="zh-CN"/>
        </w:rPr>
        <w:t>延期取得</w:t>
      </w:r>
      <w:r>
        <w:rPr>
          <w:rFonts w:hint="eastAsia" w:ascii="宋体" w:hAnsi="宋体"/>
          <w:color w:val="000000" w:themeColor="text1"/>
          <w:spacing w:val="-6"/>
          <w:sz w:val="28"/>
          <w:szCs w:val="28"/>
          <w14:textFill>
            <w14:solidFill>
              <w14:schemeClr w14:val="tx1"/>
            </w14:solidFill>
          </w14:textFill>
        </w:rPr>
        <w:t>烟花爆竹经营</w:t>
      </w:r>
      <w:r>
        <w:rPr>
          <w:rFonts w:hint="eastAsia" w:ascii="宋体" w:hAnsi="宋体"/>
          <w:color w:val="000000" w:themeColor="text1"/>
          <w:spacing w:val="-6"/>
          <w:sz w:val="28"/>
          <w:szCs w:val="28"/>
          <w:lang w:eastAsia="zh-CN"/>
          <w14:textFill>
            <w14:solidFill>
              <w14:schemeClr w14:val="tx1"/>
            </w14:solidFill>
          </w14:textFill>
        </w:rPr>
        <w:t>（</w:t>
      </w:r>
      <w:r>
        <w:rPr>
          <w:rFonts w:hint="eastAsia" w:ascii="宋体" w:hAnsi="宋体"/>
          <w:color w:val="000000" w:themeColor="text1"/>
          <w:spacing w:val="-6"/>
          <w:sz w:val="28"/>
          <w:szCs w:val="28"/>
          <w:lang w:val="en-US" w:eastAsia="zh-CN"/>
          <w14:textFill>
            <w14:solidFill>
              <w14:schemeClr w14:val="tx1"/>
            </w14:solidFill>
          </w14:textFill>
        </w:rPr>
        <w:t>批发</w:t>
      </w:r>
      <w:r>
        <w:rPr>
          <w:rFonts w:hint="eastAsia" w:ascii="宋体" w:hAnsi="宋体"/>
          <w:color w:val="000000" w:themeColor="text1"/>
          <w:spacing w:val="-6"/>
          <w:sz w:val="28"/>
          <w:szCs w:val="28"/>
          <w:lang w:eastAsia="zh-CN"/>
          <w14:textFill>
            <w14:solidFill>
              <w14:schemeClr w14:val="tx1"/>
            </w14:solidFill>
          </w14:textFill>
        </w:rPr>
        <w:t>）</w:t>
      </w:r>
      <w:r>
        <w:rPr>
          <w:rFonts w:hint="eastAsia" w:ascii="宋体" w:hAnsi="宋体"/>
          <w:color w:val="000000" w:themeColor="text1"/>
          <w:spacing w:val="-6"/>
          <w:sz w:val="28"/>
          <w:szCs w:val="28"/>
          <w14:textFill>
            <w14:solidFill>
              <w14:schemeClr w14:val="tx1"/>
            </w14:solidFill>
          </w14:textFill>
        </w:rPr>
        <w:t>许可</w:t>
      </w:r>
      <w:r>
        <w:rPr>
          <w:rFonts w:hint="eastAsia" w:ascii="宋体" w:hAnsi="宋体"/>
          <w:color w:val="000000" w:themeColor="text1"/>
          <w:spacing w:val="-6"/>
          <w:sz w:val="28"/>
          <w:szCs w:val="28"/>
          <w:lang w:val="en-US" w:eastAsia="zh-CN"/>
          <w14:textFill>
            <w14:solidFill>
              <w14:schemeClr w14:val="tx1"/>
            </w14:solidFill>
          </w14:textFill>
        </w:rPr>
        <w:t>证，</w:t>
      </w:r>
      <w:r>
        <w:rPr>
          <w:rFonts w:hint="eastAsia" w:ascii="Times New Roman" w:hAnsi="Times New Roman" w:eastAsia="宋体" w:cs="Times New Roman"/>
          <w:spacing w:val="-6"/>
          <w:sz w:val="28"/>
          <w:szCs w:val="28"/>
          <w:lang w:val="zh-CN"/>
        </w:rPr>
        <w:t>许可证有效期至202</w:t>
      </w:r>
      <w:r>
        <w:rPr>
          <w:rFonts w:hint="eastAsia" w:ascii="Times New Roman" w:hAnsi="Times New Roman" w:eastAsia="宋体" w:cs="Times New Roman"/>
          <w:spacing w:val="-6"/>
          <w:sz w:val="28"/>
          <w:szCs w:val="28"/>
          <w:lang w:val="en-US" w:eastAsia="zh-CN"/>
        </w:rPr>
        <w:t>6</w:t>
      </w:r>
      <w:r>
        <w:rPr>
          <w:rFonts w:hint="eastAsia" w:ascii="Times New Roman" w:hAnsi="Times New Roman" w:eastAsia="宋体" w:cs="Times New Roman"/>
          <w:spacing w:val="-6"/>
          <w:sz w:val="28"/>
          <w:szCs w:val="28"/>
          <w:lang w:val="zh-CN"/>
        </w:rPr>
        <w:t>年0</w:t>
      </w:r>
      <w:r>
        <w:rPr>
          <w:rFonts w:hint="eastAsia" w:ascii="Times New Roman" w:hAnsi="Times New Roman" w:eastAsia="宋体" w:cs="Times New Roman"/>
          <w:spacing w:val="-6"/>
          <w:sz w:val="28"/>
          <w:szCs w:val="28"/>
          <w:lang w:val="en-US" w:eastAsia="zh-CN"/>
        </w:rPr>
        <w:t>1</w:t>
      </w:r>
      <w:r>
        <w:rPr>
          <w:rFonts w:hint="eastAsia" w:ascii="Times New Roman" w:hAnsi="Times New Roman" w:eastAsia="宋体" w:cs="Times New Roman"/>
          <w:spacing w:val="-6"/>
          <w:sz w:val="28"/>
          <w:szCs w:val="28"/>
          <w:lang w:val="zh-CN"/>
        </w:rPr>
        <w:t>月</w:t>
      </w:r>
      <w:r>
        <w:rPr>
          <w:rFonts w:hint="eastAsia" w:ascii="Times New Roman" w:hAnsi="Times New Roman" w:eastAsia="宋体" w:cs="Times New Roman"/>
          <w:spacing w:val="-6"/>
          <w:sz w:val="28"/>
          <w:szCs w:val="28"/>
          <w:lang w:val="en-US" w:eastAsia="zh-CN"/>
        </w:rPr>
        <w:t>22</w:t>
      </w:r>
      <w:r>
        <w:rPr>
          <w:rFonts w:hint="eastAsia" w:ascii="Times New Roman" w:hAnsi="Times New Roman" w:eastAsia="宋体" w:cs="Times New Roman"/>
          <w:spacing w:val="-6"/>
          <w:sz w:val="28"/>
          <w:szCs w:val="28"/>
          <w:lang w:val="zh-CN"/>
        </w:rPr>
        <w:t>日，</w:t>
      </w:r>
      <w:r>
        <w:rPr>
          <w:rFonts w:hint="eastAsia" w:ascii="Times New Roman" w:hAnsi="Times New Roman" w:eastAsia="宋体" w:cs="Times New Roman"/>
          <w:spacing w:val="-6"/>
          <w:sz w:val="28"/>
          <w:szCs w:val="28"/>
          <w:lang w:val="en-US" w:eastAsia="zh-CN"/>
        </w:rPr>
        <w:t>证书</w:t>
      </w:r>
      <w:r>
        <w:rPr>
          <w:rFonts w:hint="eastAsia" w:ascii="Times New Roman" w:hAnsi="Times New Roman" w:eastAsia="宋体" w:cs="Times New Roman"/>
          <w:spacing w:val="-6"/>
          <w:sz w:val="28"/>
          <w:szCs w:val="28"/>
          <w:lang w:val="zh-CN"/>
        </w:rPr>
        <w:t>编号为（赣）</w:t>
      </w:r>
      <w:r>
        <w:rPr>
          <w:rFonts w:hint="eastAsia" w:ascii="Times New Roman" w:hAnsi="Times New Roman" w:eastAsia="宋体" w:cs="Times New Roman"/>
          <w:spacing w:val="-6"/>
          <w:sz w:val="28"/>
          <w:szCs w:val="28"/>
          <w:lang w:val="en-US" w:eastAsia="zh-CN"/>
        </w:rPr>
        <w:t>YHPF</w:t>
      </w:r>
      <w:r>
        <w:rPr>
          <w:rFonts w:hint="eastAsia" w:ascii="Times New Roman" w:hAnsi="Times New Roman" w:eastAsia="宋体" w:cs="Times New Roman"/>
          <w:spacing w:val="-6"/>
          <w:sz w:val="28"/>
          <w:szCs w:val="28"/>
          <w:lang w:val="zh-CN"/>
        </w:rPr>
        <w:t>[20</w:t>
      </w:r>
      <w:r>
        <w:rPr>
          <w:rFonts w:hint="eastAsia" w:ascii="Times New Roman" w:hAnsi="Times New Roman" w:eastAsia="宋体" w:cs="Times New Roman"/>
          <w:spacing w:val="-6"/>
          <w:sz w:val="28"/>
          <w:szCs w:val="28"/>
          <w:lang w:val="en-US" w:eastAsia="zh-CN"/>
        </w:rPr>
        <w:t>23</w:t>
      </w:r>
      <w:r>
        <w:rPr>
          <w:rFonts w:hint="eastAsia" w:ascii="Times New Roman" w:hAnsi="Times New Roman" w:eastAsia="宋体" w:cs="Times New Roman"/>
          <w:spacing w:val="-6"/>
          <w:sz w:val="28"/>
          <w:szCs w:val="28"/>
          <w:lang w:val="zh-CN"/>
        </w:rPr>
        <w:t>]</w:t>
      </w:r>
      <w:r>
        <w:rPr>
          <w:rFonts w:hint="eastAsia" w:ascii="Times New Roman" w:hAnsi="Times New Roman" w:eastAsia="宋体" w:cs="Times New Roman"/>
          <w:spacing w:val="-6"/>
          <w:sz w:val="28"/>
          <w:szCs w:val="28"/>
          <w:lang w:val="en-US" w:eastAsia="zh-CN"/>
        </w:rPr>
        <w:t>00015号，</w:t>
      </w:r>
      <w:r>
        <w:rPr>
          <w:rFonts w:hint="eastAsia" w:ascii="Times New Roman" w:hAnsi="Times New Roman" w:eastAsia="宋体" w:cs="Times New Roman"/>
          <w:spacing w:val="-6"/>
          <w:sz w:val="28"/>
          <w:szCs w:val="28"/>
          <w:lang w:val="zh-CN"/>
        </w:rPr>
        <w:t>许可范围：</w:t>
      </w:r>
      <w:r>
        <w:rPr>
          <w:rFonts w:hint="eastAsia" w:ascii="宋体" w:hAnsi="宋体"/>
          <w:color w:val="000000" w:themeColor="text1"/>
          <w:spacing w:val="-6"/>
          <w:sz w:val="28"/>
          <w:szCs w:val="28"/>
          <w14:textFill>
            <w14:solidFill>
              <w14:schemeClr w14:val="tx1"/>
            </w14:solidFill>
          </w14:textFill>
        </w:rPr>
        <w:t>烟花类(A级、B级、C级、D级)</w:t>
      </w:r>
      <w:r>
        <w:rPr>
          <w:rFonts w:hint="eastAsia" w:ascii="宋体" w:hAnsi="宋体"/>
          <w:color w:val="000000" w:themeColor="text1"/>
          <w:spacing w:val="-6"/>
          <w:sz w:val="28"/>
          <w:szCs w:val="28"/>
          <w:lang w:eastAsia="zh-CN"/>
          <w14:textFill>
            <w14:solidFill>
              <w14:schemeClr w14:val="tx1"/>
            </w14:solidFill>
          </w14:textFill>
        </w:rPr>
        <w:t>，</w:t>
      </w:r>
      <w:r>
        <w:rPr>
          <w:rFonts w:hint="eastAsia" w:ascii="宋体" w:hAnsi="宋体"/>
          <w:color w:val="000000" w:themeColor="text1"/>
          <w:spacing w:val="-6"/>
          <w:sz w:val="28"/>
          <w:szCs w:val="28"/>
          <w14:textFill>
            <w14:solidFill>
              <w14:schemeClr w14:val="tx1"/>
            </w14:solidFill>
          </w14:textFill>
        </w:rPr>
        <w:t>爆竹类(B级、C</w:t>
      </w:r>
      <w:r>
        <w:rPr>
          <w:rFonts w:hint="eastAsia" w:ascii="宋体" w:hAnsi="宋体" w:eastAsia="宋体" w:cs="Times New Roman"/>
          <w:color w:val="000000" w:themeColor="text1"/>
          <w:spacing w:val="-6"/>
          <w:sz w:val="28"/>
          <w:szCs w:val="28"/>
          <w:lang w:eastAsia="zh-CN"/>
          <w14:textFill>
            <w14:solidFill>
              <w14:schemeClr w14:val="tx1"/>
            </w14:solidFill>
          </w14:textFill>
        </w:rPr>
        <w:t>级)，仓储地址：萍乡市金坪烟花制造有限公司，</w:t>
      </w:r>
      <w:r>
        <w:rPr>
          <w:rFonts w:hint="eastAsia" w:ascii="宋体" w:hAnsi="宋体" w:eastAsia="宋体" w:cs="Times New Roman"/>
          <w:color w:val="000000" w:themeColor="text1"/>
          <w:spacing w:val="-6"/>
          <w:sz w:val="28"/>
          <w:szCs w:val="28"/>
          <w:lang w:val="en-US" w:eastAsia="zh-CN"/>
          <w14:textFill>
            <w14:solidFill>
              <w14:schemeClr w14:val="tx1"/>
            </w14:solidFill>
          </w14:textFill>
        </w:rPr>
        <w:t>主要负责人为梁志辉。该公司提交</w:t>
      </w:r>
      <w:r>
        <w:rPr>
          <w:rFonts w:hint="eastAsia" w:ascii="宋体" w:hAnsi="宋体" w:eastAsia="宋体" w:cs="Times New Roman"/>
          <w:color w:val="000000" w:themeColor="text1"/>
          <w:spacing w:val="-6"/>
          <w:sz w:val="28"/>
          <w:szCs w:val="28"/>
          <w:lang w:val="zh-CN" w:eastAsia="zh-CN"/>
          <w14:textFill>
            <w14:solidFill>
              <w14:schemeClr w14:val="tx1"/>
            </w14:solidFill>
          </w14:textFill>
        </w:rPr>
        <w:t>延期</w:t>
      </w:r>
      <w:r>
        <w:rPr>
          <w:rFonts w:hint="eastAsia" w:ascii="宋体" w:hAnsi="宋体" w:eastAsia="宋体" w:cs="Times New Roman"/>
          <w:color w:val="000000" w:themeColor="text1"/>
          <w:spacing w:val="-6"/>
          <w:sz w:val="28"/>
          <w:szCs w:val="28"/>
          <w:lang w:val="en-US" w:eastAsia="zh-CN"/>
          <w14:textFill>
            <w14:solidFill>
              <w14:schemeClr w14:val="tx1"/>
            </w14:solidFill>
          </w14:textFill>
        </w:rPr>
        <w:t>换证材料时，同时提交变更主要负责人申请，将主要负责人变更为卢琛芸。</w:t>
      </w:r>
    </w:p>
    <w:p w14:paraId="451BA50C">
      <w:pPr>
        <w:spacing w:line="560" w:lineRule="exact"/>
        <w:ind w:firstLine="492" w:firstLineChars="200"/>
        <w:rPr>
          <w:rFonts w:hint="eastAsia" w:ascii="宋体" w:hAnsi="宋体"/>
          <w:color w:val="000000" w:themeColor="text1"/>
          <w:spacing w:val="-2"/>
          <w:sz w:val="28"/>
          <w:szCs w:val="28"/>
          <w:lang w:eastAsia="zh-CN"/>
          <w14:textFill>
            <w14:solidFill>
              <w14:schemeClr w14:val="tx1"/>
            </w14:solidFill>
          </w14:textFill>
        </w:rPr>
      </w:pPr>
      <w:r>
        <w:rPr>
          <w:rFonts w:hint="eastAsia" w:ascii="宋体" w:hAnsi="宋体"/>
          <w:color w:val="000000" w:themeColor="text1"/>
          <w:spacing w:val="-17"/>
          <w:sz w:val="28"/>
          <w:szCs w:val="28"/>
          <w14:textFill>
            <w14:solidFill>
              <w14:schemeClr w14:val="tx1"/>
            </w14:solidFill>
          </w14:textFill>
        </w:rPr>
        <w:t>此次拟申请许可经营范围</w:t>
      </w:r>
      <w:r>
        <w:rPr>
          <w:rFonts w:hint="eastAsia" w:ascii="宋体" w:hAnsi="宋体"/>
          <w:color w:val="000000" w:themeColor="text1"/>
          <w:spacing w:val="-17"/>
          <w:sz w:val="28"/>
          <w:szCs w:val="28"/>
          <w:lang w:eastAsia="zh-CN"/>
          <w14:textFill>
            <w14:solidFill>
              <w14:schemeClr w14:val="tx1"/>
            </w14:solidFill>
          </w14:textFill>
        </w:rPr>
        <w:t>：</w:t>
      </w:r>
      <w:r>
        <w:rPr>
          <w:rFonts w:hint="eastAsia" w:ascii="宋体" w:hAnsi="宋体"/>
          <w:color w:val="000000" w:themeColor="text1"/>
          <w:spacing w:val="-17"/>
          <w:sz w:val="28"/>
          <w:szCs w:val="28"/>
          <w14:textFill>
            <w14:solidFill>
              <w14:schemeClr w14:val="tx1"/>
            </w14:solidFill>
          </w14:textFill>
        </w:rPr>
        <w:t>喷花类</w:t>
      </w:r>
      <w:r>
        <w:rPr>
          <w:rFonts w:hint="eastAsia" w:ascii="宋体" w:hAnsi="宋体"/>
          <w:color w:val="000000" w:themeColor="text1"/>
          <w:spacing w:val="-17"/>
          <w:sz w:val="28"/>
          <w:szCs w:val="28"/>
          <w:lang w:eastAsia="zh-CN"/>
          <w14:textFill>
            <w14:solidFill>
              <w14:schemeClr w14:val="tx1"/>
            </w14:solidFill>
          </w14:textFill>
        </w:rPr>
        <w:t>（</w:t>
      </w:r>
      <w:r>
        <w:rPr>
          <w:rFonts w:hint="eastAsia" w:ascii="宋体" w:hAnsi="宋体"/>
          <w:color w:val="000000" w:themeColor="text1"/>
          <w:spacing w:val="-17"/>
          <w:sz w:val="28"/>
          <w:szCs w:val="28"/>
          <w14:textFill>
            <w14:solidFill>
              <w14:schemeClr w14:val="tx1"/>
            </w14:solidFill>
          </w14:textFill>
        </w:rPr>
        <w:t>A、B、C、D</w:t>
      </w:r>
      <w:r>
        <w:rPr>
          <w:rFonts w:hint="eastAsia" w:ascii="宋体" w:hAnsi="宋体"/>
          <w:color w:val="000000" w:themeColor="text1"/>
          <w:spacing w:val="-17"/>
          <w:sz w:val="28"/>
          <w:szCs w:val="28"/>
          <w:lang w:eastAsia="zh-CN"/>
          <w14:textFill>
            <w14:solidFill>
              <w14:schemeClr w14:val="tx1"/>
            </w14:solidFill>
          </w14:textFill>
        </w:rPr>
        <w:t>）</w:t>
      </w:r>
      <w:r>
        <w:rPr>
          <w:rFonts w:hint="eastAsia" w:ascii="宋体" w:hAnsi="宋体"/>
          <w:color w:val="000000" w:themeColor="text1"/>
          <w:spacing w:val="-17"/>
          <w:sz w:val="28"/>
          <w:szCs w:val="28"/>
          <w14:textFill>
            <w14:solidFill>
              <w14:schemeClr w14:val="tx1"/>
            </w14:solidFill>
          </w14:textFill>
        </w:rPr>
        <w:t>级、旋转类</w:t>
      </w:r>
      <w:r>
        <w:rPr>
          <w:rFonts w:hint="eastAsia" w:ascii="宋体" w:hAnsi="宋体"/>
          <w:color w:val="000000" w:themeColor="text1"/>
          <w:spacing w:val="-17"/>
          <w:sz w:val="28"/>
          <w:szCs w:val="28"/>
          <w:lang w:eastAsia="zh-CN"/>
          <w14:textFill>
            <w14:solidFill>
              <w14:schemeClr w14:val="tx1"/>
            </w14:solidFill>
          </w14:textFill>
        </w:rPr>
        <w:t>（</w:t>
      </w:r>
      <w:r>
        <w:rPr>
          <w:rFonts w:hint="eastAsia" w:ascii="宋体" w:hAnsi="宋体"/>
          <w:color w:val="000000" w:themeColor="text1"/>
          <w:spacing w:val="-17"/>
          <w:sz w:val="28"/>
          <w:szCs w:val="28"/>
          <w14:textFill>
            <w14:solidFill>
              <w14:schemeClr w14:val="tx1"/>
            </w14:solidFill>
          </w14:textFill>
        </w:rPr>
        <w:t>A、B、C、D</w:t>
      </w:r>
      <w:r>
        <w:rPr>
          <w:rFonts w:hint="eastAsia" w:ascii="宋体" w:hAnsi="宋体"/>
          <w:color w:val="000000" w:themeColor="text1"/>
          <w:spacing w:val="-17"/>
          <w:sz w:val="28"/>
          <w:szCs w:val="28"/>
          <w:lang w:eastAsia="zh-CN"/>
          <w14:textFill>
            <w14:solidFill>
              <w14:schemeClr w14:val="tx1"/>
            </w14:solidFill>
          </w14:textFill>
        </w:rPr>
        <w:t>）</w:t>
      </w:r>
      <w:r>
        <w:rPr>
          <w:rFonts w:hint="eastAsia" w:ascii="宋体" w:hAnsi="宋体"/>
          <w:color w:val="000000" w:themeColor="text1"/>
          <w:spacing w:val="-17"/>
          <w:sz w:val="28"/>
          <w:szCs w:val="28"/>
          <w14:textFill>
            <w14:solidFill>
              <w14:schemeClr w14:val="tx1"/>
            </w14:solidFill>
          </w14:textFill>
        </w:rPr>
        <w:t>级、升空类</w:t>
      </w:r>
      <w:r>
        <w:rPr>
          <w:rFonts w:hint="eastAsia" w:ascii="宋体" w:hAnsi="宋体"/>
          <w:color w:val="000000" w:themeColor="text1"/>
          <w:spacing w:val="-17"/>
          <w:sz w:val="28"/>
          <w:szCs w:val="28"/>
          <w:lang w:eastAsia="zh-CN"/>
          <w14:textFill>
            <w14:solidFill>
              <w14:schemeClr w14:val="tx1"/>
            </w14:solidFill>
          </w14:textFill>
        </w:rPr>
        <w:t>（</w:t>
      </w:r>
      <w:r>
        <w:rPr>
          <w:rFonts w:hint="eastAsia" w:ascii="宋体" w:hAnsi="宋体"/>
          <w:color w:val="000000" w:themeColor="text1"/>
          <w:spacing w:val="-17"/>
          <w:sz w:val="28"/>
          <w:szCs w:val="28"/>
          <w14:textFill>
            <w14:solidFill>
              <w14:schemeClr w14:val="tx1"/>
            </w14:solidFill>
          </w14:textFill>
        </w:rPr>
        <w:t>A、B、C</w:t>
      </w:r>
      <w:r>
        <w:rPr>
          <w:rFonts w:hint="eastAsia" w:ascii="宋体" w:hAnsi="宋体"/>
          <w:color w:val="000000" w:themeColor="text1"/>
          <w:spacing w:val="-17"/>
          <w:sz w:val="28"/>
          <w:szCs w:val="28"/>
          <w:lang w:eastAsia="zh-CN"/>
          <w14:textFill>
            <w14:solidFill>
              <w14:schemeClr w14:val="tx1"/>
            </w14:solidFill>
          </w14:textFill>
        </w:rPr>
        <w:t>）</w:t>
      </w:r>
      <w:r>
        <w:rPr>
          <w:rFonts w:hint="eastAsia" w:ascii="宋体" w:hAnsi="宋体"/>
          <w:color w:val="000000" w:themeColor="text1"/>
          <w:spacing w:val="-17"/>
          <w:sz w:val="28"/>
          <w:szCs w:val="28"/>
          <w14:textFill>
            <w14:solidFill>
              <w14:schemeClr w14:val="tx1"/>
            </w14:solidFill>
          </w14:textFill>
        </w:rPr>
        <w:t>级、吐珠类</w:t>
      </w:r>
      <w:r>
        <w:rPr>
          <w:rFonts w:hint="eastAsia" w:ascii="宋体" w:hAnsi="宋体"/>
          <w:color w:val="000000" w:themeColor="text1"/>
          <w:spacing w:val="-17"/>
          <w:sz w:val="28"/>
          <w:szCs w:val="28"/>
          <w:lang w:eastAsia="zh-CN"/>
          <w14:textFill>
            <w14:solidFill>
              <w14:schemeClr w14:val="tx1"/>
            </w14:solidFill>
          </w14:textFill>
        </w:rPr>
        <w:t>（</w:t>
      </w:r>
      <w:r>
        <w:rPr>
          <w:rFonts w:hint="eastAsia" w:ascii="宋体" w:hAnsi="宋体"/>
          <w:color w:val="000000" w:themeColor="text1"/>
          <w:spacing w:val="-17"/>
          <w:sz w:val="28"/>
          <w:szCs w:val="28"/>
          <w14:textFill>
            <w14:solidFill>
              <w14:schemeClr w14:val="tx1"/>
            </w14:solidFill>
          </w14:textFill>
        </w:rPr>
        <w:t>A、B、C</w:t>
      </w:r>
      <w:r>
        <w:rPr>
          <w:rFonts w:hint="eastAsia" w:ascii="宋体" w:hAnsi="宋体"/>
          <w:color w:val="000000" w:themeColor="text1"/>
          <w:spacing w:val="-17"/>
          <w:sz w:val="28"/>
          <w:szCs w:val="28"/>
          <w:lang w:eastAsia="zh-CN"/>
          <w14:textFill>
            <w14:solidFill>
              <w14:schemeClr w14:val="tx1"/>
            </w14:solidFill>
          </w14:textFill>
        </w:rPr>
        <w:t>）</w:t>
      </w:r>
      <w:r>
        <w:rPr>
          <w:rFonts w:hint="eastAsia" w:ascii="宋体" w:hAnsi="宋体"/>
          <w:color w:val="000000" w:themeColor="text1"/>
          <w:spacing w:val="-17"/>
          <w:sz w:val="28"/>
          <w:szCs w:val="28"/>
          <w14:textFill>
            <w14:solidFill>
              <w14:schemeClr w14:val="tx1"/>
            </w14:solidFill>
          </w14:textFill>
        </w:rPr>
        <w:t>级、玩具类</w:t>
      </w:r>
      <w:r>
        <w:rPr>
          <w:rFonts w:hint="eastAsia" w:ascii="宋体" w:hAnsi="宋体"/>
          <w:color w:val="000000" w:themeColor="text1"/>
          <w:spacing w:val="-17"/>
          <w:sz w:val="28"/>
          <w:szCs w:val="28"/>
          <w:lang w:eastAsia="zh-CN"/>
          <w14:textFill>
            <w14:solidFill>
              <w14:schemeClr w14:val="tx1"/>
            </w14:solidFill>
          </w14:textFill>
        </w:rPr>
        <w:t>（</w:t>
      </w:r>
      <w:r>
        <w:rPr>
          <w:rFonts w:hint="eastAsia" w:ascii="宋体" w:hAnsi="宋体"/>
          <w:color w:val="000000" w:themeColor="text1"/>
          <w:spacing w:val="-17"/>
          <w:sz w:val="28"/>
          <w:szCs w:val="28"/>
          <w14:textFill>
            <w14:solidFill>
              <w14:schemeClr w14:val="tx1"/>
            </w14:solidFill>
          </w14:textFill>
        </w:rPr>
        <w:t>C、D</w:t>
      </w:r>
      <w:r>
        <w:rPr>
          <w:rFonts w:hint="eastAsia" w:ascii="宋体" w:hAnsi="宋体"/>
          <w:color w:val="000000" w:themeColor="text1"/>
          <w:spacing w:val="-17"/>
          <w:sz w:val="28"/>
          <w:szCs w:val="28"/>
          <w:lang w:eastAsia="zh-CN"/>
          <w14:textFill>
            <w14:solidFill>
              <w14:schemeClr w14:val="tx1"/>
            </w14:solidFill>
          </w14:textFill>
        </w:rPr>
        <w:t>）</w:t>
      </w:r>
      <w:r>
        <w:rPr>
          <w:rFonts w:hint="eastAsia" w:ascii="宋体" w:hAnsi="宋体"/>
          <w:color w:val="000000" w:themeColor="text1"/>
          <w:spacing w:val="-17"/>
          <w:sz w:val="28"/>
          <w:szCs w:val="28"/>
          <w14:textFill>
            <w14:solidFill>
              <w14:schemeClr w14:val="tx1"/>
            </w14:solidFill>
          </w14:textFill>
        </w:rPr>
        <w:t>级、礼花类</w:t>
      </w:r>
      <w:r>
        <w:rPr>
          <w:rFonts w:hint="eastAsia" w:ascii="宋体" w:hAnsi="宋体"/>
          <w:color w:val="000000" w:themeColor="text1"/>
          <w:spacing w:val="-17"/>
          <w:sz w:val="28"/>
          <w:szCs w:val="28"/>
          <w:lang w:eastAsia="zh-CN"/>
          <w14:textFill>
            <w14:solidFill>
              <w14:schemeClr w14:val="tx1"/>
            </w14:solidFill>
          </w14:textFill>
        </w:rPr>
        <w:t>（</w:t>
      </w:r>
      <w:r>
        <w:rPr>
          <w:rFonts w:hint="eastAsia" w:ascii="宋体" w:hAnsi="宋体"/>
          <w:color w:val="000000" w:themeColor="text1"/>
          <w:spacing w:val="-17"/>
          <w:sz w:val="28"/>
          <w:szCs w:val="28"/>
          <w14:textFill>
            <w14:solidFill>
              <w14:schemeClr w14:val="tx1"/>
            </w14:solidFill>
          </w14:textFill>
        </w:rPr>
        <w:t>A、B</w:t>
      </w:r>
      <w:r>
        <w:rPr>
          <w:rFonts w:hint="eastAsia" w:ascii="宋体" w:hAnsi="宋体"/>
          <w:color w:val="000000" w:themeColor="text1"/>
          <w:spacing w:val="-17"/>
          <w:sz w:val="28"/>
          <w:szCs w:val="28"/>
          <w:lang w:eastAsia="zh-CN"/>
          <w14:textFill>
            <w14:solidFill>
              <w14:schemeClr w14:val="tx1"/>
            </w14:solidFill>
          </w14:textFill>
        </w:rPr>
        <w:t>）</w:t>
      </w:r>
      <w:r>
        <w:rPr>
          <w:rFonts w:hint="eastAsia" w:ascii="宋体" w:hAnsi="宋体"/>
          <w:color w:val="000000" w:themeColor="text1"/>
          <w:spacing w:val="-17"/>
          <w:sz w:val="28"/>
          <w:szCs w:val="28"/>
          <w14:textFill>
            <w14:solidFill>
              <w14:schemeClr w14:val="tx1"/>
            </w14:solidFill>
          </w14:textFill>
        </w:rPr>
        <w:t>级、架子烟花类</w:t>
      </w:r>
      <w:r>
        <w:rPr>
          <w:rFonts w:hint="eastAsia" w:ascii="宋体" w:hAnsi="宋体"/>
          <w:color w:val="000000" w:themeColor="text1"/>
          <w:spacing w:val="-17"/>
          <w:sz w:val="28"/>
          <w:szCs w:val="28"/>
          <w:lang w:eastAsia="zh-CN"/>
          <w14:textFill>
            <w14:solidFill>
              <w14:schemeClr w14:val="tx1"/>
            </w14:solidFill>
          </w14:textFill>
        </w:rPr>
        <w:t>（</w:t>
      </w:r>
      <w:r>
        <w:rPr>
          <w:rFonts w:hint="eastAsia" w:ascii="宋体" w:hAnsi="宋体"/>
          <w:color w:val="000000" w:themeColor="text1"/>
          <w:spacing w:val="-17"/>
          <w:sz w:val="28"/>
          <w:szCs w:val="28"/>
          <w14:textFill>
            <w14:solidFill>
              <w14:schemeClr w14:val="tx1"/>
            </w14:solidFill>
          </w14:textFill>
        </w:rPr>
        <w:t>B、C</w:t>
      </w:r>
      <w:r>
        <w:rPr>
          <w:rFonts w:hint="eastAsia" w:ascii="宋体" w:hAnsi="宋体"/>
          <w:color w:val="000000" w:themeColor="text1"/>
          <w:spacing w:val="-17"/>
          <w:sz w:val="28"/>
          <w:szCs w:val="28"/>
          <w:lang w:eastAsia="zh-CN"/>
          <w14:textFill>
            <w14:solidFill>
              <w14:schemeClr w14:val="tx1"/>
            </w14:solidFill>
          </w14:textFill>
        </w:rPr>
        <w:t>）</w:t>
      </w:r>
      <w:r>
        <w:rPr>
          <w:rFonts w:hint="eastAsia" w:ascii="宋体" w:hAnsi="宋体"/>
          <w:color w:val="000000" w:themeColor="text1"/>
          <w:spacing w:val="-17"/>
          <w:sz w:val="28"/>
          <w:szCs w:val="28"/>
          <w14:textFill>
            <w14:solidFill>
              <w14:schemeClr w14:val="tx1"/>
            </w14:solidFill>
          </w14:textFill>
        </w:rPr>
        <w:t>级、组合烟花类</w:t>
      </w:r>
      <w:r>
        <w:rPr>
          <w:rFonts w:hint="eastAsia" w:ascii="宋体" w:hAnsi="宋体"/>
          <w:color w:val="000000" w:themeColor="text1"/>
          <w:spacing w:val="-17"/>
          <w:sz w:val="28"/>
          <w:szCs w:val="28"/>
          <w:lang w:eastAsia="zh-CN"/>
          <w14:textFill>
            <w14:solidFill>
              <w14:schemeClr w14:val="tx1"/>
            </w14:solidFill>
          </w14:textFill>
        </w:rPr>
        <w:t>（</w:t>
      </w:r>
      <w:r>
        <w:rPr>
          <w:rFonts w:hint="eastAsia" w:ascii="宋体" w:hAnsi="宋体"/>
          <w:color w:val="000000" w:themeColor="text1"/>
          <w:spacing w:val="-17"/>
          <w:sz w:val="28"/>
          <w:szCs w:val="28"/>
          <w14:textFill>
            <w14:solidFill>
              <w14:schemeClr w14:val="tx1"/>
            </w14:solidFill>
          </w14:textFill>
        </w:rPr>
        <w:t>A、B、C、D</w:t>
      </w:r>
      <w:r>
        <w:rPr>
          <w:rFonts w:hint="eastAsia" w:ascii="宋体" w:hAnsi="宋体"/>
          <w:color w:val="000000" w:themeColor="text1"/>
          <w:spacing w:val="-17"/>
          <w:sz w:val="28"/>
          <w:szCs w:val="28"/>
          <w:lang w:eastAsia="zh-CN"/>
          <w14:textFill>
            <w14:solidFill>
              <w14:schemeClr w14:val="tx1"/>
            </w14:solidFill>
          </w14:textFill>
        </w:rPr>
        <w:t>）</w:t>
      </w:r>
      <w:r>
        <w:rPr>
          <w:rFonts w:hint="eastAsia" w:ascii="宋体" w:hAnsi="宋体"/>
          <w:color w:val="000000" w:themeColor="text1"/>
          <w:spacing w:val="-17"/>
          <w:sz w:val="28"/>
          <w:szCs w:val="28"/>
          <w14:textFill>
            <w14:solidFill>
              <w14:schemeClr w14:val="tx1"/>
            </w14:solidFill>
          </w14:textFill>
        </w:rPr>
        <w:t>级和爆竹类</w:t>
      </w:r>
      <w:r>
        <w:rPr>
          <w:rFonts w:hint="eastAsia" w:ascii="宋体" w:hAnsi="宋体"/>
          <w:color w:val="000000" w:themeColor="text1"/>
          <w:spacing w:val="-17"/>
          <w:sz w:val="28"/>
          <w:szCs w:val="28"/>
          <w:lang w:eastAsia="zh-CN"/>
          <w14:textFill>
            <w14:solidFill>
              <w14:schemeClr w14:val="tx1"/>
            </w14:solidFill>
          </w14:textFill>
        </w:rPr>
        <w:t>（</w:t>
      </w:r>
      <w:r>
        <w:rPr>
          <w:rFonts w:hint="eastAsia" w:ascii="宋体" w:hAnsi="宋体"/>
          <w:color w:val="000000" w:themeColor="text1"/>
          <w:spacing w:val="-17"/>
          <w:sz w:val="28"/>
          <w:szCs w:val="28"/>
          <w14:textFill>
            <w14:solidFill>
              <w14:schemeClr w14:val="tx1"/>
            </w14:solidFill>
          </w14:textFill>
        </w:rPr>
        <w:t>C</w:t>
      </w:r>
      <w:r>
        <w:rPr>
          <w:rFonts w:hint="eastAsia" w:ascii="宋体" w:hAnsi="宋体"/>
          <w:color w:val="000000" w:themeColor="text1"/>
          <w:spacing w:val="-17"/>
          <w:sz w:val="28"/>
          <w:szCs w:val="28"/>
          <w:lang w:eastAsia="zh-CN"/>
          <w14:textFill>
            <w14:solidFill>
              <w14:schemeClr w14:val="tx1"/>
            </w14:solidFill>
          </w14:textFill>
        </w:rPr>
        <w:t>）</w:t>
      </w:r>
      <w:r>
        <w:rPr>
          <w:rFonts w:hint="eastAsia" w:ascii="宋体" w:hAnsi="宋体"/>
          <w:color w:val="000000" w:themeColor="text1"/>
          <w:spacing w:val="-17"/>
          <w:sz w:val="28"/>
          <w:szCs w:val="28"/>
          <w14:textFill>
            <w14:solidFill>
              <w14:schemeClr w14:val="tx1"/>
            </w14:solidFill>
          </w14:textFill>
        </w:rPr>
        <w:t>级</w:t>
      </w:r>
      <w:r>
        <w:rPr>
          <w:rFonts w:hint="eastAsia" w:ascii="宋体" w:hAnsi="宋体"/>
          <w:color w:val="000000" w:themeColor="text1"/>
          <w:spacing w:val="-17"/>
          <w:sz w:val="28"/>
          <w:szCs w:val="28"/>
          <w:lang w:eastAsia="zh-CN"/>
          <w14:textFill>
            <w14:solidFill>
              <w14:schemeClr w14:val="tx1"/>
            </w14:solidFill>
          </w14:textFill>
        </w:rPr>
        <w:t>。</w:t>
      </w:r>
    </w:p>
    <w:p w14:paraId="0F2A7052">
      <w:pPr>
        <w:bidi w:val="0"/>
        <w:rPr>
          <w:rFonts w:hint="eastAsia" w:ascii="宋体" w:hAnsi="宋体" w:eastAsia="宋体"/>
          <w:color w:val="000000" w:themeColor="text1"/>
          <w:spacing w:val="-2"/>
          <w:sz w:val="28"/>
          <w:szCs w:val="28"/>
          <w:lang w:eastAsia="zh-CN"/>
          <w14:textFill>
            <w14:solidFill>
              <w14:schemeClr w14:val="tx1"/>
            </w14:solidFill>
          </w14:textFill>
        </w:rPr>
      </w:pPr>
      <w:r>
        <w:rPr>
          <w:rFonts w:hint="eastAsia"/>
          <w:spacing w:val="-11"/>
          <w:sz w:val="28"/>
        </w:rPr>
        <w:t xml:space="preserve">为贯彻落实《中华人民共和国安全生产法》、《烟花爆竹经营许可实施办法》和《烟花爆竹企业安全评价规范》（AQ4113-2008）等法律法规，该公司委托江西赣安安全生产科学技术咨询服务中心对其租赁的烟花爆竹仓储库经营现状进行安全现状评价。签订安全评价委托书和评价合同后，本评价机构组成了该项目的安全评价组，着手开展评价工作。经过收集有关资料、标准、规范和类比调研等工作后，评价组到租赁库区展开检查和相关的调查研究工作，掌握了该公司的进货渠道、产品特性、安全设备配置、租赁库房总体布置等情况，同时对储存、管理等过程也有了较详细的了解，在此基础上通过对系统的危险、危害因素辨识与分析，并选用有关评价方法对系统的风险进行评价：该项目为烟花爆竹储存经营项目，所储存的烟花爆竹为爆炸品，不涉及危险化学品，另外根据《烟花爆竹重大危险源辨识》（AQ4131-2023）对该项目各储存单元进行了重大危险源辨识，该项目 </w:t>
      </w:r>
      <w:r>
        <w:rPr>
          <w:rFonts w:hint="eastAsia"/>
          <w:spacing w:val="-11"/>
          <w:sz w:val="28"/>
          <w:lang w:val="en-US" w:eastAsia="zh-CN"/>
        </w:rPr>
        <w:t>545</w:t>
      </w:r>
      <w:r>
        <w:rPr>
          <w:rFonts w:hint="eastAsia"/>
          <w:spacing w:val="-11"/>
          <w:sz w:val="28"/>
        </w:rPr>
        <w:t xml:space="preserve"> 号成品库构成烟花爆竹重大危险源。在汇总上述各项评价基础材料后编写了本报告。本报告评价结论是依据现行的国家和行业安全生产相关法律、法规、标准、文件，以及委托方提供的资料的真实性，评价期间本项目安全设施及安全管理现状，安全评价师采用的合理评价方法等。当上述条件发生改变，或评价项目的周边环境、危险品品种、总平面布置、安全设施和管理状况发生变化导致本项目全部或部分内容不再符合相关安全生产条件要求，或项目的安全评价时效已经超过规定时，评价结论将不再成立。</w:t>
      </w:r>
      <w:r>
        <w:rPr>
          <w:rFonts w:ascii="宋体" w:hAnsi="宋体"/>
          <w:color w:val="000000" w:themeColor="text1"/>
          <w:spacing w:val="-2"/>
          <w:sz w:val="28"/>
          <w:szCs w:val="28"/>
          <w14:textFill>
            <w14:solidFill>
              <w14:schemeClr w14:val="tx1"/>
            </w14:solidFill>
          </w14:textFill>
        </w:rPr>
        <w:t>本报告</w:t>
      </w:r>
      <w:r>
        <w:rPr>
          <w:rFonts w:hint="eastAsia" w:ascii="宋体" w:hAnsi="宋体"/>
          <w:color w:val="000000" w:themeColor="text1"/>
          <w:spacing w:val="-2"/>
          <w:sz w:val="28"/>
          <w:szCs w:val="28"/>
          <w:lang w:val="en-US" w:eastAsia="zh-CN"/>
          <w14:textFill>
            <w14:solidFill>
              <w14:schemeClr w14:val="tx1"/>
            </w14:solidFill>
          </w14:textFill>
        </w:rPr>
        <w:t>以2025年12月24日出具的版本为准</w:t>
      </w:r>
      <w:r>
        <w:rPr>
          <w:rFonts w:hint="eastAsia" w:ascii="宋体" w:hAnsi="宋体"/>
          <w:color w:val="000000" w:themeColor="text1"/>
          <w:spacing w:val="-2"/>
          <w:sz w:val="28"/>
          <w:szCs w:val="28"/>
          <w:lang w:eastAsia="zh-CN"/>
          <w14:textFill>
            <w14:solidFill>
              <w14:schemeClr w14:val="tx1"/>
            </w14:solidFill>
          </w14:textFill>
        </w:rPr>
        <w:t>。</w:t>
      </w:r>
    </w:p>
    <w:p w14:paraId="3F2BA516">
      <w:pPr>
        <w:rPr>
          <w:rFonts w:ascii="宋体" w:hAnsi="宋体"/>
          <w:spacing w:val="-2"/>
          <w:sz w:val="28"/>
          <w:szCs w:val="28"/>
        </w:rPr>
      </w:pPr>
      <w:r>
        <w:rPr>
          <w:rFonts w:ascii="宋体" w:hAnsi="宋体"/>
          <w:spacing w:val="-2"/>
          <w:sz w:val="28"/>
          <w:szCs w:val="28"/>
        </w:rPr>
        <w:br w:type="page"/>
      </w:r>
    </w:p>
    <w:sdt>
      <w:sdtPr>
        <w:rPr>
          <w:rFonts w:ascii="宋体" w:hAnsi="宋体" w:eastAsia="宋体" w:cs="Times New Roman"/>
          <w:b/>
          <w:bCs/>
          <w:kern w:val="2"/>
          <w:sz w:val="32"/>
          <w:szCs w:val="32"/>
          <w:lang w:val="en-US" w:eastAsia="zh-CN" w:bidi="ar-SA"/>
        </w:rPr>
        <w:id w:val="147462024"/>
        <w15:color w:val="DBDBDB"/>
        <w:docPartObj>
          <w:docPartGallery w:val="Table of Contents"/>
          <w:docPartUnique/>
        </w:docPartObj>
      </w:sdtPr>
      <w:sdtEndPr>
        <w:rPr>
          <w:rFonts w:ascii="宋体" w:hAnsi="宋体" w:eastAsia="宋体" w:cs="Times New Roman"/>
          <w:b/>
          <w:bCs w:val="0"/>
          <w:i w:val="0"/>
          <w:iCs w:val="0"/>
          <w:caps w:val="0"/>
          <w:smallCaps/>
          <w:kern w:val="0"/>
          <w:sz w:val="28"/>
          <w:szCs w:val="24"/>
          <w:lang w:val="en-US" w:eastAsia="zh-CN" w:bidi="ar-SA"/>
        </w:rPr>
      </w:sdtEndPr>
      <w:sdtContent>
        <w:p w14:paraId="13BD0525">
          <w:pPr>
            <w:spacing w:before="0" w:beforeLines="0" w:after="0" w:afterLines="0" w:line="240" w:lineRule="auto"/>
            <w:ind w:left="0" w:leftChars="0" w:right="0" w:rightChars="0" w:firstLine="0" w:firstLineChars="0"/>
            <w:jc w:val="center"/>
            <w:rPr>
              <w:b/>
              <w:bCs/>
              <w:sz w:val="32"/>
              <w:szCs w:val="32"/>
            </w:rPr>
          </w:pPr>
          <w:r>
            <w:rPr>
              <w:rFonts w:ascii="宋体" w:hAnsi="宋体" w:eastAsia="宋体"/>
              <w:b/>
              <w:bCs/>
              <w:sz w:val="32"/>
              <w:szCs w:val="32"/>
            </w:rPr>
            <w:t>目</w:t>
          </w:r>
          <w:r>
            <w:rPr>
              <w:rFonts w:hint="eastAsia" w:ascii="宋体" w:hAnsi="宋体" w:eastAsia="宋体"/>
              <w:b/>
              <w:bCs/>
              <w:sz w:val="32"/>
              <w:szCs w:val="32"/>
              <w:lang w:val="en-US" w:eastAsia="zh-CN"/>
            </w:rPr>
            <w:t xml:space="preserve">    </w:t>
          </w:r>
          <w:r>
            <w:rPr>
              <w:rFonts w:ascii="宋体" w:hAnsi="宋体" w:eastAsia="宋体"/>
              <w:b/>
              <w:bCs/>
              <w:sz w:val="32"/>
              <w:szCs w:val="32"/>
            </w:rPr>
            <w:t>录</w:t>
          </w:r>
        </w:p>
        <w:p w14:paraId="6B399ED3">
          <w:pPr>
            <w:pStyle w:val="27"/>
            <w:keepNext w:val="0"/>
            <w:keepLines w:val="0"/>
            <w:pageBreakBefore w:val="0"/>
            <w:widowControl w:val="0"/>
            <w:tabs>
              <w:tab w:val="right" w:leader="dot" w:pos="9072"/>
              <w:tab w:val="clear" w:pos="9060"/>
            </w:tabs>
            <w:kinsoku/>
            <w:wordWrap/>
            <w:overflowPunct/>
            <w:topLinePunct w:val="0"/>
            <w:autoSpaceDE/>
            <w:autoSpaceDN/>
            <w:bidi w:val="0"/>
            <w:adjustRightInd/>
            <w:snapToGrid/>
            <w:spacing w:before="0" w:after="0" w:line="400" w:lineRule="exact"/>
            <w:textAlignment w:val="auto"/>
            <w:rPr>
              <w:bCs w:val="0"/>
              <w:i w:val="0"/>
              <w:iCs w:val="0"/>
              <w:caps w:val="0"/>
              <w:smallCaps/>
              <w:sz w:val="24"/>
              <w:szCs w:val="24"/>
            </w:rPr>
          </w:pPr>
        </w:p>
        <w:p w14:paraId="3DF053B5">
          <w:pPr>
            <w:pStyle w:val="27"/>
            <w:keepNext w:val="0"/>
            <w:keepLines w:val="0"/>
            <w:pageBreakBefore w:val="0"/>
            <w:widowControl w:val="0"/>
            <w:tabs>
              <w:tab w:val="right" w:leader="dot" w:pos="9072"/>
              <w:tab w:val="clear" w:pos="9060"/>
            </w:tabs>
            <w:kinsoku/>
            <w:wordWrap/>
            <w:overflowPunct/>
            <w:topLinePunct w:val="0"/>
            <w:autoSpaceDE/>
            <w:autoSpaceDN/>
            <w:bidi w:val="0"/>
            <w:adjustRightInd/>
            <w:snapToGrid/>
            <w:spacing w:before="0" w:after="0" w:line="480" w:lineRule="exact"/>
            <w:textAlignment w:val="auto"/>
            <w:rPr>
              <w:i w:val="0"/>
              <w:iCs w:val="0"/>
            </w:rPr>
          </w:pPr>
          <w:r>
            <w:rPr>
              <w:bCs w:val="0"/>
              <w:i w:val="0"/>
              <w:iCs w:val="0"/>
              <w:caps w:val="0"/>
              <w:smallCaps/>
              <w:sz w:val="24"/>
              <w:szCs w:val="24"/>
            </w:rPr>
            <w:fldChar w:fldCharType="begin"/>
          </w:r>
          <w:r>
            <w:rPr>
              <w:bCs w:val="0"/>
              <w:i w:val="0"/>
              <w:iCs w:val="0"/>
              <w:caps w:val="0"/>
              <w:smallCaps/>
              <w:sz w:val="24"/>
              <w:szCs w:val="24"/>
            </w:rPr>
            <w:instrText xml:space="preserve">TOC \o "1-3" \h \u </w:instrText>
          </w:r>
          <w:r>
            <w:rPr>
              <w:bCs w:val="0"/>
              <w:i w:val="0"/>
              <w:iCs w:val="0"/>
              <w:caps w:val="0"/>
              <w:smallCaps/>
              <w:sz w:val="24"/>
              <w:szCs w:val="24"/>
            </w:rPr>
            <w:fldChar w:fldCharType="separate"/>
          </w:r>
          <w:r>
            <w:rPr>
              <w:bCs w:val="0"/>
              <w:i w:val="0"/>
              <w:iCs w:val="0"/>
              <w:caps w:val="0"/>
              <w:smallCaps/>
              <w:szCs w:val="24"/>
            </w:rPr>
            <w:fldChar w:fldCharType="begin"/>
          </w:r>
          <w:r>
            <w:rPr>
              <w:bCs w:val="0"/>
              <w:i w:val="0"/>
              <w:iCs w:val="0"/>
              <w:caps w:val="0"/>
              <w:smallCaps/>
              <w:szCs w:val="24"/>
            </w:rPr>
            <w:instrText xml:space="preserve"> HYPERLINK \l _Toc25506 </w:instrText>
          </w:r>
          <w:r>
            <w:rPr>
              <w:bCs w:val="0"/>
              <w:i w:val="0"/>
              <w:iCs w:val="0"/>
              <w:caps w:val="0"/>
              <w:smallCaps/>
              <w:szCs w:val="24"/>
            </w:rPr>
            <w:fldChar w:fldCharType="separate"/>
          </w:r>
          <w:r>
            <w:rPr>
              <w:rFonts w:hint="eastAsia"/>
              <w:i w:val="0"/>
              <w:iCs w:val="0"/>
              <w:lang w:val="en-US" w:eastAsia="zh-CN"/>
            </w:rPr>
            <w:t>1</w:t>
          </w:r>
          <w:r>
            <w:rPr>
              <w:rFonts w:hint="eastAsia"/>
              <w:i w:val="0"/>
              <w:iCs w:val="0"/>
            </w:rPr>
            <w:t xml:space="preserve"> 安全评价概述</w:t>
          </w:r>
          <w:r>
            <w:rPr>
              <w:i w:val="0"/>
              <w:iCs w:val="0"/>
            </w:rPr>
            <w:tab/>
          </w:r>
          <w:r>
            <w:rPr>
              <w:i w:val="0"/>
              <w:iCs w:val="0"/>
            </w:rPr>
            <w:fldChar w:fldCharType="begin"/>
          </w:r>
          <w:r>
            <w:rPr>
              <w:i w:val="0"/>
              <w:iCs w:val="0"/>
            </w:rPr>
            <w:instrText xml:space="preserve"> PAGEREF _Toc25506 \h </w:instrText>
          </w:r>
          <w:r>
            <w:rPr>
              <w:i w:val="0"/>
              <w:iCs w:val="0"/>
            </w:rPr>
            <w:fldChar w:fldCharType="separate"/>
          </w:r>
          <w:r>
            <w:rPr>
              <w:i w:val="0"/>
              <w:iCs w:val="0"/>
            </w:rPr>
            <w:t>1</w:t>
          </w:r>
          <w:r>
            <w:rPr>
              <w:i w:val="0"/>
              <w:iCs w:val="0"/>
            </w:rPr>
            <w:fldChar w:fldCharType="end"/>
          </w:r>
          <w:r>
            <w:rPr>
              <w:bCs w:val="0"/>
              <w:i w:val="0"/>
              <w:iCs w:val="0"/>
              <w:caps w:val="0"/>
              <w:smallCaps/>
              <w:szCs w:val="24"/>
            </w:rPr>
            <w:fldChar w:fldCharType="end"/>
          </w:r>
        </w:p>
        <w:p w14:paraId="10AED272">
          <w:pPr>
            <w:pStyle w:val="32"/>
            <w:keepNext w:val="0"/>
            <w:keepLines w:val="0"/>
            <w:pageBreakBefore w:val="0"/>
            <w:widowControl w:val="0"/>
            <w:tabs>
              <w:tab w:val="right" w:leader="dot" w:pos="9072"/>
            </w:tabs>
            <w:kinsoku/>
            <w:wordWrap/>
            <w:overflowPunct/>
            <w:topLinePunct w:val="0"/>
            <w:autoSpaceDE/>
            <w:autoSpaceDN/>
            <w:bidi w:val="0"/>
            <w:adjustRightInd/>
            <w:snapToGrid/>
            <w:spacing w:line="480" w:lineRule="exact"/>
            <w:textAlignment w:val="auto"/>
            <w:rPr>
              <w:i w:val="0"/>
              <w:iCs w:val="0"/>
            </w:rPr>
          </w:pPr>
          <w:r>
            <w:rPr>
              <w:bCs w:val="0"/>
              <w:i w:val="0"/>
              <w:iCs w:val="0"/>
              <w:caps w:val="0"/>
              <w:smallCaps/>
              <w:szCs w:val="24"/>
            </w:rPr>
            <w:fldChar w:fldCharType="begin"/>
          </w:r>
          <w:r>
            <w:rPr>
              <w:bCs w:val="0"/>
              <w:i w:val="0"/>
              <w:iCs w:val="0"/>
              <w:caps w:val="0"/>
              <w:smallCaps/>
              <w:szCs w:val="24"/>
            </w:rPr>
            <w:instrText xml:space="preserve"> HYPERLINK \l _Toc31412 </w:instrText>
          </w:r>
          <w:r>
            <w:rPr>
              <w:bCs w:val="0"/>
              <w:i w:val="0"/>
              <w:iCs w:val="0"/>
              <w:caps w:val="0"/>
              <w:smallCaps/>
              <w:szCs w:val="24"/>
            </w:rPr>
            <w:fldChar w:fldCharType="separate"/>
          </w:r>
          <w:r>
            <w:rPr>
              <w:rFonts w:hint="eastAsia" w:ascii="宋体" w:hAnsi="宋体"/>
              <w:bCs/>
              <w:i w:val="0"/>
              <w:iCs w:val="0"/>
              <w:szCs w:val="30"/>
            </w:rPr>
            <w:t>1.1 安全评价的目的</w:t>
          </w:r>
          <w:r>
            <w:rPr>
              <w:i w:val="0"/>
              <w:iCs w:val="0"/>
            </w:rPr>
            <w:tab/>
          </w:r>
          <w:r>
            <w:rPr>
              <w:i w:val="0"/>
              <w:iCs w:val="0"/>
            </w:rPr>
            <w:fldChar w:fldCharType="begin"/>
          </w:r>
          <w:r>
            <w:rPr>
              <w:i w:val="0"/>
              <w:iCs w:val="0"/>
            </w:rPr>
            <w:instrText xml:space="preserve"> PAGEREF _Toc31412 \h </w:instrText>
          </w:r>
          <w:r>
            <w:rPr>
              <w:i w:val="0"/>
              <w:iCs w:val="0"/>
            </w:rPr>
            <w:fldChar w:fldCharType="separate"/>
          </w:r>
          <w:r>
            <w:rPr>
              <w:i w:val="0"/>
              <w:iCs w:val="0"/>
            </w:rPr>
            <w:t>1</w:t>
          </w:r>
          <w:r>
            <w:rPr>
              <w:i w:val="0"/>
              <w:iCs w:val="0"/>
            </w:rPr>
            <w:fldChar w:fldCharType="end"/>
          </w:r>
          <w:r>
            <w:rPr>
              <w:bCs w:val="0"/>
              <w:i w:val="0"/>
              <w:iCs w:val="0"/>
              <w:caps w:val="0"/>
              <w:smallCaps/>
              <w:szCs w:val="24"/>
            </w:rPr>
            <w:fldChar w:fldCharType="end"/>
          </w:r>
        </w:p>
        <w:p w14:paraId="1712BD6B">
          <w:pPr>
            <w:pStyle w:val="32"/>
            <w:keepNext w:val="0"/>
            <w:keepLines w:val="0"/>
            <w:pageBreakBefore w:val="0"/>
            <w:widowControl w:val="0"/>
            <w:tabs>
              <w:tab w:val="right" w:leader="dot" w:pos="9072"/>
            </w:tabs>
            <w:kinsoku/>
            <w:wordWrap/>
            <w:overflowPunct/>
            <w:topLinePunct w:val="0"/>
            <w:autoSpaceDE/>
            <w:autoSpaceDN/>
            <w:bidi w:val="0"/>
            <w:adjustRightInd/>
            <w:snapToGrid/>
            <w:spacing w:line="480" w:lineRule="exact"/>
            <w:textAlignment w:val="auto"/>
            <w:rPr>
              <w:i w:val="0"/>
              <w:iCs w:val="0"/>
            </w:rPr>
          </w:pPr>
          <w:r>
            <w:rPr>
              <w:bCs w:val="0"/>
              <w:i w:val="0"/>
              <w:iCs w:val="0"/>
              <w:caps w:val="0"/>
              <w:smallCaps/>
              <w:szCs w:val="24"/>
            </w:rPr>
            <w:fldChar w:fldCharType="begin"/>
          </w:r>
          <w:r>
            <w:rPr>
              <w:bCs w:val="0"/>
              <w:i w:val="0"/>
              <w:iCs w:val="0"/>
              <w:caps w:val="0"/>
              <w:smallCaps/>
              <w:szCs w:val="24"/>
            </w:rPr>
            <w:instrText xml:space="preserve"> HYPERLINK \l _Toc8303 </w:instrText>
          </w:r>
          <w:r>
            <w:rPr>
              <w:bCs w:val="0"/>
              <w:i w:val="0"/>
              <w:iCs w:val="0"/>
              <w:caps w:val="0"/>
              <w:smallCaps/>
              <w:szCs w:val="24"/>
            </w:rPr>
            <w:fldChar w:fldCharType="separate"/>
          </w:r>
          <w:r>
            <w:rPr>
              <w:rFonts w:hint="eastAsia" w:ascii="宋体" w:hAnsi="宋体"/>
              <w:bCs/>
              <w:i w:val="0"/>
              <w:iCs w:val="0"/>
              <w:szCs w:val="30"/>
            </w:rPr>
            <w:t xml:space="preserve">1.2 </w:t>
          </w:r>
          <w:r>
            <w:rPr>
              <w:rFonts w:ascii="宋体" w:hAnsi="宋体"/>
              <w:bCs/>
              <w:i w:val="0"/>
              <w:iCs w:val="0"/>
              <w:szCs w:val="30"/>
            </w:rPr>
            <w:t>安全评价的原则</w:t>
          </w:r>
          <w:r>
            <w:rPr>
              <w:i w:val="0"/>
              <w:iCs w:val="0"/>
            </w:rPr>
            <w:tab/>
          </w:r>
          <w:r>
            <w:rPr>
              <w:i w:val="0"/>
              <w:iCs w:val="0"/>
            </w:rPr>
            <w:fldChar w:fldCharType="begin"/>
          </w:r>
          <w:r>
            <w:rPr>
              <w:i w:val="0"/>
              <w:iCs w:val="0"/>
            </w:rPr>
            <w:instrText xml:space="preserve"> PAGEREF _Toc8303 \h </w:instrText>
          </w:r>
          <w:r>
            <w:rPr>
              <w:i w:val="0"/>
              <w:iCs w:val="0"/>
            </w:rPr>
            <w:fldChar w:fldCharType="separate"/>
          </w:r>
          <w:r>
            <w:rPr>
              <w:i w:val="0"/>
              <w:iCs w:val="0"/>
            </w:rPr>
            <w:t>2</w:t>
          </w:r>
          <w:r>
            <w:rPr>
              <w:i w:val="0"/>
              <w:iCs w:val="0"/>
            </w:rPr>
            <w:fldChar w:fldCharType="end"/>
          </w:r>
          <w:r>
            <w:rPr>
              <w:bCs w:val="0"/>
              <w:i w:val="0"/>
              <w:iCs w:val="0"/>
              <w:caps w:val="0"/>
              <w:smallCaps/>
              <w:szCs w:val="24"/>
            </w:rPr>
            <w:fldChar w:fldCharType="end"/>
          </w:r>
        </w:p>
        <w:p w14:paraId="6556D930">
          <w:pPr>
            <w:pStyle w:val="32"/>
            <w:keepNext w:val="0"/>
            <w:keepLines w:val="0"/>
            <w:pageBreakBefore w:val="0"/>
            <w:widowControl w:val="0"/>
            <w:tabs>
              <w:tab w:val="right" w:leader="dot" w:pos="9072"/>
            </w:tabs>
            <w:kinsoku/>
            <w:wordWrap/>
            <w:overflowPunct/>
            <w:topLinePunct w:val="0"/>
            <w:autoSpaceDE/>
            <w:autoSpaceDN/>
            <w:bidi w:val="0"/>
            <w:adjustRightInd/>
            <w:snapToGrid/>
            <w:spacing w:line="480" w:lineRule="exact"/>
            <w:textAlignment w:val="auto"/>
            <w:rPr>
              <w:i w:val="0"/>
              <w:iCs w:val="0"/>
            </w:rPr>
          </w:pPr>
          <w:r>
            <w:rPr>
              <w:bCs w:val="0"/>
              <w:i w:val="0"/>
              <w:iCs w:val="0"/>
              <w:caps w:val="0"/>
              <w:smallCaps/>
              <w:szCs w:val="24"/>
            </w:rPr>
            <w:fldChar w:fldCharType="begin"/>
          </w:r>
          <w:r>
            <w:rPr>
              <w:bCs w:val="0"/>
              <w:i w:val="0"/>
              <w:iCs w:val="0"/>
              <w:caps w:val="0"/>
              <w:smallCaps/>
              <w:szCs w:val="24"/>
            </w:rPr>
            <w:instrText xml:space="preserve"> HYPERLINK \l _Toc3924 </w:instrText>
          </w:r>
          <w:r>
            <w:rPr>
              <w:bCs w:val="0"/>
              <w:i w:val="0"/>
              <w:iCs w:val="0"/>
              <w:caps w:val="0"/>
              <w:smallCaps/>
              <w:szCs w:val="24"/>
            </w:rPr>
            <w:fldChar w:fldCharType="separate"/>
          </w:r>
          <w:r>
            <w:rPr>
              <w:rFonts w:hint="eastAsia"/>
              <w:i w:val="0"/>
              <w:iCs w:val="0"/>
            </w:rPr>
            <w:t>1.3 安全评价的依据</w:t>
          </w:r>
          <w:r>
            <w:rPr>
              <w:i w:val="0"/>
              <w:iCs w:val="0"/>
            </w:rPr>
            <w:tab/>
          </w:r>
          <w:r>
            <w:rPr>
              <w:i w:val="0"/>
              <w:iCs w:val="0"/>
            </w:rPr>
            <w:fldChar w:fldCharType="begin"/>
          </w:r>
          <w:r>
            <w:rPr>
              <w:i w:val="0"/>
              <w:iCs w:val="0"/>
            </w:rPr>
            <w:instrText xml:space="preserve"> PAGEREF _Toc3924 \h </w:instrText>
          </w:r>
          <w:r>
            <w:rPr>
              <w:i w:val="0"/>
              <w:iCs w:val="0"/>
            </w:rPr>
            <w:fldChar w:fldCharType="separate"/>
          </w:r>
          <w:r>
            <w:rPr>
              <w:i w:val="0"/>
              <w:iCs w:val="0"/>
            </w:rPr>
            <w:t>2</w:t>
          </w:r>
          <w:r>
            <w:rPr>
              <w:i w:val="0"/>
              <w:iCs w:val="0"/>
            </w:rPr>
            <w:fldChar w:fldCharType="end"/>
          </w:r>
          <w:r>
            <w:rPr>
              <w:bCs w:val="0"/>
              <w:i w:val="0"/>
              <w:iCs w:val="0"/>
              <w:caps w:val="0"/>
              <w:smallCaps/>
              <w:szCs w:val="24"/>
            </w:rPr>
            <w:fldChar w:fldCharType="end"/>
          </w:r>
        </w:p>
        <w:p w14:paraId="1A07DC52">
          <w:pPr>
            <w:pStyle w:val="19"/>
            <w:keepNext w:val="0"/>
            <w:keepLines w:val="0"/>
            <w:pageBreakBefore w:val="0"/>
            <w:widowControl w:val="0"/>
            <w:tabs>
              <w:tab w:val="right" w:leader="dot" w:pos="9072"/>
            </w:tabs>
            <w:kinsoku/>
            <w:wordWrap/>
            <w:overflowPunct/>
            <w:topLinePunct w:val="0"/>
            <w:autoSpaceDE/>
            <w:autoSpaceDN/>
            <w:bidi w:val="0"/>
            <w:adjustRightInd/>
            <w:snapToGrid/>
            <w:spacing w:line="480" w:lineRule="exact"/>
            <w:textAlignment w:val="auto"/>
            <w:rPr>
              <w:i w:val="0"/>
              <w:iCs w:val="0"/>
            </w:rPr>
          </w:pPr>
          <w:r>
            <w:rPr>
              <w:bCs w:val="0"/>
              <w:i w:val="0"/>
              <w:iCs w:val="0"/>
              <w:caps w:val="0"/>
              <w:smallCaps/>
              <w:szCs w:val="24"/>
            </w:rPr>
            <w:fldChar w:fldCharType="begin"/>
          </w:r>
          <w:r>
            <w:rPr>
              <w:bCs w:val="0"/>
              <w:i w:val="0"/>
              <w:iCs w:val="0"/>
              <w:caps w:val="0"/>
              <w:smallCaps/>
              <w:szCs w:val="24"/>
            </w:rPr>
            <w:instrText xml:space="preserve"> HYPERLINK \l _Toc32662 </w:instrText>
          </w:r>
          <w:r>
            <w:rPr>
              <w:bCs w:val="0"/>
              <w:i w:val="0"/>
              <w:iCs w:val="0"/>
              <w:caps w:val="0"/>
              <w:smallCaps/>
              <w:szCs w:val="24"/>
            </w:rPr>
            <w:fldChar w:fldCharType="separate"/>
          </w:r>
          <w:r>
            <w:rPr>
              <w:rFonts w:hint="eastAsia"/>
              <w:i w:val="0"/>
              <w:iCs w:val="0"/>
            </w:rPr>
            <w:t>1.3.1采用的法律、法规、文件、标准和规范</w:t>
          </w:r>
          <w:r>
            <w:rPr>
              <w:i w:val="0"/>
              <w:iCs w:val="0"/>
            </w:rPr>
            <w:tab/>
          </w:r>
          <w:r>
            <w:rPr>
              <w:i w:val="0"/>
              <w:iCs w:val="0"/>
            </w:rPr>
            <w:fldChar w:fldCharType="begin"/>
          </w:r>
          <w:r>
            <w:rPr>
              <w:i w:val="0"/>
              <w:iCs w:val="0"/>
            </w:rPr>
            <w:instrText xml:space="preserve"> PAGEREF _Toc32662 \h </w:instrText>
          </w:r>
          <w:r>
            <w:rPr>
              <w:i w:val="0"/>
              <w:iCs w:val="0"/>
            </w:rPr>
            <w:fldChar w:fldCharType="separate"/>
          </w:r>
          <w:r>
            <w:rPr>
              <w:i w:val="0"/>
              <w:iCs w:val="0"/>
            </w:rPr>
            <w:t>2</w:t>
          </w:r>
          <w:r>
            <w:rPr>
              <w:i w:val="0"/>
              <w:iCs w:val="0"/>
            </w:rPr>
            <w:fldChar w:fldCharType="end"/>
          </w:r>
          <w:r>
            <w:rPr>
              <w:bCs w:val="0"/>
              <w:i w:val="0"/>
              <w:iCs w:val="0"/>
              <w:caps w:val="0"/>
              <w:smallCaps/>
              <w:szCs w:val="24"/>
            </w:rPr>
            <w:fldChar w:fldCharType="end"/>
          </w:r>
        </w:p>
        <w:p w14:paraId="34EC0416">
          <w:pPr>
            <w:pStyle w:val="19"/>
            <w:keepNext w:val="0"/>
            <w:keepLines w:val="0"/>
            <w:pageBreakBefore w:val="0"/>
            <w:widowControl w:val="0"/>
            <w:tabs>
              <w:tab w:val="right" w:leader="dot" w:pos="9072"/>
            </w:tabs>
            <w:kinsoku/>
            <w:wordWrap/>
            <w:overflowPunct/>
            <w:topLinePunct w:val="0"/>
            <w:autoSpaceDE/>
            <w:autoSpaceDN/>
            <w:bidi w:val="0"/>
            <w:adjustRightInd/>
            <w:snapToGrid/>
            <w:spacing w:line="480" w:lineRule="exact"/>
            <w:textAlignment w:val="auto"/>
            <w:rPr>
              <w:i w:val="0"/>
              <w:iCs w:val="0"/>
            </w:rPr>
          </w:pPr>
          <w:r>
            <w:rPr>
              <w:bCs w:val="0"/>
              <w:i w:val="0"/>
              <w:iCs w:val="0"/>
              <w:caps w:val="0"/>
              <w:smallCaps/>
              <w:szCs w:val="24"/>
            </w:rPr>
            <w:fldChar w:fldCharType="begin"/>
          </w:r>
          <w:r>
            <w:rPr>
              <w:bCs w:val="0"/>
              <w:i w:val="0"/>
              <w:iCs w:val="0"/>
              <w:caps w:val="0"/>
              <w:smallCaps/>
              <w:szCs w:val="24"/>
            </w:rPr>
            <w:instrText xml:space="preserve"> HYPERLINK \l _Toc8305 </w:instrText>
          </w:r>
          <w:r>
            <w:rPr>
              <w:bCs w:val="0"/>
              <w:i w:val="0"/>
              <w:iCs w:val="0"/>
              <w:caps w:val="0"/>
              <w:smallCaps/>
              <w:szCs w:val="24"/>
            </w:rPr>
            <w:fldChar w:fldCharType="separate"/>
          </w:r>
          <w:r>
            <w:rPr>
              <w:rFonts w:hint="eastAsia"/>
              <w:i w:val="0"/>
              <w:iCs w:val="0"/>
            </w:rPr>
            <w:t>1.3.2被评价单位提供的相关资料</w:t>
          </w:r>
          <w:r>
            <w:rPr>
              <w:i w:val="0"/>
              <w:iCs w:val="0"/>
            </w:rPr>
            <w:tab/>
          </w:r>
          <w:r>
            <w:rPr>
              <w:i w:val="0"/>
              <w:iCs w:val="0"/>
            </w:rPr>
            <w:fldChar w:fldCharType="begin"/>
          </w:r>
          <w:r>
            <w:rPr>
              <w:i w:val="0"/>
              <w:iCs w:val="0"/>
            </w:rPr>
            <w:instrText xml:space="preserve"> PAGEREF _Toc8305 \h </w:instrText>
          </w:r>
          <w:r>
            <w:rPr>
              <w:i w:val="0"/>
              <w:iCs w:val="0"/>
            </w:rPr>
            <w:fldChar w:fldCharType="separate"/>
          </w:r>
          <w:r>
            <w:rPr>
              <w:i w:val="0"/>
              <w:iCs w:val="0"/>
            </w:rPr>
            <w:t>5</w:t>
          </w:r>
          <w:r>
            <w:rPr>
              <w:i w:val="0"/>
              <w:iCs w:val="0"/>
            </w:rPr>
            <w:fldChar w:fldCharType="end"/>
          </w:r>
          <w:r>
            <w:rPr>
              <w:bCs w:val="0"/>
              <w:i w:val="0"/>
              <w:iCs w:val="0"/>
              <w:caps w:val="0"/>
              <w:smallCaps/>
              <w:szCs w:val="24"/>
            </w:rPr>
            <w:fldChar w:fldCharType="end"/>
          </w:r>
        </w:p>
        <w:p w14:paraId="02788515">
          <w:pPr>
            <w:pStyle w:val="32"/>
            <w:keepNext w:val="0"/>
            <w:keepLines w:val="0"/>
            <w:pageBreakBefore w:val="0"/>
            <w:widowControl w:val="0"/>
            <w:tabs>
              <w:tab w:val="right" w:leader="dot" w:pos="9072"/>
            </w:tabs>
            <w:kinsoku/>
            <w:wordWrap/>
            <w:overflowPunct/>
            <w:topLinePunct w:val="0"/>
            <w:autoSpaceDE/>
            <w:autoSpaceDN/>
            <w:bidi w:val="0"/>
            <w:adjustRightInd/>
            <w:snapToGrid/>
            <w:spacing w:line="480" w:lineRule="exact"/>
            <w:textAlignment w:val="auto"/>
            <w:rPr>
              <w:i w:val="0"/>
              <w:iCs w:val="0"/>
            </w:rPr>
          </w:pPr>
          <w:r>
            <w:rPr>
              <w:bCs w:val="0"/>
              <w:i w:val="0"/>
              <w:iCs w:val="0"/>
              <w:caps w:val="0"/>
              <w:smallCaps/>
              <w:szCs w:val="24"/>
            </w:rPr>
            <w:fldChar w:fldCharType="begin"/>
          </w:r>
          <w:r>
            <w:rPr>
              <w:bCs w:val="0"/>
              <w:i w:val="0"/>
              <w:iCs w:val="0"/>
              <w:caps w:val="0"/>
              <w:smallCaps/>
              <w:szCs w:val="24"/>
            </w:rPr>
            <w:instrText xml:space="preserve"> HYPERLINK \l _Toc12202 </w:instrText>
          </w:r>
          <w:r>
            <w:rPr>
              <w:bCs w:val="0"/>
              <w:i w:val="0"/>
              <w:iCs w:val="0"/>
              <w:caps w:val="0"/>
              <w:smallCaps/>
              <w:szCs w:val="24"/>
            </w:rPr>
            <w:fldChar w:fldCharType="separate"/>
          </w:r>
          <w:r>
            <w:rPr>
              <w:rFonts w:hint="eastAsia" w:ascii="宋体" w:hAnsi="宋体"/>
              <w:bCs/>
              <w:i w:val="0"/>
              <w:iCs w:val="0"/>
              <w:szCs w:val="30"/>
            </w:rPr>
            <w:t xml:space="preserve">1.4 </w:t>
          </w:r>
          <w:r>
            <w:rPr>
              <w:rFonts w:ascii="宋体" w:hAnsi="宋体"/>
              <w:bCs/>
              <w:i w:val="0"/>
              <w:iCs w:val="0"/>
              <w:szCs w:val="30"/>
            </w:rPr>
            <w:t>安全评价的范围</w:t>
          </w:r>
          <w:r>
            <w:rPr>
              <w:i w:val="0"/>
              <w:iCs w:val="0"/>
            </w:rPr>
            <w:tab/>
          </w:r>
          <w:r>
            <w:rPr>
              <w:i w:val="0"/>
              <w:iCs w:val="0"/>
            </w:rPr>
            <w:fldChar w:fldCharType="begin"/>
          </w:r>
          <w:r>
            <w:rPr>
              <w:i w:val="0"/>
              <w:iCs w:val="0"/>
            </w:rPr>
            <w:instrText xml:space="preserve"> PAGEREF _Toc12202 \h </w:instrText>
          </w:r>
          <w:r>
            <w:rPr>
              <w:i w:val="0"/>
              <w:iCs w:val="0"/>
            </w:rPr>
            <w:fldChar w:fldCharType="separate"/>
          </w:r>
          <w:r>
            <w:rPr>
              <w:i w:val="0"/>
              <w:iCs w:val="0"/>
            </w:rPr>
            <w:t>5</w:t>
          </w:r>
          <w:r>
            <w:rPr>
              <w:i w:val="0"/>
              <w:iCs w:val="0"/>
            </w:rPr>
            <w:fldChar w:fldCharType="end"/>
          </w:r>
          <w:r>
            <w:rPr>
              <w:bCs w:val="0"/>
              <w:i w:val="0"/>
              <w:iCs w:val="0"/>
              <w:caps w:val="0"/>
              <w:smallCaps/>
              <w:szCs w:val="24"/>
            </w:rPr>
            <w:fldChar w:fldCharType="end"/>
          </w:r>
        </w:p>
        <w:p w14:paraId="3DA8E821">
          <w:pPr>
            <w:pStyle w:val="32"/>
            <w:keepNext w:val="0"/>
            <w:keepLines w:val="0"/>
            <w:pageBreakBefore w:val="0"/>
            <w:widowControl w:val="0"/>
            <w:tabs>
              <w:tab w:val="right" w:leader="dot" w:pos="9072"/>
            </w:tabs>
            <w:kinsoku/>
            <w:wordWrap/>
            <w:overflowPunct/>
            <w:topLinePunct w:val="0"/>
            <w:autoSpaceDE/>
            <w:autoSpaceDN/>
            <w:bidi w:val="0"/>
            <w:adjustRightInd/>
            <w:snapToGrid/>
            <w:spacing w:line="480" w:lineRule="exact"/>
            <w:textAlignment w:val="auto"/>
            <w:rPr>
              <w:i w:val="0"/>
              <w:iCs w:val="0"/>
            </w:rPr>
          </w:pPr>
          <w:r>
            <w:rPr>
              <w:bCs w:val="0"/>
              <w:i w:val="0"/>
              <w:iCs w:val="0"/>
              <w:caps w:val="0"/>
              <w:smallCaps/>
              <w:szCs w:val="24"/>
            </w:rPr>
            <w:fldChar w:fldCharType="begin"/>
          </w:r>
          <w:r>
            <w:rPr>
              <w:bCs w:val="0"/>
              <w:i w:val="0"/>
              <w:iCs w:val="0"/>
              <w:caps w:val="0"/>
              <w:smallCaps/>
              <w:szCs w:val="24"/>
            </w:rPr>
            <w:instrText xml:space="preserve"> HYPERLINK \l _Toc6288 </w:instrText>
          </w:r>
          <w:r>
            <w:rPr>
              <w:bCs w:val="0"/>
              <w:i w:val="0"/>
              <w:iCs w:val="0"/>
              <w:caps w:val="0"/>
              <w:smallCaps/>
              <w:szCs w:val="24"/>
            </w:rPr>
            <w:fldChar w:fldCharType="separate"/>
          </w:r>
          <w:r>
            <w:rPr>
              <w:rFonts w:hint="eastAsia" w:ascii="宋体" w:hAnsi="宋体" w:eastAsia="宋体" w:cs="Times New Roman"/>
              <w:bCs/>
              <w:i w:val="0"/>
              <w:iCs w:val="0"/>
              <w:szCs w:val="30"/>
            </w:rPr>
            <w:t>1.</w:t>
          </w:r>
          <w:r>
            <w:rPr>
              <w:rFonts w:hint="eastAsia" w:ascii="宋体" w:hAnsi="宋体" w:eastAsia="宋体" w:cs="Times New Roman"/>
              <w:bCs/>
              <w:i w:val="0"/>
              <w:iCs w:val="0"/>
              <w:szCs w:val="30"/>
              <w:lang w:val="en-US" w:eastAsia="zh-CN"/>
            </w:rPr>
            <w:t>5</w:t>
          </w:r>
          <w:r>
            <w:rPr>
              <w:rFonts w:hint="eastAsia" w:ascii="宋体" w:hAnsi="宋体" w:eastAsia="宋体" w:cs="Times New Roman"/>
              <w:bCs/>
              <w:i w:val="0"/>
              <w:iCs w:val="0"/>
              <w:szCs w:val="30"/>
            </w:rPr>
            <w:t xml:space="preserve"> 安全评价的主要内容</w:t>
          </w:r>
          <w:r>
            <w:rPr>
              <w:i w:val="0"/>
              <w:iCs w:val="0"/>
            </w:rPr>
            <w:tab/>
          </w:r>
          <w:r>
            <w:rPr>
              <w:i w:val="0"/>
              <w:iCs w:val="0"/>
            </w:rPr>
            <w:fldChar w:fldCharType="begin"/>
          </w:r>
          <w:r>
            <w:rPr>
              <w:i w:val="0"/>
              <w:iCs w:val="0"/>
            </w:rPr>
            <w:instrText xml:space="preserve"> PAGEREF _Toc6288 \h </w:instrText>
          </w:r>
          <w:r>
            <w:rPr>
              <w:i w:val="0"/>
              <w:iCs w:val="0"/>
            </w:rPr>
            <w:fldChar w:fldCharType="separate"/>
          </w:r>
          <w:r>
            <w:rPr>
              <w:i w:val="0"/>
              <w:iCs w:val="0"/>
            </w:rPr>
            <w:t>6</w:t>
          </w:r>
          <w:r>
            <w:rPr>
              <w:i w:val="0"/>
              <w:iCs w:val="0"/>
            </w:rPr>
            <w:fldChar w:fldCharType="end"/>
          </w:r>
          <w:r>
            <w:rPr>
              <w:bCs w:val="0"/>
              <w:i w:val="0"/>
              <w:iCs w:val="0"/>
              <w:caps w:val="0"/>
              <w:smallCaps/>
              <w:szCs w:val="24"/>
            </w:rPr>
            <w:fldChar w:fldCharType="end"/>
          </w:r>
        </w:p>
        <w:p w14:paraId="4978C37F">
          <w:pPr>
            <w:pStyle w:val="32"/>
            <w:keepNext w:val="0"/>
            <w:keepLines w:val="0"/>
            <w:pageBreakBefore w:val="0"/>
            <w:widowControl w:val="0"/>
            <w:tabs>
              <w:tab w:val="right" w:leader="dot" w:pos="9072"/>
            </w:tabs>
            <w:kinsoku/>
            <w:wordWrap/>
            <w:overflowPunct/>
            <w:topLinePunct w:val="0"/>
            <w:autoSpaceDE/>
            <w:autoSpaceDN/>
            <w:bidi w:val="0"/>
            <w:adjustRightInd/>
            <w:snapToGrid/>
            <w:spacing w:line="480" w:lineRule="exact"/>
            <w:textAlignment w:val="auto"/>
            <w:rPr>
              <w:i w:val="0"/>
              <w:iCs w:val="0"/>
            </w:rPr>
          </w:pPr>
          <w:r>
            <w:rPr>
              <w:bCs w:val="0"/>
              <w:i w:val="0"/>
              <w:iCs w:val="0"/>
              <w:caps w:val="0"/>
              <w:smallCaps/>
              <w:szCs w:val="24"/>
            </w:rPr>
            <w:fldChar w:fldCharType="begin"/>
          </w:r>
          <w:r>
            <w:rPr>
              <w:bCs w:val="0"/>
              <w:i w:val="0"/>
              <w:iCs w:val="0"/>
              <w:caps w:val="0"/>
              <w:smallCaps/>
              <w:szCs w:val="24"/>
            </w:rPr>
            <w:instrText xml:space="preserve"> HYPERLINK \l _Toc5722 </w:instrText>
          </w:r>
          <w:r>
            <w:rPr>
              <w:bCs w:val="0"/>
              <w:i w:val="0"/>
              <w:iCs w:val="0"/>
              <w:caps w:val="0"/>
              <w:smallCaps/>
              <w:szCs w:val="24"/>
            </w:rPr>
            <w:fldChar w:fldCharType="separate"/>
          </w:r>
          <w:r>
            <w:rPr>
              <w:rFonts w:hint="eastAsia"/>
              <w:i w:val="0"/>
              <w:iCs w:val="0"/>
            </w:rPr>
            <w:t>1.</w:t>
          </w:r>
          <w:r>
            <w:rPr>
              <w:rFonts w:hint="eastAsia"/>
              <w:i w:val="0"/>
              <w:iCs w:val="0"/>
              <w:lang w:val="en-US" w:eastAsia="zh-CN"/>
            </w:rPr>
            <w:t>6</w:t>
          </w:r>
          <w:r>
            <w:rPr>
              <w:rFonts w:hint="eastAsia"/>
              <w:i w:val="0"/>
              <w:iCs w:val="0"/>
            </w:rPr>
            <w:t xml:space="preserve"> </w:t>
          </w:r>
          <w:r>
            <w:rPr>
              <w:i w:val="0"/>
              <w:iCs w:val="0"/>
            </w:rPr>
            <w:t>安全评价的</w:t>
          </w:r>
          <w:r>
            <w:rPr>
              <w:rFonts w:hint="eastAsia"/>
              <w:i w:val="0"/>
              <w:iCs w:val="0"/>
            </w:rPr>
            <w:t>程序</w:t>
          </w:r>
          <w:r>
            <w:rPr>
              <w:i w:val="0"/>
              <w:iCs w:val="0"/>
            </w:rPr>
            <w:tab/>
          </w:r>
          <w:r>
            <w:rPr>
              <w:i w:val="0"/>
              <w:iCs w:val="0"/>
            </w:rPr>
            <w:fldChar w:fldCharType="begin"/>
          </w:r>
          <w:r>
            <w:rPr>
              <w:i w:val="0"/>
              <w:iCs w:val="0"/>
            </w:rPr>
            <w:instrText xml:space="preserve"> PAGEREF _Toc5722 \h </w:instrText>
          </w:r>
          <w:r>
            <w:rPr>
              <w:i w:val="0"/>
              <w:iCs w:val="0"/>
            </w:rPr>
            <w:fldChar w:fldCharType="separate"/>
          </w:r>
          <w:r>
            <w:rPr>
              <w:i w:val="0"/>
              <w:iCs w:val="0"/>
            </w:rPr>
            <w:t>6</w:t>
          </w:r>
          <w:r>
            <w:rPr>
              <w:i w:val="0"/>
              <w:iCs w:val="0"/>
            </w:rPr>
            <w:fldChar w:fldCharType="end"/>
          </w:r>
          <w:r>
            <w:rPr>
              <w:bCs w:val="0"/>
              <w:i w:val="0"/>
              <w:iCs w:val="0"/>
              <w:caps w:val="0"/>
              <w:smallCaps/>
              <w:szCs w:val="24"/>
            </w:rPr>
            <w:fldChar w:fldCharType="end"/>
          </w:r>
        </w:p>
        <w:p w14:paraId="6C589538">
          <w:pPr>
            <w:pStyle w:val="27"/>
            <w:keepNext w:val="0"/>
            <w:keepLines w:val="0"/>
            <w:pageBreakBefore w:val="0"/>
            <w:widowControl w:val="0"/>
            <w:tabs>
              <w:tab w:val="right" w:leader="dot" w:pos="9072"/>
              <w:tab w:val="clear" w:pos="9060"/>
            </w:tabs>
            <w:kinsoku/>
            <w:wordWrap/>
            <w:overflowPunct/>
            <w:topLinePunct w:val="0"/>
            <w:autoSpaceDE/>
            <w:autoSpaceDN/>
            <w:bidi w:val="0"/>
            <w:adjustRightInd/>
            <w:snapToGrid/>
            <w:spacing w:before="0" w:after="0" w:line="480" w:lineRule="exact"/>
            <w:textAlignment w:val="auto"/>
            <w:rPr>
              <w:i w:val="0"/>
              <w:iCs w:val="0"/>
            </w:rPr>
          </w:pPr>
          <w:r>
            <w:rPr>
              <w:bCs w:val="0"/>
              <w:i w:val="0"/>
              <w:iCs w:val="0"/>
              <w:caps w:val="0"/>
              <w:smallCaps/>
              <w:szCs w:val="24"/>
            </w:rPr>
            <w:fldChar w:fldCharType="begin"/>
          </w:r>
          <w:r>
            <w:rPr>
              <w:bCs w:val="0"/>
              <w:i w:val="0"/>
              <w:iCs w:val="0"/>
              <w:caps w:val="0"/>
              <w:smallCaps/>
              <w:szCs w:val="24"/>
            </w:rPr>
            <w:instrText xml:space="preserve"> HYPERLINK \l _Toc16122 </w:instrText>
          </w:r>
          <w:r>
            <w:rPr>
              <w:bCs w:val="0"/>
              <w:i w:val="0"/>
              <w:iCs w:val="0"/>
              <w:caps w:val="0"/>
              <w:smallCaps/>
              <w:szCs w:val="24"/>
            </w:rPr>
            <w:fldChar w:fldCharType="separate"/>
          </w:r>
          <w:r>
            <w:rPr>
              <w:rFonts w:hint="eastAsia"/>
              <w:i w:val="0"/>
              <w:iCs w:val="0"/>
              <w:lang w:val="en-US" w:eastAsia="zh-CN"/>
            </w:rPr>
            <w:t>2</w:t>
          </w:r>
          <w:r>
            <w:rPr>
              <w:rFonts w:hint="eastAsia"/>
              <w:i w:val="0"/>
              <w:iCs w:val="0"/>
            </w:rPr>
            <w:t xml:space="preserve"> 企业</w:t>
          </w:r>
          <w:r>
            <w:rPr>
              <w:i w:val="0"/>
              <w:iCs w:val="0"/>
            </w:rPr>
            <w:t>情况</w:t>
          </w:r>
          <w:r>
            <w:rPr>
              <w:i w:val="0"/>
              <w:iCs w:val="0"/>
            </w:rPr>
            <w:tab/>
          </w:r>
          <w:r>
            <w:rPr>
              <w:i w:val="0"/>
              <w:iCs w:val="0"/>
            </w:rPr>
            <w:fldChar w:fldCharType="begin"/>
          </w:r>
          <w:r>
            <w:rPr>
              <w:i w:val="0"/>
              <w:iCs w:val="0"/>
            </w:rPr>
            <w:instrText xml:space="preserve"> PAGEREF _Toc16122 \h </w:instrText>
          </w:r>
          <w:r>
            <w:rPr>
              <w:i w:val="0"/>
              <w:iCs w:val="0"/>
            </w:rPr>
            <w:fldChar w:fldCharType="separate"/>
          </w:r>
          <w:r>
            <w:rPr>
              <w:i w:val="0"/>
              <w:iCs w:val="0"/>
            </w:rPr>
            <w:t>8</w:t>
          </w:r>
          <w:r>
            <w:rPr>
              <w:i w:val="0"/>
              <w:iCs w:val="0"/>
            </w:rPr>
            <w:fldChar w:fldCharType="end"/>
          </w:r>
          <w:r>
            <w:rPr>
              <w:bCs w:val="0"/>
              <w:i w:val="0"/>
              <w:iCs w:val="0"/>
              <w:caps w:val="0"/>
              <w:smallCaps/>
              <w:szCs w:val="24"/>
            </w:rPr>
            <w:fldChar w:fldCharType="end"/>
          </w:r>
        </w:p>
        <w:p w14:paraId="62118CE5">
          <w:pPr>
            <w:pStyle w:val="32"/>
            <w:keepNext w:val="0"/>
            <w:keepLines w:val="0"/>
            <w:pageBreakBefore w:val="0"/>
            <w:widowControl w:val="0"/>
            <w:tabs>
              <w:tab w:val="right" w:leader="dot" w:pos="9072"/>
            </w:tabs>
            <w:kinsoku/>
            <w:wordWrap/>
            <w:overflowPunct/>
            <w:topLinePunct w:val="0"/>
            <w:autoSpaceDE/>
            <w:autoSpaceDN/>
            <w:bidi w:val="0"/>
            <w:adjustRightInd/>
            <w:snapToGrid/>
            <w:spacing w:line="480" w:lineRule="exact"/>
            <w:textAlignment w:val="auto"/>
            <w:rPr>
              <w:i w:val="0"/>
              <w:iCs w:val="0"/>
            </w:rPr>
          </w:pPr>
          <w:r>
            <w:rPr>
              <w:bCs w:val="0"/>
              <w:i w:val="0"/>
              <w:iCs w:val="0"/>
              <w:caps w:val="0"/>
              <w:smallCaps/>
              <w:szCs w:val="24"/>
            </w:rPr>
            <w:fldChar w:fldCharType="begin"/>
          </w:r>
          <w:r>
            <w:rPr>
              <w:bCs w:val="0"/>
              <w:i w:val="0"/>
              <w:iCs w:val="0"/>
              <w:caps w:val="0"/>
              <w:smallCaps/>
              <w:szCs w:val="24"/>
            </w:rPr>
            <w:instrText xml:space="preserve"> HYPERLINK \l _Toc15574 </w:instrText>
          </w:r>
          <w:r>
            <w:rPr>
              <w:bCs w:val="0"/>
              <w:i w:val="0"/>
              <w:iCs w:val="0"/>
              <w:caps w:val="0"/>
              <w:smallCaps/>
              <w:szCs w:val="24"/>
            </w:rPr>
            <w:fldChar w:fldCharType="separate"/>
          </w:r>
          <w:r>
            <w:rPr>
              <w:rFonts w:hint="eastAsia"/>
              <w:i w:val="0"/>
              <w:iCs w:val="0"/>
            </w:rPr>
            <w:t>2.1 企业概况</w:t>
          </w:r>
          <w:r>
            <w:rPr>
              <w:i w:val="0"/>
              <w:iCs w:val="0"/>
            </w:rPr>
            <w:tab/>
          </w:r>
          <w:r>
            <w:rPr>
              <w:i w:val="0"/>
              <w:iCs w:val="0"/>
            </w:rPr>
            <w:fldChar w:fldCharType="begin"/>
          </w:r>
          <w:r>
            <w:rPr>
              <w:i w:val="0"/>
              <w:iCs w:val="0"/>
            </w:rPr>
            <w:instrText xml:space="preserve"> PAGEREF _Toc15574 \h </w:instrText>
          </w:r>
          <w:r>
            <w:rPr>
              <w:i w:val="0"/>
              <w:iCs w:val="0"/>
            </w:rPr>
            <w:fldChar w:fldCharType="separate"/>
          </w:r>
          <w:r>
            <w:rPr>
              <w:i w:val="0"/>
              <w:iCs w:val="0"/>
            </w:rPr>
            <w:t>8</w:t>
          </w:r>
          <w:r>
            <w:rPr>
              <w:i w:val="0"/>
              <w:iCs w:val="0"/>
            </w:rPr>
            <w:fldChar w:fldCharType="end"/>
          </w:r>
          <w:r>
            <w:rPr>
              <w:bCs w:val="0"/>
              <w:i w:val="0"/>
              <w:iCs w:val="0"/>
              <w:caps w:val="0"/>
              <w:smallCaps/>
              <w:szCs w:val="24"/>
            </w:rPr>
            <w:fldChar w:fldCharType="end"/>
          </w:r>
        </w:p>
        <w:p w14:paraId="4462FB51">
          <w:pPr>
            <w:pStyle w:val="32"/>
            <w:keepNext w:val="0"/>
            <w:keepLines w:val="0"/>
            <w:pageBreakBefore w:val="0"/>
            <w:widowControl w:val="0"/>
            <w:tabs>
              <w:tab w:val="right" w:leader="dot" w:pos="9072"/>
            </w:tabs>
            <w:kinsoku/>
            <w:wordWrap/>
            <w:overflowPunct/>
            <w:topLinePunct w:val="0"/>
            <w:autoSpaceDE/>
            <w:autoSpaceDN/>
            <w:bidi w:val="0"/>
            <w:adjustRightInd/>
            <w:snapToGrid/>
            <w:spacing w:line="480" w:lineRule="exact"/>
            <w:textAlignment w:val="auto"/>
            <w:rPr>
              <w:i w:val="0"/>
              <w:iCs w:val="0"/>
            </w:rPr>
          </w:pPr>
          <w:r>
            <w:rPr>
              <w:bCs w:val="0"/>
              <w:i w:val="0"/>
              <w:iCs w:val="0"/>
              <w:caps w:val="0"/>
              <w:smallCaps/>
              <w:szCs w:val="24"/>
            </w:rPr>
            <w:fldChar w:fldCharType="begin"/>
          </w:r>
          <w:r>
            <w:rPr>
              <w:bCs w:val="0"/>
              <w:i w:val="0"/>
              <w:iCs w:val="0"/>
              <w:caps w:val="0"/>
              <w:smallCaps/>
              <w:szCs w:val="24"/>
            </w:rPr>
            <w:instrText xml:space="preserve"> HYPERLINK \l _Toc764 </w:instrText>
          </w:r>
          <w:r>
            <w:rPr>
              <w:bCs w:val="0"/>
              <w:i w:val="0"/>
              <w:iCs w:val="0"/>
              <w:caps w:val="0"/>
              <w:smallCaps/>
              <w:szCs w:val="24"/>
            </w:rPr>
            <w:fldChar w:fldCharType="separate"/>
          </w:r>
          <w:r>
            <w:rPr>
              <w:rFonts w:hint="eastAsia"/>
              <w:i w:val="0"/>
              <w:iCs w:val="0"/>
              <w:lang w:val="en-US" w:eastAsia="zh-CN"/>
            </w:rPr>
            <w:t xml:space="preserve">2.2 </w:t>
          </w:r>
          <w:r>
            <w:rPr>
              <w:rFonts w:hint="eastAsia"/>
              <w:i w:val="0"/>
              <w:iCs w:val="0"/>
            </w:rPr>
            <w:t>项目概况</w:t>
          </w:r>
          <w:r>
            <w:rPr>
              <w:i w:val="0"/>
              <w:iCs w:val="0"/>
            </w:rPr>
            <w:tab/>
          </w:r>
          <w:r>
            <w:rPr>
              <w:i w:val="0"/>
              <w:iCs w:val="0"/>
            </w:rPr>
            <w:fldChar w:fldCharType="begin"/>
          </w:r>
          <w:r>
            <w:rPr>
              <w:i w:val="0"/>
              <w:iCs w:val="0"/>
            </w:rPr>
            <w:instrText xml:space="preserve"> PAGEREF _Toc764 \h </w:instrText>
          </w:r>
          <w:r>
            <w:rPr>
              <w:i w:val="0"/>
              <w:iCs w:val="0"/>
            </w:rPr>
            <w:fldChar w:fldCharType="separate"/>
          </w:r>
          <w:r>
            <w:rPr>
              <w:i w:val="0"/>
              <w:iCs w:val="0"/>
            </w:rPr>
            <w:t>10</w:t>
          </w:r>
          <w:r>
            <w:rPr>
              <w:i w:val="0"/>
              <w:iCs w:val="0"/>
            </w:rPr>
            <w:fldChar w:fldCharType="end"/>
          </w:r>
          <w:r>
            <w:rPr>
              <w:bCs w:val="0"/>
              <w:i w:val="0"/>
              <w:iCs w:val="0"/>
              <w:caps w:val="0"/>
              <w:smallCaps/>
              <w:szCs w:val="24"/>
            </w:rPr>
            <w:fldChar w:fldCharType="end"/>
          </w:r>
        </w:p>
        <w:p w14:paraId="0AABE1EB">
          <w:pPr>
            <w:pStyle w:val="19"/>
            <w:keepNext w:val="0"/>
            <w:keepLines w:val="0"/>
            <w:pageBreakBefore w:val="0"/>
            <w:widowControl w:val="0"/>
            <w:tabs>
              <w:tab w:val="right" w:leader="dot" w:pos="9072"/>
            </w:tabs>
            <w:kinsoku/>
            <w:wordWrap/>
            <w:overflowPunct/>
            <w:topLinePunct w:val="0"/>
            <w:autoSpaceDE/>
            <w:autoSpaceDN/>
            <w:bidi w:val="0"/>
            <w:adjustRightInd/>
            <w:snapToGrid/>
            <w:spacing w:line="480" w:lineRule="exact"/>
            <w:textAlignment w:val="auto"/>
            <w:rPr>
              <w:i w:val="0"/>
              <w:iCs w:val="0"/>
            </w:rPr>
          </w:pPr>
          <w:r>
            <w:rPr>
              <w:bCs w:val="0"/>
              <w:i w:val="0"/>
              <w:iCs w:val="0"/>
              <w:caps w:val="0"/>
              <w:smallCaps/>
              <w:szCs w:val="24"/>
            </w:rPr>
            <w:fldChar w:fldCharType="begin"/>
          </w:r>
          <w:r>
            <w:rPr>
              <w:bCs w:val="0"/>
              <w:i w:val="0"/>
              <w:iCs w:val="0"/>
              <w:caps w:val="0"/>
              <w:smallCaps/>
              <w:szCs w:val="24"/>
            </w:rPr>
            <w:instrText xml:space="preserve"> HYPERLINK \l _Toc15502 </w:instrText>
          </w:r>
          <w:r>
            <w:rPr>
              <w:bCs w:val="0"/>
              <w:i w:val="0"/>
              <w:iCs w:val="0"/>
              <w:caps w:val="0"/>
              <w:smallCaps/>
              <w:szCs w:val="24"/>
            </w:rPr>
            <w:fldChar w:fldCharType="separate"/>
          </w:r>
          <w:r>
            <w:rPr>
              <w:rFonts w:hint="default"/>
              <w:i w:val="0"/>
              <w:iCs w:val="0"/>
              <w:lang w:val="en-US" w:eastAsia="zh-CN"/>
            </w:rPr>
            <w:t>2.2.1 总平面布置</w:t>
          </w:r>
          <w:r>
            <w:rPr>
              <w:i w:val="0"/>
              <w:iCs w:val="0"/>
            </w:rPr>
            <w:tab/>
          </w:r>
          <w:r>
            <w:rPr>
              <w:i w:val="0"/>
              <w:iCs w:val="0"/>
            </w:rPr>
            <w:fldChar w:fldCharType="begin"/>
          </w:r>
          <w:r>
            <w:rPr>
              <w:i w:val="0"/>
              <w:iCs w:val="0"/>
            </w:rPr>
            <w:instrText xml:space="preserve"> PAGEREF _Toc15502 \h </w:instrText>
          </w:r>
          <w:r>
            <w:rPr>
              <w:i w:val="0"/>
              <w:iCs w:val="0"/>
            </w:rPr>
            <w:fldChar w:fldCharType="separate"/>
          </w:r>
          <w:r>
            <w:rPr>
              <w:i w:val="0"/>
              <w:iCs w:val="0"/>
            </w:rPr>
            <w:t>10</w:t>
          </w:r>
          <w:r>
            <w:rPr>
              <w:i w:val="0"/>
              <w:iCs w:val="0"/>
            </w:rPr>
            <w:fldChar w:fldCharType="end"/>
          </w:r>
          <w:r>
            <w:rPr>
              <w:bCs w:val="0"/>
              <w:i w:val="0"/>
              <w:iCs w:val="0"/>
              <w:caps w:val="0"/>
              <w:smallCaps/>
              <w:szCs w:val="24"/>
            </w:rPr>
            <w:fldChar w:fldCharType="end"/>
          </w:r>
        </w:p>
        <w:p w14:paraId="054C71B8">
          <w:pPr>
            <w:pStyle w:val="19"/>
            <w:keepNext w:val="0"/>
            <w:keepLines w:val="0"/>
            <w:pageBreakBefore w:val="0"/>
            <w:widowControl w:val="0"/>
            <w:tabs>
              <w:tab w:val="right" w:leader="dot" w:pos="9072"/>
            </w:tabs>
            <w:kinsoku/>
            <w:wordWrap/>
            <w:overflowPunct/>
            <w:topLinePunct w:val="0"/>
            <w:autoSpaceDE/>
            <w:autoSpaceDN/>
            <w:bidi w:val="0"/>
            <w:adjustRightInd/>
            <w:snapToGrid/>
            <w:spacing w:line="480" w:lineRule="exact"/>
            <w:textAlignment w:val="auto"/>
            <w:rPr>
              <w:i w:val="0"/>
              <w:iCs w:val="0"/>
            </w:rPr>
          </w:pPr>
          <w:r>
            <w:rPr>
              <w:bCs w:val="0"/>
              <w:i w:val="0"/>
              <w:iCs w:val="0"/>
              <w:caps w:val="0"/>
              <w:smallCaps/>
              <w:szCs w:val="24"/>
            </w:rPr>
            <w:fldChar w:fldCharType="begin"/>
          </w:r>
          <w:r>
            <w:rPr>
              <w:bCs w:val="0"/>
              <w:i w:val="0"/>
              <w:iCs w:val="0"/>
              <w:caps w:val="0"/>
              <w:smallCaps/>
              <w:szCs w:val="24"/>
            </w:rPr>
            <w:instrText xml:space="preserve"> HYPERLINK \l _Toc5830 </w:instrText>
          </w:r>
          <w:r>
            <w:rPr>
              <w:bCs w:val="0"/>
              <w:i w:val="0"/>
              <w:iCs w:val="0"/>
              <w:caps w:val="0"/>
              <w:smallCaps/>
              <w:szCs w:val="24"/>
            </w:rPr>
            <w:fldChar w:fldCharType="separate"/>
          </w:r>
          <w:r>
            <w:rPr>
              <w:rFonts w:hint="default"/>
              <w:i w:val="0"/>
              <w:iCs w:val="0"/>
              <w:lang w:val="en-US" w:eastAsia="zh-CN"/>
            </w:rPr>
            <w:t>2.2.2 建筑物情况</w:t>
          </w:r>
          <w:r>
            <w:rPr>
              <w:i w:val="0"/>
              <w:iCs w:val="0"/>
            </w:rPr>
            <w:tab/>
          </w:r>
          <w:r>
            <w:rPr>
              <w:i w:val="0"/>
              <w:iCs w:val="0"/>
            </w:rPr>
            <w:fldChar w:fldCharType="begin"/>
          </w:r>
          <w:r>
            <w:rPr>
              <w:i w:val="0"/>
              <w:iCs w:val="0"/>
            </w:rPr>
            <w:instrText xml:space="preserve"> PAGEREF _Toc5830 \h </w:instrText>
          </w:r>
          <w:r>
            <w:rPr>
              <w:i w:val="0"/>
              <w:iCs w:val="0"/>
            </w:rPr>
            <w:fldChar w:fldCharType="separate"/>
          </w:r>
          <w:r>
            <w:rPr>
              <w:i w:val="0"/>
              <w:iCs w:val="0"/>
            </w:rPr>
            <w:t>10</w:t>
          </w:r>
          <w:r>
            <w:rPr>
              <w:i w:val="0"/>
              <w:iCs w:val="0"/>
            </w:rPr>
            <w:fldChar w:fldCharType="end"/>
          </w:r>
          <w:r>
            <w:rPr>
              <w:bCs w:val="0"/>
              <w:i w:val="0"/>
              <w:iCs w:val="0"/>
              <w:caps w:val="0"/>
              <w:smallCaps/>
              <w:szCs w:val="24"/>
            </w:rPr>
            <w:fldChar w:fldCharType="end"/>
          </w:r>
        </w:p>
        <w:p w14:paraId="7D0543EE">
          <w:pPr>
            <w:pStyle w:val="32"/>
            <w:keepNext w:val="0"/>
            <w:keepLines w:val="0"/>
            <w:pageBreakBefore w:val="0"/>
            <w:widowControl w:val="0"/>
            <w:tabs>
              <w:tab w:val="right" w:leader="dot" w:pos="9072"/>
            </w:tabs>
            <w:kinsoku/>
            <w:wordWrap/>
            <w:overflowPunct/>
            <w:topLinePunct w:val="0"/>
            <w:autoSpaceDE/>
            <w:autoSpaceDN/>
            <w:bidi w:val="0"/>
            <w:adjustRightInd/>
            <w:snapToGrid/>
            <w:spacing w:line="480" w:lineRule="exact"/>
            <w:textAlignment w:val="auto"/>
            <w:rPr>
              <w:i w:val="0"/>
              <w:iCs w:val="0"/>
            </w:rPr>
          </w:pPr>
          <w:r>
            <w:rPr>
              <w:bCs w:val="0"/>
              <w:i w:val="0"/>
              <w:iCs w:val="0"/>
              <w:caps w:val="0"/>
              <w:smallCaps/>
              <w:szCs w:val="24"/>
            </w:rPr>
            <w:fldChar w:fldCharType="begin"/>
          </w:r>
          <w:r>
            <w:rPr>
              <w:bCs w:val="0"/>
              <w:i w:val="0"/>
              <w:iCs w:val="0"/>
              <w:caps w:val="0"/>
              <w:smallCaps/>
              <w:szCs w:val="24"/>
            </w:rPr>
            <w:instrText xml:space="preserve"> HYPERLINK \l _Toc8810 </w:instrText>
          </w:r>
          <w:r>
            <w:rPr>
              <w:bCs w:val="0"/>
              <w:i w:val="0"/>
              <w:iCs w:val="0"/>
              <w:caps w:val="0"/>
              <w:smallCaps/>
              <w:szCs w:val="24"/>
            </w:rPr>
            <w:fldChar w:fldCharType="separate"/>
          </w:r>
          <w:r>
            <w:rPr>
              <w:rFonts w:hint="eastAsia"/>
              <w:i w:val="0"/>
              <w:iCs w:val="0"/>
            </w:rPr>
            <w:t>2.3 地理位置</w:t>
          </w:r>
          <w:r>
            <w:rPr>
              <w:rFonts w:hint="eastAsia"/>
              <w:i w:val="0"/>
              <w:iCs w:val="0"/>
              <w:lang w:eastAsia="zh-CN"/>
            </w:rPr>
            <w:t>、</w:t>
          </w:r>
          <w:r>
            <w:rPr>
              <w:rFonts w:hint="eastAsia"/>
              <w:i w:val="0"/>
              <w:iCs w:val="0"/>
            </w:rPr>
            <w:t>地区气象、水文情况</w:t>
          </w:r>
          <w:r>
            <w:rPr>
              <w:rFonts w:hint="eastAsia"/>
              <w:i w:val="0"/>
              <w:iCs w:val="0"/>
              <w:lang w:eastAsia="zh-CN"/>
            </w:rPr>
            <w:t>、</w:t>
          </w:r>
          <w:r>
            <w:rPr>
              <w:rFonts w:hint="eastAsia"/>
              <w:i w:val="0"/>
              <w:iCs w:val="0"/>
              <w:lang w:val="en-US" w:eastAsia="zh-CN"/>
            </w:rPr>
            <w:t>地质地貎</w:t>
          </w:r>
          <w:r>
            <w:rPr>
              <w:i w:val="0"/>
              <w:iCs w:val="0"/>
            </w:rPr>
            <w:tab/>
          </w:r>
          <w:r>
            <w:rPr>
              <w:i w:val="0"/>
              <w:iCs w:val="0"/>
            </w:rPr>
            <w:fldChar w:fldCharType="begin"/>
          </w:r>
          <w:r>
            <w:rPr>
              <w:i w:val="0"/>
              <w:iCs w:val="0"/>
            </w:rPr>
            <w:instrText xml:space="preserve"> PAGEREF _Toc8810 \h </w:instrText>
          </w:r>
          <w:r>
            <w:rPr>
              <w:i w:val="0"/>
              <w:iCs w:val="0"/>
            </w:rPr>
            <w:fldChar w:fldCharType="separate"/>
          </w:r>
          <w:r>
            <w:rPr>
              <w:i w:val="0"/>
              <w:iCs w:val="0"/>
            </w:rPr>
            <w:t>11</w:t>
          </w:r>
          <w:r>
            <w:rPr>
              <w:i w:val="0"/>
              <w:iCs w:val="0"/>
            </w:rPr>
            <w:fldChar w:fldCharType="end"/>
          </w:r>
          <w:r>
            <w:rPr>
              <w:bCs w:val="0"/>
              <w:i w:val="0"/>
              <w:iCs w:val="0"/>
              <w:caps w:val="0"/>
              <w:smallCaps/>
              <w:szCs w:val="24"/>
            </w:rPr>
            <w:fldChar w:fldCharType="end"/>
          </w:r>
        </w:p>
        <w:p w14:paraId="663891E1">
          <w:pPr>
            <w:pStyle w:val="19"/>
            <w:keepNext w:val="0"/>
            <w:keepLines w:val="0"/>
            <w:pageBreakBefore w:val="0"/>
            <w:widowControl w:val="0"/>
            <w:tabs>
              <w:tab w:val="right" w:leader="dot" w:pos="9072"/>
            </w:tabs>
            <w:kinsoku/>
            <w:wordWrap/>
            <w:overflowPunct/>
            <w:topLinePunct w:val="0"/>
            <w:autoSpaceDE/>
            <w:autoSpaceDN/>
            <w:bidi w:val="0"/>
            <w:adjustRightInd/>
            <w:snapToGrid/>
            <w:spacing w:line="480" w:lineRule="exact"/>
            <w:textAlignment w:val="auto"/>
            <w:rPr>
              <w:i w:val="0"/>
              <w:iCs w:val="0"/>
            </w:rPr>
          </w:pPr>
          <w:r>
            <w:rPr>
              <w:bCs w:val="0"/>
              <w:i w:val="0"/>
              <w:iCs w:val="0"/>
              <w:caps w:val="0"/>
              <w:smallCaps/>
              <w:szCs w:val="24"/>
            </w:rPr>
            <w:fldChar w:fldCharType="begin"/>
          </w:r>
          <w:r>
            <w:rPr>
              <w:bCs w:val="0"/>
              <w:i w:val="0"/>
              <w:iCs w:val="0"/>
              <w:caps w:val="0"/>
              <w:smallCaps/>
              <w:szCs w:val="24"/>
            </w:rPr>
            <w:instrText xml:space="preserve"> HYPERLINK \l _Toc30150 </w:instrText>
          </w:r>
          <w:r>
            <w:rPr>
              <w:bCs w:val="0"/>
              <w:i w:val="0"/>
              <w:iCs w:val="0"/>
              <w:caps w:val="0"/>
              <w:smallCaps/>
              <w:szCs w:val="24"/>
            </w:rPr>
            <w:fldChar w:fldCharType="separate"/>
          </w:r>
          <w:r>
            <w:rPr>
              <w:rFonts w:hint="eastAsia"/>
              <w:i w:val="0"/>
              <w:iCs w:val="0"/>
            </w:rPr>
            <w:t>2.3.1 地理位置</w:t>
          </w:r>
          <w:r>
            <w:rPr>
              <w:i w:val="0"/>
              <w:iCs w:val="0"/>
            </w:rPr>
            <w:tab/>
          </w:r>
          <w:r>
            <w:rPr>
              <w:i w:val="0"/>
              <w:iCs w:val="0"/>
            </w:rPr>
            <w:fldChar w:fldCharType="begin"/>
          </w:r>
          <w:r>
            <w:rPr>
              <w:i w:val="0"/>
              <w:iCs w:val="0"/>
            </w:rPr>
            <w:instrText xml:space="preserve"> PAGEREF _Toc30150 \h </w:instrText>
          </w:r>
          <w:r>
            <w:rPr>
              <w:i w:val="0"/>
              <w:iCs w:val="0"/>
            </w:rPr>
            <w:fldChar w:fldCharType="separate"/>
          </w:r>
          <w:r>
            <w:rPr>
              <w:i w:val="0"/>
              <w:iCs w:val="0"/>
            </w:rPr>
            <w:t>11</w:t>
          </w:r>
          <w:r>
            <w:rPr>
              <w:i w:val="0"/>
              <w:iCs w:val="0"/>
            </w:rPr>
            <w:fldChar w:fldCharType="end"/>
          </w:r>
          <w:r>
            <w:rPr>
              <w:bCs w:val="0"/>
              <w:i w:val="0"/>
              <w:iCs w:val="0"/>
              <w:caps w:val="0"/>
              <w:smallCaps/>
              <w:szCs w:val="24"/>
            </w:rPr>
            <w:fldChar w:fldCharType="end"/>
          </w:r>
        </w:p>
        <w:p w14:paraId="2DDB22C5">
          <w:pPr>
            <w:pStyle w:val="19"/>
            <w:keepNext w:val="0"/>
            <w:keepLines w:val="0"/>
            <w:pageBreakBefore w:val="0"/>
            <w:widowControl w:val="0"/>
            <w:tabs>
              <w:tab w:val="right" w:leader="dot" w:pos="9072"/>
            </w:tabs>
            <w:kinsoku/>
            <w:wordWrap/>
            <w:overflowPunct/>
            <w:topLinePunct w:val="0"/>
            <w:autoSpaceDE/>
            <w:autoSpaceDN/>
            <w:bidi w:val="0"/>
            <w:adjustRightInd/>
            <w:snapToGrid/>
            <w:spacing w:line="480" w:lineRule="exact"/>
            <w:textAlignment w:val="auto"/>
            <w:rPr>
              <w:i w:val="0"/>
              <w:iCs w:val="0"/>
            </w:rPr>
          </w:pPr>
          <w:r>
            <w:rPr>
              <w:bCs w:val="0"/>
              <w:i w:val="0"/>
              <w:iCs w:val="0"/>
              <w:caps w:val="0"/>
              <w:smallCaps/>
              <w:szCs w:val="24"/>
            </w:rPr>
            <w:fldChar w:fldCharType="begin"/>
          </w:r>
          <w:r>
            <w:rPr>
              <w:bCs w:val="0"/>
              <w:i w:val="0"/>
              <w:iCs w:val="0"/>
              <w:caps w:val="0"/>
              <w:smallCaps/>
              <w:szCs w:val="24"/>
            </w:rPr>
            <w:instrText xml:space="preserve"> HYPERLINK \l _Toc31301 </w:instrText>
          </w:r>
          <w:r>
            <w:rPr>
              <w:bCs w:val="0"/>
              <w:i w:val="0"/>
              <w:iCs w:val="0"/>
              <w:caps w:val="0"/>
              <w:smallCaps/>
              <w:szCs w:val="24"/>
            </w:rPr>
            <w:fldChar w:fldCharType="separate"/>
          </w:r>
          <w:r>
            <w:rPr>
              <w:rFonts w:hint="eastAsia"/>
              <w:i w:val="0"/>
              <w:iCs w:val="0"/>
            </w:rPr>
            <w:t>2.3.2 气象、水文</w:t>
          </w:r>
          <w:r>
            <w:rPr>
              <w:i w:val="0"/>
              <w:iCs w:val="0"/>
            </w:rPr>
            <w:tab/>
          </w:r>
          <w:r>
            <w:rPr>
              <w:i w:val="0"/>
              <w:iCs w:val="0"/>
            </w:rPr>
            <w:fldChar w:fldCharType="begin"/>
          </w:r>
          <w:r>
            <w:rPr>
              <w:i w:val="0"/>
              <w:iCs w:val="0"/>
            </w:rPr>
            <w:instrText xml:space="preserve"> PAGEREF _Toc31301 \h </w:instrText>
          </w:r>
          <w:r>
            <w:rPr>
              <w:i w:val="0"/>
              <w:iCs w:val="0"/>
            </w:rPr>
            <w:fldChar w:fldCharType="separate"/>
          </w:r>
          <w:r>
            <w:rPr>
              <w:i w:val="0"/>
              <w:iCs w:val="0"/>
            </w:rPr>
            <w:t>12</w:t>
          </w:r>
          <w:r>
            <w:rPr>
              <w:i w:val="0"/>
              <w:iCs w:val="0"/>
            </w:rPr>
            <w:fldChar w:fldCharType="end"/>
          </w:r>
          <w:r>
            <w:rPr>
              <w:bCs w:val="0"/>
              <w:i w:val="0"/>
              <w:iCs w:val="0"/>
              <w:caps w:val="0"/>
              <w:smallCaps/>
              <w:szCs w:val="24"/>
            </w:rPr>
            <w:fldChar w:fldCharType="end"/>
          </w:r>
        </w:p>
        <w:p w14:paraId="5F821133">
          <w:pPr>
            <w:pStyle w:val="19"/>
            <w:keepNext w:val="0"/>
            <w:keepLines w:val="0"/>
            <w:pageBreakBefore w:val="0"/>
            <w:widowControl w:val="0"/>
            <w:tabs>
              <w:tab w:val="right" w:leader="dot" w:pos="9072"/>
            </w:tabs>
            <w:kinsoku/>
            <w:wordWrap/>
            <w:overflowPunct/>
            <w:topLinePunct w:val="0"/>
            <w:autoSpaceDE/>
            <w:autoSpaceDN/>
            <w:bidi w:val="0"/>
            <w:adjustRightInd/>
            <w:snapToGrid/>
            <w:spacing w:line="480" w:lineRule="exact"/>
            <w:textAlignment w:val="auto"/>
            <w:rPr>
              <w:i w:val="0"/>
              <w:iCs w:val="0"/>
            </w:rPr>
          </w:pPr>
          <w:r>
            <w:rPr>
              <w:bCs w:val="0"/>
              <w:i w:val="0"/>
              <w:iCs w:val="0"/>
              <w:caps w:val="0"/>
              <w:smallCaps/>
              <w:szCs w:val="24"/>
            </w:rPr>
            <w:fldChar w:fldCharType="begin"/>
          </w:r>
          <w:r>
            <w:rPr>
              <w:bCs w:val="0"/>
              <w:i w:val="0"/>
              <w:iCs w:val="0"/>
              <w:caps w:val="0"/>
              <w:smallCaps/>
              <w:szCs w:val="24"/>
            </w:rPr>
            <w:instrText xml:space="preserve"> HYPERLINK \l _Toc3265 </w:instrText>
          </w:r>
          <w:r>
            <w:rPr>
              <w:bCs w:val="0"/>
              <w:i w:val="0"/>
              <w:iCs w:val="0"/>
              <w:caps w:val="0"/>
              <w:smallCaps/>
              <w:szCs w:val="24"/>
            </w:rPr>
            <w:fldChar w:fldCharType="separate"/>
          </w:r>
          <w:r>
            <w:rPr>
              <w:rFonts w:hint="eastAsia"/>
              <w:i w:val="0"/>
              <w:iCs w:val="0"/>
              <w:lang w:val="en-US" w:eastAsia="zh-CN"/>
            </w:rPr>
            <w:t>2.3.3 地质地貎</w:t>
          </w:r>
          <w:r>
            <w:rPr>
              <w:i w:val="0"/>
              <w:iCs w:val="0"/>
            </w:rPr>
            <w:tab/>
          </w:r>
          <w:r>
            <w:rPr>
              <w:i w:val="0"/>
              <w:iCs w:val="0"/>
            </w:rPr>
            <w:fldChar w:fldCharType="begin"/>
          </w:r>
          <w:r>
            <w:rPr>
              <w:i w:val="0"/>
              <w:iCs w:val="0"/>
            </w:rPr>
            <w:instrText xml:space="preserve"> PAGEREF _Toc3265 \h </w:instrText>
          </w:r>
          <w:r>
            <w:rPr>
              <w:i w:val="0"/>
              <w:iCs w:val="0"/>
            </w:rPr>
            <w:fldChar w:fldCharType="separate"/>
          </w:r>
          <w:r>
            <w:rPr>
              <w:i w:val="0"/>
              <w:iCs w:val="0"/>
            </w:rPr>
            <w:t>12</w:t>
          </w:r>
          <w:r>
            <w:rPr>
              <w:i w:val="0"/>
              <w:iCs w:val="0"/>
            </w:rPr>
            <w:fldChar w:fldCharType="end"/>
          </w:r>
          <w:r>
            <w:rPr>
              <w:bCs w:val="0"/>
              <w:i w:val="0"/>
              <w:iCs w:val="0"/>
              <w:caps w:val="0"/>
              <w:smallCaps/>
              <w:szCs w:val="24"/>
            </w:rPr>
            <w:fldChar w:fldCharType="end"/>
          </w:r>
        </w:p>
        <w:p w14:paraId="697D0CC5">
          <w:pPr>
            <w:pStyle w:val="32"/>
            <w:keepNext w:val="0"/>
            <w:keepLines w:val="0"/>
            <w:pageBreakBefore w:val="0"/>
            <w:widowControl w:val="0"/>
            <w:tabs>
              <w:tab w:val="right" w:leader="dot" w:pos="9072"/>
            </w:tabs>
            <w:kinsoku/>
            <w:wordWrap/>
            <w:overflowPunct/>
            <w:topLinePunct w:val="0"/>
            <w:autoSpaceDE/>
            <w:autoSpaceDN/>
            <w:bidi w:val="0"/>
            <w:adjustRightInd/>
            <w:snapToGrid/>
            <w:spacing w:line="480" w:lineRule="exact"/>
            <w:textAlignment w:val="auto"/>
            <w:rPr>
              <w:i w:val="0"/>
              <w:iCs w:val="0"/>
            </w:rPr>
          </w:pPr>
          <w:r>
            <w:rPr>
              <w:bCs w:val="0"/>
              <w:i w:val="0"/>
              <w:iCs w:val="0"/>
              <w:caps w:val="0"/>
              <w:smallCaps/>
              <w:szCs w:val="24"/>
            </w:rPr>
            <w:fldChar w:fldCharType="begin"/>
          </w:r>
          <w:r>
            <w:rPr>
              <w:bCs w:val="0"/>
              <w:i w:val="0"/>
              <w:iCs w:val="0"/>
              <w:caps w:val="0"/>
              <w:smallCaps/>
              <w:szCs w:val="24"/>
            </w:rPr>
            <w:instrText xml:space="preserve"> HYPERLINK \l _Toc25177 </w:instrText>
          </w:r>
          <w:r>
            <w:rPr>
              <w:bCs w:val="0"/>
              <w:i w:val="0"/>
              <w:iCs w:val="0"/>
              <w:caps w:val="0"/>
              <w:smallCaps/>
              <w:szCs w:val="24"/>
            </w:rPr>
            <w:fldChar w:fldCharType="separate"/>
          </w:r>
          <w:r>
            <w:rPr>
              <w:rFonts w:hint="eastAsia"/>
              <w:i w:val="0"/>
              <w:iCs w:val="0"/>
            </w:rPr>
            <w:t>2.4 企业经营流程</w:t>
          </w:r>
          <w:r>
            <w:rPr>
              <w:i w:val="0"/>
              <w:iCs w:val="0"/>
            </w:rPr>
            <w:tab/>
          </w:r>
          <w:r>
            <w:rPr>
              <w:i w:val="0"/>
              <w:iCs w:val="0"/>
            </w:rPr>
            <w:fldChar w:fldCharType="begin"/>
          </w:r>
          <w:r>
            <w:rPr>
              <w:i w:val="0"/>
              <w:iCs w:val="0"/>
            </w:rPr>
            <w:instrText xml:space="preserve"> PAGEREF _Toc25177 \h </w:instrText>
          </w:r>
          <w:r>
            <w:rPr>
              <w:i w:val="0"/>
              <w:iCs w:val="0"/>
            </w:rPr>
            <w:fldChar w:fldCharType="separate"/>
          </w:r>
          <w:r>
            <w:rPr>
              <w:i w:val="0"/>
              <w:iCs w:val="0"/>
            </w:rPr>
            <w:t>13</w:t>
          </w:r>
          <w:r>
            <w:rPr>
              <w:i w:val="0"/>
              <w:iCs w:val="0"/>
            </w:rPr>
            <w:fldChar w:fldCharType="end"/>
          </w:r>
          <w:r>
            <w:rPr>
              <w:bCs w:val="0"/>
              <w:i w:val="0"/>
              <w:iCs w:val="0"/>
              <w:caps w:val="0"/>
              <w:smallCaps/>
              <w:szCs w:val="24"/>
            </w:rPr>
            <w:fldChar w:fldCharType="end"/>
          </w:r>
        </w:p>
        <w:p w14:paraId="504B034E">
          <w:pPr>
            <w:pStyle w:val="32"/>
            <w:keepNext w:val="0"/>
            <w:keepLines w:val="0"/>
            <w:pageBreakBefore w:val="0"/>
            <w:widowControl w:val="0"/>
            <w:tabs>
              <w:tab w:val="right" w:leader="dot" w:pos="9072"/>
            </w:tabs>
            <w:kinsoku/>
            <w:wordWrap/>
            <w:overflowPunct/>
            <w:topLinePunct w:val="0"/>
            <w:autoSpaceDE/>
            <w:autoSpaceDN/>
            <w:bidi w:val="0"/>
            <w:adjustRightInd/>
            <w:snapToGrid/>
            <w:spacing w:line="480" w:lineRule="exact"/>
            <w:textAlignment w:val="auto"/>
            <w:rPr>
              <w:i w:val="0"/>
              <w:iCs w:val="0"/>
            </w:rPr>
          </w:pPr>
          <w:r>
            <w:rPr>
              <w:bCs w:val="0"/>
              <w:i w:val="0"/>
              <w:iCs w:val="0"/>
              <w:caps w:val="0"/>
              <w:smallCaps/>
              <w:szCs w:val="24"/>
            </w:rPr>
            <w:fldChar w:fldCharType="begin"/>
          </w:r>
          <w:r>
            <w:rPr>
              <w:bCs w:val="0"/>
              <w:i w:val="0"/>
              <w:iCs w:val="0"/>
              <w:caps w:val="0"/>
              <w:smallCaps/>
              <w:szCs w:val="24"/>
            </w:rPr>
            <w:instrText xml:space="preserve"> HYPERLINK \l _Toc13209 </w:instrText>
          </w:r>
          <w:r>
            <w:rPr>
              <w:bCs w:val="0"/>
              <w:i w:val="0"/>
              <w:iCs w:val="0"/>
              <w:caps w:val="0"/>
              <w:smallCaps/>
              <w:szCs w:val="24"/>
            </w:rPr>
            <w:fldChar w:fldCharType="separate"/>
          </w:r>
          <w:r>
            <w:rPr>
              <w:rFonts w:hint="eastAsia"/>
              <w:i w:val="0"/>
              <w:iCs w:val="0"/>
            </w:rPr>
            <w:t>2.5 配送车辆</w:t>
          </w:r>
          <w:r>
            <w:rPr>
              <w:i w:val="0"/>
              <w:iCs w:val="0"/>
            </w:rPr>
            <w:tab/>
          </w:r>
          <w:r>
            <w:rPr>
              <w:i w:val="0"/>
              <w:iCs w:val="0"/>
            </w:rPr>
            <w:fldChar w:fldCharType="begin"/>
          </w:r>
          <w:r>
            <w:rPr>
              <w:i w:val="0"/>
              <w:iCs w:val="0"/>
            </w:rPr>
            <w:instrText xml:space="preserve"> PAGEREF _Toc13209 \h </w:instrText>
          </w:r>
          <w:r>
            <w:rPr>
              <w:i w:val="0"/>
              <w:iCs w:val="0"/>
            </w:rPr>
            <w:fldChar w:fldCharType="separate"/>
          </w:r>
          <w:r>
            <w:rPr>
              <w:i w:val="0"/>
              <w:iCs w:val="0"/>
            </w:rPr>
            <w:t>13</w:t>
          </w:r>
          <w:r>
            <w:rPr>
              <w:i w:val="0"/>
              <w:iCs w:val="0"/>
            </w:rPr>
            <w:fldChar w:fldCharType="end"/>
          </w:r>
          <w:r>
            <w:rPr>
              <w:bCs w:val="0"/>
              <w:i w:val="0"/>
              <w:iCs w:val="0"/>
              <w:caps w:val="0"/>
              <w:smallCaps/>
              <w:szCs w:val="24"/>
            </w:rPr>
            <w:fldChar w:fldCharType="end"/>
          </w:r>
        </w:p>
        <w:p w14:paraId="405D077F">
          <w:pPr>
            <w:pStyle w:val="32"/>
            <w:keepNext w:val="0"/>
            <w:keepLines w:val="0"/>
            <w:pageBreakBefore w:val="0"/>
            <w:widowControl w:val="0"/>
            <w:tabs>
              <w:tab w:val="right" w:leader="dot" w:pos="9072"/>
            </w:tabs>
            <w:kinsoku/>
            <w:wordWrap/>
            <w:overflowPunct/>
            <w:topLinePunct w:val="0"/>
            <w:autoSpaceDE/>
            <w:autoSpaceDN/>
            <w:bidi w:val="0"/>
            <w:adjustRightInd/>
            <w:snapToGrid/>
            <w:spacing w:line="480" w:lineRule="exact"/>
            <w:textAlignment w:val="auto"/>
            <w:rPr>
              <w:i w:val="0"/>
              <w:iCs w:val="0"/>
            </w:rPr>
          </w:pPr>
          <w:r>
            <w:rPr>
              <w:bCs w:val="0"/>
              <w:i w:val="0"/>
              <w:iCs w:val="0"/>
              <w:caps w:val="0"/>
              <w:smallCaps/>
              <w:szCs w:val="24"/>
            </w:rPr>
            <w:fldChar w:fldCharType="begin"/>
          </w:r>
          <w:r>
            <w:rPr>
              <w:bCs w:val="0"/>
              <w:i w:val="0"/>
              <w:iCs w:val="0"/>
              <w:caps w:val="0"/>
              <w:smallCaps/>
              <w:szCs w:val="24"/>
            </w:rPr>
            <w:instrText xml:space="preserve"> HYPERLINK \l _Toc7723 </w:instrText>
          </w:r>
          <w:r>
            <w:rPr>
              <w:bCs w:val="0"/>
              <w:i w:val="0"/>
              <w:iCs w:val="0"/>
              <w:caps w:val="0"/>
              <w:smallCaps/>
              <w:szCs w:val="24"/>
            </w:rPr>
            <w:fldChar w:fldCharType="separate"/>
          </w:r>
          <w:r>
            <w:rPr>
              <w:rFonts w:hint="eastAsia"/>
              <w:i w:val="0"/>
              <w:iCs w:val="0"/>
              <w:lang w:val="en-US" w:eastAsia="zh-CN"/>
            </w:rPr>
            <w:t>2</w:t>
          </w:r>
          <w:r>
            <w:rPr>
              <w:rFonts w:hint="eastAsia"/>
              <w:i w:val="0"/>
              <w:iCs w:val="0"/>
            </w:rPr>
            <w:t>2.6 消防、安全设施</w:t>
          </w:r>
          <w:r>
            <w:rPr>
              <w:i w:val="0"/>
              <w:iCs w:val="0"/>
            </w:rPr>
            <w:tab/>
          </w:r>
          <w:r>
            <w:rPr>
              <w:i w:val="0"/>
              <w:iCs w:val="0"/>
            </w:rPr>
            <w:fldChar w:fldCharType="begin"/>
          </w:r>
          <w:r>
            <w:rPr>
              <w:i w:val="0"/>
              <w:iCs w:val="0"/>
            </w:rPr>
            <w:instrText xml:space="preserve"> PAGEREF _Toc7723 \h </w:instrText>
          </w:r>
          <w:r>
            <w:rPr>
              <w:i w:val="0"/>
              <w:iCs w:val="0"/>
            </w:rPr>
            <w:fldChar w:fldCharType="separate"/>
          </w:r>
          <w:r>
            <w:rPr>
              <w:i w:val="0"/>
              <w:iCs w:val="0"/>
            </w:rPr>
            <w:t>14</w:t>
          </w:r>
          <w:r>
            <w:rPr>
              <w:i w:val="0"/>
              <w:iCs w:val="0"/>
            </w:rPr>
            <w:fldChar w:fldCharType="end"/>
          </w:r>
          <w:r>
            <w:rPr>
              <w:bCs w:val="0"/>
              <w:i w:val="0"/>
              <w:iCs w:val="0"/>
              <w:caps w:val="0"/>
              <w:smallCaps/>
              <w:szCs w:val="24"/>
            </w:rPr>
            <w:fldChar w:fldCharType="end"/>
          </w:r>
        </w:p>
        <w:p w14:paraId="43D2B035">
          <w:pPr>
            <w:pStyle w:val="19"/>
            <w:keepNext w:val="0"/>
            <w:keepLines w:val="0"/>
            <w:pageBreakBefore w:val="0"/>
            <w:widowControl w:val="0"/>
            <w:tabs>
              <w:tab w:val="right" w:leader="dot" w:pos="9072"/>
            </w:tabs>
            <w:kinsoku/>
            <w:wordWrap/>
            <w:overflowPunct/>
            <w:topLinePunct w:val="0"/>
            <w:autoSpaceDE/>
            <w:autoSpaceDN/>
            <w:bidi w:val="0"/>
            <w:adjustRightInd/>
            <w:snapToGrid/>
            <w:spacing w:line="480" w:lineRule="exact"/>
            <w:textAlignment w:val="auto"/>
            <w:rPr>
              <w:i w:val="0"/>
              <w:iCs w:val="0"/>
            </w:rPr>
          </w:pPr>
          <w:r>
            <w:rPr>
              <w:bCs w:val="0"/>
              <w:i w:val="0"/>
              <w:iCs w:val="0"/>
              <w:caps w:val="0"/>
              <w:smallCaps/>
              <w:szCs w:val="24"/>
            </w:rPr>
            <w:fldChar w:fldCharType="begin"/>
          </w:r>
          <w:r>
            <w:rPr>
              <w:bCs w:val="0"/>
              <w:i w:val="0"/>
              <w:iCs w:val="0"/>
              <w:caps w:val="0"/>
              <w:smallCaps/>
              <w:szCs w:val="24"/>
            </w:rPr>
            <w:instrText xml:space="preserve"> HYPERLINK \l _Toc1586 </w:instrText>
          </w:r>
          <w:r>
            <w:rPr>
              <w:bCs w:val="0"/>
              <w:i w:val="0"/>
              <w:iCs w:val="0"/>
              <w:caps w:val="0"/>
              <w:smallCaps/>
              <w:szCs w:val="24"/>
            </w:rPr>
            <w:fldChar w:fldCharType="separate"/>
          </w:r>
          <w:r>
            <w:rPr>
              <w:rFonts w:hint="eastAsia"/>
              <w:i w:val="0"/>
              <w:iCs w:val="0"/>
            </w:rPr>
            <w:t>2.6.1 消防设施</w:t>
          </w:r>
          <w:r>
            <w:rPr>
              <w:i w:val="0"/>
              <w:iCs w:val="0"/>
            </w:rPr>
            <w:tab/>
          </w:r>
          <w:r>
            <w:rPr>
              <w:i w:val="0"/>
              <w:iCs w:val="0"/>
            </w:rPr>
            <w:fldChar w:fldCharType="begin"/>
          </w:r>
          <w:r>
            <w:rPr>
              <w:i w:val="0"/>
              <w:iCs w:val="0"/>
            </w:rPr>
            <w:instrText xml:space="preserve"> PAGEREF _Toc1586 \h </w:instrText>
          </w:r>
          <w:r>
            <w:rPr>
              <w:i w:val="0"/>
              <w:iCs w:val="0"/>
            </w:rPr>
            <w:fldChar w:fldCharType="separate"/>
          </w:r>
          <w:r>
            <w:rPr>
              <w:i w:val="0"/>
              <w:iCs w:val="0"/>
            </w:rPr>
            <w:t>14</w:t>
          </w:r>
          <w:r>
            <w:rPr>
              <w:i w:val="0"/>
              <w:iCs w:val="0"/>
            </w:rPr>
            <w:fldChar w:fldCharType="end"/>
          </w:r>
          <w:r>
            <w:rPr>
              <w:bCs w:val="0"/>
              <w:i w:val="0"/>
              <w:iCs w:val="0"/>
              <w:caps w:val="0"/>
              <w:smallCaps/>
              <w:szCs w:val="24"/>
            </w:rPr>
            <w:fldChar w:fldCharType="end"/>
          </w:r>
        </w:p>
        <w:p w14:paraId="30CC22E7">
          <w:pPr>
            <w:pStyle w:val="19"/>
            <w:keepNext w:val="0"/>
            <w:keepLines w:val="0"/>
            <w:pageBreakBefore w:val="0"/>
            <w:widowControl w:val="0"/>
            <w:tabs>
              <w:tab w:val="right" w:leader="dot" w:pos="9072"/>
            </w:tabs>
            <w:kinsoku/>
            <w:wordWrap/>
            <w:overflowPunct/>
            <w:topLinePunct w:val="0"/>
            <w:autoSpaceDE/>
            <w:autoSpaceDN/>
            <w:bidi w:val="0"/>
            <w:adjustRightInd/>
            <w:snapToGrid/>
            <w:spacing w:line="480" w:lineRule="exact"/>
            <w:textAlignment w:val="auto"/>
            <w:rPr>
              <w:i w:val="0"/>
              <w:iCs w:val="0"/>
            </w:rPr>
          </w:pPr>
          <w:r>
            <w:rPr>
              <w:bCs w:val="0"/>
              <w:i w:val="0"/>
              <w:iCs w:val="0"/>
              <w:caps w:val="0"/>
              <w:smallCaps/>
              <w:szCs w:val="24"/>
            </w:rPr>
            <w:fldChar w:fldCharType="begin"/>
          </w:r>
          <w:r>
            <w:rPr>
              <w:bCs w:val="0"/>
              <w:i w:val="0"/>
              <w:iCs w:val="0"/>
              <w:caps w:val="0"/>
              <w:smallCaps/>
              <w:szCs w:val="24"/>
            </w:rPr>
            <w:instrText xml:space="preserve"> HYPERLINK \l _Toc20181 </w:instrText>
          </w:r>
          <w:r>
            <w:rPr>
              <w:bCs w:val="0"/>
              <w:i w:val="0"/>
              <w:iCs w:val="0"/>
              <w:caps w:val="0"/>
              <w:smallCaps/>
              <w:szCs w:val="24"/>
            </w:rPr>
            <w:fldChar w:fldCharType="separate"/>
          </w:r>
          <w:r>
            <w:rPr>
              <w:rFonts w:hint="eastAsia"/>
              <w:i w:val="0"/>
              <w:iCs w:val="0"/>
            </w:rPr>
            <w:t>2.6.2 防雷、防静电设施</w:t>
          </w:r>
          <w:r>
            <w:rPr>
              <w:i w:val="0"/>
              <w:iCs w:val="0"/>
            </w:rPr>
            <w:tab/>
          </w:r>
          <w:r>
            <w:rPr>
              <w:i w:val="0"/>
              <w:iCs w:val="0"/>
            </w:rPr>
            <w:fldChar w:fldCharType="begin"/>
          </w:r>
          <w:r>
            <w:rPr>
              <w:i w:val="0"/>
              <w:iCs w:val="0"/>
            </w:rPr>
            <w:instrText xml:space="preserve"> PAGEREF _Toc20181 \h </w:instrText>
          </w:r>
          <w:r>
            <w:rPr>
              <w:i w:val="0"/>
              <w:iCs w:val="0"/>
            </w:rPr>
            <w:fldChar w:fldCharType="separate"/>
          </w:r>
          <w:r>
            <w:rPr>
              <w:i w:val="0"/>
              <w:iCs w:val="0"/>
            </w:rPr>
            <w:t>14</w:t>
          </w:r>
          <w:r>
            <w:rPr>
              <w:i w:val="0"/>
              <w:iCs w:val="0"/>
            </w:rPr>
            <w:fldChar w:fldCharType="end"/>
          </w:r>
          <w:r>
            <w:rPr>
              <w:bCs w:val="0"/>
              <w:i w:val="0"/>
              <w:iCs w:val="0"/>
              <w:caps w:val="0"/>
              <w:smallCaps/>
              <w:szCs w:val="24"/>
            </w:rPr>
            <w:fldChar w:fldCharType="end"/>
          </w:r>
        </w:p>
        <w:p w14:paraId="3412B1EC">
          <w:pPr>
            <w:pStyle w:val="19"/>
            <w:keepNext w:val="0"/>
            <w:keepLines w:val="0"/>
            <w:pageBreakBefore w:val="0"/>
            <w:widowControl w:val="0"/>
            <w:tabs>
              <w:tab w:val="right" w:leader="dot" w:pos="9072"/>
            </w:tabs>
            <w:kinsoku/>
            <w:wordWrap/>
            <w:overflowPunct/>
            <w:topLinePunct w:val="0"/>
            <w:autoSpaceDE/>
            <w:autoSpaceDN/>
            <w:bidi w:val="0"/>
            <w:adjustRightInd/>
            <w:snapToGrid/>
            <w:spacing w:line="480" w:lineRule="exact"/>
            <w:textAlignment w:val="auto"/>
            <w:rPr>
              <w:i w:val="0"/>
              <w:iCs w:val="0"/>
            </w:rPr>
          </w:pPr>
          <w:r>
            <w:rPr>
              <w:bCs w:val="0"/>
              <w:i w:val="0"/>
              <w:iCs w:val="0"/>
              <w:caps w:val="0"/>
              <w:smallCaps/>
              <w:szCs w:val="24"/>
            </w:rPr>
            <w:fldChar w:fldCharType="begin"/>
          </w:r>
          <w:r>
            <w:rPr>
              <w:bCs w:val="0"/>
              <w:i w:val="0"/>
              <w:iCs w:val="0"/>
              <w:caps w:val="0"/>
              <w:smallCaps/>
              <w:szCs w:val="24"/>
            </w:rPr>
            <w:instrText xml:space="preserve"> HYPERLINK \l _Toc19189 </w:instrText>
          </w:r>
          <w:r>
            <w:rPr>
              <w:bCs w:val="0"/>
              <w:i w:val="0"/>
              <w:iCs w:val="0"/>
              <w:caps w:val="0"/>
              <w:smallCaps/>
              <w:szCs w:val="24"/>
            </w:rPr>
            <w:fldChar w:fldCharType="separate"/>
          </w:r>
          <w:r>
            <w:rPr>
              <w:rFonts w:hint="eastAsia"/>
              <w:i w:val="0"/>
              <w:iCs w:val="0"/>
            </w:rPr>
            <w:t>2.6.3 视频监控与通信</w:t>
          </w:r>
          <w:r>
            <w:rPr>
              <w:i w:val="0"/>
              <w:iCs w:val="0"/>
            </w:rPr>
            <w:tab/>
          </w:r>
          <w:r>
            <w:rPr>
              <w:i w:val="0"/>
              <w:iCs w:val="0"/>
            </w:rPr>
            <w:fldChar w:fldCharType="begin"/>
          </w:r>
          <w:r>
            <w:rPr>
              <w:i w:val="0"/>
              <w:iCs w:val="0"/>
            </w:rPr>
            <w:instrText xml:space="preserve"> PAGEREF _Toc19189 \h </w:instrText>
          </w:r>
          <w:r>
            <w:rPr>
              <w:i w:val="0"/>
              <w:iCs w:val="0"/>
            </w:rPr>
            <w:fldChar w:fldCharType="separate"/>
          </w:r>
          <w:r>
            <w:rPr>
              <w:i w:val="0"/>
              <w:iCs w:val="0"/>
            </w:rPr>
            <w:t>15</w:t>
          </w:r>
          <w:r>
            <w:rPr>
              <w:i w:val="0"/>
              <w:iCs w:val="0"/>
            </w:rPr>
            <w:fldChar w:fldCharType="end"/>
          </w:r>
          <w:r>
            <w:rPr>
              <w:bCs w:val="0"/>
              <w:i w:val="0"/>
              <w:iCs w:val="0"/>
              <w:caps w:val="0"/>
              <w:smallCaps/>
              <w:szCs w:val="24"/>
            </w:rPr>
            <w:fldChar w:fldCharType="end"/>
          </w:r>
        </w:p>
        <w:p w14:paraId="20BE306F">
          <w:pPr>
            <w:pStyle w:val="19"/>
            <w:keepNext w:val="0"/>
            <w:keepLines w:val="0"/>
            <w:pageBreakBefore w:val="0"/>
            <w:widowControl w:val="0"/>
            <w:tabs>
              <w:tab w:val="right" w:leader="dot" w:pos="9072"/>
            </w:tabs>
            <w:kinsoku/>
            <w:wordWrap/>
            <w:overflowPunct/>
            <w:topLinePunct w:val="0"/>
            <w:autoSpaceDE/>
            <w:autoSpaceDN/>
            <w:bidi w:val="0"/>
            <w:adjustRightInd/>
            <w:snapToGrid/>
            <w:spacing w:line="480" w:lineRule="exact"/>
            <w:textAlignment w:val="auto"/>
            <w:rPr>
              <w:i w:val="0"/>
              <w:iCs w:val="0"/>
            </w:rPr>
          </w:pPr>
          <w:r>
            <w:rPr>
              <w:bCs w:val="0"/>
              <w:i w:val="0"/>
              <w:iCs w:val="0"/>
              <w:caps w:val="0"/>
              <w:smallCaps/>
              <w:szCs w:val="24"/>
            </w:rPr>
            <w:fldChar w:fldCharType="begin"/>
          </w:r>
          <w:r>
            <w:rPr>
              <w:bCs w:val="0"/>
              <w:i w:val="0"/>
              <w:iCs w:val="0"/>
              <w:caps w:val="0"/>
              <w:smallCaps/>
              <w:szCs w:val="24"/>
            </w:rPr>
            <w:instrText xml:space="preserve"> HYPERLINK \l _Toc3055 </w:instrText>
          </w:r>
          <w:r>
            <w:rPr>
              <w:bCs w:val="0"/>
              <w:i w:val="0"/>
              <w:iCs w:val="0"/>
              <w:caps w:val="0"/>
              <w:smallCaps/>
              <w:szCs w:val="24"/>
            </w:rPr>
            <w:fldChar w:fldCharType="separate"/>
          </w:r>
          <w:r>
            <w:rPr>
              <w:rFonts w:hint="eastAsia"/>
              <w:i w:val="0"/>
              <w:iCs w:val="0"/>
            </w:rPr>
            <w:t>2.6.4</w:t>
          </w:r>
          <w:r>
            <w:rPr>
              <w:rFonts w:hint="eastAsia"/>
              <w:i w:val="0"/>
              <w:iCs w:val="0"/>
              <w:lang w:val="en-US" w:eastAsia="zh-CN"/>
            </w:rPr>
            <w:t xml:space="preserve"> </w:t>
          </w:r>
          <w:r>
            <w:rPr>
              <w:rFonts w:hint="eastAsia"/>
              <w:i w:val="0"/>
              <w:iCs w:val="0"/>
            </w:rPr>
            <w:t>照明设施</w:t>
          </w:r>
          <w:r>
            <w:rPr>
              <w:i w:val="0"/>
              <w:iCs w:val="0"/>
            </w:rPr>
            <w:tab/>
          </w:r>
          <w:r>
            <w:rPr>
              <w:i w:val="0"/>
              <w:iCs w:val="0"/>
            </w:rPr>
            <w:fldChar w:fldCharType="begin"/>
          </w:r>
          <w:r>
            <w:rPr>
              <w:i w:val="0"/>
              <w:iCs w:val="0"/>
            </w:rPr>
            <w:instrText xml:space="preserve"> PAGEREF _Toc3055 \h </w:instrText>
          </w:r>
          <w:r>
            <w:rPr>
              <w:i w:val="0"/>
              <w:iCs w:val="0"/>
            </w:rPr>
            <w:fldChar w:fldCharType="separate"/>
          </w:r>
          <w:r>
            <w:rPr>
              <w:i w:val="0"/>
              <w:iCs w:val="0"/>
            </w:rPr>
            <w:t>15</w:t>
          </w:r>
          <w:r>
            <w:rPr>
              <w:i w:val="0"/>
              <w:iCs w:val="0"/>
            </w:rPr>
            <w:fldChar w:fldCharType="end"/>
          </w:r>
          <w:r>
            <w:rPr>
              <w:bCs w:val="0"/>
              <w:i w:val="0"/>
              <w:iCs w:val="0"/>
              <w:caps w:val="0"/>
              <w:smallCaps/>
              <w:szCs w:val="24"/>
            </w:rPr>
            <w:fldChar w:fldCharType="end"/>
          </w:r>
        </w:p>
        <w:p w14:paraId="213B9105">
          <w:pPr>
            <w:pStyle w:val="19"/>
            <w:keepNext w:val="0"/>
            <w:keepLines w:val="0"/>
            <w:pageBreakBefore w:val="0"/>
            <w:widowControl w:val="0"/>
            <w:tabs>
              <w:tab w:val="right" w:leader="dot" w:pos="9072"/>
            </w:tabs>
            <w:kinsoku/>
            <w:wordWrap/>
            <w:overflowPunct/>
            <w:topLinePunct w:val="0"/>
            <w:autoSpaceDE/>
            <w:autoSpaceDN/>
            <w:bidi w:val="0"/>
            <w:adjustRightInd/>
            <w:snapToGrid/>
            <w:spacing w:line="480" w:lineRule="exact"/>
            <w:textAlignment w:val="auto"/>
            <w:rPr>
              <w:i w:val="0"/>
              <w:iCs w:val="0"/>
            </w:rPr>
          </w:pPr>
          <w:r>
            <w:rPr>
              <w:bCs w:val="0"/>
              <w:i w:val="0"/>
              <w:iCs w:val="0"/>
              <w:caps w:val="0"/>
              <w:smallCaps/>
              <w:szCs w:val="24"/>
            </w:rPr>
            <w:fldChar w:fldCharType="begin"/>
          </w:r>
          <w:r>
            <w:rPr>
              <w:bCs w:val="0"/>
              <w:i w:val="0"/>
              <w:iCs w:val="0"/>
              <w:caps w:val="0"/>
              <w:smallCaps/>
              <w:szCs w:val="24"/>
            </w:rPr>
            <w:instrText xml:space="preserve"> HYPERLINK \l _Toc17058 </w:instrText>
          </w:r>
          <w:r>
            <w:rPr>
              <w:bCs w:val="0"/>
              <w:i w:val="0"/>
              <w:iCs w:val="0"/>
              <w:caps w:val="0"/>
              <w:smallCaps/>
              <w:szCs w:val="24"/>
            </w:rPr>
            <w:fldChar w:fldCharType="separate"/>
          </w:r>
          <w:r>
            <w:rPr>
              <w:rFonts w:hint="eastAsia"/>
              <w:i w:val="0"/>
              <w:iCs w:val="0"/>
            </w:rPr>
            <w:t>2.6.5电气设备的选型与安装</w:t>
          </w:r>
          <w:r>
            <w:rPr>
              <w:i w:val="0"/>
              <w:iCs w:val="0"/>
            </w:rPr>
            <w:tab/>
          </w:r>
          <w:r>
            <w:rPr>
              <w:i w:val="0"/>
              <w:iCs w:val="0"/>
            </w:rPr>
            <w:fldChar w:fldCharType="begin"/>
          </w:r>
          <w:r>
            <w:rPr>
              <w:i w:val="0"/>
              <w:iCs w:val="0"/>
            </w:rPr>
            <w:instrText xml:space="preserve"> PAGEREF _Toc17058 \h </w:instrText>
          </w:r>
          <w:r>
            <w:rPr>
              <w:i w:val="0"/>
              <w:iCs w:val="0"/>
            </w:rPr>
            <w:fldChar w:fldCharType="separate"/>
          </w:r>
          <w:r>
            <w:rPr>
              <w:i w:val="0"/>
              <w:iCs w:val="0"/>
            </w:rPr>
            <w:t>15</w:t>
          </w:r>
          <w:r>
            <w:rPr>
              <w:i w:val="0"/>
              <w:iCs w:val="0"/>
            </w:rPr>
            <w:fldChar w:fldCharType="end"/>
          </w:r>
          <w:r>
            <w:rPr>
              <w:bCs w:val="0"/>
              <w:i w:val="0"/>
              <w:iCs w:val="0"/>
              <w:caps w:val="0"/>
              <w:smallCaps/>
              <w:szCs w:val="24"/>
            </w:rPr>
            <w:fldChar w:fldCharType="end"/>
          </w:r>
        </w:p>
        <w:p w14:paraId="7E345043">
          <w:pPr>
            <w:pStyle w:val="19"/>
            <w:keepNext w:val="0"/>
            <w:keepLines w:val="0"/>
            <w:pageBreakBefore w:val="0"/>
            <w:widowControl w:val="0"/>
            <w:tabs>
              <w:tab w:val="right" w:leader="dot" w:pos="9072"/>
            </w:tabs>
            <w:kinsoku/>
            <w:wordWrap/>
            <w:overflowPunct/>
            <w:topLinePunct w:val="0"/>
            <w:autoSpaceDE/>
            <w:autoSpaceDN/>
            <w:bidi w:val="0"/>
            <w:adjustRightInd/>
            <w:snapToGrid/>
            <w:spacing w:line="480" w:lineRule="exact"/>
            <w:textAlignment w:val="auto"/>
            <w:rPr>
              <w:i w:val="0"/>
              <w:iCs w:val="0"/>
            </w:rPr>
          </w:pPr>
          <w:r>
            <w:rPr>
              <w:bCs w:val="0"/>
              <w:i w:val="0"/>
              <w:iCs w:val="0"/>
              <w:caps w:val="0"/>
              <w:smallCaps/>
              <w:szCs w:val="24"/>
            </w:rPr>
            <w:fldChar w:fldCharType="begin"/>
          </w:r>
          <w:r>
            <w:rPr>
              <w:bCs w:val="0"/>
              <w:i w:val="0"/>
              <w:iCs w:val="0"/>
              <w:caps w:val="0"/>
              <w:smallCaps/>
              <w:szCs w:val="24"/>
            </w:rPr>
            <w:instrText xml:space="preserve"> HYPERLINK \l _Toc9368 </w:instrText>
          </w:r>
          <w:r>
            <w:rPr>
              <w:bCs w:val="0"/>
              <w:i w:val="0"/>
              <w:iCs w:val="0"/>
              <w:caps w:val="0"/>
              <w:smallCaps/>
              <w:szCs w:val="24"/>
            </w:rPr>
            <w:fldChar w:fldCharType="separate"/>
          </w:r>
          <w:r>
            <w:rPr>
              <w:rFonts w:hint="eastAsia"/>
              <w:i w:val="0"/>
              <w:iCs w:val="0"/>
            </w:rPr>
            <w:t>2.6.6 电气线路的选型与敷设</w:t>
          </w:r>
          <w:r>
            <w:rPr>
              <w:i w:val="0"/>
              <w:iCs w:val="0"/>
            </w:rPr>
            <w:tab/>
          </w:r>
          <w:r>
            <w:rPr>
              <w:i w:val="0"/>
              <w:iCs w:val="0"/>
            </w:rPr>
            <w:fldChar w:fldCharType="begin"/>
          </w:r>
          <w:r>
            <w:rPr>
              <w:i w:val="0"/>
              <w:iCs w:val="0"/>
            </w:rPr>
            <w:instrText xml:space="preserve"> PAGEREF _Toc9368 \h </w:instrText>
          </w:r>
          <w:r>
            <w:rPr>
              <w:i w:val="0"/>
              <w:iCs w:val="0"/>
            </w:rPr>
            <w:fldChar w:fldCharType="separate"/>
          </w:r>
          <w:r>
            <w:rPr>
              <w:i w:val="0"/>
              <w:iCs w:val="0"/>
            </w:rPr>
            <w:t>15</w:t>
          </w:r>
          <w:r>
            <w:rPr>
              <w:i w:val="0"/>
              <w:iCs w:val="0"/>
            </w:rPr>
            <w:fldChar w:fldCharType="end"/>
          </w:r>
          <w:r>
            <w:rPr>
              <w:bCs w:val="0"/>
              <w:i w:val="0"/>
              <w:iCs w:val="0"/>
              <w:caps w:val="0"/>
              <w:smallCaps/>
              <w:szCs w:val="24"/>
            </w:rPr>
            <w:fldChar w:fldCharType="end"/>
          </w:r>
        </w:p>
        <w:p w14:paraId="2FE5B57F">
          <w:pPr>
            <w:pStyle w:val="19"/>
            <w:keepNext w:val="0"/>
            <w:keepLines w:val="0"/>
            <w:pageBreakBefore w:val="0"/>
            <w:widowControl w:val="0"/>
            <w:tabs>
              <w:tab w:val="right" w:leader="dot" w:pos="9072"/>
            </w:tabs>
            <w:kinsoku/>
            <w:wordWrap/>
            <w:overflowPunct/>
            <w:topLinePunct w:val="0"/>
            <w:autoSpaceDE/>
            <w:autoSpaceDN/>
            <w:bidi w:val="0"/>
            <w:adjustRightInd/>
            <w:snapToGrid/>
            <w:spacing w:line="480" w:lineRule="exact"/>
            <w:textAlignment w:val="auto"/>
            <w:rPr>
              <w:i w:val="0"/>
              <w:iCs w:val="0"/>
            </w:rPr>
          </w:pPr>
          <w:r>
            <w:rPr>
              <w:bCs w:val="0"/>
              <w:i w:val="0"/>
              <w:iCs w:val="0"/>
              <w:caps w:val="0"/>
              <w:smallCaps/>
              <w:szCs w:val="24"/>
            </w:rPr>
            <w:fldChar w:fldCharType="begin"/>
          </w:r>
          <w:r>
            <w:rPr>
              <w:bCs w:val="0"/>
              <w:i w:val="0"/>
              <w:iCs w:val="0"/>
              <w:caps w:val="0"/>
              <w:smallCaps/>
              <w:szCs w:val="24"/>
            </w:rPr>
            <w:instrText xml:space="preserve"> HYPERLINK \l _Toc21429 </w:instrText>
          </w:r>
          <w:r>
            <w:rPr>
              <w:bCs w:val="0"/>
              <w:i w:val="0"/>
              <w:iCs w:val="0"/>
              <w:caps w:val="0"/>
              <w:smallCaps/>
              <w:szCs w:val="24"/>
            </w:rPr>
            <w:fldChar w:fldCharType="separate"/>
          </w:r>
          <w:r>
            <w:rPr>
              <w:rFonts w:hint="eastAsia"/>
              <w:i w:val="0"/>
              <w:iCs w:val="0"/>
            </w:rPr>
            <w:t>2.6.7防护屏障</w:t>
          </w:r>
          <w:r>
            <w:rPr>
              <w:i w:val="0"/>
              <w:iCs w:val="0"/>
            </w:rPr>
            <w:tab/>
          </w:r>
          <w:r>
            <w:rPr>
              <w:i w:val="0"/>
              <w:iCs w:val="0"/>
            </w:rPr>
            <w:fldChar w:fldCharType="begin"/>
          </w:r>
          <w:r>
            <w:rPr>
              <w:i w:val="0"/>
              <w:iCs w:val="0"/>
            </w:rPr>
            <w:instrText xml:space="preserve"> PAGEREF _Toc21429 \h </w:instrText>
          </w:r>
          <w:r>
            <w:rPr>
              <w:i w:val="0"/>
              <w:iCs w:val="0"/>
            </w:rPr>
            <w:fldChar w:fldCharType="separate"/>
          </w:r>
          <w:r>
            <w:rPr>
              <w:i w:val="0"/>
              <w:iCs w:val="0"/>
            </w:rPr>
            <w:t>15</w:t>
          </w:r>
          <w:r>
            <w:rPr>
              <w:i w:val="0"/>
              <w:iCs w:val="0"/>
            </w:rPr>
            <w:fldChar w:fldCharType="end"/>
          </w:r>
          <w:r>
            <w:rPr>
              <w:bCs w:val="0"/>
              <w:i w:val="0"/>
              <w:iCs w:val="0"/>
              <w:caps w:val="0"/>
              <w:smallCaps/>
              <w:szCs w:val="24"/>
            </w:rPr>
            <w:fldChar w:fldCharType="end"/>
          </w:r>
        </w:p>
        <w:p w14:paraId="080B2A16">
          <w:pPr>
            <w:pStyle w:val="19"/>
            <w:keepNext w:val="0"/>
            <w:keepLines w:val="0"/>
            <w:pageBreakBefore w:val="0"/>
            <w:widowControl w:val="0"/>
            <w:tabs>
              <w:tab w:val="right" w:leader="dot" w:pos="9072"/>
            </w:tabs>
            <w:kinsoku/>
            <w:wordWrap/>
            <w:overflowPunct/>
            <w:topLinePunct w:val="0"/>
            <w:autoSpaceDE/>
            <w:autoSpaceDN/>
            <w:bidi w:val="0"/>
            <w:adjustRightInd/>
            <w:snapToGrid/>
            <w:spacing w:line="480" w:lineRule="exact"/>
            <w:textAlignment w:val="auto"/>
            <w:rPr>
              <w:i w:val="0"/>
              <w:iCs w:val="0"/>
            </w:rPr>
          </w:pPr>
          <w:r>
            <w:rPr>
              <w:bCs w:val="0"/>
              <w:i w:val="0"/>
              <w:iCs w:val="0"/>
              <w:caps w:val="0"/>
              <w:smallCaps/>
              <w:szCs w:val="24"/>
            </w:rPr>
            <w:fldChar w:fldCharType="begin"/>
          </w:r>
          <w:r>
            <w:rPr>
              <w:bCs w:val="0"/>
              <w:i w:val="0"/>
              <w:iCs w:val="0"/>
              <w:caps w:val="0"/>
              <w:smallCaps/>
              <w:szCs w:val="24"/>
            </w:rPr>
            <w:instrText xml:space="preserve"> HYPERLINK \l _Toc20942 </w:instrText>
          </w:r>
          <w:r>
            <w:rPr>
              <w:bCs w:val="0"/>
              <w:i w:val="0"/>
              <w:iCs w:val="0"/>
              <w:caps w:val="0"/>
              <w:smallCaps/>
              <w:szCs w:val="24"/>
            </w:rPr>
            <w:fldChar w:fldCharType="separate"/>
          </w:r>
          <w:r>
            <w:rPr>
              <w:rFonts w:hint="eastAsia"/>
              <w:i w:val="0"/>
              <w:iCs w:val="0"/>
            </w:rPr>
            <w:t>2.6.8围墙</w:t>
          </w:r>
          <w:r>
            <w:rPr>
              <w:i w:val="0"/>
              <w:iCs w:val="0"/>
            </w:rPr>
            <w:tab/>
          </w:r>
          <w:r>
            <w:rPr>
              <w:i w:val="0"/>
              <w:iCs w:val="0"/>
            </w:rPr>
            <w:fldChar w:fldCharType="begin"/>
          </w:r>
          <w:r>
            <w:rPr>
              <w:i w:val="0"/>
              <w:iCs w:val="0"/>
            </w:rPr>
            <w:instrText xml:space="preserve"> PAGEREF _Toc20942 \h </w:instrText>
          </w:r>
          <w:r>
            <w:rPr>
              <w:i w:val="0"/>
              <w:iCs w:val="0"/>
            </w:rPr>
            <w:fldChar w:fldCharType="separate"/>
          </w:r>
          <w:r>
            <w:rPr>
              <w:i w:val="0"/>
              <w:iCs w:val="0"/>
            </w:rPr>
            <w:t>16</w:t>
          </w:r>
          <w:r>
            <w:rPr>
              <w:i w:val="0"/>
              <w:iCs w:val="0"/>
            </w:rPr>
            <w:fldChar w:fldCharType="end"/>
          </w:r>
          <w:r>
            <w:rPr>
              <w:bCs w:val="0"/>
              <w:i w:val="0"/>
              <w:iCs w:val="0"/>
              <w:caps w:val="0"/>
              <w:smallCaps/>
              <w:szCs w:val="24"/>
            </w:rPr>
            <w:fldChar w:fldCharType="end"/>
          </w:r>
        </w:p>
        <w:p w14:paraId="096274B1">
          <w:pPr>
            <w:pStyle w:val="19"/>
            <w:keepNext w:val="0"/>
            <w:keepLines w:val="0"/>
            <w:pageBreakBefore w:val="0"/>
            <w:widowControl w:val="0"/>
            <w:tabs>
              <w:tab w:val="right" w:leader="dot" w:pos="9072"/>
            </w:tabs>
            <w:kinsoku/>
            <w:wordWrap/>
            <w:overflowPunct/>
            <w:topLinePunct w:val="0"/>
            <w:autoSpaceDE/>
            <w:autoSpaceDN/>
            <w:bidi w:val="0"/>
            <w:adjustRightInd/>
            <w:snapToGrid/>
            <w:spacing w:line="480" w:lineRule="exact"/>
            <w:textAlignment w:val="auto"/>
            <w:rPr>
              <w:i w:val="0"/>
              <w:iCs w:val="0"/>
            </w:rPr>
          </w:pPr>
          <w:r>
            <w:rPr>
              <w:bCs w:val="0"/>
              <w:i w:val="0"/>
              <w:iCs w:val="0"/>
              <w:caps w:val="0"/>
              <w:smallCaps/>
              <w:szCs w:val="24"/>
            </w:rPr>
            <w:fldChar w:fldCharType="begin"/>
          </w:r>
          <w:r>
            <w:rPr>
              <w:bCs w:val="0"/>
              <w:i w:val="0"/>
              <w:iCs w:val="0"/>
              <w:caps w:val="0"/>
              <w:smallCaps/>
              <w:szCs w:val="24"/>
            </w:rPr>
            <w:instrText xml:space="preserve"> HYPERLINK \l _Toc21988 </w:instrText>
          </w:r>
          <w:r>
            <w:rPr>
              <w:bCs w:val="0"/>
              <w:i w:val="0"/>
              <w:iCs w:val="0"/>
              <w:caps w:val="0"/>
              <w:smallCaps/>
              <w:szCs w:val="24"/>
            </w:rPr>
            <w:fldChar w:fldCharType="separate"/>
          </w:r>
          <w:r>
            <w:rPr>
              <w:rFonts w:hint="eastAsia"/>
              <w:i w:val="0"/>
              <w:iCs w:val="0"/>
            </w:rPr>
            <w:t>2.6.9 安全标识</w:t>
          </w:r>
          <w:r>
            <w:rPr>
              <w:i w:val="0"/>
              <w:iCs w:val="0"/>
            </w:rPr>
            <w:tab/>
          </w:r>
          <w:r>
            <w:rPr>
              <w:i w:val="0"/>
              <w:iCs w:val="0"/>
            </w:rPr>
            <w:fldChar w:fldCharType="begin"/>
          </w:r>
          <w:r>
            <w:rPr>
              <w:i w:val="0"/>
              <w:iCs w:val="0"/>
            </w:rPr>
            <w:instrText xml:space="preserve"> PAGEREF _Toc21988 \h </w:instrText>
          </w:r>
          <w:r>
            <w:rPr>
              <w:i w:val="0"/>
              <w:iCs w:val="0"/>
            </w:rPr>
            <w:fldChar w:fldCharType="separate"/>
          </w:r>
          <w:r>
            <w:rPr>
              <w:i w:val="0"/>
              <w:iCs w:val="0"/>
            </w:rPr>
            <w:t>16</w:t>
          </w:r>
          <w:r>
            <w:rPr>
              <w:i w:val="0"/>
              <w:iCs w:val="0"/>
            </w:rPr>
            <w:fldChar w:fldCharType="end"/>
          </w:r>
          <w:r>
            <w:rPr>
              <w:bCs w:val="0"/>
              <w:i w:val="0"/>
              <w:iCs w:val="0"/>
              <w:caps w:val="0"/>
              <w:smallCaps/>
              <w:szCs w:val="24"/>
            </w:rPr>
            <w:fldChar w:fldCharType="end"/>
          </w:r>
        </w:p>
        <w:p w14:paraId="22BF1CC6">
          <w:pPr>
            <w:pStyle w:val="32"/>
            <w:keepNext w:val="0"/>
            <w:keepLines w:val="0"/>
            <w:pageBreakBefore w:val="0"/>
            <w:widowControl w:val="0"/>
            <w:tabs>
              <w:tab w:val="right" w:leader="dot" w:pos="9072"/>
            </w:tabs>
            <w:kinsoku/>
            <w:wordWrap/>
            <w:overflowPunct/>
            <w:topLinePunct w:val="0"/>
            <w:autoSpaceDE/>
            <w:autoSpaceDN/>
            <w:bidi w:val="0"/>
            <w:adjustRightInd/>
            <w:snapToGrid/>
            <w:spacing w:line="480" w:lineRule="exact"/>
            <w:textAlignment w:val="auto"/>
            <w:rPr>
              <w:i w:val="0"/>
              <w:iCs w:val="0"/>
            </w:rPr>
          </w:pPr>
          <w:r>
            <w:rPr>
              <w:bCs w:val="0"/>
              <w:i w:val="0"/>
              <w:iCs w:val="0"/>
              <w:caps w:val="0"/>
              <w:smallCaps/>
              <w:szCs w:val="24"/>
            </w:rPr>
            <w:fldChar w:fldCharType="begin"/>
          </w:r>
          <w:r>
            <w:rPr>
              <w:bCs w:val="0"/>
              <w:i w:val="0"/>
              <w:iCs w:val="0"/>
              <w:caps w:val="0"/>
              <w:smallCaps/>
              <w:szCs w:val="24"/>
            </w:rPr>
            <w:instrText xml:space="preserve"> HYPERLINK \l _Toc11381 </w:instrText>
          </w:r>
          <w:r>
            <w:rPr>
              <w:bCs w:val="0"/>
              <w:i w:val="0"/>
              <w:iCs w:val="0"/>
              <w:caps w:val="0"/>
              <w:smallCaps/>
              <w:szCs w:val="24"/>
            </w:rPr>
            <w:fldChar w:fldCharType="separate"/>
          </w:r>
          <w:r>
            <w:rPr>
              <w:rFonts w:hint="eastAsia"/>
              <w:i w:val="0"/>
              <w:iCs w:val="0"/>
            </w:rPr>
            <w:t>2.7 库区内外部距离</w:t>
          </w:r>
          <w:r>
            <w:rPr>
              <w:i w:val="0"/>
              <w:iCs w:val="0"/>
            </w:rPr>
            <w:tab/>
          </w:r>
          <w:r>
            <w:rPr>
              <w:i w:val="0"/>
              <w:iCs w:val="0"/>
            </w:rPr>
            <w:fldChar w:fldCharType="begin"/>
          </w:r>
          <w:r>
            <w:rPr>
              <w:i w:val="0"/>
              <w:iCs w:val="0"/>
            </w:rPr>
            <w:instrText xml:space="preserve"> PAGEREF _Toc11381 \h </w:instrText>
          </w:r>
          <w:r>
            <w:rPr>
              <w:i w:val="0"/>
              <w:iCs w:val="0"/>
            </w:rPr>
            <w:fldChar w:fldCharType="separate"/>
          </w:r>
          <w:r>
            <w:rPr>
              <w:i w:val="0"/>
              <w:iCs w:val="0"/>
            </w:rPr>
            <w:t>16</w:t>
          </w:r>
          <w:r>
            <w:rPr>
              <w:i w:val="0"/>
              <w:iCs w:val="0"/>
            </w:rPr>
            <w:fldChar w:fldCharType="end"/>
          </w:r>
          <w:r>
            <w:rPr>
              <w:bCs w:val="0"/>
              <w:i w:val="0"/>
              <w:iCs w:val="0"/>
              <w:caps w:val="0"/>
              <w:smallCaps/>
              <w:szCs w:val="24"/>
            </w:rPr>
            <w:fldChar w:fldCharType="end"/>
          </w:r>
        </w:p>
        <w:p w14:paraId="313FD237">
          <w:pPr>
            <w:pStyle w:val="19"/>
            <w:keepNext w:val="0"/>
            <w:keepLines w:val="0"/>
            <w:pageBreakBefore w:val="0"/>
            <w:widowControl w:val="0"/>
            <w:tabs>
              <w:tab w:val="right" w:leader="dot" w:pos="9072"/>
            </w:tabs>
            <w:kinsoku/>
            <w:wordWrap/>
            <w:overflowPunct/>
            <w:topLinePunct w:val="0"/>
            <w:autoSpaceDE/>
            <w:autoSpaceDN/>
            <w:bidi w:val="0"/>
            <w:adjustRightInd/>
            <w:snapToGrid/>
            <w:spacing w:line="480" w:lineRule="exact"/>
            <w:textAlignment w:val="auto"/>
            <w:rPr>
              <w:i w:val="0"/>
              <w:iCs w:val="0"/>
            </w:rPr>
          </w:pPr>
          <w:r>
            <w:rPr>
              <w:bCs w:val="0"/>
              <w:i w:val="0"/>
              <w:iCs w:val="0"/>
              <w:caps w:val="0"/>
              <w:smallCaps/>
              <w:szCs w:val="24"/>
            </w:rPr>
            <w:fldChar w:fldCharType="begin"/>
          </w:r>
          <w:r>
            <w:rPr>
              <w:bCs w:val="0"/>
              <w:i w:val="0"/>
              <w:iCs w:val="0"/>
              <w:caps w:val="0"/>
              <w:smallCaps/>
              <w:szCs w:val="24"/>
            </w:rPr>
            <w:instrText xml:space="preserve"> HYPERLINK \l _Toc9846 </w:instrText>
          </w:r>
          <w:r>
            <w:rPr>
              <w:bCs w:val="0"/>
              <w:i w:val="0"/>
              <w:iCs w:val="0"/>
              <w:caps w:val="0"/>
              <w:smallCaps/>
              <w:szCs w:val="24"/>
            </w:rPr>
            <w:fldChar w:fldCharType="separate"/>
          </w:r>
          <w:r>
            <w:rPr>
              <w:rFonts w:hint="eastAsia"/>
              <w:i w:val="0"/>
              <w:iCs w:val="0"/>
            </w:rPr>
            <w:t>2.7.1 内部距离</w:t>
          </w:r>
          <w:r>
            <w:rPr>
              <w:i w:val="0"/>
              <w:iCs w:val="0"/>
            </w:rPr>
            <w:tab/>
          </w:r>
          <w:r>
            <w:rPr>
              <w:i w:val="0"/>
              <w:iCs w:val="0"/>
            </w:rPr>
            <w:fldChar w:fldCharType="begin"/>
          </w:r>
          <w:r>
            <w:rPr>
              <w:i w:val="0"/>
              <w:iCs w:val="0"/>
            </w:rPr>
            <w:instrText xml:space="preserve"> PAGEREF _Toc9846 \h </w:instrText>
          </w:r>
          <w:r>
            <w:rPr>
              <w:i w:val="0"/>
              <w:iCs w:val="0"/>
            </w:rPr>
            <w:fldChar w:fldCharType="separate"/>
          </w:r>
          <w:r>
            <w:rPr>
              <w:i w:val="0"/>
              <w:iCs w:val="0"/>
            </w:rPr>
            <w:t>16</w:t>
          </w:r>
          <w:r>
            <w:rPr>
              <w:i w:val="0"/>
              <w:iCs w:val="0"/>
            </w:rPr>
            <w:fldChar w:fldCharType="end"/>
          </w:r>
          <w:r>
            <w:rPr>
              <w:bCs w:val="0"/>
              <w:i w:val="0"/>
              <w:iCs w:val="0"/>
              <w:caps w:val="0"/>
              <w:smallCaps/>
              <w:szCs w:val="24"/>
            </w:rPr>
            <w:fldChar w:fldCharType="end"/>
          </w:r>
        </w:p>
        <w:p w14:paraId="2940FBF7">
          <w:pPr>
            <w:pStyle w:val="19"/>
            <w:keepNext w:val="0"/>
            <w:keepLines w:val="0"/>
            <w:pageBreakBefore w:val="0"/>
            <w:widowControl w:val="0"/>
            <w:tabs>
              <w:tab w:val="right" w:leader="dot" w:pos="9072"/>
            </w:tabs>
            <w:kinsoku/>
            <w:wordWrap/>
            <w:overflowPunct/>
            <w:topLinePunct w:val="0"/>
            <w:autoSpaceDE/>
            <w:autoSpaceDN/>
            <w:bidi w:val="0"/>
            <w:adjustRightInd/>
            <w:snapToGrid/>
            <w:spacing w:line="480" w:lineRule="exact"/>
            <w:textAlignment w:val="auto"/>
            <w:rPr>
              <w:i w:val="0"/>
              <w:iCs w:val="0"/>
            </w:rPr>
          </w:pPr>
          <w:r>
            <w:rPr>
              <w:bCs w:val="0"/>
              <w:i w:val="0"/>
              <w:iCs w:val="0"/>
              <w:caps w:val="0"/>
              <w:smallCaps/>
              <w:szCs w:val="24"/>
            </w:rPr>
            <w:fldChar w:fldCharType="begin"/>
          </w:r>
          <w:r>
            <w:rPr>
              <w:bCs w:val="0"/>
              <w:i w:val="0"/>
              <w:iCs w:val="0"/>
              <w:caps w:val="0"/>
              <w:smallCaps/>
              <w:szCs w:val="24"/>
            </w:rPr>
            <w:instrText xml:space="preserve"> HYPERLINK \l _Toc13455 </w:instrText>
          </w:r>
          <w:r>
            <w:rPr>
              <w:bCs w:val="0"/>
              <w:i w:val="0"/>
              <w:iCs w:val="0"/>
              <w:caps w:val="0"/>
              <w:smallCaps/>
              <w:szCs w:val="24"/>
            </w:rPr>
            <w:fldChar w:fldCharType="separate"/>
          </w:r>
          <w:r>
            <w:rPr>
              <w:i w:val="0"/>
              <w:iCs w:val="0"/>
            </w:rPr>
            <w:t>2.7.2外部距离</w:t>
          </w:r>
          <w:r>
            <w:rPr>
              <w:i w:val="0"/>
              <w:iCs w:val="0"/>
            </w:rPr>
            <w:tab/>
          </w:r>
          <w:r>
            <w:rPr>
              <w:i w:val="0"/>
              <w:iCs w:val="0"/>
            </w:rPr>
            <w:fldChar w:fldCharType="begin"/>
          </w:r>
          <w:r>
            <w:rPr>
              <w:i w:val="0"/>
              <w:iCs w:val="0"/>
            </w:rPr>
            <w:instrText xml:space="preserve"> PAGEREF _Toc13455 \h </w:instrText>
          </w:r>
          <w:r>
            <w:rPr>
              <w:i w:val="0"/>
              <w:iCs w:val="0"/>
            </w:rPr>
            <w:fldChar w:fldCharType="separate"/>
          </w:r>
          <w:r>
            <w:rPr>
              <w:i w:val="0"/>
              <w:iCs w:val="0"/>
            </w:rPr>
            <w:t>17</w:t>
          </w:r>
          <w:r>
            <w:rPr>
              <w:i w:val="0"/>
              <w:iCs w:val="0"/>
            </w:rPr>
            <w:fldChar w:fldCharType="end"/>
          </w:r>
          <w:r>
            <w:rPr>
              <w:bCs w:val="0"/>
              <w:i w:val="0"/>
              <w:iCs w:val="0"/>
              <w:caps w:val="0"/>
              <w:smallCaps/>
              <w:szCs w:val="24"/>
            </w:rPr>
            <w:fldChar w:fldCharType="end"/>
          </w:r>
        </w:p>
        <w:p w14:paraId="07401334">
          <w:pPr>
            <w:pStyle w:val="32"/>
            <w:keepNext w:val="0"/>
            <w:keepLines w:val="0"/>
            <w:pageBreakBefore w:val="0"/>
            <w:widowControl w:val="0"/>
            <w:tabs>
              <w:tab w:val="right" w:leader="dot" w:pos="9072"/>
            </w:tabs>
            <w:kinsoku/>
            <w:wordWrap/>
            <w:overflowPunct/>
            <w:topLinePunct w:val="0"/>
            <w:autoSpaceDE/>
            <w:autoSpaceDN/>
            <w:bidi w:val="0"/>
            <w:adjustRightInd/>
            <w:snapToGrid/>
            <w:spacing w:line="480" w:lineRule="exact"/>
            <w:textAlignment w:val="auto"/>
            <w:rPr>
              <w:i w:val="0"/>
              <w:iCs w:val="0"/>
            </w:rPr>
          </w:pPr>
          <w:r>
            <w:rPr>
              <w:bCs w:val="0"/>
              <w:i w:val="0"/>
              <w:iCs w:val="0"/>
              <w:caps w:val="0"/>
              <w:smallCaps/>
              <w:szCs w:val="24"/>
            </w:rPr>
            <w:fldChar w:fldCharType="begin"/>
          </w:r>
          <w:r>
            <w:rPr>
              <w:bCs w:val="0"/>
              <w:i w:val="0"/>
              <w:iCs w:val="0"/>
              <w:caps w:val="0"/>
              <w:smallCaps/>
              <w:szCs w:val="24"/>
            </w:rPr>
            <w:instrText xml:space="preserve"> HYPERLINK \l _Toc26103 </w:instrText>
          </w:r>
          <w:r>
            <w:rPr>
              <w:bCs w:val="0"/>
              <w:i w:val="0"/>
              <w:iCs w:val="0"/>
              <w:caps w:val="0"/>
              <w:smallCaps/>
              <w:szCs w:val="24"/>
            </w:rPr>
            <w:fldChar w:fldCharType="separate"/>
          </w:r>
          <w:r>
            <w:rPr>
              <w:rFonts w:hint="eastAsia"/>
              <w:i w:val="0"/>
              <w:iCs w:val="0"/>
            </w:rPr>
            <w:t>2.8 安全管理介绍</w:t>
          </w:r>
          <w:r>
            <w:rPr>
              <w:i w:val="0"/>
              <w:iCs w:val="0"/>
            </w:rPr>
            <w:tab/>
          </w:r>
          <w:r>
            <w:rPr>
              <w:i w:val="0"/>
              <w:iCs w:val="0"/>
            </w:rPr>
            <w:fldChar w:fldCharType="begin"/>
          </w:r>
          <w:r>
            <w:rPr>
              <w:i w:val="0"/>
              <w:iCs w:val="0"/>
            </w:rPr>
            <w:instrText xml:space="preserve"> PAGEREF _Toc26103 \h </w:instrText>
          </w:r>
          <w:r>
            <w:rPr>
              <w:i w:val="0"/>
              <w:iCs w:val="0"/>
            </w:rPr>
            <w:fldChar w:fldCharType="separate"/>
          </w:r>
          <w:r>
            <w:rPr>
              <w:i w:val="0"/>
              <w:iCs w:val="0"/>
            </w:rPr>
            <w:t>18</w:t>
          </w:r>
          <w:r>
            <w:rPr>
              <w:i w:val="0"/>
              <w:iCs w:val="0"/>
            </w:rPr>
            <w:fldChar w:fldCharType="end"/>
          </w:r>
          <w:r>
            <w:rPr>
              <w:bCs w:val="0"/>
              <w:i w:val="0"/>
              <w:iCs w:val="0"/>
              <w:caps w:val="0"/>
              <w:smallCaps/>
              <w:szCs w:val="24"/>
            </w:rPr>
            <w:fldChar w:fldCharType="end"/>
          </w:r>
        </w:p>
        <w:p w14:paraId="1EBB1BA3">
          <w:pPr>
            <w:pStyle w:val="32"/>
            <w:keepNext w:val="0"/>
            <w:keepLines w:val="0"/>
            <w:pageBreakBefore w:val="0"/>
            <w:widowControl w:val="0"/>
            <w:tabs>
              <w:tab w:val="right" w:leader="dot" w:pos="9072"/>
            </w:tabs>
            <w:kinsoku/>
            <w:wordWrap/>
            <w:overflowPunct/>
            <w:topLinePunct w:val="0"/>
            <w:autoSpaceDE/>
            <w:autoSpaceDN/>
            <w:bidi w:val="0"/>
            <w:adjustRightInd/>
            <w:snapToGrid/>
            <w:spacing w:line="480" w:lineRule="exact"/>
            <w:textAlignment w:val="auto"/>
            <w:rPr>
              <w:i w:val="0"/>
              <w:iCs w:val="0"/>
            </w:rPr>
          </w:pPr>
          <w:r>
            <w:rPr>
              <w:bCs w:val="0"/>
              <w:i w:val="0"/>
              <w:iCs w:val="0"/>
              <w:caps w:val="0"/>
              <w:smallCaps/>
              <w:szCs w:val="24"/>
            </w:rPr>
            <w:fldChar w:fldCharType="begin"/>
          </w:r>
          <w:r>
            <w:rPr>
              <w:bCs w:val="0"/>
              <w:i w:val="0"/>
              <w:iCs w:val="0"/>
              <w:caps w:val="0"/>
              <w:smallCaps/>
              <w:szCs w:val="24"/>
            </w:rPr>
            <w:instrText xml:space="preserve"> HYPERLINK \l _Toc27814 </w:instrText>
          </w:r>
          <w:r>
            <w:rPr>
              <w:bCs w:val="0"/>
              <w:i w:val="0"/>
              <w:iCs w:val="0"/>
              <w:caps w:val="0"/>
              <w:smallCaps/>
              <w:szCs w:val="24"/>
            </w:rPr>
            <w:fldChar w:fldCharType="separate"/>
          </w:r>
          <w:r>
            <w:rPr>
              <w:rFonts w:hint="eastAsia"/>
              <w:i w:val="0"/>
              <w:iCs w:val="0"/>
            </w:rPr>
            <w:t>2.8.1 安全管理组织机构</w:t>
          </w:r>
          <w:r>
            <w:rPr>
              <w:i w:val="0"/>
              <w:iCs w:val="0"/>
            </w:rPr>
            <w:tab/>
          </w:r>
          <w:r>
            <w:rPr>
              <w:i w:val="0"/>
              <w:iCs w:val="0"/>
            </w:rPr>
            <w:fldChar w:fldCharType="begin"/>
          </w:r>
          <w:r>
            <w:rPr>
              <w:i w:val="0"/>
              <w:iCs w:val="0"/>
            </w:rPr>
            <w:instrText xml:space="preserve"> PAGEREF _Toc27814 \h </w:instrText>
          </w:r>
          <w:r>
            <w:rPr>
              <w:i w:val="0"/>
              <w:iCs w:val="0"/>
            </w:rPr>
            <w:fldChar w:fldCharType="separate"/>
          </w:r>
          <w:r>
            <w:rPr>
              <w:i w:val="0"/>
              <w:iCs w:val="0"/>
            </w:rPr>
            <w:t>18</w:t>
          </w:r>
          <w:r>
            <w:rPr>
              <w:i w:val="0"/>
              <w:iCs w:val="0"/>
            </w:rPr>
            <w:fldChar w:fldCharType="end"/>
          </w:r>
          <w:r>
            <w:rPr>
              <w:bCs w:val="0"/>
              <w:i w:val="0"/>
              <w:iCs w:val="0"/>
              <w:caps w:val="0"/>
              <w:smallCaps/>
              <w:szCs w:val="24"/>
            </w:rPr>
            <w:fldChar w:fldCharType="end"/>
          </w:r>
        </w:p>
        <w:p w14:paraId="1A8F1433">
          <w:pPr>
            <w:pStyle w:val="19"/>
            <w:keepNext w:val="0"/>
            <w:keepLines w:val="0"/>
            <w:pageBreakBefore w:val="0"/>
            <w:widowControl w:val="0"/>
            <w:tabs>
              <w:tab w:val="right" w:leader="dot" w:pos="9072"/>
            </w:tabs>
            <w:kinsoku/>
            <w:wordWrap/>
            <w:overflowPunct/>
            <w:topLinePunct w:val="0"/>
            <w:autoSpaceDE/>
            <w:autoSpaceDN/>
            <w:bidi w:val="0"/>
            <w:adjustRightInd/>
            <w:snapToGrid/>
            <w:spacing w:line="480" w:lineRule="exact"/>
            <w:textAlignment w:val="auto"/>
            <w:rPr>
              <w:i w:val="0"/>
              <w:iCs w:val="0"/>
            </w:rPr>
          </w:pPr>
          <w:r>
            <w:rPr>
              <w:bCs w:val="0"/>
              <w:i w:val="0"/>
              <w:iCs w:val="0"/>
              <w:caps w:val="0"/>
              <w:smallCaps/>
              <w:szCs w:val="24"/>
            </w:rPr>
            <w:fldChar w:fldCharType="begin"/>
          </w:r>
          <w:r>
            <w:rPr>
              <w:bCs w:val="0"/>
              <w:i w:val="0"/>
              <w:iCs w:val="0"/>
              <w:caps w:val="0"/>
              <w:smallCaps/>
              <w:szCs w:val="24"/>
            </w:rPr>
            <w:instrText xml:space="preserve"> HYPERLINK \l _Toc2136 </w:instrText>
          </w:r>
          <w:r>
            <w:rPr>
              <w:bCs w:val="0"/>
              <w:i w:val="0"/>
              <w:iCs w:val="0"/>
              <w:caps w:val="0"/>
              <w:smallCaps/>
              <w:szCs w:val="24"/>
            </w:rPr>
            <w:fldChar w:fldCharType="separate"/>
          </w:r>
          <w:r>
            <w:rPr>
              <w:rFonts w:hint="eastAsia"/>
              <w:i w:val="0"/>
              <w:iCs w:val="0"/>
            </w:rPr>
            <w:t>2.8.2 劳动定员和人员培训</w:t>
          </w:r>
          <w:r>
            <w:rPr>
              <w:i w:val="0"/>
              <w:iCs w:val="0"/>
            </w:rPr>
            <w:tab/>
          </w:r>
          <w:r>
            <w:rPr>
              <w:i w:val="0"/>
              <w:iCs w:val="0"/>
            </w:rPr>
            <w:fldChar w:fldCharType="begin"/>
          </w:r>
          <w:r>
            <w:rPr>
              <w:i w:val="0"/>
              <w:iCs w:val="0"/>
            </w:rPr>
            <w:instrText xml:space="preserve"> PAGEREF _Toc2136 \h </w:instrText>
          </w:r>
          <w:r>
            <w:rPr>
              <w:i w:val="0"/>
              <w:iCs w:val="0"/>
            </w:rPr>
            <w:fldChar w:fldCharType="separate"/>
          </w:r>
          <w:r>
            <w:rPr>
              <w:i w:val="0"/>
              <w:iCs w:val="0"/>
            </w:rPr>
            <w:t>18</w:t>
          </w:r>
          <w:r>
            <w:rPr>
              <w:i w:val="0"/>
              <w:iCs w:val="0"/>
            </w:rPr>
            <w:fldChar w:fldCharType="end"/>
          </w:r>
          <w:r>
            <w:rPr>
              <w:bCs w:val="0"/>
              <w:i w:val="0"/>
              <w:iCs w:val="0"/>
              <w:caps w:val="0"/>
              <w:smallCaps/>
              <w:szCs w:val="24"/>
            </w:rPr>
            <w:fldChar w:fldCharType="end"/>
          </w:r>
        </w:p>
        <w:p w14:paraId="5F2ED115">
          <w:pPr>
            <w:pStyle w:val="19"/>
            <w:keepNext w:val="0"/>
            <w:keepLines w:val="0"/>
            <w:pageBreakBefore w:val="0"/>
            <w:widowControl w:val="0"/>
            <w:tabs>
              <w:tab w:val="right" w:leader="dot" w:pos="9072"/>
            </w:tabs>
            <w:kinsoku/>
            <w:wordWrap/>
            <w:overflowPunct/>
            <w:topLinePunct w:val="0"/>
            <w:autoSpaceDE/>
            <w:autoSpaceDN/>
            <w:bidi w:val="0"/>
            <w:adjustRightInd/>
            <w:snapToGrid/>
            <w:spacing w:line="480" w:lineRule="exact"/>
            <w:textAlignment w:val="auto"/>
            <w:rPr>
              <w:i w:val="0"/>
              <w:iCs w:val="0"/>
            </w:rPr>
          </w:pPr>
          <w:r>
            <w:rPr>
              <w:bCs w:val="0"/>
              <w:i w:val="0"/>
              <w:iCs w:val="0"/>
              <w:caps w:val="0"/>
              <w:smallCaps/>
              <w:szCs w:val="24"/>
            </w:rPr>
            <w:fldChar w:fldCharType="begin"/>
          </w:r>
          <w:r>
            <w:rPr>
              <w:bCs w:val="0"/>
              <w:i w:val="0"/>
              <w:iCs w:val="0"/>
              <w:caps w:val="0"/>
              <w:smallCaps/>
              <w:szCs w:val="24"/>
            </w:rPr>
            <w:instrText xml:space="preserve"> HYPERLINK \l _Toc25778 </w:instrText>
          </w:r>
          <w:r>
            <w:rPr>
              <w:bCs w:val="0"/>
              <w:i w:val="0"/>
              <w:iCs w:val="0"/>
              <w:caps w:val="0"/>
              <w:smallCaps/>
              <w:szCs w:val="24"/>
            </w:rPr>
            <w:fldChar w:fldCharType="separate"/>
          </w:r>
          <w:r>
            <w:rPr>
              <w:rFonts w:hint="eastAsia"/>
              <w:i w:val="0"/>
              <w:iCs w:val="0"/>
            </w:rPr>
            <w:t>2.8.3 安全经营管理制度</w:t>
          </w:r>
          <w:r>
            <w:rPr>
              <w:i w:val="0"/>
              <w:iCs w:val="0"/>
            </w:rPr>
            <w:tab/>
          </w:r>
          <w:r>
            <w:rPr>
              <w:i w:val="0"/>
              <w:iCs w:val="0"/>
            </w:rPr>
            <w:fldChar w:fldCharType="begin"/>
          </w:r>
          <w:r>
            <w:rPr>
              <w:i w:val="0"/>
              <w:iCs w:val="0"/>
            </w:rPr>
            <w:instrText xml:space="preserve"> PAGEREF _Toc25778 \h </w:instrText>
          </w:r>
          <w:r>
            <w:rPr>
              <w:i w:val="0"/>
              <w:iCs w:val="0"/>
            </w:rPr>
            <w:fldChar w:fldCharType="separate"/>
          </w:r>
          <w:r>
            <w:rPr>
              <w:i w:val="0"/>
              <w:iCs w:val="0"/>
            </w:rPr>
            <w:t>19</w:t>
          </w:r>
          <w:r>
            <w:rPr>
              <w:i w:val="0"/>
              <w:iCs w:val="0"/>
            </w:rPr>
            <w:fldChar w:fldCharType="end"/>
          </w:r>
          <w:r>
            <w:rPr>
              <w:bCs w:val="0"/>
              <w:i w:val="0"/>
              <w:iCs w:val="0"/>
              <w:caps w:val="0"/>
              <w:smallCaps/>
              <w:szCs w:val="24"/>
            </w:rPr>
            <w:fldChar w:fldCharType="end"/>
          </w:r>
        </w:p>
        <w:p w14:paraId="3050FC88">
          <w:pPr>
            <w:pStyle w:val="19"/>
            <w:keepNext w:val="0"/>
            <w:keepLines w:val="0"/>
            <w:pageBreakBefore w:val="0"/>
            <w:widowControl w:val="0"/>
            <w:tabs>
              <w:tab w:val="right" w:leader="dot" w:pos="9072"/>
            </w:tabs>
            <w:kinsoku/>
            <w:wordWrap/>
            <w:overflowPunct/>
            <w:topLinePunct w:val="0"/>
            <w:autoSpaceDE/>
            <w:autoSpaceDN/>
            <w:bidi w:val="0"/>
            <w:adjustRightInd/>
            <w:snapToGrid/>
            <w:spacing w:line="480" w:lineRule="exact"/>
            <w:textAlignment w:val="auto"/>
            <w:rPr>
              <w:i w:val="0"/>
              <w:iCs w:val="0"/>
            </w:rPr>
          </w:pPr>
          <w:r>
            <w:rPr>
              <w:bCs w:val="0"/>
              <w:i w:val="0"/>
              <w:iCs w:val="0"/>
              <w:caps w:val="0"/>
              <w:smallCaps/>
              <w:szCs w:val="24"/>
            </w:rPr>
            <w:fldChar w:fldCharType="begin"/>
          </w:r>
          <w:r>
            <w:rPr>
              <w:bCs w:val="0"/>
              <w:i w:val="0"/>
              <w:iCs w:val="0"/>
              <w:caps w:val="0"/>
              <w:smallCaps/>
              <w:szCs w:val="24"/>
            </w:rPr>
            <w:instrText xml:space="preserve"> HYPERLINK \l _Toc17733 </w:instrText>
          </w:r>
          <w:r>
            <w:rPr>
              <w:bCs w:val="0"/>
              <w:i w:val="0"/>
              <w:iCs w:val="0"/>
              <w:caps w:val="0"/>
              <w:smallCaps/>
              <w:szCs w:val="24"/>
            </w:rPr>
            <w:fldChar w:fldCharType="separate"/>
          </w:r>
          <w:r>
            <w:rPr>
              <w:rFonts w:hint="eastAsia"/>
              <w:i w:val="0"/>
              <w:iCs w:val="0"/>
            </w:rPr>
            <w:t>2.8.4劳动保护及保险</w:t>
          </w:r>
          <w:r>
            <w:rPr>
              <w:i w:val="0"/>
              <w:iCs w:val="0"/>
            </w:rPr>
            <w:tab/>
          </w:r>
          <w:r>
            <w:rPr>
              <w:i w:val="0"/>
              <w:iCs w:val="0"/>
            </w:rPr>
            <w:fldChar w:fldCharType="begin"/>
          </w:r>
          <w:r>
            <w:rPr>
              <w:i w:val="0"/>
              <w:iCs w:val="0"/>
            </w:rPr>
            <w:instrText xml:space="preserve"> PAGEREF _Toc17733 \h </w:instrText>
          </w:r>
          <w:r>
            <w:rPr>
              <w:i w:val="0"/>
              <w:iCs w:val="0"/>
            </w:rPr>
            <w:fldChar w:fldCharType="separate"/>
          </w:r>
          <w:r>
            <w:rPr>
              <w:i w:val="0"/>
              <w:iCs w:val="0"/>
            </w:rPr>
            <w:t>20</w:t>
          </w:r>
          <w:r>
            <w:rPr>
              <w:i w:val="0"/>
              <w:iCs w:val="0"/>
            </w:rPr>
            <w:fldChar w:fldCharType="end"/>
          </w:r>
          <w:r>
            <w:rPr>
              <w:bCs w:val="0"/>
              <w:i w:val="0"/>
              <w:iCs w:val="0"/>
              <w:caps w:val="0"/>
              <w:smallCaps/>
              <w:szCs w:val="24"/>
            </w:rPr>
            <w:fldChar w:fldCharType="end"/>
          </w:r>
        </w:p>
        <w:p w14:paraId="4386AA53">
          <w:pPr>
            <w:pStyle w:val="32"/>
            <w:keepNext w:val="0"/>
            <w:keepLines w:val="0"/>
            <w:pageBreakBefore w:val="0"/>
            <w:widowControl w:val="0"/>
            <w:tabs>
              <w:tab w:val="right" w:leader="dot" w:pos="9072"/>
            </w:tabs>
            <w:kinsoku/>
            <w:wordWrap/>
            <w:overflowPunct/>
            <w:topLinePunct w:val="0"/>
            <w:autoSpaceDE/>
            <w:autoSpaceDN/>
            <w:bidi w:val="0"/>
            <w:adjustRightInd/>
            <w:snapToGrid/>
            <w:spacing w:line="480" w:lineRule="exact"/>
            <w:textAlignment w:val="auto"/>
            <w:rPr>
              <w:i w:val="0"/>
              <w:iCs w:val="0"/>
            </w:rPr>
          </w:pPr>
          <w:r>
            <w:rPr>
              <w:bCs w:val="0"/>
              <w:i w:val="0"/>
              <w:iCs w:val="0"/>
              <w:caps w:val="0"/>
              <w:smallCaps/>
              <w:szCs w:val="24"/>
            </w:rPr>
            <w:fldChar w:fldCharType="begin"/>
          </w:r>
          <w:r>
            <w:rPr>
              <w:bCs w:val="0"/>
              <w:i w:val="0"/>
              <w:iCs w:val="0"/>
              <w:caps w:val="0"/>
              <w:smallCaps/>
              <w:szCs w:val="24"/>
            </w:rPr>
            <w:instrText xml:space="preserve"> HYPERLINK \l _Toc30429 </w:instrText>
          </w:r>
          <w:r>
            <w:rPr>
              <w:bCs w:val="0"/>
              <w:i w:val="0"/>
              <w:iCs w:val="0"/>
              <w:caps w:val="0"/>
              <w:smallCaps/>
              <w:szCs w:val="24"/>
            </w:rPr>
            <w:fldChar w:fldCharType="separate"/>
          </w:r>
          <w:r>
            <w:rPr>
              <w:rFonts w:hint="eastAsia" w:ascii="宋体" w:hAnsi="宋体" w:eastAsia="宋体"/>
              <w:i w:val="0"/>
              <w:iCs w:val="0"/>
            </w:rPr>
            <w:t>2.8.4 应急救援预案</w:t>
          </w:r>
          <w:r>
            <w:rPr>
              <w:i w:val="0"/>
              <w:iCs w:val="0"/>
            </w:rPr>
            <w:tab/>
          </w:r>
          <w:r>
            <w:rPr>
              <w:i w:val="0"/>
              <w:iCs w:val="0"/>
            </w:rPr>
            <w:fldChar w:fldCharType="begin"/>
          </w:r>
          <w:r>
            <w:rPr>
              <w:i w:val="0"/>
              <w:iCs w:val="0"/>
            </w:rPr>
            <w:instrText xml:space="preserve"> PAGEREF _Toc30429 \h </w:instrText>
          </w:r>
          <w:r>
            <w:rPr>
              <w:i w:val="0"/>
              <w:iCs w:val="0"/>
            </w:rPr>
            <w:fldChar w:fldCharType="separate"/>
          </w:r>
          <w:r>
            <w:rPr>
              <w:i w:val="0"/>
              <w:iCs w:val="0"/>
            </w:rPr>
            <w:t>20</w:t>
          </w:r>
          <w:r>
            <w:rPr>
              <w:i w:val="0"/>
              <w:iCs w:val="0"/>
            </w:rPr>
            <w:fldChar w:fldCharType="end"/>
          </w:r>
          <w:r>
            <w:rPr>
              <w:bCs w:val="0"/>
              <w:i w:val="0"/>
              <w:iCs w:val="0"/>
              <w:caps w:val="0"/>
              <w:smallCaps/>
              <w:szCs w:val="24"/>
            </w:rPr>
            <w:fldChar w:fldCharType="end"/>
          </w:r>
        </w:p>
        <w:p w14:paraId="182A4123">
          <w:pPr>
            <w:pStyle w:val="32"/>
            <w:keepNext w:val="0"/>
            <w:keepLines w:val="0"/>
            <w:pageBreakBefore w:val="0"/>
            <w:widowControl w:val="0"/>
            <w:tabs>
              <w:tab w:val="right" w:leader="dot" w:pos="9072"/>
            </w:tabs>
            <w:kinsoku/>
            <w:wordWrap/>
            <w:overflowPunct/>
            <w:topLinePunct w:val="0"/>
            <w:autoSpaceDE/>
            <w:autoSpaceDN/>
            <w:bidi w:val="0"/>
            <w:adjustRightInd/>
            <w:snapToGrid/>
            <w:spacing w:line="480" w:lineRule="exact"/>
            <w:textAlignment w:val="auto"/>
            <w:rPr>
              <w:i w:val="0"/>
              <w:iCs w:val="0"/>
            </w:rPr>
          </w:pPr>
          <w:r>
            <w:rPr>
              <w:bCs w:val="0"/>
              <w:i w:val="0"/>
              <w:iCs w:val="0"/>
              <w:caps w:val="0"/>
              <w:smallCaps/>
              <w:szCs w:val="24"/>
            </w:rPr>
            <w:fldChar w:fldCharType="begin"/>
          </w:r>
          <w:r>
            <w:rPr>
              <w:bCs w:val="0"/>
              <w:i w:val="0"/>
              <w:iCs w:val="0"/>
              <w:caps w:val="0"/>
              <w:smallCaps/>
              <w:szCs w:val="24"/>
            </w:rPr>
            <w:instrText xml:space="preserve"> HYPERLINK \l _Toc2957 </w:instrText>
          </w:r>
          <w:r>
            <w:rPr>
              <w:bCs w:val="0"/>
              <w:i w:val="0"/>
              <w:iCs w:val="0"/>
              <w:caps w:val="0"/>
              <w:smallCaps/>
              <w:szCs w:val="24"/>
            </w:rPr>
            <w:fldChar w:fldCharType="separate"/>
          </w:r>
          <w:r>
            <w:rPr>
              <w:rFonts w:hint="eastAsia"/>
              <w:i w:val="0"/>
              <w:iCs w:val="0"/>
            </w:rPr>
            <w:t>2.</w:t>
          </w:r>
          <w:r>
            <w:rPr>
              <w:rFonts w:hint="eastAsia"/>
              <w:i w:val="0"/>
              <w:iCs w:val="0"/>
              <w:lang w:val="en-US" w:eastAsia="zh-CN"/>
            </w:rPr>
            <w:t>9</w:t>
          </w:r>
          <w:r>
            <w:rPr>
              <w:rFonts w:hint="eastAsia"/>
              <w:i w:val="0"/>
              <w:iCs w:val="0"/>
            </w:rPr>
            <w:t>产品流向管理</w:t>
          </w:r>
          <w:r>
            <w:rPr>
              <w:i w:val="0"/>
              <w:iCs w:val="0"/>
            </w:rPr>
            <w:tab/>
          </w:r>
          <w:r>
            <w:rPr>
              <w:i w:val="0"/>
              <w:iCs w:val="0"/>
            </w:rPr>
            <w:fldChar w:fldCharType="begin"/>
          </w:r>
          <w:r>
            <w:rPr>
              <w:i w:val="0"/>
              <w:iCs w:val="0"/>
            </w:rPr>
            <w:instrText xml:space="preserve"> PAGEREF _Toc2957 \h </w:instrText>
          </w:r>
          <w:r>
            <w:rPr>
              <w:i w:val="0"/>
              <w:iCs w:val="0"/>
            </w:rPr>
            <w:fldChar w:fldCharType="separate"/>
          </w:r>
          <w:r>
            <w:rPr>
              <w:i w:val="0"/>
              <w:iCs w:val="0"/>
            </w:rPr>
            <w:t>20</w:t>
          </w:r>
          <w:r>
            <w:rPr>
              <w:i w:val="0"/>
              <w:iCs w:val="0"/>
            </w:rPr>
            <w:fldChar w:fldCharType="end"/>
          </w:r>
          <w:r>
            <w:rPr>
              <w:bCs w:val="0"/>
              <w:i w:val="0"/>
              <w:iCs w:val="0"/>
              <w:caps w:val="0"/>
              <w:smallCaps/>
              <w:szCs w:val="24"/>
            </w:rPr>
            <w:fldChar w:fldCharType="end"/>
          </w:r>
        </w:p>
        <w:p w14:paraId="0782164E">
          <w:pPr>
            <w:pStyle w:val="32"/>
            <w:keepNext w:val="0"/>
            <w:keepLines w:val="0"/>
            <w:pageBreakBefore w:val="0"/>
            <w:widowControl w:val="0"/>
            <w:tabs>
              <w:tab w:val="right" w:leader="dot" w:pos="9072"/>
            </w:tabs>
            <w:kinsoku/>
            <w:wordWrap/>
            <w:overflowPunct/>
            <w:topLinePunct w:val="0"/>
            <w:autoSpaceDE/>
            <w:autoSpaceDN/>
            <w:bidi w:val="0"/>
            <w:adjustRightInd/>
            <w:snapToGrid/>
            <w:spacing w:line="480" w:lineRule="exact"/>
            <w:textAlignment w:val="auto"/>
            <w:rPr>
              <w:i w:val="0"/>
              <w:iCs w:val="0"/>
            </w:rPr>
          </w:pPr>
          <w:r>
            <w:rPr>
              <w:bCs w:val="0"/>
              <w:i w:val="0"/>
              <w:iCs w:val="0"/>
              <w:caps w:val="0"/>
              <w:smallCaps/>
              <w:szCs w:val="24"/>
            </w:rPr>
            <w:fldChar w:fldCharType="begin"/>
          </w:r>
          <w:r>
            <w:rPr>
              <w:bCs w:val="0"/>
              <w:i w:val="0"/>
              <w:iCs w:val="0"/>
              <w:caps w:val="0"/>
              <w:smallCaps/>
              <w:szCs w:val="24"/>
            </w:rPr>
            <w:instrText xml:space="preserve"> HYPERLINK \l _Toc9922 </w:instrText>
          </w:r>
          <w:r>
            <w:rPr>
              <w:bCs w:val="0"/>
              <w:i w:val="0"/>
              <w:iCs w:val="0"/>
              <w:caps w:val="0"/>
              <w:smallCaps/>
              <w:szCs w:val="24"/>
            </w:rPr>
            <w:fldChar w:fldCharType="separate"/>
          </w:r>
          <w:r>
            <w:rPr>
              <w:rFonts w:hint="eastAsia"/>
              <w:i w:val="0"/>
              <w:iCs w:val="0"/>
            </w:rPr>
            <w:t>2.</w:t>
          </w:r>
          <w:r>
            <w:rPr>
              <w:rFonts w:hint="eastAsia"/>
              <w:i w:val="0"/>
              <w:iCs w:val="0"/>
              <w:lang w:val="en-US" w:eastAsia="zh-CN"/>
            </w:rPr>
            <w:t>10</w:t>
          </w:r>
          <w:r>
            <w:rPr>
              <w:rFonts w:hint="eastAsia"/>
              <w:i w:val="0"/>
              <w:iCs w:val="0"/>
            </w:rPr>
            <w:t>公用工程</w:t>
          </w:r>
          <w:r>
            <w:rPr>
              <w:i w:val="0"/>
              <w:iCs w:val="0"/>
            </w:rPr>
            <w:tab/>
          </w:r>
          <w:r>
            <w:rPr>
              <w:i w:val="0"/>
              <w:iCs w:val="0"/>
            </w:rPr>
            <w:fldChar w:fldCharType="begin"/>
          </w:r>
          <w:r>
            <w:rPr>
              <w:i w:val="0"/>
              <w:iCs w:val="0"/>
            </w:rPr>
            <w:instrText xml:space="preserve"> PAGEREF _Toc9922 \h </w:instrText>
          </w:r>
          <w:r>
            <w:rPr>
              <w:i w:val="0"/>
              <w:iCs w:val="0"/>
            </w:rPr>
            <w:fldChar w:fldCharType="separate"/>
          </w:r>
          <w:r>
            <w:rPr>
              <w:i w:val="0"/>
              <w:iCs w:val="0"/>
            </w:rPr>
            <w:t>20</w:t>
          </w:r>
          <w:r>
            <w:rPr>
              <w:i w:val="0"/>
              <w:iCs w:val="0"/>
            </w:rPr>
            <w:fldChar w:fldCharType="end"/>
          </w:r>
          <w:r>
            <w:rPr>
              <w:bCs w:val="0"/>
              <w:i w:val="0"/>
              <w:iCs w:val="0"/>
              <w:caps w:val="0"/>
              <w:smallCaps/>
              <w:szCs w:val="24"/>
            </w:rPr>
            <w:fldChar w:fldCharType="end"/>
          </w:r>
        </w:p>
        <w:p w14:paraId="49094B8F">
          <w:pPr>
            <w:pStyle w:val="32"/>
            <w:keepNext w:val="0"/>
            <w:keepLines w:val="0"/>
            <w:pageBreakBefore w:val="0"/>
            <w:widowControl w:val="0"/>
            <w:tabs>
              <w:tab w:val="right" w:leader="dot" w:pos="9072"/>
            </w:tabs>
            <w:kinsoku/>
            <w:wordWrap/>
            <w:overflowPunct/>
            <w:topLinePunct w:val="0"/>
            <w:autoSpaceDE/>
            <w:autoSpaceDN/>
            <w:bidi w:val="0"/>
            <w:adjustRightInd/>
            <w:snapToGrid/>
            <w:spacing w:line="480" w:lineRule="exact"/>
            <w:textAlignment w:val="auto"/>
            <w:rPr>
              <w:i w:val="0"/>
              <w:iCs w:val="0"/>
            </w:rPr>
          </w:pPr>
          <w:r>
            <w:rPr>
              <w:bCs w:val="0"/>
              <w:i w:val="0"/>
              <w:iCs w:val="0"/>
              <w:caps w:val="0"/>
              <w:smallCaps/>
              <w:szCs w:val="24"/>
            </w:rPr>
            <w:fldChar w:fldCharType="begin"/>
          </w:r>
          <w:r>
            <w:rPr>
              <w:bCs w:val="0"/>
              <w:i w:val="0"/>
              <w:iCs w:val="0"/>
              <w:caps w:val="0"/>
              <w:smallCaps/>
              <w:szCs w:val="24"/>
            </w:rPr>
            <w:instrText xml:space="preserve"> HYPERLINK \l _Toc2120 </w:instrText>
          </w:r>
          <w:r>
            <w:rPr>
              <w:bCs w:val="0"/>
              <w:i w:val="0"/>
              <w:iCs w:val="0"/>
              <w:caps w:val="0"/>
              <w:smallCaps/>
              <w:szCs w:val="24"/>
            </w:rPr>
            <w:fldChar w:fldCharType="separate"/>
          </w:r>
          <w:r>
            <w:rPr>
              <w:rFonts w:hint="eastAsia"/>
              <w:i w:val="0"/>
              <w:iCs w:val="0"/>
            </w:rPr>
            <w:t>2.</w:t>
          </w:r>
          <w:r>
            <w:rPr>
              <w:rFonts w:hint="eastAsia"/>
              <w:i w:val="0"/>
              <w:iCs w:val="0"/>
              <w:lang w:val="en-US" w:eastAsia="zh-CN"/>
            </w:rPr>
            <w:t>10</w:t>
          </w:r>
          <w:r>
            <w:rPr>
              <w:rFonts w:hint="eastAsia"/>
              <w:i w:val="0"/>
              <w:iCs w:val="0"/>
            </w:rPr>
            <w:t>.1 给排水</w:t>
          </w:r>
          <w:r>
            <w:rPr>
              <w:i w:val="0"/>
              <w:iCs w:val="0"/>
            </w:rPr>
            <w:tab/>
          </w:r>
          <w:r>
            <w:rPr>
              <w:i w:val="0"/>
              <w:iCs w:val="0"/>
            </w:rPr>
            <w:fldChar w:fldCharType="begin"/>
          </w:r>
          <w:r>
            <w:rPr>
              <w:i w:val="0"/>
              <w:iCs w:val="0"/>
            </w:rPr>
            <w:instrText xml:space="preserve"> PAGEREF _Toc2120 \h </w:instrText>
          </w:r>
          <w:r>
            <w:rPr>
              <w:i w:val="0"/>
              <w:iCs w:val="0"/>
            </w:rPr>
            <w:fldChar w:fldCharType="separate"/>
          </w:r>
          <w:r>
            <w:rPr>
              <w:i w:val="0"/>
              <w:iCs w:val="0"/>
            </w:rPr>
            <w:t>20</w:t>
          </w:r>
          <w:r>
            <w:rPr>
              <w:i w:val="0"/>
              <w:iCs w:val="0"/>
            </w:rPr>
            <w:fldChar w:fldCharType="end"/>
          </w:r>
          <w:r>
            <w:rPr>
              <w:bCs w:val="0"/>
              <w:i w:val="0"/>
              <w:iCs w:val="0"/>
              <w:caps w:val="0"/>
              <w:smallCaps/>
              <w:szCs w:val="24"/>
            </w:rPr>
            <w:fldChar w:fldCharType="end"/>
          </w:r>
        </w:p>
        <w:p w14:paraId="0260B332">
          <w:pPr>
            <w:pStyle w:val="19"/>
            <w:keepNext w:val="0"/>
            <w:keepLines w:val="0"/>
            <w:pageBreakBefore w:val="0"/>
            <w:widowControl w:val="0"/>
            <w:tabs>
              <w:tab w:val="right" w:leader="dot" w:pos="9072"/>
            </w:tabs>
            <w:kinsoku/>
            <w:wordWrap/>
            <w:overflowPunct/>
            <w:topLinePunct w:val="0"/>
            <w:autoSpaceDE/>
            <w:autoSpaceDN/>
            <w:bidi w:val="0"/>
            <w:adjustRightInd/>
            <w:snapToGrid/>
            <w:spacing w:line="480" w:lineRule="exact"/>
            <w:textAlignment w:val="auto"/>
            <w:rPr>
              <w:i w:val="0"/>
              <w:iCs w:val="0"/>
            </w:rPr>
          </w:pPr>
          <w:r>
            <w:rPr>
              <w:bCs w:val="0"/>
              <w:i w:val="0"/>
              <w:iCs w:val="0"/>
              <w:caps w:val="0"/>
              <w:smallCaps/>
              <w:szCs w:val="24"/>
            </w:rPr>
            <w:fldChar w:fldCharType="begin"/>
          </w:r>
          <w:r>
            <w:rPr>
              <w:bCs w:val="0"/>
              <w:i w:val="0"/>
              <w:iCs w:val="0"/>
              <w:caps w:val="0"/>
              <w:smallCaps/>
              <w:szCs w:val="24"/>
            </w:rPr>
            <w:instrText xml:space="preserve"> HYPERLINK \l _Toc19825 </w:instrText>
          </w:r>
          <w:r>
            <w:rPr>
              <w:bCs w:val="0"/>
              <w:i w:val="0"/>
              <w:iCs w:val="0"/>
              <w:caps w:val="0"/>
              <w:smallCaps/>
              <w:szCs w:val="24"/>
            </w:rPr>
            <w:fldChar w:fldCharType="separate"/>
          </w:r>
          <w:r>
            <w:rPr>
              <w:rFonts w:hint="eastAsia"/>
              <w:i w:val="0"/>
              <w:iCs w:val="0"/>
            </w:rPr>
            <w:t>2.</w:t>
          </w:r>
          <w:r>
            <w:rPr>
              <w:rFonts w:hint="eastAsia"/>
              <w:i w:val="0"/>
              <w:iCs w:val="0"/>
              <w:lang w:val="en-US" w:eastAsia="zh-CN"/>
            </w:rPr>
            <w:t>10</w:t>
          </w:r>
          <w:r>
            <w:rPr>
              <w:rFonts w:hint="eastAsia"/>
              <w:i w:val="0"/>
              <w:iCs w:val="0"/>
            </w:rPr>
            <w:t>.2 供配电</w:t>
          </w:r>
          <w:r>
            <w:rPr>
              <w:i w:val="0"/>
              <w:iCs w:val="0"/>
            </w:rPr>
            <w:tab/>
          </w:r>
          <w:r>
            <w:rPr>
              <w:i w:val="0"/>
              <w:iCs w:val="0"/>
            </w:rPr>
            <w:fldChar w:fldCharType="begin"/>
          </w:r>
          <w:r>
            <w:rPr>
              <w:i w:val="0"/>
              <w:iCs w:val="0"/>
            </w:rPr>
            <w:instrText xml:space="preserve"> PAGEREF _Toc19825 \h </w:instrText>
          </w:r>
          <w:r>
            <w:rPr>
              <w:i w:val="0"/>
              <w:iCs w:val="0"/>
            </w:rPr>
            <w:fldChar w:fldCharType="separate"/>
          </w:r>
          <w:r>
            <w:rPr>
              <w:i w:val="0"/>
              <w:iCs w:val="0"/>
            </w:rPr>
            <w:t>21</w:t>
          </w:r>
          <w:r>
            <w:rPr>
              <w:i w:val="0"/>
              <w:iCs w:val="0"/>
            </w:rPr>
            <w:fldChar w:fldCharType="end"/>
          </w:r>
          <w:r>
            <w:rPr>
              <w:bCs w:val="0"/>
              <w:i w:val="0"/>
              <w:iCs w:val="0"/>
              <w:caps w:val="0"/>
              <w:smallCaps/>
              <w:szCs w:val="24"/>
            </w:rPr>
            <w:fldChar w:fldCharType="end"/>
          </w:r>
        </w:p>
        <w:p w14:paraId="413418C3">
          <w:pPr>
            <w:pStyle w:val="19"/>
            <w:keepNext w:val="0"/>
            <w:keepLines w:val="0"/>
            <w:pageBreakBefore w:val="0"/>
            <w:widowControl w:val="0"/>
            <w:tabs>
              <w:tab w:val="right" w:leader="dot" w:pos="9072"/>
            </w:tabs>
            <w:kinsoku/>
            <w:wordWrap/>
            <w:overflowPunct/>
            <w:topLinePunct w:val="0"/>
            <w:autoSpaceDE/>
            <w:autoSpaceDN/>
            <w:bidi w:val="0"/>
            <w:adjustRightInd/>
            <w:snapToGrid/>
            <w:spacing w:line="480" w:lineRule="exact"/>
            <w:textAlignment w:val="auto"/>
            <w:rPr>
              <w:i w:val="0"/>
              <w:iCs w:val="0"/>
            </w:rPr>
          </w:pPr>
          <w:r>
            <w:rPr>
              <w:bCs w:val="0"/>
              <w:i w:val="0"/>
              <w:iCs w:val="0"/>
              <w:caps w:val="0"/>
              <w:smallCaps/>
              <w:szCs w:val="24"/>
            </w:rPr>
            <w:fldChar w:fldCharType="begin"/>
          </w:r>
          <w:r>
            <w:rPr>
              <w:bCs w:val="0"/>
              <w:i w:val="0"/>
              <w:iCs w:val="0"/>
              <w:caps w:val="0"/>
              <w:smallCaps/>
              <w:szCs w:val="24"/>
            </w:rPr>
            <w:instrText xml:space="preserve"> HYPERLINK \l _Toc30519 </w:instrText>
          </w:r>
          <w:r>
            <w:rPr>
              <w:bCs w:val="0"/>
              <w:i w:val="0"/>
              <w:iCs w:val="0"/>
              <w:caps w:val="0"/>
              <w:smallCaps/>
              <w:szCs w:val="24"/>
            </w:rPr>
            <w:fldChar w:fldCharType="separate"/>
          </w:r>
          <w:r>
            <w:rPr>
              <w:rFonts w:hint="eastAsia"/>
              <w:i w:val="0"/>
              <w:iCs w:val="0"/>
            </w:rPr>
            <w:t>2.</w:t>
          </w:r>
          <w:r>
            <w:rPr>
              <w:rFonts w:hint="eastAsia"/>
              <w:i w:val="0"/>
              <w:iCs w:val="0"/>
              <w:lang w:val="en-US" w:eastAsia="zh-CN"/>
            </w:rPr>
            <w:t>10</w:t>
          </w:r>
          <w:r>
            <w:rPr>
              <w:rFonts w:hint="eastAsia"/>
              <w:i w:val="0"/>
              <w:iCs w:val="0"/>
            </w:rPr>
            <w:t>.3 库区道路</w:t>
          </w:r>
          <w:r>
            <w:rPr>
              <w:i w:val="0"/>
              <w:iCs w:val="0"/>
            </w:rPr>
            <w:tab/>
          </w:r>
          <w:r>
            <w:rPr>
              <w:i w:val="0"/>
              <w:iCs w:val="0"/>
            </w:rPr>
            <w:fldChar w:fldCharType="begin"/>
          </w:r>
          <w:r>
            <w:rPr>
              <w:i w:val="0"/>
              <w:iCs w:val="0"/>
            </w:rPr>
            <w:instrText xml:space="preserve"> PAGEREF _Toc30519 \h </w:instrText>
          </w:r>
          <w:r>
            <w:rPr>
              <w:i w:val="0"/>
              <w:iCs w:val="0"/>
            </w:rPr>
            <w:fldChar w:fldCharType="separate"/>
          </w:r>
          <w:r>
            <w:rPr>
              <w:i w:val="0"/>
              <w:iCs w:val="0"/>
            </w:rPr>
            <w:t>21</w:t>
          </w:r>
          <w:r>
            <w:rPr>
              <w:i w:val="0"/>
              <w:iCs w:val="0"/>
            </w:rPr>
            <w:fldChar w:fldCharType="end"/>
          </w:r>
          <w:r>
            <w:rPr>
              <w:bCs w:val="0"/>
              <w:i w:val="0"/>
              <w:iCs w:val="0"/>
              <w:caps w:val="0"/>
              <w:smallCaps/>
              <w:szCs w:val="24"/>
            </w:rPr>
            <w:fldChar w:fldCharType="end"/>
          </w:r>
        </w:p>
        <w:p w14:paraId="5DA2A8AA">
          <w:pPr>
            <w:pStyle w:val="19"/>
            <w:keepNext w:val="0"/>
            <w:keepLines w:val="0"/>
            <w:pageBreakBefore w:val="0"/>
            <w:widowControl w:val="0"/>
            <w:tabs>
              <w:tab w:val="right" w:leader="dot" w:pos="9072"/>
            </w:tabs>
            <w:kinsoku/>
            <w:wordWrap/>
            <w:overflowPunct/>
            <w:topLinePunct w:val="0"/>
            <w:autoSpaceDE/>
            <w:autoSpaceDN/>
            <w:bidi w:val="0"/>
            <w:adjustRightInd/>
            <w:snapToGrid/>
            <w:spacing w:line="480" w:lineRule="exact"/>
            <w:textAlignment w:val="auto"/>
            <w:rPr>
              <w:i w:val="0"/>
              <w:iCs w:val="0"/>
            </w:rPr>
          </w:pPr>
          <w:r>
            <w:rPr>
              <w:bCs w:val="0"/>
              <w:i w:val="0"/>
              <w:iCs w:val="0"/>
              <w:caps w:val="0"/>
              <w:smallCaps/>
              <w:szCs w:val="24"/>
            </w:rPr>
            <w:fldChar w:fldCharType="begin"/>
          </w:r>
          <w:r>
            <w:rPr>
              <w:bCs w:val="0"/>
              <w:i w:val="0"/>
              <w:iCs w:val="0"/>
              <w:caps w:val="0"/>
              <w:smallCaps/>
              <w:szCs w:val="24"/>
            </w:rPr>
            <w:instrText xml:space="preserve"> HYPERLINK \l _Toc10967 </w:instrText>
          </w:r>
          <w:r>
            <w:rPr>
              <w:bCs w:val="0"/>
              <w:i w:val="0"/>
              <w:iCs w:val="0"/>
              <w:caps w:val="0"/>
              <w:smallCaps/>
              <w:szCs w:val="24"/>
            </w:rPr>
            <w:fldChar w:fldCharType="separate"/>
          </w:r>
          <w:r>
            <w:rPr>
              <w:rFonts w:hint="eastAsia"/>
              <w:i w:val="0"/>
              <w:iCs w:val="0"/>
            </w:rPr>
            <w:t>2.</w:t>
          </w:r>
          <w:r>
            <w:rPr>
              <w:rFonts w:hint="eastAsia"/>
              <w:i w:val="0"/>
              <w:iCs w:val="0"/>
              <w:lang w:val="en-US" w:eastAsia="zh-CN"/>
            </w:rPr>
            <w:t>10</w:t>
          </w:r>
          <w:r>
            <w:rPr>
              <w:rFonts w:hint="eastAsia"/>
              <w:i w:val="0"/>
              <w:iCs w:val="0"/>
            </w:rPr>
            <w:t>.4通风、防潮设施</w:t>
          </w:r>
          <w:r>
            <w:rPr>
              <w:i w:val="0"/>
              <w:iCs w:val="0"/>
            </w:rPr>
            <w:tab/>
          </w:r>
          <w:r>
            <w:rPr>
              <w:i w:val="0"/>
              <w:iCs w:val="0"/>
            </w:rPr>
            <w:fldChar w:fldCharType="begin"/>
          </w:r>
          <w:r>
            <w:rPr>
              <w:i w:val="0"/>
              <w:iCs w:val="0"/>
            </w:rPr>
            <w:instrText xml:space="preserve"> PAGEREF _Toc10967 \h </w:instrText>
          </w:r>
          <w:r>
            <w:rPr>
              <w:i w:val="0"/>
              <w:iCs w:val="0"/>
            </w:rPr>
            <w:fldChar w:fldCharType="separate"/>
          </w:r>
          <w:r>
            <w:rPr>
              <w:i w:val="0"/>
              <w:iCs w:val="0"/>
            </w:rPr>
            <w:t>21</w:t>
          </w:r>
          <w:r>
            <w:rPr>
              <w:i w:val="0"/>
              <w:iCs w:val="0"/>
            </w:rPr>
            <w:fldChar w:fldCharType="end"/>
          </w:r>
          <w:r>
            <w:rPr>
              <w:bCs w:val="0"/>
              <w:i w:val="0"/>
              <w:iCs w:val="0"/>
              <w:caps w:val="0"/>
              <w:smallCaps/>
              <w:szCs w:val="24"/>
            </w:rPr>
            <w:fldChar w:fldCharType="end"/>
          </w:r>
        </w:p>
        <w:p w14:paraId="1719D705">
          <w:pPr>
            <w:pStyle w:val="19"/>
            <w:keepNext w:val="0"/>
            <w:keepLines w:val="0"/>
            <w:pageBreakBefore w:val="0"/>
            <w:widowControl w:val="0"/>
            <w:tabs>
              <w:tab w:val="right" w:leader="dot" w:pos="9072"/>
            </w:tabs>
            <w:kinsoku/>
            <w:wordWrap/>
            <w:overflowPunct/>
            <w:topLinePunct w:val="0"/>
            <w:autoSpaceDE/>
            <w:autoSpaceDN/>
            <w:bidi w:val="0"/>
            <w:adjustRightInd/>
            <w:snapToGrid/>
            <w:spacing w:line="480" w:lineRule="exact"/>
            <w:textAlignment w:val="auto"/>
            <w:rPr>
              <w:i w:val="0"/>
              <w:iCs w:val="0"/>
            </w:rPr>
          </w:pPr>
          <w:r>
            <w:rPr>
              <w:bCs w:val="0"/>
              <w:i w:val="0"/>
              <w:iCs w:val="0"/>
              <w:caps w:val="0"/>
              <w:smallCaps/>
              <w:szCs w:val="24"/>
            </w:rPr>
            <w:fldChar w:fldCharType="begin"/>
          </w:r>
          <w:r>
            <w:rPr>
              <w:bCs w:val="0"/>
              <w:i w:val="0"/>
              <w:iCs w:val="0"/>
              <w:caps w:val="0"/>
              <w:smallCaps/>
              <w:szCs w:val="24"/>
            </w:rPr>
            <w:instrText xml:space="preserve"> HYPERLINK \l _Toc26384 </w:instrText>
          </w:r>
          <w:r>
            <w:rPr>
              <w:bCs w:val="0"/>
              <w:i w:val="0"/>
              <w:iCs w:val="0"/>
              <w:caps w:val="0"/>
              <w:smallCaps/>
              <w:szCs w:val="24"/>
            </w:rPr>
            <w:fldChar w:fldCharType="separate"/>
          </w:r>
          <w:r>
            <w:rPr>
              <w:rFonts w:hint="eastAsia"/>
              <w:i w:val="0"/>
              <w:iCs w:val="0"/>
            </w:rPr>
            <w:t>2.</w:t>
          </w:r>
          <w:r>
            <w:rPr>
              <w:rFonts w:hint="eastAsia"/>
              <w:i w:val="0"/>
              <w:iCs w:val="0"/>
              <w:lang w:val="en-US" w:eastAsia="zh-CN"/>
            </w:rPr>
            <w:t>10</w:t>
          </w:r>
          <w:r>
            <w:rPr>
              <w:rFonts w:hint="eastAsia"/>
              <w:i w:val="0"/>
              <w:iCs w:val="0"/>
            </w:rPr>
            <w:t>.5 通信设施</w:t>
          </w:r>
          <w:r>
            <w:rPr>
              <w:i w:val="0"/>
              <w:iCs w:val="0"/>
            </w:rPr>
            <w:tab/>
          </w:r>
          <w:r>
            <w:rPr>
              <w:i w:val="0"/>
              <w:iCs w:val="0"/>
            </w:rPr>
            <w:fldChar w:fldCharType="begin"/>
          </w:r>
          <w:r>
            <w:rPr>
              <w:i w:val="0"/>
              <w:iCs w:val="0"/>
            </w:rPr>
            <w:instrText xml:space="preserve"> PAGEREF _Toc26384 \h </w:instrText>
          </w:r>
          <w:r>
            <w:rPr>
              <w:i w:val="0"/>
              <w:iCs w:val="0"/>
            </w:rPr>
            <w:fldChar w:fldCharType="separate"/>
          </w:r>
          <w:r>
            <w:rPr>
              <w:i w:val="0"/>
              <w:iCs w:val="0"/>
            </w:rPr>
            <w:t>21</w:t>
          </w:r>
          <w:r>
            <w:rPr>
              <w:i w:val="0"/>
              <w:iCs w:val="0"/>
            </w:rPr>
            <w:fldChar w:fldCharType="end"/>
          </w:r>
          <w:r>
            <w:rPr>
              <w:bCs w:val="0"/>
              <w:i w:val="0"/>
              <w:iCs w:val="0"/>
              <w:caps w:val="0"/>
              <w:smallCaps/>
              <w:szCs w:val="24"/>
            </w:rPr>
            <w:fldChar w:fldCharType="end"/>
          </w:r>
        </w:p>
        <w:p w14:paraId="71BF199F">
          <w:pPr>
            <w:pStyle w:val="27"/>
            <w:keepNext w:val="0"/>
            <w:keepLines w:val="0"/>
            <w:pageBreakBefore w:val="0"/>
            <w:widowControl w:val="0"/>
            <w:tabs>
              <w:tab w:val="right" w:leader="dot" w:pos="9072"/>
              <w:tab w:val="clear" w:pos="9060"/>
            </w:tabs>
            <w:kinsoku/>
            <w:wordWrap/>
            <w:overflowPunct/>
            <w:topLinePunct w:val="0"/>
            <w:autoSpaceDE/>
            <w:autoSpaceDN/>
            <w:bidi w:val="0"/>
            <w:adjustRightInd/>
            <w:snapToGrid/>
            <w:spacing w:before="0" w:after="0" w:line="480" w:lineRule="exact"/>
            <w:textAlignment w:val="auto"/>
            <w:rPr>
              <w:i w:val="0"/>
              <w:iCs w:val="0"/>
            </w:rPr>
          </w:pPr>
          <w:r>
            <w:rPr>
              <w:bCs w:val="0"/>
              <w:i w:val="0"/>
              <w:iCs w:val="0"/>
              <w:caps w:val="0"/>
              <w:smallCaps/>
              <w:szCs w:val="24"/>
            </w:rPr>
            <w:fldChar w:fldCharType="begin"/>
          </w:r>
          <w:r>
            <w:rPr>
              <w:bCs w:val="0"/>
              <w:i w:val="0"/>
              <w:iCs w:val="0"/>
              <w:caps w:val="0"/>
              <w:smallCaps/>
              <w:szCs w:val="24"/>
            </w:rPr>
            <w:instrText xml:space="preserve"> HYPERLINK \l _Toc12101 </w:instrText>
          </w:r>
          <w:r>
            <w:rPr>
              <w:bCs w:val="0"/>
              <w:i w:val="0"/>
              <w:iCs w:val="0"/>
              <w:caps w:val="0"/>
              <w:smallCaps/>
              <w:szCs w:val="24"/>
            </w:rPr>
            <w:fldChar w:fldCharType="separate"/>
          </w:r>
          <w:r>
            <w:rPr>
              <w:rFonts w:hint="eastAsia"/>
              <w:i w:val="0"/>
              <w:iCs w:val="0"/>
            </w:rPr>
            <w:t>3</w:t>
          </w:r>
          <w:r>
            <w:rPr>
              <w:rFonts w:hint="eastAsia"/>
              <w:i w:val="0"/>
              <w:iCs w:val="0"/>
              <w:lang w:val="en-US" w:eastAsia="zh-CN"/>
            </w:rPr>
            <w:t xml:space="preserve"> </w:t>
          </w:r>
          <w:r>
            <w:rPr>
              <w:rFonts w:hint="eastAsia"/>
              <w:i w:val="0"/>
              <w:iCs w:val="0"/>
            </w:rPr>
            <w:t>主要危险有害因素份的辨识与分析</w:t>
          </w:r>
          <w:r>
            <w:rPr>
              <w:i w:val="0"/>
              <w:iCs w:val="0"/>
            </w:rPr>
            <w:tab/>
          </w:r>
          <w:r>
            <w:rPr>
              <w:i w:val="0"/>
              <w:iCs w:val="0"/>
            </w:rPr>
            <w:fldChar w:fldCharType="begin"/>
          </w:r>
          <w:r>
            <w:rPr>
              <w:i w:val="0"/>
              <w:iCs w:val="0"/>
            </w:rPr>
            <w:instrText xml:space="preserve"> PAGEREF _Toc12101 \h </w:instrText>
          </w:r>
          <w:r>
            <w:rPr>
              <w:i w:val="0"/>
              <w:iCs w:val="0"/>
            </w:rPr>
            <w:fldChar w:fldCharType="separate"/>
          </w:r>
          <w:r>
            <w:rPr>
              <w:i w:val="0"/>
              <w:iCs w:val="0"/>
            </w:rPr>
            <w:t>22</w:t>
          </w:r>
          <w:r>
            <w:rPr>
              <w:i w:val="0"/>
              <w:iCs w:val="0"/>
            </w:rPr>
            <w:fldChar w:fldCharType="end"/>
          </w:r>
          <w:r>
            <w:rPr>
              <w:bCs w:val="0"/>
              <w:i w:val="0"/>
              <w:iCs w:val="0"/>
              <w:caps w:val="0"/>
              <w:smallCaps/>
              <w:szCs w:val="24"/>
            </w:rPr>
            <w:fldChar w:fldCharType="end"/>
          </w:r>
        </w:p>
        <w:p w14:paraId="6A20350D">
          <w:pPr>
            <w:pStyle w:val="32"/>
            <w:keepNext w:val="0"/>
            <w:keepLines w:val="0"/>
            <w:pageBreakBefore w:val="0"/>
            <w:widowControl w:val="0"/>
            <w:tabs>
              <w:tab w:val="right" w:leader="dot" w:pos="9072"/>
            </w:tabs>
            <w:kinsoku/>
            <w:wordWrap/>
            <w:overflowPunct/>
            <w:topLinePunct w:val="0"/>
            <w:autoSpaceDE/>
            <w:autoSpaceDN/>
            <w:bidi w:val="0"/>
            <w:adjustRightInd/>
            <w:snapToGrid/>
            <w:spacing w:line="480" w:lineRule="exact"/>
            <w:textAlignment w:val="auto"/>
            <w:rPr>
              <w:i w:val="0"/>
              <w:iCs w:val="0"/>
            </w:rPr>
          </w:pPr>
          <w:r>
            <w:rPr>
              <w:bCs w:val="0"/>
              <w:i w:val="0"/>
              <w:iCs w:val="0"/>
              <w:caps w:val="0"/>
              <w:smallCaps/>
              <w:szCs w:val="24"/>
            </w:rPr>
            <w:fldChar w:fldCharType="begin"/>
          </w:r>
          <w:r>
            <w:rPr>
              <w:bCs w:val="0"/>
              <w:i w:val="0"/>
              <w:iCs w:val="0"/>
              <w:caps w:val="0"/>
              <w:smallCaps/>
              <w:szCs w:val="24"/>
            </w:rPr>
            <w:instrText xml:space="preserve"> HYPERLINK \l _Toc6521 </w:instrText>
          </w:r>
          <w:r>
            <w:rPr>
              <w:bCs w:val="0"/>
              <w:i w:val="0"/>
              <w:iCs w:val="0"/>
              <w:caps w:val="0"/>
              <w:smallCaps/>
              <w:szCs w:val="24"/>
            </w:rPr>
            <w:fldChar w:fldCharType="separate"/>
          </w:r>
          <w:r>
            <w:rPr>
              <w:rFonts w:hint="eastAsia"/>
              <w:i w:val="0"/>
              <w:iCs w:val="0"/>
            </w:rPr>
            <w:t>3.1 危险、有害因素分析方法</w:t>
          </w:r>
          <w:r>
            <w:rPr>
              <w:i w:val="0"/>
              <w:iCs w:val="0"/>
            </w:rPr>
            <w:tab/>
          </w:r>
          <w:r>
            <w:rPr>
              <w:i w:val="0"/>
              <w:iCs w:val="0"/>
            </w:rPr>
            <w:fldChar w:fldCharType="begin"/>
          </w:r>
          <w:r>
            <w:rPr>
              <w:i w:val="0"/>
              <w:iCs w:val="0"/>
            </w:rPr>
            <w:instrText xml:space="preserve"> PAGEREF _Toc6521 \h </w:instrText>
          </w:r>
          <w:r>
            <w:rPr>
              <w:i w:val="0"/>
              <w:iCs w:val="0"/>
            </w:rPr>
            <w:fldChar w:fldCharType="separate"/>
          </w:r>
          <w:r>
            <w:rPr>
              <w:i w:val="0"/>
              <w:iCs w:val="0"/>
            </w:rPr>
            <w:t>22</w:t>
          </w:r>
          <w:r>
            <w:rPr>
              <w:i w:val="0"/>
              <w:iCs w:val="0"/>
            </w:rPr>
            <w:fldChar w:fldCharType="end"/>
          </w:r>
          <w:r>
            <w:rPr>
              <w:bCs w:val="0"/>
              <w:i w:val="0"/>
              <w:iCs w:val="0"/>
              <w:caps w:val="0"/>
              <w:smallCaps/>
              <w:szCs w:val="24"/>
            </w:rPr>
            <w:fldChar w:fldCharType="end"/>
          </w:r>
        </w:p>
        <w:p w14:paraId="381E2BC4">
          <w:pPr>
            <w:pStyle w:val="32"/>
            <w:keepNext w:val="0"/>
            <w:keepLines w:val="0"/>
            <w:pageBreakBefore w:val="0"/>
            <w:widowControl w:val="0"/>
            <w:tabs>
              <w:tab w:val="right" w:leader="dot" w:pos="9072"/>
            </w:tabs>
            <w:kinsoku/>
            <w:wordWrap/>
            <w:overflowPunct/>
            <w:topLinePunct w:val="0"/>
            <w:autoSpaceDE/>
            <w:autoSpaceDN/>
            <w:bidi w:val="0"/>
            <w:adjustRightInd/>
            <w:snapToGrid/>
            <w:spacing w:line="480" w:lineRule="exact"/>
            <w:textAlignment w:val="auto"/>
            <w:rPr>
              <w:i w:val="0"/>
              <w:iCs w:val="0"/>
            </w:rPr>
          </w:pPr>
          <w:r>
            <w:rPr>
              <w:bCs w:val="0"/>
              <w:i w:val="0"/>
              <w:iCs w:val="0"/>
              <w:caps w:val="0"/>
              <w:smallCaps/>
              <w:szCs w:val="24"/>
            </w:rPr>
            <w:fldChar w:fldCharType="begin"/>
          </w:r>
          <w:r>
            <w:rPr>
              <w:bCs w:val="0"/>
              <w:i w:val="0"/>
              <w:iCs w:val="0"/>
              <w:caps w:val="0"/>
              <w:smallCaps/>
              <w:szCs w:val="24"/>
            </w:rPr>
            <w:instrText xml:space="preserve"> HYPERLINK \l _Toc9752 </w:instrText>
          </w:r>
          <w:r>
            <w:rPr>
              <w:bCs w:val="0"/>
              <w:i w:val="0"/>
              <w:iCs w:val="0"/>
              <w:caps w:val="0"/>
              <w:smallCaps/>
              <w:szCs w:val="24"/>
            </w:rPr>
            <w:fldChar w:fldCharType="separate"/>
          </w:r>
          <w:r>
            <w:rPr>
              <w:rFonts w:hint="eastAsia"/>
              <w:i w:val="0"/>
              <w:iCs w:val="0"/>
            </w:rPr>
            <w:t>3.2 烟花爆竹危险因素分析</w:t>
          </w:r>
          <w:r>
            <w:rPr>
              <w:i w:val="0"/>
              <w:iCs w:val="0"/>
            </w:rPr>
            <w:tab/>
          </w:r>
          <w:r>
            <w:rPr>
              <w:i w:val="0"/>
              <w:iCs w:val="0"/>
            </w:rPr>
            <w:fldChar w:fldCharType="begin"/>
          </w:r>
          <w:r>
            <w:rPr>
              <w:i w:val="0"/>
              <w:iCs w:val="0"/>
            </w:rPr>
            <w:instrText xml:space="preserve"> PAGEREF _Toc9752 \h </w:instrText>
          </w:r>
          <w:r>
            <w:rPr>
              <w:i w:val="0"/>
              <w:iCs w:val="0"/>
            </w:rPr>
            <w:fldChar w:fldCharType="separate"/>
          </w:r>
          <w:r>
            <w:rPr>
              <w:i w:val="0"/>
              <w:iCs w:val="0"/>
            </w:rPr>
            <w:t>22</w:t>
          </w:r>
          <w:r>
            <w:rPr>
              <w:i w:val="0"/>
              <w:iCs w:val="0"/>
            </w:rPr>
            <w:fldChar w:fldCharType="end"/>
          </w:r>
          <w:r>
            <w:rPr>
              <w:bCs w:val="0"/>
              <w:i w:val="0"/>
              <w:iCs w:val="0"/>
              <w:caps w:val="0"/>
              <w:smallCaps/>
              <w:szCs w:val="24"/>
            </w:rPr>
            <w:fldChar w:fldCharType="end"/>
          </w:r>
        </w:p>
        <w:p w14:paraId="1B4FD641">
          <w:pPr>
            <w:pStyle w:val="32"/>
            <w:keepNext w:val="0"/>
            <w:keepLines w:val="0"/>
            <w:pageBreakBefore w:val="0"/>
            <w:widowControl w:val="0"/>
            <w:tabs>
              <w:tab w:val="right" w:leader="dot" w:pos="9072"/>
            </w:tabs>
            <w:kinsoku/>
            <w:wordWrap/>
            <w:overflowPunct/>
            <w:topLinePunct w:val="0"/>
            <w:autoSpaceDE/>
            <w:autoSpaceDN/>
            <w:bidi w:val="0"/>
            <w:adjustRightInd/>
            <w:snapToGrid/>
            <w:spacing w:line="480" w:lineRule="exact"/>
            <w:textAlignment w:val="auto"/>
            <w:rPr>
              <w:i w:val="0"/>
              <w:iCs w:val="0"/>
            </w:rPr>
          </w:pPr>
          <w:r>
            <w:rPr>
              <w:bCs w:val="0"/>
              <w:i w:val="0"/>
              <w:iCs w:val="0"/>
              <w:caps w:val="0"/>
              <w:smallCaps/>
              <w:szCs w:val="24"/>
            </w:rPr>
            <w:fldChar w:fldCharType="begin"/>
          </w:r>
          <w:r>
            <w:rPr>
              <w:bCs w:val="0"/>
              <w:i w:val="0"/>
              <w:iCs w:val="0"/>
              <w:caps w:val="0"/>
              <w:smallCaps/>
              <w:szCs w:val="24"/>
            </w:rPr>
            <w:instrText xml:space="preserve"> HYPERLINK \l _Toc9076 </w:instrText>
          </w:r>
          <w:r>
            <w:rPr>
              <w:bCs w:val="0"/>
              <w:i w:val="0"/>
              <w:iCs w:val="0"/>
              <w:caps w:val="0"/>
              <w:smallCaps/>
              <w:szCs w:val="24"/>
            </w:rPr>
            <w:fldChar w:fldCharType="separate"/>
          </w:r>
          <w:r>
            <w:rPr>
              <w:rFonts w:hint="eastAsia"/>
              <w:i w:val="0"/>
              <w:iCs w:val="0"/>
            </w:rPr>
            <w:t>3.3 储运过程危险因素分析</w:t>
          </w:r>
          <w:r>
            <w:rPr>
              <w:i w:val="0"/>
              <w:iCs w:val="0"/>
            </w:rPr>
            <w:tab/>
          </w:r>
          <w:r>
            <w:rPr>
              <w:i w:val="0"/>
              <w:iCs w:val="0"/>
            </w:rPr>
            <w:fldChar w:fldCharType="begin"/>
          </w:r>
          <w:r>
            <w:rPr>
              <w:i w:val="0"/>
              <w:iCs w:val="0"/>
            </w:rPr>
            <w:instrText xml:space="preserve"> PAGEREF _Toc9076 \h </w:instrText>
          </w:r>
          <w:r>
            <w:rPr>
              <w:i w:val="0"/>
              <w:iCs w:val="0"/>
            </w:rPr>
            <w:fldChar w:fldCharType="separate"/>
          </w:r>
          <w:r>
            <w:rPr>
              <w:i w:val="0"/>
              <w:iCs w:val="0"/>
            </w:rPr>
            <w:t>26</w:t>
          </w:r>
          <w:r>
            <w:rPr>
              <w:i w:val="0"/>
              <w:iCs w:val="0"/>
            </w:rPr>
            <w:fldChar w:fldCharType="end"/>
          </w:r>
          <w:r>
            <w:rPr>
              <w:bCs w:val="0"/>
              <w:i w:val="0"/>
              <w:iCs w:val="0"/>
              <w:caps w:val="0"/>
              <w:smallCaps/>
              <w:szCs w:val="24"/>
            </w:rPr>
            <w:fldChar w:fldCharType="end"/>
          </w:r>
        </w:p>
        <w:p w14:paraId="0F667C15">
          <w:pPr>
            <w:pStyle w:val="19"/>
            <w:keepNext w:val="0"/>
            <w:keepLines w:val="0"/>
            <w:pageBreakBefore w:val="0"/>
            <w:widowControl w:val="0"/>
            <w:tabs>
              <w:tab w:val="right" w:leader="dot" w:pos="9072"/>
            </w:tabs>
            <w:kinsoku/>
            <w:wordWrap/>
            <w:overflowPunct/>
            <w:topLinePunct w:val="0"/>
            <w:autoSpaceDE/>
            <w:autoSpaceDN/>
            <w:bidi w:val="0"/>
            <w:adjustRightInd/>
            <w:snapToGrid/>
            <w:spacing w:line="480" w:lineRule="exact"/>
            <w:textAlignment w:val="auto"/>
            <w:rPr>
              <w:i w:val="0"/>
              <w:iCs w:val="0"/>
            </w:rPr>
          </w:pPr>
          <w:r>
            <w:rPr>
              <w:bCs w:val="0"/>
              <w:i w:val="0"/>
              <w:iCs w:val="0"/>
              <w:caps w:val="0"/>
              <w:smallCaps/>
              <w:szCs w:val="24"/>
            </w:rPr>
            <w:fldChar w:fldCharType="begin"/>
          </w:r>
          <w:r>
            <w:rPr>
              <w:bCs w:val="0"/>
              <w:i w:val="0"/>
              <w:iCs w:val="0"/>
              <w:caps w:val="0"/>
              <w:smallCaps/>
              <w:szCs w:val="24"/>
            </w:rPr>
            <w:instrText xml:space="preserve"> HYPERLINK \l _Toc29409 </w:instrText>
          </w:r>
          <w:r>
            <w:rPr>
              <w:bCs w:val="0"/>
              <w:i w:val="0"/>
              <w:iCs w:val="0"/>
              <w:caps w:val="0"/>
              <w:smallCaps/>
              <w:szCs w:val="24"/>
            </w:rPr>
            <w:fldChar w:fldCharType="separate"/>
          </w:r>
          <w:r>
            <w:rPr>
              <w:rFonts w:hint="eastAsia"/>
              <w:i w:val="0"/>
              <w:iCs w:val="0"/>
            </w:rPr>
            <w:t>3.3.1 储存过程危险因素分析</w:t>
          </w:r>
          <w:r>
            <w:rPr>
              <w:i w:val="0"/>
              <w:iCs w:val="0"/>
            </w:rPr>
            <w:tab/>
          </w:r>
          <w:r>
            <w:rPr>
              <w:i w:val="0"/>
              <w:iCs w:val="0"/>
            </w:rPr>
            <w:fldChar w:fldCharType="begin"/>
          </w:r>
          <w:r>
            <w:rPr>
              <w:i w:val="0"/>
              <w:iCs w:val="0"/>
            </w:rPr>
            <w:instrText xml:space="preserve"> PAGEREF _Toc29409 \h </w:instrText>
          </w:r>
          <w:r>
            <w:rPr>
              <w:i w:val="0"/>
              <w:iCs w:val="0"/>
            </w:rPr>
            <w:fldChar w:fldCharType="separate"/>
          </w:r>
          <w:r>
            <w:rPr>
              <w:i w:val="0"/>
              <w:iCs w:val="0"/>
            </w:rPr>
            <w:t>26</w:t>
          </w:r>
          <w:r>
            <w:rPr>
              <w:i w:val="0"/>
              <w:iCs w:val="0"/>
            </w:rPr>
            <w:fldChar w:fldCharType="end"/>
          </w:r>
          <w:r>
            <w:rPr>
              <w:bCs w:val="0"/>
              <w:i w:val="0"/>
              <w:iCs w:val="0"/>
              <w:caps w:val="0"/>
              <w:smallCaps/>
              <w:szCs w:val="24"/>
            </w:rPr>
            <w:fldChar w:fldCharType="end"/>
          </w:r>
        </w:p>
        <w:p w14:paraId="1DB4CD6E">
          <w:pPr>
            <w:pStyle w:val="19"/>
            <w:keepNext w:val="0"/>
            <w:keepLines w:val="0"/>
            <w:pageBreakBefore w:val="0"/>
            <w:widowControl w:val="0"/>
            <w:tabs>
              <w:tab w:val="right" w:leader="dot" w:pos="9072"/>
            </w:tabs>
            <w:kinsoku/>
            <w:wordWrap/>
            <w:overflowPunct/>
            <w:topLinePunct w:val="0"/>
            <w:autoSpaceDE/>
            <w:autoSpaceDN/>
            <w:bidi w:val="0"/>
            <w:adjustRightInd/>
            <w:snapToGrid/>
            <w:spacing w:line="480" w:lineRule="exact"/>
            <w:textAlignment w:val="auto"/>
            <w:rPr>
              <w:i w:val="0"/>
              <w:iCs w:val="0"/>
            </w:rPr>
          </w:pPr>
          <w:r>
            <w:rPr>
              <w:bCs w:val="0"/>
              <w:i w:val="0"/>
              <w:iCs w:val="0"/>
              <w:caps w:val="0"/>
              <w:smallCaps/>
              <w:szCs w:val="24"/>
            </w:rPr>
            <w:fldChar w:fldCharType="begin"/>
          </w:r>
          <w:r>
            <w:rPr>
              <w:bCs w:val="0"/>
              <w:i w:val="0"/>
              <w:iCs w:val="0"/>
              <w:caps w:val="0"/>
              <w:smallCaps/>
              <w:szCs w:val="24"/>
            </w:rPr>
            <w:instrText xml:space="preserve"> HYPERLINK \l _Toc23177 </w:instrText>
          </w:r>
          <w:r>
            <w:rPr>
              <w:bCs w:val="0"/>
              <w:i w:val="0"/>
              <w:iCs w:val="0"/>
              <w:caps w:val="0"/>
              <w:smallCaps/>
              <w:szCs w:val="24"/>
            </w:rPr>
            <w:fldChar w:fldCharType="separate"/>
          </w:r>
          <w:r>
            <w:rPr>
              <w:rFonts w:hint="eastAsia"/>
              <w:i w:val="0"/>
              <w:iCs w:val="0"/>
              <w:lang w:eastAsia="zh-CN"/>
            </w:rPr>
            <w:t>3.3.2运输过程危险因素分析</w:t>
          </w:r>
          <w:r>
            <w:rPr>
              <w:i w:val="0"/>
              <w:iCs w:val="0"/>
            </w:rPr>
            <w:tab/>
          </w:r>
          <w:r>
            <w:rPr>
              <w:i w:val="0"/>
              <w:iCs w:val="0"/>
            </w:rPr>
            <w:fldChar w:fldCharType="begin"/>
          </w:r>
          <w:r>
            <w:rPr>
              <w:i w:val="0"/>
              <w:iCs w:val="0"/>
            </w:rPr>
            <w:instrText xml:space="preserve"> PAGEREF _Toc23177 \h </w:instrText>
          </w:r>
          <w:r>
            <w:rPr>
              <w:i w:val="0"/>
              <w:iCs w:val="0"/>
            </w:rPr>
            <w:fldChar w:fldCharType="separate"/>
          </w:r>
          <w:r>
            <w:rPr>
              <w:i w:val="0"/>
              <w:iCs w:val="0"/>
            </w:rPr>
            <w:t>27</w:t>
          </w:r>
          <w:r>
            <w:rPr>
              <w:i w:val="0"/>
              <w:iCs w:val="0"/>
            </w:rPr>
            <w:fldChar w:fldCharType="end"/>
          </w:r>
          <w:r>
            <w:rPr>
              <w:bCs w:val="0"/>
              <w:i w:val="0"/>
              <w:iCs w:val="0"/>
              <w:caps w:val="0"/>
              <w:smallCaps/>
              <w:szCs w:val="24"/>
            </w:rPr>
            <w:fldChar w:fldCharType="end"/>
          </w:r>
        </w:p>
        <w:p w14:paraId="1574D089">
          <w:pPr>
            <w:pStyle w:val="19"/>
            <w:keepNext w:val="0"/>
            <w:keepLines w:val="0"/>
            <w:pageBreakBefore w:val="0"/>
            <w:widowControl w:val="0"/>
            <w:tabs>
              <w:tab w:val="right" w:leader="dot" w:pos="9072"/>
            </w:tabs>
            <w:kinsoku/>
            <w:wordWrap/>
            <w:overflowPunct/>
            <w:topLinePunct w:val="0"/>
            <w:autoSpaceDE/>
            <w:autoSpaceDN/>
            <w:bidi w:val="0"/>
            <w:adjustRightInd/>
            <w:snapToGrid/>
            <w:spacing w:line="480" w:lineRule="exact"/>
            <w:textAlignment w:val="auto"/>
            <w:rPr>
              <w:i w:val="0"/>
              <w:iCs w:val="0"/>
            </w:rPr>
          </w:pPr>
          <w:r>
            <w:rPr>
              <w:bCs w:val="0"/>
              <w:i w:val="0"/>
              <w:iCs w:val="0"/>
              <w:caps w:val="0"/>
              <w:smallCaps/>
              <w:szCs w:val="24"/>
            </w:rPr>
            <w:fldChar w:fldCharType="begin"/>
          </w:r>
          <w:r>
            <w:rPr>
              <w:bCs w:val="0"/>
              <w:i w:val="0"/>
              <w:iCs w:val="0"/>
              <w:caps w:val="0"/>
              <w:smallCaps/>
              <w:szCs w:val="24"/>
            </w:rPr>
            <w:instrText xml:space="preserve"> HYPERLINK \l _Toc23668 </w:instrText>
          </w:r>
          <w:r>
            <w:rPr>
              <w:bCs w:val="0"/>
              <w:i w:val="0"/>
              <w:iCs w:val="0"/>
              <w:caps w:val="0"/>
              <w:smallCaps/>
              <w:szCs w:val="24"/>
            </w:rPr>
            <w:fldChar w:fldCharType="separate"/>
          </w:r>
          <w:r>
            <w:rPr>
              <w:rFonts w:hint="eastAsia"/>
              <w:i w:val="0"/>
              <w:iCs w:val="0"/>
              <w:lang w:eastAsia="zh-CN"/>
            </w:rPr>
            <w:t>3.3.3装卸过程危险因素分析</w:t>
          </w:r>
          <w:r>
            <w:rPr>
              <w:i w:val="0"/>
              <w:iCs w:val="0"/>
            </w:rPr>
            <w:tab/>
          </w:r>
          <w:r>
            <w:rPr>
              <w:i w:val="0"/>
              <w:iCs w:val="0"/>
            </w:rPr>
            <w:fldChar w:fldCharType="begin"/>
          </w:r>
          <w:r>
            <w:rPr>
              <w:i w:val="0"/>
              <w:iCs w:val="0"/>
            </w:rPr>
            <w:instrText xml:space="preserve"> PAGEREF _Toc23668 \h </w:instrText>
          </w:r>
          <w:r>
            <w:rPr>
              <w:i w:val="0"/>
              <w:iCs w:val="0"/>
            </w:rPr>
            <w:fldChar w:fldCharType="separate"/>
          </w:r>
          <w:r>
            <w:rPr>
              <w:i w:val="0"/>
              <w:iCs w:val="0"/>
            </w:rPr>
            <w:t>28</w:t>
          </w:r>
          <w:r>
            <w:rPr>
              <w:i w:val="0"/>
              <w:iCs w:val="0"/>
            </w:rPr>
            <w:fldChar w:fldCharType="end"/>
          </w:r>
          <w:r>
            <w:rPr>
              <w:bCs w:val="0"/>
              <w:i w:val="0"/>
              <w:iCs w:val="0"/>
              <w:caps w:val="0"/>
              <w:smallCaps/>
              <w:szCs w:val="24"/>
            </w:rPr>
            <w:fldChar w:fldCharType="end"/>
          </w:r>
        </w:p>
        <w:p w14:paraId="64264EFE">
          <w:pPr>
            <w:pStyle w:val="19"/>
            <w:keepNext w:val="0"/>
            <w:keepLines w:val="0"/>
            <w:pageBreakBefore w:val="0"/>
            <w:widowControl w:val="0"/>
            <w:tabs>
              <w:tab w:val="right" w:leader="dot" w:pos="9072"/>
            </w:tabs>
            <w:kinsoku/>
            <w:wordWrap/>
            <w:overflowPunct/>
            <w:topLinePunct w:val="0"/>
            <w:autoSpaceDE/>
            <w:autoSpaceDN/>
            <w:bidi w:val="0"/>
            <w:adjustRightInd/>
            <w:snapToGrid/>
            <w:spacing w:line="480" w:lineRule="exact"/>
            <w:textAlignment w:val="auto"/>
            <w:rPr>
              <w:i w:val="0"/>
              <w:iCs w:val="0"/>
            </w:rPr>
          </w:pPr>
          <w:r>
            <w:rPr>
              <w:bCs w:val="0"/>
              <w:i w:val="0"/>
              <w:iCs w:val="0"/>
              <w:caps w:val="0"/>
              <w:smallCaps/>
              <w:szCs w:val="24"/>
            </w:rPr>
            <w:fldChar w:fldCharType="begin"/>
          </w:r>
          <w:r>
            <w:rPr>
              <w:bCs w:val="0"/>
              <w:i w:val="0"/>
              <w:iCs w:val="0"/>
              <w:caps w:val="0"/>
              <w:smallCaps/>
              <w:szCs w:val="24"/>
            </w:rPr>
            <w:instrText xml:space="preserve"> HYPERLINK \l _Toc15353 </w:instrText>
          </w:r>
          <w:r>
            <w:rPr>
              <w:bCs w:val="0"/>
              <w:i w:val="0"/>
              <w:iCs w:val="0"/>
              <w:caps w:val="0"/>
              <w:smallCaps/>
              <w:szCs w:val="24"/>
            </w:rPr>
            <w:fldChar w:fldCharType="separate"/>
          </w:r>
          <w:r>
            <w:rPr>
              <w:rFonts w:hint="eastAsia"/>
              <w:i w:val="0"/>
              <w:iCs w:val="0"/>
              <w:lang w:eastAsia="zh-CN"/>
            </w:rPr>
            <w:t>3.3.4其它危险性分析</w:t>
          </w:r>
          <w:r>
            <w:rPr>
              <w:i w:val="0"/>
              <w:iCs w:val="0"/>
            </w:rPr>
            <w:tab/>
          </w:r>
          <w:r>
            <w:rPr>
              <w:i w:val="0"/>
              <w:iCs w:val="0"/>
            </w:rPr>
            <w:fldChar w:fldCharType="begin"/>
          </w:r>
          <w:r>
            <w:rPr>
              <w:i w:val="0"/>
              <w:iCs w:val="0"/>
            </w:rPr>
            <w:instrText xml:space="preserve"> PAGEREF _Toc15353 \h </w:instrText>
          </w:r>
          <w:r>
            <w:rPr>
              <w:i w:val="0"/>
              <w:iCs w:val="0"/>
            </w:rPr>
            <w:fldChar w:fldCharType="separate"/>
          </w:r>
          <w:r>
            <w:rPr>
              <w:i w:val="0"/>
              <w:iCs w:val="0"/>
            </w:rPr>
            <w:t>28</w:t>
          </w:r>
          <w:r>
            <w:rPr>
              <w:i w:val="0"/>
              <w:iCs w:val="0"/>
            </w:rPr>
            <w:fldChar w:fldCharType="end"/>
          </w:r>
          <w:r>
            <w:rPr>
              <w:bCs w:val="0"/>
              <w:i w:val="0"/>
              <w:iCs w:val="0"/>
              <w:caps w:val="0"/>
              <w:smallCaps/>
              <w:szCs w:val="24"/>
            </w:rPr>
            <w:fldChar w:fldCharType="end"/>
          </w:r>
        </w:p>
        <w:p w14:paraId="1217BD55">
          <w:pPr>
            <w:pStyle w:val="32"/>
            <w:keepNext w:val="0"/>
            <w:keepLines w:val="0"/>
            <w:pageBreakBefore w:val="0"/>
            <w:widowControl w:val="0"/>
            <w:tabs>
              <w:tab w:val="right" w:leader="dot" w:pos="9072"/>
            </w:tabs>
            <w:kinsoku/>
            <w:wordWrap/>
            <w:overflowPunct/>
            <w:topLinePunct w:val="0"/>
            <w:autoSpaceDE/>
            <w:autoSpaceDN/>
            <w:bidi w:val="0"/>
            <w:adjustRightInd/>
            <w:snapToGrid/>
            <w:spacing w:line="480" w:lineRule="exact"/>
            <w:textAlignment w:val="auto"/>
            <w:rPr>
              <w:i w:val="0"/>
              <w:iCs w:val="0"/>
            </w:rPr>
          </w:pPr>
          <w:r>
            <w:rPr>
              <w:bCs w:val="0"/>
              <w:i w:val="0"/>
              <w:iCs w:val="0"/>
              <w:caps w:val="0"/>
              <w:smallCaps/>
              <w:szCs w:val="24"/>
            </w:rPr>
            <w:fldChar w:fldCharType="begin"/>
          </w:r>
          <w:r>
            <w:rPr>
              <w:bCs w:val="0"/>
              <w:i w:val="0"/>
              <w:iCs w:val="0"/>
              <w:caps w:val="0"/>
              <w:smallCaps/>
              <w:szCs w:val="24"/>
            </w:rPr>
            <w:instrText xml:space="preserve"> HYPERLINK \l _Toc32200 </w:instrText>
          </w:r>
          <w:r>
            <w:rPr>
              <w:bCs w:val="0"/>
              <w:i w:val="0"/>
              <w:iCs w:val="0"/>
              <w:caps w:val="0"/>
              <w:smallCaps/>
              <w:szCs w:val="24"/>
            </w:rPr>
            <w:fldChar w:fldCharType="separate"/>
          </w:r>
          <w:r>
            <w:rPr>
              <w:rFonts w:hint="eastAsia" w:ascii="宋体" w:hAnsi="宋体" w:eastAsia="宋体" w:cs="Times New Roman"/>
              <w:i w:val="0"/>
              <w:iCs w:val="0"/>
            </w:rPr>
            <w:t>3.4 环境危险有害因素分析</w:t>
          </w:r>
          <w:r>
            <w:rPr>
              <w:i w:val="0"/>
              <w:iCs w:val="0"/>
            </w:rPr>
            <w:tab/>
          </w:r>
          <w:r>
            <w:rPr>
              <w:i w:val="0"/>
              <w:iCs w:val="0"/>
            </w:rPr>
            <w:fldChar w:fldCharType="begin"/>
          </w:r>
          <w:r>
            <w:rPr>
              <w:i w:val="0"/>
              <w:iCs w:val="0"/>
            </w:rPr>
            <w:instrText xml:space="preserve"> PAGEREF _Toc32200 \h </w:instrText>
          </w:r>
          <w:r>
            <w:rPr>
              <w:i w:val="0"/>
              <w:iCs w:val="0"/>
            </w:rPr>
            <w:fldChar w:fldCharType="separate"/>
          </w:r>
          <w:r>
            <w:rPr>
              <w:i w:val="0"/>
              <w:iCs w:val="0"/>
            </w:rPr>
            <w:t>29</w:t>
          </w:r>
          <w:r>
            <w:rPr>
              <w:i w:val="0"/>
              <w:iCs w:val="0"/>
            </w:rPr>
            <w:fldChar w:fldCharType="end"/>
          </w:r>
          <w:r>
            <w:rPr>
              <w:bCs w:val="0"/>
              <w:i w:val="0"/>
              <w:iCs w:val="0"/>
              <w:caps w:val="0"/>
              <w:smallCaps/>
              <w:szCs w:val="24"/>
            </w:rPr>
            <w:fldChar w:fldCharType="end"/>
          </w:r>
        </w:p>
        <w:p w14:paraId="42E0E12B">
          <w:pPr>
            <w:pStyle w:val="19"/>
            <w:keepNext w:val="0"/>
            <w:keepLines w:val="0"/>
            <w:pageBreakBefore w:val="0"/>
            <w:widowControl w:val="0"/>
            <w:tabs>
              <w:tab w:val="right" w:leader="dot" w:pos="9072"/>
            </w:tabs>
            <w:kinsoku/>
            <w:wordWrap/>
            <w:overflowPunct/>
            <w:topLinePunct w:val="0"/>
            <w:autoSpaceDE/>
            <w:autoSpaceDN/>
            <w:bidi w:val="0"/>
            <w:adjustRightInd/>
            <w:snapToGrid/>
            <w:spacing w:line="480" w:lineRule="exact"/>
            <w:textAlignment w:val="auto"/>
            <w:rPr>
              <w:i w:val="0"/>
              <w:iCs w:val="0"/>
            </w:rPr>
          </w:pPr>
          <w:r>
            <w:rPr>
              <w:bCs w:val="0"/>
              <w:i w:val="0"/>
              <w:iCs w:val="0"/>
              <w:caps w:val="0"/>
              <w:smallCaps/>
              <w:szCs w:val="24"/>
            </w:rPr>
            <w:fldChar w:fldCharType="begin"/>
          </w:r>
          <w:r>
            <w:rPr>
              <w:bCs w:val="0"/>
              <w:i w:val="0"/>
              <w:iCs w:val="0"/>
              <w:caps w:val="0"/>
              <w:smallCaps/>
              <w:szCs w:val="24"/>
            </w:rPr>
            <w:instrText xml:space="preserve"> HYPERLINK \l _Toc9909 </w:instrText>
          </w:r>
          <w:r>
            <w:rPr>
              <w:bCs w:val="0"/>
              <w:i w:val="0"/>
              <w:iCs w:val="0"/>
              <w:caps w:val="0"/>
              <w:smallCaps/>
              <w:szCs w:val="24"/>
            </w:rPr>
            <w:fldChar w:fldCharType="separate"/>
          </w:r>
          <w:r>
            <w:rPr>
              <w:rFonts w:hint="eastAsia" w:ascii="Times New Roman" w:hAnsi="Times New Roman" w:eastAsia="宋体" w:cs="Times New Roman"/>
              <w:i w:val="0"/>
              <w:iCs w:val="0"/>
              <w:lang w:eastAsia="zh-CN"/>
            </w:rPr>
            <w:t>3.4.1 自然条件危险因素分析</w:t>
          </w:r>
          <w:r>
            <w:rPr>
              <w:i w:val="0"/>
              <w:iCs w:val="0"/>
            </w:rPr>
            <w:tab/>
          </w:r>
          <w:r>
            <w:rPr>
              <w:i w:val="0"/>
              <w:iCs w:val="0"/>
            </w:rPr>
            <w:fldChar w:fldCharType="begin"/>
          </w:r>
          <w:r>
            <w:rPr>
              <w:i w:val="0"/>
              <w:iCs w:val="0"/>
            </w:rPr>
            <w:instrText xml:space="preserve"> PAGEREF _Toc9909 \h </w:instrText>
          </w:r>
          <w:r>
            <w:rPr>
              <w:i w:val="0"/>
              <w:iCs w:val="0"/>
            </w:rPr>
            <w:fldChar w:fldCharType="separate"/>
          </w:r>
          <w:r>
            <w:rPr>
              <w:i w:val="0"/>
              <w:iCs w:val="0"/>
            </w:rPr>
            <w:t>29</w:t>
          </w:r>
          <w:r>
            <w:rPr>
              <w:i w:val="0"/>
              <w:iCs w:val="0"/>
            </w:rPr>
            <w:fldChar w:fldCharType="end"/>
          </w:r>
          <w:r>
            <w:rPr>
              <w:bCs w:val="0"/>
              <w:i w:val="0"/>
              <w:iCs w:val="0"/>
              <w:caps w:val="0"/>
              <w:smallCaps/>
              <w:szCs w:val="24"/>
            </w:rPr>
            <w:fldChar w:fldCharType="end"/>
          </w:r>
        </w:p>
        <w:p w14:paraId="4A89F63F">
          <w:pPr>
            <w:pStyle w:val="19"/>
            <w:keepNext w:val="0"/>
            <w:keepLines w:val="0"/>
            <w:pageBreakBefore w:val="0"/>
            <w:widowControl w:val="0"/>
            <w:tabs>
              <w:tab w:val="right" w:leader="dot" w:pos="9072"/>
            </w:tabs>
            <w:kinsoku/>
            <w:wordWrap/>
            <w:overflowPunct/>
            <w:topLinePunct w:val="0"/>
            <w:autoSpaceDE/>
            <w:autoSpaceDN/>
            <w:bidi w:val="0"/>
            <w:adjustRightInd/>
            <w:snapToGrid/>
            <w:spacing w:line="480" w:lineRule="exact"/>
            <w:textAlignment w:val="auto"/>
            <w:rPr>
              <w:i w:val="0"/>
              <w:iCs w:val="0"/>
            </w:rPr>
          </w:pPr>
          <w:r>
            <w:rPr>
              <w:bCs w:val="0"/>
              <w:i w:val="0"/>
              <w:iCs w:val="0"/>
              <w:caps w:val="0"/>
              <w:smallCaps/>
              <w:szCs w:val="24"/>
            </w:rPr>
            <w:fldChar w:fldCharType="begin"/>
          </w:r>
          <w:r>
            <w:rPr>
              <w:bCs w:val="0"/>
              <w:i w:val="0"/>
              <w:iCs w:val="0"/>
              <w:caps w:val="0"/>
              <w:smallCaps/>
              <w:szCs w:val="24"/>
            </w:rPr>
            <w:instrText xml:space="preserve"> HYPERLINK \l _Toc29332 </w:instrText>
          </w:r>
          <w:r>
            <w:rPr>
              <w:bCs w:val="0"/>
              <w:i w:val="0"/>
              <w:iCs w:val="0"/>
              <w:caps w:val="0"/>
              <w:smallCaps/>
              <w:szCs w:val="24"/>
            </w:rPr>
            <w:fldChar w:fldCharType="separate"/>
          </w:r>
          <w:r>
            <w:rPr>
              <w:rFonts w:hint="eastAsia"/>
              <w:i w:val="0"/>
              <w:iCs w:val="0"/>
            </w:rPr>
            <w:t>3.</w:t>
          </w:r>
          <w:r>
            <w:rPr>
              <w:rFonts w:hint="eastAsia"/>
              <w:i w:val="0"/>
              <w:iCs w:val="0"/>
              <w:lang w:val="en-US" w:eastAsia="zh-CN"/>
            </w:rPr>
            <w:t>4</w:t>
          </w:r>
          <w:r>
            <w:rPr>
              <w:rFonts w:hint="eastAsia"/>
              <w:i w:val="0"/>
              <w:iCs w:val="0"/>
            </w:rPr>
            <w:t>.</w:t>
          </w:r>
          <w:r>
            <w:rPr>
              <w:rFonts w:hint="eastAsia"/>
              <w:i w:val="0"/>
              <w:iCs w:val="0"/>
              <w:lang w:val="en-US" w:eastAsia="zh-CN"/>
            </w:rPr>
            <w:t>2</w:t>
          </w:r>
          <w:r>
            <w:rPr>
              <w:rFonts w:hint="eastAsia"/>
              <w:i w:val="0"/>
              <w:iCs w:val="0"/>
            </w:rPr>
            <w:t xml:space="preserve"> 周边环境危险因素分析</w:t>
          </w:r>
          <w:r>
            <w:rPr>
              <w:i w:val="0"/>
              <w:iCs w:val="0"/>
            </w:rPr>
            <w:tab/>
          </w:r>
          <w:r>
            <w:rPr>
              <w:i w:val="0"/>
              <w:iCs w:val="0"/>
            </w:rPr>
            <w:fldChar w:fldCharType="begin"/>
          </w:r>
          <w:r>
            <w:rPr>
              <w:i w:val="0"/>
              <w:iCs w:val="0"/>
            </w:rPr>
            <w:instrText xml:space="preserve"> PAGEREF _Toc29332 \h </w:instrText>
          </w:r>
          <w:r>
            <w:rPr>
              <w:i w:val="0"/>
              <w:iCs w:val="0"/>
            </w:rPr>
            <w:fldChar w:fldCharType="separate"/>
          </w:r>
          <w:r>
            <w:rPr>
              <w:i w:val="0"/>
              <w:iCs w:val="0"/>
            </w:rPr>
            <w:t>29</w:t>
          </w:r>
          <w:r>
            <w:rPr>
              <w:i w:val="0"/>
              <w:iCs w:val="0"/>
            </w:rPr>
            <w:fldChar w:fldCharType="end"/>
          </w:r>
          <w:r>
            <w:rPr>
              <w:bCs w:val="0"/>
              <w:i w:val="0"/>
              <w:iCs w:val="0"/>
              <w:caps w:val="0"/>
              <w:smallCaps/>
              <w:szCs w:val="24"/>
            </w:rPr>
            <w:fldChar w:fldCharType="end"/>
          </w:r>
        </w:p>
        <w:p w14:paraId="0AFE36AF">
          <w:pPr>
            <w:pStyle w:val="32"/>
            <w:keepNext w:val="0"/>
            <w:keepLines w:val="0"/>
            <w:pageBreakBefore w:val="0"/>
            <w:widowControl w:val="0"/>
            <w:tabs>
              <w:tab w:val="right" w:leader="dot" w:pos="9072"/>
            </w:tabs>
            <w:kinsoku/>
            <w:wordWrap/>
            <w:overflowPunct/>
            <w:topLinePunct w:val="0"/>
            <w:autoSpaceDE/>
            <w:autoSpaceDN/>
            <w:bidi w:val="0"/>
            <w:adjustRightInd/>
            <w:snapToGrid/>
            <w:spacing w:line="480" w:lineRule="exact"/>
            <w:textAlignment w:val="auto"/>
            <w:rPr>
              <w:i w:val="0"/>
              <w:iCs w:val="0"/>
            </w:rPr>
          </w:pPr>
          <w:r>
            <w:rPr>
              <w:bCs w:val="0"/>
              <w:i w:val="0"/>
              <w:iCs w:val="0"/>
              <w:caps w:val="0"/>
              <w:smallCaps/>
              <w:szCs w:val="24"/>
            </w:rPr>
            <w:fldChar w:fldCharType="begin"/>
          </w:r>
          <w:r>
            <w:rPr>
              <w:bCs w:val="0"/>
              <w:i w:val="0"/>
              <w:iCs w:val="0"/>
              <w:caps w:val="0"/>
              <w:smallCaps/>
              <w:szCs w:val="24"/>
            </w:rPr>
            <w:instrText xml:space="preserve"> HYPERLINK \l _Toc17910 </w:instrText>
          </w:r>
          <w:r>
            <w:rPr>
              <w:bCs w:val="0"/>
              <w:i w:val="0"/>
              <w:iCs w:val="0"/>
              <w:caps w:val="0"/>
              <w:smallCaps/>
              <w:szCs w:val="24"/>
            </w:rPr>
            <w:fldChar w:fldCharType="separate"/>
          </w:r>
          <w:r>
            <w:rPr>
              <w:rFonts w:hint="eastAsia"/>
              <w:i w:val="0"/>
              <w:iCs w:val="0"/>
            </w:rPr>
            <w:t>3.</w:t>
          </w:r>
          <w:r>
            <w:rPr>
              <w:rFonts w:hint="eastAsia"/>
              <w:i w:val="0"/>
              <w:iCs w:val="0"/>
              <w:lang w:val="en-US" w:eastAsia="zh-CN"/>
            </w:rPr>
            <w:t>5</w:t>
          </w:r>
          <w:r>
            <w:rPr>
              <w:rFonts w:hint="eastAsia"/>
              <w:i w:val="0"/>
              <w:iCs w:val="0"/>
            </w:rPr>
            <w:t xml:space="preserve"> 人员因素危险性分析</w:t>
          </w:r>
          <w:r>
            <w:rPr>
              <w:i w:val="0"/>
              <w:iCs w:val="0"/>
            </w:rPr>
            <w:tab/>
          </w:r>
          <w:r>
            <w:rPr>
              <w:i w:val="0"/>
              <w:iCs w:val="0"/>
            </w:rPr>
            <w:fldChar w:fldCharType="begin"/>
          </w:r>
          <w:r>
            <w:rPr>
              <w:i w:val="0"/>
              <w:iCs w:val="0"/>
            </w:rPr>
            <w:instrText xml:space="preserve"> PAGEREF _Toc17910 \h </w:instrText>
          </w:r>
          <w:r>
            <w:rPr>
              <w:i w:val="0"/>
              <w:iCs w:val="0"/>
            </w:rPr>
            <w:fldChar w:fldCharType="separate"/>
          </w:r>
          <w:r>
            <w:rPr>
              <w:i w:val="0"/>
              <w:iCs w:val="0"/>
            </w:rPr>
            <w:t>30</w:t>
          </w:r>
          <w:r>
            <w:rPr>
              <w:i w:val="0"/>
              <w:iCs w:val="0"/>
            </w:rPr>
            <w:fldChar w:fldCharType="end"/>
          </w:r>
          <w:r>
            <w:rPr>
              <w:bCs w:val="0"/>
              <w:i w:val="0"/>
              <w:iCs w:val="0"/>
              <w:caps w:val="0"/>
              <w:smallCaps/>
              <w:szCs w:val="24"/>
            </w:rPr>
            <w:fldChar w:fldCharType="end"/>
          </w:r>
        </w:p>
        <w:p w14:paraId="67FC5B41">
          <w:pPr>
            <w:pStyle w:val="32"/>
            <w:keepNext w:val="0"/>
            <w:keepLines w:val="0"/>
            <w:pageBreakBefore w:val="0"/>
            <w:widowControl w:val="0"/>
            <w:tabs>
              <w:tab w:val="right" w:leader="dot" w:pos="9072"/>
            </w:tabs>
            <w:kinsoku/>
            <w:wordWrap/>
            <w:overflowPunct/>
            <w:topLinePunct w:val="0"/>
            <w:autoSpaceDE/>
            <w:autoSpaceDN/>
            <w:bidi w:val="0"/>
            <w:adjustRightInd/>
            <w:snapToGrid/>
            <w:spacing w:line="480" w:lineRule="exact"/>
            <w:textAlignment w:val="auto"/>
            <w:rPr>
              <w:i w:val="0"/>
              <w:iCs w:val="0"/>
            </w:rPr>
          </w:pPr>
          <w:r>
            <w:rPr>
              <w:bCs w:val="0"/>
              <w:i w:val="0"/>
              <w:iCs w:val="0"/>
              <w:caps w:val="0"/>
              <w:smallCaps/>
              <w:szCs w:val="24"/>
            </w:rPr>
            <w:fldChar w:fldCharType="begin"/>
          </w:r>
          <w:r>
            <w:rPr>
              <w:bCs w:val="0"/>
              <w:i w:val="0"/>
              <w:iCs w:val="0"/>
              <w:caps w:val="0"/>
              <w:smallCaps/>
              <w:szCs w:val="24"/>
            </w:rPr>
            <w:instrText xml:space="preserve"> HYPERLINK \l _Toc17925 </w:instrText>
          </w:r>
          <w:r>
            <w:rPr>
              <w:bCs w:val="0"/>
              <w:i w:val="0"/>
              <w:iCs w:val="0"/>
              <w:caps w:val="0"/>
              <w:smallCaps/>
              <w:szCs w:val="24"/>
            </w:rPr>
            <w:fldChar w:fldCharType="separate"/>
          </w:r>
          <w:r>
            <w:rPr>
              <w:rFonts w:hint="eastAsia"/>
              <w:i w:val="0"/>
              <w:iCs w:val="0"/>
            </w:rPr>
            <w:t>3.</w:t>
          </w:r>
          <w:r>
            <w:rPr>
              <w:rFonts w:hint="eastAsia"/>
              <w:i w:val="0"/>
              <w:iCs w:val="0"/>
              <w:lang w:val="en-US" w:eastAsia="zh-CN"/>
            </w:rPr>
            <w:t>6</w:t>
          </w:r>
          <w:r>
            <w:rPr>
              <w:rFonts w:hint="eastAsia"/>
              <w:i w:val="0"/>
              <w:iCs w:val="0"/>
            </w:rPr>
            <w:t>烟花爆竹重大危险源辨识</w:t>
          </w:r>
          <w:r>
            <w:rPr>
              <w:i w:val="0"/>
              <w:iCs w:val="0"/>
            </w:rPr>
            <w:tab/>
          </w:r>
          <w:r>
            <w:rPr>
              <w:i w:val="0"/>
              <w:iCs w:val="0"/>
            </w:rPr>
            <w:fldChar w:fldCharType="begin"/>
          </w:r>
          <w:r>
            <w:rPr>
              <w:i w:val="0"/>
              <w:iCs w:val="0"/>
            </w:rPr>
            <w:instrText xml:space="preserve"> PAGEREF _Toc17925 \h </w:instrText>
          </w:r>
          <w:r>
            <w:rPr>
              <w:i w:val="0"/>
              <w:iCs w:val="0"/>
            </w:rPr>
            <w:fldChar w:fldCharType="separate"/>
          </w:r>
          <w:r>
            <w:rPr>
              <w:i w:val="0"/>
              <w:iCs w:val="0"/>
            </w:rPr>
            <w:t>31</w:t>
          </w:r>
          <w:r>
            <w:rPr>
              <w:i w:val="0"/>
              <w:iCs w:val="0"/>
            </w:rPr>
            <w:fldChar w:fldCharType="end"/>
          </w:r>
          <w:r>
            <w:rPr>
              <w:bCs w:val="0"/>
              <w:i w:val="0"/>
              <w:iCs w:val="0"/>
              <w:caps w:val="0"/>
              <w:smallCaps/>
              <w:szCs w:val="24"/>
            </w:rPr>
            <w:fldChar w:fldCharType="end"/>
          </w:r>
        </w:p>
        <w:p w14:paraId="6C941288">
          <w:pPr>
            <w:pStyle w:val="19"/>
            <w:keepNext w:val="0"/>
            <w:keepLines w:val="0"/>
            <w:pageBreakBefore w:val="0"/>
            <w:widowControl w:val="0"/>
            <w:tabs>
              <w:tab w:val="right" w:leader="dot" w:pos="9072"/>
            </w:tabs>
            <w:kinsoku/>
            <w:wordWrap/>
            <w:overflowPunct/>
            <w:topLinePunct w:val="0"/>
            <w:autoSpaceDE/>
            <w:autoSpaceDN/>
            <w:bidi w:val="0"/>
            <w:adjustRightInd/>
            <w:snapToGrid/>
            <w:spacing w:line="480" w:lineRule="exact"/>
            <w:textAlignment w:val="auto"/>
            <w:rPr>
              <w:i w:val="0"/>
              <w:iCs w:val="0"/>
            </w:rPr>
          </w:pPr>
          <w:r>
            <w:rPr>
              <w:bCs w:val="0"/>
              <w:i w:val="0"/>
              <w:iCs w:val="0"/>
              <w:caps w:val="0"/>
              <w:smallCaps/>
              <w:szCs w:val="24"/>
            </w:rPr>
            <w:fldChar w:fldCharType="begin"/>
          </w:r>
          <w:r>
            <w:rPr>
              <w:bCs w:val="0"/>
              <w:i w:val="0"/>
              <w:iCs w:val="0"/>
              <w:caps w:val="0"/>
              <w:smallCaps/>
              <w:szCs w:val="24"/>
            </w:rPr>
            <w:instrText xml:space="preserve"> HYPERLINK \l _Toc14756 </w:instrText>
          </w:r>
          <w:r>
            <w:rPr>
              <w:bCs w:val="0"/>
              <w:i w:val="0"/>
              <w:iCs w:val="0"/>
              <w:caps w:val="0"/>
              <w:smallCaps/>
              <w:szCs w:val="24"/>
            </w:rPr>
            <w:fldChar w:fldCharType="separate"/>
          </w:r>
          <w:r>
            <w:rPr>
              <w:rFonts w:hint="eastAsia"/>
              <w:i w:val="0"/>
              <w:iCs w:val="0"/>
            </w:rPr>
            <w:t>3.</w:t>
          </w:r>
          <w:r>
            <w:rPr>
              <w:rFonts w:hint="eastAsia"/>
              <w:i w:val="0"/>
              <w:iCs w:val="0"/>
              <w:lang w:val="en-US" w:eastAsia="zh-CN"/>
            </w:rPr>
            <w:t>6</w:t>
          </w:r>
          <w:r>
            <w:rPr>
              <w:rFonts w:hint="eastAsia"/>
              <w:i w:val="0"/>
              <w:iCs w:val="0"/>
            </w:rPr>
            <w:t>.1烟花爆竹重大危险源定义</w:t>
          </w:r>
          <w:r>
            <w:rPr>
              <w:i w:val="0"/>
              <w:iCs w:val="0"/>
            </w:rPr>
            <w:tab/>
          </w:r>
          <w:r>
            <w:rPr>
              <w:i w:val="0"/>
              <w:iCs w:val="0"/>
            </w:rPr>
            <w:fldChar w:fldCharType="begin"/>
          </w:r>
          <w:r>
            <w:rPr>
              <w:i w:val="0"/>
              <w:iCs w:val="0"/>
            </w:rPr>
            <w:instrText xml:space="preserve"> PAGEREF _Toc14756 \h </w:instrText>
          </w:r>
          <w:r>
            <w:rPr>
              <w:i w:val="0"/>
              <w:iCs w:val="0"/>
            </w:rPr>
            <w:fldChar w:fldCharType="separate"/>
          </w:r>
          <w:r>
            <w:rPr>
              <w:i w:val="0"/>
              <w:iCs w:val="0"/>
            </w:rPr>
            <w:t>31</w:t>
          </w:r>
          <w:r>
            <w:rPr>
              <w:i w:val="0"/>
              <w:iCs w:val="0"/>
            </w:rPr>
            <w:fldChar w:fldCharType="end"/>
          </w:r>
          <w:r>
            <w:rPr>
              <w:bCs w:val="0"/>
              <w:i w:val="0"/>
              <w:iCs w:val="0"/>
              <w:caps w:val="0"/>
              <w:smallCaps/>
              <w:szCs w:val="24"/>
            </w:rPr>
            <w:fldChar w:fldCharType="end"/>
          </w:r>
        </w:p>
        <w:p w14:paraId="1FD23722">
          <w:pPr>
            <w:pStyle w:val="19"/>
            <w:keepNext w:val="0"/>
            <w:keepLines w:val="0"/>
            <w:pageBreakBefore w:val="0"/>
            <w:widowControl w:val="0"/>
            <w:tabs>
              <w:tab w:val="right" w:leader="dot" w:pos="9072"/>
            </w:tabs>
            <w:kinsoku/>
            <w:wordWrap/>
            <w:overflowPunct/>
            <w:topLinePunct w:val="0"/>
            <w:autoSpaceDE/>
            <w:autoSpaceDN/>
            <w:bidi w:val="0"/>
            <w:adjustRightInd/>
            <w:snapToGrid/>
            <w:spacing w:line="480" w:lineRule="exact"/>
            <w:textAlignment w:val="auto"/>
            <w:rPr>
              <w:i w:val="0"/>
              <w:iCs w:val="0"/>
            </w:rPr>
          </w:pPr>
          <w:r>
            <w:rPr>
              <w:bCs w:val="0"/>
              <w:i w:val="0"/>
              <w:iCs w:val="0"/>
              <w:caps w:val="0"/>
              <w:smallCaps/>
              <w:szCs w:val="24"/>
            </w:rPr>
            <w:fldChar w:fldCharType="begin"/>
          </w:r>
          <w:r>
            <w:rPr>
              <w:bCs w:val="0"/>
              <w:i w:val="0"/>
              <w:iCs w:val="0"/>
              <w:caps w:val="0"/>
              <w:smallCaps/>
              <w:szCs w:val="24"/>
            </w:rPr>
            <w:instrText xml:space="preserve"> HYPERLINK \l _Toc7181 </w:instrText>
          </w:r>
          <w:r>
            <w:rPr>
              <w:bCs w:val="0"/>
              <w:i w:val="0"/>
              <w:iCs w:val="0"/>
              <w:caps w:val="0"/>
              <w:smallCaps/>
              <w:szCs w:val="24"/>
            </w:rPr>
            <w:fldChar w:fldCharType="separate"/>
          </w:r>
          <w:r>
            <w:rPr>
              <w:rFonts w:hint="eastAsia"/>
              <w:i w:val="0"/>
              <w:iCs w:val="0"/>
            </w:rPr>
            <w:t>3.</w:t>
          </w:r>
          <w:r>
            <w:rPr>
              <w:rFonts w:hint="eastAsia"/>
              <w:i w:val="0"/>
              <w:iCs w:val="0"/>
              <w:lang w:val="en-US" w:eastAsia="zh-CN"/>
            </w:rPr>
            <w:t>6</w:t>
          </w:r>
          <w:r>
            <w:rPr>
              <w:rFonts w:hint="eastAsia"/>
              <w:i w:val="0"/>
              <w:iCs w:val="0"/>
            </w:rPr>
            <w:t>.2烟花爆竹重大危险源临界量</w:t>
          </w:r>
          <w:r>
            <w:rPr>
              <w:i w:val="0"/>
              <w:iCs w:val="0"/>
            </w:rPr>
            <w:tab/>
          </w:r>
          <w:r>
            <w:rPr>
              <w:i w:val="0"/>
              <w:iCs w:val="0"/>
            </w:rPr>
            <w:fldChar w:fldCharType="begin"/>
          </w:r>
          <w:r>
            <w:rPr>
              <w:i w:val="0"/>
              <w:iCs w:val="0"/>
            </w:rPr>
            <w:instrText xml:space="preserve"> PAGEREF _Toc7181 \h </w:instrText>
          </w:r>
          <w:r>
            <w:rPr>
              <w:i w:val="0"/>
              <w:iCs w:val="0"/>
            </w:rPr>
            <w:fldChar w:fldCharType="separate"/>
          </w:r>
          <w:r>
            <w:rPr>
              <w:i w:val="0"/>
              <w:iCs w:val="0"/>
            </w:rPr>
            <w:t>32</w:t>
          </w:r>
          <w:r>
            <w:rPr>
              <w:i w:val="0"/>
              <w:iCs w:val="0"/>
            </w:rPr>
            <w:fldChar w:fldCharType="end"/>
          </w:r>
          <w:r>
            <w:rPr>
              <w:bCs w:val="0"/>
              <w:i w:val="0"/>
              <w:iCs w:val="0"/>
              <w:caps w:val="0"/>
              <w:smallCaps/>
              <w:szCs w:val="24"/>
            </w:rPr>
            <w:fldChar w:fldCharType="end"/>
          </w:r>
        </w:p>
        <w:p w14:paraId="00279374">
          <w:pPr>
            <w:pStyle w:val="19"/>
            <w:keepNext w:val="0"/>
            <w:keepLines w:val="0"/>
            <w:pageBreakBefore w:val="0"/>
            <w:widowControl w:val="0"/>
            <w:tabs>
              <w:tab w:val="right" w:leader="dot" w:pos="9072"/>
            </w:tabs>
            <w:kinsoku/>
            <w:wordWrap/>
            <w:overflowPunct/>
            <w:topLinePunct w:val="0"/>
            <w:autoSpaceDE/>
            <w:autoSpaceDN/>
            <w:bidi w:val="0"/>
            <w:adjustRightInd/>
            <w:snapToGrid/>
            <w:spacing w:line="480" w:lineRule="exact"/>
            <w:textAlignment w:val="auto"/>
            <w:rPr>
              <w:i w:val="0"/>
              <w:iCs w:val="0"/>
            </w:rPr>
          </w:pPr>
          <w:r>
            <w:rPr>
              <w:bCs w:val="0"/>
              <w:i w:val="0"/>
              <w:iCs w:val="0"/>
              <w:caps w:val="0"/>
              <w:smallCaps/>
              <w:szCs w:val="24"/>
            </w:rPr>
            <w:fldChar w:fldCharType="begin"/>
          </w:r>
          <w:r>
            <w:rPr>
              <w:bCs w:val="0"/>
              <w:i w:val="0"/>
              <w:iCs w:val="0"/>
              <w:caps w:val="0"/>
              <w:smallCaps/>
              <w:szCs w:val="24"/>
            </w:rPr>
            <w:instrText xml:space="preserve"> HYPERLINK \l _Toc13045 </w:instrText>
          </w:r>
          <w:r>
            <w:rPr>
              <w:bCs w:val="0"/>
              <w:i w:val="0"/>
              <w:iCs w:val="0"/>
              <w:caps w:val="0"/>
              <w:smallCaps/>
              <w:szCs w:val="24"/>
            </w:rPr>
            <w:fldChar w:fldCharType="separate"/>
          </w:r>
          <w:r>
            <w:rPr>
              <w:rFonts w:hint="eastAsia"/>
              <w:i w:val="0"/>
              <w:iCs w:val="0"/>
            </w:rPr>
            <w:t>3.</w:t>
          </w:r>
          <w:r>
            <w:rPr>
              <w:rFonts w:hint="eastAsia"/>
              <w:i w:val="0"/>
              <w:iCs w:val="0"/>
              <w:lang w:val="en-US" w:eastAsia="zh-CN"/>
            </w:rPr>
            <w:t>6</w:t>
          </w:r>
          <w:r>
            <w:rPr>
              <w:rFonts w:hint="eastAsia"/>
              <w:i w:val="0"/>
              <w:iCs w:val="0"/>
            </w:rPr>
            <w:t>.3重大危险源辨识</w:t>
          </w:r>
          <w:r>
            <w:rPr>
              <w:i w:val="0"/>
              <w:iCs w:val="0"/>
            </w:rPr>
            <w:tab/>
          </w:r>
          <w:r>
            <w:rPr>
              <w:i w:val="0"/>
              <w:iCs w:val="0"/>
            </w:rPr>
            <w:fldChar w:fldCharType="begin"/>
          </w:r>
          <w:r>
            <w:rPr>
              <w:i w:val="0"/>
              <w:iCs w:val="0"/>
            </w:rPr>
            <w:instrText xml:space="preserve"> PAGEREF _Toc13045 \h </w:instrText>
          </w:r>
          <w:r>
            <w:rPr>
              <w:i w:val="0"/>
              <w:iCs w:val="0"/>
            </w:rPr>
            <w:fldChar w:fldCharType="separate"/>
          </w:r>
          <w:r>
            <w:rPr>
              <w:i w:val="0"/>
              <w:iCs w:val="0"/>
            </w:rPr>
            <w:t>33</w:t>
          </w:r>
          <w:r>
            <w:rPr>
              <w:i w:val="0"/>
              <w:iCs w:val="0"/>
            </w:rPr>
            <w:fldChar w:fldCharType="end"/>
          </w:r>
          <w:r>
            <w:rPr>
              <w:bCs w:val="0"/>
              <w:i w:val="0"/>
              <w:iCs w:val="0"/>
              <w:caps w:val="0"/>
              <w:smallCaps/>
              <w:szCs w:val="24"/>
            </w:rPr>
            <w:fldChar w:fldCharType="end"/>
          </w:r>
        </w:p>
        <w:p w14:paraId="3F959E07">
          <w:pPr>
            <w:pStyle w:val="19"/>
            <w:keepNext w:val="0"/>
            <w:keepLines w:val="0"/>
            <w:pageBreakBefore w:val="0"/>
            <w:widowControl w:val="0"/>
            <w:tabs>
              <w:tab w:val="right" w:leader="dot" w:pos="9072"/>
            </w:tabs>
            <w:kinsoku/>
            <w:wordWrap/>
            <w:overflowPunct/>
            <w:topLinePunct w:val="0"/>
            <w:autoSpaceDE/>
            <w:autoSpaceDN/>
            <w:bidi w:val="0"/>
            <w:adjustRightInd/>
            <w:snapToGrid/>
            <w:spacing w:line="480" w:lineRule="exact"/>
            <w:textAlignment w:val="auto"/>
            <w:rPr>
              <w:i w:val="0"/>
              <w:iCs w:val="0"/>
            </w:rPr>
          </w:pPr>
          <w:r>
            <w:rPr>
              <w:bCs w:val="0"/>
              <w:i w:val="0"/>
              <w:iCs w:val="0"/>
              <w:caps w:val="0"/>
              <w:smallCaps/>
              <w:szCs w:val="24"/>
            </w:rPr>
            <w:fldChar w:fldCharType="begin"/>
          </w:r>
          <w:r>
            <w:rPr>
              <w:bCs w:val="0"/>
              <w:i w:val="0"/>
              <w:iCs w:val="0"/>
              <w:caps w:val="0"/>
              <w:smallCaps/>
              <w:szCs w:val="24"/>
            </w:rPr>
            <w:instrText xml:space="preserve"> HYPERLINK \l _Toc4616 </w:instrText>
          </w:r>
          <w:r>
            <w:rPr>
              <w:bCs w:val="0"/>
              <w:i w:val="0"/>
              <w:iCs w:val="0"/>
              <w:caps w:val="0"/>
              <w:smallCaps/>
              <w:szCs w:val="24"/>
            </w:rPr>
            <w:fldChar w:fldCharType="separate"/>
          </w:r>
          <w:r>
            <w:rPr>
              <w:rFonts w:hint="eastAsia"/>
              <w:i w:val="0"/>
              <w:iCs w:val="0"/>
            </w:rPr>
            <w:t>3.</w:t>
          </w:r>
          <w:r>
            <w:rPr>
              <w:rFonts w:hint="eastAsia"/>
              <w:i w:val="0"/>
              <w:iCs w:val="0"/>
              <w:lang w:val="en-US" w:eastAsia="zh-CN"/>
            </w:rPr>
            <w:t>6</w:t>
          </w:r>
          <w:r>
            <w:rPr>
              <w:rFonts w:hint="eastAsia"/>
              <w:i w:val="0"/>
              <w:iCs w:val="0"/>
            </w:rPr>
            <w:t>.4重大危险源辨识结果</w:t>
          </w:r>
          <w:r>
            <w:rPr>
              <w:i w:val="0"/>
              <w:iCs w:val="0"/>
            </w:rPr>
            <w:tab/>
          </w:r>
          <w:r>
            <w:rPr>
              <w:i w:val="0"/>
              <w:iCs w:val="0"/>
            </w:rPr>
            <w:fldChar w:fldCharType="begin"/>
          </w:r>
          <w:r>
            <w:rPr>
              <w:i w:val="0"/>
              <w:iCs w:val="0"/>
            </w:rPr>
            <w:instrText xml:space="preserve"> PAGEREF _Toc4616 \h </w:instrText>
          </w:r>
          <w:r>
            <w:rPr>
              <w:i w:val="0"/>
              <w:iCs w:val="0"/>
            </w:rPr>
            <w:fldChar w:fldCharType="separate"/>
          </w:r>
          <w:r>
            <w:rPr>
              <w:i w:val="0"/>
              <w:iCs w:val="0"/>
            </w:rPr>
            <w:t>33</w:t>
          </w:r>
          <w:r>
            <w:rPr>
              <w:i w:val="0"/>
              <w:iCs w:val="0"/>
            </w:rPr>
            <w:fldChar w:fldCharType="end"/>
          </w:r>
          <w:r>
            <w:rPr>
              <w:bCs w:val="0"/>
              <w:i w:val="0"/>
              <w:iCs w:val="0"/>
              <w:caps w:val="0"/>
              <w:smallCaps/>
              <w:szCs w:val="24"/>
            </w:rPr>
            <w:fldChar w:fldCharType="end"/>
          </w:r>
        </w:p>
        <w:p w14:paraId="231E860F">
          <w:pPr>
            <w:pStyle w:val="32"/>
            <w:keepNext w:val="0"/>
            <w:keepLines w:val="0"/>
            <w:pageBreakBefore w:val="0"/>
            <w:widowControl w:val="0"/>
            <w:tabs>
              <w:tab w:val="right" w:leader="dot" w:pos="9072"/>
            </w:tabs>
            <w:kinsoku/>
            <w:wordWrap/>
            <w:overflowPunct/>
            <w:topLinePunct w:val="0"/>
            <w:autoSpaceDE/>
            <w:autoSpaceDN/>
            <w:bidi w:val="0"/>
            <w:adjustRightInd/>
            <w:snapToGrid/>
            <w:spacing w:line="480" w:lineRule="exact"/>
            <w:textAlignment w:val="auto"/>
            <w:rPr>
              <w:i w:val="0"/>
              <w:iCs w:val="0"/>
            </w:rPr>
          </w:pPr>
          <w:r>
            <w:rPr>
              <w:bCs w:val="0"/>
              <w:i w:val="0"/>
              <w:iCs w:val="0"/>
              <w:caps w:val="0"/>
              <w:smallCaps/>
              <w:szCs w:val="24"/>
            </w:rPr>
            <w:fldChar w:fldCharType="begin"/>
          </w:r>
          <w:r>
            <w:rPr>
              <w:bCs w:val="0"/>
              <w:i w:val="0"/>
              <w:iCs w:val="0"/>
              <w:caps w:val="0"/>
              <w:smallCaps/>
              <w:szCs w:val="24"/>
            </w:rPr>
            <w:instrText xml:space="preserve"> HYPERLINK \l _Toc11999 </w:instrText>
          </w:r>
          <w:r>
            <w:rPr>
              <w:bCs w:val="0"/>
              <w:i w:val="0"/>
              <w:iCs w:val="0"/>
              <w:caps w:val="0"/>
              <w:smallCaps/>
              <w:szCs w:val="24"/>
            </w:rPr>
            <w:fldChar w:fldCharType="separate"/>
          </w:r>
          <w:r>
            <w:rPr>
              <w:rFonts w:hint="eastAsia"/>
              <w:i w:val="0"/>
              <w:iCs w:val="0"/>
            </w:rPr>
            <w:t>3.</w:t>
          </w:r>
          <w:r>
            <w:rPr>
              <w:rFonts w:hint="eastAsia"/>
              <w:i w:val="0"/>
              <w:iCs w:val="0"/>
              <w:lang w:val="en-US" w:eastAsia="zh-CN"/>
            </w:rPr>
            <w:t>7</w:t>
          </w:r>
          <w:r>
            <w:rPr>
              <w:rFonts w:hint="eastAsia"/>
              <w:i w:val="0"/>
              <w:iCs w:val="0"/>
            </w:rPr>
            <w:t xml:space="preserve"> 重点监控化学品和易制爆化学品辨识</w:t>
          </w:r>
          <w:r>
            <w:rPr>
              <w:i w:val="0"/>
              <w:iCs w:val="0"/>
            </w:rPr>
            <w:tab/>
          </w:r>
          <w:r>
            <w:rPr>
              <w:i w:val="0"/>
              <w:iCs w:val="0"/>
            </w:rPr>
            <w:fldChar w:fldCharType="begin"/>
          </w:r>
          <w:r>
            <w:rPr>
              <w:i w:val="0"/>
              <w:iCs w:val="0"/>
            </w:rPr>
            <w:instrText xml:space="preserve"> PAGEREF _Toc11999 \h </w:instrText>
          </w:r>
          <w:r>
            <w:rPr>
              <w:i w:val="0"/>
              <w:iCs w:val="0"/>
            </w:rPr>
            <w:fldChar w:fldCharType="separate"/>
          </w:r>
          <w:r>
            <w:rPr>
              <w:i w:val="0"/>
              <w:iCs w:val="0"/>
            </w:rPr>
            <w:t>34</w:t>
          </w:r>
          <w:r>
            <w:rPr>
              <w:i w:val="0"/>
              <w:iCs w:val="0"/>
            </w:rPr>
            <w:fldChar w:fldCharType="end"/>
          </w:r>
          <w:r>
            <w:rPr>
              <w:bCs w:val="0"/>
              <w:i w:val="0"/>
              <w:iCs w:val="0"/>
              <w:caps w:val="0"/>
              <w:smallCaps/>
              <w:szCs w:val="24"/>
            </w:rPr>
            <w:fldChar w:fldCharType="end"/>
          </w:r>
        </w:p>
        <w:p w14:paraId="6E0C76AC">
          <w:pPr>
            <w:pStyle w:val="19"/>
            <w:keepNext w:val="0"/>
            <w:keepLines w:val="0"/>
            <w:pageBreakBefore w:val="0"/>
            <w:widowControl w:val="0"/>
            <w:tabs>
              <w:tab w:val="right" w:leader="dot" w:pos="9072"/>
            </w:tabs>
            <w:kinsoku/>
            <w:wordWrap/>
            <w:overflowPunct/>
            <w:topLinePunct w:val="0"/>
            <w:autoSpaceDE/>
            <w:autoSpaceDN/>
            <w:bidi w:val="0"/>
            <w:adjustRightInd/>
            <w:snapToGrid/>
            <w:spacing w:line="480" w:lineRule="exact"/>
            <w:textAlignment w:val="auto"/>
            <w:rPr>
              <w:i w:val="0"/>
              <w:iCs w:val="0"/>
            </w:rPr>
          </w:pPr>
          <w:r>
            <w:rPr>
              <w:bCs w:val="0"/>
              <w:i w:val="0"/>
              <w:iCs w:val="0"/>
              <w:caps w:val="0"/>
              <w:smallCaps/>
              <w:szCs w:val="24"/>
            </w:rPr>
            <w:fldChar w:fldCharType="begin"/>
          </w:r>
          <w:r>
            <w:rPr>
              <w:bCs w:val="0"/>
              <w:i w:val="0"/>
              <w:iCs w:val="0"/>
              <w:caps w:val="0"/>
              <w:smallCaps/>
              <w:szCs w:val="24"/>
            </w:rPr>
            <w:instrText xml:space="preserve"> HYPERLINK \l _Toc31193 </w:instrText>
          </w:r>
          <w:r>
            <w:rPr>
              <w:bCs w:val="0"/>
              <w:i w:val="0"/>
              <w:iCs w:val="0"/>
              <w:caps w:val="0"/>
              <w:smallCaps/>
              <w:szCs w:val="24"/>
            </w:rPr>
            <w:fldChar w:fldCharType="separate"/>
          </w:r>
          <w:r>
            <w:rPr>
              <w:rFonts w:hint="eastAsia"/>
              <w:i w:val="0"/>
              <w:iCs w:val="0"/>
            </w:rPr>
            <w:t>3.</w:t>
          </w:r>
          <w:r>
            <w:rPr>
              <w:rFonts w:hint="eastAsia"/>
              <w:i w:val="0"/>
              <w:iCs w:val="0"/>
              <w:lang w:val="en-US" w:eastAsia="zh-CN"/>
            </w:rPr>
            <w:t>7</w:t>
          </w:r>
          <w:r>
            <w:rPr>
              <w:rFonts w:hint="eastAsia"/>
              <w:i w:val="0"/>
              <w:iCs w:val="0"/>
            </w:rPr>
            <w:t>.1 监控化学品辨识</w:t>
          </w:r>
          <w:r>
            <w:rPr>
              <w:i w:val="0"/>
              <w:iCs w:val="0"/>
            </w:rPr>
            <w:tab/>
          </w:r>
          <w:r>
            <w:rPr>
              <w:i w:val="0"/>
              <w:iCs w:val="0"/>
            </w:rPr>
            <w:fldChar w:fldCharType="begin"/>
          </w:r>
          <w:r>
            <w:rPr>
              <w:i w:val="0"/>
              <w:iCs w:val="0"/>
            </w:rPr>
            <w:instrText xml:space="preserve"> PAGEREF _Toc31193 \h </w:instrText>
          </w:r>
          <w:r>
            <w:rPr>
              <w:i w:val="0"/>
              <w:iCs w:val="0"/>
            </w:rPr>
            <w:fldChar w:fldCharType="separate"/>
          </w:r>
          <w:r>
            <w:rPr>
              <w:i w:val="0"/>
              <w:iCs w:val="0"/>
            </w:rPr>
            <w:t>34</w:t>
          </w:r>
          <w:r>
            <w:rPr>
              <w:i w:val="0"/>
              <w:iCs w:val="0"/>
            </w:rPr>
            <w:fldChar w:fldCharType="end"/>
          </w:r>
          <w:r>
            <w:rPr>
              <w:bCs w:val="0"/>
              <w:i w:val="0"/>
              <w:iCs w:val="0"/>
              <w:caps w:val="0"/>
              <w:smallCaps/>
              <w:szCs w:val="24"/>
            </w:rPr>
            <w:fldChar w:fldCharType="end"/>
          </w:r>
        </w:p>
        <w:p w14:paraId="0431181C">
          <w:pPr>
            <w:pStyle w:val="19"/>
            <w:keepNext w:val="0"/>
            <w:keepLines w:val="0"/>
            <w:pageBreakBefore w:val="0"/>
            <w:widowControl w:val="0"/>
            <w:tabs>
              <w:tab w:val="right" w:leader="dot" w:pos="9072"/>
            </w:tabs>
            <w:kinsoku/>
            <w:wordWrap/>
            <w:overflowPunct/>
            <w:topLinePunct w:val="0"/>
            <w:autoSpaceDE/>
            <w:autoSpaceDN/>
            <w:bidi w:val="0"/>
            <w:adjustRightInd/>
            <w:snapToGrid/>
            <w:spacing w:line="480" w:lineRule="exact"/>
            <w:textAlignment w:val="auto"/>
            <w:rPr>
              <w:i w:val="0"/>
              <w:iCs w:val="0"/>
            </w:rPr>
          </w:pPr>
          <w:r>
            <w:rPr>
              <w:bCs w:val="0"/>
              <w:i w:val="0"/>
              <w:iCs w:val="0"/>
              <w:caps w:val="0"/>
              <w:smallCaps/>
              <w:szCs w:val="24"/>
            </w:rPr>
            <w:fldChar w:fldCharType="begin"/>
          </w:r>
          <w:r>
            <w:rPr>
              <w:bCs w:val="0"/>
              <w:i w:val="0"/>
              <w:iCs w:val="0"/>
              <w:caps w:val="0"/>
              <w:smallCaps/>
              <w:szCs w:val="24"/>
            </w:rPr>
            <w:instrText xml:space="preserve"> HYPERLINK \l _Toc1371 </w:instrText>
          </w:r>
          <w:r>
            <w:rPr>
              <w:bCs w:val="0"/>
              <w:i w:val="0"/>
              <w:iCs w:val="0"/>
              <w:caps w:val="0"/>
              <w:smallCaps/>
              <w:szCs w:val="24"/>
            </w:rPr>
            <w:fldChar w:fldCharType="separate"/>
          </w:r>
          <w:r>
            <w:rPr>
              <w:rFonts w:hint="eastAsia"/>
              <w:i w:val="0"/>
              <w:iCs w:val="0"/>
            </w:rPr>
            <w:t>3.</w:t>
          </w:r>
          <w:r>
            <w:rPr>
              <w:rFonts w:hint="eastAsia"/>
              <w:i w:val="0"/>
              <w:iCs w:val="0"/>
              <w:lang w:val="en-US" w:eastAsia="zh-CN"/>
            </w:rPr>
            <w:t>7</w:t>
          </w:r>
          <w:r>
            <w:rPr>
              <w:rFonts w:hint="eastAsia"/>
              <w:i w:val="0"/>
              <w:iCs w:val="0"/>
            </w:rPr>
            <w:t>.2 易制爆化学品辨识</w:t>
          </w:r>
          <w:r>
            <w:rPr>
              <w:i w:val="0"/>
              <w:iCs w:val="0"/>
            </w:rPr>
            <w:tab/>
          </w:r>
          <w:r>
            <w:rPr>
              <w:i w:val="0"/>
              <w:iCs w:val="0"/>
            </w:rPr>
            <w:fldChar w:fldCharType="begin"/>
          </w:r>
          <w:r>
            <w:rPr>
              <w:i w:val="0"/>
              <w:iCs w:val="0"/>
            </w:rPr>
            <w:instrText xml:space="preserve"> PAGEREF _Toc1371 \h </w:instrText>
          </w:r>
          <w:r>
            <w:rPr>
              <w:i w:val="0"/>
              <w:iCs w:val="0"/>
            </w:rPr>
            <w:fldChar w:fldCharType="separate"/>
          </w:r>
          <w:r>
            <w:rPr>
              <w:i w:val="0"/>
              <w:iCs w:val="0"/>
            </w:rPr>
            <w:t>34</w:t>
          </w:r>
          <w:r>
            <w:rPr>
              <w:i w:val="0"/>
              <w:iCs w:val="0"/>
            </w:rPr>
            <w:fldChar w:fldCharType="end"/>
          </w:r>
          <w:r>
            <w:rPr>
              <w:bCs w:val="0"/>
              <w:i w:val="0"/>
              <w:iCs w:val="0"/>
              <w:caps w:val="0"/>
              <w:smallCaps/>
              <w:szCs w:val="24"/>
            </w:rPr>
            <w:fldChar w:fldCharType="end"/>
          </w:r>
        </w:p>
        <w:p w14:paraId="4AAD8783">
          <w:pPr>
            <w:pStyle w:val="32"/>
            <w:keepNext w:val="0"/>
            <w:keepLines w:val="0"/>
            <w:pageBreakBefore w:val="0"/>
            <w:widowControl w:val="0"/>
            <w:tabs>
              <w:tab w:val="right" w:leader="dot" w:pos="9072"/>
            </w:tabs>
            <w:kinsoku/>
            <w:wordWrap/>
            <w:overflowPunct/>
            <w:topLinePunct w:val="0"/>
            <w:autoSpaceDE/>
            <w:autoSpaceDN/>
            <w:bidi w:val="0"/>
            <w:adjustRightInd/>
            <w:snapToGrid/>
            <w:spacing w:line="480" w:lineRule="exact"/>
            <w:textAlignment w:val="auto"/>
            <w:rPr>
              <w:i w:val="0"/>
              <w:iCs w:val="0"/>
            </w:rPr>
          </w:pPr>
          <w:r>
            <w:rPr>
              <w:bCs w:val="0"/>
              <w:i w:val="0"/>
              <w:iCs w:val="0"/>
              <w:caps w:val="0"/>
              <w:smallCaps/>
              <w:szCs w:val="24"/>
            </w:rPr>
            <w:fldChar w:fldCharType="begin"/>
          </w:r>
          <w:r>
            <w:rPr>
              <w:bCs w:val="0"/>
              <w:i w:val="0"/>
              <w:iCs w:val="0"/>
              <w:caps w:val="0"/>
              <w:smallCaps/>
              <w:szCs w:val="24"/>
            </w:rPr>
            <w:instrText xml:space="preserve"> HYPERLINK \l _Toc27312 </w:instrText>
          </w:r>
          <w:r>
            <w:rPr>
              <w:bCs w:val="0"/>
              <w:i w:val="0"/>
              <w:iCs w:val="0"/>
              <w:caps w:val="0"/>
              <w:smallCaps/>
              <w:szCs w:val="24"/>
            </w:rPr>
            <w:fldChar w:fldCharType="separate"/>
          </w:r>
          <w:r>
            <w:rPr>
              <w:rFonts w:hint="eastAsia"/>
              <w:i w:val="0"/>
              <w:iCs w:val="0"/>
            </w:rPr>
            <w:t>3.</w:t>
          </w:r>
          <w:r>
            <w:rPr>
              <w:rFonts w:hint="eastAsia"/>
              <w:i w:val="0"/>
              <w:iCs w:val="0"/>
              <w:lang w:val="en-US" w:eastAsia="zh-CN"/>
            </w:rPr>
            <w:t>8</w:t>
          </w:r>
          <w:r>
            <w:rPr>
              <w:rFonts w:hint="eastAsia"/>
              <w:i w:val="0"/>
              <w:iCs w:val="0"/>
            </w:rPr>
            <w:t xml:space="preserve"> 事故案例和原因分析</w:t>
          </w:r>
          <w:r>
            <w:rPr>
              <w:i w:val="0"/>
              <w:iCs w:val="0"/>
            </w:rPr>
            <w:tab/>
          </w:r>
          <w:r>
            <w:rPr>
              <w:i w:val="0"/>
              <w:iCs w:val="0"/>
            </w:rPr>
            <w:fldChar w:fldCharType="begin"/>
          </w:r>
          <w:r>
            <w:rPr>
              <w:i w:val="0"/>
              <w:iCs w:val="0"/>
            </w:rPr>
            <w:instrText xml:space="preserve"> PAGEREF _Toc27312 \h </w:instrText>
          </w:r>
          <w:r>
            <w:rPr>
              <w:i w:val="0"/>
              <w:iCs w:val="0"/>
            </w:rPr>
            <w:fldChar w:fldCharType="separate"/>
          </w:r>
          <w:r>
            <w:rPr>
              <w:i w:val="0"/>
              <w:iCs w:val="0"/>
            </w:rPr>
            <w:t>34</w:t>
          </w:r>
          <w:r>
            <w:rPr>
              <w:i w:val="0"/>
              <w:iCs w:val="0"/>
            </w:rPr>
            <w:fldChar w:fldCharType="end"/>
          </w:r>
          <w:r>
            <w:rPr>
              <w:bCs w:val="0"/>
              <w:i w:val="0"/>
              <w:iCs w:val="0"/>
              <w:caps w:val="0"/>
              <w:smallCaps/>
              <w:szCs w:val="24"/>
            </w:rPr>
            <w:fldChar w:fldCharType="end"/>
          </w:r>
        </w:p>
        <w:p w14:paraId="67B2BB76">
          <w:pPr>
            <w:pStyle w:val="19"/>
            <w:keepNext w:val="0"/>
            <w:keepLines w:val="0"/>
            <w:pageBreakBefore w:val="0"/>
            <w:widowControl w:val="0"/>
            <w:tabs>
              <w:tab w:val="right" w:leader="dot" w:pos="9072"/>
            </w:tabs>
            <w:kinsoku/>
            <w:wordWrap/>
            <w:overflowPunct/>
            <w:topLinePunct w:val="0"/>
            <w:autoSpaceDE/>
            <w:autoSpaceDN/>
            <w:bidi w:val="0"/>
            <w:adjustRightInd/>
            <w:snapToGrid/>
            <w:spacing w:line="480" w:lineRule="exact"/>
            <w:textAlignment w:val="auto"/>
            <w:rPr>
              <w:i w:val="0"/>
              <w:iCs w:val="0"/>
            </w:rPr>
          </w:pPr>
          <w:r>
            <w:rPr>
              <w:bCs w:val="0"/>
              <w:i w:val="0"/>
              <w:iCs w:val="0"/>
              <w:caps w:val="0"/>
              <w:smallCaps/>
              <w:szCs w:val="24"/>
            </w:rPr>
            <w:fldChar w:fldCharType="begin"/>
          </w:r>
          <w:r>
            <w:rPr>
              <w:bCs w:val="0"/>
              <w:i w:val="0"/>
              <w:iCs w:val="0"/>
              <w:caps w:val="0"/>
              <w:smallCaps/>
              <w:szCs w:val="24"/>
            </w:rPr>
            <w:instrText xml:space="preserve"> HYPERLINK \l _Toc31631 </w:instrText>
          </w:r>
          <w:r>
            <w:rPr>
              <w:bCs w:val="0"/>
              <w:i w:val="0"/>
              <w:iCs w:val="0"/>
              <w:caps w:val="0"/>
              <w:smallCaps/>
              <w:szCs w:val="24"/>
            </w:rPr>
            <w:fldChar w:fldCharType="separate"/>
          </w:r>
          <w:r>
            <w:rPr>
              <w:rFonts w:hint="eastAsia"/>
              <w:i w:val="0"/>
              <w:iCs w:val="0"/>
            </w:rPr>
            <w:t>3.</w:t>
          </w:r>
          <w:r>
            <w:rPr>
              <w:rFonts w:hint="eastAsia"/>
              <w:i w:val="0"/>
              <w:iCs w:val="0"/>
              <w:lang w:val="en-US" w:eastAsia="zh-CN"/>
            </w:rPr>
            <w:t>8</w:t>
          </w:r>
          <w:r>
            <w:rPr>
              <w:rFonts w:hint="eastAsia"/>
              <w:i w:val="0"/>
              <w:iCs w:val="0"/>
            </w:rPr>
            <w:t>.1 雷电</w:t>
          </w:r>
          <w:r>
            <w:rPr>
              <w:i w:val="0"/>
              <w:iCs w:val="0"/>
            </w:rPr>
            <w:tab/>
          </w:r>
          <w:r>
            <w:rPr>
              <w:i w:val="0"/>
              <w:iCs w:val="0"/>
            </w:rPr>
            <w:fldChar w:fldCharType="begin"/>
          </w:r>
          <w:r>
            <w:rPr>
              <w:i w:val="0"/>
              <w:iCs w:val="0"/>
            </w:rPr>
            <w:instrText xml:space="preserve"> PAGEREF _Toc31631 \h </w:instrText>
          </w:r>
          <w:r>
            <w:rPr>
              <w:i w:val="0"/>
              <w:iCs w:val="0"/>
            </w:rPr>
            <w:fldChar w:fldCharType="separate"/>
          </w:r>
          <w:r>
            <w:rPr>
              <w:i w:val="0"/>
              <w:iCs w:val="0"/>
            </w:rPr>
            <w:t>34</w:t>
          </w:r>
          <w:r>
            <w:rPr>
              <w:i w:val="0"/>
              <w:iCs w:val="0"/>
            </w:rPr>
            <w:fldChar w:fldCharType="end"/>
          </w:r>
          <w:r>
            <w:rPr>
              <w:bCs w:val="0"/>
              <w:i w:val="0"/>
              <w:iCs w:val="0"/>
              <w:caps w:val="0"/>
              <w:smallCaps/>
              <w:szCs w:val="24"/>
            </w:rPr>
            <w:fldChar w:fldCharType="end"/>
          </w:r>
        </w:p>
        <w:p w14:paraId="1B9AC20B">
          <w:pPr>
            <w:pStyle w:val="19"/>
            <w:keepNext w:val="0"/>
            <w:keepLines w:val="0"/>
            <w:pageBreakBefore w:val="0"/>
            <w:widowControl w:val="0"/>
            <w:tabs>
              <w:tab w:val="right" w:leader="dot" w:pos="9072"/>
            </w:tabs>
            <w:kinsoku/>
            <w:wordWrap/>
            <w:overflowPunct/>
            <w:topLinePunct w:val="0"/>
            <w:autoSpaceDE/>
            <w:autoSpaceDN/>
            <w:bidi w:val="0"/>
            <w:adjustRightInd/>
            <w:snapToGrid/>
            <w:spacing w:line="480" w:lineRule="exact"/>
            <w:textAlignment w:val="auto"/>
            <w:rPr>
              <w:i w:val="0"/>
              <w:iCs w:val="0"/>
            </w:rPr>
          </w:pPr>
          <w:r>
            <w:rPr>
              <w:bCs w:val="0"/>
              <w:i w:val="0"/>
              <w:iCs w:val="0"/>
              <w:caps w:val="0"/>
              <w:smallCaps/>
              <w:szCs w:val="24"/>
            </w:rPr>
            <w:fldChar w:fldCharType="begin"/>
          </w:r>
          <w:r>
            <w:rPr>
              <w:bCs w:val="0"/>
              <w:i w:val="0"/>
              <w:iCs w:val="0"/>
              <w:caps w:val="0"/>
              <w:smallCaps/>
              <w:szCs w:val="24"/>
            </w:rPr>
            <w:instrText xml:space="preserve"> HYPERLINK \l _Toc15624 </w:instrText>
          </w:r>
          <w:r>
            <w:rPr>
              <w:bCs w:val="0"/>
              <w:i w:val="0"/>
              <w:iCs w:val="0"/>
              <w:caps w:val="0"/>
              <w:smallCaps/>
              <w:szCs w:val="24"/>
            </w:rPr>
            <w:fldChar w:fldCharType="separate"/>
          </w:r>
          <w:r>
            <w:rPr>
              <w:i w:val="0"/>
              <w:iCs w:val="0"/>
            </w:rPr>
            <w:t>3.</w:t>
          </w:r>
          <w:r>
            <w:rPr>
              <w:rFonts w:hint="eastAsia"/>
              <w:i w:val="0"/>
              <w:iCs w:val="0"/>
              <w:lang w:val="en-US" w:eastAsia="zh-CN"/>
            </w:rPr>
            <w:t>8</w:t>
          </w:r>
          <w:r>
            <w:rPr>
              <w:i w:val="0"/>
              <w:iCs w:val="0"/>
            </w:rPr>
            <w:t>.2 机械能（碰撞、摩擦）</w:t>
          </w:r>
          <w:r>
            <w:rPr>
              <w:i w:val="0"/>
              <w:iCs w:val="0"/>
            </w:rPr>
            <w:tab/>
          </w:r>
          <w:r>
            <w:rPr>
              <w:i w:val="0"/>
              <w:iCs w:val="0"/>
            </w:rPr>
            <w:fldChar w:fldCharType="begin"/>
          </w:r>
          <w:r>
            <w:rPr>
              <w:i w:val="0"/>
              <w:iCs w:val="0"/>
            </w:rPr>
            <w:instrText xml:space="preserve"> PAGEREF _Toc15624 \h </w:instrText>
          </w:r>
          <w:r>
            <w:rPr>
              <w:i w:val="0"/>
              <w:iCs w:val="0"/>
            </w:rPr>
            <w:fldChar w:fldCharType="separate"/>
          </w:r>
          <w:r>
            <w:rPr>
              <w:i w:val="0"/>
              <w:iCs w:val="0"/>
            </w:rPr>
            <w:t>35</w:t>
          </w:r>
          <w:r>
            <w:rPr>
              <w:i w:val="0"/>
              <w:iCs w:val="0"/>
            </w:rPr>
            <w:fldChar w:fldCharType="end"/>
          </w:r>
          <w:r>
            <w:rPr>
              <w:bCs w:val="0"/>
              <w:i w:val="0"/>
              <w:iCs w:val="0"/>
              <w:caps w:val="0"/>
              <w:smallCaps/>
              <w:szCs w:val="24"/>
            </w:rPr>
            <w:fldChar w:fldCharType="end"/>
          </w:r>
        </w:p>
        <w:p w14:paraId="69BD9A30">
          <w:pPr>
            <w:pStyle w:val="19"/>
            <w:keepNext w:val="0"/>
            <w:keepLines w:val="0"/>
            <w:pageBreakBefore w:val="0"/>
            <w:widowControl w:val="0"/>
            <w:tabs>
              <w:tab w:val="right" w:leader="dot" w:pos="9072"/>
            </w:tabs>
            <w:kinsoku/>
            <w:wordWrap/>
            <w:overflowPunct/>
            <w:topLinePunct w:val="0"/>
            <w:autoSpaceDE/>
            <w:autoSpaceDN/>
            <w:bidi w:val="0"/>
            <w:adjustRightInd/>
            <w:snapToGrid/>
            <w:spacing w:line="480" w:lineRule="exact"/>
            <w:textAlignment w:val="auto"/>
            <w:rPr>
              <w:i w:val="0"/>
              <w:iCs w:val="0"/>
            </w:rPr>
          </w:pPr>
          <w:r>
            <w:rPr>
              <w:bCs w:val="0"/>
              <w:i w:val="0"/>
              <w:iCs w:val="0"/>
              <w:caps w:val="0"/>
              <w:smallCaps/>
              <w:szCs w:val="24"/>
            </w:rPr>
            <w:fldChar w:fldCharType="begin"/>
          </w:r>
          <w:r>
            <w:rPr>
              <w:bCs w:val="0"/>
              <w:i w:val="0"/>
              <w:iCs w:val="0"/>
              <w:caps w:val="0"/>
              <w:smallCaps/>
              <w:szCs w:val="24"/>
            </w:rPr>
            <w:instrText xml:space="preserve"> HYPERLINK \l _Toc14412 </w:instrText>
          </w:r>
          <w:r>
            <w:rPr>
              <w:bCs w:val="0"/>
              <w:i w:val="0"/>
              <w:iCs w:val="0"/>
              <w:caps w:val="0"/>
              <w:smallCaps/>
              <w:szCs w:val="24"/>
            </w:rPr>
            <w:fldChar w:fldCharType="separate"/>
          </w:r>
          <w:r>
            <w:rPr>
              <w:i w:val="0"/>
              <w:iCs w:val="0"/>
            </w:rPr>
            <w:t>3.</w:t>
          </w:r>
          <w:r>
            <w:rPr>
              <w:rFonts w:hint="eastAsia"/>
              <w:i w:val="0"/>
              <w:iCs w:val="0"/>
              <w:lang w:val="en-US" w:eastAsia="zh-CN"/>
            </w:rPr>
            <w:t>8</w:t>
          </w:r>
          <w:r>
            <w:rPr>
              <w:i w:val="0"/>
              <w:iCs w:val="0"/>
            </w:rPr>
            <w:t>.3 静电</w:t>
          </w:r>
          <w:r>
            <w:rPr>
              <w:i w:val="0"/>
              <w:iCs w:val="0"/>
            </w:rPr>
            <w:tab/>
          </w:r>
          <w:r>
            <w:rPr>
              <w:i w:val="0"/>
              <w:iCs w:val="0"/>
            </w:rPr>
            <w:fldChar w:fldCharType="begin"/>
          </w:r>
          <w:r>
            <w:rPr>
              <w:i w:val="0"/>
              <w:iCs w:val="0"/>
            </w:rPr>
            <w:instrText xml:space="preserve"> PAGEREF _Toc14412 \h </w:instrText>
          </w:r>
          <w:r>
            <w:rPr>
              <w:i w:val="0"/>
              <w:iCs w:val="0"/>
            </w:rPr>
            <w:fldChar w:fldCharType="separate"/>
          </w:r>
          <w:r>
            <w:rPr>
              <w:i w:val="0"/>
              <w:iCs w:val="0"/>
            </w:rPr>
            <w:t>35</w:t>
          </w:r>
          <w:r>
            <w:rPr>
              <w:i w:val="0"/>
              <w:iCs w:val="0"/>
            </w:rPr>
            <w:fldChar w:fldCharType="end"/>
          </w:r>
          <w:r>
            <w:rPr>
              <w:bCs w:val="0"/>
              <w:i w:val="0"/>
              <w:iCs w:val="0"/>
              <w:caps w:val="0"/>
              <w:smallCaps/>
              <w:szCs w:val="24"/>
            </w:rPr>
            <w:fldChar w:fldCharType="end"/>
          </w:r>
        </w:p>
        <w:p w14:paraId="7FD2B5F6">
          <w:pPr>
            <w:pStyle w:val="19"/>
            <w:keepNext w:val="0"/>
            <w:keepLines w:val="0"/>
            <w:pageBreakBefore w:val="0"/>
            <w:widowControl w:val="0"/>
            <w:tabs>
              <w:tab w:val="right" w:leader="dot" w:pos="9072"/>
            </w:tabs>
            <w:kinsoku/>
            <w:wordWrap/>
            <w:overflowPunct/>
            <w:topLinePunct w:val="0"/>
            <w:autoSpaceDE/>
            <w:autoSpaceDN/>
            <w:bidi w:val="0"/>
            <w:adjustRightInd/>
            <w:snapToGrid/>
            <w:spacing w:line="480" w:lineRule="exact"/>
            <w:textAlignment w:val="auto"/>
            <w:rPr>
              <w:i w:val="0"/>
              <w:iCs w:val="0"/>
            </w:rPr>
          </w:pPr>
          <w:r>
            <w:rPr>
              <w:bCs w:val="0"/>
              <w:i w:val="0"/>
              <w:iCs w:val="0"/>
              <w:caps w:val="0"/>
              <w:smallCaps/>
              <w:szCs w:val="24"/>
            </w:rPr>
            <w:fldChar w:fldCharType="begin"/>
          </w:r>
          <w:r>
            <w:rPr>
              <w:bCs w:val="0"/>
              <w:i w:val="0"/>
              <w:iCs w:val="0"/>
              <w:caps w:val="0"/>
              <w:smallCaps/>
              <w:szCs w:val="24"/>
            </w:rPr>
            <w:instrText xml:space="preserve"> HYPERLINK \l _Toc29609 </w:instrText>
          </w:r>
          <w:r>
            <w:rPr>
              <w:bCs w:val="0"/>
              <w:i w:val="0"/>
              <w:iCs w:val="0"/>
              <w:caps w:val="0"/>
              <w:smallCaps/>
              <w:szCs w:val="24"/>
            </w:rPr>
            <w:fldChar w:fldCharType="separate"/>
          </w:r>
          <w:r>
            <w:rPr>
              <w:i w:val="0"/>
              <w:iCs w:val="0"/>
            </w:rPr>
            <w:t>3.</w:t>
          </w:r>
          <w:r>
            <w:rPr>
              <w:rFonts w:hint="eastAsia"/>
              <w:i w:val="0"/>
              <w:iCs w:val="0"/>
              <w:lang w:val="en-US" w:eastAsia="zh-CN"/>
            </w:rPr>
            <w:t>8</w:t>
          </w:r>
          <w:r>
            <w:rPr>
              <w:i w:val="0"/>
              <w:iCs w:val="0"/>
            </w:rPr>
            <w:t>.4 化学能</w:t>
          </w:r>
          <w:r>
            <w:rPr>
              <w:i w:val="0"/>
              <w:iCs w:val="0"/>
            </w:rPr>
            <w:tab/>
          </w:r>
          <w:r>
            <w:rPr>
              <w:i w:val="0"/>
              <w:iCs w:val="0"/>
            </w:rPr>
            <w:fldChar w:fldCharType="begin"/>
          </w:r>
          <w:r>
            <w:rPr>
              <w:i w:val="0"/>
              <w:iCs w:val="0"/>
            </w:rPr>
            <w:instrText xml:space="preserve"> PAGEREF _Toc29609 \h </w:instrText>
          </w:r>
          <w:r>
            <w:rPr>
              <w:i w:val="0"/>
              <w:iCs w:val="0"/>
            </w:rPr>
            <w:fldChar w:fldCharType="separate"/>
          </w:r>
          <w:r>
            <w:rPr>
              <w:i w:val="0"/>
              <w:iCs w:val="0"/>
            </w:rPr>
            <w:t>36</w:t>
          </w:r>
          <w:r>
            <w:rPr>
              <w:i w:val="0"/>
              <w:iCs w:val="0"/>
            </w:rPr>
            <w:fldChar w:fldCharType="end"/>
          </w:r>
          <w:r>
            <w:rPr>
              <w:bCs w:val="0"/>
              <w:i w:val="0"/>
              <w:iCs w:val="0"/>
              <w:caps w:val="0"/>
              <w:smallCaps/>
              <w:szCs w:val="24"/>
            </w:rPr>
            <w:fldChar w:fldCharType="end"/>
          </w:r>
        </w:p>
        <w:p w14:paraId="624DDECC">
          <w:pPr>
            <w:pStyle w:val="19"/>
            <w:keepNext w:val="0"/>
            <w:keepLines w:val="0"/>
            <w:pageBreakBefore w:val="0"/>
            <w:widowControl w:val="0"/>
            <w:tabs>
              <w:tab w:val="right" w:leader="dot" w:pos="9072"/>
            </w:tabs>
            <w:kinsoku/>
            <w:wordWrap/>
            <w:overflowPunct/>
            <w:topLinePunct w:val="0"/>
            <w:autoSpaceDE/>
            <w:autoSpaceDN/>
            <w:bidi w:val="0"/>
            <w:adjustRightInd/>
            <w:snapToGrid/>
            <w:spacing w:line="480" w:lineRule="exact"/>
            <w:textAlignment w:val="auto"/>
            <w:rPr>
              <w:i w:val="0"/>
              <w:iCs w:val="0"/>
            </w:rPr>
          </w:pPr>
          <w:r>
            <w:rPr>
              <w:bCs w:val="0"/>
              <w:i w:val="0"/>
              <w:iCs w:val="0"/>
              <w:caps w:val="0"/>
              <w:smallCaps/>
              <w:szCs w:val="24"/>
            </w:rPr>
            <w:fldChar w:fldCharType="begin"/>
          </w:r>
          <w:r>
            <w:rPr>
              <w:bCs w:val="0"/>
              <w:i w:val="0"/>
              <w:iCs w:val="0"/>
              <w:caps w:val="0"/>
              <w:smallCaps/>
              <w:szCs w:val="24"/>
            </w:rPr>
            <w:instrText xml:space="preserve"> HYPERLINK \l _Toc13705 </w:instrText>
          </w:r>
          <w:r>
            <w:rPr>
              <w:bCs w:val="0"/>
              <w:i w:val="0"/>
              <w:iCs w:val="0"/>
              <w:caps w:val="0"/>
              <w:smallCaps/>
              <w:szCs w:val="24"/>
            </w:rPr>
            <w:fldChar w:fldCharType="separate"/>
          </w:r>
          <w:r>
            <w:rPr>
              <w:i w:val="0"/>
              <w:iCs w:val="0"/>
            </w:rPr>
            <w:t>3.</w:t>
          </w:r>
          <w:r>
            <w:rPr>
              <w:rFonts w:hint="eastAsia"/>
              <w:i w:val="0"/>
              <w:iCs w:val="0"/>
              <w:lang w:val="en-US" w:eastAsia="zh-CN"/>
            </w:rPr>
            <w:t>8</w:t>
          </w:r>
          <w:r>
            <w:rPr>
              <w:i w:val="0"/>
              <w:iCs w:val="0"/>
            </w:rPr>
            <w:t>.5 热能</w:t>
          </w:r>
          <w:r>
            <w:rPr>
              <w:i w:val="0"/>
              <w:iCs w:val="0"/>
            </w:rPr>
            <w:tab/>
          </w:r>
          <w:r>
            <w:rPr>
              <w:i w:val="0"/>
              <w:iCs w:val="0"/>
            </w:rPr>
            <w:fldChar w:fldCharType="begin"/>
          </w:r>
          <w:r>
            <w:rPr>
              <w:i w:val="0"/>
              <w:iCs w:val="0"/>
            </w:rPr>
            <w:instrText xml:space="preserve"> PAGEREF _Toc13705 \h </w:instrText>
          </w:r>
          <w:r>
            <w:rPr>
              <w:i w:val="0"/>
              <w:iCs w:val="0"/>
            </w:rPr>
            <w:fldChar w:fldCharType="separate"/>
          </w:r>
          <w:r>
            <w:rPr>
              <w:i w:val="0"/>
              <w:iCs w:val="0"/>
            </w:rPr>
            <w:t>37</w:t>
          </w:r>
          <w:r>
            <w:rPr>
              <w:i w:val="0"/>
              <w:iCs w:val="0"/>
            </w:rPr>
            <w:fldChar w:fldCharType="end"/>
          </w:r>
          <w:r>
            <w:rPr>
              <w:bCs w:val="0"/>
              <w:i w:val="0"/>
              <w:iCs w:val="0"/>
              <w:caps w:val="0"/>
              <w:smallCaps/>
              <w:szCs w:val="24"/>
            </w:rPr>
            <w:fldChar w:fldCharType="end"/>
          </w:r>
        </w:p>
        <w:p w14:paraId="739A5958">
          <w:pPr>
            <w:pStyle w:val="27"/>
            <w:keepNext w:val="0"/>
            <w:keepLines w:val="0"/>
            <w:pageBreakBefore w:val="0"/>
            <w:widowControl w:val="0"/>
            <w:tabs>
              <w:tab w:val="right" w:leader="dot" w:pos="9072"/>
              <w:tab w:val="clear" w:pos="9060"/>
            </w:tabs>
            <w:kinsoku/>
            <w:wordWrap/>
            <w:overflowPunct/>
            <w:topLinePunct w:val="0"/>
            <w:autoSpaceDE/>
            <w:autoSpaceDN/>
            <w:bidi w:val="0"/>
            <w:adjustRightInd/>
            <w:snapToGrid/>
            <w:spacing w:before="0" w:after="0" w:line="480" w:lineRule="exact"/>
            <w:textAlignment w:val="auto"/>
            <w:rPr>
              <w:i w:val="0"/>
              <w:iCs w:val="0"/>
            </w:rPr>
          </w:pPr>
          <w:r>
            <w:rPr>
              <w:bCs w:val="0"/>
              <w:i w:val="0"/>
              <w:iCs w:val="0"/>
              <w:caps w:val="0"/>
              <w:smallCaps/>
              <w:szCs w:val="24"/>
            </w:rPr>
            <w:fldChar w:fldCharType="begin"/>
          </w:r>
          <w:r>
            <w:rPr>
              <w:bCs w:val="0"/>
              <w:i w:val="0"/>
              <w:iCs w:val="0"/>
              <w:caps w:val="0"/>
              <w:smallCaps/>
              <w:szCs w:val="24"/>
            </w:rPr>
            <w:instrText xml:space="preserve"> HYPERLINK \l _Toc25011 </w:instrText>
          </w:r>
          <w:r>
            <w:rPr>
              <w:bCs w:val="0"/>
              <w:i w:val="0"/>
              <w:iCs w:val="0"/>
              <w:caps w:val="0"/>
              <w:smallCaps/>
              <w:szCs w:val="24"/>
            </w:rPr>
            <w:fldChar w:fldCharType="separate"/>
          </w:r>
          <w:r>
            <w:rPr>
              <w:rFonts w:hint="eastAsia"/>
              <w:i w:val="0"/>
              <w:iCs w:val="0"/>
            </w:rPr>
            <w:t>4 评价单元划分及评价方法选择</w:t>
          </w:r>
          <w:r>
            <w:rPr>
              <w:i w:val="0"/>
              <w:iCs w:val="0"/>
            </w:rPr>
            <w:tab/>
          </w:r>
          <w:r>
            <w:rPr>
              <w:i w:val="0"/>
              <w:iCs w:val="0"/>
            </w:rPr>
            <w:fldChar w:fldCharType="begin"/>
          </w:r>
          <w:r>
            <w:rPr>
              <w:i w:val="0"/>
              <w:iCs w:val="0"/>
            </w:rPr>
            <w:instrText xml:space="preserve"> PAGEREF _Toc25011 \h </w:instrText>
          </w:r>
          <w:r>
            <w:rPr>
              <w:i w:val="0"/>
              <w:iCs w:val="0"/>
            </w:rPr>
            <w:fldChar w:fldCharType="separate"/>
          </w:r>
          <w:r>
            <w:rPr>
              <w:i w:val="0"/>
              <w:iCs w:val="0"/>
            </w:rPr>
            <w:t>38</w:t>
          </w:r>
          <w:r>
            <w:rPr>
              <w:i w:val="0"/>
              <w:iCs w:val="0"/>
            </w:rPr>
            <w:fldChar w:fldCharType="end"/>
          </w:r>
          <w:r>
            <w:rPr>
              <w:bCs w:val="0"/>
              <w:i w:val="0"/>
              <w:iCs w:val="0"/>
              <w:caps w:val="0"/>
              <w:smallCaps/>
              <w:szCs w:val="24"/>
            </w:rPr>
            <w:fldChar w:fldCharType="end"/>
          </w:r>
        </w:p>
        <w:p w14:paraId="51A4F6FC">
          <w:pPr>
            <w:pStyle w:val="32"/>
            <w:keepNext w:val="0"/>
            <w:keepLines w:val="0"/>
            <w:pageBreakBefore w:val="0"/>
            <w:widowControl w:val="0"/>
            <w:tabs>
              <w:tab w:val="right" w:leader="dot" w:pos="9072"/>
            </w:tabs>
            <w:kinsoku/>
            <w:wordWrap/>
            <w:overflowPunct/>
            <w:topLinePunct w:val="0"/>
            <w:autoSpaceDE/>
            <w:autoSpaceDN/>
            <w:bidi w:val="0"/>
            <w:adjustRightInd/>
            <w:snapToGrid/>
            <w:spacing w:line="480" w:lineRule="exact"/>
            <w:textAlignment w:val="auto"/>
            <w:rPr>
              <w:i w:val="0"/>
              <w:iCs w:val="0"/>
            </w:rPr>
          </w:pPr>
          <w:r>
            <w:rPr>
              <w:bCs w:val="0"/>
              <w:i w:val="0"/>
              <w:iCs w:val="0"/>
              <w:caps w:val="0"/>
              <w:smallCaps/>
              <w:szCs w:val="24"/>
            </w:rPr>
            <w:fldChar w:fldCharType="begin"/>
          </w:r>
          <w:r>
            <w:rPr>
              <w:bCs w:val="0"/>
              <w:i w:val="0"/>
              <w:iCs w:val="0"/>
              <w:caps w:val="0"/>
              <w:smallCaps/>
              <w:szCs w:val="24"/>
            </w:rPr>
            <w:instrText xml:space="preserve"> HYPERLINK \l _Toc24265 </w:instrText>
          </w:r>
          <w:r>
            <w:rPr>
              <w:bCs w:val="0"/>
              <w:i w:val="0"/>
              <w:iCs w:val="0"/>
              <w:caps w:val="0"/>
              <w:smallCaps/>
              <w:szCs w:val="24"/>
            </w:rPr>
            <w:fldChar w:fldCharType="separate"/>
          </w:r>
          <w:r>
            <w:rPr>
              <w:rFonts w:hint="eastAsia"/>
              <w:i w:val="0"/>
              <w:iCs w:val="0"/>
            </w:rPr>
            <w:t>4.1 评价单元的划分</w:t>
          </w:r>
          <w:r>
            <w:rPr>
              <w:i w:val="0"/>
              <w:iCs w:val="0"/>
            </w:rPr>
            <w:tab/>
          </w:r>
          <w:r>
            <w:rPr>
              <w:i w:val="0"/>
              <w:iCs w:val="0"/>
            </w:rPr>
            <w:fldChar w:fldCharType="begin"/>
          </w:r>
          <w:r>
            <w:rPr>
              <w:i w:val="0"/>
              <w:iCs w:val="0"/>
            </w:rPr>
            <w:instrText xml:space="preserve"> PAGEREF _Toc24265 \h </w:instrText>
          </w:r>
          <w:r>
            <w:rPr>
              <w:i w:val="0"/>
              <w:iCs w:val="0"/>
            </w:rPr>
            <w:fldChar w:fldCharType="separate"/>
          </w:r>
          <w:r>
            <w:rPr>
              <w:i w:val="0"/>
              <w:iCs w:val="0"/>
            </w:rPr>
            <w:t>38</w:t>
          </w:r>
          <w:r>
            <w:rPr>
              <w:i w:val="0"/>
              <w:iCs w:val="0"/>
            </w:rPr>
            <w:fldChar w:fldCharType="end"/>
          </w:r>
          <w:r>
            <w:rPr>
              <w:bCs w:val="0"/>
              <w:i w:val="0"/>
              <w:iCs w:val="0"/>
              <w:caps w:val="0"/>
              <w:smallCaps/>
              <w:szCs w:val="24"/>
            </w:rPr>
            <w:fldChar w:fldCharType="end"/>
          </w:r>
        </w:p>
        <w:p w14:paraId="15C33780">
          <w:pPr>
            <w:pStyle w:val="32"/>
            <w:keepNext w:val="0"/>
            <w:keepLines w:val="0"/>
            <w:pageBreakBefore w:val="0"/>
            <w:widowControl w:val="0"/>
            <w:tabs>
              <w:tab w:val="right" w:leader="dot" w:pos="9072"/>
            </w:tabs>
            <w:kinsoku/>
            <w:wordWrap/>
            <w:overflowPunct/>
            <w:topLinePunct w:val="0"/>
            <w:autoSpaceDE/>
            <w:autoSpaceDN/>
            <w:bidi w:val="0"/>
            <w:adjustRightInd/>
            <w:snapToGrid/>
            <w:spacing w:line="480" w:lineRule="exact"/>
            <w:textAlignment w:val="auto"/>
            <w:rPr>
              <w:i w:val="0"/>
              <w:iCs w:val="0"/>
            </w:rPr>
          </w:pPr>
          <w:r>
            <w:rPr>
              <w:bCs w:val="0"/>
              <w:i w:val="0"/>
              <w:iCs w:val="0"/>
              <w:caps w:val="0"/>
              <w:smallCaps/>
              <w:szCs w:val="24"/>
            </w:rPr>
            <w:fldChar w:fldCharType="begin"/>
          </w:r>
          <w:r>
            <w:rPr>
              <w:bCs w:val="0"/>
              <w:i w:val="0"/>
              <w:iCs w:val="0"/>
              <w:caps w:val="0"/>
              <w:smallCaps/>
              <w:szCs w:val="24"/>
            </w:rPr>
            <w:instrText xml:space="preserve"> HYPERLINK \l _Toc7672 </w:instrText>
          </w:r>
          <w:r>
            <w:rPr>
              <w:bCs w:val="0"/>
              <w:i w:val="0"/>
              <w:iCs w:val="0"/>
              <w:caps w:val="0"/>
              <w:smallCaps/>
              <w:szCs w:val="24"/>
            </w:rPr>
            <w:fldChar w:fldCharType="separate"/>
          </w:r>
          <w:r>
            <w:rPr>
              <w:rFonts w:hint="eastAsia"/>
              <w:i w:val="0"/>
              <w:iCs w:val="0"/>
            </w:rPr>
            <w:t>4.2 评价方法及选择</w:t>
          </w:r>
          <w:r>
            <w:rPr>
              <w:i w:val="0"/>
              <w:iCs w:val="0"/>
            </w:rPr>
            <w:tab/>
          </w:r>
          <w:r>
            <w:rPr>
              <w:i w:val="0"/>
              <w:iCs w:val="0"/>
            </w:rPr>
            <w:fldChar w:fldCharType="begin"/>
          </w:r>
          <w:r>
            <w:rPr>
              <w:i w:val="0"/>
              <w:iCs w:val="0"/>
            </w:rPr>
            <w:instrText xml:space="preserve"> PAGEREF _Toc7672 \h </w:instrText>
          </w:r>
          <w:r>
            <w:rPr>
              <w:i w:val="0"/>
              <w:iCs w:val="0"/>
            </w:rPr>
            <w:fldChar w:fldCharType="separate"/>
          </w:r>
          <w:r>
            <w:rPr>
              <w:i w:val="0"/>
              <w:iCs w:val="0"/>
            </w:rPr>
            <w:t>38</w:t>
          </w:r>
          <w:r>
            <w:rPr>
              <w:i w:val="0"/>
              <w:iCs w:val="0"/>
            </w:rPr>
            <w:fldChar w:fldCharType="end"/>
          </w:r>
          <w:r>
            <w:rPr>
              <w:bCs w:val="0"/>
              <w:i w:val="0"/>
              <w:iCs w:val="0"/>
              <w:caps w:val="0"/>
              <w:smallCaps/>
              <w:szCs w:val="24"/>
            </w:rPr>
            <w:fldChar w:fldCharType="end"/>
          </w:r>
        </w:p>
        <w:p w14:paraId="442AE314">
          <w:pPr>
            <w:pStyle w:val="27"/>
            <w:keepNext w:val="0"/>
            <w:keepLines w:val="0"/>
            <w:pageBreakBefore w:val="0"/>
            <w:widowControl w:val="0"/>
            <w:tabs>
              <w:tab w:val="right" w:leader="dot" w:pos="9072"/>
              <w:tab w:val="clear" w:pos="9060"/>
            </w:tabs>
            <w:kinsoku/>
            <w:wordWrap/>
            <w:overflowPunct/>
            <w:topLinePunct w:val="0"/>
            <w:autoSpaceDE/>
            <w:autoSpaceDN/>
            <w:bidi w:val="0"/>
            <w:adjustRightInd/>
            <w:snapToGrid/>
            <w:spacing w:before="0" w:after="0" w:line="480" w:lineRule="exact"/>
            <w:textAlignment w:val="auto"/>
            <w:rPr>
              <w:i w:val="0"/>
              <w:iCs w:val="0"/>
            </w:rPr>
          </w:pPr>
          <w:r>
            <w:rPr>
              <w:bCs w:val="0"/>
              <w:i w:val="0"/>
              <w:iCs w:val="0"/>
              <w:caps w:val="0"/>
              <w:smallCaps/>
              <w:szCs w:val="24"/>
            </w:rPr>
            <w:fldChar w:fldCharType="begin"/>
          </w:r>
          <w:r>
            <w:rPr>
              <w:bCs w:val="0"/>
              <w:i w:val="0"/>
              <w:iCs w:val="0"/>
              <w:caps w:val="0"/>
              <w:smallCaps/>
              <w:szCs w:val="24"/>
            </w:rPr>
            <w:instrText xml:space="preserve"> HYPERLINK \l _Toc19335 </w:instrText>
          </w:r>
          <w:r>
            <w:rPr>
              <w:bCs w:val="0"/>
              <w:i w:val="0"/>
              <w:iCs w:val="0"/>
              <w:caps w:val="0"/>
              <w:smallCaps/>
              <w:szCs w:val="24"/>
            </w:rPr>
            <w:fldChar w:fldCharType="separate"/>
          </w:r>
          <w:r>
            <w:rPr>
              <w:rFonts w:hint="eastAsia"/>
              <w:i w:val="0"/>
              <w:iCs w:val="0"/>
            </w:rPr>
            <w:t>5 定性、定量评价</w:t>
          </w:r>
          <w:r>
            <w:rPr>
              <w:i w:val="0"/>
              <w:iCs w:val="0"/>
            </w:rPr>
            <w:tab/>
          </w:r>
          <w:r>
            <w:rPr>
              <w:i w:val="0"/>
              <w:iCs w:val="0"/>
            </w:rPr>
            <w:fldChar w:fldCharType="begin"/>
          </w:r>
          <w:r>
            <w:rPr>
              <w:i w:val="0"/>
              <w:iCs w:val="0"/>
            </w:rPr>
            <w:instrText xml:space="preserve"> PAGEREF _Toc19335 \h </w:instrText>
          </w:r>
          <w:r>
            <w:rPr>
              <w:i w:val="0"/>
              <w:iCs w:val="0"/>
            </w:rPr>
            <w:fldChar w:fldCharType="separate"/>
          </w:r>
          <w:r>
            <w:rPr>
              <w:i w:val="0"/>
              <w:iCs w:val="0"/>
            </w:rPr>
            <w:t>39</w:t>
          </w:r>
          <w:r>
            <w:rPr>
              <w:i w:val="0"/>
              <w:iCs w:val="0"/>
            </w:rPr>
            <w:fldChar w:fldCharType="end"/>
          </w:r>
          <w:r>
            <w:rPr>
              <w:bCs w:val="0"/>
              <w:i w:val="0"/>
              <w:iCs w:val="0"/>
              <w:caps w:val="0"/>
              <w:smallCaps/>
              <w:szCs w:val="24"/>
            </w:rPr>
            <w:fldChar w:fldCharType="end"/>
          </w:r>
        </w:p>
        <w:p w14:paraId="6A1DBF41">
          <w:pPr>
            <w:pStyle w:val="32"/>
            <w:keepNext w:val="0"/>
            <w:keepLines w:val="0"/>
            <w:pageBreakBefore w:val="0"/>
            <w:widowControl w:val="0"/>
            <w:tabs>
              <w:tab w:val="right" w:leader="dot" w:pos="9072"/>
            </w:tabs>
            <w:kinsoku/>
            <w:wordWrap/>
            <w:overflowPunct/>
            <w:topLinePunct w:val="0"/>
            <w:autoSpaceDE/>
            <w:autoSpaceDN/>
            <w:bidi w:val="0"/>
            <w:adjustRightInd/>
            <w:snapToGrid/>
            <w:spacing w:line="480" w:lineRule="exact"/>
            <w:textAlignment w:val="auto"/>
            <w:rPr>
              <w:i w:val="0"/>
              <w:iCs w:val="0"/>
            </w:rPr>
          </w:pPr>
          <w:r>
            <w:rPr>
              <w:bCs w:val="0"/>
              <w:i w:val="0"/>
              <w:iCs w:val="0"/>
              <w:caps w:val="0"/>
              <w:smallCaps/>
              <w:szCs w:val="24"/>
            </w:rPr>
            <w:fldChar w:fldCharType="begin"/>
          </w:r>
          <w:r>
            <w:rPr>
              <w:bCs w:val="0"/>
              <w:i w:val="0"/>
              <w:iCs w:val="0"/>
              <w:caps w:val="0"/>
              <w:smallCaps/>
              <w:szCs w:val="24"/>
            </w:rPr>
            <w:instrText xml:space="preserve"> HYPERLINK \l _Toc5682 </w:instrText>
          </w:r>
          <w:r>
            <w:rPr>
              <w:bCs w:val="0"/>
              <w:i w:val="0"/>
              <w:iCs w:val="0"/>
              <w:caps w:val="0"/>
              <w:smallCaps/>
              <w:szCs w:val="24"/>
            </w:rPr>
            <w:fldChar w:fldCharType="separate"/>
          </w:r>
          <w:r>
            <w:rPr>
              <w:rFonts w:hint="eastAsia"/>
              <w:i w:val="0"/>
              <w:iCs w:val="0"/>
            </w:rPr>
            <w:t>5.1 资料审核单元安全评价</w:t>
          </w:r>
          <w:r>
            <w:rPr>
              <w:i w:val="0"/>
              <w:iCs w:val="0"/>
            </w:rPr>
            <w:tab/>
          </w:r>
          <w:r>
            <w:rPr>
              <w:i w:val="0"/>
              <w:iCs w:val="0"/>
            </w:rPr>
            <w:fldChar w:fldCharType="begin"/>
          </w:r>
          <w:r>
            <w:rPr>
              <w:i w:val="0"/>
              <w:iCs w:val="0"/>
            </w:rPr>
            <w:instrText xml:space="preserve"> PAGEREF _Toc5682 \h </w:instrText>
          </w:r>
          <w:r>
            <w:rPr>
              <w:i w:val="0"/>
              <w:iCs w:val="0"/>
            </w:rPr>
            <w:fldChar w:fldCharType="separate"/>
          </w:r>
          <w:r>
            <w:rPr>
              <w:i w:val="0"/>
              <w:iCs w:val="0"/>
            </w:rPr>
            <w:t>39</w:t>
          </w:r>
          <w:r>
            <w:rPr>
              <w:i w:val="0"/>
              <w:iCs w:val="0"/>
            </w:rPr>
            <w:fldChar w:fldCharType="end"/>
          </w:r>
          <w:r>
            <w:rPr>
              <w:bCs w:val="0"/>
              <w:i w:val="0"/>
              <w:iCs w:val="0"/>
              <w:caps w:val="0"/>
              <w:smallCaps/>
              <w:szCs w:val="24"/>
            </w:rPr>
            <w:fldChar w:fldCharType="end"/>
          </w:r>
        </w:p>
        <w:p w14:paraId="3CDEAD36">
          <w:pPr>
            <w:pStyle w:val="32"/>
            <w:keepNext w:val="0"/>
            <w:keepLines w:val="0"/>
            <w:pageBreakBefore w:val="0"/>
            <w:widowControl w:val="0"/>
            <w:tabs>
              <w:tab w:val="right" w:leader="dot" w:pos="9072"/>
            </w:tabs>
            <w:kinsoku/>
            <w:wordWrap/>
            <w:overflowPunct/>
            <w:topLinePunct w:val="0"/>
            <w:autoSpaceDE/>
            <w:autoSpaceDN/>
            <w:bidi w:val="0"/>
            <w:adjustRightInd/>
            <w:snapToGrid/>
            <w:spacing w:line="480" w:lineRule="exact"/>
            <w:textAlignment w:val="auto"/>
            <w:rPr>
              <w:i w:val="0"/>
              <w:iCs w:val="0"/>
            </w:rPr>
          </w:pPr>
          <w:r>
            <w:rPr>
              <w:bCs w:val="0"/>
              <w:i w:val="0"/>
              <w:iCs w:val="0"/>
              <w:caps w:val="0"/>
              <w:smallCaps/>
              <w:szCs w:val="24"/>
            </w:rPr>
            <w:fldChar w:fldCharType="begin"/>
          </w:r>
          <w:r>
            <w:rPr>
              <w:bCs w:val="0"/>
              <w:i w:val="0"/>
              <w:iCs w:val="0"/>
              <w:caps w:val="0"/>
              <w:smallCaps/>
              <w:szCs w:val="24"/>
            </w:rPr>
            <w:instrText xml:space="preserve"> HYPERLINK \l _Toc15899 </w:instrText>
          </w:r>
          <w:r>
            <w:rPr>
              <w:bCs w:val="0"/>
              <w:i w:val="0"/>
              <w:iCs w:val="0"/>
              <w:caps w:val="0"/>
              <w:smallCaps/>
              <w:szCs w:val="24"/>
            </w:rPr>
            <w:fldChar w:fldCharType="separate"/>
          </w:r>
          <w:r>
            <w:rPr>
              <w:rFonts w:hint="eastAsia"/>
              <w:i w:val="0"/>
              <w:iCs w:val="0"/>
            </w:rPr>
            <w:t>5.2 总体布局和条件设施单元安全评价</w:t>
          </w:r>
          <w:r>
            <w:rPr>
              <w:i w:val="0"/>
              <w:iCs w:val="0"/>
            </w:rPr>
            <w:tab/>
          </w:r>
          <w:r>
            <w:rPr>
              <w:i w:val="0"/>
              <w:iCs w:val="0"/>
            </w:rPr>
            <w:fldChar w:fldCharType="begin"/>
          </w:r>
          <w:r>
            <w:rPr>
              <w:i w:val="0"/>
              <w:iCs w:val="0"/>
            </w:rPr>
            <w:instrText xml:space="preserve"> PAGEREF _Toc15899 \h </w:instrText>
          </w:r>
          <w:r>
            <w:rPr>
              <w:i w:val="0"/>
              <w:iCs w:val="0"/>
            </w:rPr>
            <w:fldChar w:fldCharType="separate"/>
          </w:r>
          <w:r>
            <w:rPr>
              <w:i w:val="0"/>
              <w:iCs w:val="0"/>
            </w:rPr>
            <w:t>41</w:t>
          </w:r>
          <w:r>
            <w:rPr>
              <w:i w:val="0"/>
              <w:iCs w:val="0"/>
            </w:rPr>
            <w:fldChar w:fldCharType="end"/>
          </w:r>
          <w:r>
            <w:rPr>
              <w:bCs w:val="0"/>
              <w:i w:val="0"/>
              <w:iCs w:val="0"/>
              <w:caps w:val="0"/>
              <w:smallCaps/>
              <w:szCs w:val="24"/>
            </w:rPr>
            <w:fldChar w:fldCharType="end"/>
          </w:r>
        </w:p>
        <w:p w14:paraId="168E5A0E">
          <w:pPr>
            <w:pStyle w:val="32"/>
            <w:keepNext w:val="0"/>
            <w:keepLines w:val="0"/>
            <w:pageBreakBefore w:val="0"/>
            <w:widowControl w:val="0"/>
            <w:tabs>
              <w:tab w:val="right" w:leader="dot" w:pos="9072"/>
            </w:tabs>
            <w:kinsoku/>
            <w:wordWrap/>
            <w:overflowPunct/>
            <w:topLinePunct w:val="0"/>
            <w:autoSpaceDE/>
            <w:autoSpaceDN/>
            <w:bidi w:val="0"/>
            <w:adjustRightInd/>
            <w:snapToGrid/>
            <w:spacing w:line="480" w:lineRule="exact"/>
            <w:textAlignment w:val="auto"/>
            <w:rPr>
              <w:i w:val="0"/>
              <w:iCs w:val="0"/>
            </w:rPr>
          </w:pPr>
          <w:r>
            <w:rPr>
              <w:bCs w:val="0"/>
              <w:i w:val="0"/>
              <w:iCs w:val="0"/>
              <w:caps w:val="0"/>
              <w:smallCaps/>
              <w:szCs w:val="24"/>
            </w:rPr>
            <w:fldChar w:fldCharType="begin"/>
          </w:r>
          <w:r>
            <w:rPr>
              <w:bCs w:val="0"/>
              <w:i w:val="0"/>
              <w:iCs w:val="0"/>
              <w:caps w:val="0"/>
              <w:smallCaps/>
              <w:szCs w:val="24"/>
            </w:rPr>
            <w:instrText xml:space="preserve"> HYPERLINK \l _Toc26836 </w:instrText>
          </w:r>
          <w:r>
            <w:rPr>
              <w:bCs w:val="0"/>
              <w:i w:val="0"/>
              <w:iCs w:val="0"/>
              <w:caps w:val="0"/>
              <w:smallCaps/>
              <w:szCs w:val="24"/>
            </w:rPr>
            <w:fldChar w:fldCharType="separate"/>
          </w:r>
          <w:r>
            <w:rPr>
              <w:rFonts w:hint="eastAsia"/>
              <w:i w:val="0"/>
              <w:iCs w:val="0"/>
            </w:rPr>
            <w:t>5.3 现场检查单元安全评价</w:t>
          </w:r>
          <w:r>
            <w:rPr>
              <w:i w:val="0"/>
              <w:iCs w:val="0"/>
            </w:rPr>
            <w:tab/>
          </w:r>
          <w:r>
            <w:rPr>
              <w:i w:val="0"/>
              <w:iCs w:val="0"/>
            </w:rPr>
            <w:fldChar w:fldCharType="begin"/>
          </w:r>
          <w:r>
            <w:rPr>
              <w:i w:val="0"/>
              <w:iCs w:val="0"/>
            </w:rPr>
            <w:instrText xml:space="preserve"> PAGEREF _Toc26836 \h </w:instrText>
          </w:r>
          <w:r>
            <w:rPr>
              <w:i w:val="0"/>
              <w:iCs w:val="0"/>
            </w:rPr>
            <w:fldChar w:fldCharType="separate"/>
          </w:r>
          <w:r>
            <w:rPr>
              <w:i w:val="0"/>
              <w:iCs w:val="0"/>
            </w:rPr>
            <w:t>42</w:t>
          </w:r>
          <w:r>
            <w:rPr>
              <w:i w:val="0"/>
              <w:iCs w:val="0"/>
            </w:rPr>
            <w:fldChar w:fldCharType="end"/>
          </w:r>
          <w:r>
            <w:rPr>
              <w:bCs w:val="0"/>
              <w:i w:val="0"/>
              <w:iCs w:val="0"/>
              <w:caps w:val="0"/>
              <w:smallCaps/>
              <w:szCs w:val="24"/>
            </w:rPr>
            <w:fldChar w:fldCharType="end"/>
          </w:r>
        </w:p>
        <w:p w14:paraId="7502BDBB">
          <w:pPr>
            <w:pStyle w:val="32"/>
            <w:keepNext w:val="0"/>
            <w:keepLines w:val="0"/>
            <w:pageBreakBefore w:val="0"/>
            <w:widowControl w:val="0"/>
            <w:tabs>
              <w:tab w:val="right" w:leader="dot" w:pos="9072"/>
            </w:tabs>
            <w:kinsoku/>
            <w:wordWrap/>
            <w:overflowPunct/>
            <w:topLinePunct w:val="0"/>
            <w:autoSpaceDE/>
            <w:autoSpaceDN/>
            <w:bidi w:val="0"/>
            <w:adjustRightInd/>
            <w:snapToGrid/>
            <w:spacing w:line="480" w:lineRule="exact"/>
            <w:textAlignment w:val="auto"/>
            <w:rPr>
              <w:i w:val="0"/>
              <w:iCs w:val="0"/>
            </w:rPr>
          </w:pPr>
          <w:r>
            <w:rPr>
              <w:bCs w:val="0"/>
              <w:i w:val="0"/>
              <w:iCs w:val="0"/>
              <w:caps w:val="0"/>
              <w:smallCaps/>
              <w:szCs w:val="24"/>
            </w:rPr>
            <w:fldChar w:fldCharType="begin"/>
          </w:r>
          <w:r>
            <w:rPr>
              <w:bCs w:val="0"/>
              <w:i w:val="0"/>
              <w:iCs w:val="0"/>
              <w:caps w:val="0"/>
              <w:smallCaps/>
              <w:szCs w:val="24"/>
            </w:rPr>
            <w:instrText xml:space="preserve"> HYPERLINK \l _Toc4792 </w:instrText>
          </w:r>
          <w:r>
            <w:rPr>
              <w:bCs w:val="0"/>
              <w:i w:val="0"/>
              <w:iCs w:val="0"/>
              <w:caps w:val="0"/>
              <w:smallCaps/>
              <w:szCs w:val="24"/>
            </w:rPr>
            <w:fldChar w:fldCharType="separate"/>
          </w:r>
          <w:r>
            <w:rPr>
              <w:rFonts w:hint="eastAsia"/>
              <w:i w:val="0"/>
              <w:iCs w:val="0"/>
            </w:rPr>
            <w:t>5.4</w:t>
          </w:r>
          <w:r>
            <w:rPr>
              <w:rFonts w:hint="eastAsia"/>
              <w:i w:val="0"/>
              <w:iCs w:val="0"/>
              <w:lang w:val="en-US" w:eastAsia="zh-CN"/>
            </w:rPr>
            <w:t xml:space="preserve"> </w:t>
          </w:r>
          <w:r>
            <w:rPr>
              <w:rFonts w:hint="eastAsia"/>
              <w:i w:val="0"/>
              <w:iCs w:val="0"/>
            </w:rPr>
            <w:t>安全防护设施评价</w:t>
          </w:r>
          <w:r>
            <w:rPr>
              <w:i w:val="0"/>
              <w:iCs w:val="0"/>
            </w:rPr>
            <w:tab/>
          </w:r>
          <w:r>
            <w:rPr>
              <w:i w:val="0"/>
              <w:iCs w:val="0"/>
            </w:rPr>
            <w:fldChar w:fldCharType="begin"/>
          </w:r>
          <w:r>
            <w:rPr>
              <w:i w:val="0"/>
              <w:iCs w:val="0"/>
            </w:rPr>
            <w:instrText xml:space="preserve"> PAGEREF _Toc4792 \h </w:instrText>
          </w:r>
          <w:r>
            <w:rPr>
              <w:i w:val="0"/>
              <w:iCs w:val="0"/>
            </w:rPr>
            <w:fldChar w:fldCharType="separate"/>
          </w:r>
          <w:r>
            <w:rPr>
              <w:i w:val="0"/>
              <w:iCs w:val="0"/>
            </w:rPr>
            <w:t>44</w:t>
          </w:r>
          <w:r>
            <w:rPr>
              <w:i w:val="0"/>
              <w:iCs w:val="0"/>
            </w:rPr>
            <w:fldChar w:fldCharType="end"/>
          </w:r>
          <w:r>
            <w:rPr>
              <w:bCs w:val="0"/>
              <w:i w:val="0"/>
              <w:iCs w:val="0"/>
              <w:caps w:val="0"/>
              <w:smallCaps/>
              <w:szCs w:val="24"/>
            </w:rPr>
            <w:fldChar w:fldCharType="end"/>
          </w:r>
        </w:p>
        <w:p w14:paraId="019BA843">
          <w:pPr>
            <w:pStyle w:val="32"/>
            <w:keepNext w:val="0"/>
            <w:keepLines w:val="0"/>
            <w:pageBreakBefore w:val="0"/>
            <w:widowControl w:val="0"/>
            <w:tabs>
              <w:tab w:val="right" w:leader="dot" w:pos="9072"/>
            </w:tabs>
            <w:kinsoku/>
            <w:wordWrap/>
            <w:overflowPunct/>
            <w:topLinePunct w:val="0"/>
            <w:autoSpaceDE/>
            <w:autoSpaceDN/>
            <w:bidi w:val="0"/>
            <w:adjustRightInd/>
            <w:snapToGrid/>
            <w:spacing w:line="480" w:lineRule="exact"/>
            <w:textAlignment w:val="auto"/>
            <w:rPr>
              <w:i w:val="0"/>
              <w:iCs w:val="0"/>
            </w:rPr>
          </w:pPr>
          <w:r>
            <w:rPr>
              <w:bCs w:val="0"/>
              <w:i w:val="0"/>
              <w:iCs w:val="0"/>
              <w:caps w:val="0"/>
              <w:smallCaps/>
              <w:szCs w:val="24"/>
            </w:rPr>
            <w:fldChar w:fldCharType="begin"/>
          </w:r>
          <w:r>
            <w:rPr>
              <w:bCs w:val="0"/>
              <w:i w:val="0"/>
              <w:iCs w:val="0"/>
              <w:caps w:val="0"/>
              <w:smallCaps/>
              <w:szCs w:val="24"/>
            </w:rPr>
            <w:instrText xml:space="preserve"> HYPERLINK \l _Toc8846 </w:instrText>
          </w:r>
          <w:r>
            <w:rPr>
              <w:bCs w:val="0"/>
              <w:i w:val="0"/>
              <w:iCs w:val="0"/>
              <w:caps w:val="0"/>
              <w:smallCaps/>
              <w:szCs w:val="24"/>
            </w:rPr>
            <w:fldChar w:fldCharType="separate"/>
          </w:r>
          <w:r>
            <w:rPr>
              <w:rFonts w:hint="eastAsia"/>
              <w:i w:val="0"/>
              <w:iCs w:val="0"/>
            </w:rPr>
            <w:t>5.4.1 防雷、防静电设施</w:t>
          </w:r>
          <w:r>
            <w:rPr>
              <w:i w:val="0"/>
              <w:iCs w:val="0"/>
            </w:rPr>
            <w:tab/>
          </w:r>
          <w:r>
            <w:rPr>
              <w:i w:val="0"/>
              <w:iCs w:val="0"/>
            </w:rPr>
            <w:fldChar w:fldCharType="begin"/>
          </w:r>
          <w:r>
            <w:rPr>
              <w:i w:val="0"/>
              <w:iCs w:val="0"/>
            </w:rPr>
            <w:instrText xml:space="preserve"> PAGEREF _Toc8846 \h </w:instrText>
          </w:r>
          <w:r>
            <w:rPr>
              <w:i w:val="0"/>
              <w:iCs w:val="0"/>
            </w:rPr>
            <w:fldChar w:fldCharType="separate"/>
          </w:r>
          <w:r>
            <w:rPr>
              <w:i w:val="0"/>
              <w:iCs w:val="0"/>
            </w:rPr>
            <w:t>44</w:t>
          </w:r>
          <w:r>
            <w:rPr>
              <w:i w:val="0"/>
              <w:iCs w:val="0"/>
            </w:rPr>
            <w:fldChar w:fldCharType="end"/>
          </w:r>
          <w:r>
            <w:rPr>
              <w:bCs w:val="0"/>
              <w:i w:val="0"/>
              <w:iCs w:val="0"/>
              <w:caps w:val="0"/>
              <w:smallCaps/>
              <w:szCs w:val="24"/>
            </w:rPr>
            <w:fldChar w:fldCharType="end"/>
          </w:r>
        </w:p>
        <w:p w14:paraId="0507C660">
          <w:pPr>
            <w:pStyle w:val="32"/>
            <w:keepNext w:val="0"/>
            <w:keepLines w:val="0"/>
            <w:pageBreakBefore w:val="0"/>
            <w:widowControl w:val="0"/>
            <w:tabs>
              <w:tab w:val="right" w:leader="dot" w:pos="9072"/>
            </w:tabs>
            <w:kinsoku/>
            <w:wordWrap/>
            <w:overflowPunct/>
            <w:topLinePunct w:val="0"/>
            <w:autoSpaceDE/>
            <w:autoSpaceDN/>
            <w:bidi w:val="0"/>
            <w:adjustRightInd/>
            <w:snapToGrid/>
            <w:spacing w:line="480" w:lineRule="exact"/>
            <w:textAlignment w:val="auto"/>
            <w:rPr>
              <w:i w:val="0"/>
              <w:iCs w:val="0"/>
            </w:rPr>
          </w:pPr>
          <w:r>
            <w:rPr>
              <w:bCs w:val="0"/>
              <w:i w:val="0"/>
              <w:iCs w:val="0"/>
              <w:caps w:val="0"/>
              <w:smallCaps/>
              <w:szCs w:val="24"/>
            </w:rPr>
            <w:fldChar w:fldCharType="begin"/>
          </w:r>
          <w:r>
            <w:rPr>
              <w:bCs w:val="0"/>
              <w:i w:val="0"/>
              <w:iCs w:val="0"/>
              <w:caps w:val="0"/>
              <w:smallCaps/>
              <w:szCs w:val="24"/>
            </w:rPr>
            <w:instrText xml:space="preserve"> HYPERLINK \l _Toc26485 </w:instrText>
          </w:r>
          <w:r>
            <w:rPr>
              <w:bCs w:val="0"/>
              <w:i w:val="0"/>
              <w:iCs w:val="0"/>
              <w:caps w:val="0"/>
              <w:smallCaps/>
              <w:szCs w:val="24"/>
            </w:rPr>
            <w:fldChar w:fldCharType="separate"/>
          </w:r>
          <w:r>
            <w:rPr>
              <w:rFonts w:hint="eastAsia"/>
              <w:i w:val="0"/>
              <w:iCs w:val="0"/>
            </w:rPr>
            <w:t>5.4.2 其它安全设施评价汇总</w:t>
          </w:r>
          <w:r>
            <w:rPr>
              <w:i w:val="0"/>
              <w:iCs w:val="0"/>
            </w:rPr>
            <w:tab/>
          </w:r>
          <w:r>
            <w:rPr>
              <w:i w:val="0"/>
              <w:iCs w:val="0"/>
            </w:rPr>
            <w:fldChar w:fldCharType="begin"/>
          </w:r>
          <w:r>
            <w:rPr>
              <w:i w:val="0"/>
              <w:iCs w:val="0"/>
            </w:rPr>
            <w:instrText xml:space="preserve"> PAGEREF _Toc26485 \h </w:instrText>
          </w:r>
          <w:r>
            <w:rPr>
              <w:i w:val="0"/>
              <w:iCs w:val="0"/>
            </w:rPr>
            <w:fldChar w:fldCharType="separate"/>
          </w:r>
          <w:r>
            <w:rPr>
              <w:i w:val="0"/>
              <w:iCs w:val="0"/>
            </w:rPr>
            <w:t>44</w:t>
          </w:r>
          <w:r>
            <w:rPr>
              <w:i w:val="0"/>
              <w:iCs w:val="0"/>
            </w:rPr>
            <w:fldChar w:fldCharType="end"/>
          </w:r>
          <w:r>
            <w:rPr>
              <w:bCs w:val="0"/>
              <w:i w:val="0"/>
              <w:iCs w:val="0"/>
              <w:caps w:val="0"/>
              <w:smallCaps/>
              <w:szCs w:val="24"/>
            </w:rPr>
            <w:fldChar w:fldCharType="end"/>
          </w:r>
        </w:p>
        <w:p w14:paraId="48EC1D35">
          <w:pPr>
            <w:pStyle w:val="32"/>
            <w:keepNext w:val="0"/>
            <w:keepLines w:val="0"/>
            <w:pageBreakBefore w:val="0"/>
            <w:widowControl w:val="0"/>
            <w:tabs>
              <w:tab w:val="right" w:leader="dot" w:pos="9072"/>
            </w:tabs>
            <w:kinsoku/>
            <w:wordWrap/>
            <w:overflowPunct/>
            <w:topLinePunct w:val="0"/>
            <w:autoSpaceDE/>
            <w:autoSpaceDN/>
            <w:bidi w:val="0"/>
            <w:adjustRightInd/>
            <w:snapToGrid/>
            <w:spacing w:line="480" w:lineRule="exact"/>
            <w:textAlignment w:val="auto"/>
            <w:rPr>
              <w:i w:val="0"/>
              <w:iCs w:val="0"/>
            </w:rPr>
          </w:pPr>
          <w:r>
            <w:rPr>
              <w:bCs w:val="0"/>
              <w:i w:val="0"/>
              <w:iCs w:val="0"/>
              <w:caps w:val="0"/>
              <w:smallCaps/>
              <w:szCs w:val="24"/>
            </w:rPr>
            <w:fldChar w:fldCharType="begin"/>
          </w:r>
          <w:r>
            <w:rPr>
              <w:bCs w:val="0"/>
              <w:i w:val="0"/>
              <w:iCs w:val="0"/>
              <w:caps w:val="0"/>
              <w:smallCaps/>
              <w:szCs w:val="24"/>
            </w:rPr>
            <w:instrText xml:space="preserve"> HYPERLINK \l _Toc9400 </w:instrText>
          </w:r>
          <w:r>
            <w:rPr>
              <w:bCs w:val="0"/>
              <w:i w:val="0"/>
              <w:iCs w:val="0"/>
              <w:caps w:val="0"/>
              <w:smallCaps/>
              <w:szCs w:val="24"/>
            </w:rPr>
            <w:fldChar w:fldCharType="separate"/>
          </w:r>
          <w:r>
            <w:rPr>
              <w:rFonts w:hint="eastAsia"/>
              <w:i w:val="0"/>
              <w:iCs w:val="0"/>
            </w:rPr>
            <w:t>5.5 建筑结构与耐火等级</w:t>
          </w:r>
          <w:r>
            <w:rPr>
              <w:i w:val="0"/>
              <w:iCs w:val="0"/>
            </w:rPr>
            <w:tab/>
          </w:r>
          <w:r>
            <w:rPr>
              <w:i w:val="0"/>
              <w:iCs w:val="0"/>
            </w:rPr>
            <w:fldChar w:fldCharType="begin"/>
          </w:r>
          <w:r>
            <w:rPr>
              <w:i w:val="0"/>
              <w:iCs w:val="0"/>
            </w:rPr>
            <w:instrText xml:space="preserve"> PAGEREF _Toc9400 \h </w:instrText>
          </w:r>
          <w:r>
            <w:rPr>
              <w:i w:val="0"/>
              <w:iCs w:val="0"/>
            </w:rPr>
            <w:fldChar w:fldCharType="separate"/>
          </w:r>
          <w:r>
            <w:rPr>
              <w:i w:val="0"/>
              <w:iCs w:val="0"/>
            </w:rPr>
            <w:t>45</w:t>
          </w:r>
          <w:r>
            <w:rPr>
              <w:i w:val="0"/>
              <w:iCs w:val="0"/>
            </w:rPr>
            <w:fldChar w:fldCharType="end"/>
          </w:r>
          <w:r>
            <w:rPr>
              <w:bCs w:val="0"/>
              <w:i w:val="0"/>
              <w:iCs w:val="0"/>
              <w:caps w:val="0"/>
              <w:smallCaps/>
              <w:szCs w:val="24"/>
            </w:rPr>
            <w:fldChar w:fldCharType="end"/>
          </w:r>
        </w:p>
        <w:p w14:paraId="4BF8033D">
          <w:pPr>
            <w:pStyle w:val="32"/>
            <w:keepNext w:val="0"/>
            <w:keepLines w:val="0"/>
            <w:pageBreakBefore w:val="0"/>
            <w:widowControl w:val="0"/>
            <w:tabs>
              <w:tab w:val="right" w:leader="dot" w:pos="9072"/>
            </w:tabs>
            <w:kinsoku/>
            <w:wordWrap/>
            <w:overflowPunct/>
            <w:topLinePunct w:val="0"/>
            <w:autoSpaceDE/>
            <w:autoSpaceDN/>
            <w:bidi w:val="0"/>
            <w:adjustRightInd/>
            <w:snapToGrid/>
            <w:spacing w:line="480" w:lineRule="exact"/>
            <w:textAlignment w:val="auto"/>
            <w:rPr>
              <w:i w:val="0"/>
              <w:iCs w:val="0"/>
            </w:rPr>
          </w:pPr>
          <w:r>
            <w:rPr>
              <w:bCs w:val="0"/>
              <w:i w:val="0"/>
              <w:iCs w:val="0"/>
              <w:caps w:val="0"/>
              <w:smallCaps/>
              <w:szCs w:val="24"/>
            </w:rPr>
            <w:fldChar w:fldCharType="begin"/>
          </w:r>
          <w:r>
            <w:rPr>
              <w:bCs w:val="0"/>
              <w:i w:val="0"/>
              <w:iCs w:val="0"/>
              <w:caps w:val="0"/>
              <w:smallCaps/>
              <w:szCs w:val="24"/>
            </w:rPr>
            <w:instrText xml:space="preserve"> HYPERLINK \l _Toc19836 </w:instrText>
          </w:r>
          <w:r>
            <w:rPr>
              <w:bCs w:val="0"/>
              <w:i w:val="0"/>
              <w:iCs w:val="0"/>
              <w:caps w:val="0"/>
              <w:smallCaps/>
              <w:szCs w:val="24"/>
            </w:rPr>
            <w:fldChar w:fldCharType="separate"/>
          </w:r>
          <w:r>
            <w:rPr>
              <w:rFonts w:hint="eastAsia"/>
              <w:i w:val="0"/>
              <w:iCs w:val="0"/>
            </w:rPr>
            <w:t>5.6 危险性建筑物内外部距离</w:t>
          </w:r>
          <w:r>
            <w:rPr>
              <w:i w:val="0"/>
              <w:iCs w:val="0"/>
            </w:rPr>
            <w:tab/>
          </w:r>
          <w:r>
            <w:rPr>
              <w:i w:val="0"/>
              <w:iCs w:val="0"/>
            </w:rPr>
            <w:fldChar w:fldCharType="begin"/>
          </w:r>
          <w:r>
            <w:rPr>
              <w:i w:val="0"/>
              <w:iCs w:val="0"/>
            </w:rPr>
            <w:instrText xml:space="preserve"> PAGEREF _Toc19836 \h </w:instrText>
          </w:r>
          <w:r>
            <w:rPr>
              <w:i w:val="0"/>
              <w:iCs w:val="0"/>
            </w:rPr>
            <w:fldChar w:fldCharType="separate"/>
          </w:r>
          <w:r>
            <w:rPr>
              <w:i w:val="0"/>
              <w:iCs w:val="0"/>
            </w:rPr>
            <w:t>46</w:t>
          </w:r>
          <w:r>
            <w:rPr>
              <w:i w:val="0"/>
              <w:iCs w:val="0"/>
            </w:rPr>
            <w:fldChar w:fldCharType="end"/>
          </w:r>
          <w:r>
            <w:rPr>
              <w:bCs w:val="0"/>
              <w:i w:val="0"/>
              <w:iCs w:val="0"/>
              <w:caps w:val="0"/>
              <w:smallCaps/>
              <w:szCs w:val="24"/>
            </w:rPr>
            <w:fldChar w:fldCharType="end"/>
          </w:r>
        </w:p>
        <w:p w14:paraId="6541E370">
          <w:pPr>
            <w:pStyle w:val="19"/>
            <w:keepNext w:val="0"/>
            <w:keepLines w:val="0"/>
            <w:pageBreakBefore w:val="0"/>
            <w:widowControl w:val="0"/>
            <w:tabs>
              <w:tab w:val="right" w:leader="dot" w:pos="9072"/>
            </w:tabs>
            <w:kinsoku/>
            <w:wordWrap/>
            <w:overflowPunct/>
            <w:topLinePunct w:val="0"/>
            <w:autoSpaceDE/>
            <w:autoSpaceDN/>
            <w:bidi w:val="0"/>
            <w:adjustRightInd/>
            <w:snapToGrid/>
            <w:spacing w:line="480" w:lineRule="exact"/>
            <w:textAlignment w:val="auto"/>
            <w:rPr>
              <w:i w:val="0"/>
              <w:iCs w:val="0"/>
            </w:rPr>
          </w:pPr>
          <w:r>
            <w:rPr>
              <w:bCs w:val="0"/>
              <w:i w:val="0"/>
              <w:iCs w:val="0"/>
              <w:caps w:val="0"/>
              <w:smallCaps/>
              <w:szCs w:val="24"/>
            </w:rPr>
            <w:fldChar w:fldCharType="begin"/>
          </w:r>
          <w:r>
            <w:rPr>
              <w:bCs w:val="0"/>
              <w:i w:val="0"/>
              <w:iCs w:val="0"/>
              <w:caps w:val="0"/>
              <w:smallCaps/>
              <w:szCs w:val="24"/>
            </w:rPr>
            <w:instrText xml:space="preserve"> HYPERLINK \l _Toc25657 </w:instrText>
          </w:r>
          <w:r>
            <w:rPr>
              <w:bCs w:val="0"/>
              <w:i w:val="0"/>
              <w:iCs w:val="0"/>
              <w:caps w:val="0"/>
              <w:smallCaps/>
              <w:szCs w:val="24"/>
            </w:rPr>
            <w:fldChar w:fldCharType="separate"/>
          </w:r>
          <w:r>
            <w:rPr>
              <w:rFonts w:hint="eastAsia"/>
              <w:i w:val="0"/>
              <w:iCs w:val="0"/>
            </w:rPr>
            <w:t>5.6.1 内部距离</w:t>
          </w:r>
          <w:r>
            <w:rPr>
              <w:i w:val="0"/>
              <w:iCs w:val="0"/>
            </w:rPr>
            <w:tab/>
          </w:r>
          <w:r>
            <w:rPr>
              <w:i w:val="0"/>
              <w:iCs w:val="0"/>
            </w:rPr>
            <w:fldChar w:fldCharType="begin"/>
          </w:r>
          <w:r>
            <w:rPr>
              <w:i w:val="0"/>
              <w:iCs w:val="0"/>
            </w:rPr>
            <w:instrText xml:space="preserve"> PAGEREF _Toc25657 \h </w:instrText>
          </w:r>
          <w:r>
            <w:rPr>
              <w:i w:val="0"/>
              <w:iCs w:val="0"/>
            </w:rPr>
            <w:fldChar w:fldCharType="separate"/>
          </w:r>
          <w:r>
            <w:rPr>
              <w:i w:val="0"/>
              <w:iCs w:val="0"/>
            </w:rPr>
            <w:t>46</w:t>
          </w:r>
          <w:r>
            <w:rPr>
              <w:i w:val="0"/>
              <w:iCs w:val="0"/>
            </w:rPr>
            <w:fldChar w:fldCharType="end"/>
          </w:r>
          <w:r>
            <w:rPr>
              <w:bCs w:val="0"/>
              <w:i w:val="0"/>
              <w:iCs w:val="0"/>
              <w:caps w:val="0"/>
              <w:smallCaps/>
              <w:szCs w:val="24"/>
            </w:rPr>
            <w:fldChar w:fldCharType="end"/>
          </w:r>
        </w:p>
        <w:p w14:paraId="78E662F1">
          <w:pPr>
            <w:pStyle w:val="19"/>
            <w:keepNext w:val="0"/>
            <w:keepLines w:val="0"/>
            <w:pageBreakBefore w:val="0"/>
            <w:widowControl w:val="0"/>
            <w:tabs>
              <w:tab w:val="right" w:leader="dot" w:pos="9072"/>
            </w:tabs>
            <w:kinsoku/>
            <w:wordWrap/>
            <w:overflowPunct/>
            <w:topLinePunct w:val="0"/>
            <w:autoSpaceDE/>
            <w:autoSpaceDN/>
            <w:bidi w:val="0"/>
            <w:adjustRightInd/>
            <w:snapToGrid/>
            <w:spacing w:line="480" w:lineRule="exact"/>
            <w:textAlignment w:val="auto"/>
            <w:rPr>
              <w:i w:val="0"/>
              <w:iCs w:val="0"/>
            </w:rPr>
          </w:pPr>
          <w:r>
            <w:rPr>
              <w:bCs w:val="0"/>
              <w:i w:val="0"/>
              <w:iCs w:val="0"/>
              <w:caps w:val="0"/>
              <w:smallCaps/>
              <w:szCs w:val="24"/>
            </w:rPr>
            <w:fldChar w:fldCharType="begin"/>
          </w:r>
          <w:r>
            <w:rPr>
              <w:bCs w:val="0"/>
              <w:i w:val="0"/>
              <w:iCs w:val="0"/>
              <w:caps w:val="0"/>
              <w:smallCaps/>
              <w:szCs w:val="24"/>
            </w:rPr>
            <w:instrText xml:space="preserve"> HYPERLINK \l _Toc5333 </w:instrText>
          </w:r>
          <w:r>
            <w:rPr>
              <w:bCs w:val="0"/>
              <w:i w:val="0"/>
              <w:iCs w:val="0"/>
              <w:caps w:val="0"/>
              <w:smallCaps/>
              <w:szCs w:val="24"/>
            </w:rPr>
            <w:fldChar w:fldCharType="separate"/>
          </w:r>
          <w:r>
            <w:rPr>
              <w:rFonts w:hint="eastAsia" w:ascii="Times New Roman" w:hAnsi="Times New Roman" w:eastAsia="宋体" w:cs="Times New Roman"/>
              <w:i w:val="0"/>
              <w:iCs w:val="0"/>
            </w:rPr>
            <w:t>5.6.</w:t>
          </w:r>
          <w:r>
            <w:rPr>
              <w:rFonts w:hint="eastAsia" w:ascii="Times New Roman" w:hAnsi="Times New Roman" w:eastAsia="宋体" w:cs="Times New Roman"/>
              <w:i w:val="0"/>
              <w:iCs w:val="0"/>
              <w:lang w:val="en-US" w:eastAsia="zh-CN"/>
            </w:rPr>
            <w:t>2</w:t>
          </w:r>
          <w:r>
            <w:rPr>
              <w:rFonts w:hint="eastAsia" w:ascii="Times New Roman" w:hAnsi="Times New Roman" w:eastAsia="宋体" w:cs="Times New Roman"/>
              <w:i w:val="0"/>
              <w:iCs w:val="0"/>
            </w:rPr>
            <w:t xml:space="preserve"> 外部距离</w:t>
          </w:r>
          <w:r>
            <w:rPr>
              <w:i w:val="0"/>
              <w:iCs w:val="0"/>
            </w:rPr>
            <w:tab/>
          </w:r>
          <w:r>
            <w:rPr>
              <w:i w:val="0"/>
              <w:iCs w:val="0"/>
            </w:rPr>
            <w:fldChar w:fldCharType="begin"/>
          </w:r>
          <w:r>
            <w:rPr>
              <w:i w:val="0"/>
              <w:iCs w:val="0"/>
            </w:rPr>
            <w:instrText xml:space="preserve"> PAGEREF _Toc5333 \h </w:instrText>
          </w:r>
          <w:r>
            <w:rPr>
              <w:i w:val="0"/>
              <w:iCs w:val="0"/>
            </w:rPr>
            <w:fldChar w:fldCharType="separate"/>
          </w:r>
          <w:r>
            <w:rPr>
              <w:i w:val="0"/>
              <w:iCs w:val="0"/>
            </w:rPr>
            <w:t>46</w:t>
          </w:r>
          <w:r>
            <w:rPr>
              <w:i w:val="0"/>
              <w:iCs w:val="0"/>
            </w:rPr>
            <w:fldChar w:fldCharType="end"/>
          </w:r>
          <w:r>
            <w:rPr>
              <w:bCs w:val="0"/>
              <w:i w:val="0"/>
              <w:iCs w:val="0"/>
              <w:caps w:val="0"/>
              <w:smallCaps/>
              <w:szCs w:val="24"/>
            </w:rPr>
            <w:fldChar w:fldCharType="end"/>
          </w:r>
        </w:p>
        <w:p w14:paraId="4BB95026">
          <w:pPr>
            <w:pStyle w:val="32"/>
            <w:keepNext w:val="0"/>
            <w:keepLines w:val="0"/>
            <w:pageBreakBefore w:val="0"/>
            <w:widowControl w:val="0"/>
            <w:tabs>
              <w:tab w:val="right" w:leader="dot" w:pos="9072"/>
            </w:tabs>
            <w:kinsoku/>
            <w:wordWrap/>
            <w:overflowPunct/>
            <w:topLinePunct w:val="0"/>
            <w:autoSpaceDE/>
            <w:autoSpaceDN/>
            <w:bidi w:val="0"/>
            <w:adjustRightInd/>
            <w:snapToGrid/>
            <w:spacing w:line="480" w:lineRule="exact"/>
            <w:textAlignment w:val="auto"/>
            <w:rPr>
              <w:i w:val="0"/>
              <w:iCs w:val="0"/>
            </w:rPr>
          </w:pPr>
          <w:r>
            <w:rPr>
              <w:bCs w:val="0"/>
              <w:i w:val="0"/>
              <w:iCs w:val="0"/>
              <w:caps w:val="0"/>
              <w:smallCaps/>
              <w:szCs w:val="24"/>
            </w:rPr>
            <w:fldChar w:fldCharType="begin"/>
          </w:r>
          <w:r>
            <w:rPr>
              <w:bCs w:val="0"/>
              <w:i w:val="0"/>
              <w:iCs w:val="0"/>
              <w:caps w:val="0"/>
              <w:smallCaps/>
              <w:szCs w:val="24"/>
            </w:rPr>
            <w:instrText xml:space="preserve"> HYPERLINK \l _Toc27830 </w:instrText>
          </w:r>
          <w:r>
            <w:rPr>
              <w:bCs w:val="0"/>
              <w:i w:val="0"/>
              <w:iCs w:val="0"/>
              <w:caps w:val="0"/>
              <w:smallCaps/>
              <w:szCs w:val="24"/>
            </w:rPr>
            <w:fldChar w:fldCharType="separate"/>
          </w:r>
          <w:r>
            <w:rPr>
              <w:rFonts w:hint="eastAsia"/>
              <w:i w:val="0"/>
              <w:iCs w:val="0"/>
            </w:rPr>
            <w:t>5.7周边环境危险性评价</w:t>
          </w:r>
          <w:r>
            <w:rPr>
              <w:i w:val="0"/>
              <w:iCs w:val="0"/>
            </w:rPr>
            <w:tab/>
          </w:r>
          <w:r>
            <w:rPr>
              <w:i w:val="0"/>
              <w:iCs w:val="0"/>
            </w:rPr>
            <w:fldChar w:fldCharType="begin"/>
          </w:r>
          <w:r>
            <w:rPr>
              <w:i w:val="0"/>
              <w:iCs w:val="0"/>
            </w:rPr>
            <w:instrText xml:space="preserve"> PAGEREF _Toc27830 \h </w:instrText>
          </w:r>
          <w:r>
            <w:rPr>
              <w:i w:val="0"/>
              <w:iCs w:val="0"/>
            </w:rPr>
            <w:fldChar w:fldCharType="separate"/>
          </w:r>
          <w:r>
            <w:rPr>
              <w:i w:val="0"/>
              <w:iCs w:val="0"/>
            </w:rPr>
            <w:t>48</w:t>
          </w:r>
          <w:r>
            <w:rPr>
              <w:i w:val="0"/>
              <w:iCs w:val="0"/>
            </w:rPr>
            <w:fldChar w:fldCharType="end"/>
          </w:r>
          <w:r>
            <w:rPr>
              <w:bCs w:val="0"/>
              <w:i w:val="0"/>
              <w:iCs w:val="0"/>
              <w:caps w:val="0"/>
              <w:smallCaps/>
              <w:szCs w:val="24"/>
            </w:rPr>
            <w:fldChar w:fldCharType="end"/>
          </w:r>
        </w:p>
        <w:p w14:paraId="1260E10E">
          <w:pPr>
            <w:pStyle w:val="19"/>
            <w:keepNext w:val="0"/>
            <w:keepLines w:val="0"/>
            <w:pageBreakBefore w:val="0"/>
            <w:widowControl w:val="0"/>
            <w:tabs>
              <w:tab w:val="right" w:leader="dot" w:pos="9072"/>
            </w:tabs>
            <w:kinsoku/>
            <w:wordWrap/>
            <w:overflowPunct/>
            <w:topLinePunct w:val="0"/>
            <w:autoSpaceDE/>
            <w:autoSpaceDN/>
            <w:bidi w:val="0"/>
            <w:adjustRightInd/>
            <w:snapToGrid/>
            <w:spacing w:line="480" w:lineRule="exact"/>
            <w:textAlignment w:val="auto"/>
            <w:rPr>
              <w:i w:val="0"/>
              <w:iCs w:val="0"/>
            </w:rPr>
          </w:pPr>
          <w:r>
            <w:rPr>
              <w:bCs w:val="0"/>
              <w:i w:val="0"/>
              <w:iCs w:val="0"/>
              <w:caps w:val="0"/>
              <w:smallCaps/>
              <w:szCs w:val="24"/>
            </w:rPr>
            <w:fldChar w:fldCharType="begin"/>
          </w:r>
          <w:r>
            <w:rPr>
              <w:bCs w:val="0"/>
              <w:i w:val="0"/>
              <w:iCs w:val="0"/>
              <w:caps w:val="0"/>
              <w:smallCaps/>
              <w:szCs w:val="24"/>
            </w:rPr>
            <w:instrText xml:space="preserve"> HYPERLINK \l _Toc3944 </w:instrText>
          </w:r>
          <w:r>
            <w:rPr>
              <w:bCs w:val="0"/>
              <w:i w:val="0"/>
              <w:iCs w:val="0"/>
              <w:caps w:val="0"/>
              <w:smallCaps/>
              <w:szCs w:val="24"/>
            </w:rPr>
            <w:fldChar w:fldCharType="separate"/>
          </w:r>
          <w:r>
            <w:rPr>
              <w:rFonts w:hint="eastAsia"/>
              <w:i w:val="0"/>
              <w:iCs w:val="0"/>
            </w:rPr>
            <w:t>5.7.1 库区内在的危险、有害因素对周边单位生产、经营活动或者居民生活的影响</w:t>
          </w:r>
          <w:r>
            <w:rPr>
              <w:i w:val="0"/>
              <w:iCs w:val="0"/>
            </w:rPr>
            <w:tab/>
          </w:r>
          <w:r>
            <w:rPr>
              <w:i w:val="0"/>
              <w:iCs w:val="0"/>
            </w:rPr>
            <w:fldChar w:fldCharType="begin"/>
          </w:r>
          <w:r>
            <w:rPr>
              <w:i w:val="0"/>
              <w:iCs w:val="0"/>
            </w:rPr>
            <w:instrText xml:space="preserve"> PAGEREF _Toc3944 \h </w:instrText>
          </w:r>
          <w:r>
            <w:rPr>
              <w:i w:val="0"/>
              <w:iCs w:val="0"/>
            </w:rPr>
            <w:fldChar w:fldCharType="separate"/>
          </w:r>
          <w:r>
            <w:rPr>
              <w:i w:val="0"/>
              <w:iCs w:val="0"/>
            </w:rPr>
            <w:t>48</w:t>
          </w:r>
          <w:r>
            <w:rPr>
              <w:i w:val="0"/>
              <w:iCs w:val="0"/>
            </w:rPr>
            <w:fldChar w:fldCharType="end"/>
          </w:r>
          <w:r>
            <w:rPr>
              <w:bCs w:val="0"/>
              <w:i w:val="0"/>
              <w:iCs w:val="0"/>
              <w:caps w:val="0"/>
              <w:smallCaps/>
              <w:szCs w:val="24"/>
            </w:rPr>
            <w:fldChar w:fldCharType="end"/>
          </w:r>
        </w:p>
        <w:p w14:paraId="1C85ECB4">
          <w:pPr>
            <w:pStyle w:val="19"/>
            <w:keepNext w:val="0"/>
            <w:keepLines w:val="0"/>
            <w:pageBreakBefore w:val="0"/>
            <w:widowControl w:val="0"/>
            <w:tabs>
              <w:tab w:val="right" w:leader="dot" w:pos="9072"/>
            </w:tabs>
            <w:kinsoku/>
            <w:wordWrap/>
            <w:overflowPunct/>
            <w:topLinePunct w:val="0"/>
            <w:autoSpaceDE/>
            <w:autoSpaceDN/>
            <w:bidi w:val="0"/>
            <w:adjustRightInd/>
            <w:snapToGrid/>
            <w:spacing w:line="480" w:lineRule="exact"/>
            <w:textAlignment w:val="auto"/>
            <w:rPr>
              <w:i w:val="0"/>
              <w:iCs w:val="0"/>
            </w:rPr>
          </w:pPr>
          <w:r>
            <w:rPr>
              <w:bCs w:val="0"/>
              <w:i w:val="0"/>
              <w:iCs w:val="0"/>
              <w:caps w:val="0"/>
              <w:smallCaps/>
              <w:szCs w:val="24"/>
            </w:rPr>
            <w:fldChar w:fldCharType="begin"/>
          </w:r>
          <w:r>
            <w:rPr>
              <w:bCs w:val="0"/>
              <w:i w:val="0"/>
              <w:iCs w:val="0"/>
              <w:caps w:val="0"/>
              <w:smallCaps/>
              <w:szCs w:val="24"/>
            </w:rPr>
            <w:instrText xml:space="preserve"> HYPERLINK \l _Toc12797 </w:instrText>
          </w:r>
          <w:r>
            <w:rPr>
              <w:bCs w:val="0"/>
              <w:i w:val="0"/>
              <w:iCs w:val="0"/>
              <w:caps w:val="0"/>
              <w:smallCaps/>
              <w:szCs w:val="24"/>
            </w:rPr>
            <w:fldChar w:fldCharType="separate"/>
          </w:r>
          <w:r>
            <w:rPr>
              <w:rFonts w:hint="eastAsia"/>
              <w:i w:val="0"/>
              <w:iCs w:val="0"/>
            </w:rPr>
            <w:t>5.7.2周边单位生产、经营活动或居民生活对库区的影响</w:t>
          </w:r>
          <w:r>
            <w:rPr>
              <w:i w:val="0"/>
              <w:iCs w:val="0"/>
            </w:rPr>
            <w:tab/>
          </w:r>
          <w:r>
            <w:rPr>
              <w:i w:val="0"/>
              <w:iCs w:val="0"/>
            </w:rPr>
            <w:fldChar w:fldCharType="begin"/>
          </w:r>
          <w:r>
            <w:rPr>
              <w:i w:val="0"/>
              <w:iCs w:val="0"/>
            </w:rPr>
            <w:instrText xml:space="preserve"> PAGEREF _Toc12797 \h </w:instrText>
          </w:r>
          <w:r>
            <w:rPr>
              <w:i w:val="0"/>
              <w:iCs w:val="0"/>
            </w:rPr>
            <w:fldChar w:fldCharType="separate"/>
          </w:r>
          <w:r>
            <w:rPr>
              <w:i w:val="0"/>
              <w:iCs w:val="0"/>
            </w:rPr>
            <w:t>48</w:t>
          </w:r>
          <w:r>
            <w:rPr>
              <w:i w:val="0"/>
              <w:iCs w:val="0"/>
            </w:rPr>
            <w:fldChar w:fldCharType="end"/>
          </w:r>
          <w:r>
            <w:rPr>
              <w:bCs w:val="0"/>
              <w:i w:val="0"/>
              <w:iCs w:val="0"/>
              <w:caps w:val="0"/>
              <w:smallCaps/>
              <w:szCs w:val="24"/>
            </w:rPr>
            <w:fldChar w:fldCharType="end"/>
          </w:r>
        </w:p>
        <w:p w14:paraId="25380258">
          <w:pPr>
            <w:pStyle w:val="19"/>
            <w:keepNext w:val="0"/>
            <w:keepLines w:val="0"/>
            <w:pageBreakBefore w:val="0"/>
            <w:widowControl w:val="0"/>
            <w:tabs>
              <w:tab w:val="right" w:leader="dot" w:pos="9072"/>
            </w:tabs>
            <w:kinsoku/>
            <w:wordWrap/>
            <w:overflowPunct/>
            <w:topLinePunct w:val="0"/>
            <w:autoSpaceDE/>
            <w:autoSpaceDN/>
            <w:bidi w:val="0"/>
            <w:adjustRightInd/>
            <w:snapToGrid/>
            <w:spacing w:line="480" w:lineRule="exact"/>
            <w:textAlignment w:val="auto"/>
            <w:rPr>
              <w:i w:val="0"/>
              <w:iCs w:val="0"/>
            </w:rPr>
          </w:pPr>
          <w:r>
            <w:rPr>
              <w:bCs w:val="0"/>
              <w:i w:val="0"/>
              <w:iCs w:val="0"/>
              <w:caps w:val="0"/>
              <w:smallCaps/>
              <w:szCs w:val="24"/>
            </w:rPr>
            <w:fldChar w:fldCharType="begin"/>
          </w:r>
          <w:r>
            <w:rPr>
              <w:bCs w:val="0"/>
              <w:i w:val="0"/>
              <w:iCs w:val="0"/>
              <w:caps w:val="0"/>
              <w:smallCaps/>
              <w:szCs w:val="24"/>
            </w:rPr>
            <w:instrText xml:space="preserve"> HYPERLINK \l _Toc19755 </w:instrText>
          </w:r>
          <w:r>
            <w:rPr>
              <w:bCs w:val="0"/>
              <w:i w:val="0"/>
              <w:iCs w:val="0"/>
              <w:caps w:val="0"/>
              <w:smallCaps/>
              <w:szCs w:val="24"/>
            </w:rPr>
            <w:fldChar w:fldCharType="separate"/>
          </w:r>
          <w:r>
            <w:rPr>
              <w:rFonts w:hint="eastAsia"/>
              <w:i w:val="0"/>
              <w:iCs w:val="0"/>
            </w:rPr>
            <w:t>5.7.3自然环境对库区可能产生的影响</w:t>
          </w:r>
          <w:r>
            <w:rPr>
              <w:i w:val="0"/>
              <w:iCs w:val="0"/>
            </w:rPr>
            <w:tab/>
          </w:r>
          <w:r>
            <w:rPr>
              <w:i w:val="0"/>
              <w:iCs w:val="0"/>
            </w:rPr>
            <w:fldChar w:fldCharType="begin"/>
          </w:r>
          <w:r>
            <w:rPr>
              <w:i w:val="0"/>
              <w:iCs w:val="0"/>
            </w:rPr>
            <w:instrText xml:space="preserve"> PAGEREF _Toc19755 \h </w:instrText>
          </w:r>
          <w:r>
            <w:rPr>
              <w:i w:val="0"/>
              <w:iCs w:val="0"/>
            </w:rPr>
            <w:fldChar w:fldCharType="separate"/>
          </w:r>
          <w:r>
            <w:rPr>
              <w:i w:val="0"/>
              <w:iCs w:val="0"/>
            </w:rPr>
            <w:t>48</w:t>
          </w:r>
          <w:r>
            <w:rPr>
              <w:i w:val="0"/>
              <w:iCs w:val="0"/>
            </w:rPr>
            <w:fldChar w:fldCharType="end"/>
          </w:r>
          <w:r>
            <w:rPr>
              <w:bCs w:val="0"/>
              <w:i w:val="0"/>
              <w:iCs w:val="0"/>
              <w:caps w:val="0"/>
              <w:smallCaps/>
              <w:szCs w:val="24"/>
            </w:rPr>
            <w:fldChar w:fldCharType="end"/>
          </w:r>
        </w:p>
        <w:p w14:paraId="3DE407B2">
          <w:pPr>
            <w:pStyle w:val="32"/>
            <w:keepNext w:val="0"/>
            <w:keepLines w:val="0"/>
            <w:pageBreakBefore w:val="0"/>
            <w:widowControl w:val="0"/>
            <w:tabs>
              <w:tab w:val="right" w:leader="dot" w:pos="9072"/>
            </w:tabs>
            <w:kinsoku/>
            <w:wordWrap/>
            <w:overflowPunct/>
            <w:topLinePunct w:val="0"/>
            <w:autoSpaceDE/>
            <w:autoSpaceDN/>
            <w:bidi w:val="0"/>
            <w:adjustRightInd/>
            <w:snapToGrid/>
            <w:spacing w:line="480" w:lineRule="exact"/>
            <w:textAlignment w:val="auto"/>
            <w:rPr>
              <w:i w:val="0"/>
              <w:iCs w:val="0"/>
            </w:rPr>
          </w:pPr>
          <w:r>
            <w:rPr>
              <w:bCs w:val="0"/>
              <w:i w:val="0"/>
              <w:iCs w:val="0"/>
              <w:caps w:val="0"/>
              <w:smallCaps/>
              <w:szCs w:val="24"/>
            </w:rPr>
            <w:fldChar w:fldCharType="begin"/>
          </w:r>
          <w:r>
            <w:rPr>
              <w:bCs w:val="0"/>
              <w:i w:val="0"/>
              <w:iCs w:val="0"/>
              <w:caps w:val="0"/>
              <w:smallCaps/>
              <w:szCs w:val="24"/>
            </w:rPr>
            <w:instrText xml:space="preserve"> HYPERLINK \l _Toc18958 </w:instrText>
          </w:r>
          <w:r>
            <w:rPr>
              <w:bCs w:val="0"/>
              <w:i w:val="0"/>
              <w:iCs w:val="0"/>
              <w:caps w:val="0"/>
              <w:smallCaps/>
              <w:szCs w:val="24"/>
            </w:rPr>
            <w:fldChar w:fldCharType="separate"/>
          </w:r>
          <w:r>
            <w:rPr>
              <w:rFonts w:hint="eastAsia"/>
              <w:i w:val="0"/>
              <w:iCs w:val="0"/>
            </w:rPr>
            <w:t>5.8安全经营条件评价</w:t>
          </w:r>
          <w:r>
            <w:rPr>
              <w:i w:val="0"/>
              <w:iCs w:val="0"/>
            </w:rPr>
            <w:tab/>
          </w:r>
          <w:r>
            <w:rPr>
              <w:i w:val="0"/>
              <w:iCs w:val="0"/>
            </w:rPr>
            <w:fldChar w:fldCharType="begin"/>
          </w:r>
          <w:r>
            <w:rPr>
              <w:i w:val="0"/>
              <w:iCs w:val="0"/>
            </w:rPr>
            <w:instrText xml:space="preserve"> PAGEREF _Toc18958 \h </w:instrText>
          </w:r>
          <w:r>
            <w:rPr>
              <w:i w:val="0"/>
              <w:iCs w:val="0"/>
            </w:rPr>
            <w:fldChar w:fldCharType="separate"/>
          </w:r>
          <w:r>
            <w:rPr>
              <w:i w:val="0"/>
              <w:iCs w:val="0"/>
            </w:rPr>
            <w:t>48</w:t>
          </w:r>
          <w:r>
            <w:rPr>
              <w:i w:val="0"/>
              <w:iCs w:val="0"/>
            </w:rPr>
            <w:fldChar w:fldCharType="end"/>
          </w:r>
          <w:r>
            <w:rPr>
              <w:bCs w:val="0"/>
              <w:i w:val="0"/>
              <w:iCs w:val="0"/>
              <w:caps w:val="0"/>
              <w:smallCaps/>
              <w:szCs w:val="24"/>
            </w:rPr>
            <w:fldChar w:fldCharType="end"/>
          </w:r>
        </w:p>
        <w:p w14:paraId="42A281F4">
          <w:pPr>
            <w:pStyle w:val="32"/>
            <w:keepNext w:val="0"/>
            <w:keepLines w:val="0"/>
            <w:pageBreakBefore w:val="0"/>
            <w:widowControl w:val="0"/>
            <w:tabs>
              <w:tab w:val="right" w:leader="dot" w:pos="9072"/>
            </w:tabs>
            <w:kinsoku/>
            <w:wordWrap/>
            <w:overflowPunct/>
            <w:topLinePunct w:val="0"/>
            <w:autoSpaceDE/>
            <w:autoSpaceDN/>
            <w:bidi w:val="0"/>
            <w:adjustRightInd/>
            <w:snapToGrid/>
            <w:spacing w:line="480" w:lineRule="exact"/>
            <w:textAlignment w:val="auto"/>
            <w:rPr>
              <w:i w:val="0"/>
              <w:iCs w:val="0"/>
            </w:rPr>
          </w:pPr>
          <w:r>
            <w:rPr>
              <w:bCs w:val="0"/>
              <w:i w:val="0"/>
              <w:iCs w:val="0"/>
              <w:caps w:val="0"/>
              <w:smallCaps/>
              <w:szCs w:val="24"/>
            </w:rPr>
            <w:fldChar w:fldCharType="begin"/>
          </w:r>
          <w:r>
            <w:rPr>
              <w:bCs w:val="0"/>
              <w:i w:val="0"/>
              <w:iCs w:val="0"/>
              <w:caps w:val="0"/>
              <w:smallCaps/>
              <w:szCs w:val="24"/>
            </w:rPr>
            <w:instrText xml:space="preserve"> HYPERLINK \l _Toc8849 </w:instrText>
          </w:r>
          <w:r>
            <w:rPr>
              <w:bCs w:val="0"/>
              <w:i w:val="0"/>
              <w:iCs w:val="0"/>
              <w:caps w:val="0"/>
              <w:smallCaps/>
              <w:szCs w:val="24"/>
            </w:rPr>
            <w:fldChar w:fldCharType="separate"/>
          </w:r>
          <w:r>
            <w:rPr>
              <w:i w:val="0"/>
              <w:iCs w:val="0"/>
            </w:rPr>
            <w:t>5.9 重大安全事故隐患检查判定</w:t>
          </w:r>
          <w:r>
            <w:rPr>
              <w:i w:val="0"/>
              <w:iCs w:val="0"/>
            </w:rPr>
            <w:tab/>
          </w:r>
          <w:r>
            <w:rPr>
              <w:i w:val="0"/>
              <w:iCs w:val="0"/>
            </w:rPr>
            <w:fldChar w:fldCharType="begin"/>
          </w:r>
          <w:r>
            <w:rPr>
              <w:i w:val="0"/>
              <w:iCs w:val="0"/>
            </w:rPr>
            <w:instrText xml:space="preserve"> PAGEREF _Toc8849 \h </w:instrText>
          </w:r>
          <w:r>
            <w:rPr>
              <w:i w:val="0"/>
              <w:iCs w:val="0"/>
            </w:rPr>
            <w:fldChar w:fldCharType="separate"/>
          </w:r>
          <w:r>
            <w:rPr>
              <w:i w:val="0"/>
              <w:iCs w:val="0"/>
            </w:rPr>
            <w:t>50</w:t>
          </w:r>
          <w:r>
            <w:rPr>
              <w:i w:val="0"/>
              <w:iCs w:val="0"/>
            </w:rPr>
            <w:fldChar w:fldCharType="end"/>
          </w:r>
          <w:r>
            <w:rPr>
              <w:bCs w:val="0"/>
              <w:i w:val="0"/>
              <w:iCs w:val="0"/>
              <w:caps w:val="0"/>
              <w:smallCaps/>
              <w:szCs w:val="24"/>
            </w:rPr>
            <w:fldChar w:fldCharType="end"/>
          </w:r>
        </w:p>
        <w:p w14:paraId="5D510E2F">
          <w:pPr>
            <w:pStyle w:val="32"/>
            <w:keepNext w:val="0"/>
            <w:keepLines w:val="0"/>
            <w:pageBreakBefore w:val="0"/>
            <w:widowControl w:val="0"/>
            <w:tabs>
              <w:tab w:val="right" w:leader="dot" w:pos="9072"/>
            </w:tabs>
            <w:kinsoku/>
            <w:wordWrap/>
            <w:overflowPunct/>
            <w:topLinePunct w:val="0"/>
            <w:autoSpaceDE/>
            <w:autoSpaceDN/>
            <w:bidi w:val="0"/>
            <w:adjustRightInd/>
            <w:snapToGrid/>
            <w:spacing w:line="480" w:lineRule="exact"/>
            <w:textAlignment w:val="auto"/>
            <w:rPr>
              <w:i w:val="0"/>
              <w:iCs w:val="0"/>
            </w:rPr>
          </w:pPr>
          <w:r>
            <w:rPr>
              <w:bCs w:val="0"/>
              <w:i w:val="0"/>
              <w:iCs w:val="0"/>
              <w:caps w:val="0"/>
              <w:smallCaps/>
              <w:szCs w:val="24"/>
            </w:rPr>
            <w:fldChar w:fldCharType="begin"/>
          </w:r>
          <w:r>
            <w:rPr>
              <w:bCs w:val="0"/>
              <w:i w:val="0"/>
              <w:iCs w:val="0"/>
              <w:caps w:val="0"/>
              <w:smallCaps/>
              <w:szCs w:val="24"/>
            </w:rPr>
            <w:instrText xml:space="preserve"> HYPERLINK \l _Toc15411 </w:instrText>
          </w:r>
          <w:r>
            <w:rPr>
              <w:bCs w:val="0"/>
              <w:i w:val="0"/>
              <w:iCs w:val="0"/>
              <w:caps w:val="0"/>
              <w:smallCaps/>
              <w:szCs w:val="24"/>
            </w:rPr>
            <w:fldChar w:fldCharType="separate"/>
          </w:r>
          <w:r>
            <w:rPr>
              <w:rFonts w:hint="eastAsia"/>
              <w:i w:val="0"/>
              <w:iCs w:val="0"/>
            </w:rPr>
            <w:t>5.10 综合评价结果</w:t>
          </w:r>
          <w:r>
            <w:rPr>
              <w:i w:val="0"/>
              <w:iCs w:val="0"/>
            </w:rPr>
            <w:tab/>
          </w:r>
          <w:r>
            <w:rPr>
              <w:i w:val="0"/>
              <w:iCs w:val="0"/>
            </w:rPr>
            <w:fldChar w:fldCharType="begin"/>
          </w:r>
          <w:r>
            <w:rPr>
              <w:i w:val="0"/>
              <w:iCs w:val="0"/>
            </w:rPr>
            <w:instrText xml:space="preserve"> PAGEREF _Toc15411 \h </w:instrText>
          </w:r>
          <w:r>
            <w:rPr>
              <w:i w:val="0"/>
              <w:iCs w:val="0"/>
            </w:rPr>
            <w:fldChar w:fldCharType="separate"/>
          </w:r>
          <w:r>
            <w:rPr>
              <w:i w:val="0"/>
              <w:iCs w:val="0"/>
            </w:rPr>
            <w:t>51</w:t>
          </w:r>
          <w:r>
            <w:rPr>
              <w:i w:val="0"/>
              <w:iCs w:val="0"/>
            </w:rPr>
            <w:fldChar w:fldCharType="end"/>
          </w:r>
          <w:r>
            <w:rPr>
              <w:bCs w:val="0"/>
              <w:i w:val="0"/>
              <w:iCs w:val="0"/>
              <w:caps w:val="0"/>
              <w:smallCaps/>
              <w:szCs w:val="24"/>
            </w:rPr>
            <w:fldChar w:fldCharType="end"/>
          </w:r>
        </w:p>
        <w:p w14:paraId="007771E8">
          <w:pPr>
            <w:pStyle w:val="27"/>
            <w:keepNext w:val="0"/>
            <w:keepLines w:val="0"/>
            <w:pageBreakBefore w:val="0"/>
            <w:widowControl w:val="0"/>
            <w:tabs>
              <w:tab w:val="right" w:leader="dot" w:pos="9072"/>
              <w:tab w:val="clear" w:pos="9060"/>
            </w:tabs>
            <w:kinsoku/>
            <w:wordWrap/>
            <w:overflowPunct/>
            <w:topLinePunct w:val="0"/>
            <w:autoSpaceDE/>
            <w:autoSpaceDN/>
            <w:bidi w:val="0"/>
            <w:adjustRightInd/>
            <w:snapToGrid/>
            <w:spacing w:before="0" w:after="0" w:line="480" w:lineRule="exact"/>
            <w:textAlignment w:val="auto"/>
            <w:rPr>
              <w:i w:val="0"/>
              <w:iCs w:val="0"/>
            </w:rPr>
          </w:pPr>
          <w:r>
            <w:rPr>
              <w:bCs w:val="0"/>
              <w:i w:val="0"/>
              <w:iCs w:val="0"/>
              <w:caps w:val="0"/>
              <w:smallCaps/>
              <w:szCs w:val="24"/>
            </w:rPr>
            <w:fldChar w:fldCharType="begin"/>
          </w:r>
          <w:r>
            <w:rPr>
              <w:bCs w:val="0"/>
              <w:i w:val="0"/>
              <w:iCs w:val="0"/>
              <w:caps w:val="0"/>
              <w:smallCaps/>
              <w:szCs w:val="24"/>
            </w:rPr>
            <w:instrText xml:space="preserve"> HYPERLINK \l _Toc5053 </w:instrText>
          </w:r>
          <w:r>
            <w:rPr>
              <w:bCs w:val="0"/>
              <w:i w:val="0"/>
              <w:iCs w:val="0"/>
              <w:caps w:val="0"/>
              <w:smallCaps/>
              <w:szCs w:val="24"/>
            </w:rPr>
            <w:fldChar w:fldCharType="separate"/>
          </w:r>
          <w:r>
            <w:rPr>
              <w:rFonts w:hint="eastAsia"/>
              <w:i w:val="0"/>
              <w:iCs w:val="0"/>
            </w:rPr>
            <w:t>6</w:t>
          </w:r>
          <w:r>
            <w:rPr>
              <w:rFonts w:hint="eastAsia"/>
              <w:i w:val="0"/>
              <w:iCs w:val="0"/>
              <w:lang w:val="en-US" w:eastAsia="zh-CN"/>
            </w:rPr>
            <w:t xml:space="preserve"> </w:t>
          </w:r>
          <w:r>
            <w:rPr>
              <w:rFonts w:hint="eastAsia"/>
              <w:i w:val="0"/>
              <w:iCs w:val="0"/>
            </w:rPr>
            <w:t>安全对策和整改</w:t>
          </w:r>
          <w:r>
            <w:rPr>
              <w:i w:val="0"/>
              <w:iCs w:val="0"/>
            </w:rPr>
            <w:tab/>
          </w:r>
          <w:r>
            <w:rPr>
              <w:i w:val="0"/>
              <w:iCs w:val="0"/>
            </w:rPr>
            <w:fldChar w:fldCharType="begin"/>
          </w:r>
          <w:r>
            <w:rPr>
              <w:i w:val="0"/>
              <w:iCs w:val="0"/>
            </w:rPr>
            <w:instrText xml:space="preserve"> PAGEREF _Toc5053 \h </w:instrText>
          </w:r>
          <w:r>
            <w:rPr>
              <w:i w:val="0"/>
              <w:iCs w:val="0"/>
            </w:rPr>
            <w:fldChar w:fldCharType="separate"/>
          </w:r>
          <w:r>
            <w:rPr>
              <w:i w:val="0"/>
              <w:iCs w:val="0"/>
            </w:rPr>
            <w:t>52</w:t>
          </w:r>
          <w:r>
            <w:rPr>
              <w:i w:val="0"/>
              <w:iCs w:val="0"/>
            </w:rPr>
            <w:fldChar w:fldCharType="end"/>
          </w:r>
          <w:r>
            <w:rPr>
              <w:bCs w:val="0"/>
              <w:i w:val="0"/>
              <w:iCs w:val="0"/>
              <w:caps w:val="0"/>
              <w:smallCaps/>
              <w:szCs w:val="24"/>
            </w:rPr>
            <w:fldChar w:fldCharType="end"/>
          </w:r>
        </w:p>
        <w:p w14:paraId="12C785E3">
          <w:pPr>
            <w:pStyle w:val="19"/>
            <w:keepNext w:val="0"/>
            <w:keepLines w:val="0"/>
            <w:pageBreakBefore w:val="0"/>
            <w:widowControl w:val="0"/>
            <w:tabs>
              <w:tab w:val="right" w:leader="dot" w:pos="9072"/>
            </w:tabs>
            <w:kinsoku/>
            <w:wordWrap/>
            <w:overflowPunct/>
            <w:topLinePunct w:val="0"/>
            <w:autoSpaceDE/>
            <w:autoSpaceDN/>
            <w:bidi w:val="0"/>
            <w:adjustRightInd/>
            <w:snapToGrid/>
            <w:spacing w:line="480" w:lineRule="exact"/>
            <w:textAlignment w:val="auto"/>
            <w:rPr>
              <w:i w:val="0"/>
              <w:iCs w:val="0"/>
            </w:rPr>
          </w:pPr>
          <w:r>
            <w:rPr>
              <w:bCs w:val="0"/>
              <w:i w:val="0"/>
              <w:iCs w:val="0"/>
              <w:caps w:val="0"/>
              <w:smallCaps/>
              <w:szCs w:val="24"/>
            </w:rPr>
            <w:fldChar w:fldCharType="begin"/>
          </w:r>
          <w:r>
            <w:rPr>
              <w:bCs w:val="0"/>
              <w:i w:val="0"/>
              <w:iCs w:val="0"/>
              <w:caps w:val="0"/>
              <w:smallCaps/>
              <w:szCs w:val="24"/>
            </w:rPr>
            <w:instrText xml:space="preserve"> HYPERLINK \l _Toc13823 </w:instrText>
          </w:r>
          <w:r>
            <w:rPr>
              <w:bCs w:val="0"/>
              <w:i w:val="0"/>
              <w:iCs w:val="0"/>
              <w:caps w:val="0"/>
              <w:smallCaps/>
              <w:szCs w:val="24"/>
            </w:rPr>
            <w:fldChar w:fldCharType="separate"/>
          </w:r>
          <w:r>
            <w:rPr>
              <w:rFonts w:hint="eastAsia"/>
              <w:i w:val="0"/>
              <w:iCs w:val="0"/>
            </w:rPr>
            <w:t>6.1 安全对策措施、建议的依据及原则</w:t>
          </w:r>
          <w:r>
            <w:rPr>
              <w:i w:val="0"/>
              <w:iCs w:val="0"/>
            </w:rPr>
            <w:tab/>
          </w:r>
          <w:r>
            <w:rPr>
              <w:i w:val="0"/>
              <w:iCs w:val="0"/>
            </w:rPr>
            <w:fldChar w:fldCharType="begin"/>
          </w:r>
          <w:r>
            <w:rPr>
              <w:i w:val="0"/>
              <w:iCs w:val="0"/>
            </w:rPr>
            <w:instrText xml:space="preserve"> PAGEREF _Toc13823 \h </w:instrText>
          </w:r>
          <w:r>
            <w:rPr>
              <w:i w:val="0"/>
              <w:iCs w:val="0"/>
            </w:rPr>
            <w:fldChar w:fldCharType="separate"/>
          </w:r>
          <w:r>
            <w:rPr>
              <w:i w:val="0"/>
              <w:iCs w:val="0"/>
            </w:rPr>
            <w:t>52</w:t>
          </w:r>
          <w:r>
            <w:rPr>
              <w:i w:val="0"/>
              <w:iCs w:val="0"/>
            </w:rPr>
            <w:fldChar w:fldCharType="end"/>
          </w:r>
          <w:r>
            <w:rPr>
              <w:bCs w:val="0"/>
              <w:i w:val="0"/>
              <w:iCs w:val="0"/>
              <w:caps w:val="0"/>
              <w:smallCaps/>
              <w:szCs w:val="24"/>
            </w:rPr>
            <w:fldChar w:fldCharType="end"/>
          </w:r>
        </w:p>
        <w:p w14:paraId="2FE7A3EC">
          <w:pPr>
            <w:pStyle w:val="19"/>
            <w:keepNext w:val="0"/>
            <w:keepLines w:val="0"/>
            <w:pageBreakBefore w:val="0"/>
            <w:widowControl w:val="0"/>
            <w:tabs>
              <w:tab w:val="right" w:leader="dot" w:pos="9072"/>
            </w:tabs>
            <w:kinsoku/>
            <w:wordWrap/>
            <w:overflowPunct/>
            <w:topLinePunct w:val="0"/>
            <w:autoSpaceDE/>
            <w:autoSpaceDN/>
            <w:bidi w:val="0"/>
            <w:adjustRightInd/>
            <w:snapToGrid/>
            <w:spacing w:line="480" w:lineRule="exact"/>
            <w:textAlignment w:val="auto"/>
            <w:rPr>
              <w:i w:val="0"/>
              <w:iCs w:val="0"/>
            </w:rPr>
          </w:pPr>
          <w:r>
            <w:rPr>
              <w:bCs w:val="0"/>
              <w:i w:val="0"/>
              <w:iCs w:val="0"/>
              <w:caps w:val="0"/>
              <w:smallCaps/>
              <w:szCs w:val="24"/>
            </w:rPr>
            <w:fldChar w:fldCharType="begin"/>
          </w:r>
          <w:r>
            <w:rPr>
              <w:bCs w:val="0"/>
              <w:i w:val="0"/>
              <w:iCs w:val="0"/>
              <w:caps w:val="0"/>
              <w:smallCaps/>
              <w:szCs w:val="24"/>
            </w:rPr>
            <w:instrText xml:space="preserve"> HYPERLINK \l _Toc20999 </w:instrText>
          </w:r>
          <w:r>
            <w:rPr>
              <w:bCs w:val="0"/>
              <w:i w:val="0"/>
              <w:iCs w:val="0"/>
              <w:caps w:val="0"/>
              <w:smallCaps/>
              <w:szCs w:val="24"/>
            </w:rPr>
            <w:fldChar w:fldCharType="separate"/>
          </w:r>
          <w:r>
            <w:rPr>
              <w:rFonts w:hint="eastAsia"/>
              <w:i w:val="0"/>
              <w:iCs w:val="0"/>
              <w:lang w:val="en-US" w:eastAsia="zh-CN"/>
            </w:rPr>
            <w:t>6.1.1</w:t>
          </w:r>
          <w:r>
            <w:rPr>
              <w:rFonts w:hint="eastAsia"/>
              <w:i w:val="0"/>
              <w:iCs w:val="0"/>
            </w:rPr>
            <w:t>安全对策措施的依据</w:t>
          </w:r>
          <w:r>
            <w:rPr>
              <w:i w:val="0"/>
              <w:iCs w:val="0"/>
            </w:rPr>
            <w:tab/>
          </w:r>
          <w:r>
            <w:rPr>
              <w:i w:val="0"/>
              <w:iCs w:val="0"/>
            </w:rPr>
            <w:fldChar w:fldCharType="begin"/>
          </w:r>
          <w:r>
            <w:rPr>
              <w:i w:val="0"/>
              <w:iCs w:val="0"/>
            </w:rPr>
            <w:instrText xml:space="preserve"> PAGEREF _Toc20999 \h </w:instrText>
          </w:r>
          <w:r>
            <w:rPr>
              <w:i w:val="0"/>
              <w:iCs w:val="0"/>
            </w:rPr>
            <w:fldChar w:fldCharType="separate"/>
          </w:r>
          <w:r>
            <w:rPr>
              <w:i w:val="0"/>
              <w:iCs w:val="0"/>
            </w:rPr>
            <w:t>52</w:t>
          </w:r>
          <w:r>
            <w:rPr>
              <w:i w:val="0"/>
              <w:iCs w:val="0"/>
            </w:rPr>
            <w:fldChar w:fldCharType="end"/>
          </w:r>
          <w:r>
            <w:rPr>
              <w:bCs w:val="0"/>
              <w:i w:val="0"/>
              <w:iCs w:val="0"/>
              <w:caps w:val="0"/>
              <w:smallCaps/>
              <w:szCs w:val="24"/>
            </w:rPr>
            <w:fldChar w:fldCharType="end"/>
          </w:r>
        </w:p>
        <w:p w14:paraId="3682DDA2">
          <w:pPr>
            <w:pStyle w:val="19"/>
            <w:keepNext w:val="0"/>
            <w:keepLines w:val="0"/>
            <w:pageBreakBefore w:val="0"/>
            <w:widowControl w:val="0"/>
            <w:tabs>
              <w:tab w:val="right" w:leader="dot" w:pos="9072"/>
            </w:tabs>
            <w:kinsoku/>
            <w:wordWrap/>
            <w:overflowPunct/>
            <w:topLinePunct w:val="0"/>
            <w:autoSpaceDE/>
            <w:autoSpaceDN/>
            <w:bidi w:val="0"/>
            <w:adjustRightInd/>
            <w:snapToGrid/>
            <w:spacing w:line="480" w:lineRule="exact"/>
            <w:textAlignment w:val="auto"/>
            <w:rPr>
              <w:i w:val="0"/>
              <w:iCs w:val="0"/>
            </w:rPr>
          </w:pPr>
          <w:r>
            <w:rPr>
              <w:bCs w:val="0"/>
              <w:i w:val="0"/>
              <w:iCs w:val="0"/>
              <w:caps w:val="0"/>
              <w:smallCaps/>
              <w:szCs w:val="24"/>
            </w:rPr>
            <w:fldChar w:fldCharType="begin"/>
          </w:r>
          <w:r>
            <w:rPr>
              <w:bCs w:val="0"/>
              <w:i w:val="0"/>
              <w:iCs w:val="0"/>
              <w:caps w:val="0"/>
              <w:smallCaps/>
              <w:szCs w:val="24"/>
            </w:rPr>
            <w:instrText xml:space="preserve"> HYPERLINK \l _Toc15669 </w:instrText>
          </w:r>
          <w:r>
            <w:rPr>
              <w:bCs w:val="0"/>
              <w:i w:val="0"/>
              <w:iCs w:val="0"/>
              <w:caps w:val="0"/>
              <w:smallCaps/>
              <w:szCs w:val="24"/>
            </w:rPr>
            <w:fldChar w:fldCharType="separate"/>
          </w:r>
          <w:r>
            <w:rPr>
              <w:rFonts w:hint="eastAsia"/>
              <w:i w:val="0"/>
              <w:iCs w:val="0"/>
              <w:lang w:val="en-US" w:eastAsia="zh-CN"/>
            </w:rPr>
            <w:t>6.1.2安全对策措施建议的原则</w:t>
          </w:r>
          <w:r>
            <w:rPr>
              <w:i w:val="0"/>
              <w:iCs w:val="0"/>
            </w:rPr>
            <w:tab/>
          </w:r>
          <w:r>
            <w:rPr>
              <w:i w:val="0"/>
              <w:iCs w:val="0"/>
            </w:rPr>
            <w:fldChar w:fldCharType="begin"/>
          </w:r>
          <w:r>
            <w:rPr>
              <w:i w:val="0"/>
              <w:iCs w:val="0"/>
            </w:rPr>
            <w:instrText xml:space="preserve"> PAGEREF _Toc15669 \h </w:instrText>
          </w:r>
          <w:r>
            <w:rPr>
              <w:i w:val="0"/>
              <w:iCs w:val="0"/>
            </w:rPr>
            <w:fldChar w:fldCharType="separate"/>
          </w:r>
          <w:r>
            <w:rPr>
              <w:i w:val="0"/>
              <w:iCs w:val="0"/>
            </w:rPr>
            <w:t>52</w:t>
          </w:r>
          <w:r>
            <w:rPr>
              <w:i w:val="0"/>
              <w:iCs w:val="0"/>
            </w:rPr>
            <w:fldChar w:fldCharType="end"/>
          </w:r>
          <w:r>
            <w:rPr>
              <w:bCs w:val="0"/>
              <w:i w:val="0"/>
              <w:iCs w:val="0"/>
              <w:caps w:val="0"/>
              <w:smallCaps/>
              <w:szCs w:val="24"/>
            </w:rPr>
            <w:fldChar w:fldCharType="end"/>
          </w:r>
        </w:p>
        <w:p w14:paraId="1A8054D2">
          <w:pPr>
            <w:pStyle w:val="19"/>
            <w:keepNext w:val="0"/>
            <w:keepLines w:val="0"/>
            <w:pageBreakBefore w:val="0"/>
            <w:widowControl w:val="0"/>
            <w:tabs>
              <w:tab w:val="right" w:leader="dot" w:pos="9072"/>
            </w:tabs>
            <w:kinsoku/>
            <w:wordWrap/>
            <w:overflowPunct/>
            <w:topLinePunct w:val="0"/>
            <w:autoSpaceDE/>
            <w:autoSpaceDN/>
            <w:bidi w:val="0"/>
            <w:adjustRightInd/>
            <w:snapToGrid/>
            <w:spacing w:line="480" w:lineRule="exact"/>
            <w:textAlignment w:val="auto"/>
            <w:rPr>
              <w:i w:val="0"/>
              <w:iCs w:val="0"/>
            </w:rPr>
          </w:pPr>
          <w:r>
            <w:rPr>
              <w:bCs w:val="0"/>
              <w:i w:val="0"/>
              <w:iCs w:val="0"/>
              <w:caps w:val="0"/>
              <w:smallCaps/>
              <w:szCs w:val="24"/>
            </w:rPr>
            <w:fldChar w:fldCharType="begin"/>
          </w:r>
          <w:r>
            <w:rPr>
              <w:bCs w:val="0"/>
              <w:i w:val="0"/>
              <w:iCs w:val="0"/>
              <w:caps w:val="0"/>
              <w:smallCaps/>
              <w:szCs w:val="24"/>
            </w:rPr>
            <w:instrText xml:space="preserve"> HYPERLINK \l _Toc9930 </w:instrText>
          </w:r>
          <w:r>
            <w:rPr>
              <w:bCs w:val="0"/>
              <w:i w:val="0"/>
              <w:iCs w:val="0"/>
              <w:caps w:val="0"/>
              <w:smallCaps/>
              <w:szCs w:val="24"/>
            </w:rPr>
            <w:fldChar w:fldCharType="separate"/>
          </w:r>
          <w:r>
            <w:rPr>
              <w:rFonts w:hint="eastAsia"/>
              <w:i w:val="0"/>
              <w:iCs w:val="0"/>
            </w:rPr>
            <w:t>6.2.2 整改复查情况</w:t>
          </w:r>
          <w:r>
            <w:rPr>
              <w:i w:val="0"/>
              <w:iCs w:val="0"/>
            </w:rPr>
            <w:tab/>
          </w:r>
          <w:r>
            <w:rPr>
              <w:i w:val="0"/>
              <w:iCs w:val="0"/>
            </w:rPr>
            <w:fldChar w:fldCharType="begin"/>
          </w:r>
          <w:r>
            <w:rPr>
              <w:i w:val="0"/>
              <w:iCs w:val="0"/>
            </w:rPr>
            <w:instrText xml:space="preserve"> PAGEREF _Toc9930 \h </w:instrText>
          </w:r>
          <w:r>
            <w:rPr>
              <w:i w:val="0"/>
              <w:iCs w:val="0"/>
            </w:rPr>
            <w:fldChar w:fldCharType="separate"/>
          </w:r>
          <w:r>
            <w:rPr>
              <w:i w:val="0"/>
              <w:iCs w:val="0"/>
            </w:rPr>
            <w:t>53</w:t>
          </w:r>
          <w:r>
            <w:rPr>
              <w:i w:val="0"/>
              <w:iCs w:val="0"/>
            </w:rPr>
            <w:fldChar w:fldCharType="end"/>
          </w:r>
          <w:r>
            <w:rPr>
              <w:bCs w:val="0"/>
              <w:i w:val="0"/>
              <w:iCs w:val="0"/>
              <w:caps w:val="0"/>
              <w:smallCaps/>
              <w:szCs w:val="24"/>
            </w:rPr>
            <w:fldChar w:fldCharType="end"/>
          </w:r>
        </w:p>
        <w:p w14:paraId="0EE0CAEA">
          <w:pPr>
            <w:pStyle w:val="19"/>
            <w:keepNext w:val="0"/>
            <w:keepLines w:val="0"/>
            <w:pageBreakBefore w:val="0"/>
            <w:widowControl w:val="0"/>
            <w:tabs>
              <w:tab w:val="right" w:leader="dot" w:pos="9072"/>
            </w:tabs>
            <w:kinsoku/>
            <w:wordWrap/>
            <w:overflowPunct/>
            <w:topLinePunct w:val="0"/>
            <w:autoSpaceDE/>
            <w:autoSpaceDN/>
            <w:bidi w:val="0"/>
            <w:adjustRightInd/>
            <w:snapToGrid/>
            <w:spacing w:line="480" w:lineRule="exact"/>
            <w:textAlignment w:val="auto"/>
            <w:rPr>
              <w:i w:val="0"/>
              <w:iCs w:val="0"/>
            </w:rPr>
          </w:pPr>
          <w:r>
            <w:rPr>
              <w:bCs w:val="0"/>
              <w:i w:val="0"/>
              <w:iCs w:val="0"/>
              <w:caps w:val="0"/>
              <w:smallCaps/>
              <w:szCs w:val="24"/>
            </w:rPr>
            <w:fldChar w:fldCharType="begin"/>
          </w:r>
          <w:r>
            <w:rPr>
              <w:bCs w:val="0"/>
              <w:i w:val="0"/>
              <w:iCs w:val="0"/>
              <w:caps w:val="0"/>
              <w:smallCaps/>
              <w:szCs w:val="24"/>
            </w:rPr>
            <w:instrText xml:space="preserve"> HYPERLINK \l _Toc28125 </w:instrText>
          </w:r>
          <w:r>
            <w:rPr>
              <w:bCs w:val="0"/>
              <w:i w:val="0"/>
              <w:iCs w:val="0"/>
              <w:caps w:val="0"/>
              <w:smallCaps/>
              <w:szCs w:val="24"/>
            </w:rPr>
            <w:fldChar w:fldCharType="separate"/>
          </w:r>
          <w:r>
            <w:rPr>
              <w:rFonts w:hint="eastAsia"/>
              <w:i w:val="0"/>
              <w:iCs w:val="0"/>
              <w:lang w:val="en-US" w:eastAsia="zh-CN"/>
            </w:rPr>
            <w:t>6.2.1 整改建议</w:t>
          </w:r>
          <w:r>
            <w:rPr>
              <w:i w:val="0"/>
              <w:iCs w:val="0"/>
            </w:rPr>
            <w:tab/>
          </w:r>
          <w:r>
            <w:rPr>
              <w:i w:val="0"/>
              <w:iCs w:val="0"/>
            </w:rPr>
            <w:fldChar w:fldCharType="begin"/>
          </w:r>
          <w:r>
            <w:rPr>
              <w:i w:val="0"/>
              <w:iCs w:val="0"/>
            </w:rPr>
            <w:instrText xml:space="preserve"> PAGEREF _Toc28125 \h </w:instrText>
          </w:r>
          <w:r>
            <w:rPr>
              <w:i w:val="0"/>
              <w:iCs w:val="0"/>
            </w:rPr>
            <w:fldChar w:fldCharType="separate"/>
          </w:r>
          <w:r>
            <w:rPr>
              <w:i w:val="0"/>
              <w:iCs w:val="0"/>
            </w:rPr>
            <w:t>53</w:t>
          </w:r>
          <w:r>
            <w:rPr>
              <w:i w:val="0"/>
              <w:iCs w:val="0"/>
            </w:rPr>
            <w:fldChar w:fldCharType="end"/>
          </w:r>
          <w:r>
            <w:rPr>
              <w:bCs w:val="0"/>
              <w:i w:val="0"/>
              <w:iCs w:val="0"/>
              <w:caps w:val="0"/>
              <w:smallCaps/>
              <w:szCs w:val="24"/>
            </w:rPr>
            <w:fldChar w:fldCharType="end"/>
          </w:r>
        </w:p>
        <w:p w14:paraId="427B14A7">
          <w:pPr>
            <w:pStyle w:val="19"/>
            <w:keepNext w:val="0"/>
            <w:keepLines w:val="0"/>
            <w:pageBreakBefore w:val="0"/>
            <w:widowControl w:val="0"/>
            <w:tabs>
              <w:tab w:val="right" w:leader="dot" w:pos="9072"/>
            </w:tabs>
            <w:kinsoku/>
            <w:wordWrap/>
            <w:overflowPunct/>
            <w:topLinePunct w:val="0"/>
            <w:autoSpaceDE/>
            <w:autoSpaceDN/>
            <w:bidi w:val="0"/>
            <w:adjustRightInd/>
            <w:snapToGrid/>
            <w:spacing w:line="480" w:lineRule="exact"/>
            <w:textAlignment w:val="auto"/>
            <w:rPr>
              <w:i w:val="0"/>
              <w:iCs w:val="0"/>
            </w:rPr>
          </w:pPr>
          <w:r>
            <w:rPr>
              <w:bCs w:val="0"/>
              <w:i w:val="0"/>
              <w:iCs w:val="0"/>
              <w:caps w:val="0"/>
              <w:smallCaps/>
              <w:szCs w:val="24"/>
            </w:rPr>
            <w:fldChar w:fldCharType="begin"/>
          </w:r>
          <w:r>
            <w:rPr>
              <w:bCs w:val="0"/>
              <w:i w:val="0"/>
              <w:iCs w:val="0"/>
              <w:caps w:val="0"/>
              <w:smallCaps/>
              <w:szCs w:val="24"/>
            </w:rPr>
            <w:instrText xml:space="preserve"> HYPERLINK \l _Toc15775 </w:instrText>
          </w:r>
          <w:r>
            <w:rPr>
              <w:bCs w:val="0"/>
              <w:i w:val="0"/>
              <w:iCs w:val="0"/>
              <w:caps w:val="0"/>
              <w:smallCaps/>
              <w:szCs w:val="24"/>
            </w:rPr>
            <w:fldChar w:fldCharType="separate"/>
          </w:r>
          <w:r>
            <w:rPr>
              <w:rFonts w:hint="eastAsia" w:ascii="Times New Roman" w:hAnsi="Times New Roman" w:eastAsia="宋体" w:cs="Times New Roman"/>
              <w:i w:val="0"/>
              <w:iCs w:val="0"/>
              <w:lang w:val="en-US" w:eastAsia="zh-CN"/>
            </w:rPr>
            <w:t>6.2.2 整改复查情况</w:t>
          </w:r>
          <w:r>
            <w:rPr>
              <w:i w:val="0"/>
              <w:iCs w:val="0"/>
            </w:rPr>
            <w:tab/>
          </w:r>
          <w:r>
            <w:rPr>
              <w:i w:val="0"/>
              <w:iCs w:val="0"/>
            </w:rPr>
            <w:fldChar w:fldCharType="begin"/>
          </w:r>
          <w:r>
            <w:rPr>
              <w:i w:val="0"/>
              <w:iCs w:val="0"/>
            </w:rPr>
            <w:instrText xml:space="preserve"> PAGEREF _Toc15775 \h </w:instrText>
          </w:r>
          <w:r>
            <w:rPr>
              <w:i w:val="0"/>
              <w:iCs w:val="0"/>
            </w:rPr>
            <w:fldChar w:fldCharType="separate"/>
          </w:r>
          <w:r>
            <w:rPr>
              <w:i w:val="0"/>
              <w:iCs w:val="0"/>
            </w:rPr>
            <w:t>53</w:t>
          </w:r>
          <w:r>
            <w:rPr>
              <w:i w:val="0"/>
              <w:iCs w:val="0"/>
            </w:rPr>
            <w:fldChar w:fldCharType="end"/>
          </w:r>
          <w:r>
            <w:rPr>
              <w:bCs w:val="0"/>
              <w:i w:val="0"/>
              <w:iCs w:val="0"/>
              <w:caps w:val="0"/>
              <w:smallCaps/>
              <w:szCs w:val="24"/>
            </w:rPr>
            <w:fldChar w:fldCharType="end"/>
          </w:r>
        </w:p>
        <w:p w14:paraId="2A97D9CB">
          <w:pPr>
            <w:pStyle w:val="19"/>
            <w:keepNext w:val="0"/>
            <w:keepLines w:val="0"/>
            <w:pageBreakBefore w:val="0"/>
            <w:widowControl w:val="0"/>
            <w:tabs>
              <w:tab w:val="right" w:leader="dot" w:pos="9072"/>
            </w:tabs>
            <w:kinsoku/>
            <w:wordWrap/>
            <w:overflowPunct/>
            <w:topLinePunct w:val="0"/>
            <w:autoSpaceDE/>
            <w:autoSpaceDN/>
            <w:bidi w:val="0"/>
            <w:adjustRightInd/>
            <w:snapToGrid/>
            <w:spacing w:line="480" w:lineRule="exact"/>
            <w:textAlignment w:val="auto"/>
            <w:rPr>
              <w:i w:val="0"/>
              <w:iCs w:val="0"/>
            </w:rPr>
          </w:pPr>
          <w:r>
            <w:rPr>
              <w:bCs w:val="0"/>
              <w:i w:val="0"/>
              <w:iCs w:val="0"/>
              <w:caps w:val="0"/>
              <w:smallCaps/>
              <w:szCs w:val="24"/>
            </w:rPr>
            <w:fldChar w:fldCharType="begin"/>
          </w:r>
          <w:r>
            <w:rPr>
              <w:bCs w:val="0"/>
              <w:i w:val="0"/>
              <w:iCs w:val="0"/>
              <w:caps w:val="0"/>
              <w:smallCaps/>
              <w:szCs w:val="24"/>
            </w:rPr>
            <w:instrText xml:space="preserve"> HYPERLINK \l _Toc3606 </w:instrText>
          </w:r>
          <w:r>
            <w:rPr>
              <w:bCs w:val="0"/>
              <w:i w:val="0"/>
              <w:iCs w:val="0"/>
              <w:caps w:val="0"/>
              <w:smallCaps/>
              <w:szCs w:val="24"/>
            </w:rPr>
            <w:fldChar w:fldCharType="separate"/>
          </w:r>
          <w:r>
            <w:rPr>
              <w:rFonts w:hint="eastAsia" w:ascii="Times New Roman" w:hAnsi="Times New Roman" w:eastAsia="宋体" w:cs="Times New Roman"/>
              <w:i w:val="0"/>
              <w:iCs w:val="0"/>
            </w:rPr>
            <w:t>6.3 补充的安全对策措施建议</w:t>
          </w:r>
          <w:r>
            <w:rPr>
              <w:i w:val="0"/>
              <w:iCs w:val="0"/>
            </w:rPr>
            <w:tab/>
          </w:r>
          <w:r>
            <w:rPr>
              <w:i w:val="0"/>
              <w:iCs w:val="0"/>
            </w:rPr>
            <w:fldChar w:fldCharType="begin"/>
          </w:r>
          <w:r>
            <w:rPr>
              <w:i w:val="0"/>
              <w:iCs w:val="0"/>
            </w:rPr>
            <w:instrText xml:space="preserve"> PAGEREF _Toc3606 \h </w:instrText>
          </w:r>
          <w:r>
            <w:rPr>
              <w:i w:val="0"/>
              <w:iCs w:val="0"/>
            </w:rPr>
            <w:fldChar w:fldCharType="separate"/>
          </w:r>
          <w:r>
            <w:rPr>
              <w:i w:val="0"/>
              <w:iCs w:val="0"/>
            </w:rPr>
            <w:t>54</w:t>
          </w:r>
          <w:r>
            <w:rPr>
              <w:i w:val="0"/>
              <w:iCs w:val="0"/>
            </w:rPr>
            <w:fldChar w:fldCharType="end"/>
          </w:r>
          <w:r>
            <w:rPr>
              <w:bCs w:val="0"/>
              <w:i w:val="0"/>
              <w:iCs w:val="0"/>
              <w:caps w:val="0"/>
              <w:smallCaps/>
              <w:szCs w:val="24"/>
            </w:rPr>
            <w:fldChar w:fldCharType="end"/>
          </w:r>
        </w:p>
        <w:p w14:paraId="5D68922D">
          <w:pPr>
            <w:pStyle w:val="27"/>
            <w:keepNext w:val="0"/>
            <w:keepLines w:val="0"/>
            <w:pageBreakBefore w:val="0"/>
            <w:widowControl w:val="0"/>
            <w:tabs>
              <w:tab w:val="right" w:leader="dot" w:pos="9072"/>
              <w:tab w:val="clear" w:pos="9060"/>
            </w:tabs>
            <w:kinsoku/>
            <w:wordWrap/>
            <w:overflowPunct/>
            <w:topLinePunct w:val="0"/>
            <w:autoSpaceDE/>
            <w:autoSpaceDN/>
            <w:bidi w:val="0"/>
            <w:adjustRightInd/>
            <w:snapToGrid/>
            <w:spacing w:before="0" w:after="0" w:line="480" w:lineRule="exact"/>
            <w:textAlignment w:val="auto"/>
            <w:rPr>
              <w:i w:val="0"/>
              <w:iCs w:val="0"/>
            </w:rPr>
          </w:pPr>
          <w:r>
            <w:rPr>
              <w:bCs w:val="0"/>
              <w:i w:val="0"/>
              <w:iCs w:val="0"/>
              <w:caps w:val="0"/>
              <w:smallCaps/>
              <w:szCs w:val="24"/>
            </w:rPr>
            <w:fldChar w:fldCharType="begin"/>
          </w:r>
          <w:r>
            <w:rPr>
              <w:bCs w:val="0"/>
              <w:i w:val="0"/>
              <w:iCs w:val="0"/>
              <w:caps w:val="0"/>
              <w:smallCaps/>
              <w:szCs w:val="24"/>
            </w:rPr>
            <w:instrText xml:space="preserve"> HYPERLINK \l _Toc19812 </w:instrText>
          </w:r>
          <w:r>
            <w:rPr>
              <w:bCs w:val="0"/>
              <w:i w:val="0"/>
              <w:iCs w:val="0"/>
              <w:caps w:val="0"/>
              <w:smallCaps/>
              <w:szCs w:val="24"/>
            </w:rPr>
            <w:fldChar w:fldCharType="separate"/>
          </w:r>
          <w:r>
            <w:rPr>
              <w:rFonts w:hint="eastAsia"/>
              <w:i w:val="0"/>
              <w:iCs w:val="0"/>
            </w:rPr>
            <w:t>7 安全评价结论</w:t>
          </w:r>
          <w:r>
            <w:rPr>
              <w:i w:val="0"/>
              <w:iCs w:val="0"/>
            </w:rPr>
            <w:tab/>
          </w:r>
          <w:r>
            <w:rPr>
              <w:i w:val="0"/>
              <w:iCs w:val="0"/>
            </w:rPr>
            <w:fldChar w:fldCharType="begin"/>
          </w:r>
          <w:r>
            <w:rPr>
              <w:i w:val="0"/>
              <w:iCs w:val="0"/>
            </w:rPr>
            <w:instrText xml:space="preserve"> PAGEREF _Toc19812 \h </w:instrText>
          </w:r>
          <w:r>
            <w:rPr>
              <w:i w:val="0"/>
              <w:iCs w:val="0"/>
            </w:rPr>
            <w:fldChar w:fldCharType="separate"/>
          </w:r>
          <w:r>
            <w:rPr>
              <w:i w:val="0"/>
              <w:iCs w:val="0"/>
            </w:rPr>
            <w:t>55</w:t>
          </w:r>
          <w:r>
            <w:rPr>
              <w:i w:val="0"/>
              <w:iCs w:val="0"/>
            </w:rPr>
            <w:fldChar w:fldCharType="end"/>
          </w:r>
          <w:r>
            <w:rPr>
              <w:bCs w:val="0"/>
              <w:i w:val="0"/>
              <w:iCs w:val="0"/>
              <w:caps w:val="0"/>
              <w:smallCaps/>
              <w:szCs w:val="24"/>
            </w:rPr>
            <w:fldChar w:fldCharType="end"/>
          </w:r>
        </w:p>
        <w:p w14:paraId="42C69F6E">
          <w:pPr>
            <w:pStyle w:val="32"/>
            <w:keepNext w:val="0"/>
            <w:keepLines w:val="0"/>
            <w:pageBreakBefore w:val="0"/>
            <w:widowControl w:val="0"/>
            <w:tabs>
              <w:tab w:val="right" w:leader="dot" w:pos="9072"/>
            </w:tabs>
            <w:kinsoku/>
            <w:wordWrap/>
            <w:overflowPunct/>
            <w:topLinePunct w:val="0"/>
            <w:autoSpaceDE/>
            <w:autoSpaceDN/>
            <w:bidi w:val="0"/>
            <w:adjustRightInd/>
            <w:snapToGrid/>
            <w:spacing w:line="480" w:lineRule="exact"/>
            <w:textAlignment w:val="auto"/>
            <w:rPr>
              <w:i w:val="0"/>
              <w:iCs w:val="0"/>
            </w:rPr>
          </w:pPr>
          <w:r>
            <w:rPr>
              <w:bCs w:val="0"/>
              <w:i w:val="0"/>
              <w:iCs w:val="0"/>
              <w:caps w:val="0"/>
              <w:smallCaps/>
              <w:szCs w:val="24"/>
            </w:rPr>
            <w:fldChar w:fldCharType="begin"/>
          </w:r>
          <w:r>
            <w:rPr>
              <w:bCs w:val="0"/>
              <w:i w:val="0"/>
              <w:iCs w:val="0"/>
              <w:caps w:val="0"/>
              <w:smallCaps/>
              <w:szCs w:val="24"/>
            </w:rPr>
            <w:instrText xml:space="preserve"> HYPERLINK \l _Toc6902 </w:instrText>
          </w:r>
          <w:r>
            <w:rPr>
              <w:bCs w:val="0"/>
              <w:i w:val="0"/>
              <w:iCs w:val="0"/>
              <w:caps w:val="0"/>
              <w:smallCaps/>
              <w:szCs w:val="24"/>
            </w:rPr>
            <w:fldChar w:fldCharType="separate"/>
          </w:r>
          <w:r>
            <w:rPr>
              <w:rFonts w:hint="eastAsia"/>
              <w:i w:val="0"/>
              <w:iCs w:val="0"/>
            </w:rPr>
            <w:t>7.1项目主要危险、有害因素及事故种类、重大危险源</w:t>
          </w:r>
          <w:r>
            <w:rPr>
              <w:i w:val="0"/>
              <w:iCs w:val="0"/>
            </w:rPr>
            <w:tab/>
          </w:r>
          <w:r>
            <w:rPr>
              <w:i w:val="0"/>
              <w:iCs w:val="0"/>
            </w:rPr>
            <w:fldChar w:fldCharType="begin"/>
          </w:r>
          <w:r>
            <w:rPr>
              <w:i w:val="0"/>
              <w:iCs w:val="0"/>
            </w:rPr>
            <w:instrText xml:space="preserve"> PAGEREF _Toc6902 \h </w:instrText>
          </w:r>
          <w:r>
            <w:rPr>
              <w:i w:val="0"/>
              <w:iCs w:val="0"/>
            </w:rPr>
            <w:fldChar w:fldCharType="separate"/>
          </w:r>
          <w:r>
            <w:rPr>
              <w:i w:val="0"/>
              <w:iCs w:val="0"/>
            </w:rPr>
            <w:t>55</w:t>
          </w:r>
          <w:r>
            <w:rPr>
              <w:i w:val="0"/>
              <w:iCs w:val="0"/>
            </w:rPr>
            <w:fldChar w:fldCharType="end"/>
          </w:r>
          <w:r>
            <w:rPr>
              <w:bCs w:val="0"/>
              <w:i w:val="0"/>
              <w:iCs w:val="0"/>
              <w:caps w:val="0"/>
              <w:smallCaps/>
              <w:szCs w:val="24"/>
            </w:rPr>
            <w:fldChar w:fldCharType="end"/>
          </w:r>
        </w:p>
        <w:p w14:paraId="1FA74020">
          <w:pPr>
            <w:pStyle w:val="32"/>
            <w:keepNext w:val="0"/>
            <w:keepLines w:val="0"/>
            <w:pageBreakBefore w:val="0"/>
            <w:widowControl w:val="0"/>
            <w:tabs>
              <w:tab w:val="right" w:leader="dot" w:pos="9072"/>
            </w:tabs>
            <w:kinsoku/>
            <w:wordWrap/>
            <w:overflowPunct/>
            <w:topLinePunct w:val="0"/>
            <w:autoSpaceDE/>
            <w:autoSpaceDN/>
            <w:bidi w:val="0"/>
            <w:adjustRightInd/>
            <w:snapToGrid/>
            <w:spacing w:line="480" w:lineRule="exact"/>
            <w:textAlignment w:val="auto"/>
            <w:rPr>
              <w:i w:val="0"/>
              <w:iCs w:val="0"/>
            </w:rPr>
          </w:pPr>
          <w:r>
            <w:rPr>
              <w:bCs w:val="0"/>
              <w:i w:val="0"/>
              <w:iCs w:val="0"/>
              <w:caps w:val="0"/>
              <w:smallCaps/>
              <w:szCs w:val="24"/>
            </w:rPr>
            <w:fldChar w:fldCharType="begin"/>
          </w:r>
          <w:r>
            <w:rPr>
              <w:bCs w:val="0"/>
              <w:i w:val="0"/>
              <w:iCs w:val="0"/>
              <w:caps w:val="0"/>
              <w:smallCaps/>
              <w:szCs w:val="24"/>
            </w:rPr>
            <w:instrText xml:space="preserve"> HYPERLINK \l _Toc29584 </w:instrText>
          </w:r>
          <w:r>
            <w:rPr>
              <w:bCs w:val="0"/>
              <w:i w:val="0"/>
              <w:iCs w:val="0"/>
              <w:caps w:val="0"/>
              <w:smallCaps/>
              <w:szCs w:val="24"/>
            </w:rPr>
            <w:fldChar w:fldCharType="separate"/>
          </w:r>
          <w:r>
            <w:rPr>
              <w:rFonts w:hint="eastAsia"/>
              <w:i w:val="0"/>
              <w:iCs w:val="0"/>
            </w:rPr>
            <w:t>7.2 安全评价结果</w:t>
          </w:r>
          <w:r>
            <w:rPr>
              <w:i w:val="0"/>
              <w:iCs w:val="0"/>
            </w:rPr>
            <w:tab/>
          </w:r>
          <w:r>
            <w:rPr>
              <w:i w:val="0"/>
              <w:iCs w:val="0"/>
            </w:rPr>
            <w:fldChar w:fldCharType="begin"/>
          </w:r>
          <w:r>
            <w:rPr>
              <w:i w:val="0"/>
              <w:iCs w:val="0"/>
            </w:rPr>
            <w:instrText xml:space="preserve"> PAGEREF _Toc29584 \h </w:instrText>
          </w:r>
          <w:r>
            <w:rPr>
              <w:i w:val="0"/>
              <w:iCs w:val="0"/>
            </w:rPr>
            <w:fldChar w:fldCharType="separate"/>
          </w:r>
          <w:r>
            <w:rPr>
              <w:i w:val="0"/>
              <w:iCs w:val="0"/>
            </w:rPr>
            <w:t>55</w:t>
          </w:r>
          <w:r>
            <w:rPr>
              <w:i w:val="0"/>
              <w:iCs w:val="0"/>
            </w:rPr>
            <w:fldChar w:fldCharType="end"/>
          </w:r>
          <w:r>
            <w:rPr>
              <w:bCs w:val="0"/>
              <w:i w:val="0"/>
              <w:iCs w:val="0"/>
              <w:caps w:val="0"/>
              <w:smallCaps/>
              <w:szCs w:val="24"/>
            </w:rPr>
            <w:fldChar w:fldCharType="end"/>
          </w:r>
        </w:p>
        <w:p w14:paraId="2762864B">
          <w:pPr>
            <w:pStyle w:val="32"/>
            <w:keepNext w:val="0"/>
            <w:keepLines w:val="0"/>
            <w:pageBreakBefore w:val="0"/>
            <w:widowControl w:val="0"/>
            <w:tabs>
              <w:tab w:val="right" w:leader="dot" w:pos="9072"/>
            </w:tabs>
            <w:kinsoku/>
            <w:wordWrap/>
            <w:overflowPunct/>
            <w:topLinePunct w:val="0"/>
            <w:autoSpaceDE/>
            <w:autoSpaceDN/>
            <w:bidi w:val="0"/>
            <w:adjustRightInd/>
            <w:snapToGrid/>
            <w:spacing w:line="480" w:lineRule="exact"/>
            <w:textAlignment w:val="auto"/>
            <w:rPr>
              <w:i w:val="0"/>
              <w:iCs w:val="0"/>
            </w:rPr>
          </w:pPr>
          <w:r>
            <w:rPr>
              <w:bCs w:val="0"/>
              <w:i w:val="0"/>
              <w:iCs w:val="0"/>
              <w:caps w:val="0"/>
              <w:smallCaps/>
              <w:szCs w:val="24"/>
            </w:rPr>
            <w:fldChar w:fldCharType="begin"/>
          </w:r>
          <w:r>
            <w:rPr>
              <w:bCs w:val="0"/>
              <w:i w:val="0"/>
              <w:iCs w:val="0"/>
              <w:caps w:val="0"/>
              <w:smallCaps/>
              <w:szCs w:val="24"/>
            </w:rPr>
            <w:instrText xml:space="preserve"> HYPERLINK \l _Toc5317 </w:instrText>
          </w:r>
          <w:r>
            <w:rPr>
              <w:bCs w:val="0"/>
              <w:i w:val="0"/>
              <w:iCs w:val="0"/>
              <w:caps w:val="0"/>
              <w:smallCaps/>
              <w:szCs w:val="24"/>
            </w:rPr>
            <w:fldChar w:fldCharType="separate"/>
          </w:r>
          <w:r>
            <w:rPr>
              <w:rFonts w:hint="eastAsia"/>
              <w:i w:val="0"/>
              <w:iCs w:val="0"/>
            </w:rPr>
            <w:t>7.3 评价结论</w:t>
          </w:r>
          <w:r>
            <w:rPr>
              <w:i w:val="0"/>
              <w:iCs w:val="0"/>
            </w:rPr>
            <w:tab/>
          </w:r>
          <w:r>
            <w:rPr>
              <w:i w:val="0"/>
              <w:iCs w:val="0"/>
            </w:rPr>
            <w:fldChar w:fldCharType="begin"/>
          </w:r>
          <w:r>
            <w:rPr>
              <w:i w:val="0"/>
              <w:iCs w:val="0"/>
            </w:rPr>
            <w:instrText xml:space="preserve"> PAGEREF _Toc5317 \h </w:instrText>
          </w:r>
          <w:r>
            <w:rPr>
              <w:i w:val="0"/>
              <w:iCs w:val="0"/>
            </w:rPr>
            <w:fldChar w:fldCharType="separate"/>
          </w:r>
          <w:r>
            <w:rPr>
              <w:i w:val="0"/>
              <w:iCs w:val="0"/>
            </w:rPr>
            <w:t>56</w:t>
          </w:r>
          <w:r>
            <w:rPr>
              <w:i w:val="0"/>
              <w:iCs w:val="0"/>
            </w:rPr>
            <w:fldChar w:fldCharType="end"/>
          </w:r>
          <w:r>
            <w:rPr>
              <w:bCs w:val="0"/>
              <w:i w:val="0"/>
              <w:iCs w:val="0"/>
              <w:caps w:val="0"/>
              <w:smallCaps/>
              <w:szCs w:val="24"/>
            </w:rPr>
            <w:fldChar w:fldCharType="end"/>
          </w:r>
        </w:p>
        <w:p w14:paraId="3A16FEEF">
          <w:pPr>
            <w:pStyle w:val="27"/>
            <w:keepNext w:val="0"/>
            <w:keepLines w:val="0"/>
            <w:pageBreakBefore w:val="0"/>
            <w:widowControl w:val="0"/>
            <w:tabs>
              <w:tab w:val="right" w:leader="dot" w:pos="9072"/>
              <w:tab w:val="clear" w:pos="9060"/>
            </w:tabs>
            <w:kinsoku/>
            <w:wordWrap/>
            <w:overflowPunct/>
            <w:topLinePunct w:val="0"/>
            <w:autoSpaceDE/>
            <w:autoSpaceDN/>
            <w:bidi w:val="0"/>
            <w:adjustRightInd/>
            <w:snapToGrid/>
            <w:spacing w:before="0" w:after="0" w:line="480" w:lineRule="exact"/>
            <w:textAlignment w:val="auto"/>
            <w:rPr>
              <w:i w:val="0"/>
              <w:iCs w:val="0"/>
            </w:rPr>
          </w:pPr>
          <w:r>
            <w:rPr>
              <w:bCs w:val="0"/>
              <w:i w:val="0"/>
              <w:iCs w:val="0"/>
              <w:caps w:val="0"/>
              <w:smallCaps/>
              <w:szCs w:val="24"/>
            </w:rPr>
            <w:fldChar w:fldCharType="begin"/>
          </w:r>
          <w:r>
            <w:rPr>
              <w:bCs w:val="0"/>
              <w:i w:val="0"/>
              <w:iCs w:val="0"/>
              <w:caps w:val="0"/>
              <w:smallCaps/>
              <w:szCs w:val="24"/>
            </w:rPr>
            <w:instrText xml:space="preserve"> HYPERLINK \l _Toc9036 </w:instrText>
          </w:r>
          <w:r>
            <w:rPr>
              <w:bCs w:val="0"/>
              <w:i w:val="0"/>
              <w:iCs w:val="0"/>
              <w:caps w:val="0"/>
              <w:smallCaps/>
              <w:szCs w:val="24"/>
            </w:rPr>
            <w:fldChar w:fldCharType="separate"/>
          </w:r>
          <w:r>
            <w:rPr>
              <w:rFonts w:hint="eastAsia"/>
              <w:i w:val="0"/>
              <w:iCs w:val="0"/>
              <w:lang w:val="en-US" w:eastAsia="zh-CN"/>
            </w:rPr>
            <w:t xml:space="preserve">8 </w:t>
          </w:r>
          <w:r>
            <w:rPr>
              <w:rFonts w:hint="eastAsia"/>
              <w:i w:val="0"/>
              <w:iCs w:val="0"/>
            </w:rPr>
            <w:t>附件目录</w:t>
          </w:r>
          <w:r>
            <w:rPr>
              <w:i w:val="0"/>
              <w:iCs w:val="0"/>
            </w:rPr>
            <w:tab/>
          </w:r>
          <w:r>
            <w:rPr>
              <w:i w:val="0"/>
              <w:iCs w:val="0"/>
            </w:rPr>
            <w:fldChar w:fldCharType="begin"/>
          </w:r>
          <w:r>
            <w:rPr>
              <w:i w:val="0"/>
              <w:iCs w:val="0"/>
            </w:rPr>
            <w:instrText xml:space="preserve"> PAGEREF _Toc9036 \h </w:instrText>
          </w:r>
          <w:r>
            <w:rPr>
              <w:i w:val="0"/>
              <w:iCs w:val="0"/>
            </w:rPr>
            <w:fldChar w:fldCharType="separate"/>
          </w:r>
          <w:r>
            <w:rPr>
              <w:i w:val="0"/>
              <w:iCs w:val="0"/>
            </w:rPr>
            <w:t>58</w:t>
          </w:r>
          <w:r>
            <w:rPr>
              <w:i w:val="0"/>
              <w:iCs w:val="0"/>
            </w:rPr>
            <w:fldChar w:fldCharType="end"/>
          </w:r>
          <w:r>
            <w:rPr>
              <w:bCs w:val="0"/>
              <w:i w:val="0"/>
              <w:iCs w:val="0"/>
              <w:caps w:val="0"/>
              <w:smallCaps/>
              <w:szCs w:val="24"/>
            </w:rPr>
            <w:fldChar w:fldCharType="end"/>
          </w:r>
        </w:p>
        <w:p w14:paraId="6C222E0B">
          <w:pPr>
            <w:pStyle w:val="27"/>
            <w:keepNext w:val="0"/>
            <w:keepLines w:val="0"/>
            <w:pageBreakBefore w:val="0"/>
            <w:widowControl w:val="0"/>
            <w:tabs>
              <w:tab w:val="right" w:leader="dot" w:pos="9070"/>
              <w:tab w:val="clear" w:pos="9060"/>
            </w:tabs>
            <w:kinsoku/>
            <w:wordWrap/>
            <w:overflowPunct/>
            <w:topLinePunct w:val="0"/>
            <w:autoSpaceDE/>
            <w:autoSpaceDN/>
            <w:bidi w:val="0"/>
            <w:adjustRightInd/>
            <w:snapToGrid/>
            <w:spacing w:before="0" w:after="0" w:line="400" w:lineRule="exact"/>
            <w:textAlignment w:val="auto"/>
            <w:outlineLvl w:val="2"/>
            <w:rPr>
              <w:rFonts w:ascii="宋体" w:hAnsi="宋体" w:eastAsia="宋体" w:cs="Times New Roman"/>
              <w:b/>
              <w:bCs w:val="0"/>
              <w:i w:val="0"/>
              <w:iCs w:val="0"/>
              <w:caps w:val="0"/>
              <w:smallCaps/>
              <w:kern w:val="0"/>
              <w:sz w:val="28"/>
              <w:szCs w:val="24"/>
              <w:lang w:val="en-US" w:eastAsia="zh-CN" w:bidi="ar-SA"/>
            </w:rPr>
          </w:pPr>
          <w:r>
            <w:rPr>
              <w:bCs w:val="0"/>
              <w:i w:val="0"/>
              <w:iCs w:val="0"/>
              <w:caps w:val="0"/>
              <w:smallCaps/>
              <w:szCs w:val="24"/>
            </w:rPr>
            <w:fldChar w:fldCharType="end"/>
          </w:r>
        </w:p>
      </w:sdtContent>
    </w:sdt>
    <w:p w14:paraId="5B214383">
      <w:pPr>
        <w:pStyle w:val="32"/>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pPr>
    </w:p>
    <w:p w14:paraId="711F8B34">
      <w:pPr>
        <w:pStyle w:val="4"/>
        <w:bidi w:val="0"/>
        <w:sectPr>
          <w:pgSz w:w="11906" w:h="16838"/>
          <w:pgMar w:top="1417" w:right="1417" w:bottom="1417" w:left="1417" w:header="851" w:footer="992" w:gutter="0"/>
          <w:pgBorders>
            <w:top w:val="none" w:sz="0" w:space="0"/>
            <w:left w:val="none" w:sz="0" w:space="0"/>
            <w:bottom w:val="none" w:sz="0" w:space="0"/>
            <w:right w:val="none" w:sz="0" w:space="0"/>
          </w:pgBorders>
          <w:pgNumType w:fmt="upperRoman"/>
          <w:cols w:space="425" w:num="1"/>
          <w:docGrid w:type="lines" w:linePitch="312" w:charSpace="0"/>
        </w:sectPr>
      </w:pPr>
    </w:p>
    <w:p w14:paraId="6497AB67">
      <w:pPr>
        <w:pStyle w:val="2"/>
        <w:bidi w:val="0"/>
        <w:jc w:val="center"/>
      </w:pPr>
      <w:bookmarkStart w:id="0" w:name="_Toc28739"/>
      <w:bookmarkStart w:id="1" w:name="_Toc25506"/>
      <w:r>
        <w:rPr>
          <w:rFonts w:hint="eastAsia"/>
          <w:lang w:val="en-US" w:eastAsia="zh-CN"/>
        </w:rPr>
        <w:t>1</w:t>
      </w:r>
      <w:r>
        <w:rPr>
          <w:rFonts w:hint="eastAsia"/>
        </w:rPr>
        <w:t xml:space="preserve"> 安全评价概述</w:t>
      </w:r>
      <w:bookmarkEnd w:id="0"/>
      <w:bookmarkEnd w:id="1"/>
    </w:p>
    <w:p w14:paraId="72A2048D">
      <w:pPr>
        <w:keepNext/>
        <w:keepLines/>
        <w:spacing w:before="156" w:beforeLines="50" w:line="360" w:lineRule="auto"/>
        <w:ind w:left="0" w:leftChars="0" w:firstLine="0" w:firstLineChars="0"/>
        <w:outlineLvl w:val="1"/>
        <w:rPr>
          <w:rFonts w:ascii="宋体" w:hAnsi="宋体"/>
          <w:b/>
          <w:bCs/>
          <w:sz w:val="30"/>
          <w:szCs w:val="30"/>
        </w:rPr>
      </w:pPr>
      <w:bookmarkStart w:id="2" w:name="_Toc31412"/>
      <w:bookmarkStart w:id="3" w:name="_Toc164946180"/>
      <w:bookmarkStart w:id="4" w:name="_Toc22683"/>
      <w:r>
        <w:rPr>
          <w:rFonts w:hint="eastAsia" w:ascii="宋体" w:hAnsi="宋体"/>
          <w:b/>
          <w:bCs/>
          <w:sz w:val="30"/>
          <w:szCs w:val="30"/>
        </w:rPr>
        <w:t>1.1 安全评价的目的</w:t>
      </w:r>
      <w:bookmarkEnd w:id="2"/>
      <w:bookmarkEnd w:id="3"/>
      <w:bookmarkEnd w:id="4"/>
    </w:p>
    <w:p w14:paraId="4A9C4880">
      <w:pPr>
        <w:spacing w:line="360" w:lineRule="auto"/>
        <w:ind w:firstLine="606" w:firstLineChars="200"/>
        <w:rPr>
          <w:rFonts w:ascii="宋体" w:hAnsi="宋体"/>
          <w:sz w:val="28"/>
          <w:szCs w:val="28"/>
          <w:lang w:val="en-GB"/>
        </w:rPr>
      </w:pPr>
      <w:r>
        <w:rPr>
          <w:rFonts w:hint="eastAsia" w:ascii="宋体" w:hAnsi="宋体"/>
          <w:sz w:val="28"/>
          <w:szCs w:val="28"/>
          <w:lang w:val="en-GB"/>
        </w:rPr>
        <w:t>（1）贯彻落实《中华人民共和国安全生产法》、《烟花爆竹安全管理条例》、《安全生产许可证条例》和《</w:t>
      </w:r>
      <w:r>
        <w:rPr>
          <w:sz w:val="28"/>
          <w:szCs w:val="28"/>
        </w:rPr>
        <w:t>烟花爆竹经营许可实施办法</w:t>
      </w:r>
      <w:r>
        <w:rPr>
          <w:rFonts w:hint="eastAsia" w:ascii="宋体" w:hAnsi="宋体"/>
          <w:sz w:val="28"/>
          <w:szCs w:val="28"/>
          <w:lang w:val="en-GB"/>
        </w:rPr>
        <w:t>》，提高企业安全经营、储存与运输管理水平，确保职工生命健康安全和企业财产安全。</w:t>
      </w:r>
    </w:p>
    <w:p w14:paraId="37004192">
      <w:pPr>
        <w:spacing w:line="360" w:lineRule="auto"/>
        <w:ind w:firstLine="606" w:firstLineChars="200"/>
        <w:rPr>
          <w:rFonts w:ascii="宋体" w:hAnsi="宋体"/>
          <w:sz w:val="28"/>
          <w:szCs w:val="28"/>
        </w:rPr>
      </w:pPr>
      <w:r>
        <w:rPr>
          <w:rFonts w:hint="eastAsia" w:ascii="宋体" w:hAnsi="宋体"/>
          <w:sz w:val="28"/>
          <w:szCs w:val="28"/>
          <w:lang w:val="en-GB"/>
        </w:rPr>
        <w:t>（2）应用安全系统工程的原理和方法，</w:t>
      </w:r>
      <w:r>
        <w:rPr>
          <w:rFonts w:ascii="宋体" w:hAnsi="宋体"/>
          <w:sz w:val="28"/>
          <w:szCs w:val="28"/>
          <w:lang w:val="en-GB"/>
        </w:rPr>
        <w:t>通过认真查找、辩识烟花爆竹经营企业存在的危险、有害因素</w:t>
      </w:r>
      <w:r>
        <w:rPr>
          <w:rFonts w:hint="eastAsia" w:ascii="宋体" w:hAnsi="宋体"/>
          <w:sz w:val="28"/>
          <w:szCs w:val="28"/>
          <w:lang w:val="en-GB"/>
        </w:rPr>
        <w:t>，对企业的经营、储存等方面的安全状况进行危险、有害因素辨识。</w:t>
      </w:r>
      <w:r>
        <w:rPr>
          <w:rFonts w:ascii="宋体" w:hAnsi="宋体"/>
          <w:sz w:val="28"/>
          <w:szCs w:val="28"/>
          <w:lang w:val="en-GB"/>
        </w:rPr>
        <w:t>分析发生事故的可能性及其危害程度，客观、科学地评价企业的安全生产条件和安全状况符合国家有关法律法规、国家（或行业）标准规范的程度，有针对性地提出改进措施和建议，提高企业安全管理和安全保障水平</w:t>
      </w:r>
      <w:r>
        <w:rPr>
          <w:rFonts w:hint="eastAsia" w:ascii="宋体" w:hAnsi="宋体"/>
          <w:sz w:val="28"/>
          <w:szCs w:val="28"/>
          <w:lang w:val="en-GB"/>
        </w:rPr>
        <w:t>。使企业比较全面了解本单位的安全现状，以便采取具体措施进行整改和重点防范，预防事故特别是重大事故的发生；使企业的安全管理水平得到进一步提高，从而达到本质安全化的目的。</w:t>
      </w:r>
    </w:p>
    <w:p w14:paraId="481D2941">
      <w:pPr>
        <w:spacing w:line="360" w:lineRule="auto"/>
        <w:ind w:firstLine="606" w:firstLineChars="200"/>
        <w:rPr>
          <w:rFonts w:ascii="宋体" w:hAnsi="宋体"/>
          <w:sz w:val="28"/>
          <w:szCs w:val="28"/>
        </w:rPr>
      </w:pPr>
      <w:r>
        <w:rPr>
          <w:rFonts w:hint="eastAsia" w:ascii="宋体" w:hAnsi="宋体"/>
          <w:sz w:val="28"/>
          <w:szCs w:val="28"/>
          <w:lang w:val="en-GB"/>
        </w:rPr>
        <w:t>（3）</w:t>
      </w:r>
      <w:r>
        <w:rPr>
          <w:rFonts w:hint="eastAsia" w:ascii="宋体" w:hAnsi="宋体"/>
          <w:sz w:val="28"/>
          <w:szCs w:val="28"/>
        </w:rPr>
        <w:t>通过对企业的安全现状进行评价，本评价报告作为第三方出具的技术性咨询文件，可为政府应急管理部门、行业主管部门等相关单位对评价对象的安全生产行为进行法律法规、标准、行政规章、规范的符合性判别提供依据。</w:t>
      </w:r>
    </w:p>
    <w:p w14:paraId="014A1181">
      <w:pPr>
        <w:spacing w:line="360" w:lineRule="auto"/>
        <w:ind w:firstLine="606" w:firstLineChars="200"/>
        <w:rPr>
          <w:rFonts w:ascii="宋体" w:hAnsi="宋体"/>
          <w:sz w:val="28"/>
          <w:szCs w:val="28"/>
        </w:rPr>
      </w:pPr>
      <w:r>
        <w:rPr>
          <w:rFonts w:hint="eastAsia" w:ascii="宋体" w:hAnsi="宋体"/>
          <w:sz w:val="28"/>
          <w:szCs w:val="28"/>
        </w:rPr>
        <w:t>（4）为主管部门给该企业延期更换《烟花爆竹经营（批发）许可证》提供参考依据。</w:t>
      </w:r>
    </w:p>
    <w:p w14:paraId="5C53F048">
      <w:pPr>
        <w:keepNext/>
        <w:keepLines/>
        <w:spacing w:before="156" w:beforeLines="50" w:line="360" w:lineRule="auto"/>
        <w:ind w:left="0" w:leftChars="0" w:firstLine="0" w:firstLineChars="0"/>
        <w:outlineLvl w:val="1"/>
        <w:rPr>
          <w:rFonts w:ascii="宋体" w:hAnsi="宋体"/>
          <w:b/>
          <w:bCs/>
          <w:sz w:val="30"/>
          <w:szCs w:val="30"/>
        </w:rPr>
      </w:pPr>
      <w:bookmarkStart w:id="5" w:name="_Toc8303"/>
      <w:bookmarkStart w:id="6" w:name="_Toc21770"/>
      <w:bookmarkStart w:id="7" w:name="_Toc164946181"/>
      <w:r>
        <w:rPr>
          <w:rFonts w:hint="eastAsia" w:ascii="宋体" w:hAnsi="宋体"/>
          <w:b/>
          <w:bCs/>
          <w:sz w:val="30"/>
          <w:szCs w:val="30"/>
        </w:rPr>
        <w:t xml:space="preserve">1.2 </w:t>
      </w:r>
      <w:r>
        <w:rPr>
          <w:rFonts w:ascii="宋体" w:hAnsi="宋体"/>
          <w:b/>
          <w:bCs/>
          <w:sz w:val="30"/>
          <w:szCs w:val="30"/>
        </w:rPr>
        <w:t>安全评价的原则</w:t>
      </w:r>
      <w:bookmarkEnd w:id="5"/>
      <w:bookmarkEnd w:id="6"/>
      <w:bookmarkEnd w:id="7"/>
    </w:p>
    <w:p w14:paraId="10F7C033">
      <w:pPr>
        <w:spacing w:line="360" w:lineRule="auto"/>
        <w:ind w:firstLine="606" w:firstLineChars="200"/>
        <w:rPr>
          <w:sz w:val="28"/>
          <w:szCs w:val="28"/>
        </w:rPr>
      </w:pPr>
      <w:r>
        <w:rPr>
          <w:rFonts w:hint="eastAsia" w:ascii="宋体" w:hAnsi="宋体"/>
          <w:sz w:val="28"/>
          <w:szCs w:val="28"/>
          <w:lang w:val="en-GB"/>
        </w:rPr>
        <w:t>（1）</w:t>
      </w:r>
      <w:r>
        <w:rPr>
          <w:rFonts w:ascii="宋体" w:hAnsi="宋体"/>
          <w:sz w:val="28"/>
          <w:szCs w:val="28"/>
          <w:lang w:val="en-GB"/>
        </w:rPr>
        <w:t>贯彻</w:t>
      </w:r>
      <w:r>
        <w:rPr>
          <w:sz w:val="28"/>
          <w:szCs w:val="28"/>
        </w:rPr>
        <w:t>“安全第一、预防为主、综合治理”的方针，坚持客观、科学、公正的安全评价原则</w:t>
      </w:r>
      <w:r>
        <w:rPr>
          <w:rFonts w:hint="eastAsia"/>
          <w:sz w:val="28"/>
          <w:szCs w:val="28"/>
        </w:rPr>
        <w:t>。</w:t>
      </w:r>
    </w:p>
    <w:p w14:paraId="2B6D9E8F">
      <w:pPr>
        <w:spacing w:line="360" w:lineRule="auto"/>
        <w:ind w:firstLine="606" w:firstLineChars="200"/>
        <w:rPr>
          <w:rFonts w:ascii="宋体" w:hAnsi="宋体"/>
          <w:sz w:val="28"/>
          <w:szCs w:val="28"/>
          <w:lang w:val="en-GB"/>
        </w:rPr>
      </w:pPr>
      <w:r>
        <w:rPr>
          <w:rFonts w:hint="eastAsia" w:ascii="宋体" w:hAnsi="宋体"/>
          <w:sz w:val="28"/>
          <w:szCs w:val="28"/>
          <w:lang w:val="en-GB"/>
        </w:rPr>
        <w:t>（2）严格执行国家、地方与行业现行有关方面的法律、法规和标准，保证评价的科学性和公正性。</w:t>
      </w:r>
    </w:p>
    <w:p w14:paraId="55AF5A2D">
      <w:pPr>
        <w:spacing w:line="360" w:lineRule="auto"/>
        <w:ind w:firstLine="606" w:firstLineChars="200"/>
        <w:rPr>
          <w:rFonts w:ascii="宋体" w:hAnsi="宋体"/>
          <w:sz w:val="28"/>
          <w:szCs w:val="28"/>
          <w:lang w:val="en-GB"/>
        </w:rPr>
      </w:pPr>
      <w:r>
        <w:rPr>
          <w:rFonts w:hint="eastAsia" w:ascii="宋体" w:hAnsi="宋体"/>
          <w:sz w:val="28"/>
          <w:szCs w:val="28"/>
          <w:lang w:val="en-GB"/>
        </w:rPr>
        <w:t>（3）坚持尊重客观、实事求是的原则。</w:t>
      </w:r>
    </w:p>
    <w:p w14:paraId="257F05BE">
      <w:pPr>
        <w:spacing w:line="360" w:lineRule="auto"/>
        <w:ind w:firstLine="606" w:firstLineChars="200"/>
        <w:rPr>
          <w:rFonts w:ascii="宋体" w:hAnsi="宋体"/>
          <w:sz w:val="28"/>
          <w:lang w:val="en-GB"/>
        </w:rPr>
      </w:pPr>
      <w:r>
        <w:rPr>
          <w:rFonts w:hint="eastAsia" w:ascii="宋体" w:hAnsi="宋体"/>
          <w:sz w:val="28"/>
          <w:szCs w:val="28"/>
          <w:lang w:val="en-GB"/>
        </w:rPr>
        <w:t>（4）运用可靠、适用的评价方法，突出重点，确保评价质量。</w:t>
      </w:r>
    </w:p>
    <w:p w14:paraId="529034B1">
      <w:pPr>
        <w:pStyle w:val="3"/>
        <w:bidi w:val="0"/>
        <w:ind w:left="0" w:leftChars="0" w:firstLine="0" w:firstLineChars="0"/>
        <w:rPr>
          <w:rFonts w:hint="eastAsia"/>
        </w:rPr>
      </w:pPr>
      <w:bookmarkStart w:id="8" w:name="_Toc14723"/>
      <w:bookmarkStart w:id="9" w:name="_Toc3924"/>
      <w:r>
        <w:rPr>
          <w:rFonts w:hint="eastAsia"/>
        </w:rPr>
        <w:t>1.3 安全评价的依据</w:t>
      </w:r>
      <w:bookmarkEnd w:id="8"/>
      <w:bookmarkEnd w:id="9"/>
    </w:p>
    <w:p w14:paraId="01425381">
      <w:pPr>
        <w:pStyle w:val="4"/>
        <w:bidi w:val="0"/>
        <w:ind w:left="0" w:leftChars="0" w:firstLine="0" w:firstLineChars="0"/>
      </w:pPr>
      <w:bookmarkStart w:id="10" w:name="_Toc279412864"/>
      <w:bookmarkStart w:id="11" w:name="_Toc290992995"/>
      <w:bookmarkStart w:id="12" w:name="_Toc32662"/>
      <w:bookmarkStart w:id="13" w:name="_Toc421348386"/>
      <w:r>
        <w:rPr>
          <w:rFonts w:hint="eastAsia"/>
        </w:rPr>
        <w:t>1.3.1采用的法律、法规、文件、标准和规范</w:t>
      </w:r>
      <w:bookmarkEnd w:id="10"/>
      <w:bookmarkEnd w:id="11"/>
      <w:bookmarkEnd w:id="12"/>
      <w:bookmarkEnd w:id="13"/>
    </w:p>
    <w:p w14:paraId="688A303C">
      <w:pPr>
        <w:bidi w:val="0"/>
        <w:rPr>
          <w:rFonts w:hint="eastAsia"/>
        </w:rPr>
      </w:pPr>
      <w:r>
        <w:rPr>
          <w:rFonts w:hint="eastAsia"/>
        </w:rPr>
        <w:t>安全评价依据我国现行的有关法律、法规、规章和标准规范。本项目安全评价所涉及的现行主要法律、法规、规章、地方性法规和标准规范，均采用最新的修订版本。</w:t>
      </w:r>
    </w:p>
    <w:tbl>
      <w:tblPr>
        <w:tblStyle w:val="41"/>
        <w:tblW w:w="479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7"/>
        <w:gridCol w:w="3747"/>
        <w:gridCol w:w="4461"/>
      </w:tblGrid>
      <w:tr w14:paraId="1BE254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00" w:type="pct"/>
            <w:gridSpan w:val="3"/>
            <w:vAlign w:val="center"/>
          </w:tcPr>
          <w:p w14:paraId="4DA971D8">
            <w:pPr>
              <w:spacing w:line="320" w:lineRule="exact"/>
              <w:jc w:val="center"/>
              <w:rPr>
                <w:rFonts w:hint="eastAsia" w:ascii="宋体" w:hAnsi="宋体" w:eastAsia="宋体" w:cs="宋体"/>
                <w:b/>
                <w:sz w:val="21"/>
                <w:szCs w:val="21"/>
              </w:rPr>
            </w:pPr>
            <w:r>
              <w:rPr>
                <w:rFonts w:hint="eastAsia" w:ascii="宋体" w:hAnsi="宋体" w:eastAsia="宋体" w:cs="宋体"/>
                <w:b/>
                <w:sz w:val="21"/>
                <w:szCs w:val="21"/>
              </w:rPr>
              <w:t>法律法规文件</w:t>
            </w:r>
          </w:p>
        </w:tc>
      </w:tr>
      <w:tr w14:paraId="12D2A6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396" w:type="pct"/>
            <w:vAlign w:val="center"/>
          </w:tcPr>
          <w:p w14:paraId="1D98DB8D">
            <w:pPr>
              <w:spacing w:line="320" w:lineRule="exact"/>
              <w:ind w:left="0" w:leftChars="0" w:firstLine="0" w:firstLineChars="0"/>
              <w:jc w:val="both"/>
              <w:rPr>
                <w:rFonts w:hint="eastAsia" w:ascii="宋体" w:hAnsi="宋体" w:eastAsia="宋体" w:cs="宋体"/>
                <w:b/>
                <w:sz w:val="21"/>
                <w:szCs w:val="21"/>
              </w:rPr>
            </w:pPr>
            <w:r>
              <w:rPr>
                <w:rFonts w:hint="eastAsia" w:ascii="宋体" w:hAnsi="宋体" w:eastAsia="宋体" w:cs="宋体"/>
                <w:b/>
                <w:sz w:val="21"/>
                <w:szCs w:val="21"/>
              </w:rPr>
              <w:t>序号</w:t>
            </w:r>
          </w:p>
        </w:tc>
        <w:tc>
          <w:tcPr>
            <w:tcW w:w="2101" w:type="pct"/>
            <w:vAlign w:val="center"/>
          </w:tcPr>
          <w:p w14:paraId="2A8B3AD0">
            <w:pPr>
              <w:spacing w:line="320" w:lineRule="exact"/>
              <w:jc w:val="center"/>
              <w:rPr>
                <w:rFonts w:hint="eastAsia" w:ascii="宋体" w:hAnsi="宋体" w:eastAsia="宋体" w:cs="宋体"/>
                <w:b/>
                <w:sz w:val="21"/>
                <w:szCs w:val="21"/>
              </w:rPr>
            </w:pPr>
            <w:r>
              <w:rPr>
                <w:rFonts w:hint="eastAsia" w:ascii="宋体" w:hAnsi="宋体" w:eastAsia="宋体" w:cs="宋体"/>
                <w:b/>
                <w:sz w:val="21"/>
                <w:szCs w:val="21"/>
              </w:rPr>
              <w:t>名称</w:t>
            </w:r>
          </w:p>
        </w:tc>
        <w:tc>
          <w:tcPr>
            <w:tcW w:w="2502" w:type="pct"/>
            <w:vAlign w:val="center"/>
          </w:tcPr>
          <w:p w14:paraId="67641F38">
            <w:pPr>
              <w:spacing w:line="320" w:lineRule="exact"/>
              <w:jc w:val="center"/>
              <w:rPr>
                <w:rFonts w:hint="eastAsia" w:ascii="宋体" w:hAnsi="宋体" w:eastAsia="宋体" w:cs="宋体"/>
                <w:b/>
                <w:sz w:val="21"/>
                <w:szCs w:val="21"/>
              </w:rPr>
            </w:pPr>
            <w:r>
              <w:rPr>
                <w:rFonts w:hint="eastAsia" w:ascii="宋体" w:hAnsi="宋体" w:eastAsia="宋体" w:cs="宋体"/>
                <w:b/>
                <w:sz w:val="21"/>
                <w:szCs w:val="21"/>
              </w:rPr>
              <w:t>文号</w:t>
            </w:r>
          </w:p>
        </w:tc>
      </w:tr>
      <w:tr w14:paraId="22BF3E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396" w:type="pct"/>
            <w:vAlign w:val="center"/>
          </w:tcPr>
          <w:p w14:paraId="3335A033">
            <w:pPr>
              <w:spacing w:line="32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1</w:t>
            </w:r>
          </w:p>
        </w:tc>
        <w:tc>
          <w:tcPr>
            <w:tcW w:w="2101" w:type="pct"/>
            <w:vAlign w:val="center"/>
          </w:tcPr>
          <w:p w14:paraId="38685852">
            <w:pPr>
              <w:spacing w:line="320" w:lineRule="exact"/>
              <w:ind w:left="0" w:leftChars="0" w:firstLine="0" w:firstLineChars="0"/>
              <w:jc w:val="left"/>
              <w:rPr>
                <w:rFonts w:hint="eastAsia" w:ascii="宋体" w:hAnsi="宋体" w:eastAsia="宋体" w:cs="宋体"/>
                <w:sz w:val="21"/>
                <w:szCs w:val="21"/>
              </w:rPr>
            </w:pPr>
            <w:r>
              <w:rPr>
                <w:rFonts w:hint="eastAsia" w:ascii="宋体" w:hAnsi="宋体" w:eastAsia="宋体" w:cs="宋体"/>
                <w:sz w:val="21"/>
                <w:szCs w:val="21"/>
              </w:rPr>
              <w:t>《中华人民共和国安全生产法》</w:t>
            </w:r>
          </w:p>
        </w:tc>
        <w:tc>
          <w:tcPr>
            <w:tcW w:w="2502" w:type="pct"/>
            <w:vAlign w:val="center"/>
          </w:tcPr>
          <w:p w14:paraId="1E0C5838">
            <w:pPr>
              <w:spacing w:line="320" w:lineRule="exact"/>
              <w:ind w:left="0" w:leftChars="0" w:firstLine="0" w:firstLineChars="0"/>
              <w:jc w:val="left"/>
              <w:rPr>
                <w:rFonts w:hint="eastAsia" w:ascii="宋体" w:hAnsi="宋体" w:eastAsia="宋体" w:cs="宋体"/>
                <w:sz w:val="21"/>
                <w:szCs w:val="21"/>
              </w:rPr>
            </w:pPr>
            <w:r>
              <w:rPr>
                <w:rFonts w:hint="eastAsia" w:ascii="宋体" w:hAnsi="宋体" w:eastAsia="宋体" w:cs="宋体"/>
                <w:sz w:val="21"/>
                <w:szCs w:val="21"/>
              </w:rPr>
              <w:t>中华人民共和国主席令第88号，2021修订，2021年9月1日起施行</w:t>
            </w:r>
          </w:p>
        </w:tc>
      </w:tr>
      <w:tr w14:paraId="54A6AA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396" w:type="pct"/>
            <w:vAlign w:val="center"/>
          </w:tcPr>
          <w:p w14:paraId="22D35663">
            <w:pPr>
              <w:spacing w:line="32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2</w:t>
            </w:r>
          </w:p>
        </w:tc>
        <w:tc>
          <w:tcPr>
            <w:tcW w:w="2101" w:type="pct"/>
            <w:vAlign w:val="center"/>
          </w:tcPr>
          <w:p w14:paraId="7BF78254">
            <w:pPr>
              <w:spacing w:line="320" w:lineRule="exact"/>
              <w:ind w:left="0" w:leftChars="0" w:firstLine="0" w:firstLineChars="0"/>
              <w:jc w:val="left"/>
              <w:rPr>
                <w:rFonts w:hint="eastAsia" w:ascii="宋体" w:hAnsi="宋体" w:eastAsia="宋体" w:cs="宋体"/>
                <w:sz w:val="21"/>
                <w:szCs w:val="21"/>
              </w:rPr>
            </w:pPr>
            <w:r>
              <w:rPr>
                <w:rFonts w:hint="eastAsia" w:ascii="宋体" w:hAnsi="宋体" w:eastAsia="宋体" w:cs="宋体"/>
                <w:sz w:val="21"/>
                <w:szCs w:val="21"/>
              </w:rPr>
              <w:t>《中华人民共和国消防法》</w:t>
            </w:r>
          </w:p>
        </w:tc>
        <w:tc>
          <w:tcPr>
            <w:tcW w:w="2502" w:type="pct"/>
            <w:vAlign w:val="center"/>
          </w:tcPr>
          <w:p w14:paraId="13B757BE">
            <w:pPr>
              <w:spacing w:line="320" w:lineRule="exact"/>
              <w:ind w:left="0" w:leftChars="0" w:firstLine="0" w:firstLineChars="0"/>
              <w:jc w:val="left"/>
              <w:rPr>
                <w:rFonts w:hint="eastAsia" w:ascii="宋体" w:hAnsi="宋体" w:eastAsia="宋体" w:cs="宋体"/>
                <w:sz w:val="21"/>
                <w:szCs w:val="21"/>
              </w:rPr>
            </w:pPr>
            <w:r>
              <w:rPr>
                <w:rFonts w:hint="eastAsia" w:ascii="宋体" w:hAnsi="宋体" w:eastAsia="宋体" w:cs="宋体"/>
                <w:sz w:val="21"/>
                <w:szCs w:val="21"/>
              </w:rPr>
              <w:t>2021年4月29日第十三届全国人民代表大会常务委员会第二十八次会议修改</w:t>
            </w:r>
          </w:p>
        </w:tc>
      </w:tr>
      <w:tr w14:paraId="1D5FCE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16" w:hRule="atLeast"/>
          <w:jc w:val="center"/>
        </w:trPr>
        <w:tc>
          <w:tcPr>
            <w:tcW w:w="396" w:type="pct"/>
            <w:vAlign w:val="center"/>
          </w:tcPr>
          <w:p w14:paraId="646A391F">
            <w:pPr>
              <w:spacing w:line="32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3</w:t>
            </w:r>
          </w:p>
        </w:tc>
        <w:tc>
          <w:tcPr>
            <w:tcW w:w="2101" w:type="pct"/>
            <w:vAlign w:val="center"/>
          </w:tcPr>
          <w:p w14:paraId="0ECA9DE1">
            <w:pPr>
              <w:spacing w:line="320" w:lineRule="exact"/>
              <w:ind w:left="0" w:leftChars="0" w:firstLine="0" w:firstLineChars="0"/>
              <w:jc w:val="left"/>
              <w:rPr>
                <w:rFonts w:hint="eastAsia" w:ascii="宋体" w:hAnsi="宋体" w:eastAsia="宋体" w:cs="宋体"/>
                <w:sz w:val="21"/>
                <w:szCs w:val="21"/>
              </w:rPr>
            </w:pPr>
            <w:r>
              <w:rPr>
                <w:rFonts w:hint="eastAsia" w:ascii="宋体" w:hAnsi="宋体" w:eastAsia="宋体" w:cs="宋体"/>
                <w:sz w:val="21"/>
                <w:szCs w:val="21"/>
              </w:rPr>
              <w:t>《中华人民共和国劳动法》</w:t>
            </w:r>
          </w:p>
        </w:tc>
        <w:tc>
          <w:tcPr>
            <w:tcW w:w="2502" w:type="pct"/>
            <w:vAlign w:val="center"/>
          </w:tcPr>
          <w:p w14:paraId="6AEF7F12">
            <w:pPr>
              <w:spacing w:line="320" w:lineRule="exact"/>
              <w:ind w:left="0" w:leftChars="0" w:firstLine="0" w:firstLineChars="0"/>
              <w:jc w:val="left"/>
              <w:rPr>
                <w:rFonts w:hint="eastAsia" w:ascii="宋体" w:hAnsi="宋体" w:eastAsia="宋体" w:cs="宋体"/>
                <w:sz w:val="21"/>
                <w:szCs w:val="21"/>
              </w:rPr>
            </w:pPr>
            <w:r>
              <w:rPr>
                <w:rFonts w:hint="eastAsia" w:ascii="宋体" w:hAnsi="宋体" w:eastAsia="宋体" w:cs="宋体"/>
                <w:sz w:val="21"/>
                <w:szCs w:val="21"/>
              </w:rPr>
              <w:t>1994年7月5日第八届全国人民代表大会常务委员会第八次会议通过根据2009年8月27日第十一届全国人民代表大会常务委员会第十次会议《关于修改部分法律的决定》第一次修正根据2018年12月29日第十三届全国人民代表大会常务委员会第七次会议《关于修改〈中华人民共和国劳动法〉等七部法律的决定》第二次修正</w:t>
            </w:r>
          </w:p>
        </w:tc>
      </w:tr>
      <w:tr w14:paraId="5734AC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01" w:hRule="atLeast"/>
          <w:jc w:val="center"/>
        </w:trPr>
        <w:tc>
          <w:tcPr>
            <w:tcW w:w="396" w:type="pct"/>
            <w:vAlign w:val="center"/>
          </w:tcPr>
          <w:p w14:paraId="4BF751CC">
            <w:pPr>
              <w:spacing w:line="32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4</w:t>
            </w:r>
          </w:p>
        </w:tc>
        <w:tc>
          <w:tcPr>
            <w:tcW w:w="2101" w:type="pct"/>
            <w:vAlign w:val="center"/>
          </w:tcPr>
          <w:p w14:paraId="58F18BFB">
            <w:pPr>
              <w:spacing w:line="320" w:lineRule="exact"/>
              <w:ind w:left="0" w:leftChars="0" w:firstLine="0" w:firstLineChars="0"/>
              <w:jc w:val="left"/>
              <w:rPr>
                <w:rFonts w:hint="eastAsia" w:ascii="宋体" w:hAnsi="宋体" w:eastAsia="宋体" w:cs="宋体"/>
                <w:sz w:val="21"/>
                <w:szCs w:val="21"/>
              </w:rPr>
            </w:pPr>
            <w:r>
              <w:rPr>
                <w:rFonts w:hint="eastAsia" w:ascii="宋体" w:hAnsi="宋体" w:eastAsia="宋体" w:cs="宋体"/>
                <w:sz w:val="21"/>
                <w:szCs w:val="21"/>
              </w:rPr>
              <w:t>《中华人民共和国社会保险法》</w:t>
            </w:r>
          </w:p>
        </w:tc>
        <w:tc>
          <w:tcPr>
            <w:tcW w:w="2502" w:type="pct"/>
            <w:vAlign w:val="center"/>
          </w:tcPr>
          <w:p w14:paraId="14F982A0">
            <w:pPr>
              <w:spacing w:line="320" w:lineRule="exact"/>
              <w:ind w:left="0" w:leftChars="0" w:firstLine="0" w:firstLineChars="0"/>
              <w:jc w:val="left"/>
              <w:rPr>
                <w:rFonts w:hint="eastAsia" w:ascii="宋体" w:hAnsi="宋体" w:eastAsia="宋体" w:cs="宋体"/>
                <w:sz w:val="21"/>
                <w:szCs w:val="21"/>
              </w:rPr>
            </w:pPr>
            <w:r>
              <w:rPr>
                <w:rFonts w:hint="eastAsia" w:ascii="宋体" w:hAnsi="宋体" w:eastAsia="宋体" w:cs="宋体"/>
                <w:sz w:val="21"/>
                <w:szCs w:val="21"/>
              </w:rPr>
              <w:t>2010年10月28日第十一届全国人民代表大会常务委员会第十七次会议通过根据2018年12月29日第十三届全国人民代表大会常务委员会第七次会议《关于修改〈中华人民共和国社会保险法〉的决定》修正</w:t>
            </w:r>
          </w:p>
        </w:tc>
      </w:tr>
      <w:tr w14:paraId="449331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396" w:type="pct"/>
            <w:vAlign w:val="center"/>
          </w:tcPr>
          <w:p w14:paraId="64F97C8F">
            <w:pPr>
              <w:spacing w:line="32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5</w:t>
            </w:r>
          </w:p>
        </w:tc>
        <w:tc>
          <w:tcPr>
            <w:tcW w:w="2101" w:type="pct"/>
            <w:vAlign w:val="center"/>
          </w:tcPr>
          <w:p w14:paraId="005E01D4">
            <w:pPr>
              <w:spacing w:line="320" w:lineRule="exact"/>
              <w:ind w:left="0" w:leftChars="0" w:firstLine="0" w:firstLineChars="0"/>
              <w:jc w:val="left"/>
              <w:rPr>
                <w:rFonts w:hint="eastAsia" w:ascii="宋体" w:hAnsi="宋体" w:eastAsia="宋体" w:cs="宋体"/>
                <w:sz w:val="21"/>
                <w:szCs w:val="21"/>
              </w:rPr>
            </w:pPr>
            <w:r>
              <w:rPr>
                <w:rFonts w:hint="eastAsia" w:ascii="宋体" w:hAnsi="宋体" w:eastAsia="宋体" w:cs="宋体"/>
                <w:sz w:val="21"/>
                <w:szCs w:val="21"/>
              </w:rPr>
              <w:t>《中华人民共和国行政许可法》</w:t>
            </w:r>
          </w:p>
        </w:tc>
        <w:tc>
          <w:tcPr>
            <w:tcW w:w="2502" w:type="pct"/>
            <w:vAlign w:val="center"/>
          </w:tcPr>
          <w:p w14:paraId="4F4EC9E2">
            <w:pPr>
              <w:spacing w:line="320" w:lineRule="exact"/>
              <w:ind w:left="0" w:leftChars="0" w:firstLine="0" w:firstLineChars="0"/>
              <w:jc w:val="left"/>
              <w:rPr>
                <w:rFonts w:hint="eastAsia" w:ascii="宋体" w:hAnsi="宋体" w:eastAsia="宋体" w:cs="宋体"/>
                <w:sz w:val="21"/>
                <w:szCs w:val="21"/>
              </w:rPr>
            </w:pPr>
            <w:r>
              <w:rPr>
                <w:rFonts w:hint="eastAsia" w:ascii="宋体" w:hAnsi="宋体" w:eastAsia="宋体" w:cs="宋体"/>
                <w:sz w:val="21"/>
                <w:szCs w:val="21"/>
              </w:rPr>
              <w:t>2003年8月27日第十届全国人民代表大会常务委员会第四次会议通过根据2019年4月23日第十三届全国人民代表大会常务委员会第十次会议《关于修改&lt;中华人民共和国建筑法&gt;等八部法律的决定》修正</w:t>
            </w:r>
          </w:p>
        </w:tc>
      </w:tr>
      <w:tr w14:paraId="43F533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396" w:type="pct"/>
            <w:vAlign w:val="center"/>
          </w:tcPr>
          <w:p w14:paraId="0BEC2299">
            <w:pPr>
              <w:spacing w:line="32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6</w:t>
            </w:r>
          </w:p>
        </w:tc>
        <w:tc>
          <w:tcPr>
            <w:tcW w:w="2101" w:type="pct"/>
            <w:vAlign w:val="center"/>
          </w:tcPr>
          <w:p w14:paraId="005225FD">
            <w:pPr>
              <w:spacing w:line="320" w:lineRule="exact"/>
              <w:ind w:left="0" w:leftChars="0" w:firstLine="0" w:firstLineChars="0"/>
              <w:jc w:val="left"/>
              <w:rPr>
                <w:rFonts w:hint="eastAsia" w:ascii="宋体" w:hAnsi="宋体" w:eastAsia="宋体" w:cs="宋体"/>
                <w:sz w:val="21"/>
                <w:szCs w:val="21"/>
              </w:rPr>
            </w:pPr>
            <w:r>
              <w:rPr>
                <w:rFonts w:hint="eastAsia" w:ascii="宋体" w:hAnsi="宋体" w:eastAsia="宋体" w:cs="宋体"/>
                <w:sz w:val="21"/>
                <w:szCs w:val="21"/>
              </w:rPr>
              <w:t>《中华人民共和国气象法》</w:t>
            </w:r>
          </w:p>
        </w:tc>
        <w:tc>
          <w:tcPr>
            <w:tcW w:w="2502" w:type="pct"/>
            <w:vAlign w:val="center"/>
          </w:tcPr>
          <w:p w14:paraId="62D1C2A0">
            <w:pPr>
              <w:spacing w:line="320" w:lineRule="exact"/>
              <w:ind w:left="0" w:leftChars="0" w:firstLine="0" w:firstLineChars="0"/>
              <w:jc w:val="left"/>
              <w:rPr>
                <w:rFonts w:hint="eastAsia" w:ascii="宋体" w:hAnsi="宋体" w:eastAsia="宋体" w:cs="宋体"/>
                <w:sz w:val="21"/>
                <w:szCs w:val="21"/>
              </w:rPr>
            </w:pPr>
            <w:r>
              <w:rPr>
                <w:rFonts w:hint="eastAsia" w:ascii="宋体" w:hAnsi="宋体" w:eastAsia="宋体" w:cs="宋体"/>
                <w:sz w:val="21"/>
                <w:szCs w:val="21"/>
              </w:rPr>
              <w:t>2016年11月7日第十二届全国人民代表大会常务委员会第二十四次会议第三次修正</w:t>
            </w:r>
          </w:p>
        </w:tc>
      </w:tr>
      <w:tr w14:paraId="79A7CC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396" w:type="pct"/>
            <w:vAlign w:val="center"/>
          </w:tcPr>
          <w:p w14:paraId="296A62A1">
            <w:pPr>
              <w:spacing w:line="32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7</w:t>
            </w:r>
          </w:p>
        </w:tc>
        <w:tc>
          <w:tcPr>
            <w:tcW w:w="2101" w:type="pct"/>
            <w:vAlign w:val="center"/>
          </w:tcPr>
          <w:p w14:paraId="03D027CD">
            <w:pPr>
              <w:spacing w:line="320" w:lineRule="exact"/>
              <w:ind w:left="0" w:leftChars="0" w:firstLine="0" w:firstLineChars="0"/>
              <w:jc w:val="left"/>
              <w:rPr>
                <w:rFonts w:hint="eastAsia" w:ascii="宋体" w:hAnsi="宋体" w:eastAsia="宋体" w:cs="宋体"/>
                <w:sz w:val="21"/>
                <w:szCs w:val="21"/>
              </w:rPr>
            </w:pPr>
            <w:r>
              <w:rPr>
                <w:rFonts w:hint="eastAsia" w:ascii="宋体" w:hAnsi="宋体" w:eastAsia="宋体" w:cs="宋体"/>
                <w:sz w:val="21"/>
                <w:szCs w:val="21"/>
              </w:rPr>
              <w:t>《中华人民共和国防震减灾法》</w:t>
            </w:r>
          </w:p>
        </w:tc>
        <w:tc>
          <w:tcPr>
            <w:tcW w:w="2502" w:type="pct"/>
            <w:vAlign w:val="center"/>
          </w:tcPr>
          <w:p w14:paraId="1DC36791">
            <w:pPr>
              <w:spacing w:line="320" w:lineRule="exact"/>
              <w:ind w:left="0" w:leftChars="0" w:firstLine="0" w:firstLineChars="0"/>
              <w:jc w:val="left"/>
              <w:rPr>
                <w:rFonts w:hint="eastAsia" w:ascii="宋体" w:hAnsi="宋体" w:eastAsia="宋体" w:cs="宋体"/>
                <w:sz w:val="21"/>
                <w:szCs w:val="21"/>
              </w:rPr>
            </w:pPr>
            <w:r>
              <w:rPr>
                <w:rFonts w:hint="eastAsia" w:ascii="宋体" w:hAnsi="宋体" w:eastAsia="宋体" w:cs="宋体"/>
                <w:sz w:val="21"/>
                <w:szCs w:val="21"/>
              </w:rPr>
              <w:t>1997年12月29日第八届全国人民代表大会常务委员会第二十九次会议通过 2008年12月27日第十一届全国人民代表大会常务委员会第六次会议修订</w:t>
            </w:r>
          </w:p>
        </w:tc>
      </w:tr>
      <w:tr w14:paraId="168522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396" w:type="pct"/>
            <w:vAlign w:val="center"/>
          </w:tcPr>
          <w:p w14:paraId="0E4EFBF7">
            <w:pPr>
              <w:spacing w:line="32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8</w:t>
            </w:r>
          </w:p>
        </w:tc>
        <w:tc>
          <w:tcPr>
            <w:tcW w:w="2101" w:type="pct"/>
            <w:vAlign w:val="center"/>
          </w:tcPr>
          <w:p w14:paraId="0CF97E6A">
            <w:pPr>
              <w:spacing w:line="320" w:lineRule="exact"/>
              <w:ind w:left="0" w:leftChars="0" w:firstLine="0" w:firstLineChars="0"/>
              <w:jc w:val="left"/>
              <w:rPr>
                <w:rFonts w:hint="eastAsia" w:ascii="宋体" w:hAnsi="宋体" w:eastAsia="宋体" w:cs="宋体"/>
                <w:sz w:val="21"/>
                <w:szCs w:val="21"/>
              </w:rPr>
            </w:pPr>
            <w:r>
              <w:rPr>
                <w:rFonts w:hint="eastAsia" w:ascii="宋体" w:hAnsi="宋体" w:eastAsia="宋体" w:cs="宋体"/>
                <w:sz w:val="21"/>
                <w:szCs w:val="21"/>
              </w:rPr>
              <w:t>《</w:t>
            </w:r>
            <w:bookmarkStart w:id="14" w:name="OLE_LINK1"/>
            <w:r>
              <w:rPr>
                <w:rFonts w:hint="eastAsia" w:ascii="宋体" w:hAnsi="宋体" w:eastAsia="宋体" w:cs="宋体"/>
                <w:sz w:val="21"/>
                <w:szCs w:val="21"/>
              </w:rPr>
              <w:t>中华人民共和国突发事件应对法</w:t>
            </w:r>
            <w:bookmarkEnd w:id="14"/>
            <w:r>
              <w:rPr>
                <w:rFonts w:hint="eastAsia" w:ascii="宋体" w:hAnsi="宋体" w:eastAsia="宋体" w:cs="宋体"/>
                <w:sz w:val="21"/>
                <w:szCs w:val="21"/>
              </w:rPr>
              <w:t>》</w:t>
            </w:r>
          </w:p>
        </w:tc>
        <w:tc>
          <w:tcPr>
            <w:tcW w:w="2502" w:type="pct"/>
            <w:vAlign w:val="center"/>
          </w:tcPr>
          <w:p w14:paraId="2527992D">
            <w:pPr>
              <w:spacing w:line="320" w:lineRule="exact"/>
              <w:ind w:left="0" w:leftChars="0" w:firstLine="0" w:firstLineChars="0"/>
              <w:jc w:val="left"/>
              <w:rPr>
                <w:rFonts w:hint="eastAsia" w:ascii="宋体" w:hAnsi="宋体" w:eastAsia="宋体" w:cs="宋体"/>
                <w:sz w:val="21"/>
                <w:szCs w:val="21"/>
              </w:rPr>
            </w:pPr>
            <w:r>
              <w:rPr>
                <w:rFonts w:hint="eastAsia" w:ascii="宋体" w:hAnsi="宋体" w:eastAsia="宋体" w:cs="宋体"/>
                <w:sz w:val="21"/>
                <w:szCs w:val="21"/>
              </w:rPr>
              <w:t>第十四届全国人民代表大会常务委员会2024年6月28日修订通过，现予公布，自2024年11月1日起施行</w:t>
            </w:r>
          </w:p>
        </w:tc>
      </w:tr>
      <w:tr w14:paraId="1F36AB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396" w:type="pct"/>
            <w:vAlign w:val="center"/>
          </w:tcPr>
          <w:p w14:paraId="7783DC10">
            <w:pPr>
              <w:spacing w:line="32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9</w:t>
            </w:r>
          </w:p>
        </w:tc>
        <w:tc>
          <w:tcPr>
            <w:tcW w:w="2101" w:type="pct"/>
            <w:vAlign w:val="center"/>
          </w:tcPr>
          <w:p w14:paraId="12E6FE5B">
            <w:pPr>
              <w:spacing w:line="320" w:lineRule="exact"/>
              <w:ind w:left="0" w:leftChars="0" w:firstLine="0" w:firstLineChars="0"/>
              <w:jc w:val="left"/>
              <w:rPr>
                <w:rFonts w:hint="eastAsia" w:ascii="宋体" w:hAnsi="宋体" w:eastAsia="宋体" w:cs="宋体"/>
                <w:sz w:val="21"/>
                <w:szCs w:val="21"/>
              </w:rPr>
            </w:pPr>
            <w:r>
              <w:rPr>
                <w:rFonts w:hint="eastAsia" w:ascii="宋体" w:hAnsi="宋体" w:eastAsia="宋体" w:cs="宋体"/>
                <w:sz w:val="21"/>
                <w:szCs w:val="21"/>
              </w:rPr>
              <w:t>《中华人民共和国职业病防治法》</w:t>
            </w:r>
          </w:p>
        </w:tc>
        <w:tc>
          <w:tcPr>
            <w:tcW w:w="2502" w:type="pct"/>
            <w:vAlign w:val="center"/>
          </w:tcPr>
          <w:p w14:paraId="5240B741">
            <w:pPr>
              <w:spacing w:line="320" w:lineRule="exact"/>
              <w:ind w:left="0" w:leftChars="0" w:firstLine="0" w:firstLineChars="0"/>
              <w:jc w:val="left"/>
              <w:rPr>
                <w:rFonts w:hint="eastAsia" w:ascii="宋体" w:hAnsi="宋体" w:eastAsia="宋体" w:cs="宋体"/>
                <w:sz w:val="21"/>
                <w:szCs w:val="21"/>
              </w:rPr>
            </w:pPr>
            <w:r>
              <w:rPr>
                <w:rFonts w:hint="eastAsia" w:ascii="宋体" w:hAnsi="宋体" w:eastAsia="宋体" w:cs="宋体"/>
                <w:sz w:val="21"/>
                <w:szCs w:val="21"/>
              </w:rPr>
              <w:t>主席令[2011]第52号2018年12月29日第十三届全国人民代表大会常务委员会第七次会议《关于修改等七部法律的决定》第四次修正</w:t>
            </w:r>
          </w:p>
        </w:tc>
      </w:tr>
      <w:tr w14:paraId="4BCBC5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396" w:type="pct"/>
            <w:vAlign w:val="center"/>
          </w:tcPr>
          <w:p w14:paraId="2F19BC28">
            <w:pPr>
              <w:spacing w:line="32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10</w:t>
            </w:r>
          </w:p>
        </w:tc>
        <w:tc>
          <w:tcPr>
            <w:tcW w:w="2101" w:type="pct"/>
            <w:vAlign w:val="center"/>
          </w:tcPr>
          <w:p w14:paraId="04BEFE4E">
            <w:pPr>
              <w:spacing w:line="320" w:lineRule="exact"/>
              <w:ind w:left="0" w:leftChars="0" w:firstLine="0" w:firstLineChars="0"/>
              <w:jc w:val="left"/>
              <w:rPr>
                <w:rFonts w:hint="eastAsia" w:ascii="宋体" w:hAnsi="宋体" w:eastAsia="宋体" w:cs="宋体"/>
                <w:sz w:val="21"/>
                <w:szCs w:val="21"/>
              </w:rPr>
            </w:pPr>
            <w:r>
              <w:rPr>
                <w:rFonts w:hint="eastAsia" w:ascii="宋体" w:hAnsi="宋体" w:eastAsia="宋体" w:cs="宋体"/>
                <w:sz w:val="21"/>
                <w:szCs w:val="21"/>
              </w:rPr>
              <w:t>《国务院办公厅转发安全监管总局等部门关于进一步加强烟花爆竹安全监督管理工作意见的通知》</w:t>
            </w:r>
          </w:p>
        </w:tc>
        <w:tc>
          <w:tcPr>
            <w:tcW w:w="2502" w:type="pct"/>
            <w:vAlign w:val="center"/>
          </w:tcPr>
          <w:p w14:paraId="081EEA8B">
            <w:pPr>
              <w:spacing w:line="320" w:lineRule="exact"/>
              <w:ind w:left="0" w:leftChars="0" w:firstLine="0" w:firstLineChars="0"/>
              <w:jc w:val="left"/>
              <w:rPr>
                <w:rFonts w:hint="eastAsia" w:ascii="宋体" w:hAnsi="宋体" w:eastAsia="宋体" w:cs="宋体"/>
                <w:sz w:val="21"/>
                <w:szCs w:val="21"/>
              </w:rPr>
            </w:pPr>
            <w:r>
              <w:rPr>
                <w:rFonts w:hint="eastAsia" w:ascii="宋体" w:hAnsi="宋体" w:eastAsia="宋体" w:cs="宋体"/>
                <w:sz w:val="21"/>
                <w:szCs w:val="21"/>
              </w:rPr>
              <w:t>国办发〔2010〕53号</w:t>
            </w:r>
          </w:p>
        </w:tc>
      </w:tr>
      <w:tr w14:paraId="17E86D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396" w:type="pct"/>
            <w:vAlign w:val="center"/>
          </w:tcPr>
          <w:p w14:paraId="6ADCC0C7">
            <w:pPr>
              <w:spacing w:line="32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11</w:t>
            </w:r>
          </w:p>
        </w:tc>
        <w:tc>
          <w:tcPr>
            <w:tcW w:w="2101" w:type="pct"/>
            <w:vAlign w:val="center"/>
          </w:tcPr>
          <w:p w14:paraId="45A1699F">
            <w:pPr>
              <w:spacing w:line="320" w:lineRule="exact"/>
              <w:ind w:left="0" w:leftChars="0" w:firstLine="0" w:firstLineChars="0"/>
              <w:jc w:val="left"/>
              <w:rPr>
                <w:rFonts w:hint="eastAsia" w:ascii="宋体" w:hAnsi="宋体" w:eastAsia="宋体" w:cs="宋体"/>
                <w:sz w:val="21"/>
                <w:szCs w:val="21"/>
              </w:rPr>
            </w:pPr>
            <w:r>
              <w:rPr>
                <w:rFonts w:hint="eastAsia" w:ascii="宋体" w:hAnsi="宋体" w:eastAsia="宋体" w:cs="宋体"/>
                <w:sz w:val="21"/>
                <w:szCs w:val="21"/>
              </w:rPr>
              <w:t>《烟花爆竹安全管理条例》（2016年修正）</w:t>
            </w:r>
          </w:p>
        </w:tc>
        <w:tc>
          <w:tcPr>
            <w:tcW w:w="2502" w:type="pct"/>
            <w:vAlign w:val="center"/>
          </w:tcPr>
          <w:p w14:paraId="69DCBB93">
            <w:pPr>
              <w:spacing w:line="320" w:lineRule="exact"/>
              <w:ind w:left="0" w:leftChars="0" w:firstLine="0" w:firstLineChars="0"/>
              <w:jc w:val="left"/>
              <w:rPr>
                <w:rFonts w:hint="eastAsia" w:ascii="宋体" w:hAnsi="宋体" w:eastAsia="宋体" w:cs="宋体"/>
                <w:sz w:val="21"/>
                <w:szCs w:val="21"/>
              </w:rPr>
            </w:pPr>
            <w:r>
              <w:rPr>
                <w:rFonts w:hint="eastAsia" w:ascii="宋体" w:hAnsi="宋体" w:eastAsia="宋体" w:cs="宋体"/>
                <w:sz w:val="21"/>
                <w:szCs w:val="21"/>
              </w:rPr>
              <w:t>国务院令〔2006〕第455号公布；国务院令[2016]第666号修订</w:t>
            </w:r>
          </w:p>
        </w:tc>
      </w:tr>
      <w:tr w14:paraId="1588C1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396" w:type="pct"/>
            <w:vAlign w:val="center"/>
          </w:tcPr>
          <w:p w14:paraId="55C90DE5">
            <w:pPr>
              <w:spacing w:line="32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12</w:t>
            </w:r>
          </w:p>
        </w:tc>
        <w:tc>
          <w:tcPr>
            <w:tcW w:w="2101" w:type="pct"/>
            <w:vAlign w:val="center"/>
          </w:tcPr>
          <w:p w14:paraId="18CBE860">
            <w:pPr>
              <w:spacing w:line="320" w:lineRule="exact"/>
              <w:ind w:left="0" w:leftChars="0" w:firstLine="0" w:firstLineChars="0"/>
              <w:jc w:val="left"/>
              <w:rPr>
                <w:rFonts w:hint="eastAsia" w:ascii="宋体" w:hAnsi="宋体" w:eastAsia="宋体" w:cs="宋体"/>
                <w:sz w:val="21"/>
                <w:szCs w:val="21"/>
              </w:rPr>
            </w:pPr>
            <w:r>
              <w:rPr>
                <w:rFonts w:hint="eastAsia" w:ascii="宋体" w:hAnsi="宋体" w:eastAsia="宋体" w:cs="宋体"/>
                <w:sz w:val="21"/>
                <w:szCs w:val="21"/>
              </w:rPr>
              <w:t>《工伤保险条例》</w:t>
            </w:r>
          </w:p>
        </w:tc>
        <w:tc>
          <w:tcPr>
            <w:tcW w:w="2502" w:type="pct"/>
            <w:vAlign w:val="center"/>
          </w:tcPr>
          <w:p w14:paraId="4232B499">
            <w:pPr>
              <w:spacing w:line="320" w:lineRule="exact"/>
              <w:ind w:left="0" w:leftChars="0" w:firstLine="0" w:firstLineChars="0"/>
              <w:jc w:val="left"/>
              <w:rPr>
                <w:rFonts w:hint="eastAsia" w:ascii="宋体" w:hAnsi="宋体" w:eastAsia="宋体" w:cs="宋体"/>
                <w:sz w:val="21"/>
                <w:szCs w:val="21"/>
              </w:rPr>
            </w:pPr>
            <w:r>
              <w:rPr>
                <w:rFonts w:hint="eastAsia" w:ascii="宋体" w:hAnsi="宋体" w:eastAsia="宋体" w:cs="宋体"/>
                <w:sz w:val="21"/>
                <w:szCs w:val="21"/>
              </w:rPr>
              <w:t>国务院令〔2010〕第586号</w:t>
            </w:r>
          </w:p>
        </w:tc>
      </w:tr>
      <w:tr w14:paraId="050C7D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396" w:type="pct"/>
            <w:vAlign w:val="center"/>
          </w:tcPr>
          <w:p w14:paraId="7DB178B4">
            <w:pPr>
              <w:spacing w:line="320" w:lineRule="exact"/>
              <w:ind w:left="0" w:leftChars="0" w:firstLine="0" w:firstLineChars="0"/>
              <w:jc w:val="center"/>
              <w:rPr>
                <w:rFonts w:hint="eastAsia" w:ascii="宋体" w:hAnsi="宋体" w:eastAsia="宋体" w:cs="宋体"/>
                <w:sz w:val="21"/>
                <w:szCs w:val="21"/>
              </w:rPr>
            </w:pPr>
            <w:bookmarkStart w:id="15" w:name="OLE_LINK2" w:colFirst="1" w:colLast="2"/>
            <w:r>
              <w:rPr>
                <w:rFonts w:hint="eastAsia" w:ascii="宋体" w:hAnsi="宋体" w:eastAsia="宋体" w:cs="宋体"/>
                <w:sz w:val="21"/>
                <w:szCs w:val="21"/>
              </w:rPr>
              <w:t>13</w:t>
            </w:r>
          </w:p>
        </w:tc>
        <w:tc>
          <w:tcPr>
            <w:tcW w:w="2101" w:type="pct"/>
            <w:vAlign w:val="center"/>
          </w:tcPr>
          <w:p w14:paraId="42EBB55E">
            <w:pPr>
              <w:spacing w:line="320" w:lineRule="exact"/>
              <w:ind w:left="0" w:leftChars="0" w:firstLine="0" w:firstLineChars="0"/>
              <w:jc w:val="left"/>
              <w:rPr>
                <w:rFonts w:hint="eastAsia" w:ascii="宋体" w:hAnsi="宋体" w:eastAsia="宋体" w:cs="宋体"/>
                <w:sz w:val="21"/>
                <w:szCs w:val="21"/>
              </w:rPr>
            </w:pPr>
            <w:r>
              <w:rPr>
                <w:rFonts w:hint="eastAsia" w:ascii="宋体" w:hAnsi="宋体" w:eastAsia="宋体" w:cs="宋体"/>
                <w:sz w:val="21"/>
                <w:szCs w:val="21"/>
              </w:rPr>
              <w:t>《生产安全事故应急条例》</w:t>
            </w:r>
          </w:p>
        </w:tc>
        <w:tc>
          <w:tcPr>
            <w:tcW w:w="2502" w:type="pct"/>
            <w:vAlign w:val="center"/>
          </w:tcPr>
          <w:p w14:paraId="01828D28">
            <w:pPr>
              <w:spacing w:line="320" w:lineRule="exact"/>
              <w:ind w:left="0" w:leftChars="0" w:firstLine="0" w:firstLineChars="0"/>
              <w:jc w:val="left"/>
              <w:rPr>
                <w:rFonts w:hint="eastAsia" w:ascii="宋体" w:hAnsi="宋体" w:eastAsia="宋体" w:cs="宋体"/>
                <w:sz w:val="21"/>
                <w:szCs w:val="21"/>
              </w:rPr>
            </w:pPr>
            <w:r>
              <w:rPr>
                <w:rFonts w:hint="eastAsia" w:ascii="宋体" w:hAnsi="宋体" w:eastAsia="宋体" w:cs="宋体"/>
                <w:sz w:val="21"/>
                <w:szCs w:val="21"/>
              </w:rPr>
              <w:t>国务院令〔2019〕第708号</w:t>
            </w:r>
          </w:p>
        </w:tc>
      </w:tr>
      <w:bookmarkEnd w:id="15"/>
      <w:tr w14:paraId="370348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396" w:type="pct"/>
            <w:vAlign w:val="center"/>
          </w:tcPr>
          <w:p w14:paraId="6F5237A2">
            <w:pPr>
              <w:spacing w:line="32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14</w:t>
            </w:r>
          </w:p>
        </w:tc>
        <w:tc>
          <w:tcPr>
            <w:tcW w:w="2101" w:type="pct"/>
            <w:vAlign w:val="center"/>
          </w:tcPr>
          <w:p w14:paraId="7F0C5527">
            <w:pPr>
              <w:spacing w:line="320" w:lineRule="exact"/>
              <w:ind w:left="0" w:leftChars="0" w:firstLine="0" w:firstLineChars="0"/>
              <w:jc w:val="left"/>
              <w:rPr>
                <w:rFonts w:hint="eastAsia" w:ascii="宋体" w:hAnsi="宋体" w:eastAsia="宋体" w:cs="宋体"/>
                <w:sz w:val="21"/>
                <w:szCs w:val="21"/>
              </w:rPr>
            </w:pPr>
            <w:r>
              <w:rPr>
                <w:rFonts w:hint="eastAsia" w:ascii="宋体" w:hAnsi="宋体" w:eastAsia="宋体" w:cs="宋体"/>
                <w:sz w:val="21"/>
                <w:szCs w:val="21"/>
              </w:rPr>
              <w:t>《危险化学品重大危险源监督管理暂行规定(2015修正)》</w:t>
            </w:r>
          </w:p>
        </w:tc>
        <w:tc>
          <w:tcPr>
            <w:tcW w:w="2502" w:type="pct"/>
            <w:vAlign w:val="center"/>
          </w:tcPr>
          <w:p w14:paraId="28FB3714">
            <w:pPr>
              <w:spacing w:line="320" w:lineRule="exact"/>
              <w:ind w:left="0" w:leftChars="0" w:firstLine="0" w:firstLineChars="0"/>
              <w:jc w:val="left"/>
              <w:rPr>
                <w:rFonts w:hint="eastAsia" w:ascii="宋体" w:hAnsi="宋体" w:eastAsia="宋体" w:cs="宋体"/>
                <w:sz w:val="21"/>
                <w:szCs w:val="21"/>
              </w:rPr>
            </w:pPr>
            <w:r>
              <w:rPr>
                <w:rFonts w:hint="eastAsia" w:ascii="宋体" w:hAnsi="宋体" w:eastAsia="宋体" w:cs="宋体"/>
                <w:sz w:val="21"/>
                <w:szCs w:val="21"/>
                <w:lang w:val="zh-CN"/>
              </w:rPr>
              <w:t>2015年5月27日原国家安全监管总局令第79号修正</w:t>
            </w:r>
          </w:p>
        </w:tc>
      </w:tr>
      <w:tr w14:paraId="6554E0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396" w:type="pct"/>
            <w:vAlign w:val="center"/>
          </w:tcPr>
          <w:p w14:paraId="36FB26B9">
            <w:pPr>
              <w:spacing w:line="32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15</w:t>
            </w:r>
          </w:p>
        </w:tc>
        <w:tc>
          <w:tcPr>
            <w:tcW w:w="2101" w:type="pct"/>
            <w:vAlign w:val="center"/>
          </w:tcPr>
          <w:p w14:paraId="76697223">
            <w:pPr>
              <w:spacing w:line="320" w:lineRule="exact"/>
              <w:ind w:left="0" w:leftChars="0" w:firstLine="0" w:firstLineChars="0"/>
              <w:jc w:val="left"/>
              <w:rPr>
                <w:rFonts w:hint="eastAsia" w:ascii="宋体" w:hAnsi="宋体" w:eastAsia="宋体" w:cs="宋体"/>
                <w:sz w:val="21"/>
                <w:szCs w:val="21"/>
              </w:rPr>
            </w:pPr>
            <w:r>
              <w:rPr>
                <w:rFonts w:hint="eastAsia" w:ascii="宋体" w:hAnsi="宋体" w:eastAsia="宋体" w:cs="宋体"/>
                <w:sz w:val="21"/>
                <w:szCs w:val="21"/>
              </w:rPr>
              <w:t>《生产安全事故报告和调查处理条例》</w:t>
            </w:r>
          </w:p>
        </w:tc>
        <w:tc>
          <w:tcPr>
            <w:tcW w:w="2502" w:type="pct"/>
            <w:vAlign w:val="center"/>
          </w:tcPr>
          <w:p w14:paraId="3E4A2E74">
            <w:pPr>
              <w:spacing w:line="320" w:lineRule="exact"/>
              <w:ind w:left="0" w:leftChars="0" w:firstLine="0" w:firstLineChars="0"/>
              <w:jc w:val="left"/>
              <w:rPr>
                <w:rFonts w:hint="eastAsia" w:ascii="宋体" w:hAnsi="宋体" w:eastAsia="宋体" w:cs="宋体"/>
                <w:sz w:val="21"/>
                <w:szCs w:val="21"/>
                <w:lang w:val="zh-CN"/>
              </w:rPr>
            </w:pPr>
            <w:r>
              <w:rPr>
                <w:rFonts w:hint="eastAsia" w:ascii="宋体" w:hAnsi="宋体" w:eastAsia="宋体" w:cs="宋体"/>
                <w:sz w:val="21"/>
                <w:szCs w:val="21"/>
              </w:rPr>
              <w:t>国务院令〔2007〕第493号</w:t>
            </w:r>
          </w:p>
        </w:tc>
      </w:tr>
      <w:tr w14:paraId="0CB5D7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396" w:type="pct"/>
            <w:vAlign w:val="center"/>
          </w:tcPr>
          <w:p w14:paraId="471774A5">
            <w:pPr>
              <w:spacing w:line="32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16</w:t>
            </w:r>
          </w:p>
        </w:tc>
        <w:tc>
          <w:tcPr>
            <w:tcW w:w="2101" w:type="pct"/>
            <w:vAlign w:val="center"/>
          </w:tcPr>
          <w:p w14:paraId="4B8AEF2E">
            <w:pPr>
              <w:spacing w:line="320" w:lineRule="exact"/>
              <w:ind w:left="0" w:leftChars="0" w:firstLine="0" w:firstLineChars="0"/>
              <w:jc w:val="left"/>
              <w:rPr>
                <w:rFonts w:hint="eastAsia" w:ascii="宋体" w:hAnsi="宋体" w:eastAsia="宋体" w:cs="宋体"/>
                <w:sz w:val="21"/>
                <w:szCs w:val="21"/>
              </w:rPr>
            </w:pPr>
            <w:r>
              <w:rPr>
                <w:rFonts w:hint="eastAsia" w:ascii="宋体" w:hAnsi="宋体" w:eastAsia="宋体" w:cs="宋体"/>
                <w:sz w:val="21"/>
                <w:szCs w:val="21"/>
              </w:rPr>
              <w:t>《烟花爆竹生产经营安全规定》</w:t>
            </w:r>
          </w:p>
        </w:tc>
        <w:tc>
          <w:tcPr>
            <w:tcW w:w="2502" w:type="pct"/>
            <w:vAlign w:val="center"/>
          </w:tcPr>
          <w:p w14:paraId="2AD0177C">
            <w:pPr>
              <w:spacing w:line="320" w:lineRule="exact"/>
              <w:ind w:left="0" w:leftChars="0" w:firstLine="0" w:firstLineChars="0"/>
              <w:jc w:val="left"/>
              <w:rPr>
                <w:rFonts w:hint="eastAsia" w:ascii="宋体" w:hAnsi="宋体" w:eastAsia="宋体" w:cs="宋体"/>
                <w:sz w:val="21"/>
                <w:szCs w:val="21"/>
              </w:rPr>
            </w:pPr>
            <w:r>
              <w:rPr>
                <w:rFonts w:hint="eastAsia" w:ascii="宋体" w:hAnsi="宋体" w:eastAsia="宋体" w:cs="宋体"/>
                <w:sz w:val="21"/>
                <w:szCs w:val="21"/>
              </w:rPr>
              <w:t>原国家安全生产监督管理总局令[2018]第93号</w:t>
            </w:r>
          </w:p>
        </w:tc>
      </w:tr>
      <w:tr w14:paraId="67C6A6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396" w:type="pct"/>
            <w:vAlign w:val="center"/>
          </w:tcPr>
          <w:p w14:paraId="4B7804D0">
            <w:pPr>
              <w:spacing w:line="32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17</w:t>
            </w:r>
          </w:p>
        </w:tc>
        <w:tc>
          <w:tcPr>
            <w:tcW w:w="2101" w:type="pct"/>
            <w:vAlign w:val="center"/>
          </w:tcPr>
          <w:p w14:paraId="6D9D3BB4">
            <w:pPr>
              <w:spacing w:line="320" w:lineRule="exact"/>
              <w:ind w:left="0" w:leftChars="0" w:firstLine="0" w:firstLineChars="0"/>
              <w:jc w:val="left"/>
              <w:rPr>
                <w:rFonts w:hint="eastAsia" w:ascii="宋体" w:hAnsi="宋体" w:eastAsia="宋体" w:cs="宋体"/>
                <w:sz w:val="21"/>
                <w:szCs w:val="21"/>
              </w:rPr>
            </w:pPr>
            <w:r>
              <w:rPr>
                <w:rFonts w:hint="eastAsia" w:ascii="宋体" w:hAnsi="宋体" w:eastAsia="宋体" w:cs="宋体"/>
                <w:sz w:val="21"/>
                <w:szCs w:val="21"/>
              </w:rPr>
              <w:t>《生产经营单位安全培训规定》</w:t>
            </w:r>
          </w:p>
        </w:tc>
        <w:tc>
          <w:tcPr>
            <w:tcW w:w="2502" w:type="pct"/>
            <w:vAlign w:val="center"/>
          </w:tcPr>
          <w:p w14:paraId="27DDC77B">
            <w:pPr>
              <w:spacing w:line="320" w:lineRule="exact"/>
              <w:ind w:left="0" w:leftChars="0" w:firstLine="0" w:firstLineChars="0"/>
              <w:jc w:val="left"/>
              <w:rPr>
                <w:rFonts w:hint="eastAsia" w:ascii="宋体" w:hAnsi="宋体" w:eastAsia="宋体" w:cs="宋体"/>
                <w:sz w:val="21"/>
                <w:szCs w:val="21"/>
              </w:rPr>
            </w:pPr>
            <w:r>
              <w:rPr>
                <w:rFonts w:hint="eastAsia" w:ascii="宋体" w:hAnsi="宋体" w:eastAsia="宋体" w:cs="宋体"/>
                <w:sz w:val="21"/>
                <w:szCs w:val="21"/>
              </w:rPr>
              <w:t>原国家安全生产监督管理总局令[2006]第3号</w:t>
            </w:r>
          </w:p>
        </w:tc>
      </w:tr>
      <w:tr w14:paraId="7068ED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396" w:type="pct"/>
            <w:vAlign w:val="center"/>
          </w:tcPr>
          <w:p w14:paraId="6F76FC1C">
            <w:pPr>
              <w:spacing w:line="32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18</w:t>
            </w:r>
          </w:p>
        </w:tc>
        <w:tc>
          <w:tcPr>
            <w:tcW w:w="2101" w:type="pct"/>
            <w:vAlign w:val="center"/>
          </w:tcPr>
          <w:p w14:paraId="6DD2BD95">
            <w:pPr>
              <w:spacing w:line="320" w:lineRule="exact"/>
              <w:ind w:left="0" w:leftChars="0" w:firstLine="0" w:firstLineChars="0"/>
              <w:jc w:val="left"/>
              <w:rPr>
                <w:rFonts w:hint="eastAsia" w:ascii="宋体" w:hAnsi="宋体" w:eastAsia="宋体" w:cs="宋体"/>
                <w:sz w:val="21"/>
                <w:szCs w:val="21"/>
              </w:rPr>
            </w:pPr>
            <w:r>
              <w:rPr>
                <w:rFonts w:hint="eastAsia" w:ascii="宋体" w:hAnsi="宋体" w:eastAsia="宋体" w:cs="宋体"/>
                <w:sz w:val="21"/>
                <w:szCs w:val="21"/>
              </w:rPr>
              <w:t>《烟花爆竹经营许可实施办法》</w:t>
            </w:r>
          </w:p>
        </w:tc>
        <w:tc>
          <w:tcPr>
            <w:tcW w:w="2502" w:type="pct"/>
            <w:vAlign w:val="center"/>
          </w:tcPr>
          <w:p w14:paraId="124C900F">
            <w:pPr>
              <w:spacing w:line="320" w:lineRule="exact"/>
              <w:ind w:left="0" w:leftChars="0" w:firstLine="0" w:firstLineChars="0"/>
              <w:jc w:val="left"/>
              <w:rPr>
                <w:rFonts w:hint="eastAsia" w:ascii="宋体" w:hAnsi="宋体" w:eastAsia="宋体" w:cs="宋体"/>
                <w:sz w:val="21"/>
                <w:szCs w:val="21"/>
              </w:rPr>
            </w:pPr>
            <w:r>
              <w:rPr>
                <w:rFonts w:hint="eastAsia" w:ascii="宋体" w:hAnsi="宋体" w:eastAsia="宋体" w:cs="宋体"/>
                <w:sz w:val="21"/>
                <w:szCs w:val="21"/>
              </w:rPr>
              <w:t>原国家安全生产监督管理总局令第65号</w:t>
            </w:r>
          </w:p>
        </w:tc>
      </w:tr>
      <w:tr w14:paraId="4C9E69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396" w:type="pct"/>
            <w:vAlign w:val="center"/>
          </w:tcPr>
          <w:p w14:paraId="097FCA77">
            <w:pPr>
              <w:spacing w:line="32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19</w:t>
            </w:r>
          </w:p>
        </w:tc>
        <w:tc>
          <w:tcPr>
            <w:tcW w:w="2101" w:type="pct"/>
            <w:vAlign w:val="center"/>
          </w:tcPr>
          <w:p w14:paraId="542FC6BE">
            <w:pPr>
              <w:spacing w:line="320" w:lineRule="exact"/>
              <w:ind w:left="0" w:leftChars="0" w:firstLine="0" w:firstLineChars="0"/>
              <w:jc w:val="left"/>
              <w:rPr>
                <w:rFonts w:hint="eastAsia" w:ascii="宋体" w:hAnsi="宋体" w:eastAsia="宋体" w:cs="宋体"/>
                <w:sz w:val="21"/>
                <w:szCs w:val="21"/>
              </w:rPr>
            </w:pPr>
            <w:r>
              <w:rPr>
                <w:rFonts w:hint="eastAsia" w:ascii="宋体" w:hAnsi="宋体" w:eastAsia="宋体" w:cs="宋体"/>
                <w:sz w:val="21"/>
                <w:szCs w:val="21"/>
              </w:rPr>
              <w:t>《生产安全事故应急预案管理办法》</w:t>
            </w:r>
          </w:p>
        </w:tc>
        <w:tc>
          <w:tcPr>
            <w:tcW w:w="2502" w:type="pct"/>
            <w:vAlign w:val="center"/>
          </w:tcPr>
          <w:p w14:paraId="1AC58CA7">
            <w:pPr>
              <w:spacing w:line="320" w:lineRule="exact"/>
              <w:ind w:left="0" w:leftChars="0" w:firstLine="0" w:firstLineChars="0"/>
              <w:jc w:val="left"/>
              <w:rPr>
                <w:rFonts w:hint="eastAsia" w:ascii="宋体" w:hAnsi="宋体" w:eastAsia="宋体" w:cs="宋体"/>
                <w:sz w:val="21"/>
                <w:szCs w:val="21"/>
              </w:rPr>
            </w:pPr>
            <w:r>
              <w:rPr>
                <w:rFonts w:hint="eastAsia" w:ascii="宋体" w:hAnsi="宋体" w:eastAsia="宋体" w:cs="宋体"/>
                <w:sz w:val="21"/>
                <w:szCs w:val="21"/>
              </w:rPr>
              <w:t>应急管理部令第2号修改</w:t>
            </w:r>
          </w:p>
        </w:tc>
      </w:tr>
      <w:tr w14:paraId="2DC3D8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396" w:type="pct"/>
            <w:vAlign w:val="center"/>
          </w:tcPr>
          <w:p w14:paraId="1D4B105A">
            <w:pPr>
              <w:spacing w:line="32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20</w:t>
            </w:r>
          </w:p>
        </w:tc>
        <w:tc>
          <w:tcPr>
            <w:tcW w:w="2101" w:type="pct"/>
            <w:vAlign w:val="center"/>
          </w:tcPr>
          <w:p w14:paraId="4FCE3A36">
            <w:pPr>
              <w:spacing w:line="320" w:lineRule="exact"/>
              <w:ind w:left="0" w:leftChars="0" w:firstLine="0" w:firstLineChars="0"/>
              <w:jc w:val="left"/>
              <w:rPr>
                <w:rFonts w:hint="eastAsia" w:ascii="宋体" w:hAnsi="宋体" w:eastAsia="宋体" w:cs="宋体"/>
                <w:sz w:val="21"/>
                <w:szCs w:val="21"/>
              </w:rPr>
            </w:pPr>
            <w:r>
              <w:rPr>
                <w:rFonts w:hint="eastAsia" w:ascii="宋体" w:hAnsi="宋体" w:eastAsia="宋体" w:cs="宋体"/>
                <w:sz w:val="21"/>
                <w:szCs w:val="21"/>
              </w:rPr>
              <w:t>原国家安全监管总局关于印发《化工和危险化学品生产经营单位重大生产安全事故隐患判定标准（试行）》和《烟花爆竹生产经营单位重大生产安全事故隐患》（判定标准（试行）》的通知</w:t>
            </w:r>
          </w:p>
        </w:tc>
        <w:tc>
          <w:tcPr>
            <w:tcW w:w="2502" w:type="pct"/>
            <w:vAlign w:val="center"/>
          </w:tcPr>
          <w:p w14:paraId="065C2592">
            <w:pPr>
              <w:spacing w:line="320" w:lineRule="exact"/>
              <w:ind w:left="0" w:leftChars="0" w:firstLine="0" w:firstLineChars="0"/>
              <w:jc w:val="left"/>
              <w:rPr>
                <w:rFonts w:hint="eastAsia" w:ascii="宋体" w:hAnsi="宋体" w:eastAsia="宋体" w:cs="宋体"/>
                <w:sz w:val="21"/>
                <w:szCs w:val="21"/>
              </w:rPr>
            </w:pPr>
            <w:r>
              <w:rPr>
                <w:rFonts w:hint="eastAsia" w:ascii="宋体" w:hAnsi="宋体" w:eastAsia="宋体" w:cs="宋体"/>
                <w:sz w:val="21"/>
                <w:szCs w:val="21"/>
              </w:rPr>
              <w:t>（安监总管三〔2017〕121号）</w:t>
            </w:r>
          </w:p>
        </w:tc>
      </w:tr>
      <w:tr w14:paraId="6F5D60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396" w:type="pct"/>
            <w:vAlign w:val="center"/>
          </w:tcPr>
          <w:p w14:paraId="68DD374C">
            <w:pPr>
              <w:spacing w:line="32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21</w:t>
            </w:r>
          </w:p>
        </w:tc>
        <w:tc>
          <w:tcPr>
            <w:tcW w:w="2101" w:type="pct"/>
            <w:vAlign w:val="center"/>
          </w:tcPr>
          <w:p w14:paraId="12455898">
            <w:pPr>
              <w:spacing w:line="320" w:lineRule="exact"/>
              <w:ind w:left="0" w:leftChars="0" w:firstLine="0" w:firstLineChars="0"/>
              <w:jc w:val="left"/>
              <w:rPr>
                <w:rFonts w:hint="eastAsia" w:ascii="宋体" w:hAnsi="宋体" w:eastAsia="宋体" w:cs="宋体"/>
                <w:sz w:val="21"/>
                <w:szCs w:val="21"/>
              </w:rPr>
            </w:pPr>
            <w:r>
              <w:rPr>
                <w:rFonts w:hint="eastAsia" w:ascii="宋体" w:hAnsi="宋体" w:eastAsia="宋体" w:cs="宋体"/>
                <w:sz w:val="21"/>
                <w:szCs w:val="21"/>
              </w:rPr>
              <w:t>《仓库防火安全管理规则》</w:t>
            </w:r>
          </w:p>
        </w:tc>
        <w:tc>
          <w:tcPr>
            <w:tcW w:w="2502" w:type="pct"/>
            <w:vAlign w:val="center"/>
          </w:tcPr>
          <w:p w14:paraId="049D324A">
            <w:pPr>
              <w:spacing w:line="320" w:lineRule="exact"/>
              <w:ind w:left="0" w:leftChars="0" w:firstLine="0" w:firstLineChars="0"/>
              <w:jc w:val="left"/>
              <w:rPr>
                <w:rFonts w:hint="eastAsia" w:ascii="宋体" w:hAnsi="宋体" w:eastAsia="宋体" w:cs="宋体"/>
                <w:sz w:val="21"/>
                <w:szCs w:val="21"/>
              </w:rPr>
            </w:pPr>
            <w:r>
              <w:rPr>
                <w:rFonts w:hint="eastAsia" w:ascii="宋体" w:hAnsi="宋体" w:eastAsia="宋体" w:cs="宋体"/>
                <w:sz w:val="21"/>
                <w:szCs w:val="21"/>
              </w:rPr>
              <w:t>公安部令第6号</w:t>
            </w:r>
          </w:p>
        </w:tc>
      </w:tr>
      <w:tr w14:paraId="461BEB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396" w:type="pct"/>
            <w:vAlign w:val="center"/>
          </w:tcPr>
          <w:p w14:paraId="122D6C1D">
            <w:pPr>
              <w:spacing w:line="32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22</w:t>
            </w:r>
          </w:p>
        </w:tc>
        <w:tc>
          <w:tcPr>
            <w:tcW w:w="2101" w:type="pct"/>
            <w:vAlign w:val="center"/>
          </w:tcPr>
          <w:p w14:paraId="7BB93516">
            <w:pPr>
              <w:spacing w:line="320" w:lineRule="exact"/>
              <w:ind w:left="0" w:leftChars="0" w:firstLine="0" w:firstLineChars="0"/>
              <w:jc w:val="left"/>
              <w:rPr>
                <w:rFonts w:hint="eastAsia" w:ascii="宋体" w:hAnsi="宋体" w:eastAsia="宋体" w:cs="宋体"/>
                <w:sz w:val="21"/>
                <w:szCs w:val="21"/>
              </w:rPr>
            </w:pPr>
            <w:r>
              <w:rPr>
                <w:rFonts w:hint="eastAsia" w:ascii="宋体" w:hAnsi="宋体" w:eastAsia="宋体" w:cs="宋体"/>
                <w:sz w:val="21"/>
                <w:szCs w:val="21"/>
              </w:rPr>
              <w:t>《危险货物道路运输安全管理办法》</w:t>
            </w:r>
          </w:p>
        </w:tc>
        <w:tc>
          <w:tcPr>
            <w:tcW w:w="2502" w:type="pct"/>
            <w:vAlign w:val="center"/>
          </w:tcPr>
          <w:p w14:paraId="72CABEB9">
            <w:pPr>
              <w:spacing w:line="320" w:lineRule="exact"/>
              <w:ind w:left="0" w:leftChars="0" w:firstLine="0" w:firstLineChars="0"/>
              <w:jc w:val="left"/>
              <w:rPr>
                <w:rFonts w:hint="eastAsia" w:ascii="宋体" w:hAnsi="宋体" w:eastAsia="宋体" w:cs="宋体"/>
                <w:sz w:val="21"/>
                <w:szCs w:val="21"/>
              </w:rPr>
            </w:pPr>
            <w:r>
              <w:rPr>
                <w:rFonts w:hint="eastAsia" w:ascii="宋体" w:hAnsi="宋体" w:eastAsia="宋体" w:cs="宋体"/>
                <w:sz w:val="21"/>
                <w:szCs w:val="21"/>
              </w:rPr>
              <w:t>交通运输部令2019年第29号，自2020年1月1日起施行</w:t>
            </w:r>
          </w:p>
        </w:tc>
      </w:tr>
      <w:tr w14:paraId="4FB81B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396" w:type="pct"/>
            <w:vAlign w:val="center"/>
          </w:tcPr>
          <w:p w14:paraId="3DD8DF34">
            <w:pPr>
              <w:spacing w:line="32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23</w:t>
            </w:r>
          </w:p>
        </w:tc>
        <w:tc>
          <w:tcPr>
            <w:tcW w:w="2101" w:type="pct"/>
            <w:vAlign w:val="center"/>
          </w:tcPr>
          <w:p w14:paraId="6673B3E0">
            <w:pPr>
              <w:spacing w:line="320" w:lineRule="exact"/>
              <w:ind w:left="0" w:leftChars="0" w:firstLine="0" w:firstLineChars="0"/>
              <w:jc w:val="left"/>
              <w:rPr>
                <w:rFonts w:hint="eastAsia" w:ascii="宋体" w:hAnsi="宋体" w:eastAsia="宋体" w:cs="宋体"/>
                <w:sz w:val="21"/>
                <w:szCs w:val="21"/>
              </w:rPr>
            </w:pPr>
            <w:r>
              <w:rPr>
                <w:rFonts w:hint="eastAsia" w:ascii="宋体" w:hAnsi="宋体" w:eastAsia="宋体" w:cs="宋体"/>
                <w:sz w:val="21"/>
                <w:szCs w:val="21"/>
              </w:rPr>
              <w:t>《特种作业人员安全技术培训考核管理规定》</w:t>
            </w:r>
          </w:p>
        </w:tc>
        <w:tc>
          <w:tcPr>
            <w:tcW w:w="2502" w:type="pct"/>
            <w:vAlign w:val="center"/>
          </w:tcPr>
          <w:p w14:paraId="1B9D72EB">
            <w:pPr>
              <w:spacing w:line="320" w:lineRule="exact"/>
              <w:ind w:left="0" w:leftChars="0" w:firstLine="0" w:firstLineChars="0"/>
              <w:jc w:val="left"/>
              <w:rPr>
                <w:rFonts w:hint="eastAsia" w:ascii="宋体" w:hAnsi="宋体" w:eastAsia="宋体" w:cs="宋体"/>
                <w:sz w:val="21"/>
                <w:szCs w:val="21"/>
              </w:rPr>
            </w:pPr>
            <w:r>
              <w:rPr>
                <w:rFonts w:hint="eastAsia" w:ascii="宋体" w:hAnsi="宋体" w:eastAsia="宋体" w:cs="宋体"/>
                <w:sz w:val="21"/>
                <w:szCs w:val="21"/>
              </w:rPr>
              <w:t>原安监总局令第30号，第80号第二次修正</w:t>
            </w:r>
          </w:p>
        </w:tc>
      </w:tr>
      <w:tr w14:paraId="13B491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396" w:type="pct"/>
            <w:vAlign w:val="center"/>
          </w:tcPr>
          <w:p w14:paraId="685B9EF0">
            <w:pPr>
              <w:spacing w:line="32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24</w:t>
            </w:r>
          </w:p>
        </w:tc>
        <w:tc>
          <w:tcPr>
            <w:tcW w:w="2101" w:type="pct"/>
            <w:vAlign w:val="center"/>
          </w:tcPr>
          <w:p w14:paraId="5E1BCA1F">
            <w:pPr>
              <w:spacing w:line="320" w:lineRule="exact"/>
              <w:ind w:left="0" w:leftChars="0" w:firstLine="0" w:firstLineChars="0"/>
              <w:jc w:val="left"/>
              <w:rPr>
                <w:rFonts w:hint="eastAsia" w:ascii="宋体" w:hAnsi="宋体" w:eastAsia="宋体" w:cs="宋体"/>
                <w:sz w:val="21"/>
                <w:szCs w:val="21"/>
              </w:rPr>
            </w:pPr>
            <w:r>
              <w:rPr>
                <w:rFonts w:hint="eastAsia" w:ascii="宋体" w:hAnsi="宋体" w:eastAsia="宋体" w:cs="宋体"/>
                <w:sz w:val="21"/>
                <w:szCs w:val="21"/>
              </w:rPr>
              <w:t>《国家安全监管总局关于做好烟花爆竹经营许可工作的通知》</w:t>
            </w:r>
          </w:p>
        </w:tc>
        <w:tc>
          <w:tcPr>
            <w:tcW w:w="2502" w:type="pct"/>
            <w:vAlign w:val="center"/>
          </w:tcPr>
          <w:p w14:paraId="791D88C7">
            <w:pPr>
              <w:spacing w:line="320" w:lineRule="exact"/>
              <w:ind w:left="0" w:leftChars="0" w:firstLine="0" w:firstLineChars="0"/>
              <w:jc w:val="left"/>
              <w:rPr>
                <w:rFonts w:hint="eastAsia" w:ascii="宋体" w:hAnsi="宋体" w:eastAsia="宋体" w:cs="宋体"/>
                <w:sz w:val="21"/>
                <w:szCs w:val="21"/>
              </w:rPr>
            </w:pPr>
            <w:r>
              <w:rPr>
                <w:rFonts w:hint="eastAsia" w:ascii="宋体" w:hAnsi="宋体" w:eastAsia="宋体" w:cs="宋体"/>
                <w:sz w:val="21"/>
                <w:szCs w:val="21"/>
              </w:rPr>
              <w:t>（安监总管三〔2008〕201号）</w:t>
            </w:r>
          </w:p>
        </w:tc>
      </w:tr>
      <w:tr w14:paraId="5D33E7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01" w:hRule="atLeast"/>
          <w:jc w:val="center"/>
        </w:trPr>
        <w:tc>
          <w:tcPr>
            <w:tcW w:w="396" w:type="pct"/>
            <w:vAlign w:val="center"/>
          </w:tcPr>
          <w:p w14:paraId="2E02212F">
            <w:pPr>
              <w:spacing w:line="32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25</w:t>
            </w:r>
          </w:p>
        </w:tc>
        <w:tc>
          <w:tcPr>
            <w:tcW w:w="2101" w:type="pct"/>
            <w:vAlign w:val="center"/>
          </w:tcPr>
          <w:p w14:paraId="10E0BD63">
            <w:pPr>
              <w:pStyle w:val="106"/>
              <w:spacing w:line="320" w:lineRule="exact"/>
              <w:ind w:left="0" w:right="-119" w:hanging="2"/>
              <w:jc w:val="left"/>
              <w:rPr>
                <w:rFonts w:hint="eastAsia" w:ascii="宋体" w:hAnsi="宋体" w:eastAsia="宋体" w:cs="宋体"/>
                <w:sz w:val="21"/>
                <w:szCs w:val="21"/>
              </w:rPr>
            </w:pPr>
            <w:r>
              <w:rPr>
                <w:rFonts w:hint="eastAsia" w:ascii="宋体" w:hAnsi="宋体" w:eastAsia="宋体" w:cs="宋体"/>
                <w:kern w:val="0"/>
                <w:sz w:val="21"/>
                <w:szCs w:val="21"/>
              </w:rPr>
              <w:t>《江西省安全生产条例》</w:t>
            </w:r>
          </w:p>
        </w:tc>
        <w:tc>
          <w:tcPr>
            <w:tcW w:w="2502" w:type="pct"/>
            <w:vAlign w:val="center"/>
          </w:tcPr>
          <w:p w14:paraId="7699583C">
            <w:pPr>
              <w:pStyle w:val="106"/>
              <w:spacing w:line="320" w:lineRule="exact"/>
              <w:ind w:left="0" w:right="-119" w:hanging="2"/>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江西省第十届人民代表大会常务委员会第二十八次会议通过，自2007年5月1日起施行；江西省第十四届人民代表大会常务委员会第三次会议第二次修订，自2023年9月1日起施行</w:t>
            </w:r>
          </w:p>
        </w:tc>
      </w:tr>
      <w:tr w14:paraId="1072EE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396" w:type="pct"/>
            <w:vAlign w:val="center"/>
          </w:tcPr>
          <w:p w14:paraId="5AF8B949">
            <w:pPr>
              <w:spacing w:line="32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26</w:t>
            </w:r>
          </w:p>
        </w:tc>
        <w:tc>
          <w:tcPr>
            <w:tcW w:w="2101" w:type="pct"/>
            <w:vAlign w:val="center"/>
          </w:tcPr>
          <w:p w14:paraId="6F1E9486">
            <w:pPr>
              <w:pStyle w:val="106"/>
              <w:spacing w:line="320" w:lineRule="exact"/>
              <w:ind w:left="0" w:right="-119" w:hanging="2"/>
              <w:jc w:val="left"/>
              <w:rPr>
                <w:rFonts w:hint="eastAsia" w:ascii="宋体" w:hAnsi="宋体" w:eastAsia="宋体" w:cs="宋体"/>
                <w:sz w:val="21"/>
                <w:szCs w:val="21"/>
              </w:rPr>
            </w:pPr>
            <w:r>
              <w:rPr>
                <w:rFonts w:hint="eastAsia" w:ascii="宋体" w:hAnsi="宋体" w:eastAsia="宋体" w:cs="宋体"/>
                <w:kern w:val="0"/>
                <w:sz w:val="21"/>
                <w:szCs w:val="21"/>
                <w:lang w:val="en-US" w:eastAsia="zh-CN"/>
              </w:rPr>
              <w:t>《江西省消防条例》</w:t>
            </w:r>
          </w:p>
        </w:tc>
        <w:tc>
          <w:tcPr>
            <w:tcW w:w="2502" w:type="pct"/>
            <w:vAlign w:val="center"/>
          </w:tcPr>
          <w:p w14:paraId="7C2BE5B5">
            <w:pPr>
              <w:pStyle w:val="106"/>
              <w:spacing w:line="320" w:lineRule="exact"/>
              <w:ind w:left="0" w:right="-119" w:hanging="2"/>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江西省第八届人民代表大会常务委员会第十九次会议通过，自1995年12月20日起施行；2020年11月25日江西省第十三届人民代表大会常务委员会第二十五次会议第六次修正</w:t>
            </w:r>
          </w:p>
        </w:tc>
      </w:tr>
      <w:tr w14:paraId="118CCD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396" w:type="pct"/>
            <w:vAlign w:val="center"/>
          </w:tcPr>
          <w:p w14:paraId="4687813B">
            <w:pPr>
              <w:spacing w:line="32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27</w:t>
            </w:r>
          </w:p>
        </w:tc>
        <w:tc>
          <w:tcPr>
            <w:tcW w:w="2101" w:type="pct"/>
            <w:vAlign w:val="center"/>
          </w:tcPr>
          <w:p w14:paraId="630F8A85">
            <w:pPr>
              <w:spacing w:line="320" w:lineRule="exact"/>
              <w:ind w:left="0" w:leftChars="0" w:firstLine="0" w:firstLineChars="0"/>
              <w:jc w:val="left"/>
              <w:rPr>
                <w:rFonts w:hint="eastAsia" w:ascii="宋体" w:hAnsi="宋体" w:eastAsia="宋体" w:cs="宋体"/>
                <w:sz w:val="21"/>
                <w:szCs w:val="21"/>
              </w:rPr>
            </w:pPr>
            <w:r>
              <w:rPr>
                <w:rFonts w:hint="eastAsia" w:ascii="宋体" w:hAnsi="宋体" w:eastAsia="宋体" w:cs="宋体"/>
                <w:sz w:val="21"/>
                <w:szCs w:val="21"/>
              </w:rPr>
              <w:t>《企业安全生产费用提取和使用管理办法》</w:t>
            </w:r>
          </w:p>
        </w:tc>
        <w:tc>
          <w:tcPr>
            <w:tcW w:w="2502" w:type="pct"/>
            <w:vAlign w:val="center"/>
          </w:tcPr>
          <w:p w14:paraId="292DDC2B">
            <w:pPr>
              <w:spacing w:line="320" w:lineRule="exact"/>
              <w:ind w:left="0" w:leftChars="0" w:firstLine="0" w:firstLineChars="0"/>
              <w:jc w:val="left"/>
              <w:rPr>
                <w:rFonts w:hint="eastAsia" w:ascii="宋体" w:hAnsi="宋体" w:eastAsia="宋体" w:cs="宋体"/>
                <w:sz w:val="21"/>
                <w:szCs w:val="21"/>
              </w:rPr>
            </w:pPr>
            <w:r>
              <w:rPr>
                <w:rFonts w:hint="eastAsia" w:ascii="宋体" w:hAnsi="宋体" w:eastAsia="宋体" w:cs="宋体"/>
                <w:sz w:val="21"/>
                <w:szCs w:val="21"/>
              </w:rPr>
              <w:t>财资〔2022〕136号</w:t>
            </w:r>
          </w:p>
        </w:tc>
      </w:tr>
      <w:tr w14:paraId="1E2FB0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396" w:type="pct"/>
            <w:vAlign w:val="center"/>
          </w:tcPr>
          <w:p w14:paraId="4773465F">
            <w:pPr>
              <w:spacing w:line="32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28</w:t>
            </w:r>
          </w:p>
        </w:tc>
        <w:tc>
          <w:tcPr>
            <w:tcW w:w="2101" w:type="pct"/>
            <w:vAlign w:val="center"/>
          </w:tcPr>
          <w:p w14:paraId="4EA6BE13">
            <w:pPr>
              <w:spacing w:line="320" w:lineRule="exact"/>
              <w:ind w:left="0" w:leftChars="0" w:firstLine="0" w:firstLineChars="0"/>
              <w:jc w:val="left"/>
              <w:rPr>
                <w:rFonts w:hint="eastAsia" w:ascii="宋体" w:hAnsi="宋体" w:eastAsia="宋体" w:cs="宋体"/>
                <w:sz w:val="21"/>
                <w:szCs w:val="21"/>
              </w:rPr>
            </w:pPr>
            <w:r>
              <w:rPr>
                <w:rFonts w:hint="eastAsia" w:ascii="宋体" w:hAnsi="宋体" w:eastAsia="宋体" w:cs="宋体"/>
                <w:sz w:val="21"/>
                <w:szCs w:val="21"/>
              </w:rPr>
              <w:t>《</w:t>
            </w:r>
            <w:r>
              <w:rPr>
                <w:rFonts w:ascii="宋体" w:hAnsi="宋体" w:eastAsia="宋体" w:cs="宋体"/>
                <w:spacing w:val="-1"/>
                <w:sz w:val="21"/>
                <w:szCs w:val="21"/>
              </w:rPr>
              <w:t>江西省生产安全事故隐患排查</w:t>
            </w:r>
            <w:r>
              <w:rPr>
                <w:rFonts w:ascii="宋体" w:hAnsi="宋体" w:eastAsia="宋体" w:cs="宋体"/>
                <w:spacing w:val="-3"/>
                <w:sz w:val="21"/>
                <w:szCs w:val="21"/>
              </w:rPr>
              <w:t>治理办法</w:t>
            </w:r>
            <w:r>
              <w:rPr>
                <w:rFonts w:hint="eastAsia" w:ascii="宋体" w:hAnsi="宋体" w:eastAsia="宋体" w:cs="宋体"/>
                <w:sz w:val="21"/>
                <w:szCs w:val="21"/>
              </w:rPr>
              <w:t>》</w:t>
            </w:r>
          </w:p>
        </w:tc>
        <w:tc>
          <w:tcPr>
            <w:tcW w:w="2502" w:type="pct"/>
            <w:vAlign w:val="center"/>
          </w:tcPr>
          <w:p w14:paraId="0D62EC66">
            <w:pPr>
              <w:spacing w:line="320" w:lineRule="exact"/>
              <w:ind w:left="0" w:leftChars="0" w:firstLine="0" w:firstLineChars="0"/>
              <w:jc w:val="left"/>
              <w:rPr>
                <w:rFonts w:hint="eastAsia" w:ascii="宋体" w:hAnsi="宋体" w:eastAsia="宋体" w:cs="宋体"/>
                <w:sz w:val="21"/>
                <w:szCs w:val="21"/>
              </w:rPr>
            </w:pPr>
            <w:r>
              <w:rPr>
                <w:rFonts w:hint="eastAsia" w:ascii="宋体" w:hAnsi="宋体" w:eastAsia="宋体" w:cs="宋体"/>
                <w:sz w:val="21"/>
                <w:szCs w:val="21"/>
              </w:rPr>
              <w:t>2021年6月9日省人民政府令第250号修正</w:t>
            </w:r>
          </w:p>
        </w:tc>
      </w:tr>
      <w:tr w14:paraId="18241C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5000" w:type="pct"/>
            <w:gridSpan w:val="3"/>
            <w:vAlign w:val="center"/>
          </w:tcPr>
          <w:p w14:paraId="2FFDA6BA">
            <w:pPr>
              <w:spacing w:line="320" w:lineRule="exact"/>
              <w:jc w:val="center"/>
              <w:rPr>
                <w:rFonts w:hint="eastAsia" w:ascii="宋体" w:hAnsi="宋体" w:eastAsia="宋体" w:cs="宋体"/>
                <w:b/>
                <w:sz w:val="21"/>
                <w:szCs w:val="21"/>
              </w:rPr>
            </w:pPr>
            <w:r>
              <w:rPr>
                <w:rFonts w:hint="eastAsia" w:ascii="宋体" w:hAnsi="宋体" w:eastAsia="宋体" w:cs="宋体"/>
                <w:b/>
                <w:sz w:val="21"/>
                <w:szCs w:val="21"/>
              </w:rPr>
              <w:t>标准、规范</w:t>
            </w:r>
          </w:p>
        </w:tc>
      </w:tr>
      <w:tr w14:paraId="097B53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396" w:type="pct"/>
            <w:vAlign w:val="center"/>
          </w:tcPr>
          <w:p w14:paraId="00CB4329">
            <w:pPr>
              <w:spacing w:line="320" w:lineRule="exact"/>
              <w:ind w:left="0" w:leftChars="0" w:firstLine="0" w:firstLineChars="0"/>
              <w:jc w:val="both"/>
              <w:rPr>
                <w:rFonts w:hint="eastAsia" w:ascii="宋体" w:hAnsi="宋体" w:eastAsia="宋体" w:cs="宋体"/>
                <w:b/>
                <w:sz w:val="21"/>
                <w:szCs w:val="21"/>
              </w:rPr>
            </w:pPr>
            <w:r>
              <w:rPr>
                <w:rFonts w:hint="eastAsia" w:ascii="宋体" w:hAnsi="宋体" w:eastAsia="宋体" w:cs="宋体"/>
                <w:b/>
                <w:sz w:val="21"/>
                <w:szCs w:val="21"/>
              </w:rPr>
              <w:t>序号</w:t>
            </w:r>
          </w:p>
        </w:tc>
        <w:tc>
          <w:tcPr>
            <w:tcW w:w="2101" w:type="pct"/>
            <w:vAlign w:val="center"/>
          </w:tcPr>
          <w:p w14:paraId="79A9E501">
            <w:pPr>
              <w:spacing w:line="320" w:lineRule="exact"/>
              <w:jc w:val="center"/>
              <w:rPr>
                <w:rFonts w:hint="eastAsia" w:ascii="宋体" w:hAnsi="宋体" w:eastAsia="宋体" w:cs="宋体"/>
                <w:b/>
                <w:sz w:val="21"/>
                <w:szCs w:val="21"/>
              </w:rPr>
            </w:pPr>
            <w:r>
              <w:rPr>
                <w:rFonts w:hint="eastAsia" w:ascii="宋体" w:hAnsi="宋体" w:eastAsia="宋体" w:cs="宋体"/>
                <w:b/>
                <w:sz w:val="21"/>
                <w:szCs w:val="21"/>
              </w:rPr>
              <w:t>名称</w:t>
            </w:r>
          </w:p>
        </w:tc>
        <w:tc>
          <w:tcPr>
            <w:tcW w:w="2502" w:type="pct"/>
            <w:vAlign w:val="center"/>
          </w:tcPr>
          <w:p w14:paraId="71A5E8F5">
            <w:pPr>
              <w:spacing w:line="320" w:lineRule="exact"/>
              <w:jc w:val="center"/>
              <w:rPr>
                <w:rFonts w:hint="eastAsia" w:ascii="宋体" w:hAnsi="宋体" w:eastAsia="宋体" w:cs="宋体"/>
                <w:b/>
                <w:sz w:val="21"/>
                <w:szCs w:val="21"/>
              </w:rPr>
            </w:pPr>
            <w:r>
              <w:rPr>
                <w:rFonts w:hint="eastAsia" w:ascii="宋体" w:hAnsi="宋体" w:eastAsia="宋体" w:cs="宋体"/>
                <w:b/>
                <w:sz w:val="21"/>
                <w:szCs w:val="21"/>
              </w:rPr>
              <w:t>标准号</w:t>
            </w:r>
          </w:p>
        </w:tc>
      </w:tr>
      <w:tr w14:paraId="20ADE4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396" w:type="pct"/>
            <w:vAlign w:val="center"/>
          </w:tcPr>
          <w:p w14:paraId="3AAC1BC4">
            <w:pPr>
              <w:spacing w:line="32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1</w:t>
            </w:r>
          </w:p>
        </w:tc>
        <w:tc>
          <w:tcPr>
            <w:tcW w:w="2101" w:type="pct"/>
            <w:vAlign w:val="center"/>
          </w:tcPr>
          <w:p w14:paraId="720AD039">
            <w:pPr>
              <w:spacing w:line="32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《烟花爆竹工程设计安全标准》</w:t>
            </w:r>
          </w:p>
        </w:tc>
        <w:tc>
          <w:tcPr>
            <w:tcW w:w="2502" w:type="pct"/>
            <w:vAlign w:val="center"/>
          </w:tcPr>
          <w:p w14:paraId="74317B97">
            <w:pPr>
              <w:spacing w:line="320" w:lineRule="exact"/>
              <w:rPr>
                <w:rFonts w:hint="eastAsia" w:ascii="宋体" w:hAnsi="宋体" w:eastAsia="宋体" w:cs="宋体"/>
                <w:sz w:val="21"/>
                <w:szCs w:val="21"/>
              </w:rPr>
            </w:pPr>
            <w:r>
              <w:rPr>
                <w:rFonts w:hint="eastAsia" w:ascii="宋体" w:hAnsi="宋体" w:eastAsia="宋体" w:cs="宋体"/>
                <w:sz w:val="21"/>
                <w:szCs w:val="21"/>
              </w:rPr>
              <w:t>GB50161-2022</w:t>
            </w:r>
          </w:p>
        </w:tc>
      </w:tr>
      <w:tr w14:paraId="30CB50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396" w:type="pct"/>
            <w:vAlign w:val="center"/>
          </w:tcPr>
          <w:p w14:paraId="79B697D7">
            <w:pPr>
              <w:spacing w:line="32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2</w:t>
            </w:r>
          </w:p>
        </w:tc>
        <w:tc>
          <w:tcPr>
            <w:tcW w:w="2101" w:type="pct"/>
            <w:vAlign w:val="center"/>
          </w:tcPr>
          <w:p w14:paraId="5241D2DF">
            <w:pPr>
              <w:spacing w:line="32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《烟花爆竹作业安全技术规程》</w:t>
            </w:r>
          </w:p>
        </w:tc>
        <w:tc>
          <w:tcPr>
            <w:tcW w:w="2502" w:type="pct"/>
            <w:vAlign w:val="center"/>
          </w:tcPr>
          <w:p w14:paraId="6AD493F1">
            <w:pPr>
              <w:spacing w:line="320" w:lineRule="exact"/>
              <w:rPr>
                <w:rFonts w:hint="eastAsia" w:ascii="宋体" w:hAnsi="宋体" w:eastAsia="宋体" w:cs="宋体"/>
                <w:sz w:val="21"/>
                <w:szCs w:val="21"/>
              </w:rPr>
            </w:pPr>
            <w:r>
              <w:rPr>
                <w:rFonts w:hint="eastAsia" w:ascii="宋体" w:hAnsi="宋体" w:eastAsia="宋体" w:cs="宋体"/>
                <w:sz w:val="21"/>
                <w:szCs w:val="21"/>
              </w:rPr>
              <w:t>GB11652-2012</w:t>
            </w:r>
          </w:p>
        </w:tc>
      </w:tr>
      <w:tr w14:paraId="2703C9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396" w:type="pct"/>
            <w:vAlign w:val="center"/>
          </w:tcPr>
          <w:p w14:paraId="511AE573">
            <w:pPr>
              <w:spacing w:line="32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3</w:t>
            </w:r>
          </w:p>
        </w:tc>
        <w:tc>
          <w:tcPr>
            <w:tcW w:w="2101" w:type="pct"/>
            <w:vAlign w:val="center"/>
          </w:tcPr>
          <w:p w14:paraId="477E3BBD">
            <w:pPr>
              <w:spacing w:line="32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《烟花爆竹安全与质量》</w:t>
            </w:r>
          </w:p>
        </w:tc>
        <w:tc>
          <w:tcPr>
            <w:tcW w:w="2502" w:type="pct"/>
            <w:vAlign w:val="center"/>
          </w:tcPr>
          <w:p w14:paraId="71F610D0">
            <w:pPr>
              <w:spacing w:line="320" w:lineRule="exact"/>
              <w:rPr>
                <w:rFonts w:hint="eastAsia" w:ascii="宋体" w:hAnsi="宋体" w:eastAsia="宋体" w:cs="宋体"/>
                <w:sz w:val="21"/>
                <w:szCs w:val="21"/>
              </w:rPr>
            </w:pPr>
            <w:r>
              <w:rPr>
                <w:rFonts w:hint="eastAsia" w:ascii="宋体" w:hAnsi="宋体" w:eastAsia="宋体" w:cs="宋体"/>
                <w:sz w:val="21"/>
                <w:szCs w:val="21"/>
              </w:rPr>
              <w:t>GB10631-2013</w:t>
            </w:r>
          </w:p>
        </w:tc>
      </w:tr>
      <w:tr w14:paraId="111BE1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396" w:type="pct"/>
            <w:vAlign w:val="center"/>
          </w:tcPr>
          <w:p w14:paraId="0C0C2ED5">
            <w:pPr>
              <w:spacing w:line="32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4</w:t>
            </w:r>
          </w:p>
        </w:tc>
        <w:tc>
          <w:tcPr>
            <w:tcW w:w="2101" w:type="pct"/>
            <w:vAlign w:val="center"/>
          </w:tcPr>
          <w:p w14:paraId="4E018E08">
            <w:pPr>
              <w:spacing w:line="32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《生产经营单位生产安全事故应急预案编制导则》</w:t>
            </w:r>
          </w:p>
        </w:tc>
        <w:tc>
          <w:tcPr>
            <w:tcW w:w="2502" w:type="pct"/>
            <w:vAlign w:val="center"/>
          </w:tcPr>
          <w:p w14:paraId="304B7F91">
            <w:pPr>
              <w:spacing w:line="320" w:lineRule="exact"/>
              <w:rPr>
                <w:rFonts w:hint="eastAsia" w:ascii="宋体" w:hAnsi="宋体" w:eastAsia="宋体" w:cs="宋体"/>
                <w:sz w:val="21"/>
                <w:szCs w:val="21"/>
              </w:rPr>
            </w:pPr>
            <w:r>
              <w:rPr>
                <w:rFonts w:hint="eastAsia" w:ascii="宋体" w:hAnsi="宋体" w:eastAsia="宋体" w:cs="宋体"/>
                <w:sz w:val="21"/>
                <w:szCs w:val="21"/>
              </w:rPr>
              <w:t>GB/T29639-2020</w:t>
            </w:r>
          </w:p>
        </w:tc>
      </w:tr>
      <w:tr w14:paraId="450E79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396" w:type="pct"/>
            <w:vAlign w:val="center"/>
          </w:tcPr>
          <w:p w14:paraId="2AD60413">
            <w:pPr>
              <w:spacing w:line="32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5</w:t>
            </w:r>
          </w:p>
        </w:tc>
        <w:tc>
          <w:tcPr>
            <w:tcW w:w="2101" w:type="pct"/>
            <w:vAlign w:val="center"/>
          </w:tcPr>
          <w:p w14:paraId="4D724492">
            <w:pPr>
              <w:spacing w:line="32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《烟花爆竹组合烟花》</w:t>
            </w:r>
          </w:p>
        </w:tc>
        <w:tc>
          <w:tcPr>
            <w:tcW w:w="2502" w:type="pct"/>
            <w:vAlign w:val="center"/>
          </w:tcPr>
          <w:p w14:paraId="58638989">
            <w:pPr>
              <w:spacing w:line="320" w:lineRule="exact"/>
              <w:rPr>
                <w:rFonts w:hint="eastAsia" w:ascii="宋体" w:hAnsi="宋体" w:eastAsia="宋体" w:cs="宋体"/>
                <w:sz w:val="21"/>
                <w:szCs w:val="21"/>
              </w:rPr>
            </w:pPr>
            <w:r>
              <w:rPr>
                <w:rFonts w:hint="eastAsia" w:ascii="宋体" w:hAnsi="宋体" w:eastAsia="宋体" w:cs="宋体"/>
                <w:sz w:val="21"/>
                <w:szCs w:val="21"/>
              </w:rPr>
              <w:t>GB19593-2015</w:t>
            </w:r>
          </w:p>
        </w:tc>
      </w:tr>
      <w:tr w14:paraId="7693A8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396" w:type="pct"/>
            <w:vAlign w:val="center"/>
          </w:tcPr>
          <w:p w14:paraId="1E9DA2AA">
            <w:pPr>
              <w:spacing w:line="32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6</w:t>
            </w:r>
          </w:p>
        </w:tc>
        <w:tc>
          <w:tcPr>
            <w:tcW w:w="2101" w:type="pct"/>
            <w:vAlign w:val="center"/>
          </w:tcPr>
          <w:p w14:paraId="55B40CFF">
            <w:pPr>
              <w:spacing w:line="32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《中国地震动参数区划图》</w:t>
            </w:r>
          </w:p>
        </w:tc>
        <w:tc>
          <w:tcPr>
            <w:tcW w:w="2502" w:type="pct"/>
            <w:vAlign w:val="center"/>
          </w:tcPr>
          <w:p w14:paraId="58C1E3B7">
            <w:pPr>
              <w:spacing w:line="320" w:lineRule="exact"/>
              <w:rPr>
                <w:rFonts w:hint="eastAsia" w:ascii="宋体" w:hAnsi="宋体" w:eastAsia="宋体" w:cs="宋体"/>
                <w:sz w:val="21"/>
                <w:szCs w:val="21"/>
              </w:rPr>
            </w:pPr>
            <w:r>
              <w:rPr>
                <w:rFonts w:hint="eastAsia" w:ascii="宋体" w:hAnsi="宋体" w:eastAsia="宋体" w:cs="宋体"/>
                <w:sz w:val="21"/>
                <w:szCs w:val="21"/>
              </w:rPr>
              <w:t>GB18306-2015</w:t>
            </w:r>
          </w:p>
        </w:tc>
      </w:tr>
      <w:tr w14:paraId="0D249F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396" w:type="pct"/>
            <w:vAlign w:val="center"/>
          </w:tcPr>
          <w:p w14:paraId="05AFE09A">
            <w:pPr>
              <w:spacing w:line="32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7</w:t>
            </w:r>
          </w:p>
        </w:tc>
        <w:tc>
          <w:tcPr>
            <w:tcW w:w="2101" w:type="pct"/>
            <w:vAlign w:val="center"/>
          </w:tcPr>
          <w:p w14:paraId="696ADA85">
            <w:pPr>
              <w:spacing w:line="32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《建筑设计防火规范》</w:t>
            </w:r>
          </w:p>
        </w:tc>
        <w:tc>
          <w:tcPr>
            <w:tcW w:w="2502" w:type="pct"/>
            <w:vAlign w:val="center"/>
          </w:tcPr>
          <w:p w14:paraId="1D1C4227">
            <w:pPr>
              <w:spacing w:line="320" w:lineRule="exact"/>
              <w:rPr>
                <w:rFonts w:hint="eastAsia" w:ascii="宋体" w:hAnsi="宋体" w:eastAsia="宋体" w:cs="宋体"/>
                <w:sz w:val="21"/>
                <w:szCs w:val="21"/>
              </w:rPr>
            </w:pPr>
            <w:r>
              <w:rPr>
                <w:rFonts w:hint="eastAsia" w:ascii="宋体" w:hAnsi="宋体" w:eastAsia="宋体" w:cs="宋体"/>
                <w:sz w:val="21"/>
                <w:szCs w:val="21"/>
              </w:rPr>
              <w:t>GB50016-2014（2018版）</w:t>
            </w:r>
          </w:p>
        </w:tc>
      </w:tr>
      <w:tr w14:paraId="200490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396" w:type="pct"/>
            <w:vAlign w:val="center"/>
          </w:tcPr>
          <w:p w14:paraId="4A509D24">
            <w:pPr>
              <w:spacing w:line="320" w:lineRule="exact"/>
              <w:ind w:left="0" w:leftChars="0" w:firstLine="0" w:firstLineChars="0"/>
              <w:jc w:val="center"/>
              <w:rPr>
                <w:rFonts w:hint="eastAsia" w:ascii="宋体" w:hAnsi="宋体" w:eastAsia="宋体" w:cs="宋体"/>
                <w:sz w:val="21"/>
                <w:szCs w:val="21"/>
              </w:rPr>
            </w:pPr>
            <w:bookmarkStart w:id="16" w:name="OLE_LINK6" w:colFirst="1" w:colLast="2"/>
            <w:r>
              <w:rPr>
                <w:rFonts w:hint="eastAsia" w:ascii="宋体" w:hAnsi="宋体" w:eastAsia="宋体" w:cs="宋体"/>
                <w:sz w:val="21"/>
                <w:szCs w:val="21"/>
              </w:rPr>
              <w:t>8</w:t>
            </w:r>
          </w:p>
        </w:tc>
        <w:tc>
          <w:tcPr>
            <w:tcW w:w="2101" w:type="pct"/>
            <w:vAlign w:val="center"/>
          </w:tcPr>
          <w:p w14:paraId="266E85AA">
            <w:pPr>
              <w:spacing w:line="32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《建筑物防雷设计规范》</w:t>
            </w:r>
          </w:p>
        </w:tc>
        <w:tc>
          <w:tcPr>
            <w:tcW w:w="2502" w:type="pct"/>
            <w:vAlign w:val="center"/>
          </w:tcPr>
          <w:p w14:paraId="1D51B499">
            <w:pPr>
              <w:spacing w:line="320" w:lineRule="exact"/>
              <w:rPr>
                <w:rFonts w:hint="eastAsia" w:ascii="宋体" w:hAnsi="宋体" w:eastAsia="宋体" w:cs="宋体"/>
                <w:sz w:val="21"/>
                <w:szCs w:val="21"/>
              </w:rPr>
            </w:pPr>
            <w:r>
              <w:rPr>
                <w:rFonts w:hint="eastAsia" w:ascii="宋体" w:hAnsi="宋体" w:eastAsia="宋体" w:cs="宋体"/>
                <w:sz w:val="21"/>
                <w:szCs w:val="21"/>
              </w:rPr>
              <w:t>GB50057-2010</w:t>
            </w:r>
          </w:p>
        </w:tc>
      </w:tr>
      <w:bookmarkEnd w:id="16"/>
      <w:tr w14:paraId="6F0D3D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396" w:type="pct"/>
            <w:vAlign w:val="center"/>
          </w:tcPr>
          <w:p w14:paraId="6AD12802">
            <w:pPr>
              <w:spacing w:line="320" w:lineRule="exact"/>
              <w:ind w:left="0" w:leftChars="0" w:firstLine="0" w:firstLineChars="0"/>
              <w:jc w:val="center"/>
              <w:rPr>
                <w:rFonts w:hint="eastAsia" w:ascii="宋体" w:hAnsi="宋体" w:eastAsia="宋体" w:cs="宋体"/>
                <w:sz w:val="21"/>
                <w:szCs w:val="21"/>
              </w:rPr>
            </w:pPr>
            <w:bookmarkStart w:id="17" w:name="OLE_LINK7" w:colFirst="1" w:colLast="2"/>
            <w:r>
              <w:rPr>
                <w:rFonts w:hint="eastAsia" w:ascii="宋体" w:hAnsi="宋体" w:eastAsia="宋体" w:cs="宋体"/>
                <w:sz w:val="21"/>
                <w:szCs w:val="21"/>
              </w:rPr>
              <w:t>9</w:t>
            </w:r>
          </w:p>
        </w:tc>
        <w:tc>
          <w:tcPr>
            <w:tcW w:w="2101" w:type="pct"/>
            <w:vAlign w:val="center"/>
          </w:tcPr>
          <w:p w14:paraId="4F540413">
            <w:pPr>
              <w:spacing w:line="32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《企业职工伤亡事故分类》</w:t>
            </w:r>
          </w:p>
        </w:tc>
        <w:tc>
          <w:tcPr>
            <w:tcW w:w="2502" w:type="pct"/>
            <w:vAlign w:val="center"/>
          </w:tcPr>
          <w:p w14:paraId="6A04052B">
            <w:pPr>
              <w:spacing w:line="320" w:lineRule="exact"/>
              <w:rPr>
                <w:rFonts w:hint="eastAsia" w:ascii="宋体" w:hAnsi="宋体" w:eastAsia="宋体" w:cs="宋体"/>
                <w:sz w:val="21"/>
                <w:szCs w:val="21"/>
              </w:rPr>
            </w:pPr>
            <w:r>
              <w:rPr>
                <w:rFonts w:hint="eastAsia" w:ascii="宋体" w:hAnsi="宋体" w:eastAsia="宋体" w:cs="宋体"/>
                <w:sz w:val="21"/>
                <w:szCs w:val="21"/>
              </w:rPr>
              <w:t>GB6441-1986</w:t>
            </w:r>
          </w:p>
        </w:tc>
      </w:tr>
      <w:bookmarkEnd w:id="17"/>
      <w:tr w14:paraId="64B85B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396" w:type="pct"/>
            <w:vAlign w:val="center"/>
          </w:tcPr>
          <w:p w14:paraId="6638BBF2">
            <w:pPr>
              <w:spacing w:line="32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10</w:t>
            </w:r>
          </w:p>
        </w:tc>
        <w:tc>
          <w:tcPr>
            <w:tcW w:w="2101" w:type="pct"/>
            <w:vAlign w:val="center"/>
          </w:tcPr>
          <w:p w14:paraId="6164325D">
            <w:pPr>
              <w:spacing w:line="32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《易燃易爆性商品储存养护技术条件》</w:t>
            </w:r>
          </w:p>
        </w:tc>
        <w:tc>
          <w:tcPr>
            <w:tcW w:w="2502" w:type="pct"/>
            <w:vAlign w:val="center"/>
          </w:tcPr>
          <w:p w14:paraId="2BE3F35C">
            <w:pPr>
              <w:spacing w:line="320" w:lineRule="exact"/>
              <w:rPr>
                <w:rFonts w:hint="eastAsia" w:ascii="宋体" w:hAnsi="宋体" w:eastAsia="宋体" w:cs="宋体"/>
                <w:sz w:val="21"/>
                <w:szCs w:val="21"/>
              </w:rPr>
            </w:pPr>
            <w:r>
              <w:rPr>
                <w:rFonts w:hint="eastAsia" w:ascii="宋体" w:hAnsi="宋体" w:eastAsia="宋体" w:cs="宋体"/>
                <w:sz w:val="21"/>
                <w:szCs w:val="21"/>
              </w:rPr>
              <w:t>GB17914-2013</w:t>
            </w:r>
          </w:p>
        </w:tc>
      </w:tr>
      <w:tr w14:paraId="78FEA0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396" w:type="pct"/>
            <w:vAlign w:val="center"/>
          </w:tcPr>
          <w:p w14:paraId="1420F53B">
            <w:pPr>
              <w:spacing w:line="32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11</w:t>
            </w:r>
          </w:p>
        </w:tc>
        <w:tc>
          <w:tcPr>
            <w:tcW w:w="2101" w:type="pct"/>
            <w:vAlign w:val="center"/>
          </w:tcPr>
          <w:p w14:paraId="3E43B5A8">
            <w:pPr>
              <w:spacing w:line="320" w:lineRule="exact"/>
              <w:ind w:left="0" w:leftChars="0" w:firstLine="0" w:firstLineChars="0"/>
              <w:rPr>
                <w:rFonts w:hint="eastAsia" w:ascii="宋体" w:hAnsi="宋体" w:eastAsia="宋体" w:cs="宋体"/>
                <w:sz w:val="21"/>
                <w:szCs w:val="21"/>
                <w:lang w:val="zh-CN"/>
              </w:rPr>
            </w:pPr>
            <w:r>
              <w:rPr>
                <w:rFonts w:hint="eastAsia" w:ascii="宋体" w:hAnsi="宋体" w:eastAsia="宋体" w:cs="宋体"/>
                <w:sz w:val="21"/>
                <w:szCs w:val="21"/>
                <w:lang w:val="zh-CN"/>
              </w:rPr>
              <w:t>《毒害性商品储藏养护技术条件》</w:t>
            </w:r>
          </w:p>
        </w:tc>
        <w:tc>
          <w:tcPr>
            <w:tcW w:w="2502" w:type="pct"/>
            <w:vAlign w:val="center"/>
          </w:tcPr>
          <w:p w14:paraId="2D5FB901">
            <w:pPr>
              <w:spacing w:line="320" w:lineRule="exact"/>
              <w:rPr>
                <w:rFonts w:hint="eastAsia" w:ascii="宋体" w:hAnsi="宋体" w:eastAsia="宋体" w:cs="宋体"/>
                <w:sz w:val="21"/>
                <w:szCs w:val="21"/>
              </w:rPr>
            </w:pPr>
            <w:r>
              <w:rPr>
                <w:rFonts w:hint="eastAsia" w:ascii="宋体" w:hAnsi="宋体" w:eastAsia="宋体" w:cs="宋体"/>
                <w:sz w:val="21"/>
                <w:szCs w:val="21"/>
              </w:rPr>
              <w:t>GB17916-2013</w:t>
            </w:r>
          </w:p>
        </w:tc>
      </w:tr>
      <w:tr w14:paraId="0ECB0F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6" w:type="pct"/>
            <w:vAlign w:val="center"/>
          </w:tcPr>
          <w:p w14:paraId="690462AE">
            <w:pPr>
              <w:spacing w:line="32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12</w:t>
            </w:r>
          </w:p>
        </w:tc>
        <w:tc>
          <w:tcPr>
            <w:tcW w:w="2101" w:type="pct"/>
            <w:vAlign w:val="center"/>
          </w:tcPr>
          <w:p w14:paraId="204116E3">
            <w:pPr>
              <w:spacing w:line="32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《危险货物品名表》</w:t>
            </w:r>
          </w:p>
        </w:tc>
        <w:tc>
          <w:tcPr>
            <w:tcW w:w="2502" w:type="pct"/>
            <w:vAlign w:val="center"/>
          </w:tcPr>
          <w:p w14:paraId="1E535F63">
            <w:pPr>
              <w:spacing w:line="320" w:lineRule="exact"/>
              <w:rPr>
                <w:rFonts w:hint="eastAsia" w:ascii="宋体" w:hAnsi="宋体" w:eastAsia="宋体" w:cs="宋体"/>
                <w:sz w:val="21"/>
                <w:szCs w:val="21"/>
              </w:rPr>
            </w:pPr>
            <w:r>
              <w:rPr>
                <w:rFonts w:hint="eastAsia" w:ascii="宋体" w:hAnsi="宋体" w:eastAsia="宋体" w:cs="宋体"/>
                <w:sz w:val="21"/>
                <w:szCs w:val="21"/>
              </w:rPr>
              <w:t>GB12268-2012</w:t>
            </w:r>
          </w:p>
        </w:tc>
      </w:tr>
      <w:tr w14:paraId="435826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396" w:type="pct"/>
            <w:vAlign w:val="center"/>
          </w:tcPr>
          <w:p w14:paraId="0805057D">
            <w:pPr>
              <w:spacing w:line="32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13</w:t>
            </w:r>
          </w:p>
        </w:tc>
        <w:tc>
          <w:tcPr>
            <w:tcW w:w="2101" w:type="pct"/>
            <w:vAlign w:val="center"/>
          </w:tcPr>
          <w:p w14:paraId="354F4DF7">
            <w:pPr>
              <w:spacing w:line="32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《爆炸危险环境电力装置设计规范》</w:t>
            </w:r>
          </w:p>
        </w:tc>
        <w:tc>
          <w:tcPr>
            <w:tcW w:w="2502" w:type="pct"/>
            <w:vAlign w:val="center"/>
          </w:tcPr>
          <w:p w14:paraId="25D6B110">
            <w:pPr>
              <w:spacing w:line="320" w:lineRule="exact"/>
              <w:rPr>
                <w:rFonts w:hint="eastAsia" w:ascii="宋体" w:hAnsi="宋体" w:eastAsia="宋体" w:cs="宋体"/>
                <w:sz w:val="21"/>
                <w:szCs w:val="21"/>
              </w:rPr>
            </w:pPr>
            <w:r>
              <w:rPr>
                <w:rFonts w:hint="eastAsia" w:ascii="宋体" w:hAnsi="宋体" w:eastAsia="宋体" w:cs="宋体"/>
                <w:sz w:val="21"/>
                <w:szCs w:val="21"/>
              </w:rPr>
              <w:t>GB50058-2014</w:t>
            </w:r>
          </w:p>
        </w:tc>
      </w:tr>
      <w:tr w14:paraId="4B587B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396" w:type="pct"/>
            <w:vAlign w:val="center"/>
          </w:tcPr>
          <w:p w14:paraId="1450AA3B">
            <w:pPr>
              <w:spacing w:line="32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14</w:t>
            </w:r>
          </w:p>
        </w:tc>
        <w:tc>
          <w:tcPr>
            <w:tcW w:w="2101" w:type="pct"/>
            <w:vAlign w:val="center"/>
          </w:tcPr>
          <w:p w14:paraId="56506C62">
            <w:pPr>
              <w:spacing w:line="32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《建筑灭火器配置设计规范》</w:t>
            </w:r>
          </w:p>
        </w:tc>
        <w:tc>
          <w:tcPr>
            <w:tcW w:w="2502" w:type="pct"/>
            <w:vAlign w:val="center"/>
          </w:tcPr>
          <w:p w14:paraId="09F857B0">
            <w:pPr>
              <w:spacing w:line="320" w:lineRule="exact"/>
              <w:rPr>
                <w:rFonts w:hint="eastAsia" w:ascii="宋体" w:hAnsi="宋体" w:eastAsia="宋体" w:cs="宋体"/>
                <w:sz w:val="21"/>
                <w:szCs w:val="21"/>
              </w:rPr>
            </w:pPr>
            <w:r>
              <w:rPr>
                <w:rFonts w:hint="eastAsia" w:ascii="宋体" w:hAnsi="宋体" w:eastAsia="宋体" w:cs="宋体"/>
                <w:bCs/>
                <w:kern w:val="0"/>
                <w:sz w:val="21"/>
                <w:szCs w:val="21"/>
              </w:rPr>
              <w:t>GB50140</w:t>
            </w:r>
            <w:r>
              <w:rPr>
                <w:rFonts w:hint="eastAsia" w:ascii="宋体" w:hAnsi="宋体" w:eastAsia="宋体" w:cs="宋体"/>
                <w:sz w:val="21"/>
                <w:szCs w:val="21"/>
              </w:rPr>
              <w:t>-</w:t>
            </w:r>
            <w:r>
              <w:rPr>
                <w:rFonts w:hint="eastAsia" w:ascii="宋体" w:hAnsi="宋体" w:eastAsia="宋体" w:cs="宋体"/>
                <w:bCs/>
                <w:kern w:val="0"/>
                <w:sz w:val="21"/>
                <w:szCs w:val="21"/>
              </w:rPr>
              <w:t>2005</w:t>
            </w:r>
          </w:p>
        </w:tc>
      </w:tr>
      <w:tr w14:paraId="2CD91F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396" w:type="pct"/>
            <w:vAlign w:val="center"/>
          </w:tcPr>
          <w:p w14:paraId="68386381">
            <w:pPr>
              <w:spacing w:line="32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15</w:t>
            </w:r>
          </w:p>
        </w:tc>
        <w:tc>
          <w:tcPr>
            <w:tcW w:w="2101" w:type="pct"/>
            <w:vAlign w:val="center"/>
          </w:tcPr>
          <w:p w14:paraId="61CE172B">
            <w:pPr>
              <w:spacing w:line="32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《安全色和安全标志》</w:t>
            </w:r>
          </w:p>
        </w:tc>
        <w:tc>
          <w:tcPr>
            <w:tcW w:w="2502" w:type="pct"/>
            <w:vAlign w:val="center"/>
          </w:tcPr>
          <w:p w14:paraId="6E054E64">
            <w:pPr>
              <w:spacing w:line="320" w:lineRule="exact"/>
              <w:rPr>
                <w:rFonts w:hint="eastAsia" w:ascii="宋体" w:hAnsi="宋体" w:eastAsia="宋体" w:cs="宋体"/>
                <w:sz w:val="21"/>
                <w:szCs w:val="21"/>
              </w:rPr>
            </w:pPr>
            <w:r>
              <w:rPr>
                <w:rFonts w:hint="eastAsia" w:ascii="宋体" w:hAnsi="宋体" w:eastAsia="宋体" w:cs="宋体"/>
                <w:bCs/>
                <w:kern w:val="0"/>
                <w:sz w:val="21"/>
                <w:szCs w:val="21"/>
              </w:rPr>
              <w:t>GB2894-2025</w:t>
            </w:r>
          </w:p>
        </w:tc>
      </w:tr>
      <w:tr w14:paraId="64CF94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396" w:type="pct"/>
            <w:vAlign w:val="center"/>
          </w:tcPr>
          <w:p w14:paraId="255A4944">
            <w:pPr>
              <w:spacing w:line="32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16</w:t>
            </w:r>
          </w:p>
        </w:tc>
        <w:tc>
          <w:tcPr>
            <w:tcW w:w="2101" w:type="pct"/>
            <w:vAlign w:val="center"/>
          </w:tcPr>
          <w:p w14:paraId="2A663B01">
            <w:pPr>
              <w:pStyle w:val="13"/>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《图形符号安全色和安全标志第5部分：安全标志使用原则与要求》</w:t>
            </w:r>
          </w:p>
        </w:tc>
        <w:tc>
          <w:tcPr>
            <w:tcW w:w="2502" w:type="pct"/>
            <w:vAlign w:val="center"/>
          </w:tcPr>
          <w:p w14:paraId="5268BBFD">
            <w:pPr>
              <w:spacing w:line="320" w:lineRule="exac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GB/T2893.5-2020</w:t>
            </w:r>
          </w:p>
        </w:tc>
      </w:tr>
      <w:tr w14:paraId="65FA9E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396" w:type="pct"/>
            <w:vAlign w:val="center"/>
          </w:tcPr>
          <w:p w14:paraId="636B4B16">
            <w:pPr>
              <w:spacing w:line="320" w:lineRule="exact"/>
              <w:ind w:left="0" w:leftChars="0" w:firstLine="0" w:firstLineChars="0"/>
              <w:jc w:val="center"/>
              <w:rPr>
                <w:rFonts w:hint="eastAsia" w:ascii="宋体" w:hAnsi="宋体" w:eastAsia="宋体" w:cs="宋体"/>
                <w:sz w:val="21"/>
                <w:szCs w:val="21"/>
              </w:rPr>
            </w:pPr>
            <w:bookmarkStart w:id="18" w:name="OLE_LINK8" w:colFirst="1" w:colLast="2"/>
            <w:r>
              <w:rPr>
                <w:rFonts w:hint="eastAsia" w:ascii="宋体" w:hAnsi="宋体" w:eastAsia="宋体" w:cs="宋体"/>
                <w:sz w:val="21"/>
                <w:szCs w:val="21"/>
              </w:rPr>
              <w:t>17</w:t>
            </w:r>
          </w:p>
        </w:tc>
        <w:tc>
          <w:tcPr>
            <w:tcW w:w="2101" w:type="pct"/>
            <w:vAlign w:val="center"/>
          </w:tcPr>
          <w:p w14:paraId="2BCFC3C3">
            <w:pPr>
              <w:spacing w:line="32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《烟花爆竹抽样检验规则》</w:t>
            </w:r>
          </w:p>
        </w:tc>
        <w:tc>
          <w:tcPr>
            <w:tcW w:w="2502" w:type="pct"/>
            <w:vAlign w:val="center"/>
          </w:tcPr>
          <w:p w14:paraId="64B311E8">
            <w:pPr>
              <w:spacing w:line="320" w:lineRule="exact"/>
              <w:rPr>
                <w:rFonts w:hint="eastAsia" w:ascii="宋体" w:hAnsi="宋体" w:eastAsia="宋体" w:cs="宋体"/>
                <w:sz w:val="21"/>
                <w:szCs w:val="21"/>
              </w:rPr>
            </w:pPr>
            <w:r>
              <w:rPr>
                <w:rFonts w:hint="eastAsia" w:ascii="宋体" w:hAnsi="宋体" w:eastAsia="宋体" w:cs="宋体"/>
                <w:sz w:val="21"/>
                <w:szCs w:val="21"/>
              </w:rPr>
              <w:t>GB/T10632-2014</w:t>
            </w:r>
          </w:p>
        </w:tc>
      </w:tr>
      <w:tr w14:paraId="3A2DF7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396" w:type="pct"/>
            <w:vAlign w:val="center"/>
          </w:tcPr>
          <w:p w14:paraId="491722A8">
            <w:pPr>
              <w:spacing w:line="32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18</w:t>
            </w:r>
          </w:p>
        </w:tc>
        <w:tc>
          <w:tcPr>
            <w:tcW w:w="2101" w:type="pct"/>
            <w:vAlign w:val="center"/>
          </w:tcPr>
          <w:p w14:paraId="3D88F796">
            <w:pPr>
              <w:spacing w:line="32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《安全评价通则》</w:t>
            </w:r>
          </w:p>
        </w:tc>
        <w:tc>
          <w:tcPr>
            <w:tcW w:w="2502" w:type="pct"/>
            <w:vAlign w:val="center"/>
          </w:tcPr>
          <w:p w14:paraId="27624EFF">
            <w:pPr>
              <w:spacing w:line="320" w:lineRule="exact"/>
              <w:rPr>
                <w:rFonts w:hint="eastAsia" w:ascii="宋体" w:hAnsi="宋体" w:eastAsia="宋体" w:cs="宋体"/>
                <w:sz w:val="21"/>
                <w:szCs w:val="21"/>
              </w:rPr>
            </w:pPr>
            <w:r>
              <w:rPr>
                <w:rFonts w:hint="eastAsia" w:ascii="宋体" w:hAnsi="宋体" w:eastAsia="宋体" w:cs="宋体"/>
                <w:sz w:val="21"/>
                <w:szCs w:val="21"/>
              </w:rPr>
              <w:t>AQ8001-2007</w:t>
            </w:r>
          </w:p>
        </w:tc>
      </w:tr>
      <w:tr w14:paraId="497F0E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396" w:type="pct"/>
            <w:vAlign w:val="center"/>
          </w:tcPr>
          <w:p w14:paraId="555E837D">
            <w:pPr>
              <w:spacing w:line="32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19</w:t>
            </w:r>
          </w:p>
        </w:tc>
        <w:tc>
          <w:tcPr>
            <w:tcW w:w="2101" w:type="pct"/>
            <w:vAlign w:val="center"/>
          </w:tcPr>
          <w:p w14:paraId="515D458D">
            <w:pPr>
              <w:spacing w:line="32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《烟花爆竹企业安全评价规范》</w:t>
            </w:r>
          </w:p>
        </w:tc>
        <w:tc>
          <w:tcPr>
            <w:tcW w:w="2502" w:type="pct"/>
            <w:vAlign w:val="center"/>
          </w:tcPr>
          <w:p w14:paraId="5E4E471F">
            <w:pPr>
              <w:spacing w:line="320" w:lineRule="exact"/>
              <w:rPr>
                <w:rFonts w:hint="eastAsia" w:ascii="宋体" w:hAnsi="宋体" w:eastAsia="宋体" w:cs="宋体"/>
                <w:sz w:val="21"/>
                <w:szCs w:val="21"/>
              </w:rPr>
            </w:pPr>
            <w:r>
              <w:rPr>
                <w:rFonts w:hint="eastAsia" w:ascii="宋体" w:hAnsi="宋体" w:eastAsia="宋体" w:cs="宋体"/>
                <w:sz w:val="21"/>
                <w:szCs w:val="21"/>
              </w:rPr>
              <w:t>AQ4113-2008</w:t>
            </w:r>
          </w:p>
        </w:tc>
      </w:tr>
      <w:tr w14:paraId="240AC8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396" w:type="pct"/>
            <w:vAlign w:val="center"/>
          </w:tcPr>
          <w:p w14:paraId="30FABF6F">
            <w:pPr>
              <w:spacing w:line="32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20</w:t>
            </w:r>
          </w:p>
        </w:tc>
        <w:tc>
          <w:tcPr>
            <w:tcW w:w="2101" w:type="pct"/>
            <w:vAlign w:val="center"/>
          </w:tcPr>
          <w:p w14:paraId="0A56ED2A">
            <w:pPr>
              <w:spacing w:line="320" w:lineRule="exact"/>
              <w:ind w:left="0" w:leftChars="0" w:firstLine="0" w:firstLineChars="0"/>
              <w:jc w:val="left"/>
              <w:rPr>
                <w:rFonts w:hint="eastAsia" w:ascii="宋体" w:hAnsi="宋体" w:eastAsia="宋体" w:cs="宋体"/>
                <w:sz w:val="21"/>
                <w:szCs w:val="21"/>
              </w:rPr>
            </w:pPr>
            <w:r>
              <w:rPr>
                <w:rFonts w:hint="eastAsia" w:ascii="宋体" w:hAnsi="宋体" w:eastAsia="宋体" w:cs="宋体"/>
                <w:sz w:val="21"/>
                <w:szCs w:val="21"/>
              </w:rPr>
              <w:t>《烟花爆竹流向登记通用规范》</w:t>
            </w:r>
          </w:p>
        </w:tc>
        <w:tc>
          <w:tcPr>
            <w:tcW w:w="2502" w:type="pct"/>
            <w:vAlign w:val="center"/>
          </w:tcPr>
          <w:p w14:paraId="53036DE4">
            <w:pPr>
              <w:spacing w:line="320" w:lineRule="exact"/>
              <w:jc w:val="left"/>
              <w:rPr>
                <w:rFonts w:hint="eastAsia" w:ascii="宋体" w:hAnsi="宋体" w:eastAsia="宋体" w:cs="宋体"/>
                <w:sz w:val="21"/>
                <w:szCs w:val="21"/>
              </w:rPr>
            </w:pPr>
            <w:r>
              <w:rPr>
                <w:rFonts w:hint="eastAsia" w:ascii="宋体" w:hAnsi="宋体" w:eastAsia="宋体" w:cs="宋体"/>
                <w:sz w:val="21"/>
                <w:szCs w:val="21"/>
              </w:rPr>
              <w:t>AQ4102-2008</w:t>
            </w:r>
          </w:p>
        </w:tc>
      </w:tr>
      <w:tr w14:paraId="6AA414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396" w:type="pct"/>
            <w:vAlign w:val="center"/>
          </w:tcPr>
          <w:p w14:paraId="14690F20">
            <w:pPr>
              <w:spacing w:line="32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21</w:t>
            </w:r>
          </w:p>
        </w:tc>
        <w:tc>
          <w:tcPr>
            <w:tcW w:w="2101" w:type="pct"/>
            <w:vAlign w:val="center"/>
          </w:tcPr>
          <w:p w14:paraId="5BF3E02B">
            <w:pPr>
              <w:spacing w:line="320" w:lineRule="exact"/>
              <w:ind w:left="0" w:leftChars="0" w:firstLine="0" w:firstLineChars="0"/>
              <w:jc w:val="left"/>
              <w:rPr>
                <w:rFonts w:hint="eastAsia" w:ascii="宋体" w:hAnsi="宋体" w:eastAsia="宋体" w:cs="宋体"/>
                <w:sz w:val="21"/>
                <w:szCs w:val="21"/>
              </w:rPr>
            </w:pPr>
            <w:r>
              <w:rPr>
                <w:rFonts w:hint="eastAsia" w:ascii="宋体" w:hAnsi="宋体" w:eastAsia="宋体" w:cs="宋体"/>
                <w:sz w:val="21"/>
                <w:szCs w:val="21"/>
              </w:rPr>
              <w:t>《烟花爆竹重大危险源辨识》</w:t>
            </w:r>
          </w:p>
        </w:tc>
        <w:tc>
          <w:tcPr>
            <w:tcW w:w="2502" w:type="pct"/>
            <w:vAlign w:val="center"/>
          </w:tcPr>
          <w:p w14:paraId="222E00EC">
            <w:pPr>
              <w:spacing w:line="320" w:lineRule="exact"/>
              <w:jc w:val="left"/>
              <w:rPr>
                <w:rFonts w:hint="eastAsia" w:ascii="宋体" w:hAnsi="宋体" w:eastAsia="宋体" w:cs="宋体"/>
                <w:sz w:val="21"/>
                <w:szCs w:val="21"/>
              </w:rPr>
            </w:pPr>
            <w:r>
              <w:rPr>
                <w:rFonts w:hint="eastAsia" w:ascii="宋体" w:hAnsi="宋体" w:eastAsia="宋体" w:cs="宋体"/>
                <w:sz w:val="21"/>
                <w:szCs w:val="21"/>
              </w:rPr>
              <w:t>AQ4131-2023</w:t>
            </w:r>
          </w:p>
        </w:tc>
      </w:tr>
      <w:tr w14:paraId="75FB47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396" w:type="pct"/>
            <w:vAlign w:val="center"/>
          </w:tcPr>
          <w:p w14:paraId="32F74938">
            <w:pPr>
              <w:spacing w:line="32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22</w:t>
            </w:r>
          </w:p>
        </w:tc>
        <w:tc>
          <w:tcPr>
            <w:tcW w:w="2101" w:type="pct"/>
            <w:vAlign w:val="center"/>
          </w:tcPr>
          <w:p w14:paraId="6C6DBBEA">
            <w:pPr>
              <w:spacing w:line="320" w:lineRule="exact"/>
              <w:ind w:left="0" w:leftChars="0" w:firstLine="0" w:firstLineChars="0"/>
              <w:jc w:val="left"/>
              <w:rPr>
                <w:rFonts w:hint="eastAsia" w:ascii="宋体" w:hAnsi="宋体" w:eastAsia="宋体" w:cs="宋体"/>
                <w:sz w:val="21"/>
                <w:szCs w:val="21"/>
              </w:rPr>
            </w:pPr>
            <w:r>
              <w:rPr>
                <w:rFonts w:hint="eastAsia" w:ascii="宋体" w:hAnsi="宋体" w:eastAsia="宋体" w:cs="宋体"/>
                <w:sz w:val="21"/>
                <w:szCs w:val="21"/>
              </w:rPr>
              <w:t>《烟花爆竹防止静电通用导则》</w:t>
            </w:r>
          </w:p>
        </w:tc>
        <w:tc>
          <w:tcPr>
            <w:tcW w:w="2502" w:type="pct"/>
            <w:vAlign w:val="center"/>
          </w:tcPr>
          <w:p w14:paraId="78E643F0">
            <w:pPr>
              <w:spacing w:line="320" w:lineRule="exact"/>
              <w:jc w:val="left"/>
              <w:rPr>
                <w:rFonts w:hint="eastAsia" w:ascii="宋体" w:hAnsi="宋体" w:eastAsia="宋体" w:cs="宋体"/>
                <w:sz w:val="21"/>
                <w:szCs w:val="21"/>
              </w:rPr>
            </w:pPr>
            <w:r>
              <w:rPr>
                <w:rFonts w:hint="eastAsia" w:ascii="宋体" w:hAnsi="宋体" w:eastAsia="宋体" w:cs="宋体"/>
                <w:sz w:val="21"/>
                <w:szCs w:val="21"/>
              </w:rPr>
              <w:t>AQ4115-2011</w:t>
            </w:r>
          </w:p>
        </w:tc>
      </w:tr>
      <w:tr w14:paraId="4F0A1B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396" w:type="pct"/>
            <w:vAlign w:val="center"/>
          </w:tcPr>
          <w:p w14:paraId="78E9053F">
            <w:pPr>
              <w:spacing w:line="320" w:lineRule="exact"/>
              <w:ind w:left="0" w:leftChars="0" w:firstLine="0" w:firstLineChars="0"/>
              <w:jc w:val="center"/>
              <w:rPr>
                <w:rFonts w:hint="eastAsia" w:ascii="宋体" w:hAnsi="宋体" w:eastAsia="宋体" w:cs="宋体"/>
                <w:sz w:val="21"/>
                <w:szCs w:val="21"/>
              </w:rPr>
            </w:pPr>
            <w:r>
              <w:rPr>
                <w:rFonts w:hint="eastAsia" w:ascii="宋体" w:hAnsi="宋体" w:eastAsia="宋体" w:cs="宋体"/>
                <w:sz w:val="21"/>
                <w:szCs w:val="21"/>
              </w:rPr>
              <w:t>23</w:t>
            </w:r>
          </w:p>
        </w:tc>
        <w:tc>
          <w:tcPr>
            <w:tcW w:w="2101" w:type="pct"/>
            <w:vAlign w:val="center"/>
          </w:tcPr>
          <w:p w14:paraId="4EF1A738">
            <w:pPr>
              <w:spacing w:line="32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《烟花爆竹作业场所机械电器安全规范》</w:t>
            </w:r>
          </w:p>
        </w:tc>
        <w:tc>
          <w:tcPr>
            <w:tcW w:w="2502" w:type="pct"/>
            <w:vAlign w:val="center"/>
          </w:tcPr>
          <w:p w14:paraId="370BBBCE">
            <w:pPr>
              <w:spacing w:line="320" w:lineRule="exact"/>
              <w:rPr>
                <w:rFonts w:hint="eastAsia" w:ascii="宋体" w:hAnsi="宋体" w:eastAsia="宋体" w:cs="宋体"/>
                <w:sz w:val="21"/>
                <w:szCs w:val="21"/>
              </w:rPr>
            </w:pPr>
            <w:r>
              <w:rPr>
                <w:rFonts w:hint="eastAsia" w:ascii="宋体" w:hAnsi="宋体" w:eastAsia="宋体" w:cs="宋体"/>
                <w:sz w:val="21"/>
                <w:szCs w:val="21"/>
              </w:rPr>
              <w:t>AQ4111-2008</w:t>
            </w:r>
          </w:p>
        </w:tc>
      </w:tr>
      <w:tr w14:paraId="208EE6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396" w:type="pct"/>
            <w:vAlign w:val="center"/>
          </w:tcPr>
          <w:p w14:paraId="36258892">
            <w:pPr>
              <w:spacing w:line="320" w:lineRule="exact"/>
              <w:ind w:left="0" w:leftChars="0"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rPr>
              <w:t>2</w:t>
            </w:r>
            <w:r>
              <w:rPr>
                <w:rFonts w:hint="eastAsia" w:ascii="宋体" w:hAnsi="宋体" w:cs="宋体"/>
                <w:sz w:val="21"/>
                <w:szCs w:val="21"/>
                <w:lang w:val="en-US" w:eastAsia="zh-CN"/>
              </w:rPr>
              <w:t>4</w:t>
            </w:r>
          </w:p>
        </w:tc>
        <w:tc>
          <w:tcPr>
            <w:tcW w:w="2101" w:type="pct"/>
            <w:vAlign w:val="center"/>
          </w:tcPr>
          <w:p w14:paraId="0F9CB6CC">
            <w:pPr>
              <w:spacing w:line="32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《烟花爆竹企业安全监控系统通用技术条件》</w:t>
            </w:r>
          </w:p>
        </w:tc>
        <w:tc>
          <w:tcPr>
            <w:tcW w:w="2502" w:type="pct"/>
            <w:vAlign w:val="center"/>
          </w:tcPr>
          <w:p w14:paraId="77E84497">
            <w:pPr>
              <w:spacing w:line="320" w:lineRule="exact"/>
              <w:rPr>
                <w:rFonts w:hint="eastAsia" w:ascii="宋体" w:hAnsi="宋体" w:eastAsia="宋体" w:cs="宋体"/>
                <w:sz w:val="21"/>
                <w:szCs w:val="21"/>
              </w:rPr>
            </w:pPr>
            <w:r>
              <w:rPr>
                <w:rFonts w:hint="eastAsia" w:ascii="宋体" w:hAnsi="宋体" w:eastAsia="宋体" w:cs="宋体"/>
                <w:sz w:val="21"/>
                <w:szCs w:val="21"/>
              </w:rPr>
              <w:t>AQ4101-2008</w:t>
            </w:r>
          </w:p>
        </w:tc>
      </w:tr>
      <w:tr w14:paraId="43BF26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396" w:type="pct"/>
            <w:vAlign w:val="center"/>
          </w:tcPr>
          <w:p w14:paraId="1D7200B8">
            <w:pPr>
              <w:spacing w:line="320" w:lineRule="exact"/>
              <w:ind w:left="0" w:leftChars="0"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rPr>
              <w:t>2</w:t>
            </w:r>
            <w:r>
              <w:rPr>
                <w:rFonts w:hint="eastAsia" w:ascii="宋体" w:hAnsi="宋体" w:cs="宋体"/>
                <w:sz w:val="21"/>
                <w:szCs w:val="21"/>
                <w:lang w:val="en-US" w:eastAsia="zh-CN"/>
              </w:rPr>
              <w:t>5</w:t>
            </w:r>
          </w:p>
        </w:tc>
        <w:tc>
          <w:tcPr>
            <w:tcW w:w="2101" w:type="pct"/>
            <w:vAlign w:val="center"/>
          </w:tcPr>
          <w:p w14:paraId="542589BC">
            <w:pPr>
              <w:spacing w:line="32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《烟花爆竹安全生产标志》</w:t>
            </w:r>
          </w:p>
        </w:tc>
        <w:tc>
          <w:tcPr>
            <w:tcW w:w="2502" w:type="pct"/>
            <w:vAlign w:val="center"/>
          </w:tcPr>
          <w:p w14:paraId="128EEC26">
            <w:pPr>
              <w:spacing w:line="320" w:lineRule="exact"/>
              <w:rPr>
                <w:rFonts w:hint="eastAsia" w:ascii="宋体" w:hAnsi="宋体" w:eastAsia="宋体" w:cs="宋体"/>
                <w:sz w:val="21"/>
                <w:szCs w:val="21"/>
              </w:rPr>
            </w:pPr>
            <w:r>
              <w:rPr>
                <w:rFonts w:hint="eastAsia" w:ascii="宋体" w:hAnsi="宋体" w:eastAsia="宋体" w:cs="宋体"/>
                <w:sz w:val="21"/>
                <w:szCs w:val="21"/>
              </w:rPr>
              <w:t>AQ4114-2011</w:t>
            </w:r>
          </w:p>
        </w:tc>
      </w:tr>
      <w:tr w14:paraId="024D95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396" w:type="pct"/>
            <w:vAlign w:val="center"/>
          </w:tcPr>
          <w:p w14:paraId="21E10538">
            <w:pPr>
              <w:spacing w:line="320" w:lineRule="exact"/>
              <w:ind w:left="0" w:leftChars="0" w:firstLine="0" w:firstLineChars="0"/>
              <w:jc w:val="center"/>
              <w:rPr>
                <w:rFonts w:hint="eastAsia" w:ascii="宋体" w:hAnsi="宋体" w:eastAsia="宋体" w:cs="宋体"/>
                <w:sz w:val="21"/>
                <w:szCs w:val="21"/>
                <w:lang w:eastAsia="zh-CN"/>
              </w:rPr>
            </w:pPr>
            <w:r>
              <w:rPr>
                <w:rFonts w:hint="eastAsia" w:ascii="宋体" w:hAnsi="宋体" w:eastAsia="宋体" w:cs="宋体"/>
                <w:sz w:val="21"/>
                <w:szCs w:val="21"/>
              </w:rPr>
              <w:t>2</w:t>
            </w:r>
            <w:r>
              <w:rPr>
                <w:rFonts w:hint="eastAsia" w:ascii="宋体" w:hAnsi="宋体" w:cs="宋体"/>
                <w:sz w:val="21"/>
                <w:szCs w:val="21"/>
                <w:lang w:val="en-US" w:eastAsia="zh-CN"/>
              </w:rPr>
              <w:t>6</w:t>
            </w:r>
          </w:p>
        </w:tc>
        <w:tc>
          <w:tcPr>
            <w:tcW w:w="2101" w:type="pct"/>
            <w:vAlign w:val="center"/>
          </w:tcPr>
          <w:p w14:paraId="23533FCC">
            <w:pPr>
              <w:spacing w:line="320" w:lineRule="exact"/>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"file:///D:\\Documents%20and%20Settings\\1\\Application%20Data\\Microsoft\\法律、标准\\标准\\民爆\\建标125-2009%20烟花爆竹批发仓库建设标准.pdf" </w:instrText>
            </w:r>
            <w:r>
              <w:rPr>
                <w:rFonts w:hint="eastAsia" w:ascii="宋体" w:hAnsi="宋体" w:eastAsia="宋体" w:cs="宋体"/>
                <w:sz w:val="21"/>
                <w:szCs w:val="21"/>
              </w:rPr>
              <w:fldChar w:fldCharType="separate"/>
            </w:r>
            <w:r>
              <w:rPr>
                <w:rFonts w:hint="eastAsia" w:ascii="宋体" w:hAnsi="宋体" w:eastAsia="宋体" w:cs="宋体"/>
                <w:sz w:val="21"/>
                <w:szCs w:val="21"/>
              </w:rPr>
              <w:t>烟花爆竹批发仓库建设标准</w:t>
            </w:r>
            <w:r>
              <w:rPr>
                <w:rFonts w:hint="eastAsia" w:ascii="宋体" w:hAnsi="宋体" w:eastAsia="宋体" w:cs="宋体"/>
                <w:sz w:val="21"/>
                <w:szCs w:val="21"/>
              </w:rPr>
              <w:fldChar w:fldCharType="end"/>
            </w:r>
            <w:r>
              <w:rPr>
                <w:rFonts w:hint="eastAsia" w:ascii="宋体" w:hAnsi="宋体" w:eastAsia="宋体" w:cs="宋体"/>
                <w:sz w:val="21"/>
                <w:szCs w:val="21"/>
              </w:rPr>
              <w:t>》</w:t>
            </w:r>
          </w:p>
        </w:tc>
        <w:tc>
          <w:tcPr>
            <w:tcW w:w="2502" w:type="pct"/>
            <w:vAlign w:val="center"/>
          </w:tcPr>
          <w:p w14:paraId="22F42D0C">
            <w:pPr>
              <w:spacing w:line="320" w:lineRule="exact"/>
              <w:rPr>
                <w:rFonts w:hint="eastAsia" w:ascii="宋体" w:hAnsi="宋体" w:eastAsia="宋体" w:cs="宋体"/>
                <w:sz w:val="21"/>
                <w:szCs w:val="21"/>
              </w:rPr>
            </w:pPr>
            <w:r>
              <w:rPr>
                <w:rFonts w:hint="eastAsia" w:ascii="宋体" w:hAnsi="宋体" w:eastAsia="宋体" w:cs="宋体"/>
                <w:sz w:val="21"/>
                <w:szCs w:val="21"/>
              </w:rPr>
              <w:t>建标125-2009</w:t>
            </w:r>
          </w:p>
        </w:tc>
      </w:tr>
      <w:bookmarkEnd w:id="18"/>
    </w:tbl>
    <w:p w14:paraId="69F6D866">
      <w:pPr>
        <w:pStyle w:val="4"/>
        <w:bidi w:val="0"/>
        <w:ind w:left="0" w:leftChars="0" w:firstLine="0" w:firstLineChars="0"/>
      </w:pPr>
      <w:bookmarkStart w:id="19" w:name="_Toc8305"/>
      <w:r>
        <w:rPr>
          <w:rFonts w:hint="eastAsia"/>
        </w:rPr>
        <w:t>1.3.2被评价单位提供的相关资料</w:t>
      </w:r>
      <w:bookmarkEnd w:id="19"/>
    </w:p>
    <w:p w14:paraId="3DD8A5FC">
      <w:pPr>
        <w:spacing w:line="360" w:lineRule="auto"/>
        <w:ind w:firstLine="606" w:firstLineChars="200"/>
        <w:rPr>
          <w:rFonts w:hint="eastAsia" w:ascii="宋体" w:hAnsi="宋体" w:eastAsia="宋体" w:cs="Times New Roman"/>
          <w:sz w:val="28"/>
          <w:szCs w:val="28"/>
          <w:lang w:val="en-GB"/>
        </w:rPr>
      </w:pPr>
      <w:r>
        <w:rPr>
          <w:rFonts w:hint="eastAsia" w:ascii="宋体" w:hAnsi="宋体" w:eastAsia="宋体" w:cs="Times New Roman"/>
          <w:sz w:val="28"/>
          <w:szCs w:val="28"/>
          <w:lang w:val="en-GB"/>
        </w:rPr>
        <w:t>委托方提供的有关资料详见安全评价报告附件，同时委托方对其提供资料的真实性负责。</w:t>
      </w:r>
    </w:p>
    <w:p w14:paraId="06A34729">
      <w:pPr>
        <w:keepNext/>
        <w:keepLines/>
        <w:spacing w:before="156" w:beforeLines="50" w:line="360" w:lineRule="auto"/>
        <w:ind w:left="0" w:leftChars="0" w:firstLine="0" w:firstLineChars="0"/>
        <w:outlineLvl w:val="1"/>
        <w:rPr>
          <w:rFonts w:ascii="宋体" w:hAnsi="宋体"/>
          <w:b/>
          <w:bCs/>
          <w:sz w:val="30"/>
          <w:szCs w:val="30"/>
        </w:rPr>
      </w:pPr>
      <w:bookmarkStart w:id="20" w:name="_Toc164946183"/>
      <w:bookmarkStart w:id="21" w:name="_Toc20537"/>
      <w:bookmarkStart w:id="22" w:name="_Toc12202"/>
      <w:r>
        <w:rPr>
          <w:rFonts w:hint="eastAsia" w:ascii="宋体" w:hAnsi="宋体"/>
          <w:b/>
          <w:bCs/>
          <w:sz w:val="30"/>
          <w:szCs w:val="30"/>
        </w:rPr>
        <w:t xml:space="preserve">1.4 </w:t>
      </w:r>
      <w:r>
        <w:rPr>
          <w:rFonts w:ascii="宋体" w:hAnsi="宋体"/>
          <w:b/>
          <w:bCs/>
          <w:sz w:val="30"/>
          <w:szCs w:val="30"/>
        </w:rPr>
        <w:t>安全评价的范围</w:t>
      </w:r>
      <w:bookmarkEnd w:id="20"/>
      <w:bookmarkEnd w:id="21"/>
      <w:bookmarkEnd w:id="22"/>
    </w:p>
    <w:p w14:paraId="1F4CA933">
      <w:pPr>
        <w:spacing w:line="360" w:lineRule="auto"/>
        <w:ind w:firstLine="606" w:firstLineChars="200"/>
        <w:rPr>
          <w:rFonts w:hint="eastAsia" w:ascii="宋体" w:hAnsi="宋体" w:eastAsia="宋体" w:cs="Times New Roman"/>
          <w:sz w:val="28"/>
          <w:szCs w:val="28"/>
          <w:lang w:val="en-GB"/>
        </w:rPr>
      </w:pPr>
      <w:r>
        <w:rPr>
          <w:rFonts w:hint="eastAsia" w:ascii="宋体" w:hAnsi="宋体" w:eastAsia="宋体" w:cs="Times New Roman"/>
          <w:sz w:val="28"/>
          <w:szCs w:val="28"/>
          <w:lang w:val="en-GB"/>
        </w:rPr>
        <w:t>本次评价范围为租用萍乡市金坪烟花制造有限公司的540、542、545号成品库外部环境状况</w:t>
      </w:r>
      <w:r>
        <w:rPr>
          <w:rFonts w:hint="eastAsia" w:ascii="宋体" w:hAnsi="宋体" w:eastAsia="宋体" w:cs="Times New Roman"/>
          <w:sz w:val="28"/>
          <w:szCs w:val="28"/>
          <w:lang w:val="en-GB" w:eastAsia="zh-CN"/>
        </w:rPr>
        <w:t>、</w:t>
      </w:r>
      <w:r>
        <w:rPr>
          <w:rFonts w:hint="eastAsia" w:ascii="宋体" w:hAnsi="宋体" w:eastAsia="宋体" w:cs="Times New Roman"/>
          <w:sz w:val="28"/>
          <w:szCs w:val="28"/>
          <w:lang w:val="en-GB"/>
        </w:rPr>
        <w:t>内部平面布置</w:t>
      </w:r>
      <w:r>
        <w:rPr>
          <w:rFonts w:hint="eastAsia" w:ascii="宋体" w:hAnsi="宋体" w:eastAsia="宋体" w:cs="Times New Roman"/>
          <w:sz w:val="28"/>
          <w:szCs w:val="28"/>
          <w:lang w:val="en-GB" w:eastAsia="zh-CN"/>
        </w:rPr>
        <w:t>、</w:t>
      </w:r>
      <w:r>
        <w:rPr>
          <w:rFonts w:hint="eastAsia" w:ascii="宋体" w:hAnsi="宋体" w:eastAsia="宋体" w:cs="Times New Roman"/>
          <w:sz w:val="28"/>
          <w:szCs w:val="28"/>
          <w:lang w:val="en-GB"/>
        </w:rPr>
        <w:t>储存条件</w:t>
      </w:r>
      <w:r>
        <w:rPr>
          <w:rFonts w:hint="eastAsia" w:ascii="宋体" w:hAnsi="宋体" w:eastAsia="宋体" w:cs="Times New Roman"/>
          <w:sz w:val="28"/>
          <w:szCs w:val="28"/>
          <w:lang w:val="en-GB" w:eastAsia="zh-CN"/>
        </w:rPr>
        <w:t>、</w:t>
      </w:r>
      <w:r>
        <w:rPr>
          <w:rFonts w:hint="eastAsia" w:ascii="宋体" w:hAnsi="宋体" w:eastAsia="宋体" w:cs="Times New Roman"/>
          <w:sz w:val="28"/>
          <w:szCs w:val="28"/>
          <w:lang w:val="en-GB"/>
        </w:rPr>
        <w:t>仓库建筑结构</w:t>
      </w:r>
      <w:r>
        <w:rPr>
          <w:rFonts w:hint="eastAsia" w:ascii="宋体" w:hAnsi="宋体" w:eastAsia="宋体" w:cs="Times New Roman"/>
          <w:sz w:val="28"/>
          <w:szCs w:val="28"/>
          <w:lang w:val="en-GB" w:eastAsia="zh-CN"/>
        </w:rPr>
        <w:t>、</w:t>
      </w:r>
      <w:r>
        <w:rPr>
          <w:rFonts w:hint="eastAsia" w:ascii="宋体" w:hAnsi="宋体" w:eastAsia="宋体" w:cs="Times New Roman"/>
          <w:sz w:val="28"/>
          <w:szCs w:val="28"/>
          <w:lang w:val="en-GB"/>
        </w:rPr>
        <w:t>库区运输</w:t>
      </w:r>
      <w:r>
        <w:rPr>
          <w:rFonts w:hint="eastAsia" w:ascii="宋体" w:hAnsi="宋体" w:eastAsia="宋体" w:cs="Times New Roman"/>
          <w:sz w:val="28"/>
          <w:szCs w:val="28"/>
          <w:lang w:val="en-GB" w:eastAsia="zh-CN"/>
        </w:rPr>
        <w:t>、</w:t>
      </w:r>
      <w:r>
        <w:rPr>
          <w:rFonts w:hint="eastAsia" w:ascii="宋体" w:hAnsi="宋体" w:eastAsia="宋体" w:cs="Times New Roman"/>
          <w:sz w:val="28"/>
          <w:szCs w:val="28"/>
          <w:lang w:val="en-GB"/>
        </w:rPr>
        <w:t>安全设施及仓库的安全管理。</w:t>
      </w:r>
    </w:p>
    <w:p w14:paraId="61950F83">
      <w:pPr>
        <w:spacing w:line="360" w:lineRule="auto"/>
        <w:ind w:firstLine="606" w:firstLineChars="200"/>
        <w:rPr>
          <w:rFonts w:hint="eastAsia" w:ascii="宋体" w:hAnsi="宋体" w:eastAsia="宋体" w:cs="Times New Roman"/>
          <w:sz w:val="28"/>
          <w:szCs w:val="28"/>
          <w:lang w:val="en-GB"/>
        </w:rPr>
      </w:pPr>
      <w:r>
        <w:rPr>
          <w:rFonts w:hint="eastAsia" w:ascii="宋体" w:hAnsi="宋体" w:eastAsia="宋体" w:cs="Times New Roman"/>
          <w:sz w:val="28"/>
          <w:szCs w:val="28"/>
          <w:lang w:val="en-GB"/>
        </w:rPr>
        <w:t>对于烟花爆竹仓储库区外运输安全、环境保护不属本评价报告评价内容</w:t>
      </w:r>
      <w:r>
        <w:rPr>
          <w:rFonts w:hint="eastAsia" w:ascii="宋体" w:hAnsi="宋体" w:eastAsia="宋体" w:cs="Times New Roman"/>
          <w:sz w:val="28"/>
          <w:szCs w:val="28"/>
          <w:lang w:val="en-GB" w:eastAsia="zh-CN"/>
        </w:rPr>
        <w:t>，</w:t>
      </w:r>
      <w:r>
        <w:rPr>
          <w:rFonts w:hint="eastAsia" w:ascii="宋体" w:hAnsi="宋体" w:eastAsia="宋体" w:cs="Times New Roman"/>
          <w:sz w:val="28"/>
          <w:szCs w:val="28"/>
          <w:lang w:val="en-GB"/>
        </w:rPr>
        <w:t>应遵照国家有关法律、法规和标准执行。防地震</w:t>
      </w:r>
      <w:r>
        <w:rPr>
          <w:rFonts w:hint="eastAsia" w:ascii="宋体" w:hAnsi="宋体" w:eastAsia="宋体" w:cs="Times New Roman"/>
          <w:sz w:val="28"/>
          <w:szCs w:val="28"/>
          <w:lang w:val="en-GB" w:eastAsia="zh-CN"/>
        </w:rPr>
        <w:t>（</w:t>
      </w:r>
      <w:r>
        <w:rPr>
          <w:rFonts w:hint="eastAsia" w:ascii="宋体" w:hAnsi="宋体" w:eastAsia="宋体" w:cs="Times New Roman"/>
          <w:sz w:val="28"/>
          <w:szCs w:val="28"/>
          <w:lang w:val="en-GB"/>
        </w:rPr>
        <w:t>设防等级</w:t>
      </w:r>
      <w:r>
        <w:rPr>
          <w:rFonts w:hint="eastAsia" w:ascii="宋体" w:hAnsi="宋体" w:eastAsia="宋体" w:cs="Times New Roman"/>
          <w:sz w:val="28"/>
          <w:szCs w:val="28"/>
          <w:lang w:val="en-GB" w:eastAsia="zh-CN"/>
        </w:rPr>
        <w:t>）</w:t>
      </w:r>
      <w:r>
        <w:rPr>
          <w:rFonts w:hint="eastAsia" w:ascii="宋体" w:hAnsi="宋体" w:eastAsia="宋体" w:cs="Times New Roman"/>
          <w:sz w:val="28"/>
          <w:szCs w:val="28"/>
          <w:lang w:val="en-GB"/>
        </w:rPr>
        <w:t>、防山洪等除应按照规定设计外，不可抗拒的自然灾害不属本评价的内容。</w:t>
      </w:r>
    </w:p>
    <w:p w14:paraId="2D8DA365">
      <w:pPr>
        <w:spacing w:line="360" w:lineRule="auto"/>
        <w:ind w:firstLine="606" w:firstLineChars="200"/>
        <w:rPr>
          <w:rFonts w:hint="eastAsia" w:ascii="宋体" w:hAnsi="宋体" w:eastAsia="宋体" w:cs="Times New Roman"/>
          <w:sz w:val="28"/>
          <w:szCs w:val="28"/>
          <w:lang w:val="en-GB"/>
        </w:rPr>
      </w:pPr>
      <w:r>
        <w:rPr>
          <w:rFonts w:hint="eastAsia" w:ascii="宋体" w:hAnsi="宋体" w:eastAsia="宋体" w:cs="Times New Roman"/>
          <w:sz w:val="28"/>
          <w:szCs w:val="28"/>
          <w:lang w:val="en-GB"/>
        </w:rPr>
        <w:t>涉及项目职业危害评价应由取得职业卫生技术服务机构进行，本报告仅对有害因素进行简要辨识与分析，不予评价。</w:t>
      </w:r>
    </w:p>
    <w:p w14:paraId="4CB069BC">
      <w:pPr>
        <w:keepNext/>
        <w:keepLines/>
        <w:spacing w:before="156" w:beforeLines="50" w:line="360" w:lineRule="auto"/>
        <w:ind w:left="0" w:leftChars="0" w:firstLine="0" w:firstLineChars="0"/>
        <w:outlineLvl w:val="1"/>
        <w:rPr>
          <w:rFonts w:hint="eastAsia" w:ascii="宋体" w:hAnsi="宋体" w:eastAsia="宋体" w:cs="Times New Roman"/>
          <w:b/>
          <w:bCs/>
          <w:sz w:val="30"/>
          <w:szCs w:val="30"/>
        </w:rPr>
      </w:pPr>
      <w:bookmarkStart w:id="23" w:name="_Toc2920"/>
      <w:bookmarkStart w:id="24" w:name="_Toc6288"/>
      <w:r>
        <w:rPr>
          <w:rFonts w:hint="eastAsia" w:ascii="宋体" w:hAnsi="宋体" w:eastAsia="宋体" w:cs="Times New Roman"/>
          <w:b/>
          <w:bCs/>
          <w:sz w:val="30"/>
          <w:szCs w:val="30"/>
        </w:rPr>
        <w:t>1.</w:t>
      </w:r>
      <w:r>
        <w:rPr>
          <w:rFonts w:hint="eastAsia" w:ascii="宋体" w:hAnsi="宋体" w:eastAsia="宋体" w:cs="Times New Roman"/>
          <w:b/>
          <w:bCs/>
          <w:sz w:val="30"/>
          <w:szCs w:val="30"/>
          <w:lang w:val="en-US" w:eastAsia="zh-CN"/>
        </w:rPr>
        <w:t>5</w:t>
      </w:r>
      <w:r>
        <w:rPr>
          <w:rFonts w:hint="eastAsia" w:ascii="宋体" w:hAnsi="宋体" w:eastAsia="宋体" w:cs="Times New Roman"/>
          <w:b/>
          <w:bCs/>
          <w:sz w:val="30"/>
          <w:szCs w:val="30"/>
        </w:rPr>
        <w:t xml:space="preserve"> 安全评价的主要内容</w:t>
      </w:r>
      <w:bookmarkEnd w:id="23"/>
      <w:bookmarkEnd w:id="24"/>
    </w:p>
    <w:p w14:paraId="1904E728">
      <w:pPr>
        <w:pStyle w:val="13"/>
        <w:spacing w:line="560" w:lineRule="exact"/>
        <w:ind w:firstLine="606" w:firstLineChars="200"/>
        <w:rPr>
          <w:rFonts w:ascii="宋体" w:hAnsi="宋体"/>
          <w:sz w:val="28"/>
          <w:szCs w:val="28"/>
          <w:lang w:val="en-GB"/>
        </w:rPr>
      </w:pPr>
      <w:r>
        <w:rPr>
          <w:rFonts w:hint="eastAsia" w:ascii="宋体" w:hAnsi="宋体"/>
          <w:sz w:val="28"/>
          <w:szCs w:val="28"/>
          <w:lang w:val="en-GB"/>
        </w:rPr>
        <w:t>本次安全评价的主要内容为</w:t>
      </w:r>
      <w:r>
        <w:rPr>
          <w:rFonts w:hint="eastAsia" w:ascii="宋体" w:hAnsi="宋体"/>
          <w:sz w:val="28"/>
          <w:szCs w:val="28"/>
          <w:lang w:val="en-US" w:eastAsia="zh-CN"/>
        </w:rPr>
        <w:t>对</w:t>
      </w:r>
      <w:r>
        <w:rPr>
          <w:rFonts w:hint="eastAsia"/>
        </w:rPr>
        <w:t>租用萍乡市金坪烟花制造有限公司的540、542、545号成品库</w:t>
      </w:r>
      <w:r>
        <w:rPr>
          <w:rFonts w:hint="eastAsia" w:ascii="宋体" w:hAnsi="宋体"/>
          <w:sz w:val="28"/>
          <w:szCs w:val="28"/>
          <w:lang w:val="en-GB"/>
        </w:rPr>
        <w:t>经营（批发）条件：</w:t>
      </w:r>
    </w:p>
    <w:p w14:paraId="4F152110">
      <w:pPr>
        <w:pStyle w:val="13"/>
        <w:spacing w:line="560" w:lineRule="exact"/>
        <w:ind w:firstLine="606" w:firstLineChars="200"/>
        <w:rPr>
          <w:rFonts w:ascii="宋体" w:hAnsi="宋体"/>
          <w:sz w:val="28"/>
          <w:szCs w:val="28"/>
          <w:lang w:val="en-GB"/>
        </w:rPr>
      </w:pPr>
      <w:r>
        <w:rPr>
          <w:rFonts w:hint="eastAsia" w:ascii="宋体" w:hAnsi="宋体"/>
          <w:sz w:val="28"/>
          <w:szCs w:val="28"/>
          <w:lang w:val="en-GB"/>
        </w:rPr>
        <w:t>（1）与</w:t>
      </w:r>
      <w:r>
        <w:rPr>
          <w:rFonts w:ascii="宋体" w:hAnsi="宋体"/>
          <w:sz w:val="28"/>
          <w:szCs w:val="28"/>
          <w:lang w:val="en-GB"/>
        </w:rPr>
        <w:t>《中华人民共和国安全生产法》、《烟花爆竹安全管理条例》</w:t>
      </w:r>
      <w:r>
        <w:rPr>
          <w:rFonts w:hint="eastAsia" w:ascii="宋体" w:hAnsi="宋体"/>
          <w:sz w:val="28"/>
          <w:szCs w:val="28"/>
          <w:lang w:val="en-GB"/>
        </w:rPr>
        <w:t>、</w:t>
      </w:r>
      <w:r>
        <w:rPr>
          <w:rFonts w:hint="eastAsia" w:ascii="宋体" w:hAnsi="宋体"/>
          <w:sz w:val="28"/>
          <w:szCs w:val="28"/>
          <w:lang w:val="en-US"/>
        </w:rPr>
        <w:t>《烟花爆竹经营许可实施办法》</w:t>
      </w:r>
      <w:r>
        <w:rPr>
          <w:rFonts w:ascii="宋体" w:hAnsi="宋体"/>
          <w:sz w:val="28"/>
          <w:szCs w:val="28"/>
          <w:lang w:val="en-GB"/>
        </w:rPr>
        <w:t>等有关法律、法规规定的烟花爆竹</w:t>
      </w:r>
      <w:r>
        <w:rPr>
          <w:rFonts w:hint="eastAsia" w:ascii="宋体" w:hAnsi="宋体"/>
          <w:sz w:val="28"/>
          <w:szCs w:val="28"/>
          <w:lang w:val="en-GB"/>
        </w:rPr>
        <w:t>经营</w:t>
      </w:r>
      <w:r>
        <w:rPr>
          <w:rFonts w:ascii="宋体" w:hAnsi="宋体"/>
          <w:sz w:val="28"/>
          <w:szCs w:val="28"/>
          <w:lang w:val="en-GB"/>
        </w:rPr>
        <w:t>企业安全</w:t>
      </w:r>
      <w:r>
        <w:rPr>
          <w:rFonts w:hint="eastAsia" w:ascii="宋体" w:hAnsi="宋体"/>
          <w:sz w:val="28"/>
          <w:szCs w:val="28"/>
          <w:lang w:val="en-GB"/>
        </w:rPr>
        <w:t>经营</w:t>
      </w:r>
      <w:r>
        <w:rPr>
          <w:rFonts w:ascii="宋体" w:hAnsi="宋体"/>
          <w:sz w:val="28"/>
          <w:szCs w:val="28"/>
          <w:lang w:val="en-GB"/>
        </w:rPr>
        <w:t>条件</w:t>
      </w:r>
      <w:r>
        <w:rPr>
          <w:rFonts w:hint="eastAsia" w:ascii="宋体" w:hAnsi="宋体"/>
          <w:sz w:val="28"/>
          <w:szCs w:val="28"/>
          <w:lang w:val="en-GB"/>
        </w:rPr>
        <w:t>的符合性</w:t>
      </w:r>
      <w:r>
        <w:rPr>
          <w:rFonts w:ascii="宋体" w:hAnsi="宋体"/>
          <w:sz w:val="28"/>
          <w:szCs w:val="28"/>
          <w:lang w:val="en-GB"/>
        </w:rPr>
        <w:t>。</w:t>
      </w:r>
    </w:p>
    <w:p w14:paraId="5B85C2D6">
      <w:pPr>
        <w:pStyle w:val="13"/>
        <w:spacing w:line="560" w:lineRule="exact"/>
        <w:ind w:firstLine="606" w:firstLineChars="200"/>
        <w:rPr>
          <w:rFonts w:ascii="宋体" w:hAnsi="宋体"/>
          <w:sz w:val="28"/>
          <w:szCs w:val="28"/>
          <w:lang w:val="en-GB"/>
        </w:rPr>
      </w:pPr>
      <w:r>
        <w:rPr>
          <w:rFonts w:hint="eastAsia" w:ascii="宋体" w:hAnsi="宋体"/>
          <w:sz w:val="28"/>
          <w:szCs w:val="28"/>
          <w:lang w:val="en-GB"/>
        </w:rPr>
        <w:t>（2）</w:t>
      </w:r>
      <w:r>
        <w:rPr>
          <w:rFonts w:ascii="宋体" w:hAnsi="宋体"/>
          <w:sz w:val="28"/>
          <w:szCs w:val="28"/>
          <w:lang w:val="en-GB"/>
        </w:rPr>
        <w:t>对</w:t>
      </w:r>
      <w:r>
        <w:rPr>
          <w:rFonts w:hint="eastAsia" w:ascii="宋体" w:hAnsi="宋体"/>
          <w:sz w:val="28"/>
          <w:szCs w:val="28"/>
          <w:lang w:val="en-GB"/>
        </w:rPr>
        <w:t>该企业</w:t>
      </w:r>
      <w:r>
        <w:rPr>
          <w:rFonts w:ascii="宋体" w:hAnsi="宋体"/>
          <w:sz w:val="28"/>
          <w:szCs w:val="28"/>
          <w:lang w:val="en-GB"/>
        </w:rPr>
        <w:t>的安全管理综合情况进行审查评价，主要对其组织机构、从业人员、规章制度等方面的资料进行审核</w:t>
      </w:r>
      <w:r>
        <w:rPr>
          <w:rFonts w:hint="eastAsia" w:ascii="宋体" w:hAnsi="宋体"/>
          <w:sz w:val="28"/>
          <w:szCs w:val="28"/>
          <w:lang w:val="en-GB"/>
        </w:rPr>
        <w:t>。</w:t>
      </w:r>
    </w:p>
    <w:p w14:paraId="33BDB786">
      <w:pPr>
        <w:pStyle w:val="13"/>
        <w:spacing w:line="560" w:lineRule="exact"/>
        <w:ind w:firstLine="606" w:firstLineChars="200"/>
        <w:rPr>
          <w:rFonts w:ascii="宋体" w:hAnsi="宋体"/>
          <w:sz w:val="28"/>
          <w:szCs w:val="28"/>
          <w:lang w:val="en-GB"/>
        </w:rPr>
      </w:pPr>
      <w:r>
        <w:rPr>
          <w:rFonts w:hint="eastAsia" w:ascii="宋体" w:hAnsi="宋体"/>
          <w:sz w:val="28"/>
          <w:szCs w:val="28"/>
          <w:lang w:val="en-GB"/>
        </w:rPr>
        <w:t>（3）</w:t>
      </w:r>
      <w:r>
        <w:rPr>
          <w:rFonts w:ascii="宋体" w:hAnsi="宋体"/>
          <w:sz w:val="28"/>
          <w:szCs w:val="28"/>
          <w:lang w:val="en-GB"/>
        </w:rPr>
        <w:t>对</w:t>
      </w:r>
      <w:r>
        <w:rPr>
          <w:rFonts w:hint="eastAsia" w:ascii="宋体" w:hAnsi="宋体"/>
          <w:sz w:val="28"/>
          <w:szCs w:val="28"/>
          <w:lang w:val="en-GB"/>
        </w:rPr>
        <w:t>该企业</w:t>
      </w:r>
      <w:r>
        <w:rPr>
          <w:rFonts w:ascii="宋体" w:hAnsi="宋体"/>
          <w:sz w:val="28"/>
          <w:szCs w:val="28"/>
          <w:lang w:val="en-GB"/>
        </w:rPr>
        <w:t>的</w:t>
      </w:r>
      <w:r>
        <w:rPr>
          <w:rFonts w:hint="eastAsia" w:ascii="宋体" w:hAnsi="宋体"/>
          <w:sz w:val="28"/>
          <w:szCs w:val="28"/>
          <w:lang w:val="en-GB"/>
        </w:rPr>
        <w:t>仓储场所</w:t>
      </w:r>
      <w:r>
        <w:rPr>
          <w:rFonts w:ascii="宋体" w:hAnsi="宋体"/>
          <w:sz w:val="28"/>
          <w:szCs w:val="28"/>
          <w:lang w:val="en-GB"/>
        </w:rPr>
        <w:t>总体布局进行现场检查评价，主要对其库区选址、库房布局、安全设施等进行检查</w:t>
      </w:r>
      <w:r>
        <w:rPr>
          <w:rFonts w:hint="eastAsia" w:ascii="宋体" w:hAnsi="宋体"/>
          <w:sz w:val="28"/>
          <w:szCs w:val="28"/>
          <w:lang w:val="en-GB"/>
        </w:rPr>
        <w:t>。</w:t>
      </w:r>
    </w:p>
    <w:p w14:paraId="41FEEFE6">
      <w:pPr>
        <w:pStyle w:val="13"/>
        <w:spacing w:line="560" w:lineRule="exact"/>
        <w:ind w:firstLine="606" w:firstLineChars="200"/>
        <w:rPr>
          <w:rFonts w:ascii="宋体" w:hAnsi="宋体"/>
          <w:sz w:val="28"/>
          <w:szCs w:val="28"/>
          <w:lang w:val="en-GB"/>
        </w:rPr>
      </w:pPr>
      <w:r>
        <w:rPr>
          <w:rFonts w:hint="eastAsia" w:ascii="宋体" w:hAnsi="宋体"/>
          <w:sz w:val="28"/>
          <w:szCs w:val="28"/>
          <w:lang w:val="en-GB"/>
        </w:rPr>
        <w:t>（4）</w:t>
      </w:r>
      <w:r>
        <w:rPr>
          <w:rFonts w:ascii="宋体" w:hAnsi="宋体"/>
          <w:sz w:val="28"/>
          <w:szCs w:val="28"/>
          <w:lang w:val="en-GB"/>
        </w:rPr>
        <w:t>对</w:t>
      </w:r>
      <w:r>
        <w:rPr>
          <w:rFonts w:hint="eastAsia" w:ascii="宋体" w:hAnsi="宋体"/>
          <w:sz w:val="28"/>
          <w:szCs w:val="28"/>
          <w:lang w:val="en-GB"/>
        </w:rPr>
        <w:t>该企业</w:t>
      </w:r>
      <w:r>
        <w:rPr>
          <w:rFonts w:ascii="宋体" w:hAnsi="宋体"/>
          <w:sz w:val="28"/>
          <w:szCs w:val="28"/>
          <w:lang w:val="en-GB"/>
        </w:rPr>
        <w:t>的</w:t>
      </w:r>
      <w:r>
        <w:rPr>
          <w:rFonts w:hint="eastAsia" w:ascii="宋体" w:hAnsi="宋体"/>
          <w:sz w:val="28"/>
          <w:szCs w:val="28"/>
          <w:lang w:val="en-GB"/>
        </w:rPr>
        <w:t>仓储场所</w:t>
      </w:r>
      <w:r>
        <w:rPr>
          <w:rFonts w:ascii="宋体" w:hAnsi="宋体"/>
          <w:sz w:val="28"/>
          <w:szCs w:val="28"/>
          <w:lang w:val="en-GB"/>
        </w:rPr>
        <w:t>进行现场检查评价，主要对其每一个库房的建筑结构、防护屏障、定员定量、消防、防雷与防静电、电气设施、储存运输等进行检查</w:t>
      </w:r>
      <w:r>
        <w:rPr>
          <w:rFonts w:hint="eastAsia" w:ascii="宋体" w:hAnsi="宋体"/>
          <w:sz w:val="28"/>
          <w:szCs w:val="28"/>
          <w:lang w:val="en-GB"/>
        </w:rPr>
        <w:t>。</w:t>
      </w:r>
    </w:p>
    <w:p w14:paraId="51E21DDA">
      <w:pPr>
        <w:pStyle w:val="13"/>
        <w:spacing w:line="560" w:lineRule="exact"/>
        <w:ind w:firstLine="606" w:firstLineChars="200"/>
        <w:rPr>
          <w:rFonts w:ascii="宋体" w:hAnsi="宋体"/>
          <w:sz w:val="28"/>
          <w:szCs w:val="28"/>
          <w:lang w:val="en-GB"/>
        </w:rPr>
      </w:pPr>
      <w:r>
        <w:rPr>
          <w:rFonts w:hint="eastAsia" w:ascii="宋体" w:hAnsi="宋体"/>
          <w:sz w:val="28"/>
          <w:szCs w:val="28"/>
          <w:lang w:val="en-GB"/>
        </w:rPr>
        <w:t>（5）</w:t>
      </w:r>
      <w:r>
        <w:rPr>
          <w:rFonts w:ascii="宋体" w:hAnsi="宋体"/>
          <w:sz w:val="28"/>
          <w:szCs w:val="28"/>
          <w:lang w:val="en-GB"/>
        </w:rPr>
        <w:t>对</w:t>
      </w:r>
      <w:r>
        <w:rPr>
          <w:rFonts w:hint="eastAsia" w:ascii="宋体" w:hAnsi="宋体"/>
          <w:sz w:val="28"/>
          <w:szCs w:val="28"/>
          <w:lang w:val="en-GB"/>
        </w:rPr>
        <w:t>该企业</w:t>
      </w:r>
      <w:r>
        <w:rPr>
          <w:rFonts w:ascii="宋体" w:hAnsi="宋体"/>
          <w:sz w:val="28"/>
          <w:szCs w:val="28"/>
          <w:lang w:val="en-GB"/>
        </w:rPr>
        <w:t>的其他有关安全生产的重要项目进行检查。</w:t>
      </w:r>
    </w:p>
    <w:p w14:paraId="75FEF16B">
      <w:pPr>
        <w:pStyle w:val="13"/>
        <w:spacing w:line="560" w:lineRule="exact"/>
        <w:ind w:firstLine="606" w:firstLineChars="200"/>
        <w:rPr>
          <w:rFonts w:ascii="宋体" w:hAnsi="宋体"/>
          <w:sz w:val="28"/>
          <w:szCs w:val="28"/>
          <w:lang w:val="en-GB"/>
        </w:rPr>
      </w:pPr>
      <w:r>
        <w:rPr>
          <w:rFonts w:hint="eastAsia" w:ascii="宋体" w:hAnsi="宋体"/>
          <w:sz w:val="28"/>
          <w:szCs w:val="28"/>
          <w:lang w:val="en-GB"/>
        </w:rPr>
        <w:t>（6）该企业烟花爆竹经营、储存中潜在的危险有害因素、安全设计和安全管理措施的完整性、有效性、可靠性。</w:t>
      </w:r>
    </w:p>
    <w:p w14:paraId="047FFDA5">
      <w:pPr>
        <w:pStyle w:val="13"/>
        <w:spacing w:line="560" w:lineRule="exact"/>
        <w:ind w:firstLine="606" w:firstLineChars="200"/>
        <w:rPr>
          <w:rFonts w:ascii="宋体" w:hAnsi="宋体"/>
          <w:sz w:val="28"/>
          <w:szCs w:val="28"/>
          <w:lang w:val="en-GB"/>
        </w:rPr>
      </w:pPr>
      <w:r>
        <w:rPr>
          <w:rFonts w:hint="eastAsia" w:ascii="宋体" w:hAnsi="宋体"/>
          <w:sz w:val="28"/>
          <w:szCs w:val="28"/>
          <w:lang w:val="en-GB"/>
        </w:rPr>
        <w:t>（7）对该企业是否具备与其经营规模、产品和销售区域范围相适应的配送服务能力进行检查。</w:t>
      </w:r>
    </w:p>
    <w:p w14:paraId="4AA22653">
      <w:pPr>
        <w:pStyle w:val="3"/>
        <w:bidi w:val="0"/>
        <w:ind w:left="0" w:leftChars="0" w:firstLine="0" w:firstLineChars="0"/>
      </w:pPr>
      <w:bookmarkStart w:id="25" w:name="_Toc5722"/>
      <w:bookmarkStart w:id="26" w:name="_Toc14547"/>
      <w:r>
        <w:rPr>
          <w:rFonts w:hint="eastAsia"/>
        </w:rPr>
        <w:t>1.</w:t>
      </w:r>
      <w:r>
        <w:rPr>
          <w:rFonts w:hint="eastAsia"/>
          <w:lang w:val="en-US" w:eastAsia="zh-CN"/>
        </w:rPr>
        <w:t>6</w:t>
      </w:r>
      <w:r>
        <w:rPr>
          <w:rFonts w:hint="eastAsia"/>
        </w:rPr>
        <w:t xml:space="preserve"> </w:t>
      </w:r>
      <w:r>
        <w:t>安全评价的</w:t>
      </w:r>
      <w:r>
        <w:rPr>
          <w:rFonts w:hint="eastAsia"/>
        </w:rPr>
        <w:t>程序</w:t>
      </w:r>
      <w:bookmarkEnd w:id="25"/>
      <w:bookmarkEnd w:id="26"/>
    </w:p>
    <w:p w14:paraId="60847B31">
      <w:pPr>
        <w:bidi w:val="0"/>
        <w:rPr>
          <w:rFonts w:hint="eastAsia"/>
          <w:lang w:val="en-GB"/>
        </w:rPr>
      </w:pPr>
      <w:r>
        <w:rPr>
          <w:rFonts w:hint="eastAsia"/>
          <w:lang w:val="en-GB"/>
        </w:rPr>
        <w:t>根据《安全评价通则》（AQ8001-2007）和《烟花爆竹企业安全评价规范》（AQ4113-2008）对烟花爆竹经营企业经营条件进行安全评价，评价程序具体如</w:t>
      </w:r>
      <w:r>
        <w:rPr>
          <w:lang w:val="en-GB"/>
        </w:rPr>
        <w:t>图1</w:t>
      </w:r>
      <w:r>
        <w:rPr>
          <w:rFonts w:hint="eastAsia"/>
          <w:lang w:val="en-GB"/>
        </w:rPr>
        <w:t>.6-1。</w:t>
      </w:r>
    </w:p>
    <w:p w14:paraId="2764D0DB">
      <w:pPr>
        <w:bidi w:val="0"/>
        <w:rPr>
          <w:rFonts w:hint="eastAsia"/>
          <w:lang w:val="en-GB"/>
        </w:rPr>
      </w:pPr>
    </w:p>
    <w:p w14:paraId="4C31E8AE">
      <w:pPr>
        <w:bidi w:val="0"/>
        <w:rPr>
          <w:rFonts w:hint="eastAsia"/>
          <w:lang w:val="en-GB"/>
        </w:rPr>
      </w:pPr>
    </w:p>
    <w:p w14:paraId="37B7A565">
      <w:pPr>
        <w:bidi w:val="0"/>
        <w:jc w:val="center"/>
        <w:rPr>
          <w:rFonts w:hint="eastAsia"/>
          <w:lang w:val="en-GB"/>
        </w:rPr>
      </w:pPr>
      <w:r>
        <w:drawing>
          <wp:anchor distT="0" distB="0" distL="114300" distR="114300" simplePos="0" relativeHeight="251661312" behindDoc="0" locked="0" layoutInCell="1" allowOverlap="1">
            <wp:simplePos x="0" y="0"/>
            <wp:positionH relativeFrom="column">
              <wp:posOffset>2221865</wp:posOffset>
            </wp:positionH>
            <wp:positionV relativeFrom="paragraph">
              <wp:posOffset>272415</wp:posOffset>
            </wp:positionV>
            <wp:extent cx="1917065" cy="4351020"/>
            <wp:effectExtent l="0" t="0" r="3175" b="7620"/>
            <wp:wrapTopAndBottom/>
            <wp:docPr id="3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2"/>
                    <pic:cNvPicPr>
                      <a:picLocks noChangeAspect="1"/>
                    </pic:cNvPicPr>
                  </pic:nvPicPr>
                  <pic:blipFill>
                    <a:blip r:embed="rId16"/>
                    <a:stretch>
                      <a:fillRect/>
                    </a:stretch>
                  </pic:blipFill>
                  <pic:spPr>
                    <a:xfrm>
                      <a:off x="0" y="0"/>
                      <a:ext cx="1917065" cy="4351020"/>
                    </a:xfrm>
                    <a:prstGeom prst="rect">
                      <a:avLst/>
                    </a:prstGeom>
                    <a:noFill/>
                    <a:ln>
                      <a:noFill/>
                    </a:ln>
                  </pic:spPr>
                </pic:pic>
              </a:graphicData>
            </a:graphic>
          </wp:anchor>
        </w:drawing>
      </w:r>
      <w:r>
        <w:rPr>
          <w:rFonts w:hint="eastAsia" w:ascii="宋体" w:hAnsi="宋体" w:cs="宋体"/>
          <w:spacing w:val="-4"/>
          <w:sz w:val="24"/>
          <w:szCs w:val="24"/>
          <w:lang w:val="en-US" w:eastAsia="zh-CN"/>
        </w:rPr>
        <w:t xml:space="preserve">     </w:t>
      </w:r>
      <w:r>
        <w:rPr>
          <w:rFonts w:ascii="宋体" w:hAnsi="宋体" w:eastAsia="宋体" w:cs="宋体"/>
          <w:spacing w:val="-4"/>
          <w:sz w:val="24"/>
          <w:szCs w:val="24"/>
        </w:rPr>
        <w:t>图</w:t>
      </w:r>
      <w:r>
        <w:rPr>
          <w:rFonts w:ascii="宋体" w:hAnsi="宋体" w:eastAsia="宋体" w:cs="宋体"/>
          <w:spacing w:val="-25"/>
          <w:sz w:val="24"/>
          <w:szCs w:val="24"/>
        </w:rPr>
        <w:t xml:space="preserve"> </w:t>
      </w:r>
      <w:r>
        <w:rPr>
          <w:rFonts w:ascii="宋体" w:hAnsi="宋体" w:eastAsia="宋体" w:cs="宋体"/>
          <w:spacing w:val="-4"/>
          <w:sz w:val="24"/>
          <w:szCs w:val="24"/>
        </w:rPr>
        <w:t>1.</w:t>
      </w:r>
      <w:r>
        <w:rPr>
          <w:rFonts w:hint="eastAsia" w:ascii="宋体" w:hAnsi="宋体" w:eastAsia="宋体" w:cs="宋体"/>
          <w:spacing w:val="-4"/>
          <w:sz w:val="24"/>
          <w:szCs w:val="24"/>
          <w:lang w:val="en-US" w:eastAsia="zh-CN"/>
        </w:rPr>
        <w:t>6</w:t>
      </w:r>
      <w:r>
        <w:rPr>
          <w:rFonts w:ascii="宋体" w:hAnsi="宋体" w:eastAsia="宋体" w:cs="宋体"/>
          <w:spacing w:val="-4"/>
          <w:sz w:val="24"/>
          <w:szCs w:val="24"/>
        </w:rPr>
        <w:t>-1  安全评价程序方框图</w:t>
      </w:r>
    </w:p>
    <w:p w14:paraId="2CFE3171">
      <w:pPr>
        <w:pStyle w:val="14"/>
        <w:bidi w:val="0"/>
        <w:rPr>
          <w:rFonts w:hint="eastAsia"/>
          <w:lang w:val="en-GB"/>
        </w:rPr>
      </w:pPr>
    </w:p>
    <w:p w14:paraId="467C9376">
      <w:pPr>
        <w:rPr>
          <w:rFonts w:hint="eastAsia" w:ascii="宋体" w:hAnsi="宋体"/>
          <w:sz w:val="28"/>
          <w:szCs w:val="28"/>
          <w:lang w:val="en-GB"/>
        </w:rPr>
      </w:pPr>
      <w:r>
        <w:rPr>
          <w:rFonts w:hint="eastAsia" w:ascii="宋体" w:hAnsi="宋体"/>
          <w:sz w:val="28"/>
          <w:szCs w:val="28"/>
          <w:lang w:val="en-GB"/>
        </w:rPr>
        <w:br w:type="page"/>
      </w:r>
    </w:p>
    <w:p w14:paraId="5576DEC4">
      <w:pPr>
        <w:pStyle w:val="2"/>
        <w:bidi w:val="0"/>
        <w:jc w:val="center"/>
      </w:pPr>
      <w:bookmarkStart w:id="27" w:name="_Toc15578"/>
      <w:bookmarkStart w:id="28" w:name="_Toc16122"/>
      <w:r>
        <w:rPr>
          <w:rFonts w:hint="eastAsia"/>
          <w:lang w:val="en-US" w:eastAsia="zh-CN"/>
        </w:rPr>
        <w:t>2</w:t>
      </w:r>
      <w:r>
        <w:rPr>
          <w:rFonts w:hint="eastAsia"/>
        </w:rPr>
        <w:t xml:space="preserve"> 企业</w:t>
      </w:r>
      <w:r>
        <w:t>情况</w:t>
      </w:r>
      <w:bookmarkEnd w:id="27"/>
      <w:bookmarkEnd w:id="28"/>
    </w:p>
    <w:p w14:paraId="4C4CE87C">
      <w:pPr>
        <w:pStyle w:val="3"/>
        <w:bidi w:val="0"/>
      </w:pPr>
      <w:bookmarkStart w:id="29" w:name="_Toc15574"/>
      <w:bookmarkStart w:id="30" w:name="_Toc20577"/>
      <w:bookmarkStart w:id="31" w:name="_Toc209925189"/>
      <w:r>
        <w:rPr>
          <w:rFonts w:hint="eastAsia"/>
        </w:rPr>
        <w:t>2.1 企业概况</w:t>
      </w:r>
      <w:bookmarkEnd w:id="29"/>
      <w:bookmarkEnd w:id="30"/>
    </w:p>
    <w:p w14:paraId="415541BB">
      <w:pPr>
        <w:bidi w:val="0"/>
      </w:pPr>
      <w:r>
        <w:rPr>
          <w:rFonts w:hint="eastAsia"/>
        </w:rPr>
        <w:t>南昌布莱特进出口有限责任公司(以下简称该公司)成立于20</w:t>
      </w:r>
      <w:r>
        <w:rPr>
          <w:rFonts w:hint="eastAsia"/>
          <w:lang w:val="en-US" w:eastAsia="zh-CN"/>
        </w:rPr>
        <w:t>13</w:t>
      </w:r>
      <w:r>
        <w:rPr>
          <w:rFonts w:hint="eastAsia"/>
        </w:rPr>
        <w:t>年0</w:t>
      </w:r>
      <w:r>
        <w:rPr>
          <w:rFonts w:hint="eastAsia"/>
          <w:lang w:val="en-US" w:eastAsia="zh-CN"/>
        </w:rPr>
        <w:t>4</w:t>
      </w:r>
      <w:r>
        <w:rPr>
          <w:rFonts w:hint="eastAsia"/>
        </w:rPr>
        <w:t>月</w:t>
      </w:r>
      <w:r>
        <w:rPr>
          <w:rFonts w:hint="eastAsia"/>
          <w:lang w:eastAsia="zh-CN"/>
        </w:rPr>
        <w:t>，</w:t>
      </w:r>
      <w:r>
        <w:rPr>
          <w:rFonts w:hint="eastAsia"/>
        </w:rPr>
        <w:t>20</w:t>
      </w:r>
      <w:r>
        <w:rPr>
          <w:rFonts w:hint="eastAsia"/>
          <w:lang w:val="en-US" w:eastAsia="zh-CN"/>
        </w:rPr>
        <w:t>25</w:t>
      </w:r>
      <w:r>
        <w:rPr>
          <w:rFonts w:hint="eastAsia"/>
        </w:rPr>
        <w:t>年0</w:t>
      </w:r>
      <w:r>
        <w:rPr>
          <w:rFonts w:hint="eastAsia"/>
          <w:lang w:val="en-US" w:eastAsia="zh-CN"/>
        </w:rPr>
        <w:t>3</w:t>
      </w:r>
      <w:r>
        <w:rPr>
          <w:rFonts w:hint="eastAsia"/>
        </w:rPr>
        <w:t>月1</w:t>
      </w:r>
      <w:r>
        <w:rPr>
          <w:rFonts w:hint="eastAsia"/>
          <w:lang w:val="en-US" w:eastAsia="zh-CN"/>
        </w:rPr>
        <w:t>0</w:t>
      </w:r>
      <w:r>
        <w:rPr>
          <w:rFonts w:hint="eastAsia"/>
        </w:rPr>
        <w:t>日取得南昌市红谷滩区</w:t>
      </w:r>
      <w:r>
        <w:rPr>
          <w:rFonts w:hint="eastAsia"/>
          <w:lang w:val="en-US" w:eastAsia="zh-CN"/>
        </w:rPr>
        <w:t>市场监督管理</w:t>
      </w:r>
      <w:r>
        <w:rPr>
          <w:rFonts w:hint="eastAsia"/>
        </w:rPr>
        <w:t>局换发的营业执照，住所：江西省南昌市红谷滩区会展路唐宁街A座B座写字楼A座1804室，统一社会信用代码：91360125065381860Q，经济类型：有限责任公司</w:t>
      </w:r>
      <w:r>
        <w:rPr>
          <w:rFonts w:hint="eastAsia"/>
          <w:lang w:val="en-US" w:eastAsia="zh-CN"/>
        </w:rPr>
        <w:t>（</w:t>
      </w:r>
      <w:r>
        <w:rPr>
          <w:rFonts w:hint="eastAsia"/>
        </w:rPr>
        <w:t>自然人</w:t>
      </w:r>
      <w:r>
        <w:rPr>
          <w:rFonts w:hint="eastAsia"/>
          <w:lang w:val="en-US" w:eastAsia="zh-CN"/>
        </w:rPr>
        <w:t>投</w:t>
      </w:r>
      <w:r>
        <w:rPr>
          <w:rFonts w:hint="eastAsia"/>
        </w:rPr>
        <w:t>资或控股</w:t>
      </w:r>
      <w:r>
        <w:rPr>
          <w:rFonts w:hint="eastAsia"/>
          <w:lang w:eastAsia="zh-CN"/>
        </w:rPr>
        <w:t>）</w:t>
      </w:r>
      <w:r>
        <w:rPr>
          <w:rFonts w:hint="eastAsia"/>
        </w:rPr>
        <w:t>，注册资本为300万元</w:t>
      </w:r>
      <w:r>
        <w:rPr>
          <w:rFonts w:hint="eastAsia"/>
          <w:lang w:eastAsia="zh-CN"/>
        </w:rPr>
        <w:t>，</w:t>
      </w:r>
      <w:r>
        <w:rPr>
          <w:rFonts w:hint="eastAsia"/>
        </w:rPr>
        <w:t>法定代表人：卢琛芸。</w:t>
      </w:r>
    </w:p>
    <w:p w14:paraId="5EFD8803">
      <w:pPr>
        <w:bidi w:val="0"/>
        <w:rPr>
          <w:rFonts w:hint="eastAsia"/>
        </w:rPr>
      </w:pPr>
      <w:r>
        <w:rPr>
          <w:rFonts w:hint="eastAsia"/>
          <w:spacing w:val="-6"/>
          <w:sz w:val="28"/>
        </w:rPr>
        <w:t>该公司租用萍乡市金坪烟花制造有限公司的540、542、545号成品库</w:t>
      </w:r>
      <w:r>
        <w:rPr>
          <w:rFonts w:hint="eastAsia"/>
          <w:spacing w:val="-6"/>
          <w:sz w:val="28"/>
          <w:lang w:eastAsia="zh-CN"/>
        </w:rPr>
        <w:t>，</w:t>
      </w:r>
      <w:r>
        <w:rPr>
          <w:rFonts w:hint="eastAsia"/>
          <w:spacing w:val="-6"/>
          <w:sz w:val="28"/>
        </w:rPr>
        <w:t>仓库地址位于萍乡市上栗县桐木镇马岭</w:t>
      </w:r>
      <w:r>
        <w:rPr>
          <w:rFonts w:hint="eastAsia"/>
          <w:spacing w:val="-6"/>
          <w:sz w:val="28"/>
          <w:lang w:eastAsia="zh-CN"/>
        </w:rPr>
        <w:t>。</w:t>
      </w:r>
      <w:r>
        <w:rPr>
          <w:rFonts w:hint="eastAsia"/>
          <w:spacing w:val="-6"/>
          <w:sz w:val="28"/>
        </w:rPr>
        <w:t>租用的540号成品库危险等级为1.3级,面积为420m²</w:t>
      </w:r>
      <w:r>
        <w:rPr>
          <w:rFonts w:hint="eastAsia"/>
          <w:spacing w:val="-6"/>
          <w:sz w:val="28"/>
          <w:lang w:eastAsia="zh-CN"/>
        </w:rPr>
        <w:t>，</w:t>
      </w:r>
      <w:r>
        <w:rPr>
          <w:rFonts w:hint="eastAsia"/>
          <w:spacing w:val="-6"/>
          <w:sz w:val="28"/>
        </w:rPr>
        <w:t>设置为1间</w:t>
      </w:r>
      <w:r>
        <w:rPr>
          <w:rFonts w:hint="eastAsia"/>
          <w:spacing w:val="-6"/>
          <w:sz w:val="28"/>
          <w:lang w:eastAsia="zh-CN"/>
        </w:rPr>
        <w:t>，</w:t>
      </w:r>
      <w:r>
        <w:rPr>
          <w:rFonts w:hint="eastAsia"/>
          <w:spacing w:val="-6"/>
          <w:sz w:val="28"/>
        </w:rPr>
        <w:t>用于储存C级爆竹类产品</w:t>
      </w:r>
      <w:r>
        <w:rPr>
          <w:rFonts w:hint="eastAsia"/>
          <w:spacing w:val="-6"/>
          <w:sz w:val="28"/>
          <w:lang w:eastAsia="zh-CN"/>
        </w:rPr>
        <w:t>，</w:t>
      </w:r>
      <w:r>
        <w:rPr>
          <w:rFonts w:hint="eastAsia"/>
          <w:spacing w:val="-6"/>
          <w:sz w:val="28"/>
        </w:rPr>
        <w:t>总限药量为9000kg</w:t>
      </w:r>
      <w:r>
        <w:rPr>
          <w:rFonts w:hint="eastAsia"/>
          <w:spacing w:val="-6"/>
          <w:sz w:val="28"/>
          <w:lang w:eastAsia="zh-CN"/>
        </w:rPr>
        <w:t>，</w:t>
      </w:r>
      <w:r>
        <w:rPr>
          <w:rFonts w:hint="eastAsia"/>
          <w:spacing w:val="-6"/>
          <w:sz w:val="28"/>
        </w:rPr>
        <w:t>租用的542号成品库危险等级为1.3级</w:t>
      </w:r>
      <w:r>
        <w:rPr>
          <w:rFonts w:hint="eastAsia"/>
          <w:spacing w:val="-6"/>
          <w:sz w:val="28"/>
          <w:lang w:eastAsia="zh-CN"/>
        </w:rPr>
        <w:t>，</w:t>
      </w:r>
      <w:r>
        <w:rPr>
          <w:rFonts w:hint="eastAsia"/>
          <w:spacing w:val="-6"/>
          <w:sz w:val="28"/>
        </w:rPr>
        <w:t>面积为294m²</w:t>
      </w:r>
      <w:r>
        <w:rPr>
          <w:rFonts w:hint="eastAsia"/>
          <w:spacing w:val="-6"/>
          <w:sz w:val="28"/>
          <w:lang w:eastAsia="zh-CN"/>
        </w:rPr>
        <w:t>，</w:t>
      </w:r>
      <w:r>
        <w:rPr>
          <w:rFonts w:hint="eastAsia"/>
          <w:spacing w:val="-6"/>
          <w:sz w:val="28"/>
        </w:rPr>
        <w:t>设置为1间</w:t>
      </w:r>
      <w:r>
        <w:rPr>
          <w:rFonts w:hint="eastAsia"/>
          <w:spacing w:val="-6"/>
          <w:sz w:val="28"/>
          <w:lang w:eastAsia="zh-CN"/>
        </w:rPr>
        <w:t>，</w:t>
      </w:r>
      <w:r>
        <w:rPr>
          <w:rFonts w:hint="eastAsia"/>
          <w:spacing w:val="-6"/>
          <w:sz w:val="28"/>
        </w:rPr>
        <w:t>用于储存C、D级烟花类产品</w:t>
      </w:r>
      <w:r>
        <w:rPr>
          <w:rFonts w:hint="eastAsia"/>
          <w:spacing w:val="-6"/>
          <w:sz w:val="28"/>
          <w:lang w:eastAsia="zh-CN"/>
        </w:rPr>
        <w:t>，</w:t>
      </w:r>
      <w:r>
        <w:rPr>
          <w:rFonts w:hint="eastAsia"/>
          <w:spacing w:val="-6"/>
          <w:sz w:val="28"/>
        </w:rPr>
        <w:t>总限药量为5000kg</w:t>
      </w:r>
      <w:r>
        <w:rPr>
          <w:rFonts w:hint="eastAsia"/>
          <w:spacing w:val="-6"/>
          <w:sz w:val="28"/>
          <w:lang w:eastAsia="zh-CN"/>
        </w:rPr>
        <w:t>，</w:t>
      </w:r>
      <w:r>
        <w:rPr>
          <w:rFonts w:hint="eastAsia"/>
          <w:spacing w:val="-6"/>
          <w:sz w:val="28"/>
        </w:rPr>
        <w:t>租用的545号成品库危险等级为</w:t>
      </w:r>
      <w:r>
        <w:rPr>
          <w:rFonts w:hint="eastAsia"/>
          <w:spacing w:val="-6"/>
          <w:sz w:val="28"/>
          <w:highlight w:val="none"/>
        </w:rPr>
        <w:t>1.1</w:t>
      </w:r>
      <w:r>
        <w:rPr>
          <w:rFonts w:hint="eastAsia"/>
          <w:spacing w:val="-6"/>
          <w:sz w:val="28"/>
          <w:highlight w:val="none"/>
          <w:vertAlign w:val="superscript"/>
          <w:lang w:val="en-US" w:eastAsia="zh-CN"/>
        </w:rPr>
        <w:t>-2</w:t>
      </w:r>
      <w:r>
        <w:rPr>
          <w:rFonts w:hint="eastAsia"/>
          <w:spacing w:val="-6"/>
          <w:sz w:val="28"/>
        </w:rPr>
        <w:t>级,面积为216m²</w:t>
      </w:r>
      <w:r>
        <w:rPr>
          <w:rFonts w:hint="eastAsia"/>
          <w:spacing w:val="-6"/>
          <w:sz w:val="28"/>
          <w:lang w:eastAsia="zh-CN"/>
        </w:rPr>
        <w:t>，</w:t>
      </w:r>
      <w:r>
        <w:rPr>
          <w:rFonts w:hint="eastAsia"/>
          <w:spacing w:val="-6"/>
          <w:sz w:val="28"/>
        </w:rPr>
        <w:t>设置为1间</w:t>
      </w:r>
      <w:r>
        <w:rPr>
          <w:rFonts w:hint="eastAsia"/>
          <w:spacing w:val="-6"/>
          <w:sz w:val="28"/>
          <w:lang w:eastAsia="zh-CN"/>
        </w:rPr>
        <w:t>，</w:t>
      </w:r>
      <w:r>
        <w:rPr>
          <w:rFonts w:hint="eastAsia"/>
          <w:spacing w:val="-6"/>
          <w:sz w:val="28"/>
        </w:rPr>
        <w:t>用于储存A、B级烟花类产品</w:t>
      </w:r>
      <w:r>
        <w:rPr>
          <w:rFonts w:hint="eastAsia"/>
          <w:spacing w:val="-6"/>
          <w:sz w:val="28"/>
          <w:lang w:eastAsia="zh-CN"/>
        </w:rPr>
        <w:t>，</w:t>
      </w:r>
      <w:r>
        <w:rPr>
          <w:rFonts w:hint="eastAsia"/>
          <w:spacing w:val="-6"/>
          <w:sz w:val="28"/>
        </w:rPr>
        <w:t>总限药量为2000kg。</w:t>
      </w:r>
    </w:p>
    <w:p w14:paraId="6C5F440B">
      <w:pPr>
        <w:bidi w:val="0"/>
        <w:rPr>
          <w:rFonts w:hint="eastAsia"/>
          <w:lang w:val="en-US" w:eastAsia="zh-CN"/>
        </w:rPr>
      </w:pPr>
      <w:r>
        <w:rPr>
          <w:rFonts w:hint="eastAsia"/>
        </w:rPr>
        <w:t>该公司于202</w:t>
      </w:r>
      <w:r>
        <w:rPr>
          <w:rFonts w:hint="eastAsia"/>
          <w:lang w:val="en-US" w:eastAsia="zh-CN"/>
        </w:rPr>
        <w:t>3</w:t>
      </w:r>
      <w:r>
        <w:rPr>
          <w:rFonts w:hint="eastAsia"/>
        </w:rPr>
        <w:t>年</w:t>
      </w:r>
      <w:r>
        <w:rPr>
          <w:rFonts w:hint="eastAsia"/>
          <w:lang w:val="en-US" w:eastAsia="zh-CN"/>
        </w:rPr>
        <w:t>01</w:t>
      </w:r>
      <w:r>
        <w:rPr>
          <w:rFonts w:hint="eastAsia"/>
        </w:rPr>
        <w:t>月</w:t>
      </w:r>
      <w:r>
        <w:rPr>
          <w:rFonts w:hint="eastAsia"/>
          <w:lang w:val="en-US" w:eastAsia="zh-CN"/>
        </w:rPr>
        <w:t>17</w:t>
      </w:r>
      <w:r>
        <w:rPr>
          <w:rFonts w:hint="eastAsia"/>
        </w:rPr>
        <w:t>日取得</w:t>
      </w:r>
      <w:r>
        <w:rPr>
          <w:rFonts w:hint="eastAsia"/>
          <w:lang w:val="en-US" w:eastAsia="zh-CN"/>
        </w:rPr>
        <w:t>南昌市</w:t>
      </w:r>
      <w:r>
        <w:rPr>
          <w:rFonts w:hint="eastAsia"/>
        </w:rPr>
        <w:t>应急管理局</w:t>
      </w:r>
      <w:r>
        <w:rPr>
          <w:rFonts w:hint="eastAsia"/>
          <w:lang w:val="en-US" w:eastAsia="zh-CN"/>
        </w:rPr>
        <w:t>延期换</w:t>
      </w:r>
      <w:r>
        <w:rPr>
          <w:rFonts w:hint="eastAsia"/>
        </w:rPr>
        <w:t>发的烟花爆竹经营（批发）许可证</w:t>
      </w:r>
      <w:r>
        <w:rPr>
          <w:rFonts w:hint="eastAsia"/>
          <w:lang w:eastAsia="zh-CN"/>
        </w:rPr>
        <w:t>，</w:t>
      </w:r>
      <w:r>
        <w:rPr>
          <w:rFonts w:hint="eastAsia"/>
        </w:rPr>
        <w:t>编号：</w:t>
      </w:r>
      <w:r>
        <w:rPr>
          <w:rFonts w:hint="eastAsia"/>
          <w:lang w:val="zh-CN"/>
        </w:rPr>
        <w:t>（赣）</w:t>
      </w:r>
      <w:r>
        <w:rPr>
          <w:rFonts w:hint="eastAsia"/>
          <w:lang w:val="en-US" w:eastAsia="zh-CN"/>
        </w:rPr>
        <w:t>YHPF</w:t>
      </w:r>
      <w:r>
        <w:rPr>
          <w:rFonts w:hint="eastAsia"/>
          <w:lang w:val="zh-CN"/>
        </w:rPr>
        <w:t>[20</w:t>
      </w:r>
      <w:r>
        <w:rPr>
          <w:rFonts w:hint="eastAsia"/>
          <w:lang w:val="en-US" w:eastAsia="zh-CN"/>
        </w:rPr>
        <w:t>23</w:t>
      </w:r>
      <w:r>
        <w:rPr>
          <w:rFonts w:hint="eastAsia"/>
          <w:lang w:val="zh-CN"/>
        </w:rPr>
        <w:t>]</w:t>
      </w:r>
      <w:r>
        <w:rPr>
          <w:rFonts w:hint="eastAsia"/>
          <w:lang w:val="en-US" w:eastAsia="zh-CN"/>
        </w:rPr>
        <w:t>00015号</w:t>
      </w:r>
      <w:r>
        <w:rPr>
          <w:rFonts w:hint="eastAsia"/>
        </w:rPr>
        <w:t>，许可经营范围：烟花类</w:t>
      </w:r>
      <w:r>
        <w:rPr>
          <w:rFonts w:hint="eastAsia"/>
          <w:lang w:eastAsia="zh-CN"/>
        </w:rPr>
        <w:t>（</w:t>
      </w:r>
      <w:r>
        <w:rPr>
          <w:rFonts w:hint="eastAsia"/>
        </w:rPr>
        <w:t>A级、B级、C级、D级</w:t>
      </w:r>
      <w:r>
        <w:rPr>
          <w:rFonts w:hint="eastAsia"/>
          <w:lang w:eastAsia="zh-CN"/>
        </w:rPr>
        <w:t>），</w:t>
      </w:r>
      <w:r>
        <w:rPr>
          <w:rFonts w:hint="eastAsia"/>
        </w:rPr>
        <w:t>爆竹类(B级、C</w:t>
      </w:r>
      <w:r>
        <w:rPr>
          <w:rFonts w:hint="eastAsia"/>
          <w:lang w:eastAsia="zh-CN"/>
        </w:rPr>
        <w:t>级)</w:t>
      </w:r>
      <w:r>
        <w:rPr>
          <w:rFonts w:hint="eastAsia"/>
        </w:rPr>
        <w:t>，有效期至202</w:t>
      </w:r>
      <w:r>
        <w:rPr>
          <w:rFonts w:hint="eastAsia"/>
          <w:lang w:val="en-US" w:eastAsia="zh-CN"/>
        </w:rPr>
        <w:t>6</w:t>
      </w:r>
      <w:r>
        <w:rPr>
          <w:rFonts w:hint="eastAsia"/>
        </w:rPr>
        <w:t>年</w:t>
      </w:r>
      <w:r>
        <w:rPr>
          <w:rFonts w:hint="eastAsia"/>
          <w:lang w:val="en-US" w:eastAsia="zh-CN"/>
        </w:rPr>
        <w:t>0</w:t>
      </w:r>
      <w:r>
        <w:rPr>
          <w:rFonts w:hint="eastAsia"/>
        </w:rPr>
        <w:t>1月</w:t>
      </w:r>
      <w:r>
        <w:rPr>
          <w:rFonts w:hint="eastAsia"/>
          <w:lang w:val="en-US" w:eastAsia="zh-CN"/>
        </w:rPr>
        <w:t>22</w:t>
      </w:r>
      <w:r>
        <w:rPr>
          <w:rFonts w:hint="eastAsia"/>
        </w:rPr>
        <w:t>日，仓储设施地址：</w:t>
      </w:r>
      <w:r>
        <w:rPr>
          <w:rFonts w:hint="eastAsia"/>
          <w:lang w:eastAsia="zh-CN"/>
        </w:rPr>
        <w:t>萍乡市金坪烟花制造有限公司</w:t>
      </w:r>
      <w:r>
        <w:rPr>
          <w:rFonts w:hint="eastAsia"/>
          <w:lang w:val="en-US" w:eastAsia="zh-CN"/>
        </w:rPr>
        <w:t>。</w:t>
      </w:r>
      <w:r>
        <w:rPr>
          <w:rFonts w:hint="eastAsia" w:ascii="Times New Roman" w:hAnsi="Times New Roman" w:eastAsia="宋体" w:cs="Times New Roman"/>
          <w:lang w:val="en-US" w:eastAsia="zh-CN"/>
        </w:rPr>
        <w:t>主要负责人为梁志辉，该公司提交</w:t>
      </w:r>
      <w:r>
        <w:rPr>
          <w:rFonts w:hint="eastAsia" w:ascii="Times New Roman" w:hAnsi="Times New Roman" w:eastAsia="宋体" w:cs="Times New Roman"/>
          <w:lang w:val="zh-CN" w:eastAsia="zh-CN"/>
        </w:rPr>
        <w:t>延期</w:t>
      </w:r>
      <w:r>
        <w:rPr>
          <w:rFonts w:hint="eastAsia" w:ascii="Times New Roman" w:hAnsi="Times New Roman" w:eastAsia="宋体" w:cs="Times New Roman"/>
          <w:lang w:val="en-US" w:eastAsia="zh-CN"/>
        </w:rPr>
        <w:t>换证材料时，同时提交变更主要负责人申请，将主要负责人</w:t>
      </w:r>
      <w:r>
        <w:rPr>
          <w:rFonts w:hint="eastAsia" w:ascii="宋体" w:hAnsi="宋体" w:cs="Times New Roman"/>
          <w:color w:val="000000" w:themeColor="text1"/>
          <w:spacing w:val="-2"/>
          <w:sz w:val="28"/>
          <w:szCs w:val="28"/>
          <w:lang w:val="en-US" w:eastAsia="zh-CN"/>
          <w14:textFill>
            <w14:solidFill>
              <w14:schemeClr w14:val="tx1"/>
            </w14:solidFill>
          </w14:textFill>
        </w:rPr>
        <w:t>变更</w:t>
      </w:r>
      <w:r>
        <w:rPr>
          <w:rFonts w:hint="eastAsia" w:ascii="宋体" w:hAnsi="宋体" w:eastAsia="宋体" w:cs="Times New Roman"/>
          <w:color w:val="000000" w:themeColor="text1"/>
          <w:spacing w:val="-2"/>
          <w:sz w:val="28"/>
          <w:szCs w:val="28"/>
          <w:lang w:val="en-US" w:eastAsia="zh-CN"/>
          <w14:textFill>
            <w14:solidFill>
              <w14:schemeClr w14:val="tx1"/>
            </w14:solidFill>
          </w14:textFill>
        </w:rPr>
        <w:t>为</w:t>
      </w:r>
      <w:r>
        <w:rPr>
          <w:rFonts w:hint="eastAsia" w:ascii="宋体" w:hAnsi="宋体"/>
          <w:color w:val="000000" w:themeColor="text1"/>
          <w:spacing w:val="-2"/>
          <w:sz w:val="28"/>
          <w:szCs w:val="28"/>
          <w:lang w:val="en-US" w:eastAsia="zh-CN"/>
          <w14:textFill>
            <w14:solidFill>
              <w14:schemeClr w14:val="tx1"/>
            </w14:solidFill>
          </w14:textFill>
        </w:rPr>
        <w:t>卢琛芸</w:t>
      </w:r>
      <w:r>
        <w:rPr>
          <w:rFonts w:hint="eastAsia" w:ascii="Times New Roman" w:hAnsi="Times New Roman" w:eastAsia="宋体" w:cs="Times New Roman"/>
          <w:color w:val="0000FF"/>
          <w:sz w:val="28"/>
          <w:szCs w:val="28"/>
          <w:lang w:val="en-US" w:eastAsia="zh-CN"/>
        </w:rPr>
        <w:t>。</w:t>
      </w:r>
    </w:p>
    <w:p w14:paraId="4FB5B6B2">
      <w:pPr>
        <w:bidi w:val="0"/>
        <w:rPr>
          <w:rFonts w:hint="eastAsia"/>
          <w:lang w:val="en-US" w:eastAsia="zh-CN"/>
        </w:rPr>
      </w:pPr>
      <w:r>
        <w:rPr>
          <w:rFonts w:hint="eastAsia"/>
          <w:lang w:val="en-US" w:eastAsia="zh-CN"/>
        </w:rPr>
        <w:t>此次拟申请许可经营范围：喷花类（A、B、C、D）级、旋转类（A、B、C、D）级、升空类（A、B、C）级、吐珠类（A、B、C）级、玩具类（C、D）级、礼花类（A、B）级、架子烟花类（B、C）、组合烟花类（A、B、C、D）和爆竹类（C）级。</w:t>
      </w:r>
    </w:p>
    <w:p w14:paraId="09EC2C22">
      <w:pPr>
        <w:bidi w:val="0"/>
        <w:rPr>
          <w:rFonts w:hint="eastAsia" w:ascii="宋体" w:hAnsi="宋体"/>
          <w:sz w:val="28"/>
          <w:szCs w:val="28"/>
          <w:lang w:val="en-GB"/>
        </w:rPr>
      </w:pPr>
      <w:r>
        <w:rPr>
          <w:rFonts w:hint="eastAsia" w:ascii="宋体" w:hAnsi="宋体"/>
          <w:sz w:val="28"/>
          <w:szCs w:val="28"/>
        </w:rPr>
        <w:t>该企业</w:t>
      </w:r>
      <w:r>
        <w:rPr>
          <w:rFonts w:hint="eastAsia" w:ascii="宋体" w:hAnsi="宋体"/>
          <w:sz w:val="28"/>
          <w:szCs w:val="28"/>
          <w:lang w:val="en-GB"/>
        </w:rPr>
        <w:t>的货物运输配送委托</w:t>
      </w:r>
      <w:r>
        <w:rPr>
          <w:rFonts w:hint="eastAsia"/>
        </w:rPr>
        <w:t>江西波</w:t>
      </w:r>
      <w:r>
        <w:rPr>
          <w:rFonts w:hint="eastAsia" w:ascii="宋体" w:hAnsi="宋体" w:eastAsia="宋体" w:cs="Times New Roman"/>
          <w:sz w:val="28"/>
          <w:szCs w:val="28"/>
          <w:lang w:val="en-GB"/>
        </w:rPr>
        <w:t>波物流有限公司运输</w:t>
      </w:r>
      <w:r>
        <w:rPr>
          <w:rFonts w:hint="eastAsia" w:ascii="宋体" w:hAnsi="宋体"/>
          <w:sz w:val="28"/>
          <w:szCs w:val="28"/>
          <w:lang w:val="en-GB"/>
        </w:rPr>
        <w:t>，提供烟花爆竹派驻服务的车辆</w:t>
      </w:r>
      <w:r>
        <w:rPr>
          <w:rFonts w:hint="eastAsia" w:ascii="宋体" w:hAnsi="宋体"/>
          <w:sz w:val="28"/>
          <w:szCs w:val="28"/>
          <w:lang w:val="en-US" w:eastAsia="zh-CN"/>
        </w:rPr>
        <w:t>1</w:t>
      </w:r>
      <w:r>
        <w:rPr>
          <w:rFonts w:hint="eastAsia" w:ascii="宋体" w:hAnsi="宋体"/>
          <w:sz w:val="28"/>
          <w:szCs w:val="28"/>
          <w:lang w:val="en-GB"/>
        </w:rPr>
        <w:t>辆</w:t>
      </w:r>
      <w:r>
        <w:rPr>
          <w:rFonts w:hint="eastAsia" w:ascii="宋体" w:hAnsi="宋体"/>
          <w:sz w:val="28"/>
          <w:szCs w:val="28"/>
          <w:lang w:val="en-GB" w:eastAsia="zh-CN"/>
        </w:rPr>
        <w:t>（</w:t>
      </w:r>
      <w:r>
        <w:rPr>
          <w:rFonts w:hint="eastAsia" w:ascii="宋体" w:hAnsi="宋体"/>
          <w:sz w:val="28"/>
          <w:szCs w:val="28"/>
          <w:lang w:val="en-GB"/>
        </w:rPr>
        <w:t>车辆车牌号</w:t>
      </w:r>
      <w:bookmarkStart w:id="32" w:name="OLE_LINK14"/>
      <w:r>
        <w:rPr>
          <w:rFonts w:hint="eastAsia" w:ascii="宋体" w:hAnsi="宋体"/>
          <w:sz w:val="28"/>
          <w:szCs w:val="28"/>
          <w:lang w:val="en-GB"/>
        </w:rPr>
        <w:t>：</w:t>
      </w:r>
      <w:r>
        <w:rPr>
          <w:rFonts w:hint="eastAsia" w:ascii="宋体" w:hAnsi="宋体"/>
          <w:sz w:val="28"/>
          <w:szCs w:val="28"/>
          <w:lang w:val="en-US" w:eastAsia="zh-CN"/>
        </w:rPr>
        <w:t>赣J69114</w:t>
      </w:r>
      <w:bookmarkEnd w:id="32"/>
      <w:r>
        <w:rPr>
          <w:rFonts w:hint="eastAsia" w:ascii="宋体" w:hAnsi="宋体"/>
          <w:sz w:val="28"/>
          <w:szCs w:val="28"/>
          <w:lang w:val="en-GB" w:eastAsia="zh-CN"/>
        </w:rPr>
        <w:t>）</w:t>
      </w:r>
      <w:r>
        <w:rPr>
          <w:rFonts w:hint="eastAsia" w:ascii="宋体" w:hAnsi="宋体"/>
          <w:sz w:val="28"/>
          <w:szCs w:val="28"/>
          <w:lang w:val="en-GB"/>
        </w:rPr>
        <w:t>。</w:t>
      </w:r>
    </w:p>
    <w:p w14:paraId="76765DA3">
      <w:pPr>
        <w:spacing w:line="360" w:lineRule="auto"/>
        <w:ind w:firstLine="606" w:firstLineChars="200"/>
        <w:rPr>
          <w:rFonts w:hint="eastAsia" w:ascii="宋体" w:hAnsi="宋体" w:cs="宋体"/>
          <w:sz w:val="28"/>
          <w:szCs w:val="28"/>
          <w:lang w:val="en-GB"/>
        </w:rPr>
      </w:pPr>
      <w:r>
        <w:rPr>
          <w:rFonts w:hint="eastAsia" w:ascii="宋体" w:hAnsi="宋体"/>
          <w:sz w:val="28"/>
          <w:szCs w:val="28"/>
        </w:rPr>
        <w:t>该企业</w:t>
      </w:r>
      <w:r>
        <w:rPr>
          <w:rFonts w:hint="eastAsia" w:ascii="宋体" w:hAnsi="宋体"/>
          <w:bCs/>
          <w:sz w:val="28"/>
          <w:szCs w:val="28"/>
        </w:rPr>
        <w:t>现有从业人</w:t>
      </w:r>
      <w:r>
        <w:rPr>
          <w:rFonts w:hint="eastAsia" w:ascii="宋体" w:hAnsi="宋体" w:eastAsia="宋体" w:cs="Times New Roman"/>
          <w:sz w:val="28"/>
          <w:szCs w:val="28"/>
          <w:lang w:val="en-GB"/>
        </w:rPr>
        <w:t>员</w:t>
      </w:r>
      <w:r>
        <w:rPr>
          <w:rFonts w:hint="eastAsia" w:ascii="宋体" w:hAnsi="宋体" w:eastAsia="宋体" w:cs="Times New Roman"/>
          <w:sz w:val="28"/>
          <w:szCs w:val="28"/>
          <w:lang w:val="en-US" w:eastAsia="zh-CN"/>
        </w:rPr>
        <w:t>7</w:t>
      </w:r>
      <w:r>
        <w:rPr>
          <w:rFonts w:hint="eastAsia" w:ascii="宋体" w:hAnsi="宋体" w:eastAsia="宋体" w:cs="Times New Roman"/>
          <w:sz w:val="28"/>
          <w:szCs w:val="28"/>
          <w:lang w:val="en-GB"/>
        </w:rPr>
        <w:t>人，分别为主要负责人1人，安全</w:t>
      </w:r>
      <w:r>
        <w:rPr>
          <w:rFonts w:hint="eastAsia" w:ascii="宋体" w:hAnsi="宋体"/>
          <w:bCs/>
          <w:sz w:val="28"/>
          <w:szCs w:val="28"/>
        </w:rPr>
        <w:t>生产管理人员</w:t>
      </w:r>
      <w:r>
        <w:rPr>
          <w:rFonts w:hint="eastAsia" w:ascii="宋体" w:hAnsi="宋体"/>
          <w:bCs/>
          <w:sz w:val="28"/>
          <w:szCs w:val="28"/>
          <w:lang w:val="en-US" w:eastAsia="zh-CN"/>
        </w:rPr>
        <w:t>3</w:t>
      </w:r>
      <w:r>
        <w:rPr>
          <w:rFonts w:hint="eastAsia" w:ascii="宋体" w:hAnsi="宋体"/>
          <w:bCs/>
          <w:sz w:val="28"/>
          <w:szCs w:val="28"/>
        </w:rPr>
        <w:t>人</w:t>
      </w:r>
      <w:r>
        <w:rPr>
          <w:rFonts w:hint="eastAsia" w:ascii="宋体" w:hAnsi="宋体"/>
          <w:bCs/>
          <w:sz w:val="28"/>
          <w:szCs w:val="28"/>
          <w:lang w:eastAsia="zh-CN"/>
        </w:rPr>
        <w:t>，</w:t>
      </w:r>
      <w:r>
        <w:rPr>
          <w:rFonts w:hint="eastAsia" w:ascii="宋体" w:hAnsi="宋体"/>
          <w:sz w:val="28"/>
          <w:szCs w:val="28"/>
          <w:lang w:val="en-GB"/>
        </w:rPr>
        <w:t>烟花爆竹</w:t>
      </w:r>
      <w:r>
        <w:rPr>
          <w:rFonts w:hint="eastAsia" w:ascii="宋体" w:hAnsi="宋体"/>
          <w:sz w:val="28"/>
          <w:szCs w:val="28"/>
          <w:lang w:val="en-US" w:eastAsia="zh-CN"/>
        </w:rPr>
        <w:t>储存作业3</w:t>
      </w:r>
      <w:r>
        <w:rPr>
          <w:rFonts w:hint="eastAsia" w:ascii="宋体" w:hAnsi="宋体"/>
          <w:bCs/>
          <w:sz w:val="28"/>
          <w:szCs w:val="28"/>
        </w:rPr>
        <w:t>人。公司主要负责人</w:t>
      </w:r>
      <w:r>
        <w:rPr>
          <w:rFonts w:hint="eastAsia"/>
        </w:rPr>
        <w:t>卢琛芸</w:t>
      </w:r>
      <w:r>
        <w:rPr>
          <w:rFonts w:hint="eastAsia" w:ascii="宋体" w:hAnsi="宋体"/>
          <w:bCs/>
          <w:sz w:val="28"/>
          <w:szCs w:val="28"/>
        </w:rPr>
        <w:t>、安全生产管</w:t>
      </w:r>
      <w:r>
        <w:rPr>
          <w:rFonts w:hint="eastAsia" w:ascii="宋体" w:hAnsi="宋体" w:eastAsia="宋体" w:cs="Times New Roman"/>
          <w:bCs/>
          <w:sz w:val="28"/>
          <w:szCs w:val="28"/>
        </w:rPr>
        <w:t>理员</w:t>
      </w:r>
      <w:r>
        <w:rPr>
          <w:rFonts w:hint="eastAsia" w:ascii="宋体" w:hAnsi="宋体" w:eastAsia="宋体" w:cs="Times New Roman"/>
          <w:bCs/>
          <w:sz w:val="28"/>
          <w:szCs w:val="28"/>
          <w:lang w:val="en-US" w:eastAsia="zh-CN"/>
        </w:rPr>
        <w:t>杨雨</w:t>
      </w:r>
      <w:r>
        <w:rPr>
          <w:rFonts w:hint="eastAsia" w:ascii="宋体" w:hAnsi="宋体" w:eastAsia="宋体" w:cs="Times New Roman"/>
          <w:bCs/>
          <w:sz w:val="28"/>
          <w:szCs w:val="28"/>
        </w:rPr>
        <w:t>、</w:t>
      </w:r>
      <w:r>
        <w:rPr>
          <w:rFonts w:hint="eastAsia" w:ascii="宋体" w:hAnsi="宋体" w:eastAsia="宋体" w:cs="Times New Roman"/>
          <w:bCs/>
          <w:sz w:val="28"/>
          <w:szCs w:val="28"/>
          <w:lang w:val="en-US" w:eastAsia="zh-CN"/>
        </w:rPr>
        <w:t>王思淼、陈晓玲</w:t>
      </w:r>
      <w:r>
        <w:rPr>
          <w:rFonts w:hint="eastAsia" w:ascii="宋体" w:hAnsi="宋体" w:eastAsia="宋体"/>
          <w:bCs/>
          <w:sz w:val="28"/>
          <w:szCs w:val="28"/>
          <w:lang w:val="en-US" w:eastAsia="zh-CN"/>
        </w:rPr>
        <w:t>（退休返聘人员）</w:t>
      </w:r>
      <w:r>
        <w:rPr>
          <w:rFonts w:hint="eastAsia" w:ascii="宋体" w:hAnsi="宋体" w:eastAsia="宋体"/>
          <w:bCs/>
          <w:sz w:val="28"/>
          <w:szCs w:val="28"/>
        </w:rPr>
        <w:t>接受了相关培训并考试合格</w:t>
      </w:r>
      <w:r>
        <w:rPr>
          <w:rFonts w:hint="eastAsia" w:ascii="宋体" w:hAnsi="宋体" w:eastAsia="宋体"/>
          <w:bCs/>
          <w:sz w:val="28"/>
          <w:szCs w:val="28"/>
          <w:lang w:eastAsia="zh-CN"/>
        </w:rPr>
        <w:t>，</w:t>
      </w:r>
      <w:r>
        <w:rPr>
          <w:rFonts w:hint="eastAsia" w:ascii="宋体" w:hAnsi="宋体" w:eastAsia="宋体"/>
          <w:bCs/>
          <w:sz w:val="28"/>
          <w:szCs w:val="28"/>
        </w:rPr>
        <w:t>分别取得了安全生产知识和管理能力考核合格证；</w:t>
      </w:r>
      <w:r>
        <w:rPr>
          <w:rFonts w:hint="eastAsia" w:ascii="宋体" w:hAnsi="宋体" w:eastAsia="宋体"/>
          <w:bCs/>
          <w:sz w:val="28"/>
          <w:szCs w:val="28"/>
          <w:lang w:val="en-US" w:eastAsia="zh-CN"/>
        </w:rPr>
        <w:t>文雪萍</w:t>
      </w:r>
      <w:r>
        <w:rPr>
          <w:rFonts w:hint="eastAsia" w:ascii="宋体" w:hAnsi="宋体" w:eastAsia="宋体"/>
          <w:bCs/>
          <w:sz w:val="28"/>
          <w:szCs w:val="28"/>
        </w:rPr>
        <w:t>（</w:t>
      </w:r>
      <w:r>
        <w:rPr>
          <w:rFonts w:hint="eastAsia" w:ascii="宋体" w:hAnsi="宋体" w:eastAsia="宋体"/>
          <w:bCs/>
          <w:sz w:val="28"/>
          <w:szCs w:val="28"/>
          <w:lang w:val="en-US" w:eastAsia="zh-CN"/>
        </w:rPr>
        <w:t>仓库主任</w:t>
      </w:r>
      <w:r>
        <w:rPr>
          <w:rFonts w:hint="eastAsia" w:ascii="宋体" w:hAnsi="宋体" w:eastAsia="宋体"/>
          <w:bCs/>
          <w:sz w:val="28"/>
          <w:szCs w:val="28"/>
        </w:rPr>
        <w:t>）</w:t>
      </w:r>
      <w:r>
        <w:rPr>
          <w:rFonts w:hint="eastAsia" w:ascii="宋体" w:hAnsi="宋体" w:eastAsia="宋体"/>
          <w:bCs/>
          <w:sz w:val="28"/>
          <w:szCs w:val="28"/>
          <w:lang w:eastAsia="zh-CN"/>
        </w:rPr>
        <w:t>、</w:t>
      </w:r>
      <w:r>
        <w:rPr>
          <w:rFonts w:hint="eastAsia" w:ascii="宋体" w:hAnsi="宋体" w:eastAsia="宋体"/>
          <w:bCs/>
          <w:sz w:val="28"/>
          <w:szCs w:val="28"/>
          <w:lang w:val="en-US" w:eastAsia="zh-CN"/>
        </w:rPr>
        <w:t>付书存</w:t>
      </w:r>
      <w:r>
        <w:rPr>
          <w:rFonts w:hint="eastAsia" w:ascii="宋体" w:hAnsi="宋体" w:eastAsia="宋体"/>
          <w:bCs/>
          <w:sz w:val="28"/>
          <w:szCs w:val="28"/>
        </w:rPr>
        <w:t>（</w:t>
      </w:r>
      <w:r>
        <w:rPr>
          <w:rFonts w:hint="eastAsia" w:ascii="宋体" w:hAnsi="宋体" w:eastAsia="宋体"/>
          <w:bCs/>
          <w:sz w:val="28"/>
          <w:szCs w:val="28"/>
          <w:lang w:val="en-US" w:eastAsia="zh-CN"/>
        </w:rPr>
        <w:t>仓库</w:t>
      </w:r>
      <w:r>
        <w:rPr>
          <w:rFonts w:hint="eastAsia" w:ascii="宋体" w:hAnsi="宋体" w:eastAsia="宋体"/>
          <w:bCs/>
          <w:sz w:val="28"/>
          <w:szCs w:val="28"/>
        </w:rPr>
        <w:t>守护员）、</w:t>
      </w:r>
      <w:r>
        <w:rPr>
          <w:rFonts w:hint="eastAsia" w:ascii="宋体" w:hAnsi="宋体" w:eastAsia="宋体"/>
          <w:bCs/>
          <w:sz w:val="28"/>
          <w:szCs w:val="28"/>
          <w:lang w:val="en-US" w:eastAsia="zh-CN"/>
        </w:rPr>
        <w:t>金玉红</w:t>
      </w:r>
      <w:r>
        <w:rPr>
          <w:rFonts w:hint="eastAsia" w:ascii="宋体" w:hAnsi="宋体" w:eastAsia="宋体"/>
          <w:bCs/>
          <w:sz w:val="28"/>
          <w:szCs w:val="28"/>
        </w:rPr>
        <w:t>（</w:t>
      </w:r>
      <w:r>
        <w:rPr>
          <w:rFonts w:hint="eastAsia" w:ascii="宋体" w:hAnsi="宋体" w:eastAsia="宋体"/>
          <w:bCs/>
          <w:sz w:val="28"/>
          <w:szCs w:val="28"/>
          <w:lang w:val="en-US" w:eastAsia="zh-CN"/>
        </w:rPr>
        <w:t>仓库</w:t>
      </w:r>
      <w:r>
        <w:rPr>
          <w:rFonts w:hint="eastAsia" w:ascii="宋体" w:hAnsi="宋体" w:eastAsia="宋体"/>
          <w:bCs/>
          <w:sz w:val="28"/>
          <w:szCs w:val="28"/>
        </w:rPr>
        <w:t>保管员）已取得烟花爆</w:t>
      </w:r>
      <w:r>
        <w:rPr>
          <w:rFonts w:hint="eastAsia" w:ascii="宋体" w:hAnsi="宋体"/>
          <w:bCs/>
          <w:sz w:val="28"/>
          <w:szCs w:val="28"/>
        </w:rPr>
        <w:t>竹储存作业特种作业操作证；企业建立了以</w:t>
      </w:r>
      <w:r>
        <w:rPr>
          <w:rFonts w:hint="eastAsia"/>
        </w:rPr>
        <w:t>卢琛芸</w:t>
      </w:r>
      <w:r>
        <w:rPr>
          <w:rFonts w:hint="eastAsia" w:ascii="宋体" w:hAnsi="宋体"/>
          <w:bCs/>
          <w:sz w:val="28"/>
          <w:szCs w:val="28"/>
        </w:rPr>
        <w:t>为主要负责人的安全管理组织机构和应急救援机构</w:t>
      </w:r>
      <w:r>
        <w:rPr>
          <w:rFonts w:hint="eastAsia" w:ascii="宋体" w:hAnsi="宋体" w:eastAsia="宋体" w:cs="Times New Roman"/>
          <w:bCs/>
          <w:sz w:val="28"/>
          <w:szCs w:val="28"/>
          <w:lang w:eastAsia="zh-CN"/>
        </w:rPr>
        <w:t>，</w:t>
      </w:r>
      <w:r>
        <w:rPr>
          <w:rFonts w:hint="eastAsia" w:ascii="宋体" w:hAnsi="宋体" w:eastAsia="宋体" w:cs="Times New Roman"/>
          <w:bCs/>
          <w:sz w:val="28"/>
          <w:szCs w:val="28"/>
        </w:rPr>
        <w:t>拥有自己的</w:t>
      </w:r>
      <w:r>
        <w:rPr>
          <w:rFonts w:hint="eastAsia" w:ascii="宋体" w:hAnsi="宋体" w:eastAsia="宋体" w:cs="Times New Roman"/>
          <w:bCs/>
          <w:sz w:val="28"/>
          <w:szCs w:val="28"/>
          <w:lang w:val="en-US" w:eastAsia="zh-CN"/>
        </w:rPr>
        <w:t>应急抢险组（兼职</w:t>
      </w:r>
      <w:r>
        <w:rPr>
          <w:rFonts w:hint="eastAsia" w:ascii="宋体" w:hAnsi="宋体" w:eastAsia="宋体" w:cs="Times New Roman"/>
          <w:bCs/>
          <w:sz w:val="28"/>
          <w:szCs w:val="28"/>
        </w:rPr>
        <w:t>消防队</w:t>
      </w:r>
      <w:r>
        <w:rPr>
          <w:rFonts w:hint="eastAsia" w:ascii="宋体" w:hAnsi="宋体" w:eastAsia="宋体" w:cs="Times New Roman"/>
          <w:bCs/>
          <w:sz w:val="28"/>
          <w:szCs w:val="28"/>
          <w:lang w:eastAsia="zh-CN"/>
        </w:rPr>
        <w:t>），</w:t>
      </w:r>
      <w:r>
        <w:rPr>
          <w:rFonts w:hint="eastAsia" w:ascii="宋体" w:hAnsi="宋体" w:eastAsia="宋体" w:cs="Times New Roman"/>
          <w:bCs/>
          <w:sz w:val="28"/>
          <w:szCs w:val="28"/>
        </w:rPr>
        <w:t>并相应地配制了所必需的器材、设</w:t>
      </w:r>
      <w:r>
        <w:rPr>
          <w:rFonts w:hint="eastAsia" w:ascii="宋体" w:hAnsi="宋体"/>
          <w:bCs/>
          <w:sz w:val="28"/>
          <w:szCs w:val="28"/>
        </w:rPr>
        <w:t>备。企业相关情况见下表2.1-1</w:t>
      </w:r>
      <w:r>
        <w:rPr>
          <w:rFonts w:hint="eastAsia" w:ascii="宋体" w:hAnsi="宋体" w:cs="宋体"/>
          <w:sz w:val="28"/>
          <w:szCs w:val="28"/>
          <w:lang w:val="en-GB"/>
        </w:rPr>
        <w:t>。</w:t>
      </w:r>
    </w:p>
    <w:p w14:paraId="7B5B5646">
      <w:pPr>
        <w:snapToGrid w:val="0"/>
        <w:jc w:val="center"/>
        <w:rPr>
          <w:rFonts w:ascii="黑体" w:hAnsi="黑体" w:eastAsia="黑体" w:cs="宋体"/>
          <w:sz w:val="24"/>
          <w:u w:color="FF0000"/>
        </w:rPr>
      </w:pPr>
      <w:r>
        <w:rPr>
          <w:rFonts w:hint="eastAsia" w:ascii="黑体" w:hAnsi="黑体" w:eastAsia="黑体" w:cs="宋体"/>
          <w:sz w:val="24"/>
          <w:u w:color="FF0000"/>
        </w:rPr>
        <w:t>表2.1-1 企业基本情况表</w:t>
      </w:r>
    </w:p>
    <w:tbl>
      <w:tblPr>
        <w:tblStyle w:val="41"/>
        <w:tblW w:w="92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8"/>
        <w:gridCol w:w="1366"/>
        <w:gridCol w:w="1394"/>
        <w:gridCol w:w="1114"/>
        <w:gridCol w:w="2"/>
        <w:gridCol w:w="366"/>
        <w:gridCol w:w="691"/>
        <w:gridCol w:w="352"/>
        <w:gridCol w:w="4"/>
        <w:gridCol w:w="525"/>
        <w:gridCol w:w="406"/>
        <w:gridCol w:w="1191"/>
      </w:tblGrid>
      <w:tr w14:paraId="01B9A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868" w:type="dxa"/>
            <w:vAlign w:val="center"/>
          </w:tcPr>
          <w:p w14:paraId="4C368D1E">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sz w:val="21"/>
                <w:szCs w:val="21"/>
              </w:rPr>
            </w:pPr>
            <w:r>
              <w:rPr>
                <w:rFonts w:hint="eastAsia" w:ascii="宋体" w:hAnsi="宋体" w:eastAsia="宋体" w:cs="宋体"/>
                <w:sz w:val="21"/>
                <w:szCs w:val="21"/>
              </w:rPr>
              <w:t>企业名称</w:t>
            </w:r>
          </w:p>
        </w:tc>
        <w:tc>
          <w:tcPr>
            <w:tcW w:w="7411" w:type="dxa"/>
            <w:gridSpan w:val="11"/>
            <w:vAlign w:val="center"/>
          </w:tcPr>
          <w:p w14:paraId="6571A49C">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sz w:val="21"/>
                <w:szCs w:val="21"/>
              </w:rPr>
            </w:pPr>
            <w:r>
              <w:rPr>
                <w:rFonts w:hint="eastAsia" w:ascii="宋体" w:hAnsi="宋体" w:eastAsia="宋体" w:cs="宋体"/>
                <w:sz w:val="21"/>
                <w:szCs w:val="21"/>
              </w:rPr>
              <w:t>南昌布莱特进出口有限责任公司</w:t>
            </w:r>
          </w:p>
        </w:tc>
      </w:tr>
      <w:tr w14:paraId="0C8ED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868" w:type="dxa"/>
            <w:vAlign w:val="center"/>
          </w:tcPr>
          <w:p w14:paraId="01E08ABD">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sz w:val="21"/>
                <w:szCs w:val="21"/>
              </w:rPr>
            </w:pPr>
            <w:r>
              <w:rPr>
                <w:rFonts w:hint="eastAsia" w:ascii="宋体" w:hAnsi="宋体" w:eastAsia="宋体" w:cs="宋体"/>
                <w:sz w:val="21"/>
                <w:szCs w:val="21"/>
              </w:rPr>
              <w:t>注册地址</w:t>
            </w:r>
          </w:p>
        </w:tc>
        <w:tc>
          <w:tcPr>
            <w:tcW w:w="7411" w:type="dxa"/>
            <w:gridSpan w:val="11"/>
            <w:vAlign w:val="center"/>
          </w:tcPr>
          <w:p w14:paraId="13FF5186">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sz w:val="21"/>
                <w:szCs w:val="21"/>
              </w:rPr>
            </w:pPr>
            <w:r>
              <w:rPr>
                <w:rFonts w:hint="eastAsia" w:ascii="宋体" w:hAnsi="宋体" w:eastAsia="宋体" w:cs="宋体"/>
                <w:sz w:val="21"/>
                <w:szCs w:val="21"/>
              </w:rPr>
              <w:t>江西省南昌市红谷滩区会展路唐宁街A座B座写字楼A座1804室</w:t>
            </w:r>
          </w:p>
        </w:tc>
      </w:tr>
      <w:tr w14:paraId="208E7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868" w:type="dxa"/>
            <w:vAlign w:val="center"/>
          </w:tcPr>
          <w:p w14:paraId="72AA5B2A">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sz w:val="21"/>
                <w:szCs w:val="21"/>
              </w:rPr>
            </w:pPr>
            <w:r>
              <w:rPr>
                <w:rFonts w:hint="eastAsia" w:ascii="宋体" w:hAnsi="宋体" w:eastAsia="宋体" w:cs="宋体"/>
                <w:sz w:val="21"/>
                <w:szCs w:val="21"/>
              </w:rPr>
              <w:t>法人代表</w:t>
            </w:r>
          </w:p>
        </w:tc>
        <w:tc>
          <w:tcPr>
            <w:tcW w:w="3876" w:type="dxa"/>
            <w:gridSpan w:val="4"/>
            <w:vAlign w:val="center"/>
          </w:tcPr>
          <w:p w14:paraId="0EEF7D90">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sz w:val="21"/>
                <w:szCs w:val="21"/>
              </w:rPr>
            </w:pPr>
            <w:r>
              <w:rPr>
                <w:rFonts w:hint="eastAsia" w:ascii="宋体" w:hAnsi="宋体" w:eastAsia="宋体" w:cs="宋体"/>
                <w:sz w:val="21"/>
                <w:szCs w:val="21"/>
              </w:rPr>
              <w:t>卢琛芸</w:t>
            </w:r>
          </w:p>
        </w:tc>
        <w:tc>
          <w:tcPr>
            <w:tcW w:w="1409" w:type="dxa"/>
            <w:gridSpan w:val="3"/>
            <w:shd w:val="clear" w:color="auto" w:fill="auto"/>
            <w:vAlign w:val="center"/>
          </w:tcPr>
          <w:p w14:paraId="2577B3CA">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rPr>
              <w:t>联系电话</w:t>
            </w:r>
          </w:p>
        </w:tc>
        <w:tc>
          <w:tcPr>
            <w:tcW w:w="2126" w:type="dxa"/>
            <w:gridSpan w:val="4"/>
            <w:shd w:val="clear" w:color="auto" w:fill="auto"/>
            <w:vAlign w:val="center"/>
          </w:tcPr>
          <w:p w14:paraId="2571F3DC">
            <w:pPr>
              <w:keepNext w:val="0"/>
              <w:keepLines w:val="0"/>
              <w:pageBreakBefore w:val="0"/>
              <w:widowControl w:val="0"/>
              <w:kinsoku/>
              <w:wordWrap/>
              <w:overflowPunct/>
              <w:topLinePunct w:val="0"/>
              <w:autoSpaceDE/>
              <w:autoSpaceDN/>
              <w:bidi w:val="0"/>
              <w:adjustRightInd/>
              <w:snapToGrid/>
              <w:spacing w:line="240" w:lineRule="exact"/>
              <w:ind w:firstLine="466" w:firstLineChars="200"/>
              <w:textAlignment w:val="auto"/>
              <w:rPr>
                <w:rFonts w:hint="default" w:ascii="宋体" w:hAnsi="宋体" w:eastAsia="宋体" w:cs="宋体"/>
                <w:kern w:val="2"/>
                <w:sz w:val="21"/>
                <w:szCs w:val="21"/>
                <w:lang w:val="en-US" w:eastAsia="zh-CN" w:bidi="ar-SA"/>
              </w:rPr>
            </w:pPr>
            <w:r>
              <w:rPr>
                <w:rFonts w:hint="eastAsia" w:ascii="宋体" w:hAnsi="宋体" w:cs="宋体"/>
                <w:sz w:val="21"/>
                <w:szCs w:val="21"/>
                <w:lang w:val="en-US" w:eastAsia="zh-CN"/>
              </w:rPr>
              <w:t>**********</w:t>
            </w:r>
          </w:p>
        </w:tc>
      </w:tr>
      <w:tr w14:paraId="07A5D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1868" w:type="dxa"/>
            <w:vAlign w:val="center"/>
          </w:tcPr>
          <w:p w14:paraId="5502FE4B">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原经营许可证</w:t>
            </w:r>
          </w:p>
        </w:tc>
        <w:tc>
          <w:tcPr>
            <w:tcW w:w="3874" w:type="dxa"/>
            <w:gridSpan w:val="3"/>
            <w:vAlign w:val="center"/>
          </w:tcPr>
          <w:p w14:paraId="6B3CEE04">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textAlignment w:val="auto"/>
              <w:rPr>
                <w:rFonts w:hint="eastAsia" w:ascii="宋体" w:hAnsi="宋体" w:eastAsia="宋体" w:cs="宋体"/>
                <w:sz w:val="21"/>
                <w:szCs w:val="21"/>
              </w:rPr>
            </w:pPr>
            <w:r>
              <w:rPr>
                <w:rFonts w:hint="eastAsia" w:ascii="宋体" w:hAnsi="宋体" w:eastAsia="宋体" w:cs="宋体"/>
                <w:sz w:val="21"/>
                <w:szCs w:val="21"/>
                <w:lang w:val="zh-CN"/>
              </w:rPr>
              <w:t>（赣）</w:t>
            </w:r>
            <w:r>
              <w:rPr>
                <w:rFonts w:hint="eastAsia" w:ascii="宋体" w:hAnsi="宋体" w:eastAsia="宋体" w:cs="宋体"/>
                <w:sz w:val="21"/>
                <w:szCs w:val="21"/>
                <w:lang w:val="en-US" w:eastAsia="zh-CN"/>
              </w:rPr>
              <w:t>YHPF</w:t>
            </w:r>
            <w:r>
              <w:rPr>
                <w:rFonts w:hint="eastAsia" w:ascii="宋体" w:hAnsi="宋体" w:eastAsia="宋体" w:cs="宋体"/>
                <w:sz w:val="21"/>
                <w:szCs w:val="21"/>
                <w:lang w:val="zh-CN"/>
              </w:rPr>
              <w:t>[20</w:t>
            </w:r>
            <w:r>
              <w:rPr>
                <w:rFonts w:hint="eastAsia" w:ascii="宋体" w:hAnsi="宋体" w:eastAsia="宋体" w:cs="宋体"/>
                <w:sz w:val="21"/>
                <w:szCs w:val="21"/>
                <w:lang w:val="en-US" w:eastAsia="zh-CN"/>
              </w:rPr>
              <w:t>23</w:t>
            </w:r>
            <w:r>
              <w:rPr>
                <w:rFonts w:hint="eastAsia" w:ascii="宋体" w:hAnsi="宋体" w:eastAsia="宋体" w:cs="宋体"/>
                <w:sz w:val="21"/>
                <w:szCs w:val="21"/>
                <w:lang w:val="zh-CN"/>
              </w:rPr>
              <w:t>]</w:t>
            </w:r>
            <w:r>
              <w:rPr>
                <w:rFonts w:hint="eastAsia" w:ascii="宋体" w:hAnsi="宋体" w:eastAsia="宋体" w:cs="宋体"/>
                <w:sz w:val="21"/>
                <w:szCs w:val="21"/>
                <w:lang w:val="en-US" w:eastAsia="zh-CN"/>
              </w:rPr>
              <w:t>00015号</w:t>
            </w:r>
          </w:p>
        </w:tc>
        <w:tc>
          <w:tcPr>
            <w:tcW w:w="1415" w:type="dxa"/>
            <w:gridSpan w:val="5"/>
            <w:vAlign w:val="center"/>
          </w:tcPr>
          <w:p w14:paraId="4740AC29">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textAlignment w:val="auto"/>
              <w:rPr>
                <w:rFonts w:hint="eastAsia" w:ascii="宋体" w:hAnsi="宋体" w:eastAsia="宋体" w:cs="宋体"/>
                <w:sz w:val="21"/>
                <w:szCs w:val="21"/>
                <w:lang w:val="zh-CN"/>
              </w:rPr>
            </w:pPr>
            <w:r>
              <w:rPr>
                <w:rFonts w:hint="eastAsia" w:ascii="宋体" w:hAnsi="宋体" w:eastAsia="宋体" w:cs="宋体"/>
                <w:sz w:val="21"/>
                <w:szCs w:val="21"/>
              </w:rPr>
              <w:t>经济类型</w:t>
            </w:r>
          </w:p>
        </w:tc>
        <w:tc>
          <w:tcPr>
            <w:tcW w:w="2122" w:type="dxa"/>
            <w:gridSpan w:val="3"/>
            <w:vAlign w:val="center"/>
          </w:tcPr>
          <w:p w14:paraId="69F681EA">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textAlignment w:val="auto"/>
              <w:rPr>
                <w:rFonts w:hint="eastAsia" w:ascii="宋体" w:hAnsi="宋体" w:eastAsia="宋体" w:cs="宋体"/>
                <w:sz w:val="21"/>
                <w:szCs w:val="21"/>
                <w:lang w:val="zh-CN"/>
              </w:rPr>
            </w:pPr>
            <w:r>
              <w:rPr>
                <w:rFonts w:hint="eastAsia" w:ascii="宋体" w:hAnsi="宋体" w:eastAsia="宋体" w:cs="宋体"/>
                <w:sz w:val="21"/>
                <w:szCs w:val="21"/>
              </w:rPr>
              <w:t>有限责任公司(自然人</w:t>
            </w:r>
            <w:r>
              <w:rPr>
                <w:rFonts w:hint="eastAsia" w:ascii="宋体" w:hAnsi="宋体" w:eastAsia="宋体" w:cs="宋体"/>
                <w:sz w:val="21"/>
                <w:szCs w:val="21"/>
                <w:lang w:val="en-US" w:eastAsia="zh-CN"/>
              </w:rPr>
              <w:t>投</w:t>
            </w:r>
            <w:r>
              <w:rPr>
                <w:rFonts w:hint="eastAsia" w:ascii="宋体" w:hAnsi="宋体" w:eastAsia="宋体" w:cs="宋体"/>
                <w:sz w:val="21"/>
                <w:szCs w:val="21"/>
              </w:rPr>
              <w:t>资或控股）</w:t>
            </w:r>
          </w:p>
        </w:tc>
      </w:tr>
      <w:tr w14:paraId="78AA9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868" w:type="dxa"/>
            <w:vAlign w:val="center"/>
          </w:tcPr>
          <w:p w14:paraId="422B8A6C">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工商登记机关</w:t>
            </w:r>
          </w:p>
        </w:tc>
        <w:tc>
          <w:tcPr>
            <w:tcW w:w="4242" w:type="dxa"/>
            <w:gridSpan w:val="5"/>
            <w:vAlign w:val="center"/>
          </w:tcPr>
          <w:p w14:paraId="3D7E1649">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sz w:val="21"/>
                <w:szCs w:val="21"/>
              </w:rPr>
            </w:pPr>
            <w:r>
              <w:rPr>
                <w:rFonts w:hint="eastAsia" w:ascii="宋体" w:hAnsi="宋体" w:eastAsia="宋体" w:cs="宋体"/>
                <w:sz w:val="21"/>
                <w:szCs w:val="21"/>
                <w:lang w:val="zh-CN"/>
              </w:rPr>
              <w:t>南昌市红谷滩区</w:t>
            </w:r>
            <w:r>
              <w:rPr>
                <w:rFonts w:hint="eastAsia" w:ascii="宋体" w:hAnsi="宋体" w:eastAsia="宋体" w:cs="宋体"/>
                <w:sz w:val="21"/>
                <w:szCs w:val="21"/>
                <w:lang w:val="en-US" w:eastAsia="zh-CN"/>
              </w:rPr>
              <w:t>市场监督管理</w:t>
            </w:r>
            <w:r>
              <w:rPr>
                <w:rFonts w:hint="eastAsia" w:ascii="宋体" w:hAnsi="宋体" w:eastAsia="宋体" w:cs="宋体"/>
                <w:sz w:val="21"/>
                <w:szCs w:val="21"/>
                <w:lang w:val="zh-CN"/>
              </w:rPr>
              <w:t>局</w:t>
            </w:r>
          </w:p>
        </w:tc>
        <w:tc>
          <w:tcPr>
            <w:tcW w:w="1572" w:type="dxa"/>
            <w:gridSpan w:val="4"/>
            <w:vAlign w:val="center"/>
          </w:tcPr>
          <w:p w14:paraId="3BDA64C9">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登记日期</w:t>
            </w:r>
          </w:p>
        </w:tc>
        <w:tc>
          <w:tcPr>
            <w:tcW w:w="1597" w:type="dxa"/>
            <w:gridSpan w:val="2"/>
            <w:vAlign w:val="center"/>
          </w:tcPr>
          <w:p w14:paraId="6B54F954">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textAlignment w:val="auto"/>
              <w:rPr>
                <w:rFonts w:hint="default" w:ascii="宋体" w:hAnsi="宋体" w:eastAsia="宋体" w:cs="宋体"/>
                <w:sz w:val="21"/>
                <w:szCs w:val="21"/>
                <w:lang w:val="en-US" w:eastAsia="zh-CN"/>
              </w:rPr>
            </w:pPr>
            <w:r>
              <w:rPr>
                <w:rFonts w:hint="eastAsia" w:ascii="宋体" w:hAnsi="宋体" w:eastAsia="宋体" w:cs="宋体"/>
                <w:sz w:val="21"/>
                <w:szCs w:val="21"/>
              </w:rPr>
              <w:t>20</w:t>
            </w:r>
            <w:r>
              <w:rPr>
                <w:rFonts w:hint="eastAsia" w:ascii="宋体" w:hAnsi="宋体" w:eastAsia="宋体" w:cs="宋体"/>
                <w:sz w:val="21"/>
                <w:szCs w:val="21"/>
                <w:lang w:val="en-US" w:eastAsia="zh-CN"/>
              </w:rPr>
              <w:t>25</w:t>
            </w:r>
            <w:r>
              <w:rPr>
                <w:rFonts w:hint="eastAsia" w:ascii="宋体" w:hAnsi="宋体" w:eastAsia="宋体" w:cs="宋体"/>
                <w:sz w:val="21"/>
                <w:szCs w:val="21"/>
              </w:rPr>
              <w:t>.0</w:t>
            </w:r>
            <w:r>
              <w:rPr>
                <w:rFonts w:hint="eastAsia" w:ascii="宋体" w:hAnsi="宋体" w:eastAsia="宋体" w:cs="宋体"/>
                <w:sz w:val="21"/>
                <w:szCs w:val="21"/>
                <w:lang w:val="en-US" w:eastAsia="zh-CN"/>
              </w:rPr>
              <w:t>3</w:t>
            </w:r>
            <w:r>
              <w:rPr>
                <w:rFonts w:hint="eastAsia" w:ascii="宋体" w:hAnsi="宋体" w:eastAsia="宋体" w:cs="宋体"/>
                <w:sz w:val="21"/>
                <w:szCs w:val="21"/>
              </w:rPr>
              <w:t>.</w:t>
            </w:r>
            <w:r>
              <w:rPr>
                <w:rFonts w:hint="eastAsia" w:ascii="宋体" w:hAnsi="宋体" w:eastAsia="宋体" w:cs="宋体"/>
                <w:sz w:val="21"/>
                <w:szCs w:val="21"/>
                <w:lang w:val="en-US" w:eastAsia="zh-CN"/>
              </w:rPr>
              <w:t>10.</w:t>
            </w:r>
          </w:p>
        </w:tc>
      </w:tr>
      <w:tr w14:paraId="78A54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868" w:type="dxa"/>
            <w:vAlign w:val="center"/>
          </w:tcPr>
          <w:p w14:paraId="3F58158C">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sz w:val="21"/>
                <w:szCs w:val="21"/>
              </w:rPr>
            </w:pPr>
            <w:r>
              <w:rPr>
                <w:rFonts w:hint="eastAsia" w:ascii="宋体" w:hAnsi="宋体" w:eastAsia="宋体" w:cs="宋体"/>
                <w:sz w:val="21"/>
                <w:szCs w:val="21"/>
              </w:rPr>
              <w:t>工商注册号</w:t>
            </w:r>
          </w:p>
        </w:tc>
        <w:tc>
          <w:tcPr>
            <w:tcW w:w="4242" w:type="dxa"/>
            <w:gridSpan w:val="5"/>
            <w:vAlign w:val="center"/>
          </w:tcPr>
          <w:p w14:paraId="2732B328">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sz w:val="21"/>
                <w:szCs w:val="21"/>
              </w:rPr>
            </w:pPr>
            <w:r>
              <w:rPr>
                <w:rFonts w:hint="eastAsia" w:ascii="宋体" w:hAnsi="宋体" w:eastAsia="宋体" w:cs="宋体"/>
                <w:sz w:val="21"/>
                <w:szCs w:val="21"/>
                <w:lang w:val="zh-CN"/>
              </w:rPr>
              <w:t>91360125065381860Q</w:t>
            </w:r>
          </w:p>
        </w:tc>
        <w:tc>
          <w:tcPr>
            <w:tcW w:w="1572" w:type="dxa"/>
            <w:gridSpan w:val="4"/>
            <w:vAlign w:val="center"/>
          </w:tcPr>
          <w:p w14:paraId="291C94D0">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注册资本</w:t>
            </w:r>
          </w:p>
        </w:tc>
        <w:tc>
          <w:tcPr>
            <w:tcW w:w="1597" w:type="dxa"/>
            <w:gridSpan w:val="2"/>
            <w:vAlign w:val="center"/>
          </w:tcPr>
          <w:p w14:paraId="6921B0F1">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00万元</w:t>
            </w:r>
          </w:p>
        </w:tc>
      </w:tr>
      <w:tr w14:paraId="5B6C6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868" w:type="dxa"/>
            <w:vAlign w:val="center"/>
          </w:tcPr>
          <w:p w14:paraId="610A866C">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sz w:val="21"/>
                <w:szCs w:val="21"/>
              </w:rPr>
            </w:pPr>
            <w:r>
              <w:rPr>
                <w:rFonts w:hint="eastAsia" w:ascii="宋体" w:hAnsi="宋体" w:eastAsia="宋体" w:cs="宋体"/>
                <w:sz w:val="21"/>
                <w:szCs w:val="21"/>
              </w:rPr>
              <w:t>从业人员</w:t>
            </w:r>
          </w:p>
        </w:tc>
        <w:tc>
          <w:tcPr>
            <w:tcW w:w="1366" w:type="dxa"/>
            <w:vAlign w:val="center"/>
          </w:tcPr>
          <w:p w14:paraId="4FB8A5F0">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7</w:t>
            </w:r>
            <w:r>
              <w:rPr>
                <w:rFonts w:hint="eastAsia" w:ascii="宋体" w:hAnsi="宋体" w:eastAsia="宋体" w:cs="宋体"/>
                <w:sz w:val="21"/>
                <w:szCs w:val="21"/>
              </w:rPr>
              <w:t>人</w:t>
            </w:r>
          </w:p>
        </w:tc>
        <w:tc>
          <w:tcPr>
            <w:tcW w:w="1394" w:type="dxa"/>
            <w:vAlign w:val="center"/>
          </w:tcPr>
          <w:p w14:paraId="7C2317E3">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管理人员</w:t>
            </w:r>
          </w:p>
        </w:tc>
        <w:tc>
          <w:tcPr>
            <w:tcW w:w="1482" w:type="dxa"/>
            <w:gridSpan w:val="3"/>
            <w:vAlign w:val="center"/>
          </w:tcPr>
          <w:p w14:paraId="0489D68B">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人</w:t>
            </w:r>
          </w:p>
        </w:tc>
        <w:tc>
          <w:tcPr>
            <w:tcW w:w="1572" w:type="dxa"/>
            <w:gridSpan w:val="4"/>
            <w:vAlign w:val="center"/>
          </w:tcPr>
          <w:p w14:paraId="53008389">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专职安全员</w:t>
            </w:r>
          </w:p>
        </w:tc>
        <w:tc>
          <w:tcPr>
            <w:tcW w:w="1597" w:type="dxa"/>
            <w:gridSpan w:val="2"/>
            <w:vAlign w:val="center"/>
          </w:tcPr>
          <w:p w14:paraId="3582F233">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人</w:t>
            </w:r>
          </w:p>
        </w:tc>
      </w:tr>
      <w:tr w14:paraId="09542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868" w:type="dxa"/>
            <w:vAlign w:val="center"/>
          </w:tcPr>
          <w:p w14:paraId="67FB95C7">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经营场所地址</w:t>
            </w:r>
          </w:p>
        </w:tc>
        <w:tc>
          <w:tcPr>
            <w:tcW w:w="7411" w:type="dxa"/>
            <w:gridSpan w:val="11"/>
            <w:vAlign w:val="center"/>
          </w:tcPr>
          <w:p w14:paraId="2E485A0B">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江西省南昌市红谷滩区会展路唐宁街A座B座写字楼A座1804室</w:t>
            </w:r>
          </w:p>
        </w:tc>
      </w:tr>
      <w:tr w14:paraId="79B02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868" w:type="dxa"/>
            <w:vMerge w:val="restart"/>
            <w:vAlign w:val="center"/>
          </w:tcPr>
          <w:p w14:paraId="00EFECC1">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sz w:val="21"/>
                <w:szCs w:val="21"/>
              </w:rPr>
            </w:pPr>
            <w:r>
              <w:rPr>
                <w:rFonts w:hint="eastAsia" w:ascii="宋体" w:hAnsi="宋体" w:eastAsia="宋体" w:cs="宋体"/>
                <w:sz w:val="21"/>
                <w:szCs w:val="21"/>
              </w:rPr>
              <w:t>储存场所</w:t>
            </w:r>
          </w:p>
        </w:tc>
        <w:tc>
          <w:tcPr>
            <w:tcW w:w="1366" w:type="dxa"/>
            <w:vAlign w:val="center"/>
          </w:tcPr>
          <w:p w14:paraId="227CCCBA">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地址</w:t>
            </w:r>
          </w:p>
        </w:tc>
        <w:tc>
          <w:tcPr>
            <w:tcW w:w="3567" w:type="dxa"/>
            <w:gridSpan w:val="5"/>
            <w:vAlign w:val="center"/>
          </w:tcPr>
          <w:p w14:paraId="14003BB9">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萍乡市上栗县桐木镇马岭</w:t>
            </w:r>
          </w:p>
        </w:tc>
        <w:tc>
          <w:tcPr>
            <w:tcW w:w="1287" w:type="dxa"/>
            <w:gridSpan w:val="4"/>
            <w:vAlign w:val="center"/>
          </w:tcPr>
          <w:p w14:paraId="464F785A">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产权</w:t>
            </w:r>
          </w:p>
        </w:tc>
        <w:tc>
          <w:tcPr>
            <w:tcW w:w="1191" w:type="dxa"/>
            <w:vAlign w:val="center"/>
          </w:tcPr>
          <w:p w14:paraId="15B22FC8">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租赁</w:t>
            </w:r>
          </w:p>
        </w:tc>
      </w:tr>
      <w:tr w14:paraId="03B53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868" w:type="dxa"/>
            <w:vMerge w:val="continue"/>
            <w:vAlign w:val="center"/>
          </w:tcPr>
          <w:p w14:paraId="2AB539E6">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sz w:val="21"/>
                <w:szCs w:val="21"/>
              </w:rPr>
            </w:pPr>
          </w:p>
        </w:tc>
        <w:tc>
          <w:tcPr>
            <w:tcW w:w="1366" w:type="dxa"/>
            <w:vAlign w:val="center"/>
          </w:tcPr>
          <w:p w14:paraId="46097B22">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540号仓库</w:t>
            </w:r>
          </w:p>
        </w:tc>
        <w:tc>
          <w:tcPr>
            <w:tcW w:w="3567" w:type="dxa"/>
            <w:gridSpan w:val="5"/>
            <w:vAlign w:val="center"/>
          </w:tcPr>
          <w:p w14:paraId="3CBBD217">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1.3级仓库，面积为420m²</w:t>
            </w:r>
          </w:p>
        </w:tc>
        <w:tc>
          <w:tcPr>
            <w:tcW w:w="1287" w:type="dxa"/>
            <w:gridSpan w:val="4"/>
            <w:vAlign w:val="center"/>
          </w:tcPr>
          <w:p w14:paraId="0F249097">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限药量</w:t>
            </w:r>
          </w:p>
        </w:tc>
        <w:tc>
          <w:tcPr>
            <w:tcW w:w="1191" w:type="dxa"/>
            <w:vAlign w:val="center"/>
          </w:tcPr>
          <w:p w14:paraId="29FC05C5">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9</w:t>
            </w:r>
            <w:r>
              <w:rPr>
                <w:rFonts w:hint="eastAsia" w:ascii="宋体" w:hAnsi="宋体" w:eastAsia="宋体" w:cs="宋体"/>
                <w:sz w:val="21"/>
                <w:szCs w:val="21"/>
              </w:rPr>
              <w:t>000Kg</w:t>
            </w:r>
          </w:p>
        </w:tc>
      </w:tr>
      <w:tr w14:paraId="75246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868" w:type="dxa"/>
            <w:vMerge w:val="continue"/>
            <w:vAlign w:val="center"/>
          </w:tcPr>
          <w:p w14:paraId="34983D8D">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sz w:val="21"/>
                <w:szCs w:val="21"/>
              </w:rPr>
            </w:pPr>
          </w:p>
        </w:tc>
        <w:tc>
          <w:tcPr>
            <w:tcW w:w="1366" w:type="dxa"/>
            <w:vAlign w:val="center"/>
          </w:tcPr>
          <w:p w14:paraId="04548937">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542号仓库</w:t>
            </w:r>
          </w:p>
        </w:tc>
        <w:tc>
          <w:tcPr>
            <w:tcW w:w="3567" w:type="dxa"/>
            <w:gridSpan w:val="5"/>
            <w:vAlign w:val="center"/>
          </w:tcPr>
          <w:p w14:paraId="19DC1340">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1.3级仓库，面积为294m²</w:t>
            </w:r>
          </w:p>
        </w:tc>
        <w:tc>
          <w:tcPr>
            <w:tcW w:w="1287" w:type="dxa"/>
            <w:gridSpan w:val="4"/>
            <w:vAlign w:val="center"/>
          </w:tcPr>
          <w:p w14:paraId="603616D3">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限药量</w:t>
            </w:r>
          </w:p>
        </w:tc>
        <w:tc>
          <w:tcPr>
            <w:tcW w:w="1191" w:type="dxa"/>
            <w:vAlign w:val="center"/>
          </w:tcPr>
          <w:p w14:paraId="67A8C299">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5000Kg</w:t>
            </w:r>
          </w:p>
        </w:tc>
      </w:tr>
      <w:tr w14:paraId="02D17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1868" w:type="dxa"/>
            <w:vMerge w:val="continue"/>
            <w:vAlign w:val="center"/>
          </w:tcPr>
          <w:p w14:paraId="67262C80">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sz w:val="21"/>
                <w:szCs w:val="21"/>
              </w:rPr>
            </w:pPr>
          </w:p>
        </w:tc>
        <w:tc>
          <w:tcPr>
            <w:tcW w:w="1366" w:type="dxa"/>
            <w:vAlign w:val="center"/>
          </w:tcPr>
          <w:p w14:paraId="6F299F56">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545号仓库</w:t>
            </w:r>
          </w:p>
        </w:tc>
        <w:tc>
          <w:tcPr>
            <w:tcW w:w="3567" w:type="dxa"/>
            <w:gridSpan w:val="5"/>
            <w:vAlign w:val="center"/>
          </w:tcPr>
          <w:p w14:paraId="12F720A6">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1.1</w:t>
            </w:r>
            <w:r>
              <w:rPr>
                <w:rFonts w:hint="eastAsia" w:ascii="宋体" w:hAnsi="宋体" w:eastAsia="宋体" w:cs="宋体"/>
                <w:sz w:val="21"/>
                <w:szCs w:val="21"/>
                <w:vertAlign w:val="superscript"/>
                <w:lang w:val="en-US" w:eastAsia="zh-CN"/>
              </w:rPr>
              <w:t>-2</w:t>
            </w:r>
            <w:r>
              <w:rPr>
                <w:rFonts w:hint="eastAsia" w:ascii="宋体" w:hAnsi="宋体" w:eastAsia="宋体" w:cs="宋体"/>
                <w:sz w:val="21"/>
                <w:szCs w:val="21"/>
                <w:lang w:val="en-US" w:eastAsia="zh-CN"/>
              </w:rPr>
              <w:t>级仓库，面积为216m²</w:t>
            </w:r>
          </w:p>
        </w:tc>
        <w:tc>
          <w:tcPr>
            <w:tcW w:w="1287" w:type="dxa"/>
            <w:gridSpan w:val="4"/>
            <w:vAlign w:val="center"/>
          </w:tcPr>
          <w:p w14:paraId="515BDB9D">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限药量</w:t>
            </w:r>
          </w:p>
        </w:tc>
        <w:tc>
          <w:tcPr>
            <w:tcW w:w="1191" w:type="dxa"/>
            <w:vAlign w:val="center"/>
          </w:tcPr>
          <w:p w14:paraId="56883AEA">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000Kg</w:t>
            </w:r>
          </w:p>
        </w:tc>
      </w:tr>
      <w:tr w14:paraId="17AB0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1868" w:type="dxa"/>
            <w:vAlign w:val="center"/>
          </w:tcPr>
          <w:p w14:paraId="548C93D3">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申请许可证范围</w:t>
            </w:r>
          </w:p>
        </w:tc>
        <w:tc>
          <w:tcPr>
            <w:tcW w:w="7411" w:type="dxa"/>
            <w:gridSpan w:val="11"/>
            <w:vAlign w:val="center"/>
          </w:tcPr>
          <w:p w14:paraId="461C54EA">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喷花类（A、B、C、D）级、旋转类（A、B、C、D）级、升空类（A、B、C）级、吐珠类（A、B、C）级、玩具类（C、D）级、礼花类（A、B）级、架子烟花类（B、C）、组合烟花类（A、B、C、D）和爆竹类（C）级</w:t>
            </w:r>
          </w:p>
        </w:tc>
      </w:tr>
    </w:tbl>
    <w:p w14:paraId="7462A2DD">
      <w:pPr>
        <w:pStyle w:val="3"/>
        <w:bidi w:val="0"/>
        <w:ind w:left="0" w:leftChars="0" w:firstLine="0" w:firstLineChars="0"/>
        <w:rPr>
          <w:rFonts w:hint="eastAsia"/>
        </w:rPr>
      </w:pPr>
      <w:bookmarkStart w:id="33" w:name="_Toc10663"/>
      <w:bookmarkStart w:id="34" w:name="_Toc764"/>
      <w:r>
        <w:rPr>
          <w:rFonts w:hint="eastAsia"/>
          <w:lang w:val="en-US" w:eastAsia="zh-CN"/>
        </w:rPr>
        <w:t xml:space="preserve">2.2 </w:t>
      </w:r>
      <w:r>
        <w:rPr>
          <w:rFonts w:hint="eastAsia"/>
        </w:rPr>
        <w:t>项目概况</w:t>
      </w:r>
      <w:bookmarkEnd w:id="33"/>
      <w:bookmarkEnd w:id="34"/>
    </w:p>
    <w:p w14:paraId="29207E08">
      <w:pPr>
        <w:pStyle w:val="4"/>
        <w:bidi w:val="0"/>
        <w:ind w:left="0" w:leftChars="0" w:firstLine="0" w:firstLineChars="0"/>
        <w:rPr>
          <w:rFonts w:hint="default"/>
          <w:lang w:val="en-US" w:eastAsia="zh-CN"/>
        </w:rPr>
      </w:pPr>
      <w:bookmarkStart w:id="35" w:name="_Toc15502"/>
      <w:r>
        <w:rPr>
          <w:rFonts w:hint="default"/>
          <w:lang w:val="en-US" w:eastAsia="zh-CN"/>
        </w:rPr>
        <w:t>2.2.1 总平面布置</w:t>
      </w:r>
      <w:bookmarkEnd w:id="35"/>
    </w:p>
    <w:p w14:paraId="7E0E7C24">
      <w:pPr>
        <w:bidi w:val="0"/>
        <w:rPr>
          <w:rFonts w:hint="default"/>
          <w:lang w:val="en-US" w:eastAsia="zh-CN"/>
        </w:rPr>
      </w:pPr>
      <w:r>
        <w:rPr>
          <w:rFonts w:hint="default"/>
          <w:lang w:val="en-US" w:eastAsia="zh-CN"/>
        </w:rPr>
        <w:t>该公司租赁萍乡市金坪烟花制造有限公司的540、542、545号成品库</w:t>
      </w:r>
      <w:r>
        <w:rPr>
          <w:rFonts w:hint="eastAsia"/>
          <w:lang w:val="en-US" w:eastAsia="zh-CN"/>
        </w:rPr>
        <w:t>，</w:t>
      </w:r>
      <w:r>
        <w:rPr>
          <w:rFonts w:hint="default"/>
          <w:lang w:val="en-US" w:eastAsia="zh-CN"/>
        </w:rPr>
        <w:t>租用的540号成品库危险等级为1.3级</w:t>
      </w:r>
      <w:r>
        <w:rPr>
          <w:rFonts w:hint="eastAsia"/>
          <w:lang w:val="en-US" w:eastAsia="zh-CN"/>
        </w:rPr>
        <w:t>，</w:t>
      </w:r>
      <w:r>
        <w:rPr>
          <w:rFonts w:hint="default"/>
          <w:lang w:val="en-US" w:eastAsia="zh-CN"/>
        </w:rPr>
        <w:t>面积为420m²</w:t>
      </w:r>
      <w:r>
        <w:rPr>
          <w:rFonts w:hint="eastAsia"/>
          <w:lang w:val="en-US" w:eastAsia="zh-CN"/>
        </w:rPr>
        <w:t>，</w:t>
      </w:r>
      <w:r>
        <w:rPr>
          <w:rFonts w:hint="default"/>
          <w:lang w:val="en-US" w:eastAsia="zh-CN"/>
        </w:rPr>
        <w:t>设置为1间</w:t>
      </w:r>
      <w:r>
        <w:rPr>
          <w:rFonts w:hint="eastAsia"/>
          <w:lang w:val="en-US" w:eastAsia="zh-CN"/>
        </w:rPr>
        <w:t>，</w:t>
      </w:r>
      <w:r>
        <w:rPr>
          <w:rFonts w:hint="default"/>
          <w:lang w:val="en-US" w:eastAsia="zh-CN"/>
        </w:rPr>
        <w:t>用于储存C级爆竹类产品</w:t>
      </w:r>
      <w:r>
        <w:rPr>
          <w:rFonts w:hint="eastAsia"/>
          <w:lang w:val="en-US" w:eastAsia="zh-CN"/>
        </w:rPr>
        <w:t>，</w:t>
      </w:r>
      <w:r>
        <w:rPr>
          <w:rFonts w:hint="default"/>
          <w:lang w:val="en-US" w:eastAsia="zh-CN"/>
        </w:rPr>
        <w:t>总限药量为9000kg</w:t>
      </w:r>
      <w:r>
        <w:rPr>
          <w:rFonts w:hint="eastAsia"/>
          <w:lang w:val="en-US" w:eastAsia="zh-CN"/>
        </w:rPr>
        <w:t>，</w:t>
      </w:r>
      <w:r>
        <w:rPr>
          <w:rFonts w:hint="default"/>
          <w:lang w:val="en-US" w:eastAsia="zh-CN"/>
        </w:rPr>
        <w:t>租用的542号成品库危险等级为1.3级</w:t>
      </w:r>
      <w:r>
        <w:rPr>
          <w:rFonts w:hint="eastAsia"/>
          <w:lang w:val="en-US" w:eastAsia="zh-CN"/>
        </w:rPr>
        <w:t>，</w:t>
      </w:r>
      <w:r>
        <w:rPr>
          <w:rFonts w:hint="default"/>
          <w:lang w:val="en-US" w:eastAsia="zh-CN"/>
        </w:rPr>
        <w:t>面积为294m²</w:t>
      </w:r>
      <w:r>
        <w:rPr>
          <w:rFonts w:hint="eastAsia"/>
          <w:lang w:val="en-US" w:eastAsia="zh-CN"/>
        </w:rPr>
        <w:t>，</w:t>
      </w:r>
      <w:r>
        <w:rPr>
          <w:rFonts w:hint="default"/>
          <w:lang w:val="en-US" w:eastAsia="zh-CN"/>
        </w:rPr>
        <w:t>设置为1间</w:t>
      </w:r>
      <w:r>
        <w:rPr>
          <w:rFonts w:hint="eastAsia"/>
          <w:lang w:val="en-US" w:eastAsia="zh-CN"/>
        </w:rPr>
        <w:t>，</w:t>
      </w:r>
      <w:r>
        <w:rPr>
          <w:rFonts w:hint="default"/>
          <w:lang w:val="en-US" w:eastAsia="zh-CN"/>
        </w:rPr>
        <w:t>用于储存C、D级烟花类产品</w:t>
      </w:r>
      <w:r>
        <w:rPr>
          <w:rFonts w:hint="eastAsia"/>
          <w:lang w:val="en-US" w:eastAsia="zh-CN"/>
        </w:rPr>
        <w:t>，</w:t>
      </w:r>
      <w:r>
        <w:rPr>
          <w:rFonts w:hint="default"/>
          <w:lang w:val="en-US" w:eastAsia="zh-CN"/>
        </w:rPr>
        <w:t>总限药量为5000kg</w:t>
      </w:r>
      <w:r>
        <w:rPr>
          <w:rFonts w:hint="eastAsia"/>
          <w:lang w:val="en-US" w:eastAsia="zh-CN"/>
        </w:rPr>
        <w:t>，</w:t>
      </w:r>
      <w:r>
        <w:rPr>
          <w:rFonts w:hint="default"/>
          <w:lang w:val="en-US" w:eastAsia="zh-CN"/>
        </w:rPr>
        <w:t>租用的545号成品库危险等级为1.1</w:t>
      </w:r>
      <w:r>
        <w:rPr>
          <w:rFonts w:hint="eastAsia"/>
          <w:vertAlign w:val="superscript"/>
          <w:lang w:val="en-US" w:eastAsia="zh-CN"/>
        </w:rPr>
        <w:t>-</w:t>
      </w:r>
      <w:r>
        <w:rPr>
          <w:rFonts w:hint="default"/>
          <w:lang w:val="en-US" w:eastAsia="zh-CN"/>
        </w:rPr>
        <w:t>²级</w:t>
      </w:r>
      <w:r>
        <w:rPr>
          <w:rFonts w:hint="eastAsia"/>
          <w:lang w:val="en-US" w:eastAsia="zh-CN"/>
        </w:rPr>
        <w:t>，</w:t>
      </w:r>
      <w:r>
        <w:rPr>
          <w:rFonts w:hint="default"/>
          <w:lang w:val="en-US" w:eastAsia="zh-CN"/>
        </w:rPr>
        <w:t>面积为216m²</w:t>
      </w:r>
      <w:r>
        <w:rPr>
          <w:rFonts w:hint="eastAsia"/>
          <w:lang w:val="en-US" w:eastAsia="zh-CN"/>
        </w:rPr>
        <w:t>，</w:t>
      </w:r>
      <w:r>
        <w:rPr>
          <w:rFonts w:hint="default"/>
          <w:lang w:val="en-US" w:eastAsia="zh-CN"/>
        </w:rPr>
        <w:t>设置为1间，用于储存A、B级烟花类产品</w:t>
      </w:r>
      <w:r>
        <w:rPr>
          <w:rFonts w:hint="eastAsia"/>
          <w:lang w:val="en-US" w:eastAsia="zh-CN"/>
        </w:rPr>
        <w:t>，</w:t>
      </w:r>
      <w:r>
        <w:rPr>
          <w:rFonts w:hint="default"/>
          <w:lang w:val="en-US" w:eastAsia="zh-CN"/>
        </w:rPr>
        <w:t>总限药量为2000kg</w:t>
      </w:r>
      <w:r>
        <w:rPr>
          <w:rFonts w:hint="eastAsia"/>
          <w:lang w:val="en-US" w:eastAsia="zh-CN"/>
        </w:rPr>
        <w:t>。</w:t>
      </w:r>
      <w:r>
        <w:rPr>
          <w:rFonts w:hint="default"/>
          <w:lang w:val="en-US" w:eastAsia="zh-CN"/>
        </w:rPr>
        <w:t>该项目各库房均按照《烟花爆竹工程设计安全标准》GB50161-2022内部距离要求布置。</w:t>
      </w:r>
    </w:p>
    <w:p w14:paraId="262E9345">
      <w:pPr>
        <w:pStyle w:val="4"/>
        <w:bidi w:val="0"/>
        <w:ind w:left="0" w:leftChars="0" w:firstLine="0" w:firstLineChars="0"/>
        <w:rPr>
          <w:rFonts w:hint="default"/>
          <w:lang w:val="en-US" w:eastAsia="zh-CN"/>
        </w:rPr>
      </w:pPr>
      <w:bookmarkStart w:id="36" w:name="_Toc5830"/>
      <w:r>
        <w:rPr>
          <w:rFonts w:hint="default"/>
          <w:lang w:val="en-US" w:eastAsia="zh-CN"/>
        </w:rPr>
        <w:t>2.2.2 建筑物情况</w:t>
      </w:r>
      <w:bookmarkEnd w:id="36"/>
    </w:p>
    <w:p w14:paraId="6601DCCE">
      <w:pPr>
        <w:bidi w:val="0"/>
        <w:rPr>
          <w:rFonts w:hint="default"/>
          <w:lang w:val="en-US" w:eastAsia="zh-CN"/>
        </w:rPr>
      </w:pPr>
      <w:r>
        <w:rPr>
          <w:rFonts w:hint="default"/>
          <w:lang w:val="en-US" w:eastAsia="zh-CN"/>
        </w:rPr>
        <w:t>该项目现有危险性建筑物共3栋</w:t>
      </w:r>
      <w:r>
        <w:rPr>
          <w:rFonts w:hint="eastAsia"/>
          <w:lang w:val="en-US" w:eastAsia="zh-CN"/>
        </w:rPr>
        <w:t>，</w:t>
      </w:r>
      <w:r>
        <w:rPr>
          <w:rFonts w:hint="default"/>
          <w:lang w:val="en-US" w:eastAsia="zh-CN"/>
        </w:rPr>
        <w:t>根据企业提供的总平面布置图结合现场勘察</w:t>
      </w:r>
      <w:r>
        <w:rPr>
          <w:rFonts w:hint="eastAsia"/>
          <w:lang w:val="en-US" w:eastAsia="zh-CN"/>
        </w:rPr>
        <w:t>，</w:t>
      </w:r>
      <w:r>
        <w:rPr>
          <w:rFonts w:hint="default"/>
          <w:lang w:val="en-US" w:eastAsia="zh-CN"/>
        </w:rPr>
        <w:t>540号成品库</w:t>
      </w:r>
      <w:r>
        <w:rPr>
          <w:rFonts w:hint="eastAsia"/>
          <w:lang w:val="en-US" w:eastAsia="zh-CN"/>
        </w:rPr>
        <w:t>、</w:t>
      </w:r>
      <w:r>
        <w:rPr>
          <w:rFonts w:hint="default" w:ascii="Times New Roman" w:hAnsi="Times New Roman" w:eastAsia="宋体"/>
          <w:lang w:val="en-US" w:eastAsia="zh-CN"/>
        </w:rPr>
        <w:t>542号成品库</w:t>
      </w:r>
      <w:r>
        <w:rPr>
          <w:rFonts w:hint="eastAsia" w:ascii="Times New Roman" w:hAnsi="Times New Roman" w:eastAsia="宋体"/>
          <w:lang w:val="en-US" w:eastAsia="zh-CN"/>
        </w:rPr>
        <w:t>、</w:t>
      </w:r>
      <w:r>
        <w:rPr>
          <w:rFonts w:hint="default" w:ascii="Times New Roman" w:hAnsi="Times New Roman" w:eastAsia="宋体"/>
          <w:lang w:val="en-US" w:eastAsia="zh-CN"/>
        </w:rPr>
        <w:t>545号成品库</w:t>
      </w:r>
      <w:r>
        <w:rPr>
          <w:rFonts w:hint="default"/>
          <w:lang w:val="en-US" w:eastAsia="zh-CN"/>
        </w:rPr>
        <w:t>具体情况</w:t>
      </w:r>
      <w:r>
        <w:rPr>
          <w:rFonts w:hint="eastAsia"/>
          <w:lang w:val="en-US" w:eastAsia="zh-CN"/>
        </w:rPr>
        <w:t>分别见</w:t>
      </w:r>
      <w:r>
        <w:rPr>
          <w:rFonts w:hint="default"/>
          <w:lang w:val="en-US" w:eastAsia="zh-CN"/>
        </w:rPr>
        <w:t>表2.2-1</w:t>
      </w:r>
      <w:r>
        <w:rPr>
          <w:rFonts w:hint="eastAsia"/>
          <w:lang w:val="en-US" w:eastAsia="zh-CN"/>
        </w:rPr>
        <w:t>、</w:t>
      </w:r>
      <w:r>
        <w:rPr>
          <w:rFonts w:hint="default" w:ascii="Times New Roman" w:hAnsi="Times New Roman" w:eastAsia="宋体"/>
          <w:lang w:val="en-US" w:eastAsia="zh-CN"/>
        </w:rPr>
        <w:t>表2.2-2</w:t>
      </w:r>
      <w:r>
        <w:rPr>
          <w:rFonts w:hint="eastAsia" w:ascii="Times New Roman" w:hAnsi="Times New Roman" w:eastAsia="宋体"/>
          <w:lang w:val="en-US" w:eastAsia="zh-CN"/>
        </w:rPr>
        <w:t>、</w:t>
      </w:r>
      <w:r>
        <w:rPr>
          <w:rFonts w:hint="default" w:ascii="Times New Roman" w:hAnsi="Times New Roman" w:eastAsia="宋体"/>
          <w:lang w:val="en-US" w:eastAsia="zh-CN"/>
        </w:rPr>
        <w:t>表2.2-</w:t>
      </w:r>
      <w:r>
        <w:rPr>
          <w:rFonts w:hint="eastAsia" w:ascii="Times New Roman" w:hAnsi="Times New Roman" w:eastAsia="宋体"/>
          <w:lang w:val="en-US" w:eastAsia="zh-CN"/>
        </w:rPr>
        <w:t>3</w:t>
      </w:r>
      <w:r>
        <w:rPr>
          <w:rFonts w:hint="eastAsia"/>
          <w:lang w:val="en-US" w:eastAsia="zh-CN"/>
        </w:rPr>
        <w:t>。</w:t>
      </w:r>
    </w:p>
    <w:p w14:paraId="6C323436">
      <w:pPr>
        <w:bidi w:val="0"/>
        <w:jc w:val="center"/>
        <w:rPr>
          <w:rFonts w:hint="default"/>
          <w:lang w:val="en-US" w:eastAsia="zh-CN"/>
        </w:rPr>
      </w:pPr>
      <w:r>
        <w:rPr>
          <w:rFonts w:hint="default"/>
          <w:lang w:val="en-US" w:eastAsia="zh-CN"/>
        </w:rPr>
        <w:t>表2.2-1</w:t>
      </w:r>
      <w:r>
        <w:rPr>
          <w:rFonts w:hint="eastAsia"/>
          <w:lang w:val="en-US" w:eastAsia="zh-CN"/>
        </w:rPr>
        <w:t xml:space="preserve">  </w:t>
      </w:r>
      <w:r>
        <w:rPr>
          <w:rFonts w:hint="default"/>
          <w:lang w:val="en-US" w:eastAsia="zh-CN"/>
        </w:rPr>
        <w:t>540号成品库建筑特征一览表</w:t>
      </w:r>
    </w:p>
    <w:tbl>
      <w:tblPr>
        <w:tblStyle w:val="42"/>
        <w:tblW w:w="83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52"/>
        <w:gridCol w:w="5387"/>
      </w:tblGrid>
      <w:tr w14:paraId="50E40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2952" w:type="dxa"/>
            <w:shd w:val="clear" w:color="auto" w:fill="auto"/>
            <w:vAlign w:val="top"/>
          </w:tcPr>
          <w:p w14:paraId="2BA31DEC">
            <w:pPr>
              <w:pStyle w:val="14"/>
              <w:bidi w:val="0"/>
              <w:jc w:val="center"/>
              <w:rPr>
                <w:rFonts w:hint="eastAsia"/>
                <w:lang w:val="en-US" w:eastAsia="en-US"/>
              </w:rPr>
            </w:pPr>
            <w:r>
              <w:t>建筑结构防火等级</w:t>
            </w:r>
          </w:p>
        </w:tc>
        <w:tc>
          <w:tcPr>
            <w:tcW w:w="5387" w:type="dxa"/>
            <w:shd w:val="clear" w:color="auto" w:fill="auto"/>
            <w:vAlign w:val="top"/>
          </w:tcPr>
          <w:p w14:paraId="1818851F">
            <w:pPr>
              <w:pStyle w:val="14"/>
              <w:bidi w:val="0"/>
              <w:jc w:val="center"/>
              <w:rPr>
                <w:rFonts w:hint="eastAsia"/>
                <w:lang w:val="en-US" w:eastAsia="en-US"/>
              </w:rPr>
            </w:pPr>
            <w:r>
              <w:t>二级</w:t>
            </w:r>
          </w:p>
        </w:tc>
      </w:tr>
      <w:tr w14:paraId="50E86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2952" w:type="dxa"/>
            <w:shd w:val="clear" w:color="auto" w:fill="auto"/>
            <w:vAlign w:val="top"/>
          </w:tcPr>
          <w:p w14:paraId="3D25B2C0">
            <w:pPr>
              <w:pStyle w:val="14"/>
              <w:bidi w:val="0"/>
              <w:jc w:val="center"/>
              <w:rPr>
                <w:rFonts w:hint="eastAsia"/>
                <w:lang w:val="en-US" w:eastAsia="en-US"/>
              </w:rPr>
            </w:pPr>
            <w:r>
              <w:t>总层数</w:t>
            </w:r>
          </w:p>
        </w:tc>
        <w:tc>
          <w:tcPr>
            <w:tcW w:w="5387" w:type="dxa"/>
            <w:shd w:val="clear" w:color="auto" w:fill="auto"/>
            <w:vAlign w:val="top"/>
          </w:tcPr>
          <w:p w14:paraId="05333BE4">
            <w:pPr>
              <w:pStyle w:val="14"/>
              <w:bidi w:val="0"/>
              <w:jc w:val="center"/>
              <w:rPr>
                <w:rFonts w:hint="eastAsia"/>
                <w:lang w:val="en-US" w:eastAsia="en-US"/>
              </w:rPr>
            </w:pPr>
            <w:r>
              <w:t>一层</w:t>
            </w:r>
          </w:p>
        </w:tc>
      </w:tr>
      <w:tr w14:paraId="3A921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2952" w:type="dxa"/>
            <w:shd w:val="clear" w:color="auto" w:fill="auto"/>
            <w:vAlign w:val="top"/>
          </w:tcPr>
          <w:p w14:paraId="6C4EEBC6">
            <w:pPr>
              <w:pStyle w:val="14"/>
              <w:bidi w:val="0"/>
              <w:jc w:val="center"/>
              <w:rPr>
                <w:rFonts w:hint="eastAsia"/>
                <w:lang w:val="en-US" w:eastAsia="en-US"/>
              </w:rPr>
            </w:pPr>
            <w:r>
              <w:t>结构类型</w:t>
            </w:r>
          </w:p>
        </w:tc>
        <w:tc>
          <w:tcPr>
            <w:tcW w:w="5387" w:type="dxa"/>
            <w:shd w:val="clear" w:color="auto" w:fill="auto"/>
            <w:vAlign w:val="top"/>
          </w:tcPr>
          <w:p w14:paraId="142786D7">
            <w:pPr>
              <w:pStyle w:val="14"/>
              <w:bidi w:val="0"/>
              <w:jc w:val="center"/>
              <w:rPr>
                <w:rFonts w:hint="eastAsia"/>
                <w:lang w:val="en-US" w:eastAsia="en-US"/>
              </w:rPr>
            </w:pPr>
            <w:r>
              <w:t>砖混墙体、钢架梁承重结构、彩钢瓦屋面</w:t>
            </w:r>
          </w:p>
        </w:tc>
      </w:tr>
      <w:tr w14:paraId="75A34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2952" w:type="dxa"/>
            <w:shd w:val="clear" w:color="auto" w:fill="auto"/>
            <w:vAlign w:val="top"/>
          </w:tcPr>
          <w:p w14:paraId="07C40D0E">
            <w:pPr>
              <w:pStyle w:val="14"/>
              <w:bidi w:val="0"/>
              <w:jc w:val="center"/>
              <w:rPr>
                <w:rFonts w:hint="eastAsia"/>
                <w:lang w:val="en-US" w:eastAsia="en-US"/>
              </w:rPr>
            </w:pPr>
            <w:r>
              <w:t>基础类型</w:t>
            </w:r>
          </w:p>
        </w:tc>
        <w:tc>
          <w:tcPr>
            <w:tcW w:w="5387" w:type="dxa"/>
            <w:shd w:val="clear" w:color="auto" w:fill="auto"/>
            <w:vAlign w:val="top"/>
          </w:tcPr>
          <w:p w14:paraId="03CF28CA">
            <w:pPr>
              <w:pStyle w:val="14"/>
              <w:bidi w:val="0"/>
              <w:jc w:val="center"/>
              <w:rPr>
                <w:rFonts w:hint="eastAsia"/>
                <w:lang w:val="en-US" w:eastAsia="en-US"/>
              </w:rPr>
            </w:pPr>
            <w:r>
              <w:t>钢筋混凝土结构</w:t>
            </w:r>
          </w:p>
        </w:tc>
      </w:tr>
      <w:tr w14:paraId="16903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2952" w:type="dxa"/>
            <w:shd w:val="clear" w:color="auto" w:fill="auto"/>
            <w:vAlign w:val="top"/>
          </w:tcPr>
          <w:p w14:paraId="29DD159E">
            <w:pPr>
              <w:pStyle w:val="14"/>
              <w:bidi w:val="0"/>
              <w:jc w:val="center"/>
              <w:rPr>
                <w:rFonts w:hint="eastAsia"/>
                <w:lang w:val="en-US" w:eastAsia="en-US"/>
              </w:rPr>
            </w:pPr>
            <w:r>
              <w:t>危险等级</w:t>
            </w:r>
          </w:p>
        </w:tc>
        <w:tc>
          <w:tcPr>
            <w:tcW w:w="5387" w:type="dxa"/>
            <w:shd w:val="clear" w:color="auto" w:fill="auto"/>
            <w:vAlign w:val="top"/>
          </w:tcPr>
          <w:p w14:paraId="0693F9B0">
            <w:pPr>
              <w:pStyle w:val="14"/>
              <w:bidi w:val="0"/>
              <w:jc w:val="center"/>
              <w:rPr>
                <w:rFonts w:hint="eastAsia"/>
                <w:lang w:val="en-US" w:eastAsia="en-US"/>
              </w:rPr>
            </w:pPr>
            <w:r>
              <w:t>1.3级</w:t>
            </w:r>
          </w:p>
        </w:tc>
      </w:tr>
      <w:tr w14:paraId="56FF6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2952" w:type="dxa"/>
            <w:shd w:val="clear" w:color="auto" w:fill="auto"/>
            <w:vAlign w:val="top"/>
          </w:tcPr>
          <w:p w14:paraId="32F38493">
            <w:pPr>
              <w:pStyle w:val="14"/>
              <w:bidi w:val="0"/>
              <w:jc w:val="center"/>
              <w:rPr>
                <w:rFonts w:hint="eastAsia"/>
                <w:lang w:val="en-US" w:eastAsia="en-US"/>
              </w:rPr>
            </w:pPr>
            <w:r>
              <w:t>储存药量</w:t>
            </w:r>
          </w:p>
        </w:tc>
        <w:tc>
          <w:tcPr>
            <w:tcW w:w="5387" w:type="dxa"/>
            <w:shd w:val="clear" w:color="auto" w:fill="auto"/>
            <w:vAlign w:val="top"/>
          </w:tcPr>
          <w:p w14:paraId="31FEBD01">
            <w:pPr>
              <w:pStyle w:val="14"/>
              <w:bidi w:val="0"/>
              <w:jc w:val="center"/>
              <w:rPr>
                <w:rFonts w:hint="eastAsia"/>
                <w:lang w:val="en-US" w:eastAsia="en-US"/>
              </w:rPr>
            </w:pPr>
            <w:r>
              <w:t>9000kg</w:t>
            </w:r>
          </w:p>
        </w:tc>
      </w:tr>
      <w:tr w14:paraId="0DECC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2952" w:type="dxa"/>
            <w:shd w:val="clear" w:color="auto" w:fill="auto"/>
            <w:vAlign w:val="top"/>
          </w:tcPr>
          <w:p w14:paraId="7AD7E8ED">
            <w:pPr>
              <w:pStyle w:val="14"/>
              <w:bidi w:val="0"/>
              <w:jc w:val="center"/>
              <w:rPr>
                <w:rFonts w:hint="eastAsia"/>
                <w:lang w:val="en-US" w:eastAsia="en-US"/>
              </w:rPr>
            </w:pPr>
            <w:r>
              <w:t>库房尺寸(长×宽×高，m)</w:t>
            </w:r>
          </w:p>
        </w:tc>
        <w:tc>
          <w:tcPr>
            <w:tcW w:w="5387" w:type="dxa"/>
            <w:shd w:val="clear" w:color="auto" w:fill="auto"/>
            <w:vAlign w:val="top"/>
          </w:tcPr>
          <w:p w14:paraId="1E4080BF">
            <w:pPr>
              <w:pStyle w:val="14"/>
              <w:bidi w:val="0"/>
              <w:jc w:val="center"/>
              <w:rPr>
                <w:rFonts w:hint="eastAsia"/>
                <w:lang w:val="en-US" w:eastAsia="en-US"/>
              </w:rPr>
            </w:pPr>
            <w:r>
              <w:t>35m×12m×5m</w:t>
            </w:r>
          </w:p>
        </w:tc>
      </w:tr>
      <w:tr w14:paraId="155E0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2952" w:type="dxa"/>
            <w:shd w:val="clear" w:color="auto" w:fill="auto"/>
            <w:vAlign w:val="top"/>
          </w:tcPr>
          <w:p w14:paraId="4F0D9B2F">
            <w:pPr>
              <w:pStyle w:val="14"/>
              <w:bidi w:val="0"/>
              <w:jc w:val="center"/>
              <w:rPr>
                <w:rFonts w:hint="eastAsia"/>
                <w:lang w:val="en-US" w:eastAsia="en-US"/>
              </w:rPr>
            </w:pPr>
            <w:r>
              <w:t>安全疏散口最远距离</w:t>
            </w:r>
          </w:p>
        </w:tc>
        <w:tc>
          <w:tcPr>
            <w:tcW w:w="5387" w:type="dxa"/>
            <w:shd w:val="clear" w:color="auto" w:fill="auto"/>
            <w:vAlign w:val="top"/>
          </w:tcPr>
          <w:p w14:paraId="449591C3">
            <w:pPr>
              <w:pStyle w:val="14"/>
              <w:bidi w:val="0"/>
              <w:jc w:val="center"/>
              <w:rPr>
                <w:rFonts w:hint="eastAsia"/>
                <w:lang w:val="en-US" w:eastAsia="en-US"/>
              </w:rPr>
            </w:pPr>
            <w:r>
              <w:t>&lt;15m</w:t>
            </w:r>
          </w:p>
        </w:tc>
      </w:tr>
      <w:tr w14:paraId="1E0AF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2952" w:type="dxa"/>
            <w:shd w:val="clear" w:color="auto" w:fill="auto"/>
            <w:vAlign w:val="top"/>
          </w:tcPr>
          <w:p w14:paraId="36F6756E">
            <w:pPr>
              <w:pStyle w:val="14"/>
              <w:bidi w:val="0"/>
              <w:jc w:val="center"/>
              <w:rPr>
                <w:rFonts w:hint="eastAsia"/>
                <w:lang w:val="en-US" w:eastAsia="en-US"/>
              </w:rPr>
            </w:pPr>
            <w:r>
              <w:t>库门结构</w:t>
            </w:r>
          </w:p>
        </w:tc>
        <w:tc>
          <w:tcPr>
            <w:tcW w:w="5387" w:type="dxa"/>
            <w:shd w:val="clear" w:color="auto" w:fill="auto"/>
            <w:vAlign w:val="top"/>
          </w:tcPr>
          <w:p w14:paraId="4AF932F3">
            <w:pPr>
              <w:pStyle w:val="14"/>
              <w:bidi w:val="0"/>
              <w:jc w:val="center"/>
              <w:rPr>
                <w:rFonts w:hint="eastAsia"/>
                <w:lang w:val="en-US" w:eastAsia="en-US"/>
              </w:rPr>
            </w:pPr>
            <w:r>
              <w:t>为木质结构，表层涂抹防火漆，均向外开启</w:t>
            </w:r>
          </w:p>
        </w:tc>
      </w:tr>
      <w:tr w14:paraId="2DD2C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2952" w:type="dxa"/>
            <w:shd w:val="clear" w:color="auto" w:fill="auto"/>
            <w:vAlign w:val="top"/>
          </w:tcPr>
          <w:p w14:paraId="1AB39842">
            <w:pPr>
              <w:pStyle w:val="14"/>
              <w:bidi w:val="0"/>
              <w:jc w:val="center"/>
              <w:rPr>
                <w:rFonts w:hint="eastAsia"/>
                <w:lang w:val="en-US" w:eastAsia="en-US"/>
              </w:rPr>
            </w:pPr>
            <w:r>
              <w:t>上窗结构</w:t>
            </w:r>
          </w:p>
        </w:tc>
        <w:tc>
          <w:tcPr>
            <w:tcW w:w="5387" w:type="dxa"/>
            <w:shd w:val="clear" w:color="auto" w:fill="auto"/>
            <w:vAlign w:val="top"/>
          </w:tcPr>
          <w:p w14:paraId="594A8DE0">
            <w:pPr>
              <w:pStyle w:val="14"/>
              <w:bidi w:val="0"/>
              <w:jc w:val="center"/>
              <w:rPr>
                <w:rFonts w:hint="eastAsia"/>
                <w:lang w:val="en-US" w:eastAsia="en-US"/>
              </w:rPr>
            </w:pPr>
            <w:r>
              <w:t>百叶窗</w:t>
            </w:r>
          </w:p>
        </w:tc>
      </w:tr>
      <w:tr w14:paraId="70AD2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2952" w:type="dxa"/>
            <w:shd w:val="clear" w:color="auto" w:fill="auto"/>
            <w:vAlign w:val="top"/>
          </w:tcPr>
          <w:p w14:paraId="2FA31531">
            <w:pPr>
              <w:pStyle w:val="14"/>
              <w:bidi w:val="0"/>
              <w:jc w:val="center"/>
              <w:rPr>
                <w:rFonts w:hint="eastAsia"/>
                <w:lang w:val="en-US" w:eastAsia="en-US"/>
              </w:rPr>
            </w:pPr>
            <w:r>
              <w:t>下通风窗</w:t>
            </w:r>
          </w:p>
        </w:tc>
        <w:tc>
          <w:tcPr>
            <w:tcW w:w="5387" w:type="dxa"/>
            <w:shd w:val="clear" w:color="auto" w:fill="auto"/>
            <w:vAlign w:val="top"/>
          </w:tcPr>
          <w:p w14:paraId="32AD496D">
            <w:pPr>
              <w:pStyle w:val="14"/>
              <w:bidi w:val="0"/>
              <w:jc w:val="center"/>
              <w:rPr>
                <w:rFonts w:hint="eastAsia"/>
                <w:lang w:val="en-US" w:eastAsia="en-US"/>
              </w:rPr>
            </w:pPr>
            <w:r>
              <w:t>下通风窗为百叶窗</w:t>
            </w:r>
          </w:p>
        </w:tc>
      </w:tr>
    </w:tbl>
    <w:p w14:paraId="447203C0">
      <w:pPr>
        <w:bidi w:val="0"/>
        <w:ind w:firstLine="883"/>
        <w:jc w:val="center"/>
        <w:rPr>
          <w:rFonts w:hint="default" w:ascii="Times New Roman" w:hAnsi="Times New Roman" w:eastAsia="宋体"/>
          <w:lang w:val="en-US" w:eastAsia="zh-CN"/>
        </w:rPr>
      </w:pPr>
      <w:r>
        <w:rPr>
          <w:rFonts w:hint="default" w:ascii="Times New Roman" w:hAnsi="Times New Roman" w:eastAsia="宋体"/>
          <w:lang w:val="en-US" w:eastAsia="zh-CN"/>
        </w:rPr>
        <w:t>表2.2-2</w:t>
      </w:r>
      <w:r>
        <w:rPr>
          <w:rFonts w:hint="eastAsia" w:ascii="Times New Roman" w:hAnsi="Times New Roman" w:eastAsia="宋体"/>
          <w:lang w:val="en-US" w:eastAsia="zh-CN"/>
        </w:rPr>
        <w:t xml:space="preserve">  </w:t>
      </w:r>
      <w:r>
        <w:rPr>
          <w:rFonts w:hint="default" w:ascii="Times New Roman" w:hAnsi="Times New Roman" w:eastAsia="宋体"/>
          <w:lang w:val="en-US" w:eastAsia="zh-CN"/>
        </w:rPr>
        <w:t>542号成品库建筑特征一览表</w:t>
      </w:r>
    </w:p>
    <w:tbl>
      <w:tblPr>
        <w:tblStyle w:val="105"/>
        <w:tblW w:w="869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033"/>
        <w:gridCol w:w="5666"/>
      </w:tblGrid>
      <w:tr w14:paraId="6E8B6F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jc w:val="center"/>
        </w:trPr>
        <w:tc>
          <w:tcPr>
            <w:tcW w:w="3033" w:type="dxa"/>
            <w:vAlign w:val="top"/>
          </w:tcPr>
          <w:p w14:paraId="2AE7C031">
            <w:pPr>
              <w:pStyle w:val="14"/>
              <w:bidi w:val="0"/>
            </w:pPr>
            <w:r>
              <w:t>建筑结构防火等级</w:t>
            </w:r>
          </w:p>
        </w:tc>
        <w:tc>
          <w:tcPr>
            <w:tcW w:w="5666" w:type="dxa"/>
            <w:vAlign w:val="top"/>
          </w:tcPr>
          <w:p w14:paraId="434EB907">
            <w:pPr>
              <w:pStyle w:val="14"/>
              <w:bidi w:val="0"/>
            </w:pPr>
            <w:r>
              <w:t>二级</w:t>
            </w:r>
          </w:p>
        </w:tc>
      </w:tr>
      <w:tr w14:paraId="6F8BF9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jc w:val="center"/>
        </w:trPr>
        <w:tc>
          <w:tcPr>
            <w:tcW w:w="3033" w:type="dxa"/>
            <w:vAlign w:val="top"/>
          </w:tcPr>
          <w:p w14:paraId="292993B6">
            <w:pPr>
              <w:pStyle w:val="14"/>
              <w:bidi w:val="0"/>
            </w:pPr>
            <w:r>
              <w:t>总层数</w:t>
            </w:r>
          </w:p>
        </w:tc>
        <w:tc>
          <w:tcPr>
            <w:tcW w:w="5666" w:type="dxa"/>
            <w:vAlign w:val="top"/>
          </w:tcPr>
          <w:p w14:paraId="4B089186">
            <w:pPr>
              <w:pStyle w:val="14"/>
              <w:bidi w:val="0"/>
            </w:pPr>
            <w:r>
              <w:t>一层</w:t>
            </w:r>
          </w:p>
        </w:tc>
      </w:tr>
      <w:tr w14:paraId="4AAC16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jc w:val="center"/>
        </w:trPr>
        <w:tc>
          <w:tcPr>
            <w:tcW w:w="3033" w:type="dxa"/>
            <w:vAlign w:val="top"/>
          </w:tcPr>
          <w:p w14:paraId="01E48A64">
            <w:pPr>
              <w:pStyle w:val="14"/>
              <w:bidi w:val="0"/>
            </w:pPr>
            <w:r>
              <w:t>结构类型</w:t>
            </w:r>
          </w:p>
        </w:tc>
        <w:tc>
          <w:tcPr>
            <w:tcW w:w="5666" w:type="dxa"/>
            <w:vAlign w:val="top"/>
          </w:tcPr>
          <w:p w14:paraId="7864781C">
            <w:pPr>
              <w:pStyle w:val="14"/>
              <w:bidi w:val="0"/>
            </w:pPr>
            <w:r>
              <w:t>砖混墙体、钢架梁承重结构、彩钢瓦屋面</w:t>
            </w:r>
          </w:p>
        </w:tc>
      </w:tr>
      <w:tr w14:paraId="4D3075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jc w:val="center"/>
        </w:trPr>
        <w:tc>
          <w:tcPr>
            <w:tcW w:w="3033" w:type="dxa"/>
            <w:vAlign w:val="top"/>
          </w:tcPr>
          <w:p w14:paraId="4FDC49E3">
            <w:pPr>
              <w:pStyle w:val="14"/>
              <w:bidi w:val="0"/>
            </w:pPr>
            <w:r>
              <w:t>基础类型</w:t>
            </w:r>
          </w:p>
        </w:tc>
        <w:tc>
          <w:tcPr>
            <w:tcW w:w="5666" w:type="dxa"/>
            <w:vAlign w:val="top"/>
          </w:tcPr>
          <w:p w14:paraId="3E64F806">
            <w:pPr>
              <w:pStyle w:val="14"/>
              <w:bidi w:val="0"/>
            </w:pPr>
            <w:r>
              <w:t>钢筋混凝土结构</w:t>
            </w:r>
          </w:p>
        </w:tc>
      </w:tr>
      <w:tr w14:paraId="616AC6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jc w:val="center"/>
        </w:trPr>
        <w:tc>
          <w:tcPr>
            <w:tcW w:w="3033" w:type="dxa"/>
            <w:vAlign w:val="top"/>
          </w:tcPr>
          <w:p w14:paraId="12661B26">
            <w:pPr>
              <w:pStyle w:val="14"/>
              <w:bidi w:val="0"/>
            </w:pPr>
            <w:r>
              <w:t>危险等级</w:t>
            </w:r>
          </w:p>
        </w:tc>
        <w:tc>
          <w:tcPr>
            <w:tcW w:w="5666" w:type="dxa"/>
            <w:vAlign w:val="top"/>
          </w:tcPr>
          <w:p w14:paraId="023DCA42">
            <w:pPr>
              <w:pStyle w:val="14"/>
              <w:bidi w:val="0"/>
            </w:pPr>
            <w:r>
              <w:t>1.3级</w:t>
            </w:r>
          </w:p>
        </w:tc>
      </w:tr>
      <w:tr w14:paraId="6C24FB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jc w:val="center"/>
        </w:trPr>
        <w:tc>
          <w:tcPr>
            <w:tcW w:w="3033" w:type="dxa"/>
            <w:vAlign w:val="top"/>
          </w:tcPr>
          <w:p w14:paraId="1C49C859">
            <w:pPr>
              <w:pStyle w:val="14"/>
              <w:bidi w:val="0"/>
            </w:pPr>
            <w:r>
              <w:t>储存药量</w:t>
            </w:r>
          </w:p>
        </w:tc>
        <w:tc>
          <w:tcPr>
            <w:tcW w:w="5666" w:type="dxa"/>
            <w:vAlign w:val="top"/>
          </w:tcPr>
          <w:p w14:paraId="3DE7A573">
            <w:pPr>
              <w:pStyle w:val="14"/>
              <w:bidi w:val="0"/>
            </w:pPr>
            <w:r>
              <w:t>5000kg</w:t>
            </w:r>
          </w:p>
        </w:tc>
      </w:tr>
      <w:tr w14:paraId="3DAB3D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jc w:val="center"/>
        </w:trPr>
        <w:tc>
          <w:tcPr>
            <w:tcW w:w="3033" w:type="dxa"/>
            <w:vAlign w:val="top"/>
          </w:tcPr>
          <w:p w14:paraId="1051D7ED">
            <w:pPr>
              <w:pStyle w:val="14"/>
              <w:bidi w:val="0"/>
            </w:pPr>
            <w:r>
              <w:t>库房尺寸(长×宽×高，m)</w:t>
            </w:r>
          </w:p>
        </w:tc>
        <w:tc>
          <w:tcPr>
            <w:tcW w:w="5666" w:type="dxa"/>
            <w:vAlign w:val="top"/>
          </w:tcPr>
          <w:p w14:paraId="4D57BA41">
            <w:pPr>
              <w:pStyle w:val="14"/>
              <w:bidi w:val="0"/>
            </w:pPr>
            <w:r>
              <w:t>21m×14m×5m</w:t>
            </w:r>
          </w:p>
        </w:tc>
      </w:tr>
      <w:tr w14:paraId="68A042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jc w:val="center"/>
        </w:trPr>
        <w:tc>
          <w:tcPr>
            <w:tcW w:w="3033" w:type="dxa"/>
            <w:vAlign w:val="top"/>
          </w:tcPr>
          <w:p w14:paraId="005B4993">
            <w:pPr>
              <w:pStyle w:val="14"/>
              <w:bidi w:val="0"/>
            </w:pPr>
            <w:r>
              <w:t>安全疏散口最远距离</w:t>
            </w:r>
          </w:p>
        </w:tc>
        <w:tc>
          <w:tcPr>
            <w:tcW w:w="5666" w:type="dxa"/>
            <w:vAlign w:val="top"/>
          </w:tcPr>
          <w:p w14:paraId="770E0819">
            <w:pPr>
              <w:pStyle w:val="14"/>
              <w:bidi w:val="0"/>
            </w:pPr>
            <w:r>
              <w:t>&lt;15m</w:t>
            </w:r>
          </w:p>
        </w:tc>
      </w:tr>
      <w:tr w14:paraId="5BD41D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jc w:val="center"/>
        </w:trPr>
        <w:tc>
          <w:tcPr>
            <w:tcW w:w="3033" w:type="dxa"/>
            <w:vAlign w:val="top"/>
          </w:tcPr>
          <w:p w14:paraId="676F775F">
            <w:pPr>
              <w:pStyle w:val="14"/>
              <w:bidi w:val="0"/>
            </w:pPr>
            <w:r>
              <w:t>库门结构</w:t>
            </w:r>
          </w:p>
        </w:tc>
        <w:tc>
          <w:tcPr>
            <w:tcW w:w="5666" w:type="dxa"/>
            <w:vAlign w:val="top"/>
          </w:tcPr>
          <w:p w14:paraId="3F0E2E69">
            <w:pPr>
              <w:pStyle w:val="14"/>
              <w:bidi w:val="0"/>
            </w:pPr>
            <w:r>
              <w:t>为木质结构，表层涂抹防火漆，均向外开启</w:t>
            </w:r>
          </w:p>
        </w:tc>
      </w:tr>
      <w:tr w14:paraId="26EE18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jc w:val="center"/>
        </w:trPr>
        <w:tc>
          <w:tcPr>
            <w:tcW w:w="3033" w:type="dxa"/>
            <w:vAlign w:val="top"/>
          </w:tcPr>
          <w:p w14:paraId="74D37487">
            <w:pPr>
              <w:pStyle w:val="14"/>
              <w:bidi w:val="0"/>
            </w:pPr>
            <w:r>
              <w:t>上窗结构</w:t>
            </w:r>
          </w:p>
        </w:tc>
        <w:tc>
          <w:tcPr>
            <w:tcW w:w="5666" w:type="dxa"/>
            <w:vAlign w:val="top"/>
          </w:tcPr>
          <w:p w14:paraId="6738F84E">
            <w:pPr>
              <w:pStyle w:val="14"/>
              <w:bidi w:val="0"/>
            </w:pPr>
            <w:r>
              <w:t>百叶窗</w:t>
            </w:r>
          </w:p>
        </w:tc>
      </w:tr>
      <w:tr w14:paraId="47C7ED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jc w:val="center"/>
        </w:trPr>
        <w:tc>
          <w:tcPr>
            <w:tcW w:w="3033" w:type="dxa"/>
            <w:vAlign w:val="top"/>
          </w:tcPr>
          <w:p w14:paraId="288211B0">
            <w:pPr>
              <w:pStyle w:val="14"/>
              <w:bidi w:val="0"/>
            </w:pPr>
            <w:r>
              <w:t>下通风窗</w:t>
            </w:r>
          </w:p>
        </w:tc>
        <w:tc>
          <w:tcPr>
            <w:tcW w:w="5666" w:type="dxa"/>
            <w:vAlign w:val="top"/>
          </w:tcPr>
          <w:p w14:paraId="3154F239">
            <w:pPr>
              <w:pStyle w:val="14"/>
              <w:bidi w:val="0"/>
            </w:pPr>
            <w:r>
              <w:t>下通风窗为百叶窗</w:t>
            </w:r>
          </w:p>
        </w:tc>
      </w:tr>
    </w:tbl>
    <w:p w14:paraId="6805C747">
      <w:pPr>
        <w:bidi w:val="0"/>
        <w:ind w:firstLine="883"/>
        <w:jc w:val="center"/>
        <w:rPr>
          <w:rFonts w:hint="default" w:ascii="Times New Roman" w:hAnsi="Times New Roman" w:eastAsia="宋体"/>
          <w:lang w:val="en-US" w:eastAsia="zh-CN"/>
        </w:rPr>
      </w:pPr>
      <w:r>
        <w:rPr>
          <w:rFonts w:hint="default" w:ascii="Times New Roman" w:hAnsi="Times New Roman" w:eastAsia="宋体"/>
          <w:lang w:val="en-US" w:eastAsia="zh-CN"/>
        </w:rPr>
        <w:t>表2.2-3</w:t>
      </w:r>
      <w:r>
        <w:rPr>
          <w:rFonts w:hint="eastAsia" w:ascii="Times New Roman" w:hAnsi="Times New Roman" w:eastAsia="宋体"/>
          <w:lang w:val="en-US" w:eastAsia="zh-CN"/>
        </w:rPr>
        <w:t xml:space="preserve">  </w:t>
      </w:r>
      <w:r>
        <w:rPr>
          <w:rFonts w:hint="default" w:ascii="Times New Roman" w:hAnsi="Times New Roman" w:eastAsia="宋体"/>
          <w:lang w:val="en-US" w:eastAsia="zh-CN"/>
        </w:rPr>
        <w:t>545号成品库建筑特征一览表</w:t>
      </w:r>
    </w:p>
    <w:tbl>
      <w:tblPr>
        <w:tblStyle w:val="105"/>
        <w:tblW w:w="8939" w:type="dxa"/>
        <w:tblInd w:w="1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025"/>
        <w:gridCol w:w="5914"/>
      </w:tblGrid>
      <w:tr w14:paraId="3D4A58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trPr>
        <w:tc>
          <w:tcPr>
            <w:tcW w:w="3025" w:type="dxa"/>
            <w:vAlign w:val="top"/>
          </w:tcPr>
          <w:p w14:paraId="096F0513">
            <w:pPr>
              <w:pStyle w:val="14"/>
              <w:bidi w:val="0"/>
            </w:pPr>
            <w:r>
              <w:t>建筑结构防火等级</w:t>
            </w:r>
          </w:p>
        </w:tc>
        <w:tc>
          <w:tcPr>
            <w:tcW w:w="5914" w:type="dxa"/>
            <w:vAlign w:val="top"/>
          </w:tcPr>
          <w:p w14:paraId="210A1647">
            <w:pPr>
              <w:pStyle w:val="14"/>
              <w:bidi w:val="0"/>
            </w:pPr>
            <w:r>
              <w:t>二级</w:t>
            </w:r>
          </w:p>
        </w:tc>
      </w:tr>
      <w:tr w14:paraId="43EE5D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8" w:hRule="atLeast"/>
        </w:trPr>
        <w:tc>
          <w:tcPr>
            <w:tcW w:w="3025" w:type="dxa"/>
            <w:vAlign w:val="top"/>
          </w:tcPr>
          <w:p w14:paraId="5AA9600F">
            <w:pPr>
              <w:pStyle w:val="14"/>
              <w:bidi w:val="0"/>
            </w:pPr>
            <w:r>
              <w:t>总层数</w:t>
            </w:r>
          </w:p>
        </w:tc>
        <w:tc>
          <w:tcPr>
            <w:tcW w:w="5914" w:type="dxa"/>
            <w:vAlign w:val="top"/>
          </w:tcPr>
          <w:p w14:paraId="0DE5003D">
            <w:pPr>
              <w:pStyle w:val="14"/>
              <w:bidi w:val="0"/>
            </w:pPr>
            <w:r>
              <w:t>一层</w:t>
            </w:r>
          </w:p>
        </w:tc>
      </w:tr>
      <w:tr w14:paraId="11DF4D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8" w:hRule="atLeast"/>
        </w:trPr>
        <w:tc>
          <w:tcPr>
            <w:tcW w:w="3025" w:type="dxa"/>
            <w:vAlign w:val="top"/>
          </w:tcPr>
          <w:p w14:paraId="6C562442">
            <w:pPr>
              <w:pStyle w:val="14"/>
              <w:bidi w:val="0"/>
            </w:pPr>
            <w:r>
              <w:t>结构类型</w:t>
            </w:r>
          </w:p>
        </w:tc>
        <w:tc>
          <w:tcPr>
            <w:tcW w:w="5914" w:type="dxa"/>
            <w:vAlign w:val="top"/>
          </w:tcPr>
          <w:p w14:paraId="002C8152">
            <w:pPr>
              <w:pStyle w:val="14"/>
              <w:bidi w:val="0"/>
            </w:pPr>
            <w:r>
              <w:t>砖混墙体、钢架梁承重结构、彩钢瓦屋面</w:t>
            </w:r>
          </w:p>
        </w:tc>
      </w:tr>
      <w:tr w14:paraId="5DF47F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3025" w:type="dxa"/>
            <w:vAlign w:val="top"/>
          </w:tcPr>
          <w:p w14:paraId="3AC263BD">
            <w:pPr>
              <w:pStyle w:val="14"/>
              <w:bidi w:val="0"/>
            </w:pPr>
            <w:r>
              <w:t>基础类型</w:t>
            </w:r>
          </w:p>
        </w:tc>
        <w:tc>
          <w:tcPr>
            <w:tcW w:w="5914" w:type="dxa"/>
            <w:vAlign w:val="top"/>
          </w:tcPr>
          <w:p w14:paraId="19FD585A">
            <w:pPr>
              <w:pStyle w:val="14"/>
              <w:bidi w:val="0"/>
            </w:pPr>
            <w:r>
              <w:t>钢筋混凝土结构</w:t>
            </w:r>
          </w:p>
        </w:tc>
      </w:tr>
      <w:tr w14:paraId="1F96B8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3025" w:type="dxa"/>
            <w:vAlign w:val="top"/>
          </w:tcPr>
          <w:p w14:paraId="3C898675">
            <w:pPr>
              <w:pStyle w:val="14"/>
              <w:bidi w:val="0"/>
            </w:pPr>
            <w:r>
              <w:t>危险等级</w:t>
            </w:r>
          </w:p>
        </w:tc>
        <w:tc>
          <w:tcPr>
            <w:tcW w:w="5914" w:type="dxa"/>
            <w:vAlign w:val="top"/>
          </w:tcPr>
          <w:p w14:paraId="4C68AC83">
            <w:pPr>
              <w:pStyle w:val="14"/>
              <w:bidi w:val="0"/>
            </w:pPr>
            <w:r>
              <w:t>1</w:t>
            </w:r>
            <w:r>
              <w:rPr>
                <w:rFonts w:hint="eastAsia"/>
                <w:lang w:val="en-US" w:eastAsia="zh-CN"/>
              </w:rPr>
              <w:t>.</w:t>
            </w:r>
            <w:r>
              <w:t>1</w:t>
            </w:r>
            <w:r>
              <w:rPr>
                <w:rFonts w:hint="eastAsia"/>
                <w:vertAlign w:val="superscript"/>
                <w:lang w:val="en-US" w:eastAsia="zh-CN"/>
              </w:rPr>
              <w:t>-</w:t>
            </w:r>
            <w:r>
              <w:t>²级</w:t>
            </w:r>
          </w:p>
        </w:tc>
      </w:tr>
      <w:tr w14:paraId="4928FE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8" w:hRule="atLeast"/>
        </w:trPr>
        <w:tc>
          <w:tcPr>
            <w:tcW w:w="3025" w:type="dxa"/>
            <w:vAlign w:val="top"/>
          </w:tcPr>
          <w:p w14:paraId="77455043">
            <w:pPr>
              <w:pStyle w:val="14"/>
              <w:bidi w:val="0"/>
            </w:pPr>
            <w:r>
              <w:t>储存药量</w:t>
            </w:r>
          </w:p>
        </w:tc>
        <w:tc>
          <w:tcPr>
            <w:tcW w:w="5914" w:type="dxa"/>
            <w:vAlign w:val="top"/>
          </w:tcPr>
          <w:p w14:paraId="54AE4348">
            <w:pPr>
              <w:pStyle w:val="14"/>
              <w:bidi w:val="0"/>
            </w:pPr>
            <w:r>
              <w:t>2000kg</w:t>
            </w:r>
          </w:p>
        </w:tc>
      </w:tr>
      <w:tr w14:paraId="4A03C9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8" w:hRule="atLeast"/>
        </w:trPr>
        <w:tc>
          <w:tcPr>
            <w:tcW w:w="3025" w:type="dxa"/>
            <w:vAlign w:val="top"/>
          </w:tcPr>
          <w:p w14:paraId="7B3EEA8B">
            <w:pPr>
              <w:pStyle w:val="14"/>
              <w:bidi w:val="0"/>
            </w:pPr>
            <w:r>
              <w:t>库房尺寸(长×宽×高，m)</w:t>
            </w:r>
          </w:p>
        </w:tc>
        <w:tc>
          <w:tcPr>
            <w:tcW w:w="5914" w:type="dxa"/>
            <w:vAlign w:val="top"/>
          </w:tcPr>
          <w:p w14:paraId="4FEF1D24">
            <w:pPr>
              <w:pStyle w:val="14"/>
              <w:bidi w:val="0"/>
            </w:pPr>
            <w:r>
              <w:t>18m×12m×5m</w:t>
            </w:r>
          </w:p>
        </w:tc>
      </w:tr>
      <w:tr w14:paraId="049E34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3025" w:type="dxa"/>
            <w:vAlign w:val="top"/>
          </w:tcPr>
          <w:p w14:paraId="1A8990DA">
            <w:pPr>
              <w:pStyle w:val="14"/>
              <w:bidi w:val="0"/>
            </w:pPr>
            <w:r>
              <w:t>安全疏散口最远距离</w:t>
            </w:r>
          </w:p>
        </w:tc>
        <w:tc>
          <w:tcPr>
            <w:tcW w:w="5914" w:type="dxa"/>
            <w:vAlign w:val="top"/>
          </w:tcPr>
          <w:p w14:paraId="1AC66BEE">
            <w:pPr>
              <w:pStyle w:val="14"/>
              <w:bidi w:val="0"/>
            </w:pPr>
            <w:r>
              <w:t>&lt;15m</w:t>
            </w:r>
          </w:p>
        </w:tc>
      </w:tr>
      <w:tr w14:paraId="36A5BE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8" w:hRule="atLeast"/>
        </w:trPr>
        <w:tc>
          <w:tcPr>
            <w:tcW w:w="3025" w:type="dxa"/>
            <w:vAlign w:val="top"/>
          </w:tcPr>
          <w:p w14:paraId="339A9E22">
            <w:pPr>
              <w:pStyle w:val="14"/>
              <w:bidi w:val="0"/>
            </w:pPr>
            <w:r>
              <w:t>库门结构</w:t>
            </w:r>
          </w:p>
        </w:tc>
        <w:tc>
          <w:tcPr>
            <w:tcW w:w="5914" w:type="dxa"/>
            <w:vAlign w:val="top"/>
          </w:tcPr>
          <w:p w14:paraId="708D2884">
            <w:pPr>
              <w:pStyle w:val="14"/>
              <w:bidi w:val="0"/>
            </w:pPr>
            <w:r>
              <w:t>为木质结构，表层涂抹防火漆，均向外开启</w:t>
            </w:r>
          </w:p>
        </w:tc>
      </w:tr>
      <w:tr w14:paraId="21E9FC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3025" w:type="dxa"/>
            <w:vAlign w:val="top"/>
          </w:tcPr>
          <w:p w14:paraId="78A71921">
            <w:pPr>
              <w:pStyle w:val="14"/>
              <w:bidi w:val="0"/>
            </w:pPr>
            <w:r>
              <w:t>上窗结构</w:t>
            </w:r>
          </w:p>
        </w:tc>
        <w:tc>
          <w:tcPr>
            <w:tcW w:w="5914" w:type="dxa"/>
            <w:vAlign w:val="top"/>
          </w:tcPr>
          <w:p w14:paraId="71590058">
            <w:pPr>
              <w:pStyle w:val="14"/>
              <w:bidi w:val="0"/>
            </w:pPr>
            <w:r>
              <w:t>百叶窗</w:t>
            </w:r>
          </w:p>
        </w:tc>
      </w:tr>
      <w:tr w14:paraId="3DA59A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trPr>
        <w:tc>
          <w:tcPr>
            <w:tcW w:w="3025" w:type="dxa"/>
            <w:vAlign w:val="top"/>
          </w:tcPr>
          <w:p w14:paraId="6EB57859">
            <w:pPr>
              <w:pStyle w:val="14"/>
              <w:bidi w:val="0"/>
            </w:pPr>
            <w:r>
              <w:t>下通风窗</w:t>
            </w:r>
          </w:p>
        </w:tc>
        <w:tc>
          <w:tcPr>
            <w:tcW w:w="5914" w:type="dxa"/>
            <w:vAlign w:val="top"/>
          </w:tcPr>
          <w:p w14:paraId="1849051A">
            <w:pPr>
              <w:pStyle w:val="14"/>
              <w:bidi w:val="0"/>
            </w:pPr>
            <w:r>
              <w:t>下通风窗为百叶窗</w:t>
            </w:r>
          </w:p>
        </w:tc>
      </w:tr>
    </w:tbl>
    <w:p w14:paraId="50905CBC">
      <w:pPr>
        <w:pStyle w:val="3"/>
        <w:bidi w:val="0"/>
        <w:ind w:left="0" w:leftChars="0" w:firstLine="0" w:firstLineChars="0"/>
        <w:rPr>
          <w:rFonts w:hint="default" w:eastAsia="宋体"/>
          <w:lang w:val="en-US" w:eastAsia="zh-CN"/>
        </w:rPr>
      </w:pPr>
      <w:bookmarkStart w:id="37" w:name="_Toc19000"/>
      <w:bookmarkStart w:id="38" w:name="_Toc8810"/>
      <w:r>
        <w:rPr>
          <w:rFonts w:hint="eastAsia"/>
        </w:rPr>
        <w:t>2.3 地理位置</w:t>
      </w:r>
      <w:r>
        <w:rPr>
          <w:rFonts w:hint="eastAsia"/>
          <w:lang w:eastAsia="zh-CN"/>
        </w:rPr>
        <w:t>、</w:t>
      </w:r>
      <w:r>
        <w:rPr>
          <w:rFonts w:hint="eastAsia"/>
        </w:rPr>
        <w:t>地区气象、水文情况</w:t>
      </w:r>
      <w:r>
        <w:rPr>
          <w:rFonts w:hint="eastAsia"/>
          <w:lang w:eastAsia="zh-CN"/>
        </w:rPr>
        <w:t>、</w:t>
      </w:r>
      <w:r>
        <w:rPr>
          <w:rFonts w:hint="eastAsia"/>
          <w:lang w:val="en-US" w:eastAsia="zh-CN"/>
        </w:rPr>
        <w:t>地质地貎</w:t>
      </w:r>
      <w:bookmarkEnd w:id="37"/>
      <w:bookmarkEnd w:id="38"/>
    </w:p>
    <w:p w14:paraId="62198507">
      <w:pPr>
        <w:pStyle w:val="4"/>
        <w:bidi w:val="0"/>
        <w:ind w:left="0" w:leftChars="0" w:firstLine="0" w:firstLineChars="0"/>
        <w:rPr>
          <w:rFonts w:hint="eastAsia" w:ascii="宋体" w:hAnsi="宋体" w:cs="宋体"/>
          <w:bCs/>
          <w:szCs w:val="28"/>
        </w:rPr>
      </w:pPr>
      <w:bookmarkStart w:id="39" w:name="_Toc30150"/>
      <w:r>
        <w:rPr>
          <w:rFonts w:hint="eastAsia"/>
        </w:rPr>
        <w:t>2.3.1 地理位置</w:t>
      </w:r>
      <w:bookmarkEnd w:id="39"/>
    </w:p>
    <w:p w14:paraId="7AB98D4C">
      <w:pPr>
        <w:bidi w:val="0"/>
        <w:rPr>
          <w:rFonts w:hint="eastAsia"/>
        </w:rPr>
      </w:pPr>
      <w:r>
        <w:rPr>
          <w:rFonts w:hint="eastAsia"/>
          <w:spacing w:val="-6"/>
          <w:sz w:val="28"/>
        </w:rPr>
        <w:t>南昌布莱特进出口有限责任公司租赁仓库的库区地址位于江西省萍乡市上栗县桐木镇马岭</w:t>
      </w:r>
      <w:r>
        <w:rPr>
          <w:rFonts w:hint="eastAsia"/>
          <w:spacing w:val="-6"/>
          <w:sz w:val="28"/>
          <w:lang w:eastAsia="zh-CN"/>
        </w:rPr>
        <w:t>，</w:t>
      </w:r>
      <w:r>
        <w:rPr>
          <w:rFonts w:hint="eastAsia"/>
          <w:spacing w:val="-6"/>
          <w:sz w:val="28"/>
        </w:rPr>
        <w:t>上栗县位于江西省西部</w:t>
      </w:r>
      <w:r>
        <w:rPr>
          <w:rFonts w:hint="eastAsia"/>
          <w:spacing w:val="-6"/>
          <w:sz w:val="28"/>
          <w:lang w:eastAsia="zh-CN"/>
        </w:rPr>
        <w:t>，</w:t>
      </w:r>
      <w:r>
        <w:rPr>
          <w:rFonts w:hint="eastAsia"/>
          <w:spacing w:val="-6"/>
          <w:sz w:val="28"/>
        </w:rPr>
        <w:t>萍乡市北部。东临江西省宜春市、芦溪县</w:t>
      </w:r>
      <w:r>
        <w:rPr>
          <w:rFonts w:hint="eastAsia"/>
          <w:spacing w:val="-6"/>
          <w:sz w:val="28"/>
          <w:lang w:val="en-US" w:eastAsia="zh-CN"/>
        </w:rPr>
        <w:t>；</w:t>
      </w:r>
      <w:r>
        <w:rPr>
          <w:rFonts w:hint="eastAsia"/>
          <w:spacing w:val="-6"/>
          <w:sz w:val="28"/>
        </w:rPr>
        <w:t>南与安源经济开发区、湘东区荷尧镇山水相连</w:t>
      </w:r>
      <w:r>
        <w:rPr>
          <w:rFonts w:hint="eastAsia"/>
          <w:spacing w:val="-6"/>
          <w:sz w:val="28"/>
          <w:lang w:val="en-US" w:eastAsia="zh-CN"/>
        </w:rPr>
        <w:t>；</w:t>
      </w:r>
      <w:r>
        <w:rPr>
          <w:rFonts w:hint="eastAsia"/>
          <w:spacing w:val="-6"/>
          <w:sz w:val="28"/>
        </w:rPr>
        <w:t>西与湖南省醴陵市浦口、富里二镇接界</w:t>
      </w:r>
      <w:r>
        <w:rPr>
          <w:rFonts w:hint="eastAsia"/>
          <w:spacing w:val="-6"/>
          <w:sz w:val="28"/>
          <w:lang w:val="en-US" w:eastAsia="zh-CN"/>
        </w:rPr>
        <w:t>；</w:t>
      </w:r>
      <w:r>
        <w:rPr>
          <w:rFonts w:hint="eastAsia"/>
          <w:spacing w:val="-6"/>
          <w:sz w:val="28"/>
        </w:rPr>
        <w:t>北与浏阳市大瑶、文家市二镇相依。全县南北长45</w:t>
      </w:r>
      <w:r>
        <w:rPr>
          <w:rFonts w:hint="eastAsia"/>
          <w:spacing w:val="-6"/>
          <w:sz w:val="28"/>
          <w:lang w:val="en-US" w:eastAsia="zh-CN"/>
        </w:rPr>
        <w:t>km</w:t>
      </w:r>
      <w:r>
        <w:rPr>
          <w:rFonts w:hint="eastAsia"/>
          <w:spacing w:val="-6"/>
          <w:sz w:val="28"/>
        </w:rPr>
        <w:t>，东西宽25</w:t>
      </w:r>
      <w:r>
        <w:rPr>
          <w:rFonts w:hint="eastAsia"/>
          <w:spacing w:val="-6"/>
          <w:sz w:val="28"/>
          <w:lang w:val="en-US" w:eastAsia="zh-CN"/>
        </w:rPr>
        <w:t>km</w:t>
      </w:r>
      <w:r>
        <w:rPr>
          <w:rFonts w:hint="eastAsia"/>
          <w:spacing w:val="-6"/>
          <w:sz w:val="28"/>
        </w:rPr>
        <w:t>，总面积720.91</w:t>
      </w:r>
      <w:r>
        <w:rPr>
          <w:rFonts w:hint="eastAsia"/>
          <w:spacing w:val="-6"/>
          <w:sz w:val="28"/>
          <w:lang w:val="en-US" w:eastAsia="zh-CN"/>
        </w:rPr>
        <w:t>km</w:t>
      </w:r>
      <w:r>
        <w:rPr>
          <w:rFonts w:hint="eastAsia"/>
          <w:spacing w:val="-6"/>
          <w:sz w:val="28"/>
          <w:vertAlign w:val="superscript"/>
          <w:lang w:val="en-US" w:eastAsia="zh-CN"/>
        </w:rPr>
        <w:t>2</w:t>
      </w:r>
      <w:r>
        <w:rPr>
          <w:rFonts w:hint="eastAsia"/>
          <w:spacing w:val="-6"/>
          <w:sz w:val="28"/>
        </w:rPr>
        <w:t>。</w:t>
      </w:r>
    </w:p>
    <w:p w14:paraId="3BCD4B20">
      <w:pPr>
        <w:pStyle w:val="4"/>
        <w:bidi w:val="0"/>
        <w:ind w:left="0" w:leftChars="0" w:firstLine="0" w:firstLineChars="0"/>
        <w:rPr>
          <w:rFonts w:hint="eastAsia"/>
        </w:rPr>
      </w:pPr>
      <w:bookmarkStart w:id="40" w:name="_Toc31301"/>
      <w:r>
        <w:rPr>
          <w:rFonts w:hint="eastAsia"/>
        </w:rPr>
        <w:t>2.3.2 气象、水文</w:t>
      </w:r>
      <w:bookmarkEnd w:id="40"/>
    </w:p>
    <w:p w14:paraId="6719FBA7">
      <w:pPr>
        <w:bidi w:val="0"/>
        <w:rPr>
          <w:rFonts w:hint="eastAsia"/>
        </w:rPr>
      </w:pPr>
      <w:r>
        <w:rPr>
          <w:rFonts w:hint="eastAsia"/>
        </w:rPr>
        <w:t>上栗县主要河流为萍水河、栗水河及其支流16条，分别注入醴陵、渌水后入湘江。</w:t>
      </w:r>
    </w:p>
    <w:p w14:paraId="640B1F62">
      <w:pPr>
        <w:bidi w:val="0"/>
        <w:rPr>
          <w:rFonts w:hint="eastAsia"/>
        </w:rPr>
      </w:pPr>
      <w:r>
        <w:rPr>
          <w:rFonts w:hint="eastAsia"/>
        </w:rPr>
        <w:t>上栗县属中亚热带季风性湿润性气候，温和多雨，四季分明，年平均气温为17℃</w:t>
      </w:r>
      <w:r>
        <w:rPr>
          <w:rFonts w:hint="eastAsia"/>
          <w:lang w:eastAsia="zh-CN"/>
        </w:rPr>
        <w:t>，</w:t>
      </w:r>
      <w:r>
        <w:rPr>
          <w:rFonts w:hint="eastAsia"/>
        </w:rPr>
        <w:t>年平均降雨量为1550毫米</w:t>
      </w:r>
      <w:r>
        <w:rPr>
          <w:rFonts w:hint="eastAsia"/>
          <w:lang w:eastAsia="zh-CN"/>
        </w:rPr>
        <w:t>，</w:t>
      </w:r>
      <w:r>
        <w:rPr>
          <w:rFonts w:hint="eastAsia"/>
        </w:rPr>
        <w:t>无霜期年平均为240</w:t>
      </w:r>
      <w:r>
        <w:rPr>
          <w:rFonts w:hint="eastAsia"/>
          <w:lang w:eastAsia="zh-CN"/>
        </w:rPr>
        <w:t>—</w:t>
      </w:r>
      <w:r>
        <w:rPr>
          <w:rFonts w:hint="eastAsia"/>
        </w:rPr>
        <w:t>270天左右，年平均日照在1500小时—1600小时之间。</w:t>
      </w:r>
    </w:p>
    <w:p w14:paraId="24B4307E">
      <w:pPr>
        <w:bidi w:val="0"/>
        <w:jc w:val="center"/>
        <w:rPr>
          <w:rFonts w:hint="eastAsia"/>
        </w:rPr>
      </w:pPr>
      <w:r>
        <w:rPr>
          <w:rFonts w:hint="eastAsia"/>
        </w:rPr>
        <w:t>表2.3-1气象、水文、地址情况表</w:t>
      </w:r>
    </w:p>
    <w:tbl>
      <w:tblPr>
        <w:tblStyle w:val="105"/>
        <w:tblW w:w="889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91"/>
        <w:gridCol w:w="3638"/>
        <w:gridCol w:w="4370"/>
      </w:tblGrid>
      <w:tr w14:paraId="5E92BF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jc w:val="center"/>
        </w:trPr>
        <w:tc>
          <w:tcPr>
            <w:tcW w:w="891" w:type="dxa"/>
            <w:vAlign w:val="top"/>
          </w:tcPr>
          <w:p w14:paraId="2F5CA683">
            <w:pPr>
              <w:pStyle w:val="14"/>
              <w:bidi w:val="0"/>
              <w:rPr>
                <w:b/>
                <w:bCs/>
              </w:rPr>
            </w:pPr>
            <w:r>
              <w:rPr>
                <w:b/>
                <w:bCs/>
              </w:rPr>
              <w:t>序号</w:t>
            </w:r>
          </w:p>
        </w:tc>
        <w:tc>
          <w:tcPr>
            <w:tcW w:w="3638" w:type="dxa"/>
            <w:vAlign w:val="top"/>
          </w:tcPr>
          <w:p w14:paraId="7D5FE72C">
            <w:pPr>
              <w:pStyle w:val="14"/>
              <w:bidi w:val="0"/>
              <w:rPr>
                <w:b/>
                <w:bCs/>
              </w:rPr>
            </w:pPr>
            <w:r>
              <w:rPr>
                <w:b/>
                <w:bCs/>
              </w:rPr>
              <w:t>项目</w:t>
            </w:r>
          </w:p>
        </w:tc>
        <w:tc>
          <w:tcPr>
            <w:tcW w:w="4370" w:type="dxa"/>
            <w:vAlign w:val="top"/>
          </w:tcPr>
          <w:p w14:paraId="73215CFA">
            <w:pPr>
              <w:pStyle w:val="14"/>
              <w:bidi w:val="0"/>
              <w:rPr>
                <w:b/>
                <w:bCs/>
              </w:rPr>
            </w:pPr>
            <w:r>
              <w:rPr>
                <w:b/>
                <w:bCs/>
              </w:rPr>
              <w:t>参数</w:t>
            </w:r>
          </w:p>
        </w:tc>
      </w:tr>
      <w:tr w14:paraId="41E80D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jc w:val="center"/>
        </w:trPr>
        <w:tc>
          <w:tcPr>
            <w:tcW w:w="891" w:type="dxa"/>
            <w:vAlign w:val="top"/>
          </w:tcPr>
          <w:p w14:paraId="622B80BB">
            <w:pPr>
              <w:pStyle w:val="14"/>
              <w:bidi w:val="0"/>
            </w:pPr>
            <w:r>
              <w:t>1</w:t>
            </w:r>
          </w:p>
        </w:tc>
        <w:tc>
          <w:tcPr>
            <w:tcW w:w="3638" w:type="dxa"/>
            <w:vAlign w:val="top"/>
          </w:tcPr>
          <w:p w14:paraId="3A81B504">
            <w:pPr>
              <w:pStyle w:val="14"/>
              <w:bidi w:val="0"/>
            </w:pPr>
            <w:r>
              <w:t>地质属性</w:t>
            </w:r>
          </w:p>
        </w:tc>
        <w:tc>
          <w:tcPr>
            <w:tcW w:w="4370" w:type="dxa"/>
            <w:vAlign w:val="top"/>
          </w:tcPr>
          <w:p w14:paraId="78D8EF2D">
            <w:pPr>
              <w:pStyle w:val="14"/>
              <w:bidi w:val="0"/>
            </w:pPr>
            <w:r>
              <w:t>丘陵地貌</w:t>
            </w:r>
          </w:p>
        </w:tc>
      </w:tr>
      <w:tr w14:paraId="08A6C0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jc w:val="center"/>
        </w:trPr>
        <w:tc>
          <w:tcPr>
            <w:tcW w:w="891" w:type="dxa"/>
            <w:vAlign w:val="top"/>
          </w:tcPr>
          <w:p w14:paraId="71CF2E3B">
            <w:pPr>
              <w:pStyle w:val="14"/>
              <w:bidi w:val="0"/>
            </w:pPr>
            <w:r>
              <w:t>2</w:t>
            </w:r>
          </w:p>
        </w:tc>
        <w:tc>
          <w:tcPr>
            <w:tcW w:w="3638" w:type="dxa"/>
            <w:vAlign w:val="top"/>
          </w:tcPr>
          <w:p w14:paraId="7369235C">
            <w:pPr>
              <w:pStyle w:val="14"/>
              <w:bidi w:val="0"/>
            </w:pPr>
            <w:r>
              <w:t>气候属性</w:t>
            </w:r>
          </w:p>
        </w:tc>
        <w:tc>
          <w:tcPr>
            <w:tcW w:w="4370" w:type="dxa"/>
            <w:vAlign w:val="top"/>
          </w:tcPr>
          <w:p w14:paraId="42765039">
            <w:pPr>
              <w:pStyle w:val="14"/>
              <w:bidi w:val="0"/>
            </w:pPr>
            <w:r>
              <w:t>亚热带湿润季风气候</w:t>
            </w:r>
          </w:p>
        </w:tc>
      </w:tr>
      <w:tr w14:paraId="79EC11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3" w:hRule="atLeast"/>
          <w:jc w:val="center"/>
        </w:trPr>
        <w:tc>
          <w:tcPr>
            <w:tcW w:w="891" w:type="dxa"/>
            <w:vAlign w:val="top"/>
          </w:tcPr>
          <w:p w14:paraId="47CF9D1D">
            <w:pPr>
              <w:pStyle w:val="14"/>
              <w:bidi w:val="0"/>
            </w:pPr>
            <w:r>
              <w:t>3</w:t>
            </w:r>
          </w:p>
        </w:tc>
        <w:tc>
          <w:tcPr>
            <w:tcW w:w="3638" w:type="dxa"/>
            <w:vAlign w:val="top"/>
          </w:tcPr>
          <w:p w14:paraId="43BAB03E">
            <w:pPr>
              <w:pStyle w:val="14"/>
              <w:bidi w:val="0"/>
            </w:pPr>
            <w:r>
              <w:t>年平均气温℃</w:t>
            </w:r>
          </w:p>
        </w:tc>
        <w:tc>
          <w:tcPr>
            <w:tcW w:w="4370" w:type="dxa"/>
            <w:vAlign w:val="top"/>
          </w:tcPr>
          <w:p w14:paraId="58DE90CB">
            <w:pPr>
              <w:pStyle w:val="14"/>
              <w:bidi w:val="0"/>
            </w:pPr>
            <w:r>
              <w:t>17.3℃左右</w:t>
            </w:r>
          </w:p>
        </w:tc>
      </w:tr>
      <w:tr w14:paraId="421726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jc w:val="center"/>
        </w:trPr>
        <w:tc>
          <w:tcPr>
            <w:tcW w:w="891" w:type="dxa"/>
            <w:vAlign w:val="top"/>
          </w:tcPr>
          <w:p w14:paraId="126C505F">
            <w:pPr>
              <w:pStyle w:val="14"/>
              <w:bidi w:val="0"/>
            </w:pPr>
            <w:r>
              <w:t>4</w:t>
            </w:r>
          </w:p>
        </w:tc>
        <w:tc>
          <w:tcPr>
            <w:tcW w:w="3638" w:type="dxa"/>
            <w:vAlign w:val="top"/>
          </w:tcPr>
          <w:p w14:paraId="65FD3DB3">
            <w:pPr>
              <w:pStyle w:val="14"/>
              <w:bidi w:val="0"/>
            </w:pPr>
            <w:r>
              <w:t>极端最高气温℃</w:t>
            </w:r>
          </w:p>
        </w:tc>
        <w:tc>
          <w:tcPr>
            <w:tcW w:w="4370" w:type="dxa"/>
            <w:vAlign w:val="top"/>
          </w:tcPr>
          <w:p w14:paraId="08FD29D5">
            <w:pPr>
              <w:pStyle w:val="14"/>
              <w:bidi w:val="0"/>
            </w:pPr>
            <w:r>
              <w:t>41.0℃</w:t>
            </w:r>
          </w:p>
        </w:tc>
      </w:tr>
      <w:tr w14:paraId="40FCAB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jc w:val="center"/>
        </w:trPr>
        <w:tc>
          <w:tcPr>
            <w:tcW w:w="891" w:type="dxa"/>
            <w:vAlign w:val="top"/>
          </w:tcPr>
          <w:p w14:paraId="3291C241">
            <w:pPr>
              <w:pStyle w:val="14"/>
              <w:bidi w:val="0"/>
            </w:pPr>
            <w:r>
              <w:t>5</w:t>
            </w:r>
          </w:p>
        </w:tc>
        <w:tc>
          <w:tcPr>
            <w:tcW w:w="3638" w:type="dxa"/>
            <w:vAlign w:val="top"/>
          </w:tcPr>
          <w:p w14:paraId="36B77C53">
            <w:pPr>
              <w:pStyle w:val="14"/>
              <w:bidi w:val="0"/>
            </w:pPr>
            <w:r>
              <w:t>极端最低气温℃</w:t>
            </w:r>
          </w:p>
        </w:tc>
        <w:tc>
          <w:tcPr>
            <w:tcW w:w="4370" w:type="dxa"/>
            <w:vAlign w:val="top"/>
          </w:tcPr>
          <w:p w14:paraId="0FA34D29">
            <w:pPr>
              <w:pStyle w:val="14"/>
              <w:bidi w:val="0"/>
            </w:pPr>
            <w:r>
              <w:rPr>
                <w:rFonts w:hint="eastAsia"/>
                <w:lang w:val="en-US" w:eastAsia="zh-CN"/>
              </w:rPr>
              <w:t>-</w:t>
            </w:r>
            <w:r>
              <w:t>9.3℃</w:t>
            </w:r>
          </w:p>
        </w:tc>
      </w:tr>
      <w:tr w14:paraId="1418DF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jc w:val="center"/>
        </w:trPr>
        <w:tc>
          <w:tcPr>
            <w:tcW w:w="891" w:type="dxa"/>
            <w:vAlign w:val="top"/>
          </w:tcPr>
          <w:p w14:paraId="2AA3153F">
            <w:pPr>
              <w:pStyle w:val="14"/>
              <w:bidi w:val="0"/>
            </w:pPr>
            <w:r>
              <w:t>6</w:t>
            </w:r>
          </w:p>
        </w:tc>
        <w:tc>
          <w:tcPr>
            <w:tcW w:w="3638" w:type="dxa"/>
            <w:vAlign w:val="top"/>
          </w:tcPr>
          <w:p w14:paraId="55E4BE52">
            <w:pPr>
              <w:pStyle w:val="14"/>
              <w:bidi w:val="0"/>
            </w:pPr>
            <w:r>
              <w:t>主导风向</w:t>
            </w:r>
          </w:p>
        </w:tc>
        <w:tc>
          <w:tcPr>
            <w:tcW w:w="4370" w:type="dxa"/>
            <w:vAlign w:val="top"/>
          </w:tcPr>
          <w:p w14:paraId="31F76050">
            <w:pPr>
              <w:pStyle w:val="14"/>
              <w:bidi w:val="0"/>
            </w:pPr>
            <w:r>
              <w:t>东北风</w:t>
            </w:r>
          </w:p>
        </w:tc>
      </w:tr>
      <w:tr w14:paraId="72EF2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jc w:val="center"/>
        </w:trPr>
        <w:tc>
          <w:tcPr>
            <w:tcW w:w="891" w:type="dxa"/>
            <w:vAlign w:val="top"/>
          </w:tcPr>
          <w:p w14:paraId="5623AB61">
            <w:pPr>
              <w:pStyle w:val="14"/>
              <w:bidi w:val="0"/>
            </w:pPr>
            <w:r>
              <w:t>7</w:t>
            </w:r>
          </w:p>
        </w:tc>
        <w:tc>
          <w:tcPr>
            <w:tcW w:w="3638" w:type="dxa"/>
            <w:vAlign w:val="top"/>
          </w:tcPr>
          <w:p w14:paraId="368C9AD3">
            <w:pPr>
              <w:pStyle w:val="14"/>
              <w:bidi w:val="0"/>
              <w:rPr>
                <w:rFonts w:hint="eastAsia" w:eastAsia="宋体"/>
                <w:lang w:eastAsia="zh-CN"/>
              </w:rPr>
            </w:pPr>
            <w:r>
              <w:t>最大风速</w:t>
            </w:r>
            <w:r>
              <w:rPr>
                <w:rFonts w:hint="eastAsia"/>
                <w:lang w:eastAsia="zh-CN"/>
              </w:rPr>
              <w:t>（</w:t>
            </w:r>
            <w:r>
              <w:t>m/s</w:t>
            </w:r>
            <w:r>
              <w:rPr>
                <w:rFonts w:hint="eastAsia"/>
                <w:lang w:eastAsia="zh-CN"/>
              </w:rPr>
              <w:t>）</w:t>
            </w:r>
          </w:p>
        </w:tc>
        <w:tc>
          <w:tcPr>
            <w:tcW w:w="4370" w:type="dxa"/>
            <w:vAlign w:val="top"/>
          </w:tcPr>
          <w:p w14:paraId="78D02F2D">
            <w:pPr>
              <w:pStyle w:val="14"/>
              <w:bidi w:val="0"/>
            </w:pPr>
            <w:r>
              <w:t>/</w:t>
            </w:r>
          </w:p>
        </w:tc>
      </w:tr>
      <w:tr w14:paraId="616D62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jc w:val="center"/>
        </w:trPr>
        <w:tc>
          <w:tcPr>
            <w:tcW w:w="891" w:type="dxa"/>
            <w:vAlign w:val="top"/>
          </w:tcPr>
          <w:p w14:paraId="157B625E">
            <w:pPr>
              <w:pStyle w:val="14"/>
              <w:bidi w:val="0"/>
            </w:pPr>
            <w:r>
              <w:t>8</w:t>
            </w:r>
          </w:p>
        </w:tc>
        <w:tc>
          <w:tcPr>
            <w:tcW w:w="3638" w:type="dxa"/>
            <w:vAlign w:val="top"/>
          </w:tcPr>
          <w:p w14:paraId="4293BE36">
            <w:pPr>
              <w:pStyle w:val="14"/>
              <w:bidi w:val="0"/>
              <w:rPr>
                <w:rFonts w:hint="eastAsia" w:eastAsia="宋体"/>
                <w:lang w:eastAsia="zh-CN"/>
              </w:rPr>
            </w:pPr>
            <w:r>
              <w:t>年平均降水量</w:t>
            </w:r>
            <w:r>
              <w:rPr>
                <w:rFonts w:hint="eastAsia"/>
                <w:lang w:eastAsia="zh-CN"/>
              </w:rPr>
              <w:t>（</w:t>
            </w:r>
            <w:r>
              <w:t>mm</w:t>
            </w:r>
            <w:r>
              <w:rPr>
                <w:rFonts w:hint="eastAsia"/>
                <w:lang w:eastAsia="zh-CN"/>
              </w:rPr>
              <w:t>）</w:t>
            </w:r>
          </w:p>
        </w:tc>
        <w:tc>
          <w:tcPr>
            <w:tcW w:w="4370" w:type="dxa"/>
            <w:vAlign w:val="top"/>
          </w:tcPr>
          <w:p w14:paraId="3E120658">
            <w:pPr>
              <w:pStyle w:val="14"/>
              <w:bidi w:val="0"/>
            </w:pPr>
            <w:r>
              <w:t>1603mm</w:t>
            </w:r>
          </w:p>
        </w:tc>
      </w:tr>
      <w:tr w14:paraId="02F4B8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jc w:val="center"/>
        </w:trPr>
        <w:tc>
          <w:tcPr>
            <w:tcW w:w="891" w:type="dxa"/>
            <w:vAlign w:val="top"/>
          </w:tcPr>
          <w:p w14:paraId="68800410">
            <w:pPr>
              <w:pStyle w:val="14"/>
              <w:bidi w:val="0"/>
            </w:pPr>
            <w:r>
              <w:t>9</w:t>
            </w:r>
          </w:p>
        </w:tc>
        <w:tc>
          <w:tcPr>
            <w:tcW w:w="3638" w:type="dxa"/>
            <w:vAlign w:val="top"/>
          </w:tcPr>
          <w:p w14:paraId="34AF5312">
            <w:pPr>
              <w:pStyle w:val="14"/>
              <w:bidi w:val="0"/>
            </w:pPr>
            <w:r>
              <w:t>日最大降水量(mm)</w:t>
            </w:r>
          </w:p>
        </w:tc>
        <w:tc>
          <w:tcPr>
            <w:tcW w:w="4370" w:type="dxa"/>
            <w:vAlign w:val="top"/>
          </w:tcPr>
          <w:p w14:paraId="1DB9CCF6">
            <w:pPr>
              <w:pStyle w:val="14"/>
              <w:bidi w:val="0"/>
              <w:rPr>
                <w:rFonts w:hint="eastAsia" w:eastAsia="宋体"/>
                <w:lang w:eastAsia="zh-CN"/>
              </w:rPr>
            </w:pPr>
            <w:r>
              <w:t>225.6mm</w:t>
            </w:r>
            <w:r>
              <w:rPr>
                <w:rFonts w:hint="eastAsia"/>
                <w:lang w:eastAsia="zh-CN"/>
              </w:rPr>
              <w:t>（</w:t>
            </w:r>
            <w:r>
              <w:t>1972年8月18日</w:t>
            </w:r>
            <w:r>
              <w:rPr>
                <w:rFonts w:hint="eastAsia"/>
                <w:lang w:eastAsia="zh-CN"/>
              </w:rPr>
              <w:t>）</w:t>
            </w:r>
          </w:p>
        </w:tc>
      </w:tr>
      <w:tr w14:paraId="1C1F1E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3" w:hRule="atLeast"/>
          <w:jc w:val="center"/>
        </w:trPr>
        <w:tc>
          <w:tcPr>
            <w:tcW w:w="891" w:type="dxa"/>
            <w:vAlign w:val="top"/>
          </w:tcPr>
          <w:p w14:paraId="2405E798">
            <w:pPr>
              <w:pStyle w:val="14"/>
              <w:bidi w:val="0"/>
            </w:pPr>
            <w:r>
              <w:t>10</w:t>
            </w:r>
          </w:p>
        </w:tc>
        <w:tc>
          <w:tcPr>
            <w:tcW w:w="3638" w:type="dxa"/>
            <w:vAlign w:val="top"/>
          </w:tcPr>
          <w:p w14:paraId="4B9FC5EF">
            <w:pPr>
              <w:pStyle w:val="14"/>
              <w:bidi w:val="0"/>
            </w:pPr>
            <w:r>
              <w:t>平均相对湿度</w:t>
            </w:r>
          </w:p>
        </w:tc>
        <w:tc>
          <w:tcPr>
            <w:tcW w:w="4370" w:type="dxa"/>
            <w:vAlign w:val="top"/>
          </w:tcPr>
          <w:p w14:paraId="62E4FFD3">
            <w:pPr>
              <w:pStyle w:val="14"/>
              <w:bidi w:val="0"/>
            </w:pPr>
            <w:r>
              <w:t>/</w:t>
            </w:r>
          </w:p>
        </w:tc>
      </w:tr>
      <w:tr w14:paraId="07A1CE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jc w:val="center"/>
        </w:trPr>
        <w:tc>
          <w:tcPr>
            <w:tcW w:w="891" w:type="dxa"/>
            <w:vAlign w:val="top"/>
          </w:tcPr>
          <w:p w14:paraId="3807389F">
            <w:pPr>
              <w:pStyle w:val="14"/>
              <w:bidi w:val="0"/>
            </w:pPr>
            <w:r>
              <w:t>11</w:t>
            </w:r>
          </w:p>
        </w:tc>
        <w:tc>
          <w:tcPr>
            <w:tcW w:w="3638" w:type="dxa"/>
            <w:vAlign w:val="top"/>
          </w:tcPr>
          <w:p w14:paraId="3845888A">
            <w:pPr>
              <w:pStyle w:val="14"/>
              <w:bidi w:val="0"/>
            </w:pPr>
            <w:r>
              <w:t>年平均气压(Kpa)</w:t>
            </w:r>
          </w:p>
        </w:tc>
        <w:tc>
          <w:tcPr>
            <w:tcW w:w="4370" w:type="dxa"/>
            <w:vAlign w:val="top"/>
          </w:tcPr>
          <w:p w14:paraId="4B2F98CD">
            <w:pPr>
              <w:pStyle w:val="14"/>
              <w:bidi w:val="0"/>
            </w:pPr>
            <w:r>
              <w:t>/</w:t>
            </w:r>
          </w:p>
        </w:tc>
      </w:tr>
      <w:tr w14:paraId="289FF0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jc w:val="center"/>
        </w:trPr>
        <w:tc>
          <w:tcPr>
            <w:tcW w:w="891" w:type="dxa"/>
            <w:vAlign w:val="top"/>
          </w:tcPr>
          <w:p w14:paraId="55CD49A1">
            <w:pPr>
              <w:pStyle w:val="14"/>
              <w:bidi w:val="0"/>
            </w:pPr>
            <w:r>
              <w:t>12</w:t>
            </w:r>
          </w:p>
        </w:tc>
        <w:tc>
          <w:tcPr>
            <w:tcW w:w="3638" w:type="dxa"/>
            <w:vAlign w:val="top"/>
          </w:tcPr>
          <w:p w14:paraId="176048BB">
            <w:pPr>
              <w:pStyle w:val="14"/>
              <w:bidi w:val="0"/>
            </w:pPr>
            <w:r>
              <w:t>年平均雷击次数(次/a)</w:t>
            </w:r>
          </w:p>
        </w:tc>
        <w:tc>
          <w:tcPr>
            <w:tcW w:w="4370" w:type="dxa"/>
            <w:vAlign w:val="top"/>
          </w:tcPr>
          <w:p w14:paraId="790143CF">
            <w:pPr>
              <w:pStyle w:val="14"/>
              <w:bidi w:val="0"/>
            </w:pPr>
            <w:r>
              <w:t>/</w:t>
            </w:r>
          </w:p>
        </w:tc>
      </w:tr>
      <w:tr w14:paraId="0E53CE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891" w:type="dxa"/>
            <w:vAlign w:val="top"/>
          </w:tcPr>
          <w:p w14:paraId="2B5FDB60">
            <w:pPr>
              <w:pStyle w:val="14"/>
              <w:bidi w:val="0"/>
            </w:pPr>
            <w:r>
              <w:t>13</w:t>
            </w:r>
          </w:p>
        </w:tc>
        <w:tc>
          <w:tcPr>
            <w:tcW w:w="3638" w:type="dxa"/>
            <w:vAlign w:val="top"/>
          </w:tcPr>
          <w:p w14:paraId="547A5FE0">
            <w:pPr>
              <w:pStyle w:val="14"/>
              <w:bidi w:val="0"/>
            </w:pPr>
            <w:r>
              <w:t>抗震设防烈度</w:t>
            </w:r>
          </w:p>
        </w:tc>
        <w:tc>
          <w:tcPr>
            <w:tcW w:w="4370" w:type="dxa"/>
            <w:vAlign w:val="top"/>
          </w:tcPr>
          <w:p w14:paraId="6FC20DC4">
            <w:pPr>
              <w:pStyle w:val="14"/>
              <w:bidi w:val="0"/>
            </w:pPr>
            <w:r>
              <w:t>6度</w:t>
            </w:r>
          </w:p>
        </w:tc>
      </w:tr>
    </w:tbl>
    <w:p w14:paraId="5A10C1E6">
      <w:pPr>
        <w:pStyle w:val="4"/>
        <w:bidi w:val="0"/>
        <w:ind w:left="0" w:leftChars="0" w:firstLine="0" w:firstLineChars="0"/>
        <w:rPr>
          <w:rFonts w:hint="default"/>
          <w:lang w:val="en-US" w:eastAsia="zh-CN"/>
        </w:rPr>
      </w:pPr>
      <w:bookmarkStart w:id="41" w:name="_Toc3265"/>
      <w:r>
        <w:rPr>
          <w:rFonts w:hint="eastAsia"/>
          <w:lang w:val="en-US" w:eastAsia="zh-CN"/>
        </w:rPr>
        <w:t>2.3.3 地质地貎</w:t>
      </w:r>
      <w:bookmarkEnd w:id="41"/>
    </w:p>
    <w:p w14:paraId="7D118766">
      <w:pPr>
        <w:bidi w:val="0"/>
        <w:rPr>
          <w:rFonts w:hint="eastAsia"/>
        </w:rPr>
      </w:pPr>
      <w:r>
        <w:rPr>
          <w:rFonts w:hint="eastAsia"/>
        </w:rPr>
        <w:t>上栗县境内以丘陵、山地为主，约占总面积 70%。东北面多山，西、南及中部多丘陵。平均海拔 233.7 米；最高点是杨岐山主峰张口岭，海拔 947.4米；最低处为金山镇麻石，海拔 70 米。出露的地层有前震旦系、震旦系、寒武系、泥盆系、石炭系、二叠系、三叠系、侏罗系、白垩系及第四系。总体构造形态为一北东向的复式向斜。上古生界和下三叠系构成走向北东、北北东向的紧密褶曲。复式向斜核部为白垩系红层超覆。而第四系则沿北东、北北东、北西向等狭窄沟谷分布。据《江西省地震动参数区划工作用图》（2003</w:t>
      </w:r>
    </w:p>
    <w:p w14:paraId="026132C1">
      <w:pPr>
        <w:bidi w:val="0"/>
        <w:ind w:left="0" w:leftChars="0" w:firstLine="0" w:firstLineChars="0"/>
        <w:rPr>
          <w:rFonts w:hint="eastAsia"/>
        </w:rPr>
      </w:pPr>
      <w:r>
        <w:rPr>
          <w:rFonts w:hint="eastAsia"/>
        </w:rPr>
        <w:t>年 1 月），规划区地震烈度均小于Ⅵ度，地震活动微弱。</w:t>
      </w:r>
    </w:p>
    <w:p w14:paraId="304C89B3">
      <w:pPr>
        <w:pStyle w:val="3"/>
        <w:bidi w:val="0"/>
        <w:rPr>
          <w:rFonts w:hint="eastAsia"/>
        </w:rPr>
      </w:pPr>
      <w:bookmarkStart w:id="42" w:name="_Toc27527"/>
      <w:bookmarkStart w:id="43" w:name="_Toc25177"/>
      <w:r>
        <w:rPr>
          <w:rFonts w:hint="eastAsia"/>
        </w:rPr>
        <w:t>2.4 企业经营流程</w:t>
      </w:r>
      <w:bookmarkEnd w:id="42"/>
      <w:bookmarkEnd w:id="43"/>
    </w:p>
    <w:p w14:paraId="387EC815">
      <w:pPr>
        <w:bidi w:val="0"/>
        <w:rPr>
          <w:rFonts w:hint="eastAsia"/>
        </w:rPr>
      </w:pPr>
      <w:r>
        <w:rPr>
          <w:rFonts w:hint="eastAsia"/>
          <w:spacing w:val="-6"/>
          <w:sz w:val="28"/>
        </w:rPr>
        <w:t>该项目仅限烟花爆竹储存、经营，不涉及烟花爆竹生产。产品的供货商为持有安全生产许可证的合法烟花爆竹生产企业，并与产品供货方</w:t>
      </w:r>
      <w:r>
        <w:rPr>
          <w:rFonts w:hint="eastAsia"/>
          <w:spacing w:val="-6"/>
          <w:sz w:val="28"/>
          <w:lang w:eastAsia="zh-CN"/>
        </w:rPr>
        <w:t>（</w:t>
      </w:r>
      <w:r>
        <w:rPr>
          <w:rFonts w:hint="eastAsia"/>
          <w:spacing w:val="-6"/>
          <w:sz w:val="28"/>
        </w:rPr>
        <w:t>烟花爆竹生产企业</w:t>
      </w:r>
      <w:r>
        <w:rPr>
          <w:rFonts w:hint="eastAsia"/>
          <w:spacing w:val="-6"/>
          <w:sz w:val="28"/>
          <w:lang w:eastAsia="zh-CN"/>
        </w:rPr>
        <w:t>）</w:t>
      </w:r>
      <w:r>
        <w:rPr>
          <w:rFonts w:hint="eastAsia"/>
          <w:spacing w:val="-6"/>
          <w:sz w:val="28"/>
        </w:rPr>
        <w:t>签订购销合同，由供货方负责提供产品的安全性能检测合格报告，产品质量符合《烟花爆竹安全与质量》GB10631-2013、《烟花爆竹抽样检查规则》GB/T10632-2014 等要求。</w:t>
      </w:r>
    </w:p>
    <w:p w14:paraId="33A3956C">
      <w:pPr>
        <w:bidi w:val="0"/>
        <w:rPr>
          <w:rFonts w:hint="eastAsia"/>
        </w:rPr>
      </w:pPr>
      <w:r>
        <w:rPr>
          <w:rFonts w:hint="eastAsia"/>
        </w:rPr>
        <w:t>烟花爆竹入库工艺简述：运送烟花爆竹的车辆进入库区应安装阻火器，按指定路线行驶、按规定地点停放，并熄火。经过培训的搬运工先触摸库房门前的导人体静电装置，将人体的静电导入地下后将烟花爆竹搬运至烟花爆竹仓库，并按规定进行堆垛。</w:t>
      </w:r>
    </w:p>
    <w:p w14:paraId="435379EE">
      <w:pPr>
        <w:bidi w:val="0"/>
      </w:pPr>
      <w:r>
        <w:rPr>
          <w:rFonts w:hint="eastAsia"/>
        </w:rPr>
        <w:t>烟花爆竹</w:t>
      </w:r>
      <w:r>
        <w:rPr>
          <w:rFonts w:hint="eastAsia"/>
          <w:lang w:val="en-US" w:eastAsia="zh-CN"/>
        </w:rPr>
        <w:t>出</w:t>
      </w:r>
      <w:r>
        <w:rPr>
          <w:rFonts w:hint="eastAsia"/>
        </w:rPr>
        <w:t>库工艺简述：</w:t>
      </w:r>
      <w:r>
        <w:rPr>
          <w:rFonts w:hint="eastAsia"/>
          <w:lang w:val="en-US" w:eastAsia="zh-CN"/>
        </w:rPr>
        <w:t>出</w:t>
      </w:r>
      <w:r>
        <w:rPr>
          <w:rFonts w:hint="eastAsia"/>
        </w:rPr>
        <w:t>库烟花爆竹的车辆进入库区</w:t>
      </w:r>
      <w:r>
        <w:rPr>
          <w:rFonts w:hint="eastAsia"/>
          <w:color w:val="0000FF"/>
        </w:rPr>
        <w:t>，</w:t>
      </w:r>
      <w:r>
        <w:rPr>
          <w:rFonts w:hint="eastAsia"/>
        </w:rPr>
        <w:t>按指定路线行驶、按规定地点停放，并熄火。经过培训的搬运工消除人体静电后将烟花爆竹从仓库内搬运至配送车辆上，装车完毕，应在专人引导使出库区</w:t>
      </w:r>
      <w:r>
        <w:rPr>
          <w:rFonts w:hint="eastAsia"/>
          <w:lang w:eastAsia="zh-CN"/>
        </w:rPr>
        <w:t>，</w:t>
      </w:r>
      <w:r>
        <w:rPr>
          <w:rFonts w:hint="eastAsia"/>
          <w:lang w:val="en-US" w:eastAsia="zh-CN"/>
        </w:rPr>
        <w:t>出库</w:t>
      </w:r>
      <w:r>
        <w:rPr>
          <w:rFonts w:hint="eastAsia"/>
        </w:rPr>
        <w:t>车辆到达具有经营许可证的</w:t>
      </w:r>
      <w:r>
        <w:rPr>
          <w:rFonts w:hint="eastAsia"/>
          <w:lang w:val="en-US" w:eastAsia="zh-CN"/>
        </w:rPr>
        <w:t>企业</w:t>
      </w:r>
      <w:r>
        <w:rPr>
          <w:rFonts w:hint="eastAsia"/>
        </w:rPr>
        <w:t>库房。</w:t>
      </w:r>
    </w:p>
    <w:p w14:paraId="366FDFD1">
      <w:pPr>
        <w:pStyle w:val="3"/>
        <w:bidi w:val="0"/>
        <w:ind w:left="0" w:leftChars="0" w:firstLine="0" w:firstLineChars="0"/>
        <w:rPr>
          <w:rFonts w:hint="eastAsia"/>
        </w:rPr>
      </w:pPr>
      <w:bookmarkStart w:id="44" w:name="_Toc9729"/>
      <w:bookmarkStart w:id="45" w:name="_Toc13209"/>
      <w:r>
        <w:rPr>
          <w:rFonts w:hint="eastAsia"/>
        </w:rPr>
        <w:t>2.5 配送车辆</w:t>
      </w:r>
      <w:bookmarkEnd w:id="44"/>
      <w:bookmarkEnd w:id="45"/>
    </w:p>
    <w:p w14:paraId="46485686">
      <w:pPr>
        <w:spacing w:line="580" w:lineRule="exact"/>
        <w:ind w:firstLine="582" w:firstLineChars="200"/>
        <w:rPr>
          <w:rFonts w:ascii="宋体" w:hAnsi="宋体"/>
          <w:sz w:val="28"/>
          <w:szCs w:val="28"/>
          <w:lang w:val="en-GB"/>
        </w:rPr>
      </w:pPr>
      <w:r>
        <w:rPr>
          <w:rFonts w:hint="eastAsia"/>
          <w:spacing w:val="-6"/>
          <w:sz w:val="28"/>
        </w:rPr>
        <w:t>项目涉及危险品的配送均委托江西波波物流有限公司负责</w:t>
      </w:r>
      <w:r>
        <w:rPr>
          <w:rFonts w:hint="eastAsia"/>
          <w:spacing w:val="-6"/>
          <w:sz w:val="28"/>
          <w:lang w:eastAsia="zh-CN"/>
        </w:rPr>
        <w:t>，</w:t>
      </w:r>
      <w:r>
        <w:rPr>
          <w:rFonts w:hint="eastAsia"/>
          <w:spacing w:val="-6"/>
          <w:sz w:val="28"/>
        </w:rPr>
        <w:t>江西波波物流有限公司还持有经江西省萍乡市交通运输局核发的道路运输经营许可证</w:t>
      </w:r>
      <w:r>
        <w:rPr>
          <w:rFonts w:hint="eastAsia"/>
          <w:spacing w:val="-6"/>
          <w:sz w:val="28"/>
          <w:lang w:eastAsia="zh-CN"/>
        </w:rPr>
        <w:t>，</w:t>
      </w:r>
      <w:r>
        <w:rPr>
          <w:rFonts w:hint="eastAsia"/>
          <w:spacing w:val="-6"/>
          <w:sz w:val="28"/>
        </w:rPr>
        <w:t>证件编号：赣交运管许可</w:t>
      </w:r>
      <w:r>
        <w:rPr>
          <w:rFonts w:hint="eastAsia"/>
          <w:spacing w:val="-6"/>
          <w:sz w:val="28"/>
          <w:lang w:eastAsia="zh-CN"/>
        </w:rPr>
        <w:t>（</w:t>
      </w:r>
      <w:r>
        <w:rPr>
          <w:rFonts w:hint="eastAsia"/>
          <w:spacing w:val="-6"/>
          <w:sz w:val="28"/>
        </w:rPr>
        <w:t>萍</w:t>
      </w:r>
      <w:r>
        <w:rPr>
          <w:rFonts w:hint="eastAsia"/>
          <w:spacing w:val="-6"/>
          <w:sz w:val="28"/>
          <w:lang w:eastAsia="zh-CN"/>
        </w:rPr>
        <w:t>）</w:t>
      </w:r>
      <w:r>
        <w:rPr>
          <w:rFonts w:hint="eastAsia"/>
          <w:spacing w:val="-6"/>
          <w:sz w:val="28"/>
        </w:rPr>
        <w:t>字360300200352号，证件有效期至2026年01月28日。经营范围：道路普通货物运输，货物专用运输</w:t>
      </w:r>
      <w:r>
        <w:rPr>
          <w:rFonts w:hint="eastAsia"/>
          <w:spacing w:val="-6"/>
          <w:sz w:val="28"/>
          <w:lang w:eastAsia="zh-CN"/>
        </w:rPr>
        <w:t>（</w:t>
      </w:r>
      <w:r>
        <w:rPr>
          <w:rFonts w:hint="eastAsia"/>
          <w:spacing w:val="-6"/>
          <w:sz w:val="28"/>
        </w:rPr>
        <w:t>集装箱</w:t>
      </w:r>
      <w:r>
        <w:rPr>
          <w:rFonts w:hint="eastAsia"/>
          <w:spacing w:val="-6"/>
          <w:sz w:val="28"/>
          <w:lang w:eastAsia="zh-CN"/>
        </w:rPr>
        <w:t>），</w:t>
      </w:r>
      <w:r>
        <w:rPr>
          <w:rFonts w:hint="eastAsia"/>
          <w:spacing w:val="-6"/>
          <w:sz w:val="28"/>
        </w:rPr>
        <w:t>危险货物运输</w:t>
      </w:r>
      <w:r>
        <w:rPr>
          <w:rFonts w:hint="eastAsia"/>
          <w:spacing w:val="-6"/>
          <w:sz w:val="28"/>
          <w:lang w:eastAsia="zh-CN"/>
        </w:rPr>
        <w:t>（</w:t>
      </w:r>
      <w:r>
        <w:rPr>
          <w:rFonts w:hint="eastAsia"/>
          <w:spacing w:val="-6"/>
          <w:sz w:val="28"/>
        </w:rPr>
        <w:t>1类3项</w:t>
      </w:r>
      <w:r>
        <w:rPr>
          <w:rFonts w:hint="eastAsia"/>
          <w:spacing w:val="-6"/>
          <w:sz w:val="28"/>
          <w:lang w:eastAsia="zh-CN"/>
        </w:rPr>
        <w:t>）</w:t>
      </w:r>
      <w:r>
        <w:rPr>
          <w:rFonts w:hint="eastAsia"/>
          <w:spacing w:val="-6"/>
          <w:sz w:val="28"/>
        </w:rPr>
        <w:t>、危险货物运输</w:t>
      </w:r>
      <w:r>
        <w:rPr>
          <w:rFonts w:hint="eastAsia"/>
          <w:spacing w:val="-6"/>
          <w:sz w:val="28"/>
          <w:lang w:eastAsia="zh-CN"/>
        </w:rPr>
        <w:t>（</w:t>
      </w:r>
      <w:r>
        <w:rPr>
          <w:rFonts w:hint="eastAsia"/>
          <w:spacing w:val="-6"/>
          <w:sz w:val="28"/>
        </w:rPr>
        <w:t>1类4项</w:t>
      </w:r>
      <w:r>
        <w:rPr>
          <w:rFonts w:hint="eastAsia"/>
          <w:spacing w:val="-6"/>
          <w:sz w:val="28"/>
          <w:lang w:eastAsia="zh-CN"/>
        </w:rPr>
        <w:t>）</w:t>
      </w:r>
      <w:r>
        <w:rPr>
          <w:rFonts w:hint="eastAsia"/>
          <w:spacing w:val="-6"/>
          <w:sz w:val="28"/>
        </w:rPr>
        <w:t>、危险货物运输</w:t>
      </w:r>
      <w:r>
        <w:rPr>
          <w:rFonts w:hint="eastAsia"/>
          <w:spacing w:val="-6"/>
          <w:sz w:val="28"/>
          <w:lang w:eastAsia="zh-CN"/>
        </w:rPr>
        <w:t>（</w:t>
      </w:r>
      <w:r>
        <w:rPr>
          <w:rFonts w:hint="eastAsia"/>
          <w:spacing w:val="-6"/>
          <w:sz w:val="28"/>
        </w:rPr>
        <w:t>4类1项</w:t>
      </w:r>
      <w:r>
        <w:rPr>
          <w:rFonts w:hint="eastAsia"/>
          <w:spacing w:val="-6"/>
          <w:sz w:val="28"/>
          <w:lang w:eastAsia="zh-CN"/>
        </w:rPr>
        <w:t>）</w:t>
      </w:r>
      <w:r>
        <w:rPr>
          <w:rFonts w:hint="eastAsia"/>
          <w:spacing w:val="-6"/>
          <w:sz w:val="28"/>
        </w:rPr>
        <w:t>、危险货物运输</w:t>
      </w:r>
      <w:r>
        <w:rPr>
          <w:rFonts w:hint="eastAsia"/>
          <w:spacing w:val="-6"/>
          <w:sz w:val="28"/>
          <w:lang w:eastAsia="zh-CN"/>
        </w:rPr>
        <w:t>（</w:t>
      </w:r>
      <w:r>
        <w:rPr>
          <w:rFonts w:hint="eastAsia"/>
          <w:spacing w:val="-6"/>
          <w:sz w:val="28"/>
        </w:rPr>
        <w:t>5类1项</w:t>
      </w:r>
      <w:r>
        <w:rPr>
          <w:rFonts w:hint="eastAsia"/>
          <w:spacing w:val="-6"/>
          <w:sz w:val="28"/>
          <w:lang w:eastAsia="zh-CN"/>
        </w:rPr>
        <w:t>）</w:t>
      </w:r>
      <w:r>
        <w:rPr>
          <w:rFonts w:hint="eastAsia"/>
          <w:spacing w:val="-6"/>
          <w:sz w:val="28"/>
        </w:rPr>
        <w:t>。</w:t>
      </w:r>
    </w:p>
    <w:p w14:paraId="6075E0BE">
      <w:pPr>
        <w:bidi w:val="0"/>
        <w:rPr>
          <w:rFonts w:hint="eastAsia"/>
        </w:rPr>
      </w:pPr>
      <w:r>
        <w:rPr>
          <w:rFonts w:hint="eastAsia"/>
        </w:rPr>
        <w:t>另外该公司有提供部分车辆信息资料及道路危险货物运输驾驶员和道路危险货物运输押运人员相关资料，具体情况详见附件。</w:t>
      </w:r>
    </w:p>
    <w:p w14:paraId="1492680D">
      <w:pPr>
        <w:pStyle w:val="3"/>
        <w:bidi w:val="0"/>
        <w:ind w:left="0" w:leftChars="0" w:firstLine="0" w:firstLineChars="0"/>
        <w:rPr>
          <w:rFonts w:hint="eastAsia"/>
        </w:rPr>
      </w:pPr>
      <w:bookmarkStart w:id="46" w:name="_Toc25873"/>
      <w:bookmarkStart w:id="47" w:name="_Toc7723"/>
      <w:r>
        <w:rPr>
          <w:rFonts w:hint="eastAsia"/>
          <w:lang w:val="en-US" w:eastAsia="zh-CN"/>
        </w:rPr>
        <w:t>2</w:t>
      </w:r>
      <w:r>
        <w:rPr>
          <w:rFonts w:hint="eastAsia"/>
        </w:rPr>
        <w:t>2.6 消防、安全设施</w:t>
      </w:r>
      <w:bookmarkEnd w:id="46"/>
      <w:bookmarkEnd w:id="47"/>
    </w:p>
    <w:p w14:paraId="44A79C02">
      <w:pPr>
        <w:pStyle w:val="4"/>
        <w:bidi w:val="0"/>
        <w:ind w:left="0" w:leftChars="0" w:firstLine="0" w:firstLineChars="0"/>
        <w:rPr>
          <w:rFonts w:hint="eastAsia"/>
        </w:rPr>
      </w:pPr>
      <w:bookmarkStart w:id="48" w:name="_Toc1586"/>
      <w:r>
        <w:rPr>
          <w:rFonts w:hint="eastAsia"/>
        </w:rPr>
        <w:t>2.6.1 消防设施</w:t>
      </w:r>
      <w:bookmarkEnd w:id="48"/>
    </w:p>
    <w:p w14:paraId="369A42C9">
      <w:pPr>
        <w:bidi w:val="0"/>
        <w:rPr>
          <w:rFonts w:hint="eastAsia" w:ascii="宋体" w:hAnsi="宋体" w:cs="宋体"/>
          <w:sz w:val="28"/>
          <w:szCs w:val="28"/>
        </w:rPr>
      </w:pPr>
      <w:r>
        <w:rPr>
          <w:rFonts w:hint="eastAsia"/>
        </w:rPr>
        <w:t>该公司消防设施依托于租赁仓库的萍乡市金坪烟花制造有限公司，其配备了应急设备设施，如消防水池、干粉灭火器、消防水泵、消防水枪、消防桶等。</w:t>
      </w:r>
      <w:r>
        <w:rPr>
          <w:rFonts w:hint="eastAsia" w:ascii="宋体" w:hAnsi="宋体" w:cs="宋体"/>
          <w:sz w:val="28"/>
          <w:szCs w:val="28"/>
        </w:rPr>
        <w:t>企业仓储库区主要安全、消防设施见表2.</w:t>
      </w:r>
      <w:r>
        <w:rPr>
          <w:rFonts w:hint="eastAsia" w:ascii="宋体" w:hAnsi="宋体" w:cs="宋体"/>
          <w:sz w:val="28"/>
          <w:szCs w:val="28"/>
          <w:lang w:val="en-US" w:eastAsia="zh-CN"/>
        </w:rPr>
        <w:t>6</w:t>
      </w:r>
      <w:r>
        <w:rPr>
          <w:rFonts w:hint="eastAsia" w:ascii="宋体" w:hAnsi="宋体" w:cs="宋体"/>
          <w:sz w:val="28"/>
          <w:szCs w:val="28"/>
        </w:rPr>
        <w:t>-1。</w:t>
      </w:r>
    </w:p>
    <w:p w14:paraId="0B4365E5">
      <w:pPr>
        <w:bidi w:val="0"/>
        <w:jc w:val="center"/>
        <w:rPr>
          <w:rFonts w:hint="eastAsia" w:ascii="黑体" w:hAnsi="黑体" w:eastAsia="黑体"/>
          <w:sz w:val="24"/>
        </w:rPr>
      </w:pPr>
      <w:r>
        <w:rPr>
          <w:rFonts w:hint="eastAsia" w:ascii="黑体" w:hAnsi="黑体" w:eastAsia="黑体"/>
          <w:sz w:val="24"/>
        </w:rPr>
        <w:t>表2.</w:t>
      </w:r>
      <w:r>
        <w:rPr>
          <w:rFonts w:hint="eastAsia" w:ascii="黑体" w:hAnsi="黑体" w:eastAsia="黑体"/>
          <w:sz w:val="24"/>
          <w:lang w:val="en-US" w:eastAsia="zh-CN"/>
        </w:rPr>
        <w:t>6</w:t>
      </w:r>
      <w:r>
        <w:rPr>
          <w:rFonts w:hint="eastAsia" w:ascii="黑体" w:hAnsi="黑体" w:eastAsia="黑体"/>
          <w:sz w:val="24"/>
        </w:rPr>
        <w:t>-1仓储场所主要安全、消防设施表</w:t>
      </w:r>
    </w:p>
    <w:tbl>
      <w:tblPr>
        <w:tblStyle w:val="41"/>
        <w:tblW w:w="48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154"/>
        <w:gridCol w:w="2694"/>
        <w:gridCol w:w="1156"/>
        <w:gridCol w:w="2483"/>
        <w:gridCol w:w="1429"/>
      </w:tblGrid>
      <w:tr w14:paraId="511969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67" w:hRule="atLeast"/>
        </w:trPr>
        <w:tc>
          <w:tcPr>
            <w:tcW w:w="647" w:type="pct"/>
            <w:tcBorders>
              <w:tl2br w:val="nil"/>
              <w:tr2bl w:val="nil"/>
            </w:tcBorders>
            <w:noWrap w:val="0"/>
            <w:vAlign w:val="top"/>
          </w:tcPr>
          <w:p w14:paraId="1A0CFFAD">
            <w:pPr>
              <w:ind w:left="0" w:leftChars="0" w:firstLine="0" w:firstLineChars="0"/>
              <w:jc w:val="center"/>
              <w:rPr>
                <w:rFonts w:ascii="宋体" w:hAnsi="宋体"/>
                <w:b/>
                <w:color w:val="000000"/>
                <w:sz w:val="21"/>
                <w:szCs w:val="21"/>
              </w:rPr>
            </w:pPr>
            <w:r>
              <w:rPr>
                <w:rFonts w:hint="eastAsia" w:ascii="宋体" w:hAnsi="宋体"/>
                <w:b/>
                <w:color w:val="000000"/>
                <w:sz w:val="21"/>
                <w:szCs w:val="21"/>
              </w:rPr>
              <w:t>序号</w:t>
            </w:r>
          </w:p>
        </w:tc>
        <w:tc>
          <w:tcPr>
            <w:tcW w:w="1510" w:type="pct"/>
            <w:tcBorders>
              <w:tl2br w:val="nil"/>
              <w:tr2bl w:val="nil"/>
            </w:tcBorders>
            <w:noWrap w:val="0"/>
            <w:vAlign w:val="top"/>
          </w:tcPr>
          <w:p w14:paraId="7DA2DAED">
            <w:pPr>
              <w:ind w:firstLine="0" w:firstLineChars="0"/>
              <w:jc w:val="center"/>
              <w:rPr>
                <w:rFonts w:ascii="宋体" w:hAnsi="宋体"/>
                <w:b/>
                <w:color w:val="000000"/>
                <w:sz w:val="21"/>
                <w:szCs w:val="21"/>
              </w:rPr>
            </w:pPr>
            <w:r>
              <w:rPr>
                <w:rFonts w:hint="eastAsia" w:ascii="宋体" w:hAnsi="宋体"/>
                <w:b/>
                <w:color w:val="000000"/>
                <w:sz w:val="21"/>
                <w:szCs w:val="21"/>
              </w:rPr>
              <w:t>消防设施名称</w:t>
            </w:r>
          </w:p>
        </w:tc>
        <w:tc>
          <w:tcPr>
            <w:tcW w:w="648" w:type="pct"/>
            <w:tcBorders>
              <w:tl2br w:val="nil"/>
              <w:tr2bl w:val="nil"/>
            </w:tcBorders>
            <w:noWrap w:val="0"/>
            <w:vAlign w:val="top"/>
          </w:tcPr>
          <w:p w14:paraId="5774F0A6">
            <w:pPr>
              <w:ind w:firstLine="0" w:firstLineChars="0"/>
              <w:jc w:val="center"/>
              <w:rPr>
                <w:rFonts w:ascii="宋体" w:hAnsi="宋体"/>
                <w:b/>
                <w:color w:val="000000"/>
                <w:sz w:val="21"/>
                <w:szCs w:val="21"/>
              </w:rPr>
            </w:pPr>
            <w:r>
              <w:rPr>
                <w:rFonts w:hint="eastAsia" w:ascii="宋体" w:hAnsi="宋体"/>
                <w:b/>
                <w:color w:val="000000"/>
                <w:sz w:val="21"/>
                <w:szCs w:val="21"/>
              </w:rPr>
              <w:t>数量</w:t>
            </w:r>
          </w:p>
        </w:tc>
        <w:tc>
          <w:tcPr>
            <w:tcW w:w="1392" w:type="pct"/>
            <w:tcBorders>
              <w:tl2br w:val="nil"/>
              <w:tr2bl w:val="nil"/>
            </w:tcBorders>
            <w:noWrap w:val="0"/>
            <w:vAlign w:val="top"/>
          </w:tcPr>
          <w:p w14:paraId="25FADDC3">
            <w:pPr>
              <w:ind w:firstLine="0" w:firstLineChars="0"/>
              <w:jc w:val="center"/>
              <w:rPr>
                <w:rFonts w:ascii="宋体" w:hAnsi="宋体"/>
                <w:b/>
                <w:color w:val="000000"/>
                <w:sz w:val="21"/>
                <w:szCs w:val="21"/>
              </w:rPr>
            </w:pPr>
            <w:r>
              <w:rPr>
                <w:rFonts w:hint="eastAsia" w:ascii="宋体" w:hAnsi="宋体"/>
                <w:b/>
                <w:color w:val="000000"/>
                <w:sz w:val="21"/>
                <w:szCs w:val="21"/>
              </w:rPr>
              <w:t>型号</w:t>
            </w:r>
          </w:p>
        </w:tc>
        <w:tc>
          <w:tcPr>
            <w:tcW w:w="801" w:type="pct"/>
            <w:tcBorders>
              <w:tl2br w:val="nil"/>
              <w:tr2bl w:val="nil"/>
            </w:tcBorders>
            <w:noWrap w:val="0"/>
            <w:vAlign w:val="top"/>
          </w:tcPr>
          <w:p w14:paraId="414C016A">
            <w:pPr>
              <w:ind w:firstLine="0" w:firstLineChars="0"/>
              <w:jc w:val="center"/>
              <w:rPr>
                <w:rFonts w:ascii="宋体" w:hAnsi="宋体"/>
                <w:b/>
                <w:color w:val="000000"/>
                <w:sz w:val="21"/>
                <w:szCs w:val="21"/>
              </w:rPr>
            </w:pPr>
            <w:r>
              <w:rPr>
                <w:rFonts w:hint="eastAsia" w:ascii="宋体" w:hAnsi="宋体"/>
                <w:b/>
                <w:color w:val="000000"/>
                <w:sz w:val="21"/>
                <w:szCs w:val="21"/>
              </w:rPr>
              <w:t>状态</w:t>
            </w:r>
          </w:p>
        </w:tc>
      </w:tr>
      <w:tr w14:paraId="56D63F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57" w:hRule="atLeast"/>
        </w:trPr>
        <w:tc>
          <w:tcPr>
            <w:tcW w:w="647" w:type="pct"/>
            <w:tcBorders>
              <w:tl2br w:val="nil"/>
              <w:tr2bl w:val="nil"/>
            </w:tcBorders>
            <w:noWrap w:val="0"/>
            <w:vAlign w:val="center"/>
          </w:tcPr>
          <w:p w14:paraId="73548154">
            <w:pPr>
              <w:adjustRightInd/>
              <w:snapToGrid/>
              <w:spacing w:line="240" w:lineRule="auto"/>
              <w:ind w:firstLine="0" w:firstLineChars="0"/>
              <w:jc w:val="center"/>
              <w:rPr>
                <w:rFonts w:hint="eastAsia" w:ascii="宋体" w:hAnsi="宋体" w:eastAsia="宋体" w:cs="Times New Roman"/>
                <w:color w:val="000000"/>
                <w:kern w:val="0"/>
                <w:sz w:val="21"/>
                <w:szCs w:val="21"/>
              </w:rPr>
            </w:pPr>
            <w:r>
              <w:rPr>
                <w:rFonts w:hint="eastAsia" w:ascii="宋体" w:hAnsi="宋体" w:eastAsia="宋体" w:cs="Times New Roman"/>
                <w:color w:val="000000"/>
                <w:kern w:val="0"/>
                <w:sz w:val="21"/>
                <w:szCs w:val="21"/>
                <w:lang w:val="en-US" w:eastAsia="zh-CN"/>
              </w:rPr>
              <w:t>1</w:t>
            </w:r>
          </w:p>
        </w:tc>
        <w:tc>
          <w:tcPr>
            <w:tcW w:w="1510" w:type="pct"/>
            <w:tcBorders>
              <w:tl2br w:val="nil"/>
              <w:tr2bl w:val="nil"/>
            </w:tcBorders>
            <w:noWrap w:val="0"/>
            <w:vAlign w:val="top"/>
          </w:tcPr>
          <w:p w14:paraId="1B2FCDDE">
            <w:pPr>
              <w:spacing w:line="240" w:lineRule="auto"/>
              <w:ind w:firstLine="0" w:firstLineChars="0"/>
              <w:jc w:val="center"/>
              <w:rPr>
                <w:rFonts w:ascii="宋体" w:hAnsi="宋体"/>
                <w:color w:val="000000"/>
                <w:kern w:val="0"/>
                <w:sz w:val="21"/>
                <w:szCs w:val="21"/>
              </w:rPr>
            </w:pPr>
            <w:r>
              <w:rPr>
                <w:rFonts w:hint="eastAsia" w:ascii="宋体" w:hAnsi="宋体"/>
                <w:color w:val="000000"/>
                <w:kern w:val="0"/>
                <w:sz w:val="21"/>
                <w:szCs w:val="21"/>
              </w:rPr>
              <w:t>高位水池</w:t>
            </w:r>
          </w:p>
        </w:tc>
        <w:tc>
          <w:tcPr>
            <w:tcW w:w="648" w:type="pct"/>
            <w:tcBorders>
              <w:tl2br w:val="nil"/>
              <w:tr2bl w:val="nil"/>
            </w:tcBorders>
            <w:noWrap w:val="0"/>
            <w:vAlign w:val="top"/>
          </w:tcPr>
          <w:p w14:paraId="572FF65B">
            <w:pPr>
              <w:spacing w:line="240" w:lineRule="auto"/>
              <w:ind w:firstLine="0" w:firstLineChars="0"/>
              <w:jc w:val="center"/>
              <w:rPr>
                <w:rFonts w:ascii="宋体" w:hAnsi="宋体"/>
                <w:color w:val="000000"/>
                <w:kern w:val="0"/>
                <w:sz w:val="21"/>
                <w:szCs w:val="21"/>
              </w:rPr>
            </w:pPr>
            <w:r>
              <w:rPr>
                <w:rFonts w:hint="eastAsia" w:ascii="宋体" w:hAnsi="宋体"/>
                <w:color w:val="000000"/>
                <w:kern w:val="0"/>
                <w:sz w:val="21"/>
                <w:szCs w:val="21"/>
              </w:rPr>
              <w:t>1</w:t>
            </w:r>
          </w:p>
        </w:tc>
        <w:tc>
          <w:tcPr>
            <w:tcW w:w="1392" w:type="pct"/>
            <w:tcBorders>
              <w:tl2br w:val="nil"/>
              <w:tr2bl w:val="nil"/>
            </w:tcBorders>
            <w:noWrap w:val="0"/>
            <w:vAlign w:val="top"/>
          </w:tcPr>
          <w:p w14:paraId="4E95955D">
            <w:pPr>
              <w:spacing w:line="240" w:lineRule="auto"/>
              <w:ind w:firstLine="0" w:firstLineChars="0"/>
              <w:jc w:val="center"/>
              <w:rPr>
                <w:rFonts w:ascii="宋体" w:hAnsi="宋体"/>
                <w:color w:val="000000"/>
                <w:kern w:val="0"/>
                <w:sz w:val="21"/>
                <w:szCs w:val="21"/>
              </w:rPr>
            </w:pPr>
            <w:r>
              <w:rPr>
                <w:rFonts w:hint="eastAsia" w:ascii="宋体" w:hAnsi="宋体"/>
                <w:color w:val="000000"/>
                <w:kern w:val="0"/>
                <w:sz w:val="21"/>
                <w:szCs w:val="21"/>
              </w:rPr>
              <w:t>座</w:t>
            </w:r>
          </w:p>
        </w:tc>
        <w:tc>
          <w:tcPr>
            <w:tcW w:w="801" w:type="pct"/>
            <w:tcBorders>
              <w:tl2br w:val="nil"/>
              <w:tr2bl w:val="nil"/>
            </w:tcBorders>
            <w:noWrap w:val="0"/>
            <w:vAlign w:val="center"/>
          </w:tcPr>
          <w:p w14:paraId="5A631CB3">
            <w:pPr>
              <w:spacing w:line="240" w:lineRule="auto"/>
              <w:ind w:firstLine="0" w:firstLineChars="0"/>
              <w:jc w:val="center"/>
              <w:rPr>
                <w:rFonts w:ascii="宋体" w:hAnsi="宋体"/>
                <w:color w:val="000000"/>
                <w:kern w:val="0"/>
                <w:sz w:val="21"/>
                <w:szCs w:val="21"/>
              </w:rPr>
            </w:pPr>
            <w:r>
              <w:rPr>
                <w:rFonts w:hint="eastAsia" w:ascii="宋体" w:hAnsi="宋体"/>
                <w:color w:val="000000"/>
                <w:kern w:val="0"/>
                <w:sz w:val="21"/>
                <w:szCs w:val="21"/>
              </w:rPr>
              <w:t>正常</w:t>
            </w:r>
          </w:p>
        </w:tc>
      </w:tr>
      <w:tr w14:paraId="46FB1B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57" w:hRule="atLeast"/>
        </w:trPr>
        <w:tc>
          <w:tcPr>
            <w:tcW w:w="647" w:type="pct"/>
            <w:tcBorders>
              <w:tl2br w:val="nil"/>
              <w:tr2bl w:val="nil"/>
            </w:tcBorders>
            <w:noWrap w:val="0"/>
            <w:vAlign w:val="center"/>
          </w:tcPr>
          <w:p w14:paraId="419CB272">
            <w:pPr>
              <w:spacing w:line="240" w:lineRule="auto"/>
              <w:ind w:firstLine="0" w:firstLineChars="0"/>
              <w:jc w:val="center"/>
              <w:rPr>
                <w:rFonts w:hint="eastAsia" w:ascii="宋体" w:hAnsi="宋体" w:eastAsia="宋体" w:cs="Times New Roman"/>
                <w:color w:val="000000"/>
                <w:kern w:val="0"/>
                <w:sz w:val="21"/>
                <w:szCs w:val="21"/>
              </w:rPr>
            </w:pPr>
            <w:r>
              <w:rPr>
                <w:rFonts w:hint="eastAsia" w:ascii="宋体" w:hAnsi="宋体" w:eastAsia="宋体" w:cs="Times New Roman"/>
                <w:color w:val="000000"/>
                <w:kern w:val="0"/>
                <w:sz w:val="21"/>
                <w:szCs w:val="21"/>
              </w:rPr>
              <w:t>2</w:t>
            </w:r>
          </w:p>
        </w:tc>
        <w:tc>
          <w:tcPr>
            <w:tcW w:w="1510" w:type="pct"/>
            <w:tcBorders>
              <w:tl2br w:val="nil"/>
              <w:tr2bl w:val="nil"/>
            </w:tcBorders>
            <w:noWrap w:val="0"/>
            <w:vAlign w:val="top"/>
          </w:tcPr>
          <w:p w14:paraId="2959172E">
            <w:pPr>
              <w:spacing w:line="240" w:lineRule="auto"/>
              <w:ind w:firstLine="0" w:firstLineChars="0"/>
              <w:jc w:val="center"/>
              <w:rPr>
                <w:rFonts w:ascii="宋体" w:hAnsi="宋体"/>
                <w:color w:val="000000"/>
                <w:kern w:val="0"/>
                <w:sz w:val="21"/>
                <w:szCs w:val="21"/>
              </w:rPr>
            </w:pPr>
            <w:r>
              <w:rPr>
                <w:rFonts w:hint="eastAsia" w:ascii="宋体" w:hAnsi="宋体"/>
                <w:color w:val="000000"/>
                <w:kern w:val="0"/>
                <w:sz w:val="21"/>
                <w:szCs w:val="21"/>
              </w:rPr>
              <w:t>灭火器</w:t>
            </w:r>
          </w:p>
        </w:tc>
        <w:tc>
          <w:tcPr>
            <w:tcW w:w="648" w:type="pct"/>
            <w:tcBorders>
              <w:tl2br w:val="nil"/>
              <w:tr2bl w:val="nil"/>
            </w:tcBorders>
            <w:noWrap w:val="0"/>
            <w:vAlign w:val="top"/>
          </w:tcPr>
          <w:p w14:paraId="7D994F70">
            <w:pPr>
              <w:spacing w:line="240" w:lineRule="auto"/>
              <w:ind w:firstLine="0" w:firstLineChars="0"/>
              <w:jc w:val="center"/>
              <w:rPr>
                <w:rFonts w:hint="eastAsia" w:ascii="宋体" w:hAnsi="宋体" w:eastAsia="宋体"/>
                <w:color w:val="000000"/>
                <w:kern w:val="0"/>
                <w:sz w:val="21"/>
                <w:szCs w:val="21"/>
                <w:lang w:eastAsia="zh-CN"/>
              </w:rPr>
            </w:pPr>
            <w:r>
              <w:rPr>
                <w:rFonts w:hint="eastAsia" w:ascii="宋体" w:hAnsi="宋体"/>
                <w:color w:val="000000"/>
                <w:kern w:val="0"/>
                <w:sz w:val="21"/>
                <w:szCs w:val="21"/>
                <w:lang w:val="en-US" w:eastAsia="zh-CN"/>
              </w:rPr>
              <w:t>6</w:t>
            </w:r>
          </w:p>
        </w:tc>
        <w:tc>
          <w:tcPr>
            <w:tcW w:w="1392" w:type="pct"/>
            <w:tcBorders>
              <w:tl2br w:val="nil"/>
              <w:tr2bl w:val="nil"/>
            </w:tcBorders>
            <w:noWrap w:val="0"/>
            <w:vAlign w:val="top"/>
          </w:tcPr>
          <w:p w14:paraId="1D1846DC">
            <w:pPr>
              <w:spacing w:line="240" w:lineRule="auto"/>
              <w:ind w:firstLine="0" w:firstLineChars="0"/>
              <w:jc w:val="center"/>
              <w:rPr>
                <w:rFonts w:ascii="宋体" w:hAnsi="宋体"/>
                <w:color w:val="000000"/>
                <w:kern w:val="0"/>
                <w:sz w:val="21"/>
                <w:szCs w:val="21"/>
              </w:rPr>
            </w:pPr>
            <w:r>
              <w:rPr>
                <w:rFonts w:hint="eastAsia" w:ascii="宋体" w:hAnsi="宋体"/>
                <w:color w:val="000000"/>
                <w:kern w:val="0"/>
                <w:sz w:val="21"/>
                <w:szCs w:val="21"/>
              </w:rPr>
              <w:t>干粉、二氧化碳</w:t>
            </w:r>
          </w:p>
        </w:tc>
        <w:tc>
          <w:tcPr>
            <w:tcW w:w="801" w:type="pct"/>
            <w:tcBorders>
              <w:tl2br w:val="nil"/>
              <w:tr2bl w:val="nil"/>
            </w:tcBorders>
            <w:noWrap w:val="0"/>
            <w:vAlign w:val="center"/>
          </w:tcPr>
          <w:p w14:paraId="7DCCB798">
            <w:pPr>
              <w:spacing w:line="240" w:lineRule="auto"/>
              <w:ind w:firstLine="0" w:firstLineChars="0"/>
              <w:jc w:val="center"/>
              <w:rPr>
                <w:rFonts w:ascii="宋体" w:hAnsi="宋体"/>
                <w:color w:val="000000"/>
                <w:kern w:val="0"/>
                <w:sz w:val="21"/>
                <w:szCs w:val="21"/>
              </w:rPr>
            </w:pPr>
            <w:r>
              <w:rPr>
                <w:rFonts w:hint="eastAsia" w:ascii="宋体" w:hAnsi="宋体"/>
                <w:color w:val="000000"/>
                <w:kern w:val="0"/>
                <w:sz w:val="21"/>
                <w:szCs w:val="21"/>
              </w:rPr>
              <w:t>正常</w:t>
            </w:r>
          </w:p>
        </w:tc>
      </w:tr>
      <w:tr w14:paraId="6FFD17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57" w:hRule="atLeast"/>
        </w:trPr>
        <w:tc>
          <w:tcPr>
            <w:tcW w:w="647" w:type="pct"/>
            <w:tcBorders>
              <w:tl2br w:val="nil"/>
              <w:tr2bl w:val="nil"/>
            </w:tcBorders>
            <w:noWrap w:val="0"/>
            <w:vAlign w:val="center"/>
          </w:tcPr>
          <w:p w14:paraId="29055D25">
            <w:pPr>
              <w:spacing w:line="240" w:lineRule="auto"/>
              <w:ind w:firstLine="0" w:firstLineChars="0"/>
              <w:jc w:val="center"/>
              <w:rPr>
                <w:rFonts w:hint="eastAsia" w:ascii="宋体" w:hAnsi="宋体" w:eastAsia="宋体" w:cs="Times New Roman"/>
                <w:color w:val="000000"/>
                <w:kern w:val="0"/>
                <w:sz w:val="21"/>
                <w:szCs w:val="21"/>
              </w:rPr>
            </w:pPr>
            <w:r>
              <w:rPr>
                <w:rFonts w:hint="eastAsia" w:ascii="宋体" w:hAnsi="宋体" w:eastAsia="宋体" w:cs="Times New Roman"/>
                <w:color w:val="000000"/>
                <w:kern w:val="0"/>
                <w:sz w:val="21"/>
                <w:szCs w:val="21"/>
              </w:rPr>
              <w:t>3</w:t>
            </w:r>
          </w:p>
        </w:tc>
        <w:tc>
          <w:tcPr>
            <w:tcW w:w="1510" w:type="pct"/>
            <w:tcBorders>
              <w:tl2br w:val="nil"/>
              <w:tr2bl w:val="nil"/>
            </w:tcBorders>
            <w:noWrap w:val="0"/>
            <w:vAlign w:val="top"/>
          </w:tcPr>
          <w:p w14:paraId="10F16C6C">
            <w:pPr>
              <w:spacing w:line="240" w:lineRule="auto"/>
              <w:ind w:firstLine="0" w:firstLineChars="0"/>
              <w:jc w:val="center"/>
              <w:rPr>
                <w:rFonts w:hint="default" w:ascii="宋体" w:hAnsi="宋体" w:eastAsia="宋体"/>
                <w:color w:val="000000"/>
                <w:kern w:val="0"/>
                <w:sz w:val="21"/>
                <w:szCs w:val="21"/>
                <w:lang w:val="en-US" w:eastAsia="zh-CN"/>
              </w:rPr>
            </w:pPr>
            <w:r>
              <w:rPr>
                <w:rFonts w:hint="eastAsia" w:ascii="宋体" w:hAnsi="宋体"/>
                <w:color w:val="000000"/>
                <w:kern w:val="0"/>
                <w:sz w:val="21"/>
                <w:szCs w:val="21"/>
              </w:rPr>
              <w:t>消</w:t>
            </w:r>
            <w:r>
              <w:rPr>
                <w:rFonts w:hint="eastAsia" w:ascii="宋体" w:hAnsi="宋体"/>
                <w:color w:val="000000"/>
                <w:kern w:val="0"/>
                <w:sz w:val="21"/>
                <w:szCs w:val="21"/>
                <w:lang w:val="en-US" w:eastAsia="zh-CN"/>
              </w:rPr>
              <w:t>火栓</w:t>
            </w:r>
          </w:p>
        </w:tc>
        <w:tc>
          <w:tcPr>
            <w:tcW w:w="648" w:type="pct"/>
            <w:tcBorders>
              <w:tl2br w:val="nil"/>
              <w:tr2bl w:val="nil"/>
            </w:tcBorders>
            <w:noWrap w:val="0"/>
            <w:vAlign w:val="top"/>
          </w:tcPr>
          <w:p w14:paraId="027469B9">
            <w:pPr>
              <w:spacing w:line="240" w:lineRule="auto"/>
              <w:ind w:firstLine="0" w:firstLineChars="0"/>
              <w:jc w:val="center"/>
              <w:rPr>
                <w:rFonts w:hint="eastAsia" w:ascii="宋体" w:hAnsi="宋体" w:eastAsia="宋体"/>
                <w:color w:val="000000"/>
                <w:kern w:val="0"/>
                <w:sz w:val="21"/>
                <w:szCs w:val="21"/>
                <w:lang w:eastAsia="zh-CN"/>
              </w:rPr>
            </w:pPr>
            <w:r>
              <w:rPr>
                <w:rFonts w:hint="eastAsia" w:ascii="宋体" w:hAnsi="宋体"/>
                <w:color w:val="000000"/>
                <w:kern w:val="0"/>
                <w:sz w:val="21"/>
                <w:szCs w:val="21"/>
                <w:lang w:val="en-US" w:eastAsia="zh-CN"/>
              </w:rPr>
              <w:t>1</w:t>
            </w:r>
          </w:p>
        </w:tc>
        <w:tc>
          <w:tcPr>
            <w:tcW w:w="1392" w:type="pct"/>
            <w:tcBorders>
              <w:tl2br w:val="nil"/>
              <w:tr2bl w:val="nil"/>
            </w:tcBorders>
            <w:noWrap w:val="0"/>
            <w:vAlign w:val="top"/>
          </w:tcPr>
          <w:p w14:paraId="51FA0CDA">
            <w:pPr>
              <w:spacing w:line="240" w:lineRule="auto"/>
              <w:ind w:firstLine="0" w:firstLineChars="0"/>
              <w:jc w:val="center"/>
              <w:rPr>
                <w:rFonts w:ascii="宋体" w:hAnsi="宋体"/>
                <w:color w:val="000000"/>
                <w:kern w:val="0"/>
                <w:sz w:val="21"/>
                <w:szCs w:val="21"/>
              </w:rPr>
            </w:pPr>
            <w:r>
              <w:rPr>
                <w:rFonts w:hint="eastAsia" w:ascii="宋体" w:hAnsi="宋体"/>
                <w:color w:val="000000"/>
                <w:kern w:val="0"/>
                <w:sz w:val="21"/>
                <w:szCs w:val="21"/>
              </w:rPr>
              <w:t>个</w:t>
            </w:r>
          </w:p>
        </w:tc>
        <w:tc>
          <w:tcPr>
            <w:tcW w:w="801" w:type="pct"/>
            <w:tcBorders>
              <w:tl2br w:val="nil"/>
              <w:tr2bl w:val="nil"/>
            </w:tcBorders>
            <w:noWrap w:val="0"/>
            <w:vAlign w:val="center"/>
          </w:tcPr>
          <w:p w14:paraId="105A52A5">
            <w:pPr>
              <w:spacing w:line="240" w:lineRule="auto"/>
              <w:ind w:firstLine="0" w:firstLineChars="0"/>
              <w:jc w:val="center"/>
              <w:rPr>
                <w:rFonts w:ascii="宋体" w:hAnsi="宋体"/>
                <w:color w:val="000000"/>
                <w:kern w:val="0"/>
                <w:sz w:val="21"/>
                <w:szCs w:val="21"/>
              </w:rPr>
            </w:pPr>
            <w:r>
              <w:rPr>
                <w:rFonts w:hint="eastAsia" w:ascii="宋体" w:hAnsi="宋体"/>
                <w:color w:val="000000"/>
                <w:kern w:val="0"/>
                <w:sz w:val="21"/>
                <w:szCs w:val="21"/>
              </w:rPr>
              <w:t>正常</w:t>
            </w:r>
          </w:p>
        </w:tc>
      </w:tr>
      <w:tr w14:paraId="2C3AF4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57" w:hRule="atLeast"/>
        </w:trPr>
        <w:tc>
          <w:tcPr>
            <w:tcW w:w="647" w:type="pct"/>
            <w:tcBorders>
              <w:tl2br w:val="nil"/>
              <w:tr2bl w:val="nil"/>
            </w:tcBorders>
            <w:noWrap w:val="0"/>
            <w:vAlign w:val="center"/>
          </w:tcPr>
          <w:p w14:paraId="138B1AFE">
            <w:pPr>
              <w:spacing w:line="240" w:lineRule="auto"/>
              <w:ind w:firstLine="0" w:firstLineChars="0"/>
              <w:jc w:val="center"/>
              <w:rPr>
                <w:rFonts w:hint="eastAsia" w:ascii="宋体" w:hAnsi="宋体" w:eastAsia="宋体" w:cs="Times New Roman"/>
                <w:color w:val="000000"/>
                <w:kern w:val="0"/>
                <w:sz w:val="21"/>
                <w:szCs w:val="21"/>
              </w:rPr>
            </w:pPr>
            <w:r>
              <w:rPr>
                <w:rFonts w:hint="eastAsia" w:ascii="宋体" w:hAnsi="宋体" w:eastAsia="宋体" w:cs="Times New Roman"/>
                <w:color w:val="000000"/>
                <w:kern w:val="0"/>
                <w:sz w:val="21"/>
                <w:szCs w:val="21"/>
              </w:rPr>
              <w:t>4</w:t>
            </w:r>
          </w:p>
        </w:tc>
        <w:tc>
          <w:tcPr>
            <w:tcW w:w="1510" w:type="pct"/>
            <w:tcBorders>
              <w:tl2br w:val="nil"/>
              <w:tr2bl w:val="nil"/>
            </w:tcBorders>
            <w:noWrap w:val="0"/>
            <w:vAlign w:val="top"/>
          </w:tcPr>
          <w:p w14:paraId="29830DCA">
            <w:pPr>
              <w:spacing w:line="240" w:lineRule="auto"/>
              <w:ind w:firstLine="0" w:firstLineChars="0"/>
              <w:jc w:val="center"/>
              <w:rPr>
                <w:rFonts w:ascii="宋体" w:hAnsi="宋体"/>
                <w:color w:val="000000"/>
                <w:kern w:val="0"/>
                <w:sz w:val="21"/>
                <w:szCs w:val="21"/>
              </w:rPr>
            </w:pPr>
            <w:r>
              <w:rPr>
                <w:rFonts w:hint="eastAsia" w:ascii="宋体" w:hAnsi="宋体"/>
                <w:color w:val="000000"/>
                <w:kern w:val="0"/>
                <w:sz w:val="21"/>
                <w:szCs w:val="21"/>
              </w:rPr>
              <w:t>消防水带</w:t>
            </w:r>
          </w:p>
        </w:tc>
        <w:tc>
          <w:tcPr>
            <w:tcW w:w="648" w:type="pct"/>
            <w:tcBorders>
              <w:tl2br w:val="nil"/>
              <w:tr2bl w:val="nil"/>
            </w:tcBorders>
            <w:noWrap w:val="0"/>
            <w:vAlign w:val="top"/>
          </w:tcPr>
          <w:p w14:paraId="24E445A2">
            <w:pPr>
              <w:spacing w:line="240" w:lineRule="auto"/>
              <w:ind w:firstLine="0" w:firstLineChars="0"/>
              <w:jc w:val="center"/>
              <w:rPr>
                <w:rFonts w:ascii="宋体" w:hAnsi="宋体"/>
                <w:color w:val="000000"/>
                <w:kern w:val="0"/>
                <w:sz w:val="21"/>
                <w:szCs w:val="21"/>
              </w:rPr>
            </w:pPr>
            <w:r>
              <w:rPr>
                <w:rFonts w:hint="eastAsia" w:ascii="宋体" w:hAnsi="宋体"/>
                <w:color w:val="000000"/>
                <w:kern w:val="0"/>
                <w:sz w:val="21"/>
                <w:szCs w:val="21"/>
                <w:lang w:val="en-US" w:eastAsia="zh-CN"/>
              </w:rPr>
              <w:t>2</w:t>
            </w:r>
            <w:r>
              <w:rPr>
                <w:rFonts w:hint="eastAsia" w:ascii="宋体" w:hAnsi="宋体"/>
                <w:color w:val="000000"/>
                <w:kern w:val="0"/>
                <w:sz w:val="21"/>
                <w:szCs w:val="21"/>
              </w:rPr>
              <w:t>00</w:t>
            </w:r>
          </w:p>
        </w:tc>
        <w:tc>
          <w:tcPr>
            <w:tcW w:w="1392" w:type="pct"/>
            <w:tcBorders>
              <w:tl2br w:val="nil"/>
              <w:tr2bl w:val="nil"/>
            </w:tcBorders>
            <w:noWrap w:val="0"/>
            <w:vAlign w:val="top"/>
          </w:tcPr>
          <w:p w14:paraId="61FA2091">
            <w:pPr>
              <w:spacing w:line="240" w:lineRule="auto"/>
              <w:ind w:firstLine="0" w:firstLineChars="0"/>
              <w:jc w:val="center"/>
              <w:rPr>
                <w:rFonts w:ascii="宋体" w:hAnsi="宋体"/>
                <w:color w:val="000000"/>
                <w:kern w:val="0"/>
                <w:sz w:val="21"/>
                <w:szCs w:val="21"/>
              </w:rPr>
            </w:pPr>
            <w:r>
              <w:rPr>
                <w:rFonts w:hint="eastAsia" w:ascii="宋体" w:hAnsi="宋体"/>
                <w:color w:val="000000"/>
                <w:kern w:val="0"/>
                <w:sz w:val="21"/>
                <w:szCs w:val="21"/>
              </w:rPr>
              <w:t>米</w:t>
            </w:r>
          </w:p>
        </w:tc>
        <w:tc>
          <w:tcPr>
            <w:tcW w:w="801" w:type="pct"/>
            <w:tcBorders>
              <w:tl2br w:val="nil"/>
              <w:tr2bl w:val="nil"/>
            </w:tcBorders>
            <w:noWrap w:val="0"/>
            <w:vAlign w:val="center"/>
          </w:tcPr>
          <w:p w14:paraId="7DB78E6D">
            <w:pPr>
              <w:spacing w:line="240" w:lineRule="auto"/>
              <w:ind w:firstLine="0" w:firstLineChars="0"/>
              <w:jc w:val="center"/>
              <w:rPr>
                <w:rFonts w:ascii="宋体" w:hAnsi="宋体"/>
                <w:color w:val="000000"/>
                <w:kern w:val="0"/>
                <w:sz w:val="21"/>
                <w:szCs w:val="21"/>
              </w:rPr>
            </w:pPr>
            <w:r>
              <w:rPr>
                <w:rFonts w:hint="eastAsia" w:ascii="宋体" w:hAnsi="宋体"/>
                <w:color w:val="000000"/>
                <w:kern w:val="0"/>
                <w:sz w:val="21"/>
                <w:szCs w:val="21"/>
              </w:rPr>
              <w:t>正常</w:t>
            </w:r>
          </w:p>
        </w:tc>
      </w:tr>
      <w:tr w14:paraId="184772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57" w:hRule="atLeast"/>
        </w:trPr>
        <w:tc>
          <w:tcPr>
            <w:tcW w:w="647" w:type="pct"/>
            <w:tcBorders>
              <w:tl2br w:val="nil"/>
              <w:tr2bl w:val="nil"/>
            </w:tcBorders>
            <w:noWrap w:val="0"/>
            <w:vAlign w:val="center"/>
          </w:tcPr>
          <w:p w14:paraId="37D7FEB3">
            <w:pPr>
              <w:spacing w:line="240" w:lineRule="auto"/>
              <w:ind w:firstLine="0" w:firstLineChars="0"/>
              <w:jc w:val="center"/>
              <w:rPr>
                <w:rFonts w:hint="eastAsia" w:ascii="宋体" w:hAnsi="宋体" w:eastAsia="宋体" w:cs="Times New Roman"/>
                <w:color w:val="000000"/>
                <w:kern w:val="0"/>
                <w:sz w:val="21"/>
                <w:szCs w:val="21"/>
              </w:rPr>
            </w:pPr>
            <w:r>
              <w:rPr>
                <w:rFonts w:hint="eastAsia" w:ascii="宋体" w:hAnsi="宋体" w:eastAsia="宋体" w:cs="Times New Roman"/>
                <w:color w:val="000000"/>
                <w:kern w:val="0"/>
                <w:sz w:val="21"/>
                <w:szCs w:val="21"/>
              </w:rPr>
              <w:t>5</w:t>
            </w:r>
          </w:p>
        </w:tc>
        <w:tc>
          <w:tcPr>
            <w:tcW w:w="1510" w:type="pct"/>
            <w:tcBorders>
              <w:tl2br w:val="nil"/>
              <w:tr2bl w:val="nil"/>
            </w:tcBorders>
            <w:noWrap w:val="0"/>
            <w:vAlign w:val="top"/>
          </w:tcPr>
          <w:p w14:paraId="4233B8DC">
            <w:pPr>
              <w:spacing w:line="240" w:lineRule="auto"/>
              <w:ind w:firstLine="0" w:firstLineChars="0"/>
              <w:jc w:val="center"/>
              <w:rPr>
                <w:rFonts w:ascii="宋体" w:hAnsi="宋体"/>
                <w:color w:val="000000"/>
                <w:kern w:val="0"/>
                <w:sz w:val="21"/>
                <w:szCs w:val="21"/>
              </w:rPr>
            </w:pPr>
            <w:r>
              <w:rPr>
                <w:rFonts w:hint="eastAsia" w:ascii="宋体" w:hAnsi="宋体"/>
                <w:color w:val="000000"/>
                <w:kern w:val="0"/>
                <w:sz w:val="21"/>
                <w:szCs w:val="21"/>
              </w:rPr>
              <w:t>消防水枪</w:t>
            </w:r>
          </w:p>
        </w:tc>
        <w:tc>
          <w:tcPr>
            <w:tcW w:w="648" w:type="pct"/>
            <w:tcBorders>
              <w:tl2br w:val="nil"/>
              <w:tr2bl w:val="nil"/>
            </w:tcBorders>
            <w:noWrap w:val="0"/>
            <w:vAlign w:val="top"/>
          </w:tcPr>
          <w:p w14:paraId="5CE7A33F">
            <w:pPr>
              <w:spacing w:line="240" w:lineRule="auto"/>
              <w:ind w:firstLine="0" w:firstLineChars="0"/>
              <w:jc w:val="center"/>
              <w:rPr>
                <w:rFonts w:hint="eastAsia" w:ascii="宋体" w:hAnsi="宋体" w:eastAsia="宋体"/>
                <w:color w:val="000000"/>
                <w:kern w:val="0"/>
                <w:sz w:val="21"/>
                <w:szCs w:val="21"/>
                <w:lang w:eastAsia="zh-CN"/>
              </w:rPr>
            </w:pPr>
            <w:r>
              <w:rPr>
                <w:rFonts w:hint="eastAsia" w:ascii="宋体" w:hAnsi="宋体"/>
                <w:color w:val="000000"/>
                <w:kern w:val="0"/>
                <w:sz w:val="21"/>
                <w:szCs w:val="21"/>
                <w:lang w:val="en-US" w:eastAsia="zh-CN"/>
              </w:rPr>
              <w:t>3</w:t>
            </w:r>
          </w:p>
        </w:tc>
        <w:tc>
          <w:tcPr>
            <w:tcW w:w="1392" w:type="pct"/>
            <w:tcBorders>
              <w:tl2br w:val="nil"/>
              <w:tr2bl w:val="nil"/>
            </w:tcBorders>
            <w:noWrap w:val="0"/>
            <w:vAlign w:val="top"/>
          </w:tcPr>
          <w:p w14:paraId="316AB22F">
            <w:pPr>
              <w:spacing w:line="240" w:lineRule="auto"/>
              <w:ind w:firstLine="0" w:firstLineChars="0"/>
              <w:jc w:val="center"/>
              <w:rPr>
                <w:rFonts w:ascii="宋体" w:hAnsi="宋体"/>
                <w:color w:val="000000"/>
                <w:kern w:val="0"/>
                <w:sz w:val="21"/>
                <w:szCs w:val="21"/>
              </w:rPr>
            </w:pPr>
            <w:r>
              <w:rPr>
                <w:rFonts w:hint="eastAsia" w:ascii="宋体" w:hAnsi="宋体"/>
                <w:color w:val="000000"/>
                <w:kern w:val="0"/>
                <w:sz w:val="21"/>
                <w:szCs w:val="21"/>
              </w:rPr>
              <w:t>把</w:t>
            </w:r>
          </w:p>
        </w:tc>
        <w:tc>
          <w:tcPr>
            <w:tcW w:w="801" w:type="pct"/>
            <w:tcBorders>
              <w:tl2br w:val="nil"/>
              <w:tr2bl w:val="nil"/>
            </w:tcBorders>
            <w:noWrap w:val="0"/>
            <w:vAlign w:val="center"/>
          </w:tcPr>
          <w:p w14:paraId="0FA15457">
            <w:pPr>
              <w:spacing w:line="240" w:lineRule="auto"/>
              <w:ind w:firstLine="0" w:firstLineChars="0"/>
              <w:jc w:val="center"/>
              <w:rPr>
                <w:rFonts w:ascii="宋体" w:hAnsi="宋体"/>
                <w:color w:val="000000"/>
                <w:kern w:val="0"/>
                <w:sz w:val="21"/>
                <w:szCs w:val="21"/>
              </w:rPr>
            </w:pPr>
            <w:r>
              <w:rPr>
                <w:rFonts w:hint="eastAsia" w:ascii="宋体" w:hAnsi="宋体"/>
                <w:color w:val="000000"/>
                <w:kern w:val="0"/>
                <w:sz w:val="21"/>
                <w:szCs w:val="21"/>
              </w:rPr>
              <w:t>正常</w:t>
            </w:r>
          </w:p>
        </w:tc>
      </w:tr>
      <w:tr w14:paraId="1F10C6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57" w:hRule="atLeast"/>
        </w:trPr>
        <w:tc>
          <w:tcPr>
            <w:tcW w:w="647" w:type="pct"/>
            <w:tcBorders>
              <w:tl2br w:val="nil"/>
              <w:tr2bl w:val="nil"/>
            </w:tcBorders>
            <w:noWrap w:val="0"/>
            <w:vAlign w:val="center"/>
          </w:tcPr>
          <w:p w14:paraId="27B475BA">
            <w:pPr>
              <w:spacing w:line="240" w:lineRule="auto"/>
              <w:ind w:firstLine="0" w:firstLineChars="0"/>
              <w:jc w:val="center"/>
              <w:rPr>
                <w:rFonts w:hint="eastAsia" w:ascii="宋体" w:hAnsi="宋体" w:eastAsia="宋体" w:cs="Times New Roman"/>
                <w:color w:val="000000"/>
                <w:kern w:val="0"/>
                <w:sz w:val="21"/>
                <w:szCs w:val="21"/>
              </w:rPr>
            </w:pPr>
            <w:r>
              <w:rPr>
                <w:rFonts w:hint="eastAsia" w:ascii="宋体" w:hAnsi="宋体" w:eastAsia="宋体" w:cs="Times New Roman"/>
                <w:color w:val="000000"/>
                <w:kern w:val="0"/>
                <w:sz w:val="21"/>
                <w:szCs w:val="21"/>
              </w:rPr>
              <w:t>6</w:t>
            </w:r>
          </w:p>
        </w:tc>
        <w:tc>
          <w:tcPr>
            <w:tcW w:w="1510" w:type="pct"/>
            <w:tcBorders>
              <w:tl2br w:val="nil"/>
              <w:tr2bl w:val="nil"/>
            </w:tcBorders>
            <w:noWrap w:val="0"/>
            <w:vAlign w:val="top"/>
          </w:tcPr>
          <w:p w14:paraId="78E3C393">
            <w:pPr>
              <w:spacing w:line="240" w:lineRule="auto"/>
              <w:ind w:firstLine="0" w:firstLineChars="0"/>
              <w:jc w:val="center"/>
              <w:rPr>
                <w:rFonts w:hint="eastAsia" w:ascii="宋体" w:hAnsi="宋体" w:eastAsia="宋体" w:cs="Times New Roman"/>
                <w:color w:val="000000"/>
                <w:kern w:val="0"/>
                <w:sz w:val="21"/>
                <w:szCs w:val="21"/>
              </w:rPr>
            </w:pPr>
            <w:r>
              <w:rPr>
                <w:rFonts w:hint="eastAsia" w:ascii="宋体" w:hAnsi="宋体" w:eastAsia="宋体" w:cs="Times New Roman"/>
                <w:color w:val="000000"/>
                <w:kern w:val="0"/>
                <w:sz w:val="21"/>
                <w:szCs w:val="21"/>
              </w:rPr>
              <w:t>消防斧头</w:t>
            </w:r>
          </w:p>
        </w:tc>
        <w:tc>
          <w:tcPr>
            <w:tcW w:w="648" w:type="pct"/>
            <w:tcBorders>
              <w:tl2br w:val="nil"/>
              <w:tr2bl w:val="nil"/>
            </w:tcBorders>
            <w:noWrap w:val="0"/>
            <w:vAlign w:val="top"/>
          </w:tcPr>
          <w:p w14:paraId="028BA081">
            <w:pPr>
              <w:spacing w:line="240" w:lineRule="auto"/>
              <w:ind w:firstLine="0" w:firstLineChars="0"/>
              <w:jc w:val="center"/>
              <w:rPr>
                <w:rFonts w:hint="eastAsia" w:ascii="宋体" w:hAnsi="宋体" w:eastAsia="宋体"/>
                <w:color w:val="000000"/>
                <w:kern w:val="0"/>
                <w:sz w:val="21"/>
                <w:szCs w:val="21"/>
                <w:lang w:eastAsia="zh-CN"/>
              </w:rPr>
            </w:pPr>
            <w:r>
              <w:rPr>
                <w:rFonts w:hint="eastAsia" w:ascii="宋体" w:hAnsi="宋体"/>
                <w:color w:val="000000"/>
                <w:kern w:val="0"/>
                <w:sz w:val="21"/>
                <w:szCs w:val="21"/>
                <w:lang w:val="en-US" w:eastAsia="zh-CN"/>
              </w:rPr>
              <w:t>3</w:t>
            </w:r>
          </w:p>
        </w:tc>
        <w:tc>
          <w:tcPr>
            <w:tcW w:w="1392" w:type="pct"/>
            <w:tcBorders>
              <w:tl2br w:val="nil"/>
              <w:tr2bl w:val="nil"/>
            </w:tcBorders>
            <w:noWrap w:val="0"/>
            <w:vAlign w:val="top"/>
          </w:tcPr>
          <w:p w14:paraId="39051548">
            <w:pPr>
              <w:spacing w:line="240" w:lineRule="auto"/>
              <w:ind w:firstLine="0" w:firstLineChars="0"/>
              <w:jc w:val="center"/>
              <w:rPr>
                <w:rFonts w:ascii="宋体" w:hAnsi="宋体"/>
                <w:color w:val="000000"/>
                <w:kern w:val="0"/>
                <w:sz w:val="21"/>
                <w:szCs w:val="21"/>
              </w:rPr>
            </w:pPr>
            <w:r>
              <w:rPr>
                <w:rFonts w:hint="eastAsia" w:ascii="宋体" w:hAnsi="宋体"/>
                <w:color w:val="000000"/>
                <w:kern w:val="0"/>
                <w:sz w:val="21"/>
                <w:szCs w:val="21"/>
              </w:rPr>
              <w:t>把</w:t>
            </w:r>
          </w:p>
        </w:tc>
        <w:tc>
          <w:tcPr>
            <w:tcW w:w="801" w:type="pct"/>
            <w:tcBorders>
              <w:tl2br w:val="nil"/>
              <w:tr2bl w:val="nil"/>
            </w:tcBorders>
            <w:noWrap w:val="0"/>
            <w:vAlign w:val="center"/>
          </w:tcPr>
          <w:p w14:paraId="2DD61F9C">
            <w:pPr>
              <w:spacing w:line="240" w:lineRule="auto"/>
              <w:ind w:firstLine="0" w:firstLineChars="0"/>
              <w:jc w:val="center"/>
              <w:rPr>
                <w:rFonts w:ascii="宋体" w:hAnsi="宋体"/>
                <w:color w:val="000000"/>
                <w:kern w:val="0"/>
                <w:sz w:val="21"/>
                <w:szCs w:val="21"/>
              </w:rPr>
            </w:pPr>
            <w:r>
              <w:rPr>
                <w:rFonts w:hint="eastAsia" w:ascii="宋体" w:hAnsi="宋体"/>
                <w:color w:val="000000"/>
                <w:kern w:val="0"/>
                <w:sz w:val="21"/>
                <w:szCs w:val="21"/>
              </w:rPr>
              <w:t>正常</w:t>
            </w:r>
          </w:p>
        </w:tc>
      </w:tr>
      <w:tr w14:paraId="6211DF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57" w:hRule="atLeast"/>
        </w:trPr>
        <w:tc>
          <w:tcPr>
            <w:tcW w:w="647" w:type="pct"/>
            <w:tcBorders>
              <w:tl2br w:val="nil"/>
              <w:tr2bl w:val="nil"/>
            </w:tcBorders>
            <w:noWrap w:val="0"/>
            <w:vAlign w:val="center"/>
          </w:tcPr>
          <w:p w14:paraId="062F2C06">
            <w:pPr>
              <w:spacing w:line="240" w:lineRule="auto"/>
              <w:ind w:firstLine="0" w:firstLineChars="0"/>
              <w:jc w:val="center"/>
              <w:rPr>
                <w:rFonts w:hint="eastAsia" w:ascii="宋体" w:hAnsi="宋体" w:eastAsia="宋体" w:cs="Times New Roman"/>
                <w:color w:val="000000"/>
                <w:kern w:val="0"/>
                <w:sz w:val="21"/>
                <w:szCs w:val="21"/>
              </w:rPr>
            </w:pPr>
            <w:r>
              <w:rPr>
                <w:rFonts w:hint="eastAsia" w:ascii="宋体" w:hAnsi="宋体" w:eastAsia="宋体" w:cs="Times New Roman"/>
                <w:color w:val="000000"/>
                <w:kern w:val="0"/>
                <w:sz w:val="21"/>
                <w:szCs w:val="21"/>
              </w:rPr>
              <w:t>7</w:t>
            </w:r>
          </w:p>
        </w:tc>
        <w:tc>
          <w:tcPr>
            <w:tcW w:w="1510" w:type="pct"/>
            <w:tcBorders>
              <w:tl2br w:val="nil"/>
              <w:tr2bl w:val="nil"/>
            </w:tcBorders>
            <w:noWrap w:val="0"/>
            <w:vAlign w:val="top"/>
          </w:tcPr>
          <w:p w14:paraId="3219A661">
            <w:pPr>
              <w:spacing w:line="240" w:lineRule="auto"/>
              <w:ind w:firstLine="0" w:firstLineChars="0"/>
              <w:jc w:val="center"/>
              <w:rPr>
                <w:rFonts w:hint="eastAsia" w:ascii="宋体" w:hAnsi="宋体" w:eastAsia="宋体" w:cs="Times New Roman"/>
                <w:color w:val="000000"/>
                <w:kern w:val="0"/>
                <w:sz w:val="21"/>
                <w:szCs w:val="21"/>
              </w:rPr>
            </w:pPr>
            <w:r>
              <w:rPr>
                <w:rFonts w:hint="eastAsia" w:ascii="宋体" w:hAnsi="宋体" w:eastAsia="宋体" w:cs="Times New Roman"/>
                <w:color w:val="000000"/>
                <w:kern w:val="0"/>
                <w:sz w:val="21"/>
                <w:szCs w:val="21"/>
              </w:rPr>
              <w:t>消防防毒面罩</w:t>
            </w:r>
          </w:p>
        </w:tc>
        <w:tc>
          <w:tcPr>
            <w:tcW w:w="648" w:type="pct"/>
            <w:tcBorders>
              <w:tl2br w:val="nil"/>
              <w:tr2bl w:val="nil"/>
            </w:tcBorders>
            <w:noWrap w:val="0"/>
            <w:vAlign w:val="top"/>
          </w:tcPr>
          <w:p w14:paraId="4A8C4AAF">
            <w:pPr>
              <w:spacing w:line="240" w:lineRule="auto"/>
              <w:ind w:firstLine="0" w:firstLineChars="0"/>
              <w:jc w:val="center"/>
              <w:rPr>
                <w:rFonts w:hint="eastAsia" w:ascii="宋体" w:hAnsi="宋体" w:eastAsia="宋体"/>
                <w:color w:val="000000"/>
                <w:kern w:val="0"/>
                <w:sz w:val="21"/>
                <w:szCs w:val="21"/>
                <w:lang w:eastAsia="zh-CN"/>
              </w:rPr>
            </w:pPr>
            <w:r>
              <w:rPr>
                <w:rFonts w:hint="eastAsia" w:ascii="宋体" w:hAnsi="宋体"/>
                <w:color w:val="000000"/>
                <w:kern w:val="0"/>
                <w:sz w:val="21"/>
                <w:szCs w:val="21"/>
                <w:lang w:val="en-US" w:eastAsia="zh-CN"/>
              </w:rPr>
              <w:t>5</w:t>
            </w:r>
          </w:p>
        </w:tc>
        <w:tc>
          <w:tcPr>
            <w:tcW w:w="1392" w:type="pct"/>
            <w:tcBorders>
              <w:tl2br w:val="nil"/>
              <w:tr2bl w:val="nil"/>
            </w:tcBorders>
            <w:noWrap w:val="0"/>
            <w:vAlign w:val="top"/>
          </w:tcPr>
          <w:p w14:paraId="7B20A2CD">
            <w:pPr>
              <w:spacing w:line="240" w:lineRule="auto"/>
              <w:ind w:firstLine="0" w:firstLineChars="0"/>
              <w:jc w:val="center"/>
              <w:rPr>
                <w:rFonts w:ascii="宋体" w:hAnsi="宋体"/>
                <w:color w:val="000000"/>
                <w:kern w:val="0"/>
                <w:sz w:val="21"/>
                <w:szCs w:val="21"/>
              </w:rPr>
            </w:pPr>
            <w:r>
              <w:rPr>
                <w:rFonts w:hint="eastAsia" w:ascii="宋体" w:hAnsi="宋体"/>
                <w:color w:val="000000"/>
                <w:kern w:val="0"/>
                <w:sz w:val="21"/>
                <w:szCs w:val="21"/>
              </w:rPr>
              <w:t>个</w:t>
            </w:r>
          </w:p>
        </w:tc>
        <w:tc>
          <w:tcPr>
            <w:tcW w:w="801" w:type="pct"/>
            <w:tcBorders>
              <w:tl2br w:val="nil"/>
              <w:tr2bl w:val="nil"/>
            </w:tcBorders>
            <w:noWrap w:val="0"/>
            <w:vAlign w:val="center"/>
          </w:tcPr>
          <w:p w14:paraId="5A4512E0">
            <w:pPr>
              <w:spacing w:line="240" w:lineRule="auto"/>
              <w:ind w:firstLine="0" w:firstLineChars="0"/>
              <w:jc w:val="center"/>
              <w:rPr>
                <w:rFonts w:ascii="宋体" w:hAnsi="宋体"/>
                <w:color w:val="000000"/>
                <w:kern w:val="0"/>
                <w:sz w:val="21"/>
                <w:szCs w:val="21"/>
              </w:rPr>
            </w:pPr>
            <w:r>
              <w:rPr>
                <w:rFonts w:hint="eastAsia" w:ascii="宋体" w:hAnsi="宋体"/>
                <w:color w:val="000000"/>
                <w:kern w:val="0"/>
                <w:sz w:val="21"/>
                <w:szCs w:val="21"/>
              </w:rPr>
              <w:t>正常</w:t>
            </w:r>
          </w:p>
        </w:tc>
      </w:tr>
      <w:tr w14:paraId="112A80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57" w:hRule="atLeast"/>
        </w:trPr>
        <w:tc>
          <w:tcPr>
            <w:tcW w:w="647" w:type="pct"/>
            <w:tcBorders>
              <w:tl2br w:val="nil"/>
              <w:tr2bl w:val="nil"/>
            </w:tcBorders>
            <w:noWrap w:val="0"/>
            <w:vAlign w:val="center"/>
          </w:tcPr>
          <w:p w14:paraId="24BC69C4">
            <w:pPr>
              <w:spacing w:line="240" w:lineRule="auto"/>
              <w:ind w:firstLine="0" w:firstLineChars="0"/>
              <w:jc w:val="center"/>
              <w:rPr>
                <w:rFonts w:hint="eastAsia" w:ascii="宋体" w:hAnsi="宋体" w:eastAsia="宋体" w:cs="Times New Roman"/>
                <w:color w:val="000000"/>
                <w:kern w:val="0"/>
                <w:sz w:val="21"/>
                <w:szCs w:val="21"/>
              </w:rPr>
            </w:pPr>
            <w:r>
              <w:rPr>
                <w:rFonts w:hint="eastAsia" w:ascii="宋体" w:hAnsi="宋体" w:eastAsia="宋体" w:cs="Times New Roman"/>
                <w:color w:val="000000"/>
                <w:kern w:val="0"/>
                <w:sz w:val="21"/>
                <w:szCs w:val="21"/>
              </w:rPr>
              <w:t>8</w:t>
            </w:r>
          </w:p>
        </w:tc>
        <w:tc>
          <w:tcPr>
            <w:tcW w:w="1510" w:type="pct"/>
            <w:tcBorders>
              <w:tl2br w:val="nil"/>
              <w:tr2bl w:val="nil"/>
            </w:tcBorders>
            <w:noWrap w:val="0"/>
            <w:vAlign w:val="top"/>
          </w:tcPr>
          <w:p w14:paraId="47B87FAF">
            <w:pPr>
              <w:spacing w:line="240" w:lineRule="auto"/>
              <w:ind w:firstLine="0" w:firstLineChars="0"/>
              <w:jc w:val="center"/>
              <w:rPr>
                <w:rFonts w:hint="eastAsia" w:ascii="宋体" w:hAnsi="宋体" w:eastAsia="宋体" w:cs="Times New Roman"/>
                <w:color w:val="000000"/>
                <w:kern w:val="0"/>
                <w:sz w:val="21"/>
                <w:szCs w:val="21"/>
              </w:rPr>
            </w:pPr>
            <w:r>
              <w:rPr>
                <w:rFonts w:hint="eastAsia" w:ascii="宋体" w:hAnsi="宋体" w:eastAsia="宋体" w:cs="Times New Roman"/>
                <w:color w:val="000000"/>
                <w:kern w:val="0"/>
                <w:sz w:val="21"/>
                <w:szCs w:val="21"/>
              </w:rPr>
              <w:t>消防水桶</w:t>
            </w:r>
          </w:p>
        </w:tc>
        <w:tc>
          <w:tcPr>
            <w:tcW w:w="648" w:type="pct"/>
            <w:tcBorders>
              <w:tl2br w:val="nil"/>
              <w:tr2bl w:val="nil"/>
            </w:tcBorders>
            <w:noWrap w:val="0"/>
            <w:vAlign w:val="top"/>
          </w:tcPr>
          <w:p w14:paraId="4DA70FF3">
            <w:pPr>
              <w:spacing w:line="240" w:lineRule="auto"/>
              <w:ind w:firstLine="0" w:firstLineChars="0"/>
              <w:jc w:val="center"/>
              <w:rPr>
                <w:rFonts w:hint="eastAsia" w:ascii="宋体" w:hAnsi="宋体" w:eastAsia="宋体"/>
                <w:color w:val="000000"/>
                <w:kern w:val="0"/>
                <w:sz w:val="21"/>
                <w:szCs w:val="21"/>
                <w:lang w:eastAsia="zh-CN"/>
              </w:rPr>
            </w:pPr>
            <w:r>
              <w:rPr>
                <w:rFonts w:hint="eastAsia" w:ascii="宋体" w:hAnsi="宋体"/>
                <w:color w:val="000000"/>
                <w:kern w:val="0"/>
                <w:sz w:val="21"/>
                <w:szCs w:val="21"/>
                <w:lang w:val="en-US" w:eastAsia="zh-CN"/>
              </w:rPr>
              <w:t>3</w:t>
            </w:r>
          </w:p>
        </w:tc>
        <w:tc>
          <w:tcPr>
            <w:tcW w:w="1392" w:type="pct"/>
            <w:tcBorders>
              <w:tl2br w:val="nil"/>
              <w:tr2bl w:val="nil"/>
            </w:tcBorders>
            <w:noWrap w:val="0"/>
            <w:vAlign w:val="top"/>
          </w:tcPr>
          <w:p w14:paraId="283EDB7A">
            <w:pPr>
              <w:spacing w:line="240" w:lineRule="auto"/>
              <w:ind w:firstLine="0" w:firstLineChars="0"/>
              <w:jc w:val="center"/>
              <w:rPr>
                <w:rFonts w:ascii="宋体" w:hAnsi="宋体"/>
                <w:color w:val="000000"/>
                <w:kern w:val="0"/>
                <w:sz w:val="21"/>
                <w:szCs w:val="21"/>
              </w:rPr>
            </w:pPr>
            <w:r>
              <w:rPr>
                <w:rFonts w:hint="eastAsia" w:ascii="宋体" w:hAnsi="宋体"/>
                <w:color w:val="000000"/>
                <w:kern w:val="0"/>
                <w:sz w:val="21"/>
                <w:szCs w:val="21"/>
              </w:rPr>
              <w:t>只</w:t>
            </w:r>
          </w:p>
        </w:tc>
        <w:tc>
          <w:tcPr>
            <w:tcW w:w="801" w:type="pct"/>
            <w:tcBorders>
              <w:tl2br w:val="nil"/>
              <w:tr2bl w:val="nil"/>
            </w:tcBorders>
            <w:noWrap w:val="0"/>
            <w:vAlign w:val="center"/>
          </w:tcPr>
          <w:p w14:paraId="74786D38">
            <w:pPr>
              <w:spacing w:line="240" w:lineRule="auto"/>
              <w:ind w:firstLine="0" w:firstLineChars="0"/>
              <w:jc w:val="center"/>
              <w:rPr>
                <w:rFonts w:ascii="宋体" w:hAnsi="宋体"/>
                <w:color w:val="000000"/>
                <w:kern w:val="0"/>
                <w:sz w:val="21"/>
                <w:szCs w:val="21"/>
              </w:rPr>
            </w:pPr>
            <w:r>
              <w:rPr>
                <w:rFonts w:hint="eastAsia" w:ascii="宋体" w:hAnsi="宋体"/>
                <w:color w:val="000000"/>
                <w:kern w:val="0"/>
                <w:sz w:val="21"/>
                <w:szCs w:val="21"/>
              </w:rPr>
              <w:t>正常</w:t>
            </w:r>
          </w:p>
        </w:tc>
      </w:tr>
      <w:tr w14:paraId="6CF235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57" w:hRule="atLeast"/>
        </w:trPr>
        <w:tc>
          <w:tcPr>
            <w:tcW w:w="647" w:type="pct"/>
            <w:tcBorders>
              <w:tl2br w:val="nil"/>
              <w:tr2bl w:val="nil"/>
            </w:tcBorders>
            <w:noWrap w:val="0"/>
            <w:vAlign w:val="top"/>
          </w:tcPr>
          <w:p w14:paraId="00D481E6">
            <w:pPr>
              <w:spacing w:line="240" w:lineRule="auto"/>
              <w:ind w:firstLine="0" w:firstLineChars="0"/>
              <w:jc w:val="center"/>
              <w:rPr>
                <w:rFonts w:hint="eastAsia" w:ascii="宋体" w:hAnsi="宋体" w:eastAsia="宋体" w:cs="Times New Roman"/>
                <w:color w:val="000000"/>
                <w:kern w:val="0"/>
                <w:sz w:val="21"/>
                <w:szCs w:val="21"/>
              </w:rPr>
            </w:pPr>
            <w:r>
              <w:rPr>
                <w:rFonts w:hint="eastAsia" w:ascii="宋体" w:hAnsi="宋体" w:eastAsia="宋体" w:cs="Times New Roman"/>
                <w:color w:val="000000"/>
                <w:kern w:val="0"/>
                <w:sz w:val="21"/>
                <w:szCs w:val="21"/>
              </w:rPr>
              <w:t>9</w:t>
            </w:r>
          </w:p>
        </w:tc>
        <w:tc>
          <w:tcPr>
            <w:tcW w:w="1510" w:type="pct"/>
            <w:tcBorders>
              <w:tl2br w:val="nil"/>
              <w:tr2bl w:val="nil"/>
            </w:tcBorders>
            <w:noWrap w:val="0"/>
            <w:vAlign w:val="top"/>
          </w:tcPr>
          <w:p w14:paraId="46916D06">
            <w:pPr>
              <w:spacing w:line="240" w:lineRule="auto"/>
              <w:ind w:firstLine="0" w:firstLineChars="0"/>
              <w:jc w:val="center"/>
              <w:rPr>
                <w:rFonts w:hint="eastAsia" w:ascii="宋体" w:hAnsi="宋体" w:eastAsia="宋体" w:cs="Times New Roman"/>
                <w:color w:val="000000"/>
                <w:kern w:val="0"/>
                <w:sz w:val="21"/>
                <w:szCs w:val="21"/>
              </w:rPr>
            </w:pPr>
            <w:r>
              <w:rPr>
                <w:rFonts w:hint="eastAsia" w:ascii="宋体" w:hAnsi="宋体" w:eastAsia="宋体" w:cs="Times New Roman"/>
                <w:color w:val="000000"/>
                <w:kern w:val="0"/>
                <w:sz w:val="21"/>
                <w:szCs w:val="21"/>
              </w:rPr>
              <w:t>消防拖把</w:t>
            </w:r>
          </w:p>
        </w:tc>
        <w:tc>
          <w:tcPr>
            <w:tcW w:w="648" w:type="pct"/>
            <w:tcBorders>
              <w:tl2br w:val="nil"/>
              <w:tr2bl w:val="nil"/>
            </w:tcBorders>
            <w:noWrap w:val="0"/>
            <w:vAlign w:val="top"/>
          </w:tcPr>
          <w:p w14:paraId="082DBB36">
            <w:pPr>
              <w:spacing w:line="240" w:lineRule="auto"/>
              <w:ind w:firstLine="0" w:firstLineChars="0"/>
              <w:jc w:val="center"/>
              <w:rPr>
                <w:rFonts w:hint="eastAsia" w:ascii="宋体" w:hAnsi="宋体" w:eastAsia="宋体"/>
                <w:color w:val="000000"/>
                <w:kern w:val="0"/>
                <w:sz w:val="21"/>
                <w:szCs w:val="21"/>
                <w:lang w:eastAsia="zh-CN"/>
              </w:rPr>
            </w:pPr>
            <w:r>
              <w:rPr>
                <w:rFonts w:hint="eastAsia" w:ascii="宋体" w:hAnsi="宋体"/>
                <w:color w:val="000000"/>
                <w:kern w:val="0"/>
                <w:sz w:val="21"/>
                <w:szCs w:val="21"/>
                <w:lang w:val="en-US" w:eastAsia="zh-CN"/>
              </w:rPr>
              <w:t>3</w:t>
            </w:r>
          </w:p>
        </w:tc>
        <w:tc>
          <w:tcPr>
            <w:tcW w:w="1392" w:type="pct"/>
            <w:tcBorders>
              <w:tl2br w:val="nil"/>
              <w:tr2bl w:val="nil"/>
            </w:tcBorders>
            <w:noWrap w:val="0"/>
            <w:vAlign w:val="top"/>
          </w:tcPr>
          <w:p w14:paraId="2A0FB0A9">
            <w:pPr>
              <w:spacing w:line="240" w:lineRule="auto"/>
              <w:ind w:firstLine="0" w:firstLineChars="0"/>
              <w:jc w:val="center"/>
              <w:rPr>
                <w:rFonts w:ascii="宋体" w:hAnsi="宋体"/>
                <w:color w:val="000000"/>
                <w:kern w:val="0"/>
                <w:sz w:val="21"/>
                <w:szCs w:val="21"/>
              </w:rPr>
            </w:pPr>
            <w:r>
              <w:rPr>
                <w:rFonts w:hint="eastAsia" w:ascii="宋体" w:hAnsi="宋体"/>
                <w:color w:val="000000"/>
                <w:kern w:val="0"/>
                <w:sz w:val="21"/>
                <w:szCs w:val="21"/>
              </w:rPr>
              <w:t>个</w:t>
            </w:r>
          </w:p>
        </w:tc>
        <w:tc>
          <w:tcPr>
            <w:tcW w:w="801" w:type="pct"/>
            <w:tcBorders>
              <w:tl2br w:val="nil"/>
              <w:tr2bl w:val="nil"/>
            </w:tcBorders>
            <w:noWrap w:val="0"/>
            <w:vAlign w:val="center"/>
          </w:tcPr>
          <w:p w14:paraId="2ECCACBC">
            <w:pPr>
              <w:spacing w:line="240" w:lineRule="auto"/>
              <w:ind w:firstLine="0" w:firstLineChars="0"/>
              <w:jc w:val="center"/>
              <w:rPr>
                <w:rFonts w:ascii="宋体" w:hAnsi="宋体"/>
                <w:color w:val="000000"/>
                <w:kern w:val="0"/>
                <w:sz w:val="21"/>
                <w:szCs w:val="21"/>
              </w:rPr>
            </w:pPr>
            <w:r>
              <w:rPr>
                <w:rFonts w:hint="eastAsia" w:ascii="宋体" w:hAnsi="宋体"/>
                <w:color w:val="000000"/>
                <w:kern w:val="0"/>
                <w:sz w:val="21"/>
                <w:szCs w:val="21"/>
              </w:rPr>
              <w:t>正常</w:t>
            </w:r>
          </w:p>
        </w:tc>
      </w:tr>
      <w:tr w14:paraId="6E2E2F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57" w:hRule="atLeast"/>
        </w:trPr>
        <w:tc>
          <w:tcPr>
            <w:tcW w:w="647" w:type="pct"/>
            <w:tcBorders>
              <w:tl2br w:val="nil"/>
              <w:tr2bl w:val="nil"/>
            </w:tcBorders>
            <w:noWrap w:val="0"/>
            <w:vAlign w:val="top"/>
          </w:tcPr>
          <w:p w14:paraId="4F8AB1C4">
            <w:pPr>
              <w:spacing w:line="240" w:lineRule="auto"/>
              <w:ind w:firstLine="0" w:firstLineChars="0"/>
              <w:jc w:val="center"/>
              <w:rPr>
                <w:rFonts w:hint="default" w:ascii="宋体" w:hAnsi="宋体" w:eastAsia="宋体" w:cs="Times New Roman"/>
                <w:color w:val="000000"/>
                <w:kern w:val="0"/>
                <w:sz w:val="21"/>
                <w:szCs w:val="21"/>
                <w:lang w:val="en-US" w:eastAsia="zh-CN"/>
              </w:rPr>
            </w:pPr>
            <w:r>
              <w:rPr>
                <w:rFonts w:hint="eastAsia" w:ascii="宋体" w:hAnsi="宋体" w:eastAsia="宋体" w:cs="Times New Roman"/>
                <w:color w:val="000000"/>
                <w:kern w:val="0"/>
                <w:sz w:val="21"/>
                <w:szCs w:val="21"/>
                <w:lang w:val="en-US" w:eastAsia="zh-CN"/>
              </w:rPr>
              <w:t>10</w:t>
            </w:r>
          </w:p>
        </w:tc>
        <w:tc>
          <w:tcPr>
            <w:tcW w:w="1510" w:type="pct"/>
            <w:tcBorders>
              <w:tl2br w:val="nil"/>
              <w:tr2bl w:val="nil"/>
            </w:tcBorders>
            <w:noWrap w:val="0"/>
            <w:vAlign w:val="top"/>
          </w:tcPr>
          <w:p w14:paraId="69B43D2A">
            <w:pPr>
              <w:spacing w:line="240" w:lineRule="auto"/>
              <w:ind w:firstLine="0" w:firstLineChars="0"/>
              <w:jc w:val="center"/>
              <w:rPr>
                <w:rFonts w:hint="eastAsia" w:ascii="宋体" w:hAnsi="宋体" w:eastAsia="宋体" w:cs="Times New Roman"/>
                <w:color w:val="000000"/>
                <w:kern w:val="0"/>
                <w:sz w:val="21"/>
                <w:szCs w:val="21"/>
              </w:rPr>
            </w:pPr>
            <w:r>
              <w:rPr>
                <w:rFonts w:hint="eastAsia" w:ascii="宋体" w:hAnsi="宋体" w:eastAsia="宋体" w:cs="Times New Roman"/>
                <w:color w:val="000000"/>
                <w:kern w:val="0"/>
                <w:sz w:val="21"/>
                <w:szCs w:val="21"/>
              </w:rPr>
              <w:t>视频监控系统</w:t>
            </w:r>
          </w:p>
        </w:tc>
        <w:tc>
          <w:tcPr>
            <w:tcW w:w="648" w:type="pct"/>
            <w:tcBorders>
              <w:tl2br w:val="nil"/>
              <w:tr2bl w:val="nil"/>
            </w:tcBorders>
            <w:shd w:val="clear" w:color="auto" w:fill="auto"/>
            <w:noWrap w:val="0"/>
            <w:vAlign w:val="center"/>
          </w:tcPr>
          <w:p w14:paraId="5F31EED0">
            <w:pPr>
              <w:spacing w:line="240" w:lineRule="auto"/>
              <w:ind w:firstLine="0" w:firstLineChars="0"/>
              <w:jc w:val="center"/>
              <w:rPr>
                <w:rFonts w:hint="eastAsia" w:ascii="宋体" w:hAnsi="宋体" w:eastAsia="宋体" w:cs="Times New Roman"/>
                <w:color w:val="000000"/>
                <w:kern w:val="0"/>
                <w:sz w:val="21"/>
                <w:szCs w:val="21"/>
                <w:lang w:val="en-US" w:eastAsia="zh-CN"/>
              </w:rPr>
            </w:pPr>
            <w:r>
              <w:rPr>
                <w:rFonts w:hint="eastAsia" w:ascii="宋体" w:hAnsi="宋体" w:eastAsia="宋体" w:cs="Times New Roman"/>
                <w:color w:val="000000"/>
                <w:kern w:val="0"/>
                <w:sz w:val="21"/>
                <w:szCs w:val="21"/>
              </w:rPr>
              <w:t>1</w:t>
            </w:r>
          </w:p>
        </w:tc>
        <w:tc>
          <w:tcPr>
            <w:tcW w:w="1392" w:type="pct"/>
            <w:tcBorders>
              <w:tl2br w:val="nil"/>
              <w:tr2bl w:val="nil"/>
            </w:tcBorders>
            <w:shd w:val="clear" w:color="auto" w:fill="auto"/>
            <w:noWrap w:val="0"/>
            <w:vAlign w:val="center"/>
          </w:tcPr>
          <w:p w14:paraId="4E958576">
            <w:pPr>
              <w:spacing w:line="240" w:lineRule="auto"/>
              <w:ind w:firstLine="0" w:firstLineChars="0"/>
              <w:jc w:val="center"/>
              <w:rPr>
                <w:rFonts w:hint="eastAsia" w:ascii="宋体" w:hAnsi="宋体" w:eastAsia="宋体" w:cs="Times New Roman"/>
                <w:color w:val="000000"/>
                <w:kern w:val="0"/>
                <w:sz w:val="21"/>
                <w:szCs w:val="21"/>
                <w:lang w:val="en-US" w:eastAsia="zh-CN"/>
              </w:rPr>
            </w:pPr>
            <w:r>
              <w:rPr>
                <w:rFonts w:hint="eastAsia" w:ascii="宋体" w:hAnsi="宋体" w:eastAsia="宋体" w:cs="Times New Roman"/>
                <w:color w:val="000000"/>
                <w:kern w:val="0"/>
                <w:sz w:val="21"/>
                <w:szCs w:val="21"/>
              </w:rPr>
              <w:t>套</w:t>
            </w:r>
          </w:p>
        </w:tc>
        <w:tc>
          <w:tcPr>
            <w:tcW w:w="801" w:type="pct"/>
            <w:tcBorders>
              <w:tl2br w:val="nil"/>
              <w:tr2bl w:val="nil"/>
            </w:tcBorders>
            <w:shd w:val="clear" w:color="auto" w:fill="auto"/>
            <w:noWrap w:val="0"/>
            <w:vAlign w:val="center"/>
          </w:tcPr>
          <w:p w14:paraId="3645A9F6">
            <w:pPr>
              <w:spacing w:line="240" w:lineRule="auto"/>
              <w:ind w:firstLine="0" w:firstLineChars="0"/>
              <w:jc w:val="center"/>
              <w:rPr>
                <w:rFonts w:hint="eastAsia" w:ascii="宋体" w:hAnsi="宋体" w:eastAsia="宋体" w:cs="Times New Roman"/>
                <w:color w:val="000000"/>
                <w:kern w:val="0"/>
                <w:sz w:val="21"/>
                <w:szCs w:val="21"/>
                <w:lang w:val="en-US" w:eastAsia="zh-CN"/>
              </w:rPr>
            </w:pPr>
            <w:r>
              <w:rPr>
                <w:rFonts w:hint="eastAsia" w:ascii="宋体" w:hAnsi="宋体" w:eastAsia="宋体" w:cs="Times New Roman"/>
                <w:color w:val="000000"/>
                <w:kern w:val="0"/>
                <w:sz w:val="21"/>
                <w:szCs w:val="21"/>
              </w:rPr>
              <w:t>正常</w:t>
            </w:r>
          </w:p>
        </w:tc>
      </w:tr>
      <w:tr w14:paraId="385B4C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57" w:hRule="atLeast"/>
        </w:trPr>
        <w:tc>
          <w:tcPr>
            <w:tcW w:w="647" w:type="pct"/>
            <w:tcBorders>
              <w:tl2br w:val="nil"/>
              <w:tr2bl w:val="nil"/>
            </w:tcBorders>
            <w:noWrap w:val="0"/>
            <w:vAlign w:val="top"/>
          </w:tcPr>
          <w:p w14:paraId="0C1714D6">
            <w:pPr>
              <w:spacing w:line="240" w:lineRule="auto"/>
              <w:ind w:firstLine="0" w:firstLineChars="0"/>
              <w:jc w:val="center"/>
              <w:rPr>
                <w:rFonts w:hint="default" w:ascii="宋体" w:hAnsi="宋体" w:eastAsia="宋体" w:cs="Times New Roman"/>
                <w:color w:val="000000"/>
                <w:kern w:val="0"/>
                <w:sz w:val="21"/>
                <w:szCs w:val="21"/>
                <w:lang w:val="en-US" w:eastAsia="zh-CN"/>
              </w:rPr>
            </w:pPr>
            <w:r>
              <w:rPr>
                <w:rFonts w:hint="eastAsia" w:ascii="宋体" w:hAnsi="宋体" w:eastAsia="宋体" w:cs="Times New Roman"/>
                <w:color w:val="000000"/>
                <w:kern w:val="0"/>
                <w:sz w:val="21"/>
                <w:szCs w:val="21"/>
                <w:lang w:val="en-US" w:eastAsia="zh-CN"/>
              </w:rPr>
              <w:t>11</w:t>
            </w:r>
          </w:p>
        </w:tc>
        <w:tc>
          <w:tcPr>
            <w:tcW w:w="1510" w:type="pct"/>
            <w:tcBorders>
              <w:tl2br w:val="nil"/>
              <w:tr2bl w:val="nil"/>
            </w:tcBorders>
            <w:shd w:val="clear" w:color="auto" w:fill="auto"/>
            <w:noWrap w:val="0"/>
            <w:vAlign w:val="center"/>
          </w:tcPr>
          <w:p w14:paraId="4046F816">
            <w:pPr>
              <w:spacing w:line="240" w:lineRule="auto"/>
              <w:ind w:firstLine="0" w:firstLineChars="0"/>
              <w:jc w:val="center"/>
              <w:rPr>
                <w:rFonts w:hint="eastAsia" w:ascii="宋体" w:hAnsi="宋体" w:eastAsia="宋体" w:cs="Times New Roman"/>
                <w:color w:val="000000"/>
                <w:kern w:val="0"/>
                <w:sz w:val="21"/>
                <w:szCs w:val="21"/>
                <w:lang w:val="en-US" w:eastAsia="zh-CN"/>
              </w:rPr>
            </w:pPr>
            <w:r>
              <w:rPr>
                <w:rFonts w:hint="eastAsia" w:ascii="宋体" w:hAnsi="宋体" w:eastAsia="宋体" w:cs="Times New Roman"/>
                <w:color w:val="000000"/>
                <w:kern w:val="0"/>
                <w:sz w:val="21"/>
                <w:szCs w:val="21"/>
              </w:rPr>
              <w:t>防雷设施</w:t>
            </w:r>
          </w:p>
        </w:tc>
        <w:tc>
          <w:tcPr>
            <w:tcW w:w="648" w:type="pct"/>
            <w:tcBorders>
              <w:tl2br w:val="nil"/>
              <w:tr2bl w:val="nil"/>
            </w:tcBorders>
            <w:shd w:val="clear" w:color="auto" w:fill="auto"/>
            <w:noWrap w:val="0"/>
            <w:vAlign w:val="center"/>
          </w:tcPr>
          <w:p w14:paraId="00F50716">
            <w:pPr>
              <w:spacing w:line="240" w:lineRule="auto"/>
              <w:ind w:firstLine="0" w:firstLineChars="0"/>
              <w:jc w:val="center"/>
              <w:rPr>
                <w:rFonts w:hint="eastAsia" w:ascii="宋体" w:hAnsi="宋体" w:eastAsia="宋体" w:cs="Times New Roman"/>
                <w:color w:val="000000"/>
                <w:kern w:val="0"/>
                <w:sz w:val="21"/>
                <w:szCs w:val="21"/>
                <w:lang w:val="en-US" w:eastAsia="zh-CN"/>
              </w:rPr>
            </w:pPr>
            <w:r>
              <w:rPr>
                <w:rFonts w:hint="eastAsia" w:ascii="宋体" w:hAnsi="宋体" w:eastAsia="宋体" w:cs="Times New Roman"/>
                <w:color w:val="000000"/>
                <w:kern w:val="0"/>
                <w:sz w:val="21"/>
                <w:szCs w:val="21"/>
                <w:lang w:val="en-US" w:eastAsia="zh-CN"/>
              </w:rPr>
              <w:t>6</w:t>
            </w:r>
          </w:p>
        </w:tc>
        <w:tc>
          <w:tcPr>
            <w:tcW w:w="1392" w:type="pct"/>
            <w:tcBorders>
              <w:tl2br w:val="nil"/>
              <w:tr2bl w:val="nil"/>
            </w:tcBorders>
            <w:shd w:val="clear" w:color="auto" w:fill="auto"/>
            <w:noWrap w:val="0"/>
            <w:vAlign w:val="center"/>
          </w:tcPr>
          <w:p w14:paraId="43EB9C8F">
            <w:pPr>
              <w:spacing w:line="240" w:lineRule="auto"/>
              <w:ind w:firstLine="0" w:firstLineChars="0"/>
              <w:jc w:val="center"/>
              <w:rPr>
                <w:rFonts w:hint="eastAsia" w:ascii="宋体" w:hAnsi="宋体" w:eastAsia="宋体" w:cs="Times New Roman"/>
                <w:color w:val="000000"/>
                <w:kern w:val="0"/>
                <w:sz w:val="21"/>
                <w:szCs w:val="21"/>
                <w:lang w:val="en-US" w:eastAsia="zh-CN"/>
              </w:rPr>
            </w:pPr>
            <w:r>
              <w:rPr>
                <w:rFonts w:hint="eastAsia" w:ascii="宋体" w:hAnsi="宋体" w:eastAsia="宋体" w:cs="Times New Roman"/>
                <w:color w:val="000000"/>
                <w:kern w:val="0"/>
                <w:sz w:val="21"/>
                <w:szCs w:val="21"/>
                <w:lang w:val="en-US" w:eastAsia="zh-CN"/>
              </w:rPr>
              <w:t>座</w:t>
            </w:r>
          </w:p>
        </w:tc>
        <w:tc>
          <w:tcPr>
            <w:tcW w:w="801" w:type="pct"/>
            <w:tcBorders>
              <w:tl2br w:val="nil"/>
              <w:tr2bl w:val="nil"/>
            </w:tcBorders>
            <w:shd w:val="clear" w:color="auto" w:fill="auto"/>
            <w:noWrap w:val="0"/>
            <w:vAlign w:val="center"/>
          </w:tcPr>
          <w:p w14:paraId="571C8ADE">
            <w:pPr>
              <w:spacing w:line="240" w:lineRule="auto"/>
              <w:ind w:firstLine="0" w:firstLineChars="0"/>
              <w:jc w:val="center"/>
              <w:rPr>
                <w:rFonts w:hint="eastAsia" w:ascii="宋体" w:hAnsi="宋体" w:eastAsia="宋体" w:cs="Times New Roman"/>
                <w:color w:val="000000"/>
                <w:kern w:val="0"/>
                <w:sz w:val="21"/>
                <w:szCs w:val="21"/>
                <w:lang w:val="en-US" w:eastAsia="zh-CN"/>
              </w:rPr>
            </w:pPr>
            <w:r>
              <w:rPr>
                <w:rFonts w:hint="eastAsia" w:ascii="宋体" w:hAnsi="宋体" w:eastAsia="宋体" w:cs="Times New Roman"/>
                <w:color w:val="000000"/>
                <w:kern w:val="0"/>
                <w:sz w:val="21"/>
                <w:szCs w:val="21"/>
              </w:rPr>
              <w:t>正常</w:t>
            </w:r>
          </w:p>
        </w:tc>
      </w:tr>
      <w:tr w14:paraId="630127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57" w:hRule="atLeast"/>
        </w:trPr>
        <w:tc>
          <w:tcPr>
            <w:tcW w:w="647" w:type="pct"/>
            <w:tcBorders>
              <w:tl2br w:val="nil"/>
              <w:tr2bl w:val="nil"/>
            </w:tcBorders>
            <w:noWrap w:val="0"/>
            <w:vAlign w:val="top"/>
          </w:tcPr>
          <w:p w14:paraId="4B955D71">
            <w:pPr>
              <w:spacing w:line="240" w:lineRule="auto"/>
              <w:ind w:firstLine="0" w:firstLineChars="0"/>
              <w:jc w:val="center"/>
              <w:rPr>
                <w:rFonts w:hint="default" w:ascii="宋体" w:hAnsi="宋体" w:eastAsia="宋体" w:cs="Times New Roman"/>
                <w:color w:val="000000"/>
                <w:kern w:val="0"/>
                <w:sz w:val="21"/>
                <w:szCs w:val="21"/>
                <w:lang w:val="en-US" w:eastAsia="zh-CN"/>
              </w:rPr>
            </w:pPr>
            <w:r>
              <w:rPr>
                <w:rFonts w:hint="eastAsia" w:ascii="宋体" w:hAnsi="宋体" w:eastAsia="宋体" w:cs="Times New Roman"/>
                <w:color w:val="000000"/>
                <w:kern w:val="0"/>
                <w:sz w:val="21"/>
                <w:szCs w:val="21"/>
                <w:lang w:val="en-US" w:eastAsia="zh-CN"/>
              </w:rPr>
              <w:t>12</w:t>
            </w:r>
          </w:p>
        </w:tc>
        <w:tc>
          <w:tcPr>
            <w:tcW w:w="1510" w:type="pct"/>
            <w:tcBorders>
              <w:tl2br w:val="nil"/>
              <w:tr2bl w:val="nil"/>
            </w:tcBorders>
            <w:shd w:val="clear" w:color="auto" w:fill="auto"/>
            <w:noWrap w:val="0"/>
            <w:vAlign w:val="center"/>
          </w:tcPr>
          <w:p w14:paraId="5D1FB629">
            <w:pPr>
              <w:spacing w:line="240" w:lineRule="auto"/>
              <w:ind w:firstLine="0" w:firstLineChars="0"/>
              <w:jc w:val="center"/>
              <w:rPr>
                <w:rFonts w:hint="eastAsia" w:ascii="宋体" w:hAnsi="宋体" w:eastAsia="宋体" w:cs="Times New Roman"/>
                <w:color w:val="000000"/>
                <w:kern w:val="0"/>
                <w:sz w:val="21"/>
                <w:szCs w:val="21"/>
                <w:lang w:val="en-US" w:eastAsia="zh-CN"/>
              </w:rPr>
            </w:pPr>
            <w:r>
              <w:rPr>
                <w:rFonts w:hint="eastAsia" w:ascii="宋体" w:hAnsi="宋体" w:eastAsia="宋体" w:cs="Times New Roman"/>
                <w:color w:val="000000"/>
                <w:kern w:val="0"/>
                <w:sz w:val="21"/>
                <w:szCs w:val="21"/>
              </w:rPr>
              <w:t>防静电设施</w:t>
            </w:r>
          </w:p>
        </w:tc>
        <w:tc>
          <w:tcPr>
            <w:tcW w:w="648" w:type="pct"/>
            <w:tcBorders>
              <w:tl2br w:val="nil"/>
              <w:tr2bl w:val="nil"/>
            </w:tcBorders>
            <w:shd w:val="clear" w:color="auto" w:fill="auto"/>
            <w:noWrap w:val="0"/>
            <w:vAlign w:val="center"/>
          </w:tcPr>
          <w:p w14:paraId="0AB129D5">
            <w:pPr>
              <w:spacing w:line="240" w:lineRule="auto"/>
              <w:ind w:firstLine="0" w:firstLineChars="0"/>
              <w:jc w:val="center"/>
              <w:rPr>
                <w:rFonts w:hint="eastAsia" w:ascii="宋体" w:hAnsi="宋体" w:eastAsia="宋体" w:cs="Times New Roman"/>
                <w:color w:val="000000"/>
                <w:kern w:val="0"/>
                <w:sz w:val="21"/>
                <w:szCs w:val="21"/>
                <w:lang w:val="en-US" w:eastAsia="zh-CN"/>
              </w:rPr>
            </w:pPr>
            <w:r>
              <w:rPr>
                <w:rFonts w:hint="eastAsia" w:ascii="宋体" w:hAnsi="宋体" w:eastAsia="宋体" w:cs="Times New Roman"/>
                <w:color w:val="000000"/>
                <w:kern w:val="0"/>
                <w:sz w:val="21"/>
                <w:szCs w:val="21"/>
                <w:lang w:val="en-US" w:eastAsia="zh-CN"/>
              </w:rPr>
              <w:t>3</w:t>
            </w:r>
          </w:p>
        </w:tc>
        <w:tc>
          <w:tcPr>
            <w:tcW w:w="1392" w:type="pct"/>
            <w:tcBorders>
              <w:tl2br w:val="nil"/>
              <w:tr2bl w:val="nil"/>
            </w:tcBorders>
            <w:shd w:val="clear" w:color="auto" w:fill="auto"/>
            <w:noWrap w:val="0"/>
            <w:vAlign w:val="center"/>
          </w:tcPr>
          <w:p w14:paraId="4294C23B">
            <w:pPr>
              <w:spacing w:line="240" w:lineRule="auto"/>
              <w:ind w:firstLine="0" w:firstLineChars="0"/>
              <w:jc w:val="center"/>
              <w:rPr>
                <w:rFonts w:hint="eastAsia" w:ascii="宋体" w:hAnsi="宋体" w:eastAsia="宋体" w:cs="Times New Roman"/>
                <w:color w:val="000000"/>
                <w:kern w:val="0"/>
                <w:sz w:val="21"/>
                <w:szCs w:val="21"/>
                <w:lang w:val="en-US" w:eastAsia="zh-CN"/>
              </w:rPr>
            </w:pPr>
            <w:r>
              <w:rPr>
                <w:rFonts w:hint="eastAsia" w:ascii="宋体" w:hAnsi="宋体" w:eastAsia="宋体" w:cs="Times New Roman"/>
                <w:color w:val="000000"/>
                <w:kern w:val="0"/>
                <w:sz w:val="21"/>
                <w:szCs w:val="21"/>
              </w:rPr>
              <w:t>个</w:t>
            </w:r>
          </w:p>
        </w:tc>
        <w:tc>
          <w:tcPr>
            <w:tcW w:w="801" w:type="pct"/>
            <w:tcBorders>
              <w:tl2br w:val="nil"/>
              <w:tr2bl w:val="nil"/>
            </w:tcBorders>
            <w:shd w:val="clear" w:color="auto" w:fill="auto"/>
            <w:noWrap w:val="0"/>
            <w:vAlign w:val="center"/>
          </w:tcPr>
          <w:p w14:paraId="647A9759">
            <w:pPr>
              <w:spacing w:line="240" w:lineRule="auto"/>
              <w:ind w:firstLine="0" w:firstLineChars="0"/>
              <w:jc w:val="center"/>
              <w:rPr>
                <w:rFonts w:hint="eastAsia" w:ascii="宋体" w:hAnsi="宋体" w:eastAsia="宋体" w:cs="Times New Roman"/>
                <w:color w:val="000000"/>
                <w:kern w:val="0"/>
                <w:sz w:val="21"/>
                <w:szCs w:val="21"/>
                <w:lang w:val="en-US" w:eastAsia="zh-CN"/>
              </w:rPr>
            </w:pPr>
            <w:r>
              <w:rPr>
                <w:rFonts w:hint="eastAsia" w:ascii="宋体" w:hAnsi="宋体" w:eastAsia="宋体" w:cs="Times New Roman"/>
                <w:color w:val="000000"/>
                <w:kern w:val="0"/>
                <w:sz w:val="21"/>
                <w:szCs w:val="21"/>
              </w:rPr>
              <w:t>正常</w:t>
            </w:r>
          </w:p>
        </w:tc>
      </w:tr>
      <w:tr w14:paraId="4B4D9A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68" w:hRule="atLeast"/>
        </w:trPr>
        <w:tc>
          <w:tcPr>
            <w:tcW w:w="647" w:type="pct"/>
            <w:tcBorders>
              <w:tl2br w:val="nil"/>
              <w:tr2bl w:val="nil"/>
            </w:tcBorders>
            <w:noWrap w:val="0"/>
            <w:vAlign w:val="top"/>
          </w:tcPr>
          <w:p w14:paraId="50F93D3D">
            <w:pPr>
              <w:spacing w:line="240" w:lineRule="auto"/>
              <w:ind w:firstLine="0" w:firstLineChars="0"/>
              <w:jc w:val="center"/>
              <w:rPr>
                <w:rFonts w:hint="default" w:ascii="宋体" w:hAnsi="宋体" w:eastAsia="宋体" w:cs="Times New Roman"/>
                <w:color w:val="000000"/>
                <w:kern w:val="0"/>
                <w:sz w:val="21"/>
                <w:szCs w:val="21"/>
                <w:lang w:val="en-US" w:eastAsia="zh-CN"/>
              </w:rPr>
            </w:pPr>
            <w:r>
              <w:rPr>
                <w:rFonts w:hint="eastAsia" w:ascii="宋体" w:hAnsi="宋体" w:eastAsia="宋体" w:cs="Times New Roman"/>
                <w:color w:val="000000"/>
                <w:kern w:val="0"/>
                <w:sz w:val="21"/>
                <w:szCs w:val="21"/>
                <w:lang w:val="en-US" w:eastAsia="zh-CN"/>
              </w:rPr>
              <w:t>13</w:t>
            </w:r>
          </w:p>
        </w:tc>
        <w:tc>
          <w:tcPr>
            <w:tcW w:w="1510" w:type="pct"/>
            <w:tcBorders>
              <w:tl2br w:val="nil"/>
              <w:tr2bl w:val="nil"/>
            </w:tcBorders>
            <w:shd w:val="clear" w:color="auto" w:fill="auto"/>
            <w:noWrap w:val="0"/>
            <w:vAlign w:val="center"/>
          </w:tcPr>
          <w:p w14:paraId="54B525F3">
            <w:pPr>
              <w:spacing w:line="240" w:lineRule="auto"/>
              <w:ind w:firstLine="0" w:firstLineChars="0"/>
              <w:jc w:val="center"/>
              <w:rPr>
                <w:rFonts w:hint="eastAsia" w:ascii="宋体" w:hAnsi="宋体" w:eastAsia="宋体" w:cs="Times New Roman"/>
                <w:color w:val="000000"/>
                <w:kern w:val="0"/>
                <w:sz w:val="21"/>
                <w:szCs w:val="21"/>
                <w:lang w:val="en-US" w:eastAsia="zh-CN"/>
              </w:rPr>
            </w:pPr>
            <w:r>
              <w:rPr>
                <w:rFonts w:hint="eastAsia" w:ascii="宋体" w:hAnsi="宋体" w:eastAsia="宋体" w:cs="Times New Roman"/>
                <w:color w:val="000000"/>
                <w:kern w:val="0"/>
                <w:sz w:val="21"/>
                <w:szCs w:val="21"/>
              </w:rPr>
              <w:t>安全警示标识标牌</w:t>
            </w:r>
          </w:p>
        </w:tc>
        <w:tc>
          <w:tcPr>
            <w:tcW w:w="648" w:type="pct"/>
            <w:tcBorders>
              <w:tl2br w:val="nil"/>
              <w:tr2bl w:val="nil"/>
            </w:tcBorders>
            <w:shd w:val="clear" w:color="auto" w:fill="auto"/>
            <w:noWrap w:val="0"/>
            <w:vAlign w:val="center"/>
          </w:tcPr>
          <w:p w14:paraId="58AB8677">
            <w:pPr>
              <w:spacing w:line="240" w:lineRule="auto"/>
              <w:ind w:firstLine="0" w:firstLineChars="0"/>
              <w:jc w:val="center"/>
              <w:rPr>
                <w:rFonts w:hint="eastAsia" w:ascii="宋体" w:hAnsi="宋体" w:eastAsia="宋体" w:cs="Times New Roman"/>
                <w:color w:val="000000"/>
                <w:kern w:val="0"/>
                <w:sz w:val="21"/>
                <w:szCs w:val="21"/>
                <w:lang w:val="en-US" w:eastAsia="zh-CN"/>
              </w:rPr>
            </w:pPr>
            <w:r>
              <w:rPr>
                <w:rFonts w:hint="eastAsia" w:ascii="宋体" w:hAnsi="宋体" w:eastAsia="宋体" w:cs="Times New Roman"/>
                <w:color w:val="000000"/>
                <w:kern w:val="0"/>
                <w:sz w:val="21"/>
                <w:szCs w:val="21"/>
              </w:rPr>
              <w:t>若干</w:t>
            </w:r>
          </w:p>
        </w:tc>
        <w:tc>
          <w:tcPr>
            <w:tcW w:w="1392" w:type="pct"/>
            <w:tcBorders>
              <w:tl2br w:val="nil"/>
              <w:tr2bl w:val="nil"/>
            </w:tcBorders>
            <w:shd w:val="clear" w:color="auto" w:fill="auto"/>
            <w:noWrap w:val="0"/>
            <w:vAlign w:val="center"/>
          </w:tcPr>
          <w:p w14:paraId="6982BFDB">
            <w:pPr>
              <w:spacing w:line="240" w:lineRule="auto"/>
              <w:ind w:firstLine="0" w:firstLineChars="0"/>
              <w:jc w:val="center"/>
              <w:rPr>
                <w:rFonts w:hint="eastAsia" w:ascii="宋体" w:hAnsi="宋体" w:eastAsia="宋体" w:cs="Times New Roman"/>
                <w:color w:val="000000"/>
                <w:kern w:val="0"/>
                <w:sz w:val="21"/>
                <w:szCs w:val="21"/>
                <w:lang w:val="en-US" w:eastAsia="zh-CN"/>
              </w:rPr>
            </w:pPr>
            <w:r>
              <w:rPr>
                <w:rFonts w:hint="eastAsia" w:ascii="宋体" w:hAnsi="宋体" w:eastAsia="宋体" w:cs="Times New Roman"/>
                <w:color w:val="000000"/>
                <w:kern w:val="0"/>
                <w:sz w:val="21"/>
                <w:szCs w:val="21"/>
              </w:rPr>
              <w:t>个</w:t>
            </w:r>
          </w:p>
        </w:tc>
        <w:tc>
          <w:tcPr>
            <w:tcW w:w="801" w:type="pct"/>
            <w:tcBorders>
              <w:tl2br w:val="nil"/>
              <w:tr2bl w:val="nil"/>
            </w:tcBorders>
            <w:shd w:val="clear" w:color="auto" w:fill="auto"/>
            <w:noWrap w:val="0"/>
            <w:vAlign w:val="center"/>
          </w:tcPr>
          <w:p w14:paraId="45211F13">
            <w:pPr>
              <w:spacing w:line="240" w:lineRule="auto"/>
              <w:ind w:firstLine="0" w:firstLineChars="0"/>
              <w:jc w:val="center"/>
              <w:rPr>
                <w:rFonts w:hint="eastAsia" w:ascii="宋体" w:hAnsi="宋体" w:eastAsia="宋体" w:cs="Times New Roman"/>
                <w:color w:val="000000"/>
                <w:kern w:val="0"/>
                <w:sz w:val="21"/>
                <w:szCs w:val="21"/>
                <w:lang w:val="en-US" w:eastAsia="zh-CN"/>
              </w:rPr>
            </w:pPr>
            <w:r>
              <w:rPr>
                <w:rFonts w:hint="eastAsia" w:ascii="宋体" w:hAnsi="宋体" w:eastAsia="宋体" w:cs="Times New Roman"/>
                <w:color w:val="000000"/>
                <w:kern w:val="0"/>
                <w:sz w:val="21"/>
                <w:szCs w:val="21"/>
              </w:rPr>
              <w:t>正常</w:t>
            </w:r>
          </w:p>
        </w:tc>
      </w:tr>
    </w:tbl>
    <w:p w14:paraId="6B8B32F6">
      <w:pPr>
        <w:pStyle w:val="4"/>
        <w:bidi w:val="0"/>
        <w:ind w:left="0" w:leftChars="0" w:firstLine="0" w:firstLineChars="0"/>
        <w:rPr>
          <w:rFonts w:hint="eastAsia"/>
        </w:rPr>
      </w:pPr>
      <w:bookmarkStart w:id="49" w:name="_Toc20181"/>
      <w:r>
        <w:rPr>
          <w:rFonts w:hint="eastAsia"/>
        </w:rPr>
        <w:t>2.6.2 防雷、防静电设施</w:t>
      </w:r>
      <w:bookmarkEnd w:id="49"/>
    </w:p>
    <w:p w14:paraId="7B619753">
      <w:pPr>
        <w:bidi w:val="0"/>
        <w:rPr>
          <w:rFonts w:hint="eastAsia" w:eastAsia="宋体"/>
          <w:lang w:eastAsia="zh-CN"/>
        </w:rPr>
      </w:pPr>
      <w:r>
        <w:rPr>
          <w:rFonts w:hint="eastAsia"/>
        </w:rPr>
        <w:t>经现场勘察，该项目租赁萍乡市金坪烟花制造有限公司的540、542、545号成品库已安装防雷装置，主要防雷形式为接闪</w:t>
      </w:r>
      <w:r>
        <w:rPr>
          <w:rFonts w:hint="eastAsia"/>
          <w:lang w:val="en-US" w:eastAsia="zh-CN"/>
        </w:rPr>
        <w:t>塔</w:t>
      </w:r>
      <w:r>
        <w:rPr>
          <w:rFonts w:hint="eastAsia"/>
        </w:rPr>
        <w:t>，成品库</w:t>
      </w:r>
      <w:r>
        <w:rPr>
          <w:rFonts w:ascii="宋体" w:hAnsi="宋体" w:eastAsia="宋体" w:cs="宋体"/>
          <w:spacing w:val="-3"/>
          <w:sz w:val="28"/>
          <w:szCs w:val="28"/>
        </w:rPr>
        <w:t>入口处</w:t>
      </w:r>
      <w:r>
        <w:rPr>
          <w:rFonts w:hint="eastAsia"/>
        </w:rPr>
        <w:t>已安装了静电消除装置，检测情况</w:t>
      </w:r>
      <w:r>
        <w:rPr>
          <w:rFonts w:hint="eastAsia"/>
          <w:lang w:val="en-US" w:eastAsia="zh-CN"/>
        </w:rPr>
        <w:t>见</w:t>
      </w:r>
      <w:r>
        <w:rPr>
          <w:rFonts w:hint="eastAsia"/>
        </w:rPr>
        <w:t>表2.6-2</w:t>
      </w:r>
      <w:r>
        <w:rPr>
          <w:rFonts w:hint="eastAsia"/>
          <w:lang w:eastAsia="zh-CN"/>
        </w:rPr>
        <w:t>。</w:t>
      </w:r>
    </w:p>
    <w:p w14:paraId="4E595369">
      <w:pPr>
        <w:bidi w:val="0"/>
        <w:rPr>
          <w:rFonts w:hint="eastAsia"/>
        </w:rPr>
      </w:pPr>
      <w:r>
        <w:rPr>
          <w:rFonts w:hint="eastAsia"/>
        </w:rPr>
        <w:t>表2.6-2项目危险性建筑物静电消除装置安装情况一览表</w:t>
      </w:r>
    </w:p>
    <w:tbl>
      <w:tblPr>
        <w:tblStyle w:val="105"/>
        <w:tblW w:w="8818" w:type="dxa"/>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9"/>
        <w:gridCol w:w="1051"/>
        <w:gridCol w:w="1461"/>
        <w:gridCol w:w="2182"/>
        <w:gridCol w:w="2193"/>
        <w:gridCol w:w="982"/>
      </w:tblGrid>
      <w:tr w14:paraId="0C170F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949" w:type="dxa"/>
            <w:tcBorders>
              <w:top w:val="single" w:color="000000" w:sz="2" w:space="0"/>
              <w:bottom w:val="single" w:color="000000" w:sz="2" w:space="0"/>
            </w:tcBorders>
            <w:vAlign w:val="center"/>
          </w:tcPr>
          <w:p w14:paraId="1AF08B1B">
            <w:pPr>
              <w:pStyle w:val="14"/>
              <w:bidi w:val="0"/>
              <w:jc w:val="center"/>
            </w:pPr>
            <w:r>
              <w:t>工房</w:t>
            </w:r>
          </w:p>
          <w:p w14:paraId="38E1925F">
            <w:pPr>
              <w:pStyle w:val="14"/>
              <w:bidi w:val="0"/>
              <w:jc w:val="center"/>
            </w:pPr>
            <w:r>
              <w:t>编号</w:t>
            </w:r>
          </w:p>
        </w:tc>
        <w:tc>
          <w:tcPr>
            <w:tcW w:w="1051" w:type="dxa"/>
            <w:tcBorders>
              <w:top w:val="single" w:color="000000" w:sz="2" w:space="0"/>
              <w:bottom w:val="single" w:color="000000" w:sz="2" w:space="0"/>
            </w:tcBorders>
            <w:vAlign w:val="center"/>
          </w:tcPr>
          <w:p w14:paraId="2DADBF2F">
            <w:pPr>
              <w:pStyle w:val="14"/>
              <w:bidi w:val="0"/>
              <w:jc w:val="center"/>
              <w:rPr>
                <w:rFonts w:ascii="宋体" w:hAnsi="宋体" w:eastAsia="宋体" w:cs="宋体"/>
                <w:spacing w:val="-2"/>
                <w:sz w:val="21"/>
                <w:szCs w:val="21"/>
              </w:rPr>
            </w:pPr>
            <w:r>
              <w:rPr>
                <w:rFonts w:ascii="宋体" w:hAnsi="宋体" w:eastAsia="宋体" w:cs="宋体"/>
                <w:spacing w:val="-3"/>
                <w:sz w:val="21"/>
                <w:szCs w:val="21"/>
              </w:rPr>
              <w:t>安全设</w:t>
            </w:r>
            <w:r>
              <w:rPr>
                <w:rFonts w:ascii="宋体" w:hAnsi="宋体" w:eastAsia="宋体" w:cs="宋体"/>
                <w:spacing w:val="-2"/>
                <w:sz w:val="21"/>
                <w:szCs w:val="21"/>
              </w:rPr>
              <w:t>施</w:t>
            </w:r>
          </w:p>
          <w:p w14:paraId="71BF8ACB">
            <w:pPr>
              <w:pStyle w:val="14"/>
              <w:bidi w:val="0"/>
              <w:jc w:val="center"/>
            </w:pPr>
            <w:r>
              <w:rPr>
                <w:rFonts w:ascii="宋体" w:hAnsi="宋体" w:eastAsia="宋体" w:cs="宋体"/>
                <w:spacing w:val="-2"/>
                <w:sz w:val="21"/>
                <w:szCs w:val="21"/>
              </w:rPr>
              <w:t>类别</w:t>
            </w:r>
          </w:p>
        </w:tc>
        <w:tc>
          <w:tcPr>
            <w:tcW w:w="1461" w:type="dxa"/>
            <w:tcBorders>
              <w:top w:val="single" w:color="000000" w:sz="2" w:space="0"/>
              <w:bottom w:val="single" w:color="000000" w:sz="2" w:space="0"/>
            </w:tcBorders>
            <w:vAlign w:val="center"/>
          </w:tcPr>
          <w:p w14:paraId="2E27B5A0">
            <w:pPr>
              <w:pStyle w:val="14"/>
              <w:bidi w:val="0"/>
              <w:jc w:val="center"/>
            </w:pPr>
            <w:r>
              <w:rPr>
                <w:rFonts w:ascii="宋体" w:hAnsi="宋体" w:eastAsia="宋体" w:cs="宋体"/>
                <w:spacing w:val="-2"/>
                <w:sz w:val="21"/>
                <w:szCs w:val="21"/>
              </w:rPr>
              <w:t>检测单位</w:t>
            </w:r>
          </w:p>
        </w:tc>
        <w:tc>
          <w:tcPr>
            <w:tcW w:w="2182" w:type="dxa"/>
            <w:tcBorders>
              <w:top w:val="single" w:color="000000" w:sz="2" w:space="0"/>
              <w:bottom w:val="single" w:color="000000" w:sz="2" w:space="0"/>
            </w:tcBorders>
            <w:vAlign w:val="center"/>
          </w:tcPr>
          <w:p w14:paraId="5C50DBD9">
            <w:pPr>
              <w:pStyle w:val="14"/>
              <w:bidi w:val="0"/>
              <w:jc w:val="center"/>
            </w:pPr>
            <w:r>
              <w:rPr>
                <w:rFonts w:ascii="宋体" w:hAnsi="宋体" w:eastAsia="宋体" w:cs="宋体"/>
                <w:spacing w:val="-1"/>
                <w:sz w:val="21"/>
                <w:szCs w:val="21"/>
              </w:rPr>
              <w:t>报告编号</w:t>
            </w:r>
          </w:p>
        </w:tc>
        <w:tc>
          <w:tcPr>
            <w:tcW w:w="2193" w:type="dxa"/>
            <w:tcBorders>
              <w:top w:val="single" w:color="000000" w:sz="2" w:space="0"/>
              <w:bottom w:val="single" w:color="000000" w:sz="2" w:space="0"/>
            </w:tcBorders>
            <w:vAlign w:val="center"/>
          </w:tcPr>
          <w:p w14:paraId="317A1E0B">
            <w:pPr>
              <w:pStyle w:val="14"/>
              <w:bidi w:val="0"/>
              <w:jc w:val="center"/>
            </w:pPr>
            <w:r>
              <w:rPr>
                <w:rFonts w:ascii="宋体" w:hAnsi="宋体" w:eastAsia="宋体" w:cs="宋体"/>
                <w:spacing w:val="-2"/>
                <w:sz w:val="21"/>
                <w:szCs w:val="21"/>
              </w:rPr>
              <w:t>有效期至</w:t>
            </w:r>
          </w:p>
        </w:tc>
        <w:tc>
          <w:tcPr>
            <w:tcW w:w="982" w:type="dxa"/>
            <w:tcBorders>
              <w:top w:val="single" w:color="000000" w:sz="2" w:space="0"/>
              <w:bottom w:val="single" w:color="000000" w:sz="2" w:space="0"/>
            </w:tcBorders>
            <w:vAlign w:val="center"/>
          </w:tcPr>
          <w:p w14:paraId="3AC80887">
            <w:pPr>
              <w:pStyle w:val="14"/>
              <w:bidi w:val="0"/>
              <w:jc w:val="center"/>
            </w:pPr>
            <w:r>
              <w:t>备注</w:t>
            </w:r>
          </w:p>
        </w:tc>
      </w:tr>
      <w:tr w14:paraId="62D8E5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949" w:type="dxa"/>
            <w:vMerge w:val="restart"/>
            <w:tcBorders>
              <w:top w:val="single" w:color="000000" w:sz="2" w:space="0"/>
            </w:tcBorders>
            <w:vAlign w:val="center"/>
          </w:tcPr>
          <w:p w14:paraId="6CCB58E3">
            <w:pPr>
              <w:pStyle w:val="14"/>
              <w:bidi w:val="0"/>
              <w:jc w:val="center"/>
              <w:rPr>
                <w:rFonts w:hint="eastAsia" w:eastAsia="宋体"/>
                <w:lang w:eastAsia="zh-CN"/>
              </w:rPr>
            </w:pPr>
            <w:r>
              <w:t>540</w:t>
            </w:r>
            <w:r>
              <w:rPr>
                <w:rFonts w:hint="eastAsia"/>
                <w:color w:val="auto"/>
                <w:lang w:eastAsia="zh-CN"/>
              </w:rPr>
              <w:t>、</w:t>
            </w:r>
            <w:r>
              <w:t>542</w:t>
            </w:r>
            <w:r>
              <w:rPr>
                <w:rFonts w:hint="eastAsia"/>
                <w:color w:val="auto"/>
                <w:lang w:eastAsia="zh-CN"/>
              </w:rPr>
              <w:t>、</w:t>
            </w:r>
            <w:r>
              <w:t>545</w:t>
            </w:r>
            <w:r>
              <w:rPr>
                <w:color w:val="auto"/>
              </w:rPr>
              <w:t>成品库</w:t>
            </w:r>
          </w:p>
        </w:tc>
        <w:tc>
          <w:tcPr>
            <w:tcW w:w="1051" w:type="dxa"/>
            <w:tcBorders>
              <w:top w:val="single" w:color="000000" w:sz="2" w:space="0"/>
              <w:bottom w:val="single" w:color="000000" w:sz="2" w:space="0"/>
            </w:tcBorders>
            <w:vAlign w:val="center"/>
          </w:tcPr>
          <w:p w14:paraId="50BAA45C">
            <w:pPr>
              <w:pStyle w:val="14"/>
              <w:bidi w:val="0"/>
              <w:jc w:val="center"/>
              <w:rPr>
                <w:rFonts w:ascii="宋体" w:hAnsi="宋体" w:eastAsia="宋体" w:cs="宋体"/>
                <w:spacing w:val="-3"/>
                <w:sz w:val="21"/>
                <w:szCs w:val="21"/>
              </w:rPr>
            </w:pPr>
            <w:r>
              <w:rPr>
                <w:rFonts w:ascii="宋体" w:hAnsi="宋体" w:eastAsia="宋体" w:cs="宋体"/>
                <w:spacing w:val="-5"/>
                <w:sz w:val="21"/>
                <w:szCs w:val="21"/>
              </w:rPr>
              <w:t>防雷</w:t>
            </w:r>
          </w:p>
        </w:tc>
        <w:tc>
          <w:tcPr>
            <w:tcW w:w="1461" w:type="dxa"/>
            <w:tcBorders>
              <w:top w:val="single" w:color="000000" w:sz="2" w:space="0"/>
              <w:bottom w:val="single" w:color="000000" w:sz="2" w:space="0"/>
            </w:tcBorders>
            <w:vAlign w:val="center"/>
          </w:tcPr>
          <w:p w14:paraId="472E4E21">
            <w:pPr>
              <w:pStyle w:val="14"/>
              <w:bidi w:val="0"/>
              <w:jc w:val="center"/>
              <w:rPr>
                <w:rFonts w:ascii="宋体" w:hAnsi="宋体" w:eastAsia="宋体" w:cs="宋体"/>
                <w:spacing w:val="-2"/>
                <w:sz w:val="21"/>
                <w:szCs w:val="21"/>
              </w:rPr>
            </w:pPr>
            <w:r>
              <w:rPr>
                <w:rFonts w:hint="eastAsia"/>
                <w:color w:val="auto"/>
                <w:lang w:val="en-US" w:eastAsia="zh-CN"/>
              </w:rPr>
              <w:t>江西中天防雷技术</w:t>
            </w:r>
            <w:r>
              <w:rPr>
                <w:color w:val="auto"/>
              </w:rPr>
              <w:t>有限公司</w:t>
            </w:r>
          </w:p>
        </w:tc>
        <w:tc>
          <w:tcPr>
            <w:tcW w:w="2182" w:type="dxa"/>
            <w:tcBorders>
              <w:top w:val="single" w:color="000000" w:sz="2" w:space="0"/>
              <w:bottom w:val="single" w:color="000000" w:sz="2" w:space="0"/>
            </w:tcBorders>
            <w:vAlign w:val="center"/>
          </w:tcPr>
          <w:p w14:paraId="24DBA4D9">
            <w:pPr>
              <w:pStyle w:val="14"/>
              <w:bidi w:val="0"/>
              <w:jc w:val="center"/>
              <w:rPr>
                <w:rFonts w:ascii="宋体" w:hAnsi="宋体" w:eastAsia="宋体" w:cs="宋体"/>
                <w:spacing w:val="-1"/>
                <w:sz w:val="21"/>
                <w:szCs w:val="21"/>
              </w:rPr>
            </w:pPr>
            <w:r>
              <w:rPr>
                <w:color w:val="auto"/>
              </w:rPr>
              <w:t>11</w:t>
            </w:r>
            <w:r>
              <w:rPr>
                <w:rFonts w:hint="eastAsia"/>
                <w:color w:val="auto"/>
                <w:lang w:val="en-US" w:eastAsia="zh-CN"/>
              </w:rPr>
              <w:t>5</w:t>
            </w:r>
            <w:r>
              <w:rPr>
                <w:color w:val="auto"/>
              </w:rPr>
              <w:t>20</w:t>
            </w:r>
            <w:r>
              <w:rPr>
                <w:rFonts w:hint="eastAsia"/>
                <w:color w:val="auto"/>
                <w:lang w:val="en-US" w:eastAsia="zh-CN"/>
              </w:rPr>
              <w:t>2</w:t>
            </w:r>
            <w:r>
              <w:rPr>
                <w:color w:val="auto"/>
              </w:rPr>
              <w:t>1</w:t>
            </w:r>
            <w:r>
              <w:rPr>
                <w:rFonts w:hint="eastAsia"/>
                <w:color w:val="auto"/>
                <w:lang w:val="en-US" w:eastAsia="zh-CN"/>
              </w:rPr>
              <w:t>001</w:t>
            </w:r>
            <w:r>
              <w:rPr>
                <w:color w:val="auto"/>
              </w:rPr>
              <w:t xml:space="preserve"> 雷检字【202</w:t>
            </w:r>
            <w:r>
              <w:rPr>
                <w:rFonts w:hint="eastAsia"/>
                <w:color w:val="auto"/>
                <w:lang w:val="en-US" w:eastAsia="zh-CN"/>
              </w:rPr>
              <w:t>5</w:t>
            </w:r>
            <w:r>
              <w:rPr>
                <w:color w:val="auto"/>
              </w:rPr>
              <w:t>】</w:t>
            </w:r>
            <w:r>
              <w:rPr>
                <w:rFonts w:hint="eastAsia"/>
                <w:color w:val="auto"/>
                <w:lang w:val="en-US" w:eastAsia="zh-CN"/>
              </w:rPr>
              <w:t>PX</w:t>
            </w:r>
            <w:r>
              <w:rPr>
                <w:color w:val="auto"/>
              </w:rPr>
              <w:t>0025</w:t>
            </w:r>
            <w:r>
              <w:rPr>
                <w:rFonts w:hint="eastAsia"/>
                <w:color w:val="auto"/>
                <w:lang w:val="en-US" w:eastAsia="zh-CN"/>
              </w:rPr>
              <w:t>1</w:t>
            </w:r>
          </w:p>
        </w:tc>
        <w:tc>
          <w:tcPr>
            <w:tcW w:w="2193" w:type="dxa"/>
            <w:tcBorders>
              <w:top w:val="single" w:color="000000" w:sz="2" w:space="0"/>
              <w:bottom w:val="single" w:color="000000" w:sz="2" w:space="0"/>
            </w:tcBorders>
            <w:vAlign w:val="center"/>
          </w:tcPr>
          <w:p w14:paraId="79476138">
            <w:pPr>
              <w:pStyle w:val="14"/>
              <w:bidi w:val="0"/>
              <w:jc w:val="center"/>
              <w:rPr>
                <w:rFonts w:ascii="宋体" w:hAnsi="宋体" w:eastAsia="宋体" w:cs="宋体"/>
                <w:spacing w:val="-2"/>
                <w:sz w:val="21"/>
                <w:szCs w:val="21"/>
              </w:rPr>
            </w:pPr>
            <w:r>
              <w:rPr>
                <w:color w:val="auto"/>
              </w:rPr>
              <w:t>202</w:t>
            </w:r>
            <w:r>
              <w:rPr>
                <w:rFonts w:hint="eastAsia"/>
                <w:color w:val="auto"/>
                <w:lang w:val="en-US" w:eastAsia="zh-CN"/>
              </w:rPr>
              <w:t>6年</w:t>
            </w:r>
            <w:r>
              <w:rPr>
                <w:color w:val="auto"/>
              </w:rPr>
              <w:t>2月</w:t>
            </w:r>
            <w:r>
              <w:rPr>
                <w:rFonts w:hint="eastAsia"/>
                <w:color w:val="auto"/>
                <w:lang w:val="en-US" w:eastAsia="zh-CN"/>
              </w:rPr>
              <w:t>20</w:t>
            </w:r>
            <w:r>
              <w:rPr>
                <w:color w:val="auto"/>
              </w:rPr>
              <w:t>日</w:t>
            </w:r>
          </w:p>
        </w:tc>
        <w:tc>
          <w:tcPr>
            <w:tcW w:w="982" w:type="dxa"/>
            <w:tcBorders>
              <w:top w:val="single" w:color="000000" w:sz="2" w:space="0"/>
              <w:bottom w:val="single" w:color="000000" w:sz="2" w:space="0"/>
            </w:tcBorders>
            <w:vAlign w:val="center"/>
          </w:tcPr>
          <w:p w14:paraId="28EA463F">
            <w:pPr>
              <w:pStyle w:val="14"/>
              <w:bidi w:val="0"/>
              <w:jc w:val="center"/>
            </w:pPr>
            <w:r>
              <w:rPr>
                <w:rFonts w:hint="eastAsia"/>
                <w:lang w:val="en-US" w:eastAsia="zh-CN"/>
              </w:rPr>
              <w:t>合格</w:t>
            </w:r>
          </w:p>
        </w:tc>
      </w:tr>
      <w:tr w14:paraId="41FAA9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949" w:type="dxa"/>
            <w:vMerge w:val="continue"/>
            <w:tcBorders>
              <w:bottom w:val="single" w:color="000000" w:sz="2" w:space="0"/>
            </w:tcBorders>
            <w:vAlign w:val="center"/>
          </w:tcPr>
          <w:p w14:paraId="49F13555">
            <w:pPr>
              <w:pStyle w:val="14"/>
              <w:bidi w:val="0"/>
              <w:jc w:val="center"/>
            </w:pPr>
          </w:p>
        </w:tc>
        <w:tc>
          <w:tcPr>
            <w:tcW w:w="1051" w:type="dxa"/>
            <w:tcBorders>
              <w:top w:val="single" w:color="000000" w:sz="2" w:space="0"/>
              <w:bottom w:val="single" w:color="000000" w:sz="2" w:space="0"/>
            </w:tcBorders>
            <w:vAlign w:val="center"/>
          </w:tcPr>
          <w:p w14:paraId="67F364EB">
            <w:pPr>
              <w:pStyle w:val="14"/>
              <w:bidi w:val="0"/>
              <w:jc w:val="center"/>
              <w:rPr>
                <w:rFonts w:ascii="宋体" w:hAnsi="宋体" w:eastAsia="宋体" w:cs="宋体"/>
                <w:spacing w:val="-3"/>
                <w:sz w:val="21"/>
                <w:szCs w:val="21"/>
              </w:rPr>
            </w:pPr>
            <w:r>
              <w:rPr>
                <w:rFonts w:ascii="宋体" w:hAnsi="宋体" w:eastAsia="宋体" w:cs="宋体"/>
                <w:spacing w:val="-4"/>
                <w:sz w:val="21"/>
                <w:szCs w:val="21"/>
              </w:rPr>
              <w:t>防静电</w:t>
            </w:r>
          </w:p>
        </w:tc>
        <w:tc>
          <w:tcPr>
            <w:tcW w:w="1461" w:type="dxa"/>
            <w:tcBorders>
              <w:top w:val="single" w:color="000000" w:sz="2" w:space="0"/>
              <w:bottom w:val="single" w:color="000000" w:sz="2" w:space="0"/>
            </w:tcBorders>
            <w:vAlign w:val="center"/>
          </w:tcPr>
          <w:p w14:paraId="7A2445A3">
            <w:pPr>
              <w:pStyle w:val="14"/>
              <w:bidi w:val="0"/>
              <w:jc w:val="center"/>
              <w:rPr>
                <w:rFonts w:ascii="宋体" w:hAnsi="宋体" w:eastAsia="宋体" w:cs="宋体"/>
                <w:spacing w:val="-2"/>
                <w:sz w:val="21"/>
                <w:szCs w:val="21"/>
              </w:rPr>
            </w:pPr>
            <w:r>
              <w:rPr>
                <w:color w:val="auto"/>
              </w:rPr>
              <w:t>本溪普天防雷检测有限公司</w:t>
            </w:r>
          </w:p>
        </w:tc>
        <w:tc>
          <w:tcPr>
            <w:tcW w:w="2182" w:type="dxa"/>
            <w:tcBorders>
              <w:top w:val="single" w:color="000000" w:sz="2" w:space="0"/>
              <w:bottom w:val="single" w:color="000000" w:sz="2" w:space="0"/>
            </w:tcBorders>
            <w:vAlign w:val="center"/>
          </w:tcPr>
          <w:p w14:paraId="7FE25A69">
            <w:pPr>
              <w:pStyle w:val="14"/>
              <w:bidi w:val="0"/>
              <w:jc w:val="center"/>
              <w:rPr>
                <w:rFonts w:ascii="宋体" w:hAnsi="宋体" w:eastAsia="宋体" w:cs="宋体"/>
                <w:spacing w:val="-1"/>
                <w:sz w:val="21"/>
                <w:szCs w:val="21"/>
              </w:rPr>
            </w:pPr>
            <w:r>
              <w:rPr>
                <w:color w:val="auto"/>
              </w:rPr>
              <w:t>1062017002静检字</w:t>
            </w:r>
            <w:r>
              <w:rPr>
                <w:rFonts w:hint="eastAsia"/>
                <w:color w:val="auto"/>
                <w:lang w:eastAsia="zh-CN"/>
              </w:rPr>
              <w:t>【</w:t>
            </w:r>
            <w:r>
              <w:rPr>
                <w:color w:val="auto"/>
              </w:rPr>
              <w:t>202</w:t>
            </w:r>
            <w:r>
              <w:rPr>
                <w:rFonts w:hint="eastAsia"/>
                <w:color w:val="auto"/>
                <w:lang w:val="en-US" w:eastAsia="zh-CN"/>
              </w:rPr>
              <w:t>5】00636</w:t>
            </w:r>
          </w:p>
        </w:tc>
        <w:tc>
          <w:tcPr>
            <w:tcW w:w="2193" w:type="dxa"/>
            <w:tcBorders>
              <w:top w:val="single" w:color="000000" w:sz="2" w:space="0"/>
              <w:bottom w:val="single" w:color="000000" w:sz="2" w:space="0"/>
            </w:tcBorders>
            <w:vAlign w:val="center"/>
          </w:tcPr>
          <w:p w14:paraId="6616C690">
            <w:pPr>
              <w:pStyle w:val="14"/>
              <w:bidi w:val="0"/>
              <w:jc w:val="center"/>
              <w:rPr>
                <w:rFonts w:ascii="宋体" w:hAnsi="宋体" w:eastAsia="宋体" w:cs="宋体"/>
                <w:spacing w:val="-2"/>
                <w:sz w:val="21"/>
                <w:szCs w:val="21"/>
              </w:rPr>
            </w:pPr>
            <w:r>
              <w:rPr>
                <w:color w:val="auto"/>
              </w:rPr>
              <w:t>202</w:t>
            </w:r>
            <w:r>
              <w:rPr>
                <w:rFonts w:hint="eastAsia"/>
                <w:color w:val="auto"/>
                <w:lang w:val="en-US" w:eastAsia="zh-CN"/>
              </w:rPr>
              <w:t>6</w:t>
            </w:r>
            <w:r>
              <w:rPr>
                <w:color w:val="auto"/>
              </w:rPr>
              <w:t>年02月1</w:t>
            </w:r>
            <w:r>
              <w:rPr>
                <w:rFonts w:hint="eastAsia"/>
                <w:color w:val="auto"/>
                <w:lang w:val="en-US" w:eastAsia="zh-CN"/>
              </w:rPr>
              <w:t>7</w:t>
            </w:r>
            <w:r>
              <w:rPr>
                <w:color w:val="auto"/>
              </w:rPr>
              <w:t>日</w:t>
            </w:r>
          </w:p>
        </w:tc>
        <w:tc>
          <w:tcPr>
            <w:tcW w:w="982" w:type="dxa"/>
            <w:tcBorders>
              <w:top w:val="single" w:color="000000" w:sz="2" w:space="0"/>
              <w:bottom w:val="single" w:color="000000" w:sz="2" w:space="0"/>
            </w:tcBorders>
            <w:vAlign w:val="center"/>
          </w:tcPr>
          <w:p w14:paraId="01D8FBAE">
            <w:pPr>
              <w:pStyle w:val="14"/>
              <w:bidi w:val="0"/>
              <w:jc w:val="center"/>
              <w:rPr>
                <w:rFonts w:hint="eastAsia" w:eastAsia="宋体"/>
                <w:lang w:val="en-US" w:eastAsia="zh-CN"/>
              </w:rPr>
            </w:pPr>
            <w:r>
              <w:rPr>
                <w:rFonts w:hint="eastAsia"/>
                <w:lang w:val="en-US" w:eastAsia="zh-CN"/>
              </w:rPr>
              <w:t>合格</w:t>
            </w:r>
          </w:p>
        </w:tc>
      </w:tr>
    </w:tbl>
    <w:p w14:paraId="5E0D66DB">
      <w:pPr>
        <w:pStyle w:val="4"/>
        <w:bidi w:val="0"/>
        <w:ind w:left="0" w:leftChars="0" w:firstLine="0" w:firstLineChars="0"/>
        <w:rPr>
          <w:rFonts w:hint="eastAsia"/>
        </w:rPr>
      </w:pPr>
      <w:bookmarkStart w:id="50" w:name="_Toc19189"/>
      <w:r>
        <w:rPr>
          <w:rFonts w:hint="eastAsia"/>
        </w:rPr>
        <w:t>2.6.3 视频监控与通信</w:t>
      </w:r>
      <w:bookmarkEnd w:id="50"/>
    </w:p>
    <w:p w14:paraId="36810F0C">
      <w:pPr>
        <w:bidi w:val="0"/>
        <w:rPr>
          <w:rFonts w:hint="default" w:eastAsia="宋体"/>
          <w:lang w:val="en-US" w:eastAsia="zh-CN"/>
        </w:rPr>
      </w:pPr>
      <w:r>
        <w:rPr>
          <w:rFonts w:hint="eastAsia"/>
        </w:rPr>
        <w:t>库房四周监控影像已覆盖。视频监控系统能覆盖整个库区，可时刻进行监控。视频监控系统</w:t>
      </w:r>
      <w:r>
        <w:rPr>
          <w:rFonts w:hint="eastAsia"/>
          <w:lang w:val="en-US" w:eastAsia="zh-CN"/>
        </w:rPr>
        <w:t>于2025年10月通过验收，安装验收材料详见附件。</w:t>
      </w:r>
    </w:p>
    <w:p w14:paraId="7F46D30F">
      <w:pPr>
        <w:bidi w:val="0"/>
        <w:rPr>
          <w:rFonts w:hint="eastAsia"/>
        </w:rPr>
      </w:pPr>
      <w:r>
        <w:rPr>
          <w:rFonts w:hint="eastAsia"/>
        </w:rPr>
        <w:t>该项目的库区出入口设有门卫室。备有固定值守人员，且设有报警电话。</w:t>
      </w:r>
    </w:p>
    <w:p w14:paraId="3D9521C2">
      <w:pPr>
        <w:pStyle w:val="4"/>
        <w:bidi w:val="0"/>
        <w:ind w:left="0" w:leftChars="0" w:firstLine="0" w:firstLineChars="0"/>
        <w:rPr>
          <w:rFonts w:hint="eastAsia"/>
        </w:rPr>
      </w:pPr>
      <w:bookmarkStart w:id="51" w:name="_Toc3055"/>
      <w:r>
        <w:rPr>
          <w:rFonts w:hint="eastAsia"/>
        </w:rPr>
        <w:t>2.6.4</w:t>
      </w:r>
      <w:r>
        <w:rPr>
          <w:rFonts w:hint="eastAsia"/>
          <w:lang w:val="en-US" w:eastAsia="zh-CN"/>
        </w:rPr>
        <w:t xml:space="preserve"> </w:t>
      </w:r>
      <w:r>
        <w:rPr>
          <w:rFonts w:hint="eastAsia"/>
        </w:rPr>
        <w:t>照明设施</w:t>
      </w:r>
      <w:bookmarkEnd w:id="51"/>
    </w:p>
    <w:p w14:paraId="6287EACB">
      <w:pPr>
        <w:bidi w:val="0"/>
        <w:rPr>
          <w:rFonts w:hint="eastAsia"/>
        </w:rPr>
      </w:pPr>
      <w:r>
        <w:rPr>
          <w:rFonts w:hint="eastAsia"/>
        </w:rPr>
        <w:t>经现场勘察，库房内未设置电气设备，夜间</w:t>
      </w:r>
      <w:r>
        <w:rPr>
          <w:rFonts w:hint="eastAsia"/>
          <w:lang w:val="en-US" w:eastAsia="zh-CN"/>
        </w:rPr>
        <w:t>不</w:t>
      </w:r>
      <w:r>
        <w:rPr>
          <w:rFonts w:hint="eastAsia"/>
        </w:rPr>
        <w:t>作业。</w:t>
      </w:r>
    </w:p>
    <w:p w14:paraId="0DA7A94F">
      <w:pPr>
        <w:pStyle w:val="4"/>
        <w:bidi w:val="0"/>
        <w:ind w:left="0" w:leftChars="0" w:firstLine="0" w:firstLineChars="0"/>
        <w:rPr>
          <w:rFonts w:hint="eastAsia"/>
        </w:rPr>
      </w:pPr>
      <w:bookmarkStart w:id="52" w:name="_Toc17058"/>
      <w:r>
        <w:rPr>
          <w:rFonts w:hint="eastAsia"/>
        </w:rPr>
        <w:t>2.6.5电气设备的选型与安装</w:t>
      </w:r>
      <w:bookmarkEnd w:id="52"/>
    </w:p>
    <w:p w14:paraId="1F971B80">
      <w:pPr>
        <w:bidi w:val="0"/>
        <w:rPr>
          <w:rFonts w:hint="eastAsia"/>
        </w:rPr>
      </w:pPr>
      <w:r>
        <w:rPr>
          <w:rFonts w:hint="eastAsia"/>
        </w:rPr>
        <w:t>该项目未涉及电气设备设施。</w:t>
      </w:r>
    </w:p>
    <w:p w14:paraId="39636C0A">
      <w:pPr>
        <w:pStyle w:val="4"/>
        <w:bidi w:val="0"/>
        <w:ind w:left="0" w:leftChars="0" w:firstLine="0" w:firstLineChars="0"/>
        <w:rPr>
          <w:rFonts w:hint="eastAsia"/>
        </w:rPr>
      </w:pPr>
      <w:bookmarkStart w:id="53" w:name="_Toc9368"/>
      <w:r>
        <w:rPr>
          <w:rFonts w:hint="eastAsia"/>
        </w:rPr>
        <w:t>2.6.6 电气线路的选型与敷设</w:t>
      </w:r>
      <w:bookmarkEnd w:id="53"/>
    </w:p>
    <w:p w14:paraId="3105A301">
      <w:pPr>
        <w:bidi w:val="0"/>
        <w:rPr>
          <w:rFonts w:hint="eastAsia"/>
        </w:rPr>
      </w:pPr>
      <w:r>
        <w:rPr>
          <w:rFonts w:hint="eastAsia"/>
        </w:rPr>
        <w:t>经现场勘察，库房内未设置电气设备。</w:t>
      </w:r>
    </w:p>
    <w:p w14:paraId="76294E49">
      <w:pPr>
        <w:pStyle w:val="4"/>
        <w:bidi w:val="0"/>
        <w:ind w:left="0" w:leftChars="0" w:firstLine="0" w:firstLineChars="0"/>
        <w:rPr>
          <w:rFonts w:hint="eastAsia"/>
        </w:rPr>
      </w:pPr>
      <w:bookmarkStart w:id="54" w:name="_Toc21429"/>
      <w:r>
        <w:rPr>
          <w:rFonts w:hint="eastAsia"/>
        </w:rPr>
        <w:t>2.6.7防护屏障</w:t>
      </w:r>
      <w:bookmarkEnd w:id="54"/>
    </w:p>
    <w:p w14:paraId="57A660E3">
      <w:pPr>
        <w:bidi w:val="0"/>
        <w:rPr>
          <w:rFonts w:hint="eastAsia"/>
        </w:rPr>
      </w:pPr>
      <w:r>
        <w:rPr>
          <w:rFonts w:hint="eastAsia"/>
        </w:rPr>
        <w:t>该项目危险品仓库共3栋，租用萍乡市金坪烟花制造有限公司的540、542号成品库，租赁的成品库为1.3级仓库，可不设立防护屏障，租用萍乡市金坪烟花制造有限公司的545号成品库，租赁的成品库为</w:t>
      </w:r>
      <w:r>
        <w:rPr>
          <w:rFonts w:hint="eastAsia"/>
          <w:color w:val="auto"/>
          <w:highlight w:val="none"/>
        </w:rPr>
        <w:t>1.1</w:t>
      </w:r>
      <w:r>
        <w:rPr>
          <w:rFonts w:hint="eastAsia"/>
          <w:color w:val="auto"/>
          <w:highlight w:val="none"/>
          <w:vertAlign w:val="superscript"/>
          <w:lang w:val="en-US" w:eastAsia="zh-CN"/>
        </w:rPr>
        <w:t>-</w:t>
      </w:r>
      <w:r>
        <w:rPr>
          <w:rFonts w:hint="eastAsia"/>
          <w:color w:val="auto"/>
          <w:highlight w:val="none"/>
        </w:rPr>
        <w:t>²级</w:t>
      </w:r>
      <w:r>
        <w:rPr>
          <w:rFonts w:hint="eastAsia"/>
        </w:rPr>
        <w:t>仓库，已按</w:t>
      </w:r>
      <w:r>
        <w:rPr>
          <w:rFonts w:hint="eastAsia"/>
          <w:color w:val="auto"/>
          <w:highlight w:val="none"/>
        </w:rPr>
        <w:t>要求</w:t>
      </w:r>
      <w:r>
        <w:rPr>
          <w:rFonts w:hint="eastAsia"/>
        </w:rPr>
        <w:t>设立防护屏障。</w:t>
      </w:r>
    </w:p>
    <w:p w14:paraId="7DF41509">
      <w:pPr>
        <w:pStyle w:val="4"/>
        <w:bidi w:val="0"/>
        <w:ind w:left="0" w:leftChars="0" w:firstLine="0" w:firstLineChars="0"/>
        <w:rPr>
          <w:rFonts w:hint="eastAsia"/>
        </w:rPr>
      </w:pPr>
      <w:bookmarkStart w:id="55" w:name="_Toc20942"/>
      <w:r>
        <w:rPr>
          <w:rFonts w:hint="eastAsia"/>
        </w:rPr>
        <w:t>2.6.8围墙</w:t>
      </w:r>
      <w:bookmarkEnd w:id="55"/>
    </w:p>
    <w:p w14:paraId="7545A2F3">
      <w:pPr>
        <w:bidi w:val="0"/>
        <w:rPr>
          <w:rFonts w:hint="eastAsia" w:ascii="宋体" w:hAnsi="宋体" w:cs="宋体"/>
          <w:bCs/>
          <w:szCs w:val="28"/>
        </w:rPr>
      </w:pPr>
      <w:r>
        <w:rPr>
          <w:rFonts w:hint="eastAsia"/>
        </w:rPr>
        <w:t>该公司所租赁仓库库区入口及平缓地段均设有砌体围墙，部分陡峭地段利用高山及铁丝网作为围墙，能保证无外来人员出入。</w:t>
      </w:r>
    </w:p>
    <w:p w14:paraId="14A4C0ED">
      <w:pPr>
        <w:pStyle w:val="4"/>
        <w:bidi w:val="0"/>
        <w:ind w:left="0" w:leftChars="0" w:firstLine="0" w:firstLineChars="0"/>
        <w:rPr>
          <w:rFonts w:hint="eastAsia"/>
        </w:rPr>
      </w:pPr>
      <w:bookmarkStart w:id="56" w:name="_Toc21988"/>
      <w:r>
        <w:rPr>
          <w:rFonts w:hint="eastAsia"/>
        </w:rPr>
        <w:t>2.6.9 安全标识</w:t>
      </w:r>
      <w:bookmarkEnd w:id="56"/>
    </w:p>
    <w:p w14:paraId="0AA607E1">
      <w:pPr>
        <w:bidi w:val="0"/>
        <w:rPr>
          <w:rFonts w:hint="eastAsia"/>
        </w:rPr>
      </w:pPr>
      <w:r>
        <w:rPr>
          <w:rFonts w:hint="eastAsia"/>
        </w:rPr>
        <w:t>经现场勘察</w:t>
      </w:r>
      <w:r>
        <w:rPr>
          <w:rFonts w:hint="eastAsia"/>
          <w:lang w:eastAsia="zh-CN"/>
        </w:rPr>
        <w:t>，</w:t>
      </w:r>
      <w:r>
        <w:rPr>
          <w:rFonts w:hint="eastAsia"/>
        </w:rPr>
        <w:t>库区出入库的门卫室及门禁的门柱上均设有安全警示标语，如</w:t>
      </w:r>
      <w:r>
        <w:rPr>
          <w:rFonts w:hint="eastAsia"/>
          <w:lang w:eastAsia="zh-CN"/>
        </w:rPr>
        <w:t>“</w:t>
      </w:r>
      <w:r>
        <w:rPr>
          <w:rFonts w:hint="eastAsia"/>
        </w:rPr>
        <w:t>不超速行驶</w:t>
      </w:r>
      <w:r>
        <w:rPr>
          <w:rFonts w:hint="eastAsia"/>
          <w:lang w:eastAsia="zh-CN"/>
        </w:rPr>
        <w:t>、</w:t>
      </w:r>
      <w:r>
        <w:rPr>
          <w:rFonts w:hint="eastAsia"/>
        </w:rPr>
        <w:t>仓库重地严禁烟火等</w:t>
      </w:r>
      <w:r>
        <w:rPr>
          <w:rFonts w:hint="eastAsia"/>
          <w:lang w:eastAsia="zh-CN"/>
        </w:rPr>
        <w:t>”，</w:t>
      </w:r>
      <w:r>
        <w:rPr>
          <w:rFonts w:hint="eastAsia"/>
        </w:rPr>
        <w:t>内容全面</w:t>
      </w:r>
      <w:r>
        <w:rPr>
          <w:rFonts w:hint="eastAsia"/>
          <w:lang w:eastAsia="zh-CN"/>
        </w:rPr>
        <w:t>，</w:t>
      </w:r>
      <w:r>
        <w:rPr>
          <w:rFonts w:hint="eastAsia"/>
        </w:rPr>
        <w:t>门卫室玻璃窗上方张贴有</w:t>
      </w:r>
      <w:r>
        <w:rPr>
          <w:rFonts w:hint="eastAsia"/>
          <w:lang w:eastAsia="zh-CN"/>
        </w:rPr>
        <w:t>“</w:t>
      </w:r>
      <w:r>
        <w:rPr>
          <w:rFonts w:hint="eastAsia"/>
        </w:rPr>
        <w:t>禁带火种、禁止吸烟”等安全警示标志。该库区的每栋仓库均张贴有工房标识牌、安全操作规程、安全警示标志等。另外在库区的运输道路路边的设有限速牌，限速15km/h。</w:t>
      </w:r>
    </w:p>
    <w:p w14:paraId="009AB4C9">
      <w:pPr>
        <w:pStyle w:val="3"/>
        <w:bidi w:val="0"/>
        <w:ind w:left="0" w:leftChars="0" w:firstLine="0" w:firstLineChars="0"/>
        <w:rPr>
          <w:rFonts w:hint="eastAsia"/>
        </w:rPr>
      </w:pPr>
      <w:bookmarkStart w:id="57" w:name="_Toc11381"/>
      <w:bookmarkStart w:id="58" w:name="_Toc16219"/>
      <w:r>
        <w:rPr>
          <w:rFonts w:hint="eastAsia"/>
        </w:rPr>
        <w:t>2.7 库区内外部距离</w:t>
      </w:r>
      <w:bookmarkEnd w:id="57"/>
      <w:bookmarkEnd w:id="58"/>
    </w:p>
    <w:p w14:paraId="3C29A8E7">
      <w:pPr>
        <w:pStyle w:val="4"/>
        <w:bidi w:val="0"/>
        <w:ind w:left="0" w:leftChars="0" w:firstLine="0" w:firstLineChars="0"/>
        <w:rPr>
          <w:rFonts w:hint="eastAsia"/>
        </w:rPr>
      </w:pPr>
      <w:bookmarkStart w:id="59" w:name="_Toc9846"/>
      <w:r>
        <w:rPr>
          <w:rFonts w:hint="eastAsia"/>
        </w:rPr>
        <w:t>2.7.1 内部距离</w:t>
      </w:r>
      <w:bookmarkEnd w:id="59"/>
    </w:p>
    <w:p w14:paraId="751D0847">
      <w:pPr>
        <w:bidi w:val="0"/>
        <w:rPr>
          <w:rFonts w:hint="eastAsia" w:eastAsia="宋体"/>
          <w:lang w:eastAsia="zh-CN"/>
        </w:rPr>
      </w:pPr>
      <w:r>
        <w:rPr>
          <w:rFonts w:hint="eastAsia"/>
        </w:rPr>
        <w:t>根据企业提供的总平面布置图，该项目库区内部距离情况</w:t>
      </w:r>
      <w:r>
        <w:rPr>
          <w:rFonts w:hint="eastAsia"/>
          <w:lang w:val="en-US" w:eastAsia="zh-CN"/>
        </w:rPr>
        <w:t>见</w:t>
      </w:r>
      <w:r>
        <w:rPr>
          <w:rFonts w:hint="eastAsia"/>
        </w:rPr>
        <w:t>表2.7-1</w:t>
      </w:r>
      <w:r>
        <w:rPr>
          <w:rFonts w:hint="eastAsia"/>
          <w:lang w:eastAsia="zh-CN"/>
        </w:rPr>
        <w:t>。</w:t>
      </w:r>
    </w:p>
    <w:p w14:paraId="73FA2A7C">
      <w:pPr>
        <w:bidi w:val="0"/>
        <w:rPr>
          <w:rFonts w:hint="eastAsia"/>
        </w:rPr>
      </w:pPr>
      <w:r>
        <w:rPr>
          <w:rFonts w:hint="eastAsia"/>
        </w:rPr>
        <w:t>表2.7-1该项目租赁的成品库与相邻仓库内部距离情况一览表</w:t>
      </w:r>
    </w:p>
    <w:tbl>
      <w:tblPr>
        <w:tblStyle w:val="105"/>
        <w:tblW w:w="8937" w:type="dxa"/>
        <w:tblInd w:w="1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8"/>
        <w:gridCol w:w="694"/>
        <w:gridCol w:w="1093"/>
        <w:gridCol w:w="1473"/>
        <w:gridCol w:w="790"/>
        <w:gridCol w:w="1306"/>
        <w:gridCol w:w="1294"/>
        <w:gridCol w:w="1429"/>
      </w:tblGrid>
      <w:tr w14:paraId="3DDF7C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trPr>
        <w:tc>
          <w:tcPr>
            <w:tcW w:w="858" w:type="dxa"/>
            <w:vAlign w:val="center"/>
          </w:tcPr>
          <w:p w14:paraId="6A5DA0B4">
            <w:pPr>
              <w:pStyle w:val="14"/>
              <w:pageBreakBefore w:val="0"/>
              <w:widowControl w:val="0"/>
              <w:kinsoku/>
              <w:wordWrap/>
              <w:overflowPunct/>
              <w:topLinePunct w:val="0"/>
              <w:autoSpaceDE/>
              <w:autoSpaceDN/>
              <w:bidi w:val="0"/>
              <w:adjustRightInd/>
              <w:snapToGrid/>
              <w:spacing w:line="240" w:lineRule="exact"/>
              <w:jc w:val="center"/>
              <w:textAlignment w:val="auto"/>
              <w:rPr>
                <w:rFonts w:hint="eastAsia" w:eastAsia="宋体"/>
                <w:lang w:eastAsia="zh-CN"/>
              </w:rPr>
            </w:pPr>
            <w:r>
              <w:t>库房</w:t>
            </w:r>
            <w:r>
              <w:rPr>
                <w:rFonts w:hint="eastAsia"/>
                <w:lang w:val="en-US" w:eastAsia="zh-CN"/>
              </w:rPr>
              <w:t>名称</w:t>
            </w:r>
          </w:p>
        </w:tc>
        <w:tc>
          <w:tcPr>
            <w:tcW w:w="694" w:type="dxa"/>
            <w:vAlign w:val="center"/>
          </w:tcPr>
          <w:p w14:paraId="27539CBA">
            <w:pPr>
              <w:pStyle w:val="14"/>
              <w:pageBreakBefore w:val="0"/>
              <w:widowControl w:val="0"/>
              <w:kinsoku/>
              <w:wordWrap/>
              <w:overflowPunct/>
              <w:topLinePunct w:val="0"/>
              <w:autoSpaceDE/>
              <w:autoSpaceDN/>
              <w:bidi w:val="0"/>
              <w:adjustRightInd/>
              <w:snapToGrid/>
              <w:spacing w:line="240" w:lineRule="exact"/>
              <w:jc w:val="center"/>
              <w:textAlignment w:val="auto"/>
            </w:pPr>
            <w:r>
              <w:t>危险等级</w:t>
            </w:r>
          </w:p>
        </w:tc>
        <w:tc>
          <w:tcPr>
            <w:tcW w:w="1093" w:type="dxa"/>
            <w:vAlign w:val="center"/>
          </w:tcPr>
          <w:p w14:paraId="3A5D9A8B">
            <w:pPr>
              <w:pStyle w:val="14"/>
              <w:pageBreakBefore w:val="0"/>
              <w:widowControl w:val="0"/>
              <w:kinsoku/>
              <w:wordWrap/>
              <w:overflowPunct/>
              <w:topLinePunct w:val="0"/>
              <w:autoSpaceDE/>
              <w:autoSpaceDN/>
              <w:bidi w:val="0"/>
              <w:adjustRightInd/>
              <w:snapToGrid/>
              <w:spacing w:line="240" w:lineRule="exact"/>
              <w:jc w:val="center"/>
              <w:textAlignment w:val="auto"/>
            </w:pPr>
            <w:r>
              <w:t>药物限量</w:t>
            </w:r>
          </w:p>
          <w:p w14:paraId="5290FC2E">
            <w:pPr>
              <w:pStyle w:val="14"/>
              <w:pageBreakBefore w:val="0"/>
              <w:widowControl w:val="0"/>
              <w:kinsoku/>
              <w:wordWrap/>
              <w:overflowPunct/>
              <w:topLinePunct w:val="0"/>
              <w:autoSpaceDE/>
              <w:autoSpaceDN/>
              <w:bidi w:val="0"/>
              <w:adjustRightInd/>
              <w:snapToGrid/>
              <w:spacing w:line="240" w:lineRule="exact"/>
              <w:jc w:val="center"/>
              <w:textAlignment w:val="auto"/>
            </w:pPr>
            <w:r>
              <w:t>(kg)</w:t>
            </w:r>
          </w:p>
        </w:tc>
        <w:tc>
          <w:tcPr>
            <w:tcW w:w="1473" w:type="dxa"/>
            <w:vAlign w:val="center"/>
          </w:tcPr>
          <w:p w14:paraId="03F0FEE0">
            <w:pPr>
              <w:pStyle w:val="14"/>
              <w:pageBreakBefore w:val="0"/>
              <w:widowControl w:val="0"/>
              <w:kinsoku/>
              <w:wordWrap/>
              <w:overflowPunct/>
              <w:topLinePunct w:val="0"/>
              <w:autoSpaceDE/>
              <w:autoSpaceDN/>
              <w:bidi w:val="0"/>
              <w:adjustRightInd/>
              <w:snapToGrid/>
              <w:spacing w:line="240" w:lineRule="exact"/>
              <w:jc w:val="center"/>
              <w:textAlignment w:val="auto"/>
            </w:pPr>
            <w:r>
              <w:t>相邻构筑物</w:t>
            </w:r>
          </w:p>
        </w:tc>
        <w:tc>
          <w:tcPr>
            <w:tcW w:w="790" w:type="dxa"/>
            <w:vAlign w:val="center"/>
          </w:tcPr>
          <w:p w14:paraId="026F3690">
            <w:pPr>
              <w:pStyle w:val="14"/>
              <w:pageBreakBefore w:val="0"/>
              <w:widowControl w:val="0"/>
              <w:kinsoku/>
              <w:wordWrap/>
              <w:overflowPunct/>
              <w:topLinePunct w:val="0"/>
              <w:autoSpaceDE/>
              <w:autoSpaceDN/>
              <w:bidi w:val="0"/>
              <w:adjustRightInd/>
              <w:snapToGrid/>
              <w:spacing w:line="240" w:lineRule="exact"/>
              <w:jc w:val="center"/>
              <w:textAlignment w:val="auto"/>
            </w:pPr>
            <w:r>
              <w:t>危险</w:t>
            </w:r>
          </w:p>
          <w:p w14:paraId="0CD322C1">
            <w:pPr>
              <w:pStyle w:val="14"/>
              <w:pageBreakBefore w:val="0"/>
              <w:widowControl w:val="0"/>
              <w:kinsoku/>
              <w:wordWrap/>
              <w:overflowPunct/>
              <w:topLinePunct w:val="0"/>
              <w:autoSpaceDE/>
              <w:autoSpaceDN/>
              <w:bidi w:val="0"/>
              <w:adjustRightInd/>
              <w:snapToGrid/>
              <w:spacing w:line="240" w:lineRule="exact"/>
              <w:jc w:val="center"/>
              <w:textAlignment w:val="auto"/>
            </w:pPr>
            <w:r>
              <w:t>等级</w:t>
            </w:r>
          </w:p>
        </w:tc>
        <w:tc>
          <w:tcPr>
            <w:tcW w:w="1306" w:type="dxa"/>
            <w:vAlign w:val="center"/>
          </w:tcPr>
          <w:p w14:paraId="61D5CBF0">
            <w:pPr>
              <w:pStyle w:val="14"/>
              <w:pageBreakBefore w:val="0"/>
              <w:widowControl w:val="0"/>
              <w:kinsoku/>
              <w:wordWrap/>
              <w:overflowPunct/>
              <w:topLinePunct w:val="0"/>
              <w:autoSpaceDE/>
              <w:autoSpaceDN/>
              <w:bidi w:val="0"/>
              <w:adjustRightInd/>
              <w:snapToGrid/>
              <w:spacing w:line="240" w:lineRule="exact"/>
              <w:jc w:val="center"/>
              <w:textAlignment w:val="auto"/>
            </w:pPr>
            <w:r>
              <w:t>药物限量</w:t>
            </w:r>
          </w:p>
          <w:p w14:paraId="1B8A2C6D">
            <w:pPr>
              <w:pStyle w:val="14"/>
              <w:pageBreakBefore w:val="0"/>
              <w:widowControl w:val="0"/>
              <w:kinsoku/>
              <w:wordWrap/>
              <w:overflowPunct/>
              <w:topLinePunct w:val="0"/>
              <w:autoSpaceDE/>
              <w:autoSpaceDN/>
              <w:bidi w:val="0"/>
              <w:adjustRightInd/>
              <w:snapToGrid/>
              <w:spacing w:line="240" w:lineRule="exact"/>
              <w:jc w:val="center"/>
              <w:textAlignment w:val="auto"/>
            </w:pPr>
            <w:r>
              <w:t>(kg)</w:t>
            </w:r>
          </w:p>
        </w:tc>
        <w:tc>
          <w:tcPr>
            <w:tcW w:w="1294" w:type="dxa"/>
            <w:vAlign w:val="center"/>
          </w:tcPr>
          <w:p w14:paraId="2FE5316B">
            <w:pPr>
              <w:pStyle w:val="14"/>
              <w:pageBreakBefore w:val="0"/>
              <w:widowControl w:val="0"/>
              <w:kinsoku/>
              <w:wordWrap/>
              <w:overflowPunct/>
              <w:topLinePunct w:val="0"/>
              <w:autoSpaceDE/>
              <w:autoSpaceDN/>
              <w:bidi w:val="0"/>
              <w:adjustRightInd/>
              <w:snapToGrid/>
              <w:spacing w:line="240" w:lineRule="exact"/>
              <w:jc w:val="center"/>
              <w:textAlignment w:val="auto"/>
            </w:pPr>
            <w:r>
              <w:t>标准距离</w:t>
            </w:r>
          </w:p>
          <w:p w14:paraId="742BD674">
            <w:pPr>
              <w:pStyle w:val="14"/>
              <w:pageBreakBefore w:val="0"/>
              <w:widowControl w:val="0"/>
              <w:kinsoku/>
              <w:wordWrap/>
              <w:overflowPunct/>
              <w:topLinePunct w:val="0"/>
              <w:autoSpaceDE/>
              <w:autoSpaceDN/>
              <w:bidi w:val="0"/>
              <w:adjustRightInd/>
              <w:snapToGrid/>
              <w:spacing w:line="240" w:lineRule="exact"/>
              <w:jc w:val="center"/>
              <w:textAlignment w:val="auto"/>
            </w:pPr>
            <w:r>
              <w:t>(m)</w:t>
            </w:r>
          </w:p>
        </w:tc>
        <w:tc>
          <w:tcPr>
            <w:tcW w:w="1429" w:type="dxa"/>
            <w:vAlign w:val="center"/>
          </w:tcPr>
          <w:p w14:paraId="2BA33225">
            <w:pPr>
              <w:pStyle w:val="14"/>
              <w:pageBreakBefore w:val="0"/>
              <w:widowControl w:val="0"/>
              <w:kinsoku/>
              <w:wordWrap/>
              <w:overflowPunct/>
              <w:topLinePunct w:val="0"/>
              <w:autoSpaceDE/>
              <w:autoSpaceDN/>
              <w:bidi w:val="0"/>
              <w:adjustRightInd/>
              <w:snapToGrid/>
              <w:spacing w:line="240" w:lineRule="exact"/>
              <w:jc w:val="center"/>
              <w:textAlignment w:val="auto"/>
            </w:pPr>
            <w:r>
              <w:t>实际距离</w:t>
            </w:r>
          </w:p>
          <w:p w14:paraId="79E509FA">
            <w:pPr>
              <w:pStyle w:val="14"/>
              <w:pageBreakBefore w:val="0"/>
              <w:widowControl w:val="0"/>
              <w:kinsoku/>
              <w:wordWrap/>
              <w:overflowPunct/>
              <w:topLinePunct w:val="0"/>
              <w:autoSpaceDE/>
              <w:autoSpaceDN/>
              <w:bidi w:val="0"/>
              <w:adjustRightInd/>
              <w:snapToGrid/>
              <w:spacing w:line="240" w:lineRule="exact"/>
              <w:jc w:val="center"/>
              <w:textAlignment w:val="auto"/>
            </w:pPr>
            <w:r>
              <w:t>(m)</w:t>
            </w:r>
          </w:p>
        </w:tc>
      </w:tr>
      <w:tr w14:paraId="39A321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trPr>
        <w:tc>
          <w:tcPr>
            <w:tcW w:w="858" w:type="dxa"/>
            <w:vMerge w:val="restart"/>
            <w:vAlign w:val="center"/>
          </w:tcPr>
          <w:p w14:paraId="30719524">
            <w:pPr>
              <w:pStyle w:val="14"/>
              <w:pageBreakBefore w:val="0"/>
              <w:widowControl w:val="0"/>
              <w:kinsoku/>
              <w:wordWrap/>
              <w:overflowPunct/>
              <w:topLinePunct w:val="0"/>
              <w:autoSpaceDE/>
              <w:autoSpaceDN/>
              <w:bidi w:val="0"/>
              <w:adjustRightInd/>
              <w:snapToGrid/>
              <w:spacing w:line="240" w:lineRule="exact"/>
              <w:jc w:val="center"/>
              <w:textAlignment w:val="auto"/>
            </w:pPr>
            <w:r>
              <w:t>540成品库</w:t>
            </w:r>
          </w:p>
        </w:tc>
        <w:tc>
          <w:tcPr>
            <w:tcW w:w="694" w:type="dxa"/>
            <w:vMerge w:val="restart"/>
            <w:vAlign w:val="center"/>
          </w:tcPr>
          <w:p w14:paraId="2288983F">
            <w:pPr>
              <w:pStyle w:val="14"/>
              <w:pageBreakBefore w:val="0"/>
              <w:widowControl w:val="0"/>
              <w:kinsoku/>
              <w:wordWrap/>
              <w:overflowPunct/>
              <w:topLinePunct w:val="0"/>
              <w:autoSpaceDE/>
              <w:autoSpaceDN/>
              <w:bidi w:val="0"/>
              <w:adjustRightInd/>
              <w:snapToGrid/>
              <w:spacing w:line="240" w:lineRule="exact"/>
              <w:jc w:val="center"/>
              <w:textAlignment w:val="auto"/>
            </w:pPr>
            <w:r>
              <w:t>1.3</w:t>
            </w:r>
          </w:p>
        </w:tc>
        <w:tc>
          <w:tcPr>
            <w:tcW w:w="1093" w:type="dxa"/>
            <w:vAlign w:val="center"/>
          </w:tcPr>
          <w:p w14:paraId="2449E8E8">
            <w:pPr>
              <w:pStyle w:val="14"/>
              <w:pageBreakBefore w:val="0"/>
              <w:widowControl w:val="0"/>
              <w:kinsoku/>
              <w:wordWrap/>
              <w:overflowPunct/>
              <w:topLinePunct w:val="0"/>
              <w:autoSpaceDE/>
              <w:autoSpaceDN/>
              <w:bidi w:val="0"/>
              <w:adjustRightInd/>
              <w:snapToGrid/>
              <w:spacing w:line="240" w:lineRule="exact"/>
              <w:jc w:val="center"/>
              <w:textAlignment w:val="auto"/>
            </w:pPr>
            <w:r>
              <w:t>9000</w:t>
            </w:r>
          </w:p>
        </w:tc>
        <w:tc>
          <w:tcPr>
            <w:tcW w:w="1473" w:type="dxa"/>
            <w:vAlign w:val="center"/>
          </w:tcPr>
          <w:p w14:paraId="0DEBF324">
            <w:pPr>
              <w:pStyle w:val="14"/>
              <w:pageBreakBefore w:val="0"/>
              <w:widowControl w:val="0"/>
              <w:kinsoku/>
              <w:wordWrap/>
              <w:overflowPunct/>
              <w:topLinePunct w:val="0"/>
              <w:autoSpaceDE/>
              <w:autoSpaceDN/>
              <w:bidi w:val="0"/>
              <w:adjustRightInd/>
              <w:snapToGrid/>
              <w:spacing w:line="240" w:lineRule="exact"/>
              <w:jc w:val="center"/>
              <w:textAlignment w:val="auto"/>
            </w:pPr>
            <w:r>
              <w:t>本库区537 号成品库</w:t>
            </w:r>
          </w:p>
        </w:tc>
        <w:tc>
          <w:tcPr>
            <w:tcW w:w="790" w:type="dxa"/>
            <w:vAlign w:val="center"/>
          </w:tcPr>
          <w:p w14:paraId="075883BE">
            <w:pPr>
              <w:pStyle w:val="14"/>
              <w:pageBreakBefore w:val="0"/>
              <w:widowControl w:val="0"/>
              <w:kinsoku/>
              <w:wordWrap/>
              <w:overflowPunct/>
              <w:topLinePunct w:val="0"/>
              <w:autoSpaceDE/>
              <w:autoSpaceDN/>
              <w:bidi w:val="0"/>
              <w:adjustRightInd/>
              <w:snapToGrid/>
              <w:spacing w:line="240" w:lineRule="exact"/>
              <w:jc w:val="center"/>
              <w:textAlignment w:val="auto"/>
            </w:pPr>
            <w:r>
              <w:t>1.3</w:t>
            </w:r>
          </w:p>
        </w:tc>
        <w:tc>
          <w:tcPr>
            <w:tcW w:w="1306" w:type="dxa"/>
            <w:vAlign w:val="center"/>
          </w:tcPr>
          <w:p w14:paraId="54AACC63">
            <w:pPr>
              <w:pStyle w:val="14"/>
              <w:pageBreakBefore w:val="0"/>
              <w:widowControl w:val="0"/>
              <w:kinsoku/>
              <w:wordWrap/>
              <w:overflowPunct/>
              <w:topLinePunct w:val="0"/>
              <w:autoSpaceDE/>
              <w:autoSpaceDN/>
              <w:bidi w:val="0"/>
              <w:adjustRightInd/>
              <w:snapToGrid/>
              <w:spacing w:line="240" w:lineRule="exact"/>
              <w:jc w:val="center"/>
              <w:textAlignment w:val="auto"/>
            </w:pPr>
            <w:r>
              <w:t>9000</w:t>
            </w:r>
          </w:p>
        </w:tc>
        <w:tc>
          <w:tcPr>
            <w:tcW w:w="1294" w:type="dxa"/>
            <w:vAlign w:val="center"/>
          </w:tcPr>
          <w:p w14:paraId="1FD932DF">
            <w:pPr>
              <w:pStyle w:val="14"/>
              <w:pageBreakBefore w:val="0"/>
              <w:widowControl w:val="0"/>
              <w:kinsoku/>
              <w:wordWrap/>
              <w:overflowPunct/>
              <w:topLinePunct w:val="0"/>
              <w:autoSpaceDE/>
              <w:autoSpaceDN/>
              <w:bidi w:val="0"/>
              <w:adjustRightInd/>
              <w:snapToGrid/>
              <w:spacing w:line="240" w:lineRule="exact"/>
              <w:jc w:val="center"/>
              <w:textAlignment w:val="auto"/>
            </w:pPr>
            <w:r>
              <w:t>30</w:t>
            </w:r>
          </w:p>
        </w:tc>
        <w:tc>
          <w:tcPr>
            <w:tcW w:w="1429" w:type="dxa"/>
            <w:vAlign w:val="center"/>
          </w:tcPr>
          <w:p w14:paraId="23EFA790">
            <w:pPr>
              <w:pStyle w:val="14"/>
              <w:pageBreakBefore w:val="0"/>
              <w:widowControl w:val="0"/>
              <w:kinsoku/>
              <w:wordWrap/>
              <w:overflowPunct/>
              <w:topLinePunct w:val="0"/>
              <w:autoSpaceDE/>
              <w:autoSpaceDN/>
              <w:bidi w:val="0"/>
              <w:adjustRightInd/>
              <w:snapToGrid/>
              <w:spacing w:line="240" w:lineRule="exact"/>
              <w:jc w:val="center"/>
              <w:textAlignment w:val="auto"/>
            </w:pPr>
            <w:r>
              <w:t>45</w:t>
            </w:r>
          </w:p>
        </w:tc>
      </w:tr>
      <w:tr w14:paraId="001E2D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trPr>
        <w:tc>
          <w:tcPr>
            <w:tcW w:w="858" w:type="dxa"/>
            <w:vMerge w:val="continue"/>
            <w:vAlign w:val="center"/>
          </w:tcPr>
          <w:p w14:paraId="2BE34600">
            <w:pPr>
              <w:pStyle w:val="14"/>
              <w:pageBreakBefore w:val="0"/>
              <w:widowControl w:val="0"/>
              <w:kinsoku/>
              <w:wordWrap/>
              <w:overflowPunct/>
              <w:topLinePunct w:val="0"/>
              <w:autoSpaceDE/>
              <w:autoSpaceDN/>
              <w:bidi w:val="0"/>
              <w:adjustRightInd/>
              <w:snapToGrid/>
              <w:spacing w:line="240" w:lineRule="exact"/>
              <w:jc w:val="center"/>
              <w:textAlignment w:val="auto"/>
            </w:pPr>
          </w:p>
        </w:tc>
        <w:tc>
          <w:tcPr>
            <w:tcW w:w="694" w:type="dxa"/>
            <w:vMerge w:val="continue"/>
            <w:vAlign w:val="center"/>
          </w:tcPr>
          <w:p w14:paraId="3E40AD1B">
            <w:pPr>
              <w:pStyle w:val="14"/>
              <w:pageBreakBefore w:val="0"/>
              <w:widowControl w:val="0"/>
              <w:kinsoku/>
              <w:wordWrap/>
              <w:overflowPunct/>
              <w:topLinePunct w:val="0"/>
              <w:autoSpaceDE/>
              <w:autoSpaceDN/>
              <w:bidi w:val="0"/>
              <w:adjustRightInd/>
              <w:snapToGrid/>
              <w:spacing w:line="240" w:lineRule="exact"/>
              <w:jc w:val="center"/>
              <w:textAlignment w:val="auto"/>
            </w:pPr>
          </w:p>
        </w:tc>
        <w:tc>
          <w:tcPr>
            <w:tcW w:w="1093" w:type="dxa"/>
            <w:vAlign w:val="center"/>
          </w:tcPr>
          <w:p w14:paraId="640EA9FB">
            <w:pPr>
              <w:pStyle w:val="14"/>
              <w:pageBreakBefore w:val="0"/>
              <w:widowControl w:val="0"/>
              <w:kinsoku/>
              <w:wordWrap/>
              <w:overflowPunct/>
              <w:topLinePunct w:val="0"/>
              <w:autoSpaceDE/>
              <w:autoSpaceDN/>
              <w:bidi w:val="0"/>
              <w:adjustRightInd/>
              <w:snapToGrid/>
              <w:spacing w:line="240" w:lineRule="exact"/>
              <w:jc w:val="center"/>
              <w:textAlignment w:val="auto"/>
            </w:pPr>
            <w:r>
              <w:t>9000</w:t>
            </w:r>
          </w:p>
        </w:tc>
        <w:tc>
          <w:tcPr>
            <w:tcW w:w="1473" w:type="dxa"/>
            <w:vAlign w:val="center"/>
          </w:tcPr>
          <w:p w14:paraId="1169C1E6">
            <w:pPr>
              <w:pStyle w:val="14"/>
              <w:pageBreakBefore w:val="0"/>
              <w:widowControl w:val="0"/>
              <w:kinsoku/>
              <w:wordWrap/>
              <w:overflowPunct/>
              <w:topLinePunct w:val="0"/>
              <w:autoSpaceDE/>
              <w:autoSpaceDN/>
              <w:bidi w:val="0"/>
              <w:adjustRightInd/>
              <w:snapToGrid/>
              <w:spacing w:line="240" w:lineRule="exact"/>
              <w:jc w:val="center"/>
              <w:textAlignment w:val="auto"/>
              <w:rPr>
                <w:rFonts w:hint="default" w:eastAsia="宋体"/>
                <w:lang w:val="en-US" w:eastAsia="zh-CN"/>
              </w:rPr>
            </w:pPr>
            <w:r>
              <w:t>本库区5</w:t>
            </w:r>
            <w:r>
              <w:rPr>
                <w:rFonts w:hint="eastAsia"/>
                <w:lang w:val="en-US" w:eastAsia="zh-CN"/>
              </w:rPr>
              <w:t>41</w:t>
            </w:r>
            <w:r>
              <w:t xml:space="preserve"> 号</w:t>
            </w:r>
            <w:r>
              <w:rPr>
                <w:rFonts w:hint="eastAsia"/>
                <w:lang w:val="en-US" w:eastAsia="zh-CN"/>
              </w:rPr>
              <w:t>纸箱库</w:t>
            </w:r>
          </w:p>
        </w:tc>
        <w:tc>
          <w:tcPr>
            <w:tcW w:w="790" w:type="dxa"/>
            <w:shd w:val="clear" w:color="auto" w:fill="auto"/>
            <w:vAlign w:val="center"/>
          </w:tcPr>
          <w:p w14:paraId="7D23B807">
            <w:pPr>
              <w:pStyle w:val="14"/>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Times New Roman" w:hAnsi="Times New Roman" w:eastAsia="宋体" w:cs="Times New Roman"/>
                <w:kern w:val="2"/>
                <w:sz w:val="21"/>
                <w:szCs w:val="20"/>
                <w:lang w:val="en-US" w:eastAsia="en-US" w:bidi="ar-SA"/>
              </w:rPr>
            </w:pPr>
            <w:r>
              <w:rPr>
                <w:rFonts w:hint="eastAsia"/>
                <w:lang w:val="en-US" w:eastAsia="zh-CN"/>
              </w:rPr>
              <w:t>无药</w:t>
            </w:r>
          </w:p>
        </w:tc>
        <w:tc>
          <w:tcPr>
            <w:tcW w:w="1306" w:type="dxa"/>
            <w:shd w:val="clear" w:color="auto" w:fill="auto"/>
            <w:vAlign w:val="center"/>
          </w:tcPr>
          <w:p w14:paraId="3C987448">
            <w:pPr>
              <w:pStyle w:val="14"/>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宋体" w:cs="Times New Roman"/>
                <w:kern w:val="2"/>
                <w:sz w:val="21"/>
                <w:szCs w:val="20"/>
                <w:lang w:val="en-US" w:eastAsia="zh-CN" w:bidi="ar-SA"/>
              </w:rPr>
            </w:pPr>
            <w:r>
              <w:rPr>
                <w:rFonts w:hint="eastAsia"/>
                <w:lang w:val="en-US" w:eastAsia="zh-CN"/>
              </w:rPr>
              <w:t>/</w:t>
            </w:r>
          </w:p>
        </w:tc>
        <w:tc>
          <w:tcPr>
            <w:tcW w:w="1294" w:type="dxa"/>
            <w:vAlign w:val="center"/>
          </w:tcPr>
          <w:p w14:paraId="302251EC">
            <w:pPr>
              <w:pStyle w:val="14"/>
              <w:pageBreakBefore w:val="0"/>
              <w:widowControl w:val="0"/>
              <w:kinsoku/>
              <w:wordWrap/>
              <w:overflowPunct/>
              <w:topLinePunct w:val="0"/>
              <w:autoSpaceDE/>
              <w:autoSpaceDN/>
              <w:bidi w:val="0"/>
              <w:adjustRightInd/>
              <w:snapToGrid/>
              <w:spacing w:line="240" w:lineRule="exact"/>
              <w:jc w:val="center"/>
              <w:textAlignment w:val="auto"/>
              <w:rPr>
                <w:rFonts w:hint="default" w:eastAsia="宋体"/>
                <w:lang w:val="en-US" w:eastAsia="zh-CN"/>
              </w:rPr>
            </w:pPr>
            <w:r>
              <w:rPr>
                <w:rFonts w:hint="eastAsia"/>
                <w:lang w:val="en-US" w:eastAsia="zh-CN"/>
              </w:rPr>
              <w:t>20</w:t>
            </w:r>
          </w:p>
        </w:tc>
        <w:tc>
          <w:tcPr>
            <w:tcW w:w="1429" w:type="dxa"/>
            <w:vAlign w:val="center"/>
          </w:tcPr>
          <w:p w14:paraId="2BB0FA81">
            <w:pPr>
              <w:pStyle w:val="14"/>
              <w:pageBreakBefore w:val="0"/>
              <w:widowControl w:val="0"/>
              <w:kinsoku/>
              <w:wordWrap/>
              <w:overflowPunct/>
              <w:topLinePunct w:val="0"/>
              <w:autoSpaceDE/>
              <w:autoSpaceDN/>
              <w:bidi w:val="0"/>
              <w:adjustRightInd/>
              <w:snapToGrid/>
              <w:spacing w:line="240" w:lineRule="exact"/>
              <w:jc w:val="center"/>
              <w:textAlignment w:val="auto"/>
              <w:rPr>
                <w:rFonts w:hint="default" w:eastAsia="宋体"/>
                <w:lang w:val="en-US" w:eastAsia="zh-CN"/>
              </w:rPr>
            </w:pPr>
            <w:r>
              <w:rPr>
                <w:rFonts w:hint="eastAsia"/>
                <w:lang w:val="en-US" w:eastAsia="zh-CN"/>
              </w:rPr>
              <w:t>24</w:t>
            </w:r>
          </w:p>
        </w:tc>
      </w:tr>
      <w:tr w14:paraId="31530C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trPr>
        <w:tc>
          <w:tcPr>
            <w:tcW w:w="858" w:type="dxa"/>
            <w:vMerge w:val="restart"/>
            <w:vAlign w:val="center"/>
          </w:tcPr>
          <w:p w14:paraId="14980A25">
            <w:pPr>
              <w:pStyle w:val="14"/>
              <w:pageBreakBefore w:val="0"/>
              <w:widowControl w:val="0"/>
              <w:kinsoku/>
              <w:wordWrap/>
              <w:overflowPunct/>
              <w:topLinePunct w:val="0"/>
              <w:autoSpaceDE/>
              <w:autoSpaceDN/>
              <w:bidi w:val="0"/>
              <w:adjustRightInd/>
              <w:snapToGrid/>
              <w:spacing w:line="240" w:lineRule="exact"/>
              <w:jc w:val="center"/>
              <w:textAlignment w:val="auto"/>
            </w:pPr>
            <w:r>
              <w:t>542成品库</w:t>
            </w:r>
          </w:p>
        </w:tc>
        <w:tc>
          <w:tcPr>
            <w:tcW w:w="694" w:type="dxa"/>
            <w:vMerge w:val="restart"/>
            <w:vAlign w:val="center"/>
          </w:tcPr>
          <w:p w14:paraId="084EF3BB">
            <w:pPr>
              <w:pStyle w:val="14"/>
              <w:pageBreakBefore w:val="0"/>
              <w:widowControl w:val="0"/>
              <w:kinsoku/>
              <w:wordWrap/>
              <w:overflowPunct/>
              <w:topLinePunct w:val="0"/>
              <w:autoSpaceDE/>
              <w:autoSpaceDN/>
              <w:bidi w:val="0"/>
              <w:adjustRightInd/>
              <w:snapToGrid/>
              <w:spacing w:line="240" w:lineRule="exact"/>
              <w:jc w:val="center"/>
              <w:textAlignment w:val="auto"/>
            </w:pPr>
            <w:r>
              <w:t>1.3</w:t>
            </w:r>
          </w:p>
        </w:tc>
        <w:tc>
          <w:tcPr>
            <w:tcW w:w="1093" w:type="dxa"/>
            <w:vMerge w:val="restart"/>
            <w:vAlign w:val="center"/>
          </w:tcPr>
          <w:p w14:paraId="09764FC7">
            <w:pPr>
              <w:pStyle w:val="14"/>
              <w:pageBreakBefore w:val="0"/>
              <w:widowControl w:val="0"/>
              <w:kinsoku/>
              <w:wordWrap/>
              <w:overflowPunct/>
              <w:topLinePunct w:val="0"/>
              <w:autoSpaceDE/>
              <w:autoSpaceDN/>
              <w:bidi w:val="0"/>
              <w:adjustRightInd/>
              <w:snapToGrid/>
              <w:spacing w:line="240" w:lineRule="exact"/>
              <w:jc w:val="center"/>
              <w:textAlignment w:val="auto"/>
            </w:pPr>
            <w:r>
              <w:t>5000</w:t>
            </w:r>
          </w:p>
        </w:tc>
        <w:tc>
          <w:tcPr>
            <w:tcW w:w="1473" w:type="dxa"/>
            <w:vAlign w:val="center"/>
          </w:tcPr>
          <w:p w14:paraId="48D59312">
            <w:pPr>
              <w:pStyle w:val="14"/>
              <w:pageBreakBefore w:val="0"/>
              <w:widowControl w:val="0"/>
              <w:kinsoku/>
              <w:wordWrap/>
              <w:overflowPunct/>
              <w:topLinePunct w:val="0"/>
              <w:autoSpaceDE/>
              <w:autoSpaceDN/>
              <w:bidi w:val="0"/>
              <w:adjustRightInd/>
              <w:snapToGrid/>
              <w:spacing w:line="240" w:lineRule="exact"/>
              <w:jc w:val="center"/>
              <w:textAlignment w:val="auto"/>
            </w:pPr>
            <w:r>
              <w:t>本库区543 号成品库</w:t>
            </w:r>
          </w:p>
        </w:tc>
        <w:tc>
          <w:tcPr>
            <w:tcW w:w="790" w:type="dxa"/>
            <w:vAlign w:val="center"/>
          </w:tcPr>
          <w:p w14:paraId="43860A50">
            <w:pPr>
              <w:pStyle w:val="14"/>
              <w:pageBreakBefore w:val="0"/>
              <w:widowControl w:val="0"/>
              <w:kinsoku/>
              <w:wordWrap/>
              <w:overflowPunct/>
              <w:topLinePunct w:val="0"/>
              <w:autoSpaceDE/>
              <w:autoSpaceDN/>
              <w:bidi w:val="0"/>
              <w:adjustRightInd/>
              <w:snapToGrid/>
              <w:spacing w:line="240" w:lineRule="exact"/>
              <w:jc w:val="center"/>
              <w:textAlignment w:val="auto"/>
            </w:pPr>
            <w:r>
              <w:t>1.3</w:t>
            </w:r>
          </w:p>
        </w:tc>
        <w:tc>
          <w:tcPr>
            <w:tcW w:w="1306" w:type="dxa"/>
            <w:vAlign w:val="center"/>
          </w:tcPr>
          <w:p w14:paraId="693F81D7">
            <w:pPr>
              <w:pStyle w:val="14"/>
              <w:pageBreakBefore w:val="0"/>
              <w:widowControl w:val="0"/>
              <w:kinsoku/>
              <w:wordWrap/>
              <w:overflowPunct/>
              <w:topLinePunct w:val="0"/>
              <w:autoSpaceDE/>
              <w:autoSpaceDN/>
              <w:bidi w:val="0"/>
              <w:adjustRightInd/>
              <w:snapToGrid/>
              <w:spacing w:line="240" w:lineRule="exact"/>
              <w:jc w:val="center"/>
              <w:textAlignment w:val="auto"/>
            </w:pPr>
            <w:r>
              <w:t>1000</w:t>
            </w:r>
          </w:p>
        </w:tc>
        <w:tc>
          <w:tcPr>
            <w:tcW w:w="1294" w:type="dxa"/>
            <w:vAlign w:val="center"/>
          </w:tcPr>
          <w:p w14:paraId="785EC8F4">
            <w:pPr>
              <w:pStyle w:val="14"/>
              <w:pageBreakBefore w:val="0"/>
              <w:widowControl w:val="0"/>
              <w:kinsoku/>
              <w:wordWrap/>
              <w:overflowPunct/>
              <w:topLinePunct w:val="0"/>
              <w:autoSpaceDE/>
              <w:autoSpaceDN/>
              <w:bidi w:val="0"/>
              <w:adjustRightInd/>
              <w:snapToGrid/>
              <w:spacing w:line="240" w:lineRule="exact"/>
              <w:jc w:val="center"/>
              <w:textAlignment w:val="auto"/>
            </w:pPr>
            <w:r>
              <w:t>25</w:t>
            </w:r>
          </w:p>
        </w:tc>
        <w:tc>
          <w:tcPr>
            <w:tcW w:w="1429" w:type="dxa"/>
            <w:vAlign w:val="center"/>
          </w:tcPr>
          <w:p w14:paraId="2D2030EF">
            <w:pPr>
              <w:pStyle w:val="14"/>
              <w:pageBreakBefore w:val="0"/>
              <w:widowControl w:val="0"/>
              <w:kinsoku/>
              <w:wordWrap/>
              <w:overflowPunct/>
              <w:topLinePunct w:val="0"/>
              <w:autoSpaceDE/>
              <w:autoSpaceDN/>
              <w:bidi w:val="0"/>
              <w:adjustRightInd/>
              <w:snapToGrid/>
              <w:spacing w:line="240" w:lineRule="exact"/>
              <w:jc w:val="center"/>
              <w:textAlignment w:val="auto"/>
            </w:pPr>
            <w:r>
              <w:t>25</w:t>
            </w:r>
          </w:p>
        </w:tc>
      </w:tr>
      <w:tr w14:paraId="15C6BD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trPr>
        <w:tc>
          <w:tcPr>
            <w:tcW w:w="858" w:type="dxa"/>
            <w:vMerge w:val="continue"/>
            <w:shd w:val="clear" w:color="auto" w:fill="auto"/>
            <w:vAlign w:val="center"/>
          </w:tcPr>
          <w:p w14:paraId="709EE86B">
            <w:pPr>
              <w:pStyle w:val="14"/>
              <w:pageBreakBefore w:val="0"/>
              <w:widowControl w:val="0"/>
              <w:kinsoku/>
              <w:wordWrap/>
              <w:overflowPunct/>
              <w:topLinePunct w:val="0"/>
              <w:autoSpaceDE/>
              <w:autoSpaceDN/>
              <w:bidi w:val="0"/>
              <w:adjustRightInd/>
              <w:snapToGrid/>
              <w:spacing w:line="240" w:lineRule="exact"/>
              <w:jc w:val="center"/>
              <w:textAlignment w:val="auto"/>
              <w:rPr>
                <w:lang w:val="en-US" w:eastAsia="zh-CN"/>
              </w:rPr>
            </w:pPr>
          </w:p>
        </w:tc>
        <w:tc>
          <w:tcPr>
            <w:tcW w:w="694" w:type="dxa"/>
            <w:vMerge w:val="continue"/>
            <w:shd w:val="clear" w:color="auto" w:fill="auto"/>
            <w:vAlign w:val="center"/>
          </w:tcPr>
          <w:p w14:paraId="42886E6D">
            <w:pPr>
              <w:pStyle w:val="14"/>
              <w:pageBreakBefore w:val="0"/>
              <w:widowControl w:val="0"/>
              <w:kinsoku/>
              <w:wordWrap/>
              <w:overflowPunct/>
              <w:topLinePunct w:val="0"/>
              <w:autoSpaceDE/>
              <w:autoSpaceDN/>
              <w:bidi w:val="0"/>
              <w:adjustRightInd/>
              <w:snapToGrid/>
              <w:spacing w:line="240" w:lineRule="exact"/>
              <w:jc w:val="center"/>
              <w:textAlignment w:val="auto"/>
              <w:rPr>
                <w:lang w:val="en-US" w:eastAsia="zh-CN"/>
              </w:rPr>
            </w:pPr>
          </w:p>
        </w:tc>
        <w:tc>
          <w:tcPr>
            <w:tcW w:w="1093" w:type="dxa"/>
            <w:vMerge w:val="continue"/>
            <w:shd w:val="clear" w:color="auto" w:fill="auto"/>
            <w:vAlign w:val="center"/>
          </w:tcPr>
          <w:p w14:paraId="0B560FAB">
            <w:pPr>
              <w:pStyle w:val="14"/>
              <w:pageBreakBefore w:val="0"/>
              <w:widowControl w:val="0"/>
              <w:kinsoku/>
              <w:wordWrap/>
              <w:overflowPunct/>
              <w:topLinePunct w:val="0"/>
              <w:autoSpaceDE/>
              <w:autoSpaceDN/>
              <w:bidi w:val="0"/>
              <w:adjustRightInd/>
              <w:snapToGrid/>
              <w:spacing w:line="240" w:lineRule="exact"/>
              <w:jc w:val="center"/>
              <w:textAlignment w:val="auto"/>
              <w:rPr>
                <w:lang w:val="en-US" w:eastAsia="zh-CN"/>
              </w:rPr>
            </w:pPr>
          </w:p>
        </w:tc>
        <w:tc>
          <w:tcPr>
            <w:tcW w:w="1473" w:type="dxa"/>
            <w:shd w:val="clear" w:color="auto" w:fill="auto"/>
            <w:vAlign w:val="center"/>
          </w:tcPr>
          <w:p w14:paraId="1ED6F693">
            <w:pPr>
              <w:pStyle w:val="14"/>
              <w:pageBreakBefore w:val="0"/>
              <w:widowControl w:val="0"/>
              <w:kinsoku/>
              <w:wordWrap/>
              <w:overflowPunct/>
              <w:topLinePunct w:val="0"/>
              <w:autoSpaceDE/>
              <w:autoSpaceDN/>
              <w:bidi w:val="0"/>
              <w:adjustRightInd/>
              <w:snapToGrid/>
              <w:spacing w:line="240" w:lineRule="exact"/>
              <w:jc w:val="center"/>
              <w:textAlignment w:val="auto"/>
              <w:rPr>
                <w:lang w:val="en-US" w:eastAsia="en-US"/>
              </w:rPr>
            </w:pPr>
            <w:r>
              <w:t>本库区53</w:t>
            </w:r>
            <w:r>
              <w:rPr>
                <w:rFonts w:hint="eastAsia"/>
                <w:lang w:val="en-US" w:eastAsia="zh-CN"/>
              </w:rPr>
              <w:t>8</w:t>
            </w:r>
            <w:r>
              <w:t xml:space="preserve"> 号</w:t>
            </w:r>
            <w:r>
              <w:rPr>
                <w:rFonts w:hint="eastAsia"/>
                <w:lang w:val="en-US" w:eastAsia="zh-CN"/>
              </w:rPr>
              <w:t>纸</w:t>
            </w:r>
            <w:r>
              <w:t>品库</w:t>
            </w:r>
          </w:p>
        </w:tc>
        <w:tc>
          <w:tcPr>
            <w:tcW w:w="790" w:type="dxa"/>
            <w:shd w:val="clear" w:color="auto" w:fill="auto"/>
            <w:vAlign w:val="center"/>
          </w:tcPr>
          <w:p w14:paraId="579581E4">
            <w:pPr>
              <w:pStyle w:val="14"/>
              <w:pageBreakBefore w:val="0"/>
              <w:widowControl w:val="0"/>
              <w:kinsoku/>
              <w:wordWrap/>
              <w:overflowPunct/>
              <w:topLinePunct w:val="0"/>
              <w:autoSpaceDE/>
              <w:autoSpaceDN/>
              <w:bidi w:val="0"/>
              <w:adjustRightInd/>
              <w:snapToGrid/>
              <w:spacing w:line="240" w:lineRule="exact"/>
              <w:jc w:val="center"/>
              <w:textAlignment w:val="auto"/>
              <w:rPr>
                <w:lang w:val="en-US" w:eastAsia="en-US"/>
              </w:rPr>
            </w:pPr>
            <w:r>
              <w:rPr>
                <w:rFonts w:hint="eastAsia"/>
                <w:lang w:val="en-US" w:eastAsia="zh-CN"/>
              </w:rPr>
              <w:t>无药</w:t>
            </w:r>
          </w:p>
        </w:tc>
        <w:tc>
          <w:tcPr>
            <w:tcW w:w="1306" w:type="dxa"/>
            <w:shd w:val="clear" w:color="auto" w:fill="auto"/>
            <w:vAlign w:val="center"/>
          </w:tcPr>
          <w:p w14:paraId="35C6E2C9">
            <w:pPr>
              <w:pStyle w:val="14"/>
              <w:pageBreakBefore w:val="0"/>
              <w:widowControl w:val="0"/>
              <w:kinsoku/>
              <w:wordWrap/>
              <w:overflowPunct/>
              <w:topLinePunct w:val="0"/>
              <w:autoSpaceDE/>
              <w:autoSpaceDN/>
              <w:bidi w:val="0"/>
              <w:adjustRightInd/>
              <w:snapToGrid/>
              <w:spacing w:line="240" w:lineRule="exact"/>
              <w:jc w:val="center"/>
              <w:textAlignment w:val="auto"/>
              <w:rPr>
                <w:rFonts w:hint="default" w:eastAsia="宋体"/>
                <w:lang w:val="en-US" w:eastAsia="zh-CN"/>
              </w:rPr>
            </w:pPr>
            <w:r>
              <w:rPr>
                <w:rFonts w:hint="eastAsia"/>
                <w:lang w:val="en-US" w:eastAsia="zh-CN"/>
              </w:rPr>
              <w:t>/</w:t>
            </w:r>
          </w:p>
        </w:tc>
        <w:tc>
          <w:tcPr>
            <w:tcW w:w="1294" w:type="dxa"/>
            <w:shd w:val="clear" w:color="auto" w:fill="auto"/>
            <w:vAlign w:val="center"/>
          </w:tcPr>
          <w:p w14:paraId="17D76489">
            <w:pPr>
              <w:pStyle w:val="14"/>
              <w:pageBreakBefore w:val="0"/>
              <w:widowControl w:val="0"/>
              <w:kinsoku/>
              <w:wordWrap/>
              <w:overflowPunct/>
              <w:topLinePunct w:val="0"/>
              <w:autoSpaceDE/>
              <w:autoSpaceDN/>
              <w:bidi w:val="0"/>
              <w:adjustRightInd/>
              <w:snapToGrid/>
              <w:spacing w:line="240" w:lineRule="exact"/>
              <w:jc w:val="center"/>
              <w:textAlignment w:val="auto"/>
              <w:rPr>
                <w:rFonts w:hint="default" w:eastAsia="宋体"/>
                <w:lang w:val="en-US" w:eastAsia="zh-CN"/>
              </w:rPr>
            </w:pPr>
            <w:r>
              <w:rPr>
                <w:rFonts w:hint="eastAsia"/>
                <w:lang w:val="en-US" w:eastAsia="zh-CN"/>
              </w:rPr>
              <w:t>20</w:t>
            </w:r>
          </w:p>
        </w:tc>
        <w:tc>
          <w:tcPr>
            <w:tcW w:w="1429" w:type="dxa"/>
            <w:shd w:val="clear" w:color="auto" w:fill="auto"/>
            <w:vAlign w:val="center"/>
          </w:tcPr>
          <w:p w14:paraId="7C82322B">
            <w:pPr>
              <w:pStyle w:val="14"/>
              <w:pageBreakBefore w:val="0"/>
              <w:widowControl w:val="0"/>
              <w:kinsoku/>
              <w:wordWrap/>
              <w:overflowPunct/>
              <w:topLinePunct w:val="0"/>
              <w:autoSpaceDE/>
              <w:autoSpaceDN/>
              <w:bidi w:val="0"/>
              <w:adjustRightInd/>
              <w:snapToGrid/>
              <w:spacing w:line="240" w:lineRule="exact"/>
              <w:jc w:val="center"/>
              <w:textAlignment w:val="auto"/>
              <w:rPr>
                <w:rFonts w:hint="default" w:eastAsia="宋体"/>
                <w:lang w:val="en-US" w:eastAsia="zh-CN"/>
              </w:rPr>
            </w:pPr>
            <w:r>
              <w:rPr>
                <w:rFonts w:hint="eastAsia"/>
                <w:lang w:val="en-US" w:eastAsia="zh-CN"/>
              </w:rPr>
              <w:t>37</w:t>
            </w:r>
          </w:p>
        </w:tc>
      </w:tr>
      <w:tr w14:paraId="7008DA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trPr>
        <w:tc>
          <w:tcPr>
            <w:tcW w:w="858" w:type="dxa"/>
            <w:vMerge w:val="continue"/>
            <w:shd w:val="clear" w:color="auto" w:fill="auto"/>
            <w:vAlign w:val="center"/>
          </w:tcPr>
          <w:p w14:paraId="3AEAA3A5">
            <w:pPr>
              <w:pStyle w:val="14"/>
              <w:pageBreakBefore w:val="0"/>
              <w:widowControl w:val="0"/>
              <w:kinsoku/>
              <w:wordWrap/>
              <w:overflowPunct/>
              <w:topLinePunct w:val="0"/>
              <w:autoSpaceDE/>
              <w:autoSpaceDN/>
              <w:bidi w:val="0"/>
              <w:adjustRightInd/>
              <w:snapToGrid/>
              <w:spacing w:line="240" w:lineRule="exact"/>
              <w:jc w:val="center"/>
              <w:textAlignment w:val="auto"/>
              <w:rPr>
                <w:lang w:val="en-US" w:eastAsia="zh-CN"/>
              </w:rPr>
            </w:pPr>
          </w:p>
        </w:tc>
        <w:tc>
          <w:tcPr>
            <w:tcW w:w="694" w:type="dxa"/>
            <w:vMerge w:val="continue"/>
            <w:shd w:val="clear" w:color="auto" w:fill="auto"/>
            <w:vAlign w:val="center"/>
          </w:tcPr>
          <w:p w14:paraId="2F6E0E2F">
            <w:pPr>
              <w:pStyle w:val="14"/>
              <w:pageBreakBefore w:val="0"/>
              <w:widowControl w:val="0"/>
              <w:kinsoku/>
              <w:wordWrap/>
              <w:overflowPunct/>
              <w:topLinePunct w:val="0"/>
              <w:autoSpaceDE/>
              <w:autoSpaceDN/>
              <w:bidi w:val="0"/>
              <w:adjustRightInd/>
              <w:snapToGrid/>
              <w:spacing w:line="240" w:lineRule="exact"/>
              <w:jc w:val="center"/>
              <w:textAlignment w:val="auto"/>
              <w:rPr>
                <w:lang w:val="en-US" w:eastAsia="zh-CN"/>
              </w:rPr>
            </w:pPr>
          </w:p>
        </w:tc>
        <w:tc>
          <w:tcPr>
            <w:tcW w:w="1093" w:type="dxa"/>
            <w:vMerge w:val="continue"/>
            <w:shd w:val="clear" w:color="auto" w:fill="auto"/>
            <w:vAlign w:val="center"/>
          </w:tcPr>
          <w:p w14:paraId="280C39F5">
            <w:pPr>
              <w:pStyle w:val="14"/>
              <w:pageBreakBefore w:val="0"/>
              <w:widowControl w:val="0"/>
              <w:kinsoku/>
              <w:wordWrap/>
              <w:overflowPunct/>
              <w:topLinePunct w:val="0"/>
              <w:autoSpaceDE/>
              <w:autoSpaceDN/>
              <w:bidi w:val="0"/>
              <w:adjustRightInd/>
              <w:snapToGrid/>
              <w:spacing w:line="240" w:lineRule="exact"/>
              <w:jc w:val="center"/>
              <w:textAlignment w:val="auto"/>
              <w:rPr>
                <w:lang w:val="en-US" w:eastAsia="zh-CN"/>
              </w:rPr>
            </w:pPr>
          </w:p>
        </w:tc>
        <w:tc>
          <w:tcPr>
            <w:tcW w:w="1473" w:type="dxa"/>
            <w:shd w:val="clear" w:color="auto" w:fill="auto"/>
            <w:vAlign w:val="center"/>
          </w:tcPr>
          <w:p w14:paraId="6BA19E70">
            <w:pPr>
              <w:pStyle w:val="14"/>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Times New Roman" w:hAnsi="Times New Roman" w:eastAsia="宋体" w:cs="Times New Roman"/>
                <w:kern w:val="2"/>
                <w:sz w:val="21"/>
                <w:szCs w:val="20"/>
                <w:lang w:val="en-US" w:eastAsia="en-US" w:bidi="ar-SA"/>
              </w:rPr>
            </w:pPr>
            <w:r>
              <w:t>本库区539 号成品库</w:t>
            </w:r>
          </w:p>
        </w:tc>
        <w:tc>
          <w:tcPr>
            <w:tcW w:w="790" w:type="dxa"/>
            <w:shd w:val="clear" w:color="auto" w:fill="auto"/>
            <w:vAlign w:val="center"/>
          </w:tcPr>
          <w:p w14:paraId="29395EB0">
            <w:pPr>
              <w:pStyle w:val="14"/>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Times New Roman" w:hAnsi="Times New Roman" w:eastAsia="宋体" w:cs="Times New Roman"/>
                <w:kern w:val="2"/>
                <w:sz w:val="21"/>
                <w:szCs w:val="20"/>
                <w:lang w:val="en-US" w:eastAsia="en-US" w:bidi="ar-SA"/>
              </w:rPr>
            </w:pPr>
            <w:r>
              <w:t>1.3</w:t>
            </w:r>
          </w:p>
        </w:tc>
        <w:tc>
          <w:tcPr>
            <w:tcW w:w="1306" w:type="dxa"/>
            <w:shd w:val="clear" w:color="auto" w:fill="auto"/>
            <w:vAlign w:val="center"/>
          </w:tcPr>
          <w:p w14:paraId="309A1B5E">
            <w:pPr>
              <w:pStyle w:val="14"/>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Times New Roman" w:hAnsi="Times New Roman" w:eastAsia="宋体" w:cs="Times New Roman"/>
                <w:kern w:val="2"/>
                <w:sz w:val="21"/>
                <w:szCs w:val="20"/>
                <w:lang w:val="en-US" w:eastAsia="en-US" w:bidi="ar-SA"/>
              </w:rPr>
            </w:pPr>
            <w:r>
              <w:t>10000</w:t>
            </w:r>
          </w:p>
        </w:tc>
        <w:tc>
          <w:tcPr>
            <w:tcW w:w="1294" w:type="dxa"/>
            <w:shd w:val="clear" w:color="auto" w:fill="auto"/>
            <w:vAlign w:val="center"/>
          </w:tcPr>
          <w:p w14:paraId="6BB5FEAA">
            <w:pPr>
              <w:pStyle w:val="14"/>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Times New Roman" w:hAnsi="Times New Roman" w:eastAsia="宋体" w:cs="Times New Roman"/>
                <w:kern w:val="2"/>
                <w:sz w:val="21"/>
                <w:szCs w:val="20"/>
                <w:lang w:val="en-US" w:eastAsia="en-US" w:bidi="ar-SA"/>
              </w:rPr>
            </w:pPr>
            <w:r>
              <w:t>30</w:t>
            </w:r>
          </w:p>
        </w:tc>
        <w:tc>
          <w:tcPr>
            <w:tcW w:w="1429" w:type="dxa"/>
            <w:shd w:val="clear" w:color="auto" w:fill="auto"/>
            <w:vAlign w:val="center"/>
          </w:tcPr>
          <w:p w14:paraId="2B89F1A8">
            <w:pPr>
              <w:pStyle w:val="14"/>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ascii="Times New Roman" w:hAnsi="Times New Roman" w:eastAsia="宋体" w:cs="Times New Roman"/>
                <w:kern w:val="2"/>
                <w:sz w:val="21"/>
                <w:szCs w:val="20"/>
                <w:lang w:val="en-US" w:eastAsia="en-US" w:bidi="ar-SA"/>
              </w:rPr>
            </w:pPr>
            <w:r>
              <w:t>43</w:t>
            </w:r>
          </w:p>
        </w:tc>
      </w:tr>
      <w:tr w14:paraId="3AE2A1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trPr>
        <w:tc>
          <w:tcPr>
            <w:tcW w:w="858" w:type="dxa"/>
            <w:shd w:val="clear" w:color="auto" w:fill="auto"/>
            <w:vAlign w:val="center"/>
          </w:tcPr>
          <w:p w14:paraId="6CF0CEA3">
            <w:pPr>
              <w:pStyle w:val="14"/>
              <w:pageBreakBefore w:val="0"/>
              <w:widowControl w:val="0"/>
              <w:kinsoku/>
              <w:wordWrap/>
              <w:overflowPunct/>
              <w:topLinePunct w:val="0"/>
              <w:autoSpaceDE/>
              <w:autoSpaceDN/>
              <w:bidi w:val="0"/>
              <w:adjustRightInd/>
              <w:snapToGrid/>
              <w:spacing w:line="240" w:lineRule="exact"/>
              <w:jc w:val="center"/>
              <w:textAlignment w:val="auto"/>
              <w:rPr>
                <w:lang w:val="en-US" w:eastAsia="en-US"/>
              </w:rPr>
            </w:pPr>
            <w:r>
              <w:t>545成品库</w:t>
            </w:r>
          </w:p>
        </w:tc>
        <w:tc>
          <w:tcPr>
            <w:tcW w:w="694" w:type="dxa"/>
            <w:shd w:val="clear" w:color="auto" w:fill="auto"/>
            <w:vAlign w:val="center"/>
          </w:tcPr>
          <w:p w14:paraId="26115BD3">
            <w:pPr>
              <w:pStyle w:val="14"/>
              <w:pageBreakBefore w:val="0"/>
              <w:widowControl w:val="0"/>
              <w:kinsoku/>
              <w:wordWrap/>
              <w:overflowPunct/>
              <w:topLinePunct w:val="0"/>
              <w:autoSpaceDE/>
              <w:autoSpaceDN/>
              <w:bidi w:val="0"/>
              <w:adjustRightInd/>
              <w:snapToGrid/>
              <w:spacing w:line="240" w:lineRule="exact"/>
              <w:jc w:val="center"/>
              <w:textAlignment w:val="auto"/>
              <w:rPr>
                <w:rFonts w:hint="default"/>
                <w:lang w:val="en-US" w:eastAsia="en-US"/>
              </w:rPr>
            </w:pPr>
            <w:r>
              <w:t>1.1</w:t>
            </w:r>
            <w:r>
              <w:rPr>
                <w:rFonts w:hint="eastAsia"/>
                <w:vertAlign w:val="superscript"/>
                <w:lang w:val="en-US" w:eastAsia="zh-CN"/>
              </w:rPr>
              <w:t>-2</w:t>
            </w:r>
          </w:p>
        </w:tc>
        <w:tc>
          <w:tcPr>
            <w:tcW w:w="1093" w:type="dxa"/>
            <w:shd w:val="clear" w:color="auto" w:fill="auto"/>
            <w:vAlign w:val="center"/>
          </w:tcPr>
          <w:p w14:paraId="51573922">
            <w:pPr>
              <w:pStyle w:val="14"/>
              <w:pageBreakBefore w:val="0"/>
              <w:widowControl w:val="0"/>
              <w:kinsoku/>
              <w:wordWrap/>
              <w:overflowPunct/>
              <w:topLinePunct w:val="0"/>
              <w:autoSpaceDE/>
              <w:autoSpaceDN/>
              <w:bidi w:val="0"/>
              <w:adjustRightInd/>
              <w:snapToGrid/>
              <w:spacing w:line="240" w:lineRule="exact"/>
              <w:jc w:val="center"/>
              <w:textAlignment w:val="auto"/>
              <w:rPr>
                <w:lang w:val="en-US" w:eastAsia="en-US"/>
              </w:rPr>
            </w:pPr>
            <w:r>
              <w:t>2000</w:t>
            </w:r>
          </w:p>
        </w:tc>
        <w:tc>
          <w:tcPr>
            <w:tcW w:w="1473" w:type="dxa"/>
            <w:shd w:val="clear" w:color="auto" w:fill="auto"/>
            <w:vAlign w:val="center"/>
          </w:tcPr>
          <w:p w14:paraId="6CB784E8">
            <w:pPr>
              <w:pStyle w:val="14"/>
              <w:pageBreakBefore w:val="0"/>
              <w:widowControl w:val="0"/>
              <w:kinsoku/>
              <w:wordWrap/>
              <w:overflowPunct/>
              <w:topLinePunct w:val="0"/>
              <w:autoSpaceDE/>
              <w:autoSpaceDN/>
              <w:bidi w:val="0"/>
              <w:adjustRightInd/>
              <w:snapToGrid/>
              <w:spacing w:line="240" w:lineRule="exact"/>
              <w:jc w:val="center"/>
              <w:textAlignment w:val="auto"/>
              <w:rPr>
                <w:lang w:val="en-US" w:eastAsia="en-US"/>
              </w:rPr>
            </w:pPr>
            <w:r>
              <w:t>本库区544 号成品库</w:t>
            </w:r>
          </w:p>
        </w:tc>
        <w:tc>
          <w:tcPr>
            <w:tcW w:w="790" w:type="dxa"/>
            <w:shd w:val="clear" w:color="auto" w:fill="auto"/>
            <w:vAlign w:val="center"/>
          </w:tcPr>
          <w:p w14:paraId="426E1C4D">
            <w:pPr>
              <w:pStyle w:val="14"/>
              <w:pageBreakBefore w:val="0"/>
              <w:widowControl w:val="0"/>
              <w:kinsoku/>
              <w:wordWrap/>
              <w:overflowPunct/>
              <w:topLinePunct w:val="0"/>
              <w:autoSpaceDE/>
              <w:autoSpaceDN/>
              <w:bidi w:val="0"/>
              <w:adjustRightInd/>
              <w:snapToGrid/>
              <w:spacing w:line="240" w:lineRule="exact"/>
              <w:jc w:val="center"/>
              <w:textAlignment w:val="auto"/>
              <w:rPr>
                <w:lang w:val="en-US" w:eastAsia="en-US"/>
              </w:rPr>
            </w:pPr>
            <w:r>
              <w:t>1.1</w:t>
            </w:r>
            <w:r>
              <w:rPr>
                <w:rFonts w:hint="eastAsia"/>
                <w:vertAlign w:val="superscript"/>
                <w:lang w:val="en-US" w:eastAsia="zh-CN"/>
              </w:rPr>
              <w:t>-</w:t>
            </w:r>
            <w:r>
              <w:t>²</w:t>
            </w:r>
          </w:p>
        </w:tc>
        <w:tc>
          <w:tcPr>
            <w:tcW w:w="1306" w:type="dxa"/>
            <w:shd w:val="clear" w:color="auto" w:fill="auto"/>
            <w:vAlign w:val="center"/>
          </w:tcPr>
          <w:p w14:paraId="22157837">
            <w:pPr>
              <w:pStyle w:val="14"/>
              <w:pageBreakBefore w:val="0"/>
              <w:widowControl w:val="0"/>
              <w:kinsoku/>
              <w:wordWrap/>
              <w:overflowPunct/>
              <w:topLinePunct w:val="0"/>
              <w:autoSpaceDE/>
              <w:autoSpaceDN/>
              <w:bidi w:val="0"/>
              <w:adjustRightInd/>
              <w:snapToGrid/>
              <w:spacing w:line="240" w:lineRule="exact"/>
              <w:jc w:val="center"/>
              <w:textAlignment w:val="auto"/>
              <w:rPr>
                <w:lang w:val="en-US" w:eastAsia="en-US"/>
              </w:rPr>
            </w:pPr>
            <w:r>
              <w:t>2000</w:t>
            </w:r>
          </w:p>
        </w:tc>
        <w:tc>
          <w:tcPr>
            <w:tcW w:w="1294" w:type="dxa"/>
            <w:shd w:val="clear" w:color="auto" w:fill="auto"/>
            <w:vAlign w:val="center"/>
          </w:tcPr>
          <w:p w14:paraId="45DE58F2">
            <w:pPr>
              <w:pStyle w:val="14"/>
              <w:pageBreakBefore w:val="0"/>
              <w:widowControl w:val="0"/>
              <w:kinsoku/>
              <w:wordWrap/>
              <w:overflowPunct/>
              <w:topLinePunct w:val="0"/>
              <w:autoSpaceDE/>
              <w:autoSpaceDN/>
              <w:bidi w:val="0"/>
              <w:adjustRightInd/>
              <w:snapToGrid/>
              <w:spacing w:line="240" w:lineRule="exact"/>
              <w:jc w:val="center"/>
              <w:textAlignment w:val="auto"/>
              <w:rPr>
                <w:rFonts w:hint="eastAsia" w:eastAsia="宋体"/>
                <w:lang w:val="en-US" w:eastAsia="zh-CN"/>
              </w:rPr>
            </w:pPr>
            <w:r>
              <w:t>2</w:t>
            </w:r>
            <w:r>
              <w:rPr>
                <w:rFonts w:hint="eastAsia"/>
                <w:lang w:val="en-US" w:eastAsia="zh-CN"/>
              </w:rPr>
              <w:t>0</w:t>
            </w:r>
          </w:p>
        </w:tc>
        <w:tc>
          <w:tcPr>
            <w:tcW w:w="1429" w:type="dxa"/>
            <w:shd w:val="clear" w:color="auto" w:fill="auto"/>
            <w:vAlign w:val="center"/>
          </w:tcPr>
          <w:p w14:paraId="2D113136">
            <w:pPr>
              <w:pStyle w:val="14"/>
              <w:pageBreakBefore w:val="0"/>
              <w:widowControl w:val="0"/>
              <w:kinsoku/>
              <w:wordWrap/>
              <w:overflowPunct/>
              <w:topLinePunct w:val="0"/>
              <w:autoSpaceDE/>
              <w:autoSpaceDN/>
              <w:bidi w:val="0"/>
              <w:adjustRightInd/>
              <w:snapToGrid/>
              <w:spacing w:line="240" w:lineRule="exact"/>
              <w:jc w:val="center"/>
              <w:textAlignment w:val="auto"/>
              <w:rPr>
                <w:lang w:val="en-US" w:eastAsia="en-US"/>
              </w:rPr>
            </w:pPr>
            <w:r>
              <w:t>30</w:t>
            </w:r>
          </w:p>
        </w:tc>
      </w:tr>
      <w:tr w14:paraId="2FDD69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atLeast"/>
        </w:trPr>
        <w:tc>
          <w:tcPr>
            <w:tcW w:w="8937" w:type="dxa"/>
            <w:gridSpan w:val="8"/>
            <w:shd w:val="clear" w:color="auto" w:fill="auto"/>
            <w:vAlign w:val="center"/>
          </w:tcPr>
          <w:p w14:paraId="57CC1918">
            <w:pPr>
              <w:pStyle w:val="4"/>
              <w:keepNext/>
              <w:keepLines/>
              <w:pageBreakBefore w:val="0"/>
              <w:widowControl w:val="0"/>
              <w:kinsoku/>
              <w:wordWrap/>
              <w:overflowPunct/>
              <w:topLinePunct w:val="0"/>
              <w:autoSpaceDE/>
              <w:autoSpaceDN/>
              <w:bidi w:val="0"/>
              <w:adjustRightInd/>
              <w:snapToGrid/>
              <w:spacing w:line="240" w:lineRule="exact"/>
              <w:ind w:left="0" w:leftChars="0" w:firstLine="0" w:firstLineChars="0"/>
              <w:textAlignment w:val="auto"/>
              <w:rPr>
                <w:rFonts w:hint="eastAsia" w:eastAsia="宋体"/>
                <w:lang w:eastAsia="zh-CN"/>
              </w:rPr>
            </w:pPr>
            <w:bookmarkStart w:id="60" w:name="_Toc3270"/>
            <w:r>
              <w:rPr>
                <w:rFonts w:hint="eastAsia" w:ascii="宋体" w:hAnsi="宋体" w:eastAsia="宋体" w:cs="宋体"/>
                <w:b w:val="0"/>
                <w:bCs w:val="0"/>
                <w:sz w:val="21"/>
                <w:szCs w:val="21"/>
              </w:rPr>
              <w:t>以上数据均</w:t>
            </w:r>
            <w:r>
              <w:rPr>
                <w:rFonts w:hint="eastAsia" w:ascii="宋体" w:hAnsi="宋体" w:eastAsia="宋体" w:cs="宋体"/>
                <w:b w:val="0"/>
                <w:bCs w:val="0"/>
                <w:sz w:val="21"/>
                <w:szCs w:val="21"/>
                <w:lang w:val="en-US" w:eastAsia="zh-CN"/>
              </w:rPr>
              <w:t>引自</w:t>
            </w:r>
            <w:r>
              <w:rPr>
                <w:rFonts w:hint="eastAsia" w:ascii="宋体" w:hAnsi="宋体" w:eastAsia="宋体" w:cs="宋体"/>
                <w:b w:val="0"/>
                <w:bCs w:val="0"/>
                <w:sz w:val="21"/>
                <w:szCs w:val="21"/>
              </w:rPr>
              <w:t>企业提供</w:t>
            </w:r>
            <w:r>
              <w:rPr>
                <w:rFonts w:hint="eastAsia" w:ascii="宋体" w:hAnsi="宋体" w:eastAsia="宋体" w:cs="宋体"/>
                <w:b w:val="0"/>
                <w:bCs w:val="0"/>
                <w:sz w:val="21"/>
                <w:szCs w:val="21"/>
                <w:lang w:val="en-US" w:eastAsia="zh-CN"/>
              </w:rPr>
              <w:t>的、</w:t>
            </w:r>
            <w:r>
              <w:rPr>
                <w:rFonts w:hint="eastAsia" w:ascii="宋体" w:hAnsi="宋体" w:eastAsia="宋体" w:cs="宋体"/>
                <w:b w:val="0"/>
                <w:bCs w:val="0"/>
                <w:sz w:val="21"/>
                <w:szCs w:val="21"/>
              </w:rPr>
              <w:t>由</w:t>
            </w:r>
            <w:r>
              <w:rPr>
                <w:rFonts w:hint="eastAsia" w:ascii="宋体" w:hAnsi="宋体" w:eastAsia="宋体" w:cs="宋体"/>
                <w:b w:val="0"/>
                <w:bCs w:val="0"/>
                <w:sz w:val="21"/>
                <w:szCs w:val="21"/>
                <w:lang w:val="en-US" w:eastAsia="zh-CN"/>
              </w:rPr>
              <w:t>黑龙江龙维化学工程设计有限公司2024年10月</w:t>
            </w:r>
            <w:r>
              <w:rPr>
                <w:rFonts w:hint="eastAsia" w:ascii="宋体" w:hAnsi="宋体" w:eastAsia="宋体" w:cs="宋体"/>
                <w:b w:val="0"/>
                <w:bCs w:val="0"/>
                <w:sz w:val="21"/>
                <w:szCs w:val="21"/>
              </w:rPr>
              <w:t>出具的总平面布置图中的对齐标注数据</w:t>
            </w:r>
            <w:r>
              <w:rPr>
                <w:rFonts w:hint="eastAsia" w:ascii="宋体" w:hAnsi="宋体" w:eastAsia="宋体" w:cs="宋体"/>
                <w:b w:val="0"/>
                <w:bCs w:val="0"/>
                <w:sz w:val="21"/>
                <w:szCs w:val="21"/>
                <w:lang w:eastAsia="zh-CN"/>
              </w:rPr>
              <w:t>。</w:t>
            </w:r>
            <w:bookmarkEnd w:id="60"/>
          </w:p>
        </w:tc>
      </w:tr>
    </w:tbl>
    <w:p w14:paraId="790FDC92">
      <w:r>
        <w:br w:type="page"/>
      </w:r>
    </w:p>
    <w:p w14:paraId="2022CC62">
      <w:pPr>
        <w:pStyle w:val="4"/>
        <w:keepNext w:val="0"/>
        <w:keepLines w:val="0"/>
        <w:pageBreakBefore w:val="0"/>
        <w:widowControl w:val="0"/>
        <w:kinsoku/>
        <w:wordWrap/>
        <w:overflowPunct/>
        <w:topLinePunct w:val="0"/>
        <w:autoSpaceDE/>
        <w:autoSpaceDN/>
        <w:bidi w:val="0"/>
        <w:adjustRightInd/>
        <w:snapToGrid/>
        <w:ind w:left="0" w:leftChars="0" w:firstLine="0" w:firstLineChars="0"/>
        <w:textAlignment w:val="auto"/>
      </w:pPr>
      <w:bookmarkStart w:id="61" w:name="_Toc13455"/>
      <w:r>
        <w:t>2.7.2外部距离</w:t>
      </w:r>
      <w:bookmarkEnd w:id="61"/>
    </w:p>
    <w:p w14:paraId="37A27931">
      <w:pPr>
        <w:keepNext w:val="0"/>
        <w:keepLines w:val="0"/>
        <w:pageBreakBefore w:val="0"/>
        <w:widowControl w:val="0"/>
        <w:kinsoku/>
        <w:wordWrap/>
        <w:overflowPunct/>
        <w:topLinePunct w:val="0"/>
        <w:autoSpaceDE/>
        <w:autoSpaceDN/>
        <w:bidi w:val="0"/>
        <w:adjustRightInd/>
        <w:snapToGrid/>
        <w:textAlignment w:val="auto"/>
        <w:rPr>
          <w:rFonts w:hint="eastAsia" w:eastAsia="宋体"/>
          <w:lang w:eastAsia="zh-CN"/>
        </w:rPr>
      </w:pPr>
      <w:r>
        <w:t>该公司所租赁仓库地址位于萍乡市上栗县桐木镇马岭，项目选址符合城乡规划要求，并避开密集避民区、学校、工业区、旅游区、铁路运输线、高压输电线等。该项目危险性建筑物与周边毗邻建</w:t>
      </w:r>
      <w:r>
        <w:rPr>
          <w:rFonts w:hint="eastAsia"/>
          <w:lang w:eastAsia="zh-CN"/>
        </w:rPr>
        <w:t>（</w:t>
      </w:r>
      <w:r>
        <w:t>构</w:t>
      </w:r>
      <w:r>
        <w:rPr>
          <w:rFonts w:hint="eastAsia"/>
          <w:lang w:eastAsia="zh-CN"/>
        </w:rPr>
        <w:t>）</w:t>
      </w:r>
      <w:r>
        <w:t>筑物之间的外部距离情况</w:t>
      </w:r>
      <w:r>
        <w:rPr>
          <w:rFonts w:hint="eastAsia"/>
          <w:lang w:val="en-US" w:eastAsia="zh-CN"/>
        </w:rPr>
        <w:t>见表</w:t>
      </w:r>
      <w:r>
        <w:t>表2.7-2</w:t>
      </w:r>
      <w:r>
        <w:rPr>
          <w:rFonts w:hint="eastAsia"/>
          <w:lang w:eastAsia="zh-CN"/>
        </w:rPr>
        <w:t>、</w:t>
      </w:r>
      <w:r>
        <w:t>表2.7-3</w:t>
      </w:r>
      <w:r>
        <w:rPr>
          <w:rFonts w:hint="eastAsia"/>
          <w:lang w:eastAsia="zh-CN"/>
        </w:rPr>
        <w:t>、</w:t>
      </w:r>
      <w:r>
        <w:t>表2.7-4</w:t>
      </w:r>
      <w:r>
        <w:rPr>
          <w:rFonts w:hint="eastAsia"/>
          <w:lang w:eastAsia="zh-CN"/>
        </w:rPr>
        <w:t>。</w:t>
      </w:r>
    </w:p>
    <w:p w14:paraId="78FBBFBB">
      <w:pPr>
        <w:bidi w:val="0"/>
      </w:pPr>
      <w:r>
        <w:t>表2.7-2</w:t>
      </w:r>
      <w:r>
        <w:rPr>
          <w:rFonts w:hint="eastAsia"/>
          <w:lang w:val="en-US" w:eastAsia="zh-CN"/>
        </w:rPr>
        <w:t xml:space="preserve"> </w:t>
      </w:r>
      <w:r>
        <w:t>该项目租赁的540号成品库与外部距离情况一览表</w:t>
      </w:r>
    </w:p>
    <w:tbl>
      <w:tblPr>
        <w:tblStyle w:val="105"/>
        <w:tblW w:w="8817" w:type="dxa"/>
        <w:tblInd w:w="26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88"/>
        <w:gridCol w:w="668"/>
        <w:gridCol w:w="1067"/>
        <w:gridCol w:w="1058"/>
        <w:gridCol w:w="1068"/>
        <w:gridCol w:w="1728"/>
        <w:gridCol w:w="1329"/>
        <w:gridCol w:w="1011"/>
      </w:tblGrid>
      <w:tr w14:paraId="458B26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5" w:hRule="atLeast"/>
        </w:trPr>
        <w:tc>
          <w:tcPr>
            <w:tcW w:w="888" w:type="dxa"/>
            <w:vAlign w:val="center"/>
          </w:tcPr>
          <w:p w14:paraId="2FADAAD8">
            <w:pPr>
              <w:pStyle w:val="14"/>
              <w:keepNext w:val="0"/>
              <w:keepLines w:val="0"/>
              <w:pageBreakBefore w:val="0"/>
              <w:widowControl w:val="0"/>
              <w:kinsoku/>
              <w:wordWrap/>
              <w:overflowPunct/>
              <w:topLinePunct w:val="0"/>
              <w:autoSpaceDE/>
              <w:autoSpaceDN/>
              <w:bidi w:val="0"/>
              <w:adjustRightInd/>
              <w:snapToGrid/>
              <w:spacing w:line="280" w:lineRule="exact"/>
              <w:jc w:val="center"/>
              <w:textAlignment w:val="auto"/>
            </w:pPr>
            <w:r>
              <w:t>方位</w:t>
            </w:r>
          </w:p>
        </w:tc>
        <w:tc>
          <w:tcPr>
            <w:tcW w:w="668" w:type="dxa"/>
            <w:vAlign w:val="center"/>
          </w:tcPr>
          <w:p w14:paraId="1C26E3AC">
            <w:pPr>
              <w:pStyle w:val="14"/>
              <w:keepNext w:val="0"/>
              <w:keepLines w:val="0"/>
              <w:pageBreakBefore w:val="0"/>
              <w:widowControl w:val="0"/>
              <w:kinsoku/>
              <w:wordWrap/>
              <w:overflowPunct/>
              <w:topLinePunct w:val="0"/>
              <w:autoSpaceDE/>
              <w:autoSpaceDN/>
              <w:bidi w:val="0"/>
              <w:adjustRightInd/>
              <w:snapToGrid/>
              <w:spacing w:line="280" w:lineRule="exact"/>
              <w:jc w:val="center"/>
              <w:textAlignment w:val="auto"/>
            </w:pPr>
            <w:r>
              <w:t>库房</w:t>
            </w:r>
          </w:p>
          <w:p w14:paraId="3D85A6CA">
            <w:pPr>
              <w:pStyle w:val="14"/>
              <w:keepNext w:val="0"/>
              <w:keepLines w:val="0"/>
              <w:pageBreakBefore w:val="0"/>
              <w:widowControl w:val="0"/>
              <w:kinsoku/>
              <w:wordWrap/>
              <w:overflowPunct/>
              <w:topLinePunct w:val="0"/>
              <w:autoSpaceDE/>
              <w:autoSpaceDN/>
              <w:bidi w:val="0"/>
              <w:adjustRightInd/>
              <w:snapToGrid/>
              <w:spacing w:line="280" w:lineRule="exact"/>
              <w:jc w:val="center"/>
              <w:textAlignment w:val="auto"/>
            </w:pPr>
            <w:r>
              <w:t>编号</w:t>
            </w:r>
          </w:p>
        </w:tc>
        <w:tc>
          <w:tcPr>
            <w:tcW w:w="1067" w:type="dxa"/>
            <w:vAlign w:val="center"/>
          </w:tcPr>
          <w:p w14:paraId="710EE83C">
            <w:pPr>
              <w:pStyle w:val="14"/>
              <w:keepNext w:val="0"/>
              <w:keepLines w:val="0"/>
              <w:pageBreakBefore w:val="0"/>
              <w:widowControl w:val="0"/>
              <w:kinsoku/>
              <w:wordWrap/>
              <w:overflowPunct/>
              <w:topLinePunct w:val="0"/>
              <w:autoSpaceDE/>
              <w:autoSpaceDN/>
              <w:bidi w:val="0"/>
              <w:adjustRightInd/>
              <w:snapToGrid/>
              <w:spacing w:line="280" w:lineRule="exact"/>
              <w:jc w:val="center"/>
              <w:textAlignment w:val="auto"/>
            </w:pPr>
            <w:r>
              <w:t>库房用途</w:t>
            </w:r>
          </w:p>
        </w:tc>
        <w:tc>
          <w:tcPr>
            <w:tcW w:w="1058" w:type="dxa"/>
            <w:vAlign w:val="center"/>
          </w:tcPr>
          <w:p w14:paraId="4137E899">
            <w:pPr>
              <w:pStyle w:val="14"/>
              <w:keepNext w:val="0"/>
              <w:keepLines w:val="0"/>
              <w:pageBreakBefore w:val="0"/>
              <w:widowControl w:val="0"/>
              <w:kinsoku/>
              <w:wordWrap/>
              <w:overflowPunct/>
              <w:topLinePunct w:val="0"/>
              <w:autoSpaceDE/>
              <w:autoSpaceDN/>
              <w:bidi w:val="0"/>
              <w:adjustRightInd/>
              <w:snapToGrid/>
              <w:spacing w:line="280" w:lineRule="exact"/>
              <w:jc w:val="center"/>
              <w:textAlignment w:val="auto"/>
            </w:pPr>
            <w:r>
              <w:t>危险等级</w:t>
            </w:r>
          </w:p>
        </w:tc>
        <w:tc>
          <w:tcPr>
            <w:tcW w:w="1068" w:type="dxa"/>
            <w:vAlign w:val="center"/>
          </w:tcPr>
          <w:p w14:paraId="64E8D53B">
            <w:pPr>
              <w:pStyle w:val="14"/>
              <w:keepNext w:val="0"/>
              <w:keepLines w:val="0"/>
              <w:pageBreakBefore w:val="0"/>
              <w:widowControl w:val="0"/>
              <w:kinsoku/>
              <w:wordWrap/>
              <w:overflowPunct/>
              <w:topLinePunct w:val="0"/>
              <w:autoSpaceDE/>
              <w:autoSpaceDN/>
              <w:bidi w:val="0"/>
              <w:adjustRightInd/>
              <w:snapToGrid/>
              <w:spacing w:line="280" w:lineRule="exact"/>
              <w:jc w:val="center"/>
              <w:textAlignment w:val="auto"/>
            </w:pPr>
            <w:r>
              <w:t>药物限量</w:t>
            </w:r>
          </w:p>
          <w:p w14:paraId="478E0BFE">
            <w:pPr>
              <w:pStyle w:val="14"/>
              <w:keepNext w:val="0"/>
              <w:keepLines w:val="0"/>
              <w:pageBreakBefore w:val="0"/>
              <w:widowControl w:val="0"/>
              <w:kinsoku/>
              <w:wordWrap/>
              <w:overflowPunct/>
              <w:topLinePunct w:val="0"/>
              <w:autoSpaceDE/>
              <w:autoSpaceDN/>
              <w:bidi w:val="0"/>
              <w:adjustRightInd/>
              <w:snapToGrid/>
              <w:spacing w:line="280" w:lineRule="exact"/>
              <w:jc w:val="center"/>
              <w:textAlignment w:val="auto"/>
            </w:pPr>
            <w:r>
              <w:t>(kg)</w:t>
            </w:r>
          </w:p>
        </w:tc>
        <w:tc>
          <w:tcPr>
            <w:tcW w:w="1728" w:type="dxa"/>
            <w:vAlign w:val="center"/>
          </w:tcPr>
          <w:p w14:paraId="2C0F3F07">
            <w:pPr>
              <w:pStyle w:val="14"/>
              <w:keepNext w:val="0"/>
              <w:keepLines w:val="0"/>
              <w:pageBreakBefore w:val="0"/>
              <w:widowControl w:val="0"/>
              <w:kinsoku/>
              <w:wordWrap/>
              <w:overflowPunct/>
              <w:topLinePunct w:val="0"/>
              <w:autoSpaceDE/>
              <w:autoSpaceDN/>
              <w:bidi w:val="0"/>
              <w:adjustRightInd/>
              <w:snapToGrid/>
              <w:spacing w:line="280" w:lineRule="exact"/>
              <w:jc w:val="center"/>
              <w:textAlignment w:val="auto"/>
            </w:pPr>
            <w:r>
              <w:t>周边毗邻情况</w:t>
            </w:r>
          </w:p>
        </w:tc>
        <w:tc>
          <w:tcPr>
            <w:tcW w:w="1329" w:type="dxa"/>
            <w:vAlign w:val="center"/>
          </w:tcPr>
          <w:p w14:paraId="71DABC79">
            <w:pPr>
              <w:pStyle w:val="14"/>
              <w:keepNext w:val="0"/>
              <w:keepLines w:val="0"/>
              <w:pageBreakBefore w:val="0"/>
              <w:widowControl w:val="0"/>
              <w:kinsoku/>
              <w:wordWrap/>
              <w:overflowPunct/>
              <w:topLinePunct w:val="0"/>
              <w:autoSpaceDE/>
              <w:autoSpaceDN/>
              <w:bidi w:val="0"/>
              <w:adjustRightInd/>
              <w:snapToGrid/>
              <w:spacing w:line="280" w:lineRule="exact"/>
              <w:jc w:val="center"/>
              <w:textAlignment w:val="auto"/>
            </w:pPr>
            <w:r>
              <w:t>标准距离</w:t>
            </w:r>
          </w:p>
          <w:p w14:paraId="01F1DAE0">
            <w:pPr>
              <w:pStyle w:val="14"/>
              <w:keepNext w:val="0"/>
              <w:keepLines w:val="0"/>
              <w:pageBreakBefore w:val="0"/>
              <w:widowControl w:val="0"/>
              <w:kinsoku/>
              <w:wordWrap/>
              <w:overflowPunct/>
              <w:topLinePunct w:val="0"/>
              <w:autoSpaceDE/>
              <w:autoSpaceDN/>
              <w:bidi w:val="0"/>
              <w:adjustRightInd/>
              <w:snapToGrid/>
              <w:spacing w:line="280" w:lineRule="exact"/>
              <w:jc w:val="center"/>
              <w:textAlignment w:val="auto"/>
            </w:pPr>
            <w:r>
              <w:t>(m)</w:t>
            </w:r>
          </w:p>
        </w:tc>
        <w:tc>
          <w:tcPr>
            <w:tcW w:w="1011" w:type="dxa"/>
            <w:vAlign w:val="center"/>
          </w:tcPr>
          <w:p w14:paraId="364A7B9E">
            <w:pPr>
              <w:pStyle w:val="14"/>
              <w:keepNext w:val="0"/>
              <w:keepLines w:val="0"/>
              <w:pageBreakBefore w:val="0"/>
              <w:widowControl w:val="0"/>
              <w:kinsoku/>
              <w:wordWrap/>
              <w:overflowPunct/>
              <w:topLinePunct w:val="0"/>
              <w:autoSpaceDE/>
              <w:autoSpaceDN/>
              <w:bidi w:val="0"/>
              <w:adjustRightInd/>
              <w:snapToGrid/>
              <w:spacing w:line="280" w:lineRule="exact"/>
              <w:jc w:val="center"/>
              <w:textAlignment w:val="auto"/>
            </w:pPr>
            <w:r>
              <w:t>实际距离</w:t>
            </w:r>
          </w:p>
          <w:p w14:paraId="5E37A9E1">
            <w:pPr>
              <w:pStyle w:val="14"/>
              <w:keepNext w:val="0"/>
              <w:keepLines w:val="0"/>
              <w:pageBreakBefore w:val="0"/>
              <w:widowControl w:val="0"/>
              <w:kinsoku/>
              <w:wordWrap/>
              <w:overflowPunct/>
              <w:topLinePunct w:val="0"/>
              <w:autoSpaceDE/>
              <w:autoSpaceDN/>
              <w:bidi w:val="0"/>
              <w:adjustRightInd/>
              <w:snapToGrid/>
              <w:spacing w:line="280" w:lineRule="exact"/>
              <w:jc w:val="center"/>
              <w:textAlignment w:val="auto"/>
            </w:pPr>
            <w:r>
              <w:t>(m)</w:t>
            </w:r>
          </w:p>
        </w:tc>
      </w:tr>
      <w:tr w14:paraId="34B735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888" w:type="dxa"/>
            <w:vAlign w:val="center"/>
          </w:tcPr>
          <w:p w14:paraId="6153541A">
            <w:pPr>
              <w:pStyle w:val="14"/>
              <w:keepNext w:val="0"/>
              <w:keepLines w:val="0"/>
              <w:pageBreakBefore w:val="0"/>
              <w:widowControl w:val="0"/>
              <w:kinsoku/>
              <w:wordWrap/>
              <w:overflowPunct/>
              <w:topLinePunct w:val="0"/>
              <w:autoSpaceDE/>
              <w:autoSpaceDN/>
              <w:bidi w:val="0"/>
              <w:adjustRightInd/>
              <w:snapToGrid/>
              <w:spacing w:line="280" w:lineRule="exact"/>
              <w:jc w:val="center"/>
              <w:textAlignment w:val="auto"/>
            </w:pPr>
            <w:r>
              <w:t>东</w:t>
            </w:r>
          </w:p>
        </w:tc>
        <w:tc>
          <w:tcPr>
            <w:tcW w:w="668" w:type="dxa"/>
            <w:vAlign w:val="center"/>
          </w:tcPr>
          <w:p w14:paraId="4923388B">
            <w:pPr>
              <w:pStyle w:val="14"/>
              <w:keepNext w:val="0"/>
              <w:keepLines w:val="0"/>
              <w:pageBreakBefore w:val="0"/>
              <w:widowControl w:val="0"/>
              <w:kinsoku/>
              <w:wordWrap/>
              <w:overflowPunct/>
              <w:topLinePunct w:val="0"/>
              <w:autoSpaceDE/>
              <w:autoSpaceDN/>
              <w:bidi w:val="0"/>
              <w:adjustRightInd/>
              <w:snapToGrid/>
              <w:spacing w:line="280" w:lineRule="exact"/>
              <w:jc w:val="center"/>
              <w:textAlignment w:val="auto"/>
            </w:pPr>
            <w:r>
              <w:t>540</w:t>
            </w:r>
          </w:p>
        </w:tc>
        <w:tc>
          <w:tcPr>
            <w:tcW w:w="1067" w:type="dxa"/>
            <w:vAlign w:val="center"/>
          </w:tcPr>
          <w:p w14:paraId="3811CC11">
            <w:pPr>
              <w:pStyle w:val="14"/>
              <w:keepNext w:val="0"/>
              <w:keepLines w:val="0"/>
              <w:pageBreakBefore w:val="0"/>
              <w:widowControl w:val="0"/>
              <w:kinsoku/>
              <w:wordWrap/>
              <w:overflowPunct/>
              <w:topLinePunct w:val="0"/>
              <w:autoSpaceDE/>
              <w:autoSpaceDN/>
              <w:bidi w:val="0"/>
              <w:adjustRightInd/>
              <w:snapToGrid/>
              <w:spacing w:line="280" w:lineRule="exact"/>
              <w:jc w:val="center"/>
              <w:textAlignment w:val="auto"/>
            </w:pPr>
            <w:r>
              <w:t>成品库</w:t>
            </w:r>
          </w:p>
        </w:tc>
        <w:tc>
          <w:tcPr>
            <w:tcW w:w="1058" w:type="dxa"/>
            <w:vAlign w:val="center"/>
          </w:tcPr>
          <w:p w14:paraId="43515502">
            <w:pPr>
              <w:pStyle w:val="14"/>
              <w:keepNext w:val="0"/>
              <w:keepLines w:val="0"/>
              <w:pageBreakBefore w:val="0"/>
              <w:widowControl w:val="0"/>
              <w:kinsoku/>
              <w:wordWrap/>
              <w:overflowPunct/>
              <w:topLinePunct w:val="0"/>
              <w:autoSpaceDE/>
              <w:autoSpaceDN/>
              <w:bidi w:val="0"/>
              <w:adjustRightInd/>
              <w:snapToGrid/>
              <w:spacing w:line="280" w:lineRule="exact"/>
              <w:jc w:val="center"/>
              <w:textAlignment w:val="auto"/>
            </w:pPr>
            <w:r>
              <w:t>1.3</w:t>
            </w:r>
          </w:p>
        </w:tc>
        <w:tc>
          <w:tcPr>
            <w:tcW w:w="1068" w:type="dxa"/>
            <w:vAlign w:val="center"/>
          </w:tcPr>
          <w:p w14:paraId="49643D56">
            <w:pPr>
              <w:pStyle w:val="14"/>
              <w:keepNext w:val="0"/>
              <w:keepLines w:val="0"/>
              <w:pageBreakBefore w:val="0"/>
              <w:widowControl w:val="0"/>
              <w:kinsoku/>
              <w:wordWrap/>
              <w:overflowPunct/>
              <w:topLinePunct w:val="0"/>
              <w:autoSpaceDE/>
              <w:autoSpaceDN/>
              <w:bidi w:val="0"/>
              <w:adjustRightInd/>
              <w:snapToGrid/>
              <w:spacing w:line="280" w:lineRule="exact"/>
              <w:jc w:val="center"/>
              <w:textAlignment w:val="auto"/>
            </w:pPr>
            <w:r>
              <w:t>9000</w:t>
            </w:r>
          </w:p>
        </w:tc>
        <w:tc>
          <w:tcPr>
            <w:tcW w:w="1728" w:type="dxa"/>
            <w:vAlign w:val="center"/>
          </w:tcPr>
          <w:p w14:paraId="7B85D6A3">
            <w:pPr>
              <w:pStyle w:val="14"/>
              <w:keepNext w:val="0"/>
              <w:keepLines w:val="0"/>
              <w:pageBreakBefore w:val="0"/>
              <w:widowControl w:val="0"/>
              <w:kinsoku/>
              <w:wordWrap/>
              <w:overflowPunct/>
              <w:topLinePunct w:val="0"/>
              <w:autoSpaceDE/>
              <w:autoSpaceDN/>
              <w:bidi w:val="0"/>
              <w:adjustRightInd/>
              <w:snapToGrid/>
              <w:spacing w:line="280" w:lineRule="exact"/>
              <w:jc w:val="center"/>
              <w:textAlignment w:val="auto"/>
            </w:pPr>
            <w:r>
              <w:t>山地</w:t>
            </w:r>
          </w:p>
        </w:tc>
        <w:tc>
          <w:tcPr>
            <w:tcW w:w="1329" w:type="dxa"/>
            <w:vAlign w:val="center"/>
          </w:tcPr>
          <w:p w14:paraId="0405BB92">
            <w:pPr>
              <w:pStyle w:val="14"/>
              <w:keepNext w:val="0"/>
              <w:keepLines w:val="0"/>
              <w:pageBreakBefore w:val="0"/>
              <w:widowControl w:val="0"/>
              <w:kinsoku/>
              <w:wordWrap/>
              <w:overflowPunct/>
              <w:topLinePunct w:val="0"/>
              <w:autoSpaceDE/>
              <w:autoSpaceDN/>
              <w:bidi w:val="0"/>
              <w:adjustRightInd/>
              <w:snapToGrid/>
              <w:spacing w:line="280" w:lineRule="exact"/>
              <w:jc w:val="center"/>
              <w:textAlignment w:val="auto"/>
            </w:pPr>
            <w:r>
              <w:t>/</w:t>
            </w:r>
          </w:p>
        </w:tc>
        <w:tc>
          <w:tcPr>
            <w:tcW w:w="1011" w:type="dxa"/>
            <w:vAlign w:val="center"/>
          </w:tcPr>
          <w:p w14:paraId="71DAB56A">
            <w:pPr>
              <w:pStyle w:val="14"/>
              <w:keepNext w:val="0"/>
              <w:keepLines w:val="0"/>
              <w:pageBreakBefore w:val="0"/>
              <w:widowControl w:val="0"/>
              <w:kinsoku/>
              <w:wordWrap/>
              <w:overflowPunct/>
              <w:topLinePunct w:val="0"/>
              <w:autoSpaceDE/>
              <w:autoSpaceDN/>
              <w:bidi w:val="0"/>
              <w:adjustRightInd/>
              <w:snapToGrid/>
              <w:spacing w:line="280" w:lineRule="exact"/>
              <w:jc w:val="center"/>
              <w:textAlignment w:val="auto"/>
            </w:pPr>
            <w:r>
              <w:t>/</w:t>
            </w:r>
          </w:p>
        </w:tc>
      </w:tr>
      <w:tr w14:paraId="47E2D3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888" w:type="dxa"/>
            <w:vAlign w:val="center"/>
          </w:tcPr>
          <w:p w14:paraId="47FA6EDE">
            <w:pPr>
              <w:pStyle w:val="14"/>
              <w:keepNext w:val="0"/>
              <w:keepLines w:val="0"/>
              <w:pageBreakBefore w:val="0"/>
              <w:widowControl w:val="0"/>
              <w:kinsoku/>
              <w:wordWrap/>
              <w:overflowPunct/>
              <w:topLinePunct w:val="0"/>
              <w:autoSpaceDE/>
              <w:autoSpaceDN/>
              <w:bidi w:val="0"/>
              <w:adjustRightInd/>
              <w:snapToGrid/>
              <w:spacing w:line="280" w:lineRule="exact"/>
              <w:jc w:val="center"/>
              <w:textAlignment w:val="auto"/>
            </w:pPr>
            <w:r>
              <w:t>南</w:t>
            </w:r>
          </w:p>
        </w:tc>
        <w:tc>
          <w:tcPr>
            <w:tcW w:w="668" w:type="dxa"/>
            <w:vAlign w:val="center"/>
          </w:tcPr>
          <w:p w14:paraId="2E5D7F2F">
            <w:pPr>
              <w:pStyle w:val="14"/>
              <w:keepNext w:val="0"/>
              <w:keepLines w:val="0"/>
              <w:pageBreakBefore w:val="0"/>
              <w:widowControl w:val="0"/>
              <w:kinsoku/>
              <w:wordWrap/>
              <w:overflowPunct/>
              <w:topLinePunct w:val="0"/>
              <w:autoSpaceDE/>
              <w:autoSpaceDN/>
              <w:bidi w:val="0"/>
              <w:adjustRightInd/>
              <w:snapToGrid/>
              <w:spacing w:line="280" w:lineRule="exact"/>
              <w:jc w:val="center"/>
              <w:textAlignment w:val="auto"/>
            </w:pPr>
            <w:r>
              <w:t>540</w:t>
            </w:r>
          </w:p>
        </w:tc>
        <w:tc>
          <w:tcPr>
            <w:tcW w:w="1067" w:type="dxa"/>
            <w:vAlign w:val="center"/>
          </w:tcPr>
          <w:p w14:paraId="60250929">
            <w:pPr>
              <w:pStyle w:val="14"/>
              <w:keepNext w:val="0"/>
              <w:keepLines w:val="0"/>
              <w:pageBreakBefore w:val="0"/>
              <w:widowControl w:val="0"/>
              <w:kinsoku/>
              <w:wordWrap/>
              <w:overflowPunct/>
              <w:topLinePunct w:val="0"/>
              <w:autoSpaceDE/>
              <w:autoSpaceDN/>
              <w:bidi w:val="0"/>
              <w:adjustRightInd/>
              <w:snapToGrid/>
              <w:spacing w:line="280" w:lineRule="exact"/>
              <w:jc w:val="center"/>
              <w:textAlignment w:val="auto"/>
            </w:pPr>
            <w:r>
              <w:t>成品库</w:t>
            </w:r>
          </w:p>
        </w:tc>
        <w:tc>
          <w:tcPr>
            <w:tcW w:w="1058" w:type="dxa"/>
            <w:vAlign w:val="center"/>
          </w:tcPr>
          <w:p w14:paraId="6BA1B63B">
            <w:pPr>
              <w:pStyle w:val="14"/>
              <w:keepNext w:val="0"/>
              <w:keepLines w:val="0"/>
              <w:pageBreakBefore w:val="0"/>
              <w:widowControl w:val="0"/>
              <w:kinsoku/>
              <w:wordWrap/>
              <w:overflowPunct/>
              <w:topLinePunct w:val="0"/>
              <w:autoSpaceDE/>
              <w:autoSpaceDN/>
              <w:bidi w:val="0"/>
              <w:adjustRightInd/>
              <w:snapToGrid/>
              <w:spacing w:line="280" w:lineRule="exact"/>
              <w:jc w:val="center"/>
              <w:textAlignment w:val="auto"/>
            </w:pPr>
            <w:r>
              <w:t>1.3</w:t>
            </w:r>
          </w:p>
        </w:tc>
        <w:tc>
          <w:tcPr>
            <w:tcW w:w="1068" w:type="dxa"/>
            <w:vAlign w:val="center"/>
          </w:tcPr>
          <w:p w14:paraId="5A0DDCFD">
            <w:pPr>
              <w:pStyle w:val="14"/>
              <w:keepNext w:val="0"/>
              <w:keepLines w:val="0"/>
              <w:pageBreakBefore w:val="0"/>
              <w:widowControl w:val="0"/>
              <w:kinsoku/>
              <w:wordWrap/>
              <w:overflowPunct/>
              <w:topLinePunct w:val="0"/>
              <w:autoSpaceDE/>
              <w:autoSpaceDN/>
              <w:bidi w:val="0"/>
              <w:adjustRightInd/>
              <w:snapToGrid/>
              <w:spacing w:line="280" w:lineRule="exact"/>
              <w:jc w:val="center"/>
              <w:textAlignment w:val="auto"/>
            </w:pPr>
            <w:r>
              <w:t>9000</w:t>
            </w:r>
          </w:p>
        </w:tc>
        <w:tc>
          <w:tcPr>
            <w:tcW w:w="1728" w:type="dxa"/>
            <w:vAlign w:val="center"/>
          </w:tcPr>
          <w:p w14:paraId="0A6B8FEB">
            <w:pPr>
              <w:pStyle w:val="14"/>
              <w:keepNext w:val="0"/>
              <w:keepLines w:val="0"/>
              <w:pageBreakBefore w:val="0"/>
              <w:widowControl w:val="0"/>
              <w:kinsoku/>
              <w:wordWrap/>
              <w:overflowPunct/>
              <w:topLinePunct w:val="0"/>
              <w:autoSpaceDE/>
              <w:autoSpaceDN/>
              <w:bidi w:val="0"/>
              <w:adjustRightInd/>
              <w:snapToGrid/>
              <w:spacing w:line="280" w:lineRule="exact"/>
              <w:jc w:val="center"/>
              <w:textAlignment w:val="auto"/>
            </w:pPr>
            <w:r>
              <w:t>十户以下民房</w:t>
            </w:r>
          </w:p>
        </w:tc>
        <w:tc>
          <w:tcPr>
            <w:tcW w:w="1329" w:type="dxa"/>
            <w:vAlign w:val="center"/>
          </w:tcPr>
          <w:p w14:paraId="2BC8EECD">
            <w:pPr>
              <w:pStyle w:val="14"/>
              <w:keepNext w:val="0"/>
              <w:keepLines w:val="0"/>
              <w:pageBreakBefore w:val="0"/>
              <w:widowControl w:val="0"/>
              <w:kinsoku/>
              <w:wordWrap/>
              <w:overflowPunct/>
              <w:topLinePunct w:val="0"/>
              <w:autoSpaceDE/>
              <w:autoSpaceDN/>
              <w:bidi w:val="0"/>
              <w:adjustRightInd/>
              <w:snapToGrid/>
              <w:spacing w:line="280" w:lineRule="exact"/>
              <w:jc w:val="center"/>
              <w:textAlignment w:val="auto"/>
            </w:pPr>
            <w:r>
              <w:t>65</w:t>
            </w:r>
          </w:p>
        </w:tc>
        <w:tc>
          <w:tcPr>
            <w:tcW w:w="1011" w:type="dxa"/>
            <w:vAlign w:val="center"/>
          </w:tcPr>
          <w:p w14:paraId="6A5C2E28">
            <w:pPr>
              <w:pStyle w:val="14"/>
              <w:keepNext w:val="0"/>
              <w:keepLines w:val="0"/>
              <w:pageBreakBefore w:val="0"/>
              <w:widowControl w:val="0"/>
              <w:kinsoku/>
              <w:wordWrap/>
              <w:overflowPunct/>
              <w:topLinePunct w:val="0"/>
              <w:autoSpaceDE/>
              <w:autoSpaceDN/>
              <w:bidi w:val="0"/>
              <w:adjustRightInd/>
              <w:snapToGrid/>
              <w:spacing w:line="280" w:lineRule="exact"/>
              <w:jc w:val="center"/>
              <w:textAlignment w:val="auto"/>
            </w:pPr>
            <w:r>
              <w:t>156</w:t>
            </w:r>
          </w:p>
        </w:tc>
      </w:tr>
      <w:tr w14:paraId="0F86ED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trPr>
        <w:tc>
          <w:tcPr>
            <w:tcW w:w="888" w:type="dxa"/>
            <w:vAlign w:val="center"/>
          </w:tcPr>
          <w:p w14:paraId="3CD9CA86">
            <w:pPr>
              <w:pStyle w:val="14"/>
              <w:keepNext w:val="0"/>
              <w:keepLines w:val="0"/>
              <w:pageBreakBefore w:val="0"/>
              <w:widowControl w:val="0"/>
              <w:kinsoku/>
              <w:wordWrap/>
              <w:overflowPunct/>
              <w:topLinePunct w:val="0"/>
              <w:autoSpaceDE/>
              <w:autoSpaceDN/>
              <w:bidi w:val="0"/>
              <w:adjustRightInd/>
              <w:snapToGrid/>
              <w:spacing w:line="280" w:lineRule="exact"/>
              <w:jc w:val="center"/>
              <w:textAlignment w:val="auto"/>
            </w:pPr>
            <w:r>
              <w:t>西</w:t>
            </w:r>
          </w:p>
        </w:tc>
        <w:tc>
          <w:tcPr>
            <w:tcW w:w="668" w:type="dxa"/>
            <w:vAlign w:val="center"/>
          </w:tcPr>
          <w:p w14:paraId="71E2E7C7">
            <w:pPr>
              <w:pStyle w:val="14"/>
              <w:keepNext w:val="0"/>
              <w:keepLines w:val="0"/>
              <w:pageBreakBefore w:val="0"/>
              <w:widowControl w:val="0"/>
              <w:kinsoku/>
              <w:wordWrap/>
              <w:overflowPunct/>
              <w:topLinePunct w:val="0"/>
              <w:autoSpaceDE/>
              <w:autoSpaceDN/>
              <w:bidi w:val="0"/>
              <w:adjustRightInd/>
              <w:snapToGrid/>
              <w:spacing w:line="280" w:lineRule="exact"/>
              <w:jc w:val="center"/>
              <w:textAlignment w:val="auto"/>
            </w:pPr>
            <w:r>
              <w:t>540</w:t>
            </w:r>
          </w:p>
        </w:tc>
        <w:tc>
          <w:tcPr>
            <w:tcW w:w="1067" w:type="dxa"/>
            <w:vAlign w:val="center"/>
          </w:tcPr>
          <w:p w14:paraId="210A7152">
            <w:pPr>
              <w:pStyle w:val="14"/>
              <w:keepNext w:val="0"/>
              <w:keepLines w:val="0"/>
              <w:pageBreakBefore w:val="0"/>
              <w:widowControl w:val="0"/>
              <w:kinsoku/>
              <w:wordWrap/>
              <w:overflowPunct/>
              <w:topLinePunct w:val="0"/>
              <w:autoSpaceDE/>
              <w:autoSpaceDN/>
              <w:bidi w:val="0"/>
              <w:adjustRightInd/>
              <w:snapToGrid/>
              <w:spacing w:line="280" w:lineRule="exact"/>
              <w:jc w:val="center"/>
              <w:textAlignment w:val="auto"/>
            </w:pPr>
            <w:r>
              <w:t>成品库</w:t>
            </w:r>
          </w:p>
        </w:tc>
        <w:tc>
          <w:tcPr>
            <w:tcW w:w="1058" w:type="dxa"/>
            <w:vAlign w:val="center"/>
          </w:tcPr>
          <w:p w14:paraId="47DECB1C">
            <w:pPr>
              <w:pStyle w:val="14"/>
              <w:keepNext w:val="0"/>
              <w:keepLines w:val="0"/>
              <w:pageBreakBefore w:val="0"/>
              <w:widowControl w:val="0"/>
              <w:kinsoku/>
              <w:wordWrap/>
              <w:overflowPunct/>
              <w:topLinePunct w:val="0"/>
              <w:autoSpaceDE/>
              <w:autoSpaceDN/>
              <w:bidi w:val="0"/>
              <w:adjustRightInd/>
              <w:snapToGrid/>
              <w:spacing w:line="280" w:lineRule="exact"/>
              <w:jc w:val="center"/>
              <w:textAlignment w:val="auto"/>
            </w:pPr>
            <w:r>
              <w:t>1.3</w:t>
            </w:r>
          </w:p>
        </w:tc>
        <w:tc>
          <w:tcPr>
            <w:tcW w:w="1068" w:type="dxa"/>
            <w:vAlign w:val="center"/>
          </w:tcPr>
          <w:p w14:paraId="186AD3FB">
            <w:pPr>
              <w:pStyle w:val="14"/>
              <w:keepNext w:val="0"/>
              <w:keepLines w:val="0"/>
              <w:pageBreakBefore w:val="0"/>
              <w:widowControl w:val="0"/>
              <w:kinsoku/>
              <w:wordWrap/>
              <w:overflowPunct/>
              <w:topLinePunct w:val="0"/>
              <w:autoSpaceDE/>
              <w:autoSpaceDN/>
              <w:bidi w:val="0"/>
              <w:adjustRightInd/>
              <w:snapToGrid/>
              <w:spacing w:line="280" w:lineRule="exact"/>
              <w:jc w:val="center"/>
              <w:textAlignment w:val="auto"/>
            </w:pPr>
            <w:r>
              <w:t>9000</w:t>
            </w:r>
          </w:p>
        </w:tc>
        <w:tc>
          <w:tcPr>
            <w:tcW w:w="1728" w:type="dxa"/>
            <w:vAlign w:val="center"/>
          </w:tcPr>
          <w:p w14:paraId="3FA851C9">
            <w:pPr>
              <w:pStyle w:val="14"/>
              <w:keepNext w:val="0"/>
              <w:keepLines w:val="0"/>
              <w:pageBreakBefore w:val="0"/>
              <w:widowControl w:val="0"/>
              <w:kinsoku/>
              <w:wordWrap/>
              <w:overflowPunct/>
              <w:topLinePunct w:val="0"/>
              <w:autoSpaceDE/>
              <w:autoSpaceDN/>
              <w:bidi w:val="0"/>
              <w:adjustRightInd/>
              <w:snapToGrid/>
              <w:spacing w:line="280" w:lineRule="exact"/>
              <w:jc w:val="center"/>
              <w:textAlignment w:val="auto"/>
            </w:pPr>
            <w:r>
              <w:t>山地</w:t>
            </w:r>
          </w:p>
        </w:tc>
        <w:tc>
          <w:tcPr>
            <w:tcW w:w="1329" w:type="dxa"/>
            <w:vAlign w:val="center"/>
          </w:tcPr>
          <w:p w14:paraId="0966DB3E">
            <w:pPr>
              <w:pStyle w:val="14"/>
              <w:keepNext w:val="0"/>
              <w:keepLines w:val="0"/>
              <w:pageBreakBefore w:val="0"/>
              <w:widowControl w:val="0"/>
              <w:kinsoku/>
              <w:wordWrap/>
              <w:overflowPunct/>
              <w:topLinePunct w:val="0"/>
              <w:autoSpaceDE/>
              <w:autoSpaceDN/>
              <w:bidi w:val="0"/>
              <w:adjustRightInd/>
              <w:snapToGrid/>
              <w:spacing w:line="280" w:lineRule="exact"/>
              <w:jc w:val="center"/>
              <w:textAlignment w:val="auto"/>
            </w:pPr>
            <w:r>
              <w:t>/</w:t>
            </w:r>
          </w:p>
        </w:tc>
        <w:tc>
          <w:tcPr>
            <w:tcW w:w="1011" w:type="dxa"/>
            <w:vAlign w:val="center"/>
          </w:tcPr>
          <w:p w14:paraId="44765B29">
            <w:pPr>
              <w:pStyle w:val="14"/>
              <w:keepNext w:val="0"/>
              <w:keepLines w:val="0"/>
              <w:pageBreakBefore w:val="0"/>
              <w:widowControl w:val="0"/>
              <w:kinsoku/>
              <w:wordWrap/>
              <w:overflowPunct/>
              <w:topLinePunct w:val="0"/>
              <w:autoSpaceDE/>
              <w:autoSpaceDN/>
              <w:bidi w:val="0"/>
              <w:adjustRightInd/>
              <w:snapToGrid/>
              <w:spacing w:line="280" w:lineRule="exact"/>
              <w:jc w:val="center"/>
              <w:textAlignment w:val="auto"/>
            </w:pPr>
            <w:r>
              <w:t>/</w:t>
            </w:r>
          </w:p>
        </w:tc>
      </w:tr>
      <w:tr w14:paraId="757E92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6" w:hRule="atLeast"/>
        </w:trPr>
        <w:tc>
          <w:tcPr>
            <w:tcW w:w="888" w:type="dxa"/>
            <w:vAlign w:val="center"/>
          </w:tcPr>
          <w:p w14:paraId="38C9D216">
            <w:pPr>
              <w:pStyle w:val="14"/>
              <w:keepNext w:val="0"/>
              <w:keepLines w:val="0"/>
              <w:pageBreakBefore w:val="0"/>
              <w:widowControl w:val="0"/>
              <w:kinsoku/>
              <w:wordWrap/>
              <w:overflowPunct/>
              <w:topLinePunct w:val="0"/>
              <w:autoSpaceDE/>
              <w:autoSpaceDN/>
              <w:bidi w:val="0"/>
              <w:adjustRightInd/>
              <w:snapToGrid/>
              <w:spacing w:line="280" w:lineRule="exact"/>
              <w:jc w:val="center"/>
              <w:textAlignment w:val="auto"/>
            </w:pPr>
            <w:r>
              <w:t>北</w:t>
            </w:r>
          </w:p>
        </w:tc>
        <w:tc>
          <w:tcPr>
            <w:tcW w:w="668" w:type="dxa"/>
            <w:vAlign w:val="center"/>
          </w:tcPr>
          <w:p w14:paraId="6409C2B2">
            <w:pPr>
              <w:pStyle w:val="14"/>
              <w:keepNext w:val="0"/>
              <w:keepLines w:val="0"/>
              <w:pageBreakBefore w:val="0"/>
              <w:widowControl w:val="0"/>
              <w:kinsoku/>
              <w:wordWrap/>
              <w:overflowPunct/>
              <w:topLinePunct w:val="0"/>
              <w:autoSpaceDE/>
              <w:autoSpaceDN/>
              <w:bidi w:val="0"/>
              <w:adjustRightInd/>
              <w:snapToGrid/>
              <w:spacing w:line="280" w:lineRule="exact"/>
              <w:jc w:val="center"/>
              <w:textAlignment w:val="auto"/>
            </w:pPr>
            <w:r>
              <w:t>540</w:t>
            </w:r>
          </w:p>
        </w:tc>
        <w:tc>
          <w:tcPr>
            <w:tcW w:w="1067" w:type="dxa"/>
            <w:vAlign w:val="center"/>
          </w:tcPr>
          <w:p w14:paraId="12C8DFC4">
            <w:pPr>
              <w:pStyle w:val="14"/>
              <w:keepNext w:val="0"/>
              <w:keepLines w:val="0"/>
              <w:pageBreakBefore w:val="0"/>
              <w:widowControl w:val="0"/>
              <w:kinsoku/>
              <w:wordWrap/>
              <w:overflowPunct/>
              <w:topLinePunct w:val="0"/>
              <w:autoSpaceDE/>
              <w:autoSpaceDN/>
              <w:bidi w:val="0"/>
              <w:adjustRightInd/>
              <w:snapToGrid/>
              <w:spacing w:line="280" w:lineRule="exact"/>
              <w:jc w:val="center"/>
              <w:textAlignment w:val="auto"/>
            </w:pPr>
            <w:r>
              <w:t>成品库</w:t>
            </w:r>
          </w:p>
        </w:tc>
        <w:tc>
          <w:tcPr>
            <w:tcW w:w="1058" w:type="dxa"/>
            <w:vAlign w:val="center"/>
          </w:tcPr>
          <w:p w14:paraId="70634E74">
            <w:pPr>
              <w:pStyle w:val="14"/>
              <w:keepNext w:val="0"/>
              <w:keepLines w:val="0"/>
              <w:pageBreakBefore w:val="0"/>
              <w:widowControl w:val="0"/>
              <w:kinsoku/>
              <w:wordWrap/>
              <w:overflowPunct/>
              <w:topLinePunct w:val="0"/>
              <w:autoSpaceDE/>
              <w:autoSpaceDN/>
              <w:bidi w:val="0"/>
              <w:adjustRightInd/>
              <w:snapToGrid/>
              <w:spacing w:line="280" w:lineRule="exact"/>
              <w:jc w:val="center"/>
              <w:textAlignment w:val="auto"/>
            </w:pPr>
            <w:r>
              <w:t>1.3</w:t>
            </w:r>
          </w:p>
        </w:tc>
        <w:tc>
          <w:tcPr>
            <w:tcW w:w="1068" w:type="dxa"/>
            <w:vAlign w:val="center"/>
          </w:tcPr>
          <w:p w14:paraId="1907AC9B">
            <w:pPr>
              <w:pStyle w:val="14"/>
              <w:keepNext w:val="0"/>
              <w:keepLines w:val="0"/>
              <w:pageBreakBefore w:val="0"/>
              <w:widowControl w:val="0"/>
              <w:kinsoku/>
              <w:wordWrap/>
              <w:overflowPunct/>
              <w:topLinePunct w:val="0"/>
              <w:autoSpaceDE/>
              <w:autoSpaceDN/>
              <w:bidi w:val="0"/>
              <w:adjustRightInd/>
              <w:snapToGrid/>
              <w:spacing w:line="280" w:lineRule="exact"/>
              <w:jc w:val="center"/>
              <w:textAlignment w:val="auto"/>
            </w:pPr>
            <w:r>
              <w:t>9000</w:t>
            </w:r>
          </w:p>
        </w:tc>
        <w:tc>
          <w:tcPr>
            <w:tcW w:w="1728" w:type="dxa"/>
            <w:vAlign w:val="center"/>
          </w:tcPr>
          <w:p w14:paraId="006BB069">
            <w:pPr>
              <w:pStyle w:val="14"/>
              <w:keepNext w:val="0"/>
              <w:keepLines w:val="0"/>
              <w:pageBreakBefore w:val="0"/>
              <w:widowControl w:val="0"/>
              <w:kinsoku/>
              <w:wordWrap/>
              <w:overflowPunct/>
              <w:topLinePunct w:val="0"/>
              <w:autoSpaceDE/>
              <w:autoSpaceDN/>
              <w:bidi w:val="0"/>
              <w:adjustRightInd/>
              <w:snapToGrid/>
              <w:spacing w:line="280" w:lineRule="exact"/>
              <w:jc w:val="center"/>
              <w:textAlignment w:val="auto"/>
            </w:pPr>
            <w:r>
              <w:t>外部花炮厂成品仓库</w:t>
            </w:r>
          </w:p>
        </w:tc>
        <w:tc>
          <w:tcPr>
            <w:tcW w:w="1329" w:type="dxa"/>
            <w:vAlign w:val="center"/>
          </w:tcPr>
          <w:p w14:paraId="5A21A996">
            <w:pPr>
              <w:pStyle w:val="14"/>
              <w:keepNext w:val="0"/>
              <w:keepLines w:val="0"/>
              <w:pageBreakBefore w:val="0"/>
              <w:widowControl w:val="0"/>
              <w:kinsoku/>
              <w:wordWrap/>
              <w:overflowPunct/>
              <w:topLinePunct w:val="0"/>
              <w:autoSpaceDE/>
              <w:autoSpaceDN/>
              <w:bidi w:val="0"/>
              <w:adjustRightInd/>
              <w:snapToGrid/>
              <w:spacing w:line="280" w:lineRule="exact"/>
              <w:jc w:val="center"/>
              <w:textAlignment w:val="auto"/>
            </w:pPr>
            <w:r>
              <w:t>65</w:t>
            </w:r>
          </w:p>
        </w:tc>
        <w:tc>
          <w:tcPr>
            <w:tcW w:w="1011" w:type="dxa"/>
            <w:vAlign w:val="center"/>
          </w:tcPr>
          <w:p w14:paraId="614D1FD8">
            <w:pPr>
              <w:pStyle w:val="14"/>
              <w:keepNext w:val="0"/>
              <w:keepLines w:val="0"/>
              <w:pageBreakBefore w:val="0"/>
              <w:widowControl w:val="0"/>
              <w:kinsoku/>
              <w:wordWrap/>
              <w:overflowPunct/>
              <w:topLinePunct w:val="0"/>
              <w:autoSpaceDE/>
              <w:autoSpaceDN/>
              <w:bidi w:val="0"/>
              <w:adjustRightInd/>
              <w:snapToGrid/>
              <w:spacing w:line="280" w:lineRule="exact"/>
              <w:jc w:val="center"/>
              <w:textAlignment w:val="auto"/>
            </w:pPr>
            <w:r>
              <w:t>143</w:t>
            </w:r>
          </w:p>
        </w:tc>
      </w:tr>
      <w:tr w14:paraId="2C3B2B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5" w:hRule="atLeast"/>
        </w:trPr>
        <w:tc>
          <w:tcPr>
            <w:tcW w:w="8817" w:type="dxa"/>
            <w:gridSpan w:val="8"/>
            <w:vAlign w:val="center"/>
          </w:tcPr>
          <w:p w14:paraId="725D593D">
            <w:pPr>
              <w:pStyle w:val="14"/>
              <w:keepNext w:val="0"/>
              <w:keepLines w:val="0"/>
              <w:pageBreakBefore w:val="0"/>
              <w:widowControl w:val="0"/>
              <w:kinsoku/>
              <w:wordWrap/>
              <w:overflowPunct/>
              <w:topLinePunct w:val="0"/>
              <w:autoSpaceDE/>
              <w:autoSpaceDN/>
              <w:bidi w:val="0"/>
              <w:adjustRightInd/>
              <w:snapToGrid/>
              <w:spacing w:line="280" w:lineRule="exact"/>
              <w:jc w:val="center"/>
              <w:textAlignment w:val="auto"/>
            </w:pPr>
            <w:r>
              <w:t>注：以上数据均</w:t>
            </w:r>
            <w:r>
              <w:rPr>
                <w:rFonts w:hint="eastAsia"/>
                <w:lang w:val="en-US" w:eastAsia="zh-CN"/>
              </w:rPr>
              <w:t>引自</w:t>
            </w:r>
            <w:r>
              <w:t>企业提供</w:t>
            </w:r>
            <w:r>
              <w:rPr>
                <w:rFonts w:hint="eastAsia"/>
                <w:lang w:val="en-US" w:eastAsia="zh-CN"/>
              </w:rPr>
              <w:t>的、</w:t>
            </w:r>
            <w:r>
              <w:t>由</w:t>
            </w:r>
            <w:r>
              <w:rPr>
                <w:rFonts w:hint="eastAsia"/>
                <w:lang w:val="en-US" w:eastAsia="zh-CN"/>
              </w:rPr>
              <w:t>黑龙江龙维化学工程设计有限公司2024年10月</w:t>
            </w:r>
            <w:r>
              <w:t>出具的总平面布置图中的对齐标注数据</w:t>
            </w:r>
          </w:p>
        </w:tc>
      </w:tr>
    </w:tbl>
    <w:p w14:paraId="70C4D147">
      <w:pPr>
        <w:bidi w:val="0"/>
      </w:pPr>
      <w:r>
        <w:t>表2.7-3该项目租赁的542号成品库与外部距离情况一览表</w:t>
      </w:r>
    </w:p>
    <w:tbl>
      <w:tblPr>
        <w:tblStyle w:val="105"/>
        <w:tblW w:w="8796" w:type="dxa"/>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88"/>
        <w:gridCol w:w="669"/>
        <w:gridCol w:w="1066"/>
        <w:gridCol w:w="1057"/>
        <w:gridCol w:w="1067"/>
        <w:gridCol w:w="1988"/>
        <w:gridCol w:w="1067"/>
        <w:gridCol w:w="994"/>
      </w:tblGrid>
      <w:tr w14:paraId="06DE76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8" w:hRule="atLeast"/>
        </w:trPr>
        <w:tc>
          <w:tcPr>
            <w:tcW w:w="888" w:type="dxa"/>
            <w:vAlign w:val="center"/>
          </w:tcPr>
          <w:p w14:paraId="04BAF95F">
            <w:pPr>
              <w:pStyle w:val="14"/>
              <w:keepNext w:val="0"/>
              <w:keepLines w:val="0"/>
              <w:pageBreakBefore w:val="0"/>
              <w:widowControl w:val="0"/>
              <w:kinsoku/>
              <w:wordWrap/>
              <w:overflowPunct/>
              <w:topLinePunct w:val="0"/>
              <w:autoSpaceDE/>
              <w:autoSpaceDN/>
              <w:bidi w:val="0"/>
              <w:adjustRightInd/>
              <w:snapToGrid/>
              <w:spacing w:line="280" w:lineRule="exact"/>
              <w:jc w:val="center"/>
              <w:textAlignment w:val="auto"/>
            </w:pPr>
            <w:r>
              <w:t>方位</w:t>
            </w:r>
          </w:p>
        </w:tc>
        <w:tc>
          <w:tcPr>
            <w:tcW w:w="669" w:type="dxa"/>
            <w:vAlign w:val="center"/>
          </w:tcPr>
          <w:p w14:paraId="28B2D212">
            <w:pPr>
              <w:pStyle w:val="14"/>
              <w:keepNext w:val="0"/>
              <w:keepLines w:val="0"/>
              <w:pageBreakBefore w:val="0"/>
              <w:widowControl w:val="0"/>
              <w:kinsoku/>
              <w:wordWrap/>
              <w:overflowPunct/>
              <w:topLinePunct w:val="0"/>
              <w:autoSpaceDE/>
              <w:autoSpaceDN/>
              <w:bidi w:val="0"/>
              <w:adjustRightInd/>
              <w:snapToGrid/>
              <w:spacing w:line="280" w:lineRule="exact"/>
              <w:jc w:val="center"/>
              <w:textAlignment w:val="auto"/>
            </w:pPr>
            <w:r>
              <w:t>库房</w:t>
            </w:r>
          </w:p>
          <w:p w14:paraId="62F57FCA">
            <w:pPr>
              <w:pStyle w:val="14"/>
              <w:keepNext w:val="0"/>
              <w:keepLines w:val="0"/>
              <w:pageBreakBefore w:val="0"/>
              <w:widowControl w:val="0"/>
              <w:kinsoku/>
              <w:wordWrap/>
              <w:overflowPunct/>
              <w:topLinePunct w:val="0"/>
              <w:autoSpaceDE/>
              <w:autoSpaceDN/>
              <w:bidi w:val="0"/>
              <w:adjustRightInd/>
              <w:snapToGrid/>
              <w:spacing w:line="280" w:lineRule="exact"/>
              <w:jc w:val="center"/>
              <w:textAlignment w:val="auto"/>
            </w:pPr>
            <w:r>
              <w:t>编号</w:t>
            </w:r>
          </w:p>
        </w:tc>
        <w:tc>
          <w:tcPr>
            <w:tcW w:w="1066" w:type="dxa"/>
            <w:vAlign w:val="center"/>
          </w:tcPr>
          <w:p w14:paraId="2B718549">
            <w:pPr>
              <w:pStyle w:val="14"/>
              <w:keepNext w:val="0"/>
              <w:keepLines w:val="0"/>
              <w:pageBreakBefore w:val="0"/>
              <w:widowControl w:val="0"/>
              <w:kinsoku/>
              <w:wordWrap/>
              <w:overflowPunct/>
              <w:topLinePunct w:val="0"/>
              <w:autoSpaceDE/>
              <w:autoSpaceDN/>
              <w:bidi w:val="0"/>
              <w:adjustRightInd/>
              <w:snapToGrid/>
              <w:spacing w:line="280" w:lineRule="exact"/>
              <w:jc w:val="center"/>
              <w:textAlignment w:val="auto"/>
            </w:pPr>
            <w:r>
              <w:t>库房用途</w:t>
            </w:r>
          </w:p>
        </w:tc>
        <w:tc>
          <w:tcPr>
            <w:tcW w:w="1057" w:type="dxa"/>
            <w:vAlign w:val="center"/>
          </w:tcPr>
          <w:p w14:paraId="6911566C">
            <w:pPr>
              <w:pStyle w:val="14"/>
              <w:keepNext w:val="0"/>
              <w:keepLines w:val="0"/>
              <w:pageBreakBefore w:val="0"/>
              <w:widowControl w:val="0"/>
              <w:kinsoku/>
              <w:wordWrap/>
              <w:overflowPunct/>
              <w:topLinePunct w:val="0"/>
              <w:autoSpaceDE/>
              <w:autoSpaceDN/>
              <w:bidi w:val="0"/>
              <w:adjustRightInd/>
              <w:snapToGrid/>
              <w:spacing w:line="280" w:lineRule="exact"/>
              <w:jc w:val="center"/>
              <w:textAlignment w:val="auto"/>
            </w:pPr>
            <w:r>
              <w:t>危险等级</w:t>
            </w:r>
          </w:p>
        </w:tc>
        <w:tc>
          <w:tcPr>
            <w:tcW w:w="1067" w:type="dxa"/>
            <w:vAlign w:val="center"/>
          </w:tcPr>
          <w:p w14:paraId="61CCDCB2">
            <w:pPr>
              <w:pStyle w:val="14"/>
              <w:keepNext w:val="0"/>
              <w:keepLines w:val="0"/>
              <w:pageBreakBefore w:val="0"/>
              <w:widowControl w:val="0"/>
              <w:kinsoku/>
              <w:wordWrap/>
              <w:overflowPunct/>
              <w:topLinePunct w:val="0"/>
              <w:autoSpaceDE/>
              <w:autoSpaceDN/>
              <w:bidi w:val="0"/>
              <w:adjustRightInd/>
              <w:snapToGrid/>
              <w:spacing w:line="280" w:lineRule="exact"/>
              <w:jc w:val="center"/>
              <w:textAlignment w:val="auto"/>
            </w:pPr>
            <w:r>
              <w:t>药物限量</w:t>
            </w:r>
          </w:p>
          <w:p w14:paraId="5CE203CD">
            <w:pPr>
              <w:pStyle w:val="14"/>
              <w:keepNext w:val="0"/>
              <w:keepLines w:val="0"/>
              <w:pageBreakBefore w:val="0"/>
              <w:widowControl w:val="0"/>
              <w:kinsoku/>
              <w:wordWrap/>
              <w:overflowPunct/>
              <w:topLinePunct w:val="0"/>
              <w:autoSpaceDE/>
              <w:autoSpaceDN/>
              <w:bidi w:val="0"/>
              <w:adjustRightInd/>
              <w:snapToGrid/>
              <w:spacing w:line="280" w:lineRule="exact"/>
              <w:jc w:val="center"/>
              <w:textAlignment w:val="auto"/>
            </w:pPr>
            <w:r>
              <w:t>(kg)</w:t>
            </w:r>
          </w:p>
        </w:tc>
        <w:tc>
          <w:tcPr>
            <w:tcW w:w="1988" w:type="dxa"/>
            <w:vAlign w:val="center"/>
          </w:tcPr>
          <w:p w14:paraId="08CFFCE3">
            <w:pPr>
              <w:pStyle w:val="14"/>
              <w:keepNext w:val="0"/>
              <w:keepLines w:val="0"/>
              <w:pageBreakBefore w:val="0"/>
              <w:widowControl w:val="0"/>
              <w:kinsoku/>
              <w:wordWrap/>
              <w:overflowPunct/>
              <w:topLinePunct w:val="0"/>
              <w:autoSpaceDE/>
              <w:autoSpaceDN/>
              <w:bidi w:val="0"/>
              <w:adjustRightInd/>
              <w:snapToGrid/>
              <w:spacing w:line="280" w:lineRule="exact"/>
              <w:jc w:val="center"/>
              <w:textAlignment w:val="auto"/>
            </w:pPr>
            <w:r>
              <w:t>周边毗邻情况</w:t>
            </w:r>
          </w:p>
        </w:tc>
        <w:tc>
          <w:tcPr>
            <w:tcW w:w="1067" w:type="dxa"/>
            <w:vAlign w:val="center"/>
          </w:tcPr>
          <w:p w14:paraId="1D79B302">
            <w:pPr>
              <w:pStyle w:val="14"/>
              <w:keepNext w:val="0"/>
              <w:keepLines w:val="0"/>
              <w:pageBreakBefore w:val="0"/>
              <w:widowControl w:val="0"/>
              <w:kinsoku/>
              <w:wordWrap/>
              <w:overflowPunct/>
              <w:topLinePunct w:val="0"/>
              <w:autoSpaceDE/>
              <w:autoSpaceDN/>
              <w:bidi w:val="0"/>
              <w:adjustRightInd/>
              <w:snapToGrid/>
              <w:spacing w:line="280" w:lineRule="exact"/>
              <w:jc w:val="center"/>
              <w:textAlignment w:val="auto"/>
            </w:pPr>
            <w:r>
              <w:t>标准距离</w:t>
            </w:r>
          </w:p>
          <w:p w14:paraId="099389C2">
            <w:pPr>
              <w:pStyle w:val="14"/>
              <w:keepNext w:val="0"/>
              <w:keepLines w:val="0"/>
              <w:pageBreakBefore w:val="0"/>
              <w:widowControl w:val="0"/>
              <w:kinsoku/>
              <w:wordWrap/>
              <w:overflowPunct/>
              <w:topLinePunct w:val="0"/>
              <w:autoSpaceDE/>
              <w:autoSpaceDN/>
              <w:bidi w:val="0"/>
              <w:adjustRightInd/>
              <w:snapToGrid/>
              <w:spacing w:line="280" w:lineRule="exact"/>
              <w:jc w:val="center"/>
              <w:textAlignment w:val="auto"/>
            </w:pPr>
            <w:r>
              <w:t>(m)</w:t>
            </w:r>
          </w:p>
        </w:tc>
        <w:tc>
          <w:tcPr>
            <w:tcW w:w="994" w:type="dxa"/>
            <w:vAlign w:val="center"/>
          </w:tcPr>
          <w:p w14:paraId="7CE28006">
            <w:pPr>
              <w:pStyle w:val="14"/>
              <w:keepNext w:val="0"/>
              <w:keepLines w:val="0"/>
              <w:pageBreakBefore w:val="0"/>
              <w:widowControl w:val="0"/>
              <w:kinsoku/>
              <w:wordWrap/>
              <w:overflowPunct/>
              <w:topLinePunct w:val="0"/>
              <w:autoSpaceDE/>
              <w:autoSpaceDN/>
              <w:bidi w:val="0"/>
              <w:adjustRightInd/>
              <w:snapToGrid/>
              <w:spacing w:line="280" w:lineRule="exact"/>
              <w:jc w:val="center"/>
              <w:textAlignment w:val="auto"/>
            </w:pPr>
            <w:r>
              <w:t>实际距离</w:t>
            </w:r>
          </w:p>
          <w:p w14:paraId="01AA1759">
            <w:pPr>
              <w:pStyle w:val="14"/>
              <w:keepNext w:val="0"/>
              <w:keepLines w:val="0"/>
              <w:pageBreakBefore w:val="0"/>
              <w:widowControl w:val="0"/>
              <w:kinsoku/>
              <w:wordWrap/>
              <w:overflowPunct/>
              <w:topLinePunct w:val="0"/>
              <w:autoSpaceDE/>
              <w:autoSpaceDN/>
              <w:bidi w:val="0"/>
              <w:adjustRightInd/>
              <w:snapToGrid/>
              <w:spacing w:line="280" w:lineRule="exact"/>
              <w:jc w:val="center"/>
              <w:textAlignment w:val="auto"/>
            </w:pPr>
            <w:r>
              <w:t>(m)</w:t>
            </w:r>
          </w:p>
        </w:tc>
      </w:tr>
      <w:tr w14:paraId="65308C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3" w:hRule="atLeast"/>
        </w:trPr>
        <w:tc>
          <w:tcPr>
            <w:tcW w:w="888" w:type="dxa"/>
            <w:vAlign w:val="center"/>
          </w:tcPr>
          <w:p w14:paraId="7E9A3B50">
            <w:pPr>
              <w:pStyle w:val="14"/>
              <w:keepNext w:val="0"/>
              <w:keepLines w:val="0"/>
              <w:pageBreakBefore w:val="0"/>
              <w:widowControl w:val="0"/>
              <w:kinsoku/>
              <w:wordWrap/>
              <w:overflowPunct/>
              <w:topLinePunct w:val="0"/>
              <w:autoSpaceDE/>
              <w:autoSpaceDN/>
              <w:bidi w:val="0"/>
              <w:adjustRightInd/>
              <w:snapToGrid/>
              <w:spacing w:line="280" w:lineRule="exact"/>
              <w:jc w:val="center"/>
              <w:textAlignment w:val="auto"/>
            </w:pPr>
            <w:r>
              <w:t>东</w:t>
            </w:r>
          </w:p>
        </w:tc>
        <w:tc>
          <w:tcPr>
            <w:tcW w:w="669" w:type="dxa"/>
            <w:vAlign w:val="center"/>
          </w:tcPr>
          <w:p w14:paraId="13D004FE">
            <w:pPr>
              <w:pStyle w:val="14"/>
              <w:keepNext w:val="0"/>
              <w:keepLines w:val="0"/>
              <w:pageBreakBefore w:val="0"/>
              <w:widowControl w:val="0"/>
              <w:kinsoku/>
              <w:wordWrap/>
              <w:overflowPunct/>
              <w:topLinePunct w:val="0"/>
              <w:autoSpaceDE/>
              <w:autoSpaceDN/>
              <w:bidi w:val="0"/>
              <w:adjustRightInd/>
              <w:snapToGrid/>
              <w:spacing w:line="280" w:lineRule="exact"/>
              <w:jc w:val="center"/>
              <w:textAlignment w:val="auto"/>
            </w:pPr>
            <w:r>
              <w:t>542</w:t>
            </w:r>
          </w:p>
        </w:tc>
        <w:tc>
          <w:tcPr>
            <w:tcW w:w="1066" w:type="dxa"/>
            <w:vAlign w:val="center"/>
          </w:tcPr>
          <w:p w14:paraId="3F00911F">
            <w:pPr>
              <w:pStyle w:val="14"/>
              <w:keepNext w:val="0"/>
              <w:keepLines w:val="0"/>
              <w:pageBreakBefore w:val="0"/>
              <w:widowControl w:val="0"/>
              <w:kinsoku/>
              <w:wordWrap/>
              <w:overflowPunct/>
              <w:topLinePunct w:val="0"/>
              <w:autoSpaceDE/>
              <w:autoSpaceDN/>
              <w:bidi w:val="0"/>
              <w:adjustRightInd/>
              <w:snapToGrid/>
              <w:spacing w:line="280" w:lineRule="exact"/>
              <w:jc w:val="center"/>
              <w:textAlignment w:val="auto"/>
            </w:pPr>
            <w:r>
              <w:t>成品库</w:t>
            </w:r>
          </w:p>
        </w:tc>
        <w:tc>
          <w:tcPr>
            <w:tcW w:w="1057" w:type="dxa"/>
            <w:vAlign w:val="center"/>
          </w:tcPr>
          <w:p w14:paraId="25C0E1B0">
            <w:pPr>
              <w:pStyle w:val="14"/>
              <w:keepNext w:val="0"/>
              <w:keepLines w:val="0"/>
              <w:pageBreakBefore w:val="0"/>
              <w:widowControl w:val="0"/>
              <w:kinsoku/>
              <w:wordWrap/>
              <w:overflowPunct/>
              <w:topLinePunct w:val="0"/>
              <w:autoSpaceDE/>
              <w:autoSpaceDN/>
              <w:bidi w:val="0"/>
              <w:adjustRightInd/>
              <w:snapToGrid/>
              <w:spacing w:line="280" w:lineRule="exact"/>
              <w:jc w:val="center"/>
              <w:textAlignment w:val="auto"/>
            </w:pPr>
            <w:r>
              <w:t>1.3</w:t>
            </w:r>
          </w:p>
        </w:tc>
        <w:tc>
          <w:tcPr>
            <w:tcW w:w="1067" w:type="dxa"/>
            <w:vAlign w:val="center"/>
          </w:tcPr>
          <w:p w14:paraId="2E403432">
            <w:pPr>
              <w:pStyle w:val="14"/>
              <w:keepNext w:val="0"/>
              <w:keepLines w:val="0"/>
              <w:pageBreakBefore w:val="0"/>
              <w:widowControl w:val="0"/>
              <w:kinsoku/>
              <w:wordWrap/>
              <w:overflowPunct/>
              <w:topLinePunct w:val="0"/>
              <w:autoSpaceDE/>
              <w:autoSpaceDN/>
              <w:bidi w:val="0"/>
              <w:adjustRightInd/>
              <w:snapToGrid/>
              <w:spacing w:line="280" w:lineRule="exact"/>
              <w:jc w:val="center"/>
              <w:textAlignment w:val="auto"/>
            </w:pPr>
            <w:r>
              <w:t>5000</w:t>
            </w:r>
          </w:p>
        </w:tc>
        <w:tc>
          <w:tcPr>
            <w:tcW w:w="1988" w:type="dxa"/>
            <w:vAlign w:val="center"/>
          </w:tcPr>
          <w:p w14:paraId="3EBB8581">
            <w:pPr>
              <w:pStyle w:val="14"/>
              <w:keepNext w:val="0"/>
              <w:keepLines w:val="0"/>
              <w:pageBreakBefore w:val="0"/>
              <w:widowControl w:val="0"/>
              <w:kinsoku/>
              <w:wordWrap/>
              <w:overflowPunct/>
              <w:topLinePunct w:val="0"/>
              <w:autoSpaceDE/>
              <w:autoSpaceDN/>
              <w:bidi w:val="0"/>
              <w:adjustRightInd/>
              <w:snapToGrid/>
              <w:spacing w:line="280" w:lineRule="exact"/>
              <w:jc w:val="center"/>
              <w:textAlignment w:val="auto"/>
            </w:pPr>
            <w:r>
              <w:t>山地</w:t>
            </w:r>
          </w:p>
        </w:tc>
        <w:tc>
          <w:tcPr>
            <w:tcW w:w="1067" w:type="dxa"/>
            <w:vAlign w:val="center"/>
          </w:tcPr>
          <w:p w14:paraId="6F88810D">
            <w:pPr>
              <w:pStyle w:val="14"/>
              <w:keepNext w:val="0"/>
              <w:keepLines w:val="0"/>
              <w:pageBreakBefore w:val="0"/>
              <w:widowControl w:val="0"/>
              <w:kinsoku/>
              <w:wordWrap/>
              <w:overflowPunct/>
              <w:topLinePunct w:val="0"/>
              <w:autoSpaceDE/>
              <w:autoSpaceDN/>
              <w:bidi w:val="0"/>
              <w:adjustRightInd/>
              <w:snapToGrid/>
              <w:spacing w:line="280" w:lineRule="exact"/>
              <w:jc w:val="center"/>
              <w:textAlignment w:val="auto"/>
            </w:pPr>
            <w:r>
              <w:t>/</w:t>
            </w:r>
          </w:p>
        </w:tc>
        <w:tc>
          <w:tcPr>
            <w:tcW w:w="994" w:type="dxa"/>
            <w:vAlign w:val="center"/>
          </w:tcPr>
          <w:p w14:paraId="7DADD6A2">
            <w:pPr>
              <w:pStyle w:val="14"/>
              <w:keepNext w:val="0"/>
              <w:keepLines w:val="0"/>
              <w:pageBreakBefore w:val="0"/>
              <w:widowControl w:val="0"/>
              <w:kinsoku/>
              <w:wordWrap/>
              <w:overflowPunct/>
              <w:topLinePunct w:val="0"/>
              <w:autoSpaceDE/>
              <w:autoSpaceDN/>
              <w:bidi w:val="0"/>
              <w:adjustRightInd/>
              <w:snapToGrid/>
              <w:spacing w:line="280" w:lineRule="exact"/>
              <w:jc w:val="center"/>
              <w:textAlignment w:val="auto"/>
            </w:pPr>
            <w:r>
              <w:t>/</w:t>
            </w:r>
          </w:p>
        </w:tc>
      </w:tr>
      <w:tr w14:paraId="21DF1A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2" w:hRule="atLeast"/>
        </w:trPr>
        <w:tc>
          <w:tcPr>
            <w:tcW w:w="888" w:type="dxa"/>
            <w:vAlign w:val="center"/>
          </w:tcPr>
          <w:p w14:paraId="545AC10A">
            <w:pPr>
              <w:pStyle w:val="14"/>
              <w:keepNext w:val="0"/>
              <w:keepLines w:val="0"/>
              <w:pageBreakBefore w:val="0"/>
              <w:widowControl w:val="0"/>
              <w:kinsoku/>
              <w:wordWrap/>
              <w:overflowPunct/>
              <w:topLinePunct w:val="0"/>
              <w:autoSpaceDE/>
              <w:autoSpaceDN/>
              <w:bidi w:val="0"/>
              <w:adjustRightInd/>
              <w:snapToGrid/>
              <w:spacing w:line="280" w:lineRule="exact"/>
              <w:jc w:val="center"/>
              <w:textAlignment w:val="auto"/>
            </w:pPr>
            <w:r>
              <w:t>南</w:t>
            </w:r>
          </w:p>
        </w:tc>
        <w:tc>
          <w:tcPr>
            <w:tcW w:w="669" w:type="dxa"/>
            <w:vAlign w:val="center"/>
          </w:tcPr>
          <w:p w14:paraId="31935B9D">
            <w:pPr>
              <w:pStyle w:val="14"/>
              <w:keepNext w:val="0"/>
              <w:keepLines w:val="0"/>
              <w:pageBreakBefore w:val="0"/>
              <w:widowControl w:val="0"/>
              <w:kinsoku/>
              <w:wordWrap/>
              <w:overflowPunct/>
              <w:topLinePunct w:val="0"/>
              <w:autoSpaceDE/>
              <w:autoSpaceDN/>
              <w:bidi w:val="0"/>
              <w:adjustRightInd/>
              <w:snapToGrid/>
              <w:spacing w:line="280" w:lineRule="exact"/>
              <w:jc w:val="center"/>
              <w:textAlignment w:val="auto"/>
            </w:pPr>
            <w:r>
              <w:t>542</w:t>
            </w:r>
          </w:p>
        </w:tc>
        <w:tc>
          <w:tcPr>
            <w:tcW w:w="1066" w:type="dxa"/>
            <w:vAlign w:val="center"/>
          </w:tcPr>
          <w:p w14:paraId="17823B10">
            <w:pPr>
              <w:pStyle w:val="14"/>
              <w:keepNext w:val="0"/>
              <w:keepLines w:val="0"/>
              <w:pageBreakBefore w:val="0"/>
              <w:widowControl w:val="0"/>
              <w:kinsoku/>
              <w:wordWrap/>
              <w:overflowPunct/>
              <w:topLinePunct w:val="0"/>
              <w:autoSpaceDE/>
              <w:autoSpaceDN/>
              <w:bidi w:val="0"/>
              <w:adjustRightInd/>
              <w:snapToGrid/>
              <w:spacing w:line="280" w:lineRule="exact"/>
              <w:jc w:val="center"/>
              <w:textAlignment w:val="auto"/>
            </w:pPr>
            <w:r>
              <w:t>成品库</w:t>
            </w:r>
          </w:p>
        </w:tc>
        <w:tc>
          <w:tcPr>
            <w:tcW w:w="1057" w:type="dxa"/>
            <w:vAlign w:val="center"/>
          </w:tcPr>
          <w:p w14:paraId="2EA0CF4B">
            <w:pPr>
              <w:pStyle w:val="14"/>
              <w:keepNext w:val="0"/>
              <w:keepLines w:val="0"/>
              <w:pageBreakBefore w:val="0"/>
              <w:widowControl w:val="0"/>
              <w:kinsoku/>
              <w:wordWrap/>
              <w:overflowPunct/>
              <w:topLinePunct w:val="0"/>
              <w:autoSpaceDE/>
              <w:autoSpaceDN/>
              <w:bidi w:val="0"/>
              <w:adjustRightInd/>
              <w:snapToGrid/>
              <w:spacing w:line="280" w:lineRule="exact"/>
              <w:jc w:val="center"/>
              <w:textAlignment w:val="auto"/>
            </w:pPr>
            <w:r>
              <w:t>1.3</w:t>
            </w:r>
          </w:p>
        </w:tc>
        <w:tc>
          <w:tcPr>
            <w:tcW w:w="1067" w:type="dxa"/>
            <w:vAlign w:val="center"/>
          </w:tcPr>
          <w:p w14:paraId="2AE92CAD">
            <w:pPr>
              <w:pStyle w:val="14"/>
              <w:keepNext w:val="0"/>
              <w:keepLines w:val="0"/>
              <w:pageBreakBefore w:val="0"/>
              <w:widowControl w:val="0"/>
              <w:kinsoku/>
              <w:wordWrap/>
              <w:overflowPunct/>
              <w:topLinePunct w:val="0"/>
              <w:autoSpaceDE/>
              <w:autoSpaceDN/>
              <w:bidi w:val="0"/>
              <w:adjustRightInd/>
              <w:snapToGrid/>
              <w:spacing w:line="280" w:lineRule="exact"/>
              <w:jc w:val="center"/>
              <w:textAlignment w:val="auto"/>
            </w:pPr>
            <w:r>
              <w:t>5000</w:t>
            </w:r>
          </w:p>
        </w:tc>
        <w:tc>
          <w:tcPr>
            <w:tcW w:w="1988" w:type="dxa"/>
            <w:vAlign w:val="center"/>
          </w:tcPr>
          <w:p w14:paraId="6A236904">
            <w:pPr>
              <w:pStyle w:val="14"/>
              <w:keepNext w:val="0"/>
              <w:keepLines w:val="0"/>
              <w:pageBreakBefore w:val="0"/>
              <w:widowControl w:val="0"/>
              <w:kinsoku/>
              <w:wordWrap/>
              <w:overflowPunct/>
              <w:topLinePunct w:val="0"/>
              <w:autoSpaceDE/>
              <w:autoSpaceDN/>
              <w:bidi w:val="0"/>
              <w:adjustRightInd/>
              <w:snapToGrid/>
              <w:spacing w:line="280" w:lineRule="exact"/>
              <w:jc w:val="center"/>
              <w:textAlignment w:val="auto"/>
            </w:pPr>
            <w:r>
              <w:t>十户以下民房</w:t>
            </w:r>
          </w:p>
        </w:tc>
        <w:tc>
          <w:tcPr>
            <w:tcW w:w="1067" w:type="dxa"/>
            <w:vAlign w:val="center"/>
          </w:tcPr>
          <w:p w14:paraId="66DC63AB">
            <w:pPr>
              <w:pStyle w:val="14"/>
              <w:keepNext w:val="0"/>
              <w:keepLines w:val="0"/>
              <w:pageBreakBefore w:val="0"/>
              <w:widowControl w:val="0"/>
              <w:kinsoku/>
              <w:wordWrap/>
              <w:overflowPunct/>
              <w:topLinePunct w:val="0"/>
              <w:autoSpaceDE/>
              <w:autoSpaceDN/>
              <w:bidi w:val="0"/>
              <w:adjustRightInd/>
              <w:snapToGrid/>
              <w:spacing w:line="280" w:lineRule="exact"/>
              <w:jc w:val="center"/>
              <w:textAlignment w:val="auto"/>
            </w:pPr>
            <w:r>
              <w:t>50</w:t>
            </w:r>
          </w:p>
        </w:tc>
        <w:tc>
          <w:tcPr>
            <w:tcW w:w="994" w:type="dxa"/>
            <w:vAlign w:val="center"/>
          </w:tcPr>
          <w:p w14:paraId="52C9E5D0">
            <w:pPr>
              <w:pStyle w:val="14"/>
              <w:keepNext w:val="0"/>
              <w:keepLines w:val="0"/>
              <w:pageBreakBefore w:val="0"/>
              <w:widowControl w:val="0"/>
              <w:kinsoku/>
              <w:wordWrap/>
              <w:overflowPunct/>
              <w:topLinePunct w:val="0"/>
              <w:autoSpaceDE/>
              <w:autoSpaceDN/>
              <w:bidi w:val="0"/>
              <w:adjustRightInd/>
              <w:snapToGrid/>
              <w:spacing w:line="280" w:lineRule="exact"/>
              <w:jc w:val="center"/>
              <w:textAlignment w:val="auto"/>
            </w:pPr>
            <w:r>
              <w:t>215</w:t>
            </w:r>
          </w:p>
        </w:tc>
      </w:tr>
      <w:tr w14:paraId="60DB03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2" w:hRule="atLeast"/>
        </w:trPr>
        <w:tc>
          <w:tcPr>
            <w:tcW w:w="888" w:type="dxa"/>
            <w:vAlign w:val="center"/>
          </w:tcPr>
          <w:p w14:paraId="042883E1">
            <w:pPr>
              <w:pStyle w:val="14"/>
              <w:keepNext w:val="0"/>
              <w:keepLines w:val="0"/>
              <w:pageBreakBefore w:val="0"/>
              <w:widowControl w:val="0"/>
              <w:kinsoku/>
              <w:wordWrap/>
              <w:overflowPunct/>
              <w:topLinePunct w:val="0"/>
              <w:autoSpaceDE/>
              <w:autoSpaceDN/>
              <w:bidi w:val="0"/>
              <w:adjustRightInd/>
              <w:snapToGrid/>
              <w:spacing w:line="280" w:lineRule="exact"/>
              <w:jc w:val="center"/>
              <w:textAlignment w:val="auto"/>
            </w:pPr>
            <w:r>
              <w:t>西</w:t>
            </w:r>
          </w:p>
        </w:tc>
        <w:tc>
          <w:tcPr>
            <w:tcW w:w="669" w:type="dxa"/>
            <w:vAlign w:val="center"/>
          </w:tcPr>
          <w:p w14:paraId="70DFD519">
            <w:pPr>
              <w:pStyle w:val="14"/>
              <w:keepNext w:val="0"/>
              <w:keepLines w:val="0"/>
              <w:pageBreakBefore w:val="0"/>
              <w:widowControl w:val="0"/>
              <w:kinsoku/>
              <w:wordWrap/>
              <w:overflowPunct/>
              <w:topLinePunct w:val="0"/>
              <w:autoSpaceDE/>
              <w:autoSpaceDN/>
              <w:bidi w:val="0"/>
              <w:adjustRightInd/>
              <w:snapToGrid/>
              <w:spacing w:line="280" w:lineRule="exact"/>
              <w:jc w:val="center"/>
              <w:textAlignment w:val="auto"/>
            </w:pPr>
            <w:r>
              <w:t>542</w:t>
            </w:r>
          </w:p>
        </w:tc>
        <w:tc>
          <w:tcPr>
            <w:tcW w:w="1066" w:type="dxa"/>
            <w:vAlign w:val="center"/>
          </w:tcPr>
          <w:p w14:paraId="47AD6A25">
            <w:pPr>
              <w:pStyle w:val="14"/>
              <w:keepNext w:val="0"/>
              <w:keepLines w:val="0"/>
              <w:pageBreakBefore w:val="0"/>
              <w:widowControl w:val="0"/>
              <w:kinsoku/>
              <w:wordWrap/>
              <w:overflowPunct/>
              <w:topLinePunct w:val="0"/>
              <w:autoSpaceDE/>
              <w:autoSpaceDN/>
              <w:bidi w:val="0"/>
              <w:adjustRightInd/>
              <w:snapToGrid/>
              <w:spacing w:line="280" w:lineRule="exact"/>
              <w:jc w:val="center"/>
              <w:textAlignment w:val="auto"/>
            </w:pPr>
            <w:r>
              <w:t>成品库</w:t>
            </w:r>
          </w:p>
        </w:tc>
        <w:tc>
          <w:tcPr>
            <w:tcW w:w="1057" w:type="dxa"/>
            <w:vAlign w:val="center"/>
          </w:tcPr>
          <w:p w14:paraId="19D8E17D">
            <w:pPr>
              <w:pStyle w:val="14"/>
              <w:keepNext w:val="0"/>
              <w:keepLines w:val="0"/>
              <w:pageBreakBefore w:val="0"/>
              <w:widowControl w:val="0"/>
              <w:kinsoku/>
              <w:wordWrap/>
              <w:overflowPunct/>
              <w:topLinePunct w:val="0"/>
              <w:autoSpaceDE/>
              <w:autoSpaceDN/>
              <w:bidi w:val="0"/>
              <w:adjustRightInd/>
              <w:snapToGrid/>
              <w:spacing w:line="280" w:lineRule="exact"/>
              <w:jc w:val="center"/>
              <w:textAlignment w:val="auto"/>
            </w:pPr>
            <w:r>
              <w:t>1.3</w:t>
            </w:r>
          </w:p>
        </w:tc>
        <w:tc>
          <w:tcPr>
            <w:tcW w:w="1067" w:type="dxa"/>
            <w:vAlign w:val="center"/>
          </w:tcPr>
          <w:p w14:paraId="4AC2276B">
            <w:pPr>
              <w:pStyle w:val="14"/>
              <w:keepNext w:val="0"/>
              <w:keepLines w:val="0"/>
              <w:pageBreakBefore w:val="0"/>
              <w:widowControl w:val="0"/>
              <w:kinsoku/>
              <w:wordWrap/>
              <w:overflowPunct/>
              <w:topLinePunct w:val="0"/>
              <w:autoSpaceDE/>
              <w:autoSpaceDN/>
              <w:bidi w:val="0"/>
              <w:adjustRightInd/>
              <w:snapToGrid/>
              <w:spacing w:line="280" w:lineRule="exact"/>
              <w:jc w:val="center"/>
              <w:textAlignment w:val="auto"/>
            </w:pPr>
            <w:r>
              <w:t>5000</w:t>
            </w:r>
          </w:p>
        </w:tc>
        <w:tc>
          <w:tcPr>
            <w:tcW w:w="1988" w:type="dxa"/>
            <w:vAlign w:val="center"/>
          </w:tcPr>
          <w:p w14:paraId="42D31407">
            <w:pPr>
              <w:pStyle w:val="14"/>
              <w:keepNext w:val="0"/>
              <w:keepLines w:val="0"/>
              <w:pageBreakBefore w:val="0"/>
              <w:widowControl w:val="0"/>
              <w:kinsoku/>
              <w:wordWrap/>
              <w:overflowPunct/>
              <w:topLinePunct w:val="0"/>
              <w:autoSpaceDE/>
              <w:autoSpaceDN/>
              <w:bidi w:val="0"/>
              <w:adjustRightInd/>
              <w:snapToGrid/>
              <w:spacing w:line="280" w:lineRule="exact"/>
              <w:jc w:val="center"/>
              <w:textAlignment w:val="auto"/>
            </w:pPr>
            <w:r>
              <w:t>山地</w:t>
            </w:r>
          </w:p>
        </w:tc>
        <w:tc>
          <w:tcPr>
            <w:tcW w:w="1067" w:type="dxa"/>
            <w:vAlign w:val="center"/>
          </w:tcPr>
          <w:p w14:paraId="23276BEB">
            <w:pPr>
              <w:pStyle w:val="14"/>
              <w:keepNext w:val="0"/>
              <w:keepLines w:val="0"/>
              <w:pageBreakBefore w:val="0"/>
              <w:widowControl w:val="0"/>
              <w:kinsoku/>
              <w:wordWrap/>
              <w:overflowPunct/>
              <w:topLinePunct w:val="0"/>
              <w:autoSpaceDE/>
              <w:autoSpaceDN/>
              <w:bidi w:val="0"/>
              <w:adjustRightInd/>
              <w:snapToGrid/>
              <w:spacing w:line="280" w:lineRule="exact"/>
              <w:jc w:val="center"/>
              <w:textAlignment w:val="auto"/>
            </w:pPr>
            <w:r>
              <w:t>/</w:t>
            </w:r>
          </w:p>
        </w:tc>
        <w:tc>
          <w:tcPr>
            <w:tcW w:w="994" w:type="dxa"/>
            <w:vAlign w:val="center"/>
          </w:tcPr>
          <w:p w14:paraId="65CA5F65">
            <w:pPr>
              <w:pStyle w:val="14"/>
              <w:keepNext w:val="0"/>
              <w:keepLines w:val="0"/>
              <w:pageBreakBefore w:val="0"/>
              <w:widowControl w:val="0"/>
              <w:kinsoku/>
              <w:wordWrap/>
              <w:overflowPunct/>
              <w:topLinePunct w:val="0"/>
              <w:autoSpaceDE/>
              <w:autoSpaceDN/>
              <w:bidi w:val="0"/>
              <w:adjustRightInd/>
              <w:snapToGrid/>
              <w:spacing w:line="280" w:lineRule="exact"/>
              <w:jc w:val="center"/>
              <w:textAlignment w:val="auto"/>
            </w:pPr>
            <w:r>
              <w:t>/</w:t>
            </w:r>
          </w:p>
        </w:tc>
      </w:tr>
      <w:tr w14:paraId="28C803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atLeast"/>
        </w:trPr>
        <w:tc>
          <w:tcPr>
            <w:tcW w:w="888" w:type="dxa"/>
            <w:vAlign w:val="center"/>
          </w:tcPr>
          <w:p w14:paraId="24BEED76">
            <w:pPr>
              <w:pStyle w:val="14"/>
              <w:keepNext w:val="0"/>
              <w:keepLines w:val="0"/>
              <w:pageBreakBefore w:val="0"/>
              <w:widowControl w:val="0"/>
              <w:kinsoku/>
              <w:wordWrap/>
              <w:overflowPunct/>
              <w:topLinePunct w:val="0"/>
              <w:autoSpaceDE/>
              <w:autoSpaceDN/>
              <w:bidi w:val="0"/>
              <w:adjustRightInd/>
              <w:snapToGrid/>
              <w:spacing w:line="280" w:lineRule="exact"/>
              <w:jc w:val="center"/>
              <w:textAlignment w:val="auto"/>
            </w:pPr>
            <w:r>
              <w:t>北</w:t>
            </w:r>
          </w:p>
        </w:tc>
        <w:tc>
          <w:tcPr>
            <w:tcW w:w="669" w:type="dxa"/>
            <w:vAlign w:val="center"/>
          </w:tcPr>
          <w:p w14:paraId="3ECEF489">
            <w:pPr>
              <w:pStyle w:val="14"/>
              <w:keepNext w:val="0"/>
              <w:keepLines w:val="0"/>
              <w:pageBreakBefore w:val="0"/>
              <w:widowControl w:val="0"/>
              <w:kinsoku/>
              <w:wordWrap/>
              <w:overflowPunct/>
              <w:topLinePunct w:val="0"/>
              <w:autoSpaceDE/>
              <w:autoSpaceDN/>
              <w:bidi w:val="0"/>
              <w:adjustRightInd/>
              <w:snapToGrid/>
              <w:spacing w:line="280" w:lineRule="exact"/>
              <w:jc w:val="center"/>
              <w:textAlignment w:val="auto"/>
            </w:pPr>
            <w:r>
              <w:t>542</w:t>
            </w:r>
          </w:p>
        </w:tc>
        <w:tc>
          <w:tcPr>
            <w:tcW w:w="1066" w:type="dxa"/>
            <w:vAlign w:val="center"/>
          </w:tcPr>
          <w:p w14:paraId="783A1265">
            <w:pPr>
              <w:pStyle w:val="14"/>
              <w:keepNext w:val="0"/>
              <w:keepLines w:val="0"/>
              <w:pageBreakBefore w:val="0"/>
              <w:widowControl w:val="0"/>
              <w:kinsoku/>
              <w:wordWrap/>
              <w:overflowPunct/>
              <w:topLinePunct w:val="0"/>
              <w:autoSpaceDE/>
              <w:autoSpaceDN/>
              <w:bidi w:val="0"/>
              <w:adjustRightInd/>
              <w:snapToGrid/>
              <w:spacing w:line="280" w:lineRule="exact"/>
              <w:jc w:val="center"/>
              <w:textAlignment w:val="auto"/>
            </w:pPr>
            <w:r>
              <w:t>成品库</w:t>
            </w:r>
          </w:p>
        </w:tc>
        <w:tc>
          <w:tcPr>
            <w:tcW w:w="1057" w:type="dxa"/>
            <w:vAlign w:val="center"/>
          </w:tcPr>
          <w:p w14:paraId="0E03CD4F">
            <w:pPr>
              <w:pStyle w:val="14"/>
              <w:keepNext w:val="0"/>
              <w:keepLines w:val="0"/>
              <w:pageBreakBefore w:val="0"/>
              <w:widowControl w:val="0"/>
              <w:kinsoku/>
              <w:wordWrap/>
              <w:overflowPunct/>
              <w:topLinePunct w:val="0"/>
              <w:autoSpaceDE/>
              <w:autoSpaceDN/>
              <w:bidi w:val="0"/>
              <w:adjustRightInd/>
              <w:snapToGrid/>
              <w:spacing w:line="280" w:lineRule="exact"/>
              <w:jc w:val="center"/>
              <w:textAlignment w:val="auto"/>
            </w:pPr>
            <w:r>
              <w:t>1.3</w:t>
            </w:r>
          </w:p>
        </w:tc>
        <w:tc>
          <w:tcPr>
            <w:tcW w:w="1067" w:type="dxa"/>
            <w:vAlign w:val="center"/>
          </w:tcPr>
          <w:p w14:paraId="4B97716A">
            <w:pPr>
              <w:pStyle w:val="14"/>
              <w:keepNext w:val="0"/>
              <w:keepLines w:val="0"/>
              <w:pageBreakBefore w:val="0"/>
              <w:widowControl w:val="0"/>
              <w:kinsoku/>
              <w:wordWrap/>
              <w:overflowPunct/>
              <w:topLinePunct w:val="0"/>
              <w:autoSpaceDE/>
              <w:autoSpaceDN/>
              <w:bidi w:val="0"/>
              <w:adjustRightInd/>
              <w:snapToGrid/>
              <w:spacing w:line="280" w:lineRule="exact"/>
              <w:jc w:val="center"/>
              <w:textAlignment w:val="auto"/>
            </w:pPr>
            <w:r>
              <w:t>5000</w:t>
            </w:r>
          </w:p>
        </w:tc>
        <w:tc>
          <w:tcPr>
            <w:tcW w:w="1988" w:type="dxa"/>
            <w:vAlign w:val="center"/>
          </w:tcPr>
          <w:p w14:paraId="77739EAC">
            <w:pPr>
              <w:pStyle w:val="14"/>
              <w:keepNext w:val="0"/>
              <w:keepLines w:val="0"/>
              <w:pageBreakBefore w:val="0"/>
              <w:widowControl w:val="0"/>
              <w:kinsoku/>
              <w:wordWrap/>
              <w:overflowPunct/>
              <w:topLinePunct w:val="0"/>
              <w:autoSpaceDE/>
              <w:autoSpaceDN/>
              <w:bidi w:val="0"/>
              <w:adjustRightInd/>
              <w:snapToGrid/>
              <w:spacing w:line="280" w:lineRule="exact"/>
              <w:jc w:val="center"/>
              <w:textAlignment w:val="auto"/>
            </w:pPr>
            <w:r>
              <w:t>山地</w:t>
            </w:r>
          </w:p>
        </w:tc>
        <w:tc>
          <w:tcPr>
            <w:tcW w:w="1067" w:type="dxa"/>
            <w:vAlign w:val="center"/>
          </w:tcPr>
          <w:p w14:paraId="06FF733F">
            <w:pPr>
              <w:pStyle w:val="14"/>
              <w:keepNext w:val="0"/>
              <w:keepLines w:val="0"/>
              <w:pageBreakBefore w:val="0"/>
              <w:widowControl w:val="0"/>
              <w:kinsoku/>
              <w:wordWrap/>
              <w:overflowPunct/>
              <w:topLinePunct w:val="0"/>
              <w:autoSpaceDE/>
              <w:autoSpaceDN/>
              <w:bidi w:val="0"/>
              <w:adjustRightInd/>
              <w:snapToGrid/>
              <w:spacing w:line="280" w:lineRule="exact"/>
              <w:jc w:val="center"/>
              <w:textAlignment w:val="auto"/>
            </w:pPr>
            <w:r>
              <w:t>/</w:t>
            </w:r>
          </w:p>
        </w:tc>
        <w:tc>
          <w:tcPr>
            <w:tcW w:w="994" w:type="dxa"/>
            <w:vAlign w:val="center"/>
          </w:tcPr>
          <w:p w14:paraId="0F0FF3F3">
            <w:pPr>
              <w:pStyle w:val="14"/>
              <w:keepNext w:val="0"/>
              <w:keepLines w:val="0"/>
              <w:pageBreakBefore w:val="0"/>
              <w:widowControl w:val="0"/>
              <w:kinsoku/>
              <w:wordWrap/>
              <w:overflowPunct/>
              <w:topLinePunct w:val="0"/>
              <w:autoSpaceDE/>
              <w:autoSpaceDN/>
              <w:bidi w:val="0"/>
              <w:adjustRightInd/>
              <w:snapToGrid/>
              <w:spacing w:line="280" w:lineRule="exact"/>
              <w:jc w:val="center"/>
              <w:textAlignment w:val="auto"/>
            </w:pPr>
            <w:r>
              <w:t>/</w:t>
            </w:r>
          </w:p>
        </w:tc>
      </w:tr>
      <w:tr w14:paraId="5589F8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9" w:hRule="atLeast"/>
        </w:trPr>
        <w:tc>
          <w:tcPr>
            <w:tcW w:w="8796" w:type="dxa"/>
            <w:gridSpan w:val="8"/>
            <w:vAlign w:val="center"/>
          </w:tcPr>
          <w:p w14:paraId="3FE9BBF9">
            <w:pPr>
              <w:pStyle w:val="14"/>
              <w:keepNext w:val="0"/>
              <w:keepLines w:val="0"/>
              <w:pageBreakBefore w:val="0"/>
              <w:widowControl w:val="0"/>
              <w:kinsoku/>
              <w:wordWrap/>
              <w:overflowPunct/>
              <w:topLinePunct w:val="0"/>
              <w:autoSpaceDE/>
              <w:autoSpaceDN/>
              <w:bidi w:val="0"/>
              <w:adjustRightInd/>
              <w:snapToGrid/>
              <w:spacing w:line="280" w:lineRule="exact"/>
              <w:jc w:val="center"/>
              <w:textAlignment w:val="auto"/>
            </w:pPr>
            <w:r>
              <w:t>注：以上数据均</w:t>
            </w:r>
            <w:r>
              <w:rPr>
                <w:rFonts w:hint="eastAsia"/>
                <w:lang w:val="en-US" w:eastAsia="zh-CN"/>
              </w:rPr>
              <w:t>引自</w:t>
            </w:r>
            <w:r>
              <w:t>企业提供</w:t>
            </w:r>
            <w:r>
              <w:rPr>
                <w:rFonts w:hint="eastAsia"/>
                <w:lang w:val="en-US" w:eastAsia="zh-CN"/>
              </w:rPr>
              <w:t>的、</w:t>
            </w:r>
            <w:r>
              <w:t>由</w:t>
            </w:r>
            <w:r>
              <w:rPr>
                <w:rFonts w:hint="eastAsia"/>
                <w:lang w:val="en-US" w:eastAsia="zh-CN"/>
              </w:rPr>
              <w:t>黑龙江龙维化学工程设计有限公司2024年10月</w:t>
            </w:r>
            <w:r>
              <w:t>出具的总平面布置图中的对齐标注数据</w:t>
            </w:r>
          </w:p>
        </w:tc>
      </w:tr>
    </w:tbl>
    <w:p w14:paraId="6AD2236C">
      <w:r>
        <w:br w:type="page"/>
      </w:r>
    </w:p>
    <w:p w14:paraId="784F1D8D">
      <w:pPr>
        <w:bidi w:val="0"/>
      </w:pPr>
      <w:r>
        <w:t>表2.7-4</w:t>
      </w:r>
      <w:r>
        <w:rPr>
          <w:rFonts w:hint="eastAsia"/>
          <w:lang w:val="en-US" w:eastAsia="zh-CN"/>
        </w:rPr>
        <w:t xml:space="preserve"> </w:t>
      </w:r>
      <w:r>
        <w:t>该项目租赁的545号成品库与外部距离情况一览表</w:t>
      </w:r>
    </w:p>
    <w:tbl>
      <w:tblPr>
        <w:tblStyle w:val="105"/>
        <w:tblW w:w="9076" w:type="dxa"/>
        <w:tblInd w:w="35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24"/>
        <w:gridCol w:w="679"/>
        <w:gridCol w:w="1099"/>
        <w:gridCol w:w="1080"/>
        <w:gridCol w:w="1110"/>
        <w:gridCol w:w="2049"/>
        <w:gridCol w:w="1100"/>
        <w:gridCol w:w="1035"/>
      </w:tblGrid>
      <w:tr w14:paraId="5FC064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924" w:type="dxa"/>
            <w:vAlign w:val="center"/>
          </w:tcPr>
          <w:p w14:paraId="45BD4DE4">
            <w:pPr>
              <w:pStyle w:val="14"/>
              <w:keepNext w:val="0"/>
              <w:keepLines w:val="0"/>
              <w:pageBreakBefore w:val="0"/>
              <w:widowControl w:val="0"/>
              <w:kinsoku/>
              <w:wordWrap/>
              <w:overflowPunct/>
              <w:topLinePunct w:val="0"/>
              <w:autoSpaceDE/>
              <w:autoSpaceDN/>
              <w:bidi w:val="0"/>
              <w:adjustRightInd/>
              <w:snapToGrid/>
              <w:spacing w:line="280" w:lineRule="exact"/>
              <w:jc w:val="center"/>
              <w:textAlignment w:val="auto"/>
            </w:pPr>
            <w:r>
              <w:t>方位</w:t>
            </w:r>
          </w:p>
        </w:tc>
        <w:tc>
          <w:tcPr>
            <w:tcW w:w="679" w:type="dxa"/>
            <w:vAlign w:val="center"/>
          </w:tcPr>
          <w:p w14:paraId="6D148047">
            <w:pPr>
              <w:pStyle w:val="14"/>
              <w:keepNext w:val="0"/>
              <w:keepLines w:val="0"/>
              <w:pageBreakBefore w:val="0"/>
              <w:widowControl w:val="0"/>
              <w:kinsoku/>
              <w:wordWrap/>
              <w:overflowPunct/>
              <w:topLinePunct w:val="0"/>
              <w:autoSpaceDE/>
              <w:autoSpaceDN/>
              <w:bidi w:val="0"/>
              <w:adjustRightInd/>
              <w:snapToGrid/>
              <w:spacing w:line="280" w:lineRule="exact"/>
              <w:jc w:val="center"/>
              <w:textAlignment w:val="auto"/>
            </w:pPr>
            <w:r>
              <w:t>库房</w:t>
            </w:r>
          </w:p>
          <w:p w14:paraId="0DE0E918">
            <w:pPr>
              <w:pStyle w:val="14"/>
              <w:keepNext w:val="0"/>
              <w:keepLines w:val="0"/>
              <w:pageBreakBefore w:val="0"/>
              <w:widowControl w:val="0"/>
              <w:kinsoku/>
              <w:wordWrap/>
              <w:overflowPunct/>
              <w:topLinePunct w:val="0"/>
              <w:autoSpaceDE/>
              <w:autoSpaceDN/>
              <w:bidi w:val="0"/>
              <w:adjustRightInd/>
              <w:snapToGrid/>
              <w:spacing w:line="280" w:lineRule="exact"/>
              <w:jc w:val="center"/>
              <w:textAlignment w:val="auto"/>
            </w:pPr>
            <w:r>
              <w:t>编号</w:t>
            </w:r>
          </w:p>
        </w:tc>
        <w:tc>
          <w:tcPr>
            <w:tcW w:w="1099" w:type="dxa"/>
            <w:vAlign w:val="center"/>
          </w:tcPr>
          <w:p w14:paraId="5FE3AF92">
            <w:pPr>
              <w:pStyle w:val="14"/>
              <w:keepNext w:val="0"/>
              <w:keepLines w:val="0"/>
              <w:pageBreakBefore w:val="0"/>
              <w:widowControl w:val="0"/>
              <w:kinsoku/>
              <w:wordWrap/>
              <w:overflowPunct/>
              <w:topLinePunct w:val="0"/>
              <w:autoSpaceDE/>
              <w:autoSpaceDN/>
              <w:bidi w:val="0"/>
              <w:adjustRightInd/>
              <w:snapToGrid/>
              <w:spacing w:line="280" w:lineRule="exact"/>
              <w:jc w:val="center"/>
              <w:textAlignment w:val="auto"/>
            </w:pPr>
            <w:r>
              <w:t>库房用途</w:t>
            </w:r>
          </w:p>
        </w:tc>
        <w:tc>
          <w:tcPr>
            <w:tcW w:w="1080" w:type="dxa"/>
            <w:vAlign w:val="center"/>
          </w:tcPr>
          <w:p w14:paraId="227ABB02">
            <w:pPr>
              <w:pStyle w:val="14"/>
              <w:keepNext w:val="0"/>
              <w:keepLines w:val="0"/>
              <w:pageBreakBefore w:val="0"/>
              <w:widowControl w:val="0"/>
              <w:kinsoku/>
              <w:wordWrap/>
              <w:overflowPunct/>
              <w:topLinePunct w:val="0"/>
              <w:autoSpaceDE/>
              <w:autoSpaceDN/>
              <w:bidi w:val="0"/>
              <w:adjustRightInd/>
              <w:snapToGrid/>
              <w:spacing w:line="280" w:lineRule="exact"/>
              <w:jc w:val="center"/>
              <w:textAlignment w:val="auto"/>
            </w:pPr>
            <w:r>
              <w:t>危险等级</w:t>
            </w:r>
          </w:p>
        </w:tc>
        <w:tc>
          <w:tcPr>
            <w:tcW w:w="1110" w:type="dxa"/>
            <w:vAlign w:val="center"/>
          </w:tcPr>
          <w:p w14:paraId="0A980092">
            <w:pPr>
              <w:pStyle w:val="14"/>
              <w:keepNext w:val="0"/>
              <w:keepLines w:val="0"/>
              <w:pageBreakBefore w:val="0"/>
              <w:widowControl w:val="0"/>
              <w:kinsoku/>
              <w:wordWrap/>
              <w:overflowPunct/>
              <w:topLinePunct w:val="0"/>
              <w:autoSpaceDE/>
              <w:autoSpaceDN/>
              <w:bidi w:val="0"/>
              <w:adjustRightInd/>
              <w:snapToGrid/>
              <w:spacing w:line="280" w:lineRule="exact"/>
              <w:jc w:val="center"/>
              <w:textAlignment w:val="auto"/>
            </w:pPr>
            <w:r>
              <w:t>药物限量</w:t>
            </w:r>
          </w:p>
          <w:p w14:paraId="0E1888B8">
            <w:pPr>
              <w:pStyle w:val="14"/>
              <w:keepNext w:val="0"/>
              <w:keepLines w:val="0"/>
              <w:pageBreakBefore w:val="0"/>
              <w:widowControl w:val="0"/>
              <w:kinsoku/>
              <w:wordWrap/>
              <w:overflowPunct/>
              <w:topLinePunct w:val="0"/>
              <w:autoSpaceDE/>
              <w:autoSpaceDN/>
              <w:bidi w:val="0"/>
              <w:adjustRightInd/>
              <w:snapToGrid/>
              <w:spacing w:line="280" w:lineRule="exact"/>
              <w:jc w:val="center"/>
              <w:textAlignment w:val="auto"/>
            </w:pPr>
            <w:r>
              <w:t>(kg)</w:t>
            </w:r>
          </w:p>
        </w:tc>
        <w:tc>
          <w:tcPr>
            <w:tcW w:w="2049" w:type="dxa"/>
            <w:vAlign w:val="center"/>
          </w:tcPr>
          <w:p w14:paraId="7EA086B3">
            <w:pPr>
              <w:pStyle w:val="14"/>
              <w:keepNext w:val="0"/>
              <w:keepLines w:val="0"/>
              <w:pageBreakBefore w:val="0"/>
              <w:widowControl w:val="0"/>
              <w:kinsoku/>
              <w:wordWrap/>
              <w:overflowPunct/>
              <w:topLinePunct w:val="0"/>
              <w:autoSpaceDE/>
              <w:autoSpaceDN/>
              <w:bidi w:val="0"/>
              <w:adjustRightInd/>
              <w:snapToGrid/>
              <w:spacing w:line="280" w:lineRule="exact"/>
              <w:jc w:val="center"/>
              <w:textAlignment w:val="auto"/>
            </w:pPr>
            <w:r>
              <w:t>周边毗邻情况</w:t>
            </w:r>
          </w:p>
        </w:tc>
        <w:tc>
          <w:tcPr>
            <w:tcW w:w="1100" w:type="dxa"/>
            <w:vAlign w:val="center"/>
          </w:tcPr>
          <w:p w14:paraId="377403FF">
            <w:pPr>
              <w:pStyle w:val="14"/>
              <w:keepNext w:val="0"/>
              <w:keepLines w:val="0"/>
              <w:pageBreakBefore w:val="0"/>
              <w:widowControl w:val="0"/>
              <w:kinsoku/>
              <w:wordWrap/>
              <w:overflowPunct/>
              <w:topLinePunct w:val="0"/>
              <w:autoSpaceDE/>
              <w:autoSpaceDN/>
              <w:bidi w:val="0"/>
              <w:adjustRightInd/>
              <w:snapToGrid/>
              <w:spacing w:line="280" w:lineRule="exact"/>
              <w:jc w:val="center"/>
              <w:textAlignment w:val="auto"/>
            </w:pPr>
            <w:r>
              <w:t>标准距离</w:t>
            </w:r>
          </w:p>
          <w:p w14:paraId="323595C7">
            <w:pPr>
              <w:pStyle w:val="14"/>
              <w:keepNext w:val="0"/>
              <w:keepLines w:val="0"/>
              <w:pageBreakBefore w:val="0"/>
              <w:widowControl w:val="0"/>
              <w:kinsoku/>
              <w:wordWrap/>
              <w:overflowPunct/>
              <w:topLinePunct w:val="0"/>
              <w:autoSpaceDE/>
              <w:autoSpaceDN/>
              <w:bidi w:val="0"/>
              <w:adjustRightInd/>
              <w:snapToGrid/>
              <w:spacing w:line="280" w:lineRule="exact"/>
              <w:jc w:val="center"/>
              <w:textAlignment w:val="auto"/>
            </w:pPr>
            <w:r>
              <w:t>(m)</w:t>
            </w:r>
          </w:p>
        </w:tc>
        <w:tc>
          <w:tcPr>
            <w:tcW w:w="1035" w:type="dxa"/>
            <w:vAlign w:val="center"/>
          </w:tcPr>
          <w:p w14:paraId="4023CF3C">
            <w:pPr>
              <w:pStyle w:val="14"/>
              <w:keepNext w:val="0"/>
              <w:keepLines w:val="0"/>
              <w:pageBreakBefore w:val="0"/>
              <w:widowControl w:val="0"/>
              <w:kinsoku/>
              <w:wordWrap/>
              <w:overflowPunct/>
              <w:topLinePunct w:val="0"/>
              <w:autoSpaceDE/>
              <w:autoSpaceDN/>
              <w:bidi w:val="0"/>
              <w:adjustRightInd/>
              <w:snapToGrid/>
              <w:spacing w:line="280" w:lineRule="exact"/>
              <w:jc w:val="center"/>
              <w:textAlignment w:val="auto"/>
            </w:pPr>
            <w:r>
              <w:t>实际距离</w:t>
            </w:r>
          </w:p>
          <w:p w14:paraId="45849B00">
            <w:pPr>
              <w:pStyle w:val="14"/>
              <w:keepNext w:val="0"/>
              <w:keepLines w:val="0"/>
              <w:pageBreakBefore w:val="0"/>
              <w:widowControl w:val="0"/>
              <w:kinsoku/>
              <w:wordWrap/>
              <w:overflowPunct/>
              <w:topLinePunct w:val="0"/>
              <w:autoSpaceDE/>
              <w:autoSpaceDN/>
              <w:bidi w:val="0"/>
              <w:adjustRightInd/>
              <w:snapToGrid/>
              <w:spacing w:line="280" w:lineRule="exact"/>
              <w:jc w:val="center"/>
              <w:textAlignment w:val="auto"/>
            </w:pPr>
            <w:r>
              <w:t>(m)</w:t>
            </w:r>
          </w:p>
        </w:tc>
      </w:tr>
      <w:tr w14:paraId="72114E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924" w:type="dxa"/>
            <w:vAlign w:val="center"/>
          </w:tcPr>
          <w:p w14:paraId="16F556DB">
            <w:pPr>
              <w:pStyle w:val="14"/>
              <w:keepNext w:val="0"/>
              <w:keepLines w:val="0"/>
              <w:pageBreakBefore w:val="0"/>
              <w:widowControl w:val="0"/>
              <w:kinsoku/>
              <w:wordWrap/>
              <w:overflowPunct/>
              <w:topLinePunct w:val="0"/>
              <w:autoSpaceDE/>
              <w:autoSpaceDN/>
              <w:bidi w:val="0"/>
              <w:adjustRightInd/>
              <w:snapToGrid/>
              <w:spacing w:line="280" w:lineRule="exact"/>
              <w:jc w:val="center"/>
              <w:textAlignment w:val="auto"/>
            </w:pPr>
            <w:r>
              <w:t>东</w:t>
            </w:r>
          </w:p>
        </w:tc>
        <w:tc>
          <w:tcPr>
            <w:tcW w:w="679" w:type="dxa"/>
            <w:vAlign w:val="center"/>
          </w:tcPr>
          <w:p w14:paraId="5006BD1B">
            <w:pPr>
              <w:pStyle w:val="14"/>
              <w:keepNext w:val="0"/>
              <w:keepLines w:val="0"/>
              <w:pageBreakBefore w:val="0"/>
              <w:widowControl w:val="0"/>
              <w:kinsoku/>
              <w:wordWrap/>
              <w:overflowPunct/>
              <w:topLinePunct w:val="0"/>
              <w:autoSpaceDE/>
              <w:autoSpaceDN/>
              <w:bidi w:val="0"/>
              <w:adjustRightInd/>
              <w:snapToGrid/>
              <w:spacing w:line="280" w:lineRule="exact"/>
              <w:jc w:val="center"/>
              <w:textAlignment w:val="auto"/>
            </w:pPr>
            <w:r>
              <w:t>545</w:t>
            </w:r>
          </w:p>
        </w:tc>
        <w:tc>
          <w:tcPr>
            <w:tcW w:w="1099" w:type="dxa"/>
            <w:vAlign w:val="center"/>
          </w:tcPr>
          <w:p w14:paraId="72ED03D9">
            <w:pPr>
              <w:pStyle w:val="14"/>
              <w:keepNext w:val="0"/>
              <w:keepLines w:val="0"/>
              <w:pageBreakBefore w:val="0"/>
              <w:widowControl w:val="0"/>
              <w:kinsoku/>
              <w:wordWrap/>
              <w:overflowPunct/>
              <w:topLinePunct w:val="0"/>
              <w:autoSpaceDE/>
              <w:autoSpaceDN/>
              <w:bidi w:val="0"/>
              <w:adjustRightInd/>
              <w:snapToGrid/>
              <w:spacing w:line="280" w:lineRule="exact"/>
              <w:jc w:val="center"/>
              <w:textAlignment w:val="auto"/>
            </w:pPr>
            <w:r>
              <w:t>成品库</w:t>
            </w:r>
          </w:p>
        </w:tc>
        <w:tc>
          <w:tcPr>
            <w:tcW w:w="1080" w:type="dxa"/>
            <w:vAlign w:val="center"/>
          </w:tcPr>
          <w:p w14:paraId="00DE5B90">
            <w:pPr>
              <w:pStyle w:val="14"/>
              <w:keepNext w:val="0"/>
              <w:keepLines w:val="0"/>
              <w:pageBreakBefore w:val="0"/>
              <w:widowControl w:val="0"/>
              <w:kinsoku/>
              <w:wordWrap/>
              <w:overflowPunct/>
              <w:topLinePunct w:val="0"/>
              <w:autoSpaceDE/>
              <w:autoSpaceDN/>
              <w:bidi w:val="0"/>
              <w:adjustRightInd/>
              <w:snapToGrid/>
              <w:spacing w:line="280" w:lineRule="exact"/>
              <w:jc w:val="center"/>
              <w:textAlignment w:val="auto"/>
            </w:pPr>
            <w:r>
              <w:t>1.1</w:t>
            </w:r>
            <w:r>
              <w:rPr>
                <w:vertAlign w:val="superscript"/>
              </w:rPr>
              <w:t>-</w:t>
            </w:r>
            <w:r>
              <w:t>²</w:t>
            </w:r>
          </w:p>
        </w:tc>
        <w:tc>
          <w:tcPr>
            <w:tcW w:w="1110" w:type="dxa"/>
            <w:vAlign w:val="center"/>
          </w:tcPr>
          <w:p w14:paraId="5BF4B43E">
            <w:pPr>
              <w:pStyle w:val="14"/>
              <w:keepNext w:val="0"/>
              <w:keepLines w:val="0"/>
              <w:pageBreakBefore w:val="0"/>
              <w:widowControl w:val="0"/>
              <w:kinsoku/>
              <w:wordWrap/>
              <w:overflowPunct/>
              <w:topLinePunct w:val="0"/>
              <w:autoSpaceDE/>
              <w:autoSpaceDN/>
              <w:bidi w:val="0"/>
              <w:adjustRightInd/>
              <w:snapToGrid/>
              <w:spacing w:line="280" w:lineRule="exact"/>
              <w:jc w:val="center"/>
              <w:textAlignment w:val="auto"/>
            </w:pPr>
            <w:r>
              <w:t>2000</w:t>
            </w:r>
          </w:p>
        </w:tc>
        <w:tc>
          <w:tcPr>
            <w:tcW w:w="2049" w:type="dxa"/>
            <w:vAlign w:val="center"/>
          </w:tcPr>
          <w:p w14:paraId="70739B31">
            <w:pPr>
              <w:pStyle w:val="14"/>
              <w:keepNext w:val="0"/>
              <w:keepLines w:val="0"/>
              <w:pageBreakBefore w:val="0"/>
              <w:widowControl w:val="0"/>
              <w:kinsoku/>
              <w:wordWrap/>
              <w:overflowPunct/>
              <w:topLinePunct w:val="0"/>
              <w:autoSpaceDE/>
              <w:autoSpaceDN/>
              <w:bidi w:val="0"/>
              <w:adjustRightInd/>
              <w:snapToGrid/>
              <w:spacing w:line="280" w:lineRule="exact"/>
              <w:jc w:val="center"/>
              <w:textAlignment w:val="auto"/>
            </w:pPr>
            <w:r>
              <w:t>山地</w:t>
            </w:r>
          </w:p>
        </w:tc>
        <w:tc>
          <w:tcPr>
            <w:tcW w:w="1100" w:type="dxa"/>
            <w:vAlign w:val="center"/>
          </w:tcPr>
          <w:p w14:paraId="0A8FB19C">
            <w:pPr>
              <w:pStyle w:val="14"/>
              <w:keepNext w:val="0"/>
              <w:keepLines w:val="0"/>
              <w:pageBreakBefore w:val="0"/>
              <w:widowControl w:val="0"/>
              <w:kinsoku/>
              <w:wordWrap/>
              <w:overflowPunct/>
              <w:topLinePunct w:val="0"/>
              <w:autoSpaceDE/>
              <w:autoSpaceDN/>
              <w:bidi w:val="0"/>
              <w:adjustRightInd/>
              <w:snapToGrid/>
              <w:spacing w:line="280" w:lineRule="exact"/>
              <w:jc w:val="center"/>
              <w:textAlignment w:val="auto"/>
            </w:pPr>
            <w:r>
              <w:t>/</w:t>
            </w:r>
          </w:p>
        </w:tc>
        <w:tc>
          <w:tcPr>
            <w:tcW w:w="1035" w:type="dxa"/>
            <w:vAlign w:val="center"/>
          </w:tcPr>
          <w:p w14:paraId="52890023">
            <w:pPr>
              <w:pStyle w:val="14"/>
              <w:keepNext w:val="0"/>
              <w:keepLines w:val="0"/>
              <w:pageBreakBefore w:val="0"/>
              <w:widowControl w:val="0"/>
              <w:kinsoku/>
              <w:wordWrap/>
              <w:overflowPunct/>
              <w:topLinePunct w:val="0"/>
              <w:autoSpaceDE/>
              <w:autoSpaceDN/>
              <w:bidi w:val="0"/>
              <w:adjustRightInd/>
              <w:snapToGrid/>
              <w:spacing w:line="280" w:lineRule="exact"/>
              <w:jc w:val="center"/>
              <w:textAlignment w:val="auto"/>
            </w:pPr>
            <w:r>
              <w:t>/</w:t>
            </w:r>
          </w:p>
        </w:tc>
      </w:tr>
      <w:tr w14:paraId="2EBB36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924" w:type="dxa"/>
            <w:shd w:val="clear" w:color="auto" w:fill="auto"/>
            <w:vAlign w:val="center"/>
          </w:tcPr>
          <w:p w14:paraId="53AADD09">
            <w:pPr>
              <w:pStyle w:val="14"/>
              <w:keepNext w:val="0"/>
              <w:keepLines w:val="0"/>
              <w:pageBreakBefore w:val="0"/>
              <w:widowControl w:val="0"/>
              <w:kinsoku/>
              <w:wordWrap/>
              <w:overflowPunct/>
              <w:topLinePunct w:val="0"/>
              <w:autoSpaceDE/>
              <w:autoSpaceDN/>
              <w:bidi w:val="0"/>
              <w:adjustRightInd/>
              <w:snapToGrid/>
              <w:spacing w:line="280" w:lineRule="exact"/>
              <w:jc w:val="center"/>
              <w:textAlignment w:val="auto"/>
              <w:rPr>
                <w:lang w:val="en-US" w:eastAsia="en-US"/>
              </w:rPr>
            </w:pPr>
            <w:r>
              <w:t>南</w:t>
            </w:r>
          </w:p>
        </w:tc>
        <w:tc>
          <w:tcPr>
            <w:tcW w:w="679" w:type="dxa"/>
            <w:shd w:val="clear" w:color="auto" w:fill="auto"/>
            <w:vAlign w:val="center"/>
          </w:tcPr>
          <w:p w14:paraId="33D14F6E">
            <w:pPr>
              <w:pStyle w:val="14"/>
              <w:keepNext w:val="0"/>
              <w:keepLines w:val="0"/>
              <w:pageBreakBefore w:val="0"/>
              <w:widowControl w:val="0"/>
              <w:kinsoku/>
              <w:wordWrap/>
              <w:overflowPunct/>
              <w:topLinePunct w:val="0"/>
              <w:autoSpaceDE/>
              <w:autoSpaceDN/>
              <w:bidi w:val="0"/>
              <w:adjustRightInd/>
              <w:snapToGrid/>
              <w:spacing w:line="280" w:lineRule="exact"/>
              <w:jc w:val="center"/>
              <w:textAlignment w:val="auto"/>
              <w:rPr>
                <w:lang w:val="en-US" w:eastAsia="en-US"/>
              </w:rPr>
            </w:pPr>
            <w:r>
              <w:t>545</w:t>
            </w:r>
          </w:p>
        </w:tc>
        <w:tc>
          <w:tcPr>
            <w:tcW w:w="1099" w:type="dxa"/>
            <w:shd w:val="clear" w:color="auto" w:fill="auto"/>
            <w:vAlign w:val="center"/>
          </w:tcPr>
          <w:p w14:paraId="268C9221">
            <w:pPr>
              <w:pStyle w:val="14"/>
              <w:keepNext w:val="0"/>
              <w:keepLines w:val="0"/>
              <w:pageBreakBefore w:val="0"/>
              <w:widowControl w:val="0"/>
              <w:kinsoku/>
              <w:wordWrap/>
              <w:overflowPunct/>
              <w:topLinePunct w:val="0"/>
              <w:autoSpaceDE/>
              <w:autoSpaceDN/>
              <w:bidi w:val="0"/>
              <w:adjustRightInd/>
              <w:snapToGrid/>
              <w:spacing w:line="280" w:lineRule="exact"/>
              <w:jc w:val="center"/>
              <w:textAlignment w:val="auto"/>
              <w:rPr>
                <w:lang w:val="en-US" w:eastAsia="en-US"/>
              </w:rPr>
            </w:pPr>
            <w:r>
              <w:t>成品库</w:t>
            </w:r>
          </w:p>
        </w:tc>
        <w:tc>
          <w:tcPr>
            <w:tcW w:w="1080" w:type="dxa"/>
            <w:shd w:val="clear" w:color="auto" w:fill="auto"/>
            <w:vAlign w:val="center"/>
          </w:tcPr>
          <w:p w14:paraId="3B729020">
            <w:pPr>
              <w:pStyle w:val="14"/>
              <w:keepNext w:val="0"/>
              <w:keepLines w:val="0"/>
              <w:pageBreakBefore w:val="0"/>
              <w:widowControl w:val="0"/>
              <w:kinsoku/>
              <w:wordWrap/>
              <w:overflowPunct/>
              <w:topLinePunct w:val="0"/>
              <w:autoSpaceDE/>
              <w:autoSpaceDN/>
              <w:bidi w:val="0"/>
              <w:adjustRightInd/>
              <w:snapToGrid/>
              <w:spacing w:line="280" w:lineRule="exact"/>
              <w:jc w:val="center"/>
              <w:textAlignment w:val="auto"/>
              <w:rPr>
                <w:lang w:val="en-US" w:eastAsia="en-US"/>
              </w:rPr>
            </w:pPr>
            <w:r>
              <w:t>1.1</w:t>
            </w:r>
            <w:r>
              <w:rPr>
                <w:vertAlign w:val="superscript"/>
              </w:rPr>
              <w:t>-2</w:t>
            </w:r>
          </w:p>
        </w:tc>
        <w:tc>
          <w:tcPr>
            <w:tcW w:w="1110" w:type="dxa"/>
            <w:shd w:val="clear" w:color="auto" w:fill="auto"/>
            <w:vAlign w:val="center"/>
          </w:tcPr>
          <w:p w14:paraId="066C77B8">
            <w:pPr>
              <w:pStyle w:val="14"/>
              <w:keepNext w:val="0"/>
              <w:keepLines w:val="0"/>
              <w:pageBreakBefore w:val="0"/>
              <w:widowControl w:val="0"/>
              <w:kinsoku/>
              <w:wordWrap/>
              <w:overflowPunct/>
              <w:topLinePunct w:val="0"/>
              <w:autoSpaceDE/>
              <w:autoSpaceDN/>
              <w:bidi w:val="0"/>
              <w:adjustRightInd/>
              <w:snapToGrid/>
              <w:spacing w:line="280" w:lineRule="exact"/>
              <w:jc w:val="center"/>
              <w:textAlignment w:val="auto"/>
              <w:rPr>
                <w:lang w:val="en-US" w:eastAsia="en-US"/>
              </w:rPr>
            </w:pPr>
            <w:r>
              <w:t>2000</w:t>
            </w:r>
          </w:p>
        </w:tc>
        <w:tc>
          <w:tcPr>
            <w:tcW w:w="2049" w:type="dxa"/>
            <w:shd w:val="clear" w:color="auto" w:fill="auto"/>
            <w:vAlign w:val="center"/>
          </w:tcPr>
          <w:p w14:paraId="40CC6DA8">
            <w:pPr>
              <w:pStyle w:val="14"/>
              <w:keepNext w:val="0"/>
              <w:keepLines w:val="0"/>
              <w:pageBreakBefore w:val="0"/>
              <w:widowControl w:val="0"/>
              <w:kinsoku/>
              <w:wordWrap/>
              <w:overflowPunct/>
              <w:topLinePunct w:val="0"/>
              <w:autoSpaceDE/>
              <w:autoSpaceDN/>
              <w:bidi w:val="0"/>
              <w:adjustRightInd/>
              <w:snapToGrid/>
              <w:spacing w:line="280" w:lineRule="exact"/>
              <w:jc w:val="center"/>
              <w:textAlignment w:val="auto"/>
              <w:rPr>
                <w:lang w:val="en-US" w:eastAsia="en-US"/>
              </w:rPr>
            </w:pPr>
            <w:r>
              <w:t>外部花炮厂引线库</w:t>
            </w:r>
          </w:p>
        </w:tc>
        <w:tc>
          <w:tcPr>
            <w:tcW w:w="1100" w:type="dxa"/>
            <w:shd w:val="clear" w:color="auto" w:fill="auto"/>
            <w:vAlign w:val="center"/>
          </w:tcPr>
          <w:p w14:paraId="1839F850">
            <w:pPr>
              <w:pStyle w:val="14"/>
              <w:keepNext w:val="0"/>
              <w:keepLines w:val="0"/>
              <w:pageBreakBefore w:val="0"/>
              <w:widowControl w:val="0"/>
              <w:kinsoku/>
              <w:wordWrap/>
              <w:overflowPunct/>
              <w:topLinePunct w:val="0"/>
              <w:autoSpaceDE/>
              <w:autoSpaceDN/>
              <w:bidi w:val="0"/>
              <w:adjustRightInd/>
              <w:snapToGrid/>
              <w:spacing w:line="280" w:lineRule="exact"/>
              <w:jc w:val="center"/>
              <w:textAlignment w:val="auto"/>
              <w:rPr>
                <w:lang w:val="en-US" w:eastAsia="en-US"/>
              </w:rPr>
            </w:pPr>
            <w:r>
              <w:t>185</w:t>
            </w:r>
          </w:p>
        </w:tc>
        <w:tc>
          <w:tcPr>
            <w:tcW w:w="1035" w:type="dxa"/>
            <w:shd w:val="clear" w:color="auto" w:fill="auto"/>
            <w:vAlign w:val="center"/>
          </w:tcPr>
          <w:p w14:paraId="35C8456E">
            <w:pPr>
              <w:pStyle w:val="14"/>
              <w:keepNext w:val="0"/>
              <w:keepLines w:val="0"/>
              <w:pageBreakBefore w:val="0"/>
              <w:widowControl w:val="0"/>
              <w:kinsoku/>
              <w:wordWrap/>
              <w:overflowPunct/>
              <w:topLinePunct w:val="0"/>
              <w:autoSpaceDE/>
              <w:autoSpaceDN/>
              <w:bidi w:val="0"/>
              <w:adjustRightInd/>
              <w:snapToGrid/>
              <w:spacing w:line="280" w:lineRule="exact"/>
              <w:jc w:val="center"/>
              <w:textAlignment w:val="auto"/>
              <w:rPr>
                <w:lang w:val="en-US" w:eastAsia="en-US"/>
              </w:rPr>
            </w:pPr>
            <w:r>
              <w:t>191</w:t>
            </w:r>
          </w:p>
        </w:tc>
      </w:tr>
      <w:tr w14:paraId="520394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924" w:type="dxa"/>
            <w:shd w:val="clear" w:color="auto" w:fill="auto"/>
            <w:vAlign w:val="center"/>
          </w:tcPr>
          <w:p w14:paraId="136CC363">
            <w:pPr>
              <w:pStyle w:val="14"/>
              <w:keepNext w:val="0"/>
              <w:keepLines w:val="0"/>
              <w:pageBreakBefore w:val="0"/>
              <w:widowControl w:val="0"/>
              <w:kinsoku/>
              <w:wordWrap/>
              <w:overflowPunct/>
              <w:topLinePunct w:val="0"/>
              <w:autoSpaceDE/>
              <w:autoSpaceDN/>
              <w:bidi w:val="0"/>
              <w:adjustRightInd/>
              <w:snapToGrid/>
              <w:spacing w:line="280" w:lineRule="exact"/>
              <w:jc w:val="center"/>
              <w:textAlignment w:val="auto"/>
              <w:rPr>
                <w:lang w:val="en-US" w:eastAsia="en-US"/>
              </w:rPr>
            </w:pPr>
            <w:r>
              <w:t>西</w:t>
            </w:r>
          </w:p>
        </w:tc>
        <w:tc>
          <w:tcPr>
            <w:tcW w:w="679" w:type="dxa"/>
            <w:shd w:val="clear" w:color="auto" w:fill="auto"/>
            <w:vAlign w:val="center"/>
          </w:tcPr>
          <w:p w14:paraId="05EAF100">
            <w:pPr>
              <w:pStyle w:val="14"/>
              <w:keepNext w:val="0"/>
              <w:keepLines w:val="0"/>
              <w:pageBreakBefore w:val="0"/>
              <w:widowControl w:val="0"/>
              <w:kinsoku/>
              <w:wordWrap/>
              <w:overflowPunct/>
              <w:topLinePunct w:val="0"/>
              <w:autoSpaceDE/>
              <w:autoSpaceDN/>
              <w:bidi w:val="0"/>
              <w:adjustRightInd/>
              <w:snapToGrid/>
              <w:spacing w:line="280" w:lineRule="exact"/>
              <w:jc w:val="center"/>
              <w:textAlignment w:val="auto"/>
              <w:rPr>
                <w:lang w:val="en-US" w:eastAsia="en-US"/>
              </w:rPr>
            </w:pPr>
            <w:r>
              <w:t>545</w:t>
            </w:r>
          </w:p>
        </w:tc>
        <w:tc>
          <w:tcPr>
            <w:tcW w:w="1099" w:type="dxa"/>
            <w:shd w:val="clear" w:color="auto" w:fill="auto"/>
            <w:vAlign w:val="center"/>
          </w:tcPr>
          <w:p w14:paraId="4106CE41">
            <w:pPr>
              <w:pStyle w:val="14"/>
              <w:keepNext w:val="0"/>
              <w:keepLines w:val="0"/>
              <w:pageBreakBefore w:val="0"/>
              <w:widowControl w:val="0"/>
              <w:kinsoku/>
              <w:wordWrap/>
              <w:overflowPunct/>
              <w:topLinePunct w:val="0"/>
              <w:autoSpaceDE/>
              <w:autoSpaceDN/>
              <w:bidi w:val="0"/>
              <w:adjustRightInd/>
              <w:snapToGrid/>
              <w:spacing w:line="280" w:lineRule="exact"/>
              <w:jc w:val="center"/>
              <w:textAlignment w:val="auto"/>
              <w:rPr>
                <w:lang w:val="en-US" w:eastAsia="en-US"/>
              </w:rPr>
            </w:pPr>
            <w:r>
              <w:t>成品库</w:t>
            </w:r>
          </w:p>
        </w:tc>
        <w:tc>
          <w:tcPr>
            <w:tcW w:w="1080" w:type="dxa"/>
            <w:shd w:val="clear" w:color="auto" w:fill="auto"/>
            <w:vAlign w:val="center"/>
          </w:tcPr>
          <w:p w14:paraId="5A543DE8">
            <w:pPr>
              <w:pStyle w:val="14"/>
              <w:keepNext w:val="0"/>
              <w:keepLines w:val="0"/>
              <w:pageBreakBefore w:val="0"/>
              <w:widowControl w:val="0"/>
              <w:kinsoku/>
              <w:wordWrap/>
              <w:overflowPunct/>
              <w:topLinePunct w:val="0"/>
              <w:autoSpaceDE/>
              <w:autoSpaceDN/>
              <w:bidi w:val="0"/>
              <w:adjustRightInd/>
              <w:snapToGrid/>
              <w:spacing w:line="280" w:lineRule="exact"/>
              <w:jc w:val="center"/>
              <w:textAlignment w:val="auto"/>
              <w:rPr>
                <w:lang w:val="en-US" w:eastAsia="en-US"/>
              </w:rPr>
            </w:pPr>
            <w:r>
              <w:t>1.1</w:t>
            </w:r>
            <w:r>
              <w:rPr>
                <w:vertAlign w:val="superscript"/>
              </w:rPr>
              <w:t>-</w:t>
            </w:r>
            <w:r>
              <w:t>²</w:t>
            </w:r>
          </w:p>
        </w:tc>
        <w:tc>
          <w:tcPr>
            <w:tcW w:w="1110" w:type="dxa"/>
            <w:shd w:val="clear" w:color="auto" w:fill="auto"/>
            <w:vAlign w:val="center"/>
          </w:tcPr>
          <w:p w14:paraId="27324F3D">
            <w:pPr>
              <w:pStyle w:val="14"/>
              <w:keepNext w:val="0"/>
              <w:keepLines w:val="0"/>
              <w:pageBreakBefore w:val="0"/>
              <w:widowControl w:val="0"/>
              <w:kinsoku/>
              <w:wordWrap/>
              <w:overflowPunct/>
              <w:topLinePunct w:val="0"/>
              <w:autoSpaceDE/>
              <w:autoSpaceDN/>
              <w:bidi w:val="0"/>
              <w:adjustRightInd/>
              <w:snapToGrid/>
              <w:spacing w:line="280" w:lineRule="exact"/>
              <w:jc w:val="center"/>
              <w:textAlignment w:val="auto"/>
              <w:rPr>
                <w:lang w:val="en-US" w:eastAsia="en-US"/>
              </w:rPr>
            </w:pPr>
            <w:r>
              <w:t>2000</w:t>
            </w:r>
          </w:p>
        </w:tc>
        <w:tc>
          <w:tcPr>
            <w:tcW w:w="2049" w:type="dxa"/>
            <w:shd w:val="clear" w:color="auto" w:fill="auto"/>
            <w:vAlign w:val="center"/>
          </w:tcPr>
          <w:p w14:paraId="3BFDB86B">
            <w:pPr>
              <w:pStyle w:val="14"/>
              <w:keepNext w:val="0"/>
              <w:keepLines w:val="0"/>
              <w:pageBreakBefore w:val="0"/>
              <w:widowControl w:val="0"/>
              <w:kinsoku/>
              <w:wordWrap/>
              <w:overflowPunct/>
              <w:topLinePunct w:val="0"/>
              <w:autoSpaceDE/>
              <w:autoSpaceDN/>
              <w:bidi w:val="0"/>
              <w:adjustRightInd/>
              <w:snapToGrid/>
              <w:spacing w:line="280" w:lineRule="exact"/>
              <w:jc w:val="center"/>
              <w:textAlignment w:val="auto"/>
              <w:rPr>
                <w:lang w:val="en-US" w:eastAsia="en-US"/>
              </w:rPr>
            </w:pPr>
            <w:r>
              <w:t>十户以下民房</w:t>
            </w:r>
          </w:p>
        </w:tc>
        <w:tc>
          <w:tcPr>
            <w:tcW w:w="1100" w:type="dxa"/>
            <w:shd w:val="clear" w:color="auto" w:fill="auto"/>
            <w:vAlign w:val="center"/>
          </w:tcPr>
          <w:p w14:paraId="5C7F5454">
            <w:pPr>
              <w:pStyle w:val="14"/>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eastAsia="宋体"/>
                <w:lang w:val="en-US" w:eastAsia="zh-CN"/>
              </w:rPr>
            </w:pPr>
            <w:r>
              <w:rPr>
                <w:rFonts w:hint="eastAsia"/>
                <w:lang w:val="en-US" w:eastAsia="zh-CN"/>
              </w:rPr>
              <w:t>185</w:t>
            </w:r>
          </w:p>
        </w:tc>
        <w:tc>
          <w:tcPr>
            <w:tcW w:w="1035" w:type="dxa"/>
            <w:shd w:val="clear" w:color="auto" w:fill="auto"/>
            <w:vAlign w:val="center"/>
          </w:tcPr>
          <w:p w14:paraId="3D18E756">
            <w:pPr>
              <w:pStyle w:val="14"/>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eastAsia="宋体"/>
                <w:lang w:val="en-US" w:eastAsia="zh-CN"/>
              </w:rPr>
            </w:pPr>
            <w:r>
              <w:rPr>
                <w:rFonts w:hint="eastAsia"/>
                <w:lang w:val="en-US" w:eastAsia="zh-CN"/>
              </w:rPr>
              <w:t>245</w:t>
            </w:r>
          </w:p>
        </w:tc>
      </w:tr>
      <w:tr w14:paraId="66B5FC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924" w:type="dxa"/>
            <w:shd w:val="clear" w:color="auto" w:fill="auto"/>
            <w:vAlign w:val="center"/>
          </w:tcPr>
          <w:p w14:paraId="3FD22AA0">
            <w:pPr>
              <w:pStyle w:val="14"/>
              <w:keepNext w:val="0"/>
              <w:keepLines w:val="0"/>
              <w:pageBreakBefore w:val="0"/>
              <w:widowControl w:val="0"/>
              <w:kinsoku/>
              <w:wordWrap/>
              <w:overflowPunct/>
              <w:topLinePunct w:val="0"/>
              <w:autoSpaceDE/>
              <w:autoSpaceDN/>
              <w:bidi w:val="0"/>
              <w:adjustRightInd/>
              <w:snapToGrid/>
              <w:spacing w:line="280" w:lineRule="exact"/>
              <w:jc w:val="center"/>
              <w:textAlignment w:val="auto"/>
              <w:rPr>
                <w:lang w:val="en-US" w:eastAsia="en-US"/>
              </w:rPr>
            </w:pPr>
            <w:r>
              <w:t>北</w:t>
            </w:r>
          </w:p>
        </w:tc>
        <w:tc>
          <w:tcPr>
            <w:tcW w:w="679" w:type="dxa"/>
            <w:shd w:val="clear" w:color="auto" w:fill="auto"/>
            <w:vAlign w:val="center"/>
          </w:tcPr>
          <w:p w14:paraId="5B957F61">
            <w:pPr>
              <w:pStyle w:val="14"/>
              <w:keepNext w:val="0"/>
              <w:keepLines w:val="0"/>
              <w:pageBreakBefore w:val="0"/>
              <w:widowControl w:val="0"/>
              <w:kinsoku/>
              <w:wordWrap/>
              <w:overflowPunct/>
              <w:topLinePunct w:val="0"/>
              <w:autoSpaceDE/>
              <w:autoSpaceDN/>
              <w:bidi w:val="0"/>
              <w:adjustRightInd/>
              <w:snapToGrid/>
              <w:spacing w:line="280" w:lineRule="exact"/>
              <w:jc w:val="center"/>
              <w:textAlignment w:val="auto"/>
              <w:rPr>
                <w:lang w:val="en-US" w:eastAsia="en-US"/>
              </w:rPr>
            </w:pPr>
            <w:r>
              <w:t>545</w:t>
            </w:r>
          </w:p>
        </w:tc>
        <w:tc>
          <w:tcPr>
            <w:tcW w:w="1099" w:type="dxa"/>
            <w:shd w:val="clear" w:color="auto" w:fill="auto"/>
            <w:vAlign w:val="center"/>
          </w:tcPr>
          <w:p w14:paraId="4EB5AAD6">
            <w:pPr>
              <w:pStyle w:val="14"/>
              <w:keepNext w:val="0"/>
              <w:keepLines w:val="0"/>
              <w:pageBreakBefore w:val="0"/>
              <w:widowControl w:val="0"/>
              <w:kinsoku/>
              <w:wordWrap/>
              <w:overflowPunct/>
              <w:topLinePunct w:val="0"/>
              <w:autoSpaceDE/>
              <w:autoSpaceDN/>
              <w:bidi w:val="0"/>
              <w:adjustRightInd/>
              <w:snapToGrid/>
              <w:spacing w:line="280" w:lineRule="exact"/>
              <w:jc w:val="center"/>
              <w:textAlignment w:val="auto"/>
              <w:rPr>
                <w:lang w:val="en-US" w:eastAsia="en-US"/>
              </w:rPr>
            </w:pPr>
            <w:r>
              <w:t>成品库</w:t>
            </w:r>
          </w:p>
        </w:tc>
        <w:tc>
          <w:tcPr>
            <w:tcW w:w="1080" w:type="dxa"/>
            <w:shd w:val="clear" w:color="auto" w:fill="auto"/>
            <w:vAlign w:val="center"/>
          </w:tcPr>
          <w:p w14:paraId="0DB7A125">
            <w:pPr>
              <w:pStyle w:val="14"/>
              <w:keepNext w:val="0"/>
              <w:keepLines w:val="0"/>
              <w:pageBreakBefore w:val="0"/>
              <w:widowControl w:val="0"/>
              <w:kinsoku/>
              <w:wordWrap/>
              <w:overflowPunct/>
              <w:topLinePunct w:val="0"/>
              <w:autoSpaceDE/>
              <w:autoSpaceDN/>
              <w:bidi w:val="0"/>
              <w:adjustRightInd/>
              <w:snapToGrid/>
              <w:spacing w:line="280" w:lineRule="exact"/>
              <w:jc w:val="center"/>
              <w:textAlignment w:val="auto"/>
              <w:rPr>
                <w:lang w:val="en-US" w:eastAsia="en-US"/>
              </w:rPr>
            </w:pPr>
            <w:r>
              <w:t>1.1</w:t>
            </w:r>
            <w:r>
              <w:rPr>
                <w:vertAlign w:val="superscript"/>
              </w:rPr>
              <w:t>-</w:t>
            </w:r>
            <w:r>
              <w:t>²</w:t>
            </w:r>
          </w:p>
        </w:tc>
        <w:tc>
          <w:tcPr>
            <w:tcW w:w="1110" w:type="dxa"/>
            <w:shd w:val="clear" w:color="auto" w:fill="auto"/>
            <w:vAlign w:val="center"/>
          </w:tcPr>
          <w:p w14:paraId="78268BE3">
            <w:pPr>
              <w:pStyle w:val="14"/>
              <w:keepNext w:val="0"/>
              <w:keepLines w:val="0"/>
              <w:pageBreakBefore w:val="0"/>
              <w:widowControl w:val="0"/>
              <w:kinsoku/>
              <w:wordWrap/>
              <w:overflowPunct/>
              <w:topLinePunct w:val="0"/>
              <w:autoSpaceDE/>
              <w:autoSpaceDN/>
              <w:bidi w:val="0"/>
              <w:adjustRightInd/>
              <w:snapToGrid/>
              <w:spacing w:line="280" w:lineRule="exact"/>
              <w:jc w:val="center"/>
              <w:textAlignment w:val="auto"/>
              <w:rPr>
                <w:lang w:val="en-US" w:eastAsia="en-US"/>
              </w:rPr>
            </w:pPr>
            <w:r>
              <w:t>2000</w:t>
            </w:r>
          </w:p>
        </w:tc>
        <w:tc>
          <w:tcPr>
            <w:tcW w:w="2049" w:type="dxa"/>
            <w:shd w:val="clear" w:color="auto" w:fill="auto"/>
            <w:vAlign w:val="center"/>
          </w:tcPr>
          <w:p w14:paraId="615301BF">
            <w:pPr>
              <w:pStyle w:val="14"/>
              <w:keepNext w:val="0"/>
              <w:keepLines w:val="0"/>
              <w:pageBreakBefore w:val="0"/>
              <w:widowControl w:val="0"/>
              <w:kinsoku/>
              <w:wordWrap/>
              <w:overflowPunct/>
              <w:topLinePunct w:val="0"/>
              <w:autoSpaceDE/>
              <w:autoSpaceDN/>
              <w:bidi w:val="0"/>
              <w:adjustRightInd/>
              <w:snapToGrid/>
              <w:spacing w:line="280" w:lineRule="exact"/>
              <w:jc w:val="center"/>
              <w:textAlignment w:val="auto"/>
              <w:rPr>
                <w:lang w:val="en-US" w:eastAsia="en-US"/>
              </w:rPr>
            </w:pPr>
            <w:r>
              <w:t>山地</w:t>
            </w:r>
          </w:p>
        </w:tc>
        <w:tc>
          <w:tcPr>
            <w:tcW w:w="1100" w:type="dxa"/>
            <w:shd w:val="clear" w:color="auto" w:fill="auto"/>
            <w:vAlign w:val="center"/>
          </w:tcPr>
          <w:p w14:paraId="406F51BC">
            <w:pPr>
              <w:pStyle w:val="14"/>
              <w:keepNext w:val="0"/>
              <w:keepLines w:val="0"/>
              <w:pageBreakBefore w:val="0"/>
              <w:widowControl w:val="0"/>
              <w:kinsoku/>
              <w:wordWrap/>
              <w:overflowPunct/>
              <w:topLinePunct w:val="0"/>
              <w:autoSpaceDE/>
              <w:autoSpaceDN/>
              <w:bidi w:val="0"/>
              <w:adjustRightInd/>
              <w:snapToGrid/>
              <w:spacing w:line="280" w:lineRule="exact"/>
              <w:jc w:val="center"/>
              <w:textAlignment w:val="auto"/>
              <w:rPr>
                <w:lang w:val="en-US" w:eastAsia="en-US"/>
              </w:rPr>
            </w:pPr>
            <w:r>
              <w:t>/</w:t>
            </w:r>
          </w:p>
        </w:tc>
        <w:tc>
          <w:tcPr>
            <w:tcW w:w="1035" w:type="dxa"/>
            <w:shd w:val="clear" w:color="auto" w:fill="auto"/>
            <w:vAlign w:val="center"/>
          </w:tcPr>
          <w:p w14:paraId="2EC8454B">
            <w:pPr>
              <w:pStyle w:val="14"/>
              <w:keepNext w:val="0"/>
              <w:keepLines w:val="0"/>
              <w:pageBreakBefore w:val="0"/>
              <w:widowControl w:val="0"/>
              <w:kinsoku/>
              <w:wordWrap/>
              <w:overflowPunct/>
              <w:topLinePunct w:val="0"/>
              <w:autoSpaceDE/>
              <w:autoSpaceDN/>
              <w:bidi w:val="0"/>
              <w:adjustRightInd/>
              <w:snapToGrid/>
              <w:spacing w:line="280" w:lineRule="exact"/>
              <w:jc w:val="center"/>
              <w:textAlignment w:val="auto"/>
              <w:rPr>
                <w:lang w:val="en-US" w:eastAsia="en-US"/>
              </w:rPr>
            </w:pPr>
            <w:r>
              <w:t>/</w:t>
            </w:r>
          </w:p>
        </w:tc>
      </w:tr>
      <w:tr w14:paraId="073FEF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9076" w:type="dxa"/>
            <w:gridSpan w:val="8"/>
            <w:shd w:val="clear" w:color="auto" w:fill="auto"/>
            <w:vAlign w:val="center"/>
          </w:tcPr>
          <w:p w14:paraId="727DF501">
            <w:pPr>
              <w:pStyle w:val="14"/>
              <w:keepNext w:val="0"/>
              <w:keepLines w:val="0"/>
              <w:pageBreakBefore w:val="0"/>
              <w:widowControl w:val="0"/>
              <w:kinsoku/>
              <w:wordWrap/>
              <w:overflowPunct/>
              <w:topLinePunct w:val="0"/>
              <w:autoSpaceDE/>
              <w:autoSpaceDN/>
              <w:bidi w:val="0"/>
              <w:adjustRightInd/>
              <w:snapToGrid/>
              <w:spacing w:line="280" w:lineRule="exact"/>
              <w:jc w:val="center"/>
              <w:textAlignment w:val="auto"/>
              <w:rPr>
                <w:lang w:val="en-US" w:eastAsia="en-US"/>
              </w:rPr>
            </w:pPr>
            <w:r>
              <w:t>注：以上数据均</w:t>
            </w:r>
            <w:r>
              <w:rPr>
                <w:rFonts w:hint="eastAsia"/>
                <w:lang w:val="en-US" w:eastAsia="zh-CN"/>
              </w:rPr>
              <w:t>引自</w:t>
            </w:r>
            <w:r>
              <w:t>企业提供</w:t>
            </w:r>
            <w:r>
              <w:rPr>
                <w:rFonts w:hint="eastAsia"/>
                <w:lang w:val="en-US" w:eastAsia="zh-CN"/>
              </w:rPr>
              <w:t>的、</w:t>
            </w:r>
            <w:r>
              <w:t>由</w:t>
            </w:r>
            <w:r>
              <w:rPr>
                <w:rFonts w:hint="eastAsia"/>
                <w:lang w:val="en-US" w:eastAsia="zh-CN"/>
              </w:rPr>
              <w:t>黑龙江龙维化学工程设计有限公司2024年10月</w:t>
            </w:r>
            <w:r>
              <w:t>出具的总平面布置图中的对齐标注数据</w:t>
            </w:r>
          </w:p>
        </w:tc>
      </w:tr>
    </w:tbl>
    <w:p w14:paraId="13B76E18">
      <w:pPr>
        <w:pStyle w:val="3"/>
        <w:bidi w:val="0"/>
        <w:ind w:left="0" w:leftChars="0" w:firstLine="0" w:firstLineChars="0"/>
        <w:rPr>
          <w:rFonts w:hint="eastAsia"/>
        </w:rPr>
      </w:pPr>
      <w:bookmarkStart w:id="62" w:name="_Toc313"/>
      <w:bookmarkStart w:id="63" w:name="_Toc26103"/>
      <w:r>
        <w:rPr>
          <w:rFonts w:hint="eastAsia"/>
        </w:rPr>
        <w:t>2.8 安全管理介绍</w:t>
      </w:r>
      <w:bookmarkEnd w:id="62"/>
      <w:bookmarkEnd w:id="63"/>
    </w:p>
    <w:p w14:paraId="7031D649">
      <w:pPr>
        <w:pStyle w:val="3"/>
        <w:bidi w:val="0"/>
        <w:ind w:left="0" w:leftChars="0" w:firstLine="0" w:firstLineChars="0"/>
        <w:rPr>
          <w:rFonts w:hint="eastAsia"/>
        </w:rPr>
      </w:pPr>
      <w:bookmarkStart w:id="64" w:name="_Toc17371"/>
      <w:bookmarkStart w:id="65" w:name="_Toc27814"/>
      <w:r>
        <w:rPr>
          <w:rFonts w:hint="eastAsia"/>
        </w:rPr>
        <w:t>2.8.1 安全管理组织机构</w:t>
      </w:r>
      <w:bookmarkEnd w:id="64"/>
      <w:bookmarkEnd w:id="65"/>
    </w:p>
    <w:p w14:paraId="04E65BF5">
      <w:pPr>
        <w:keepNext w:val="0"/>
        <w:keepLines w:val="0"/>
        <w:pageBreakBefore w:val="0"/>
        <w:widowControl w:val="0"/>
        <w:kinsoku/>
        <w:wordWrap/>
        <w:overflowPunct/>
        <w:topLinePunct w:val="0"/>
        <w:autoSpaceDE/>
        <w:autoSpaceDN/>
        <w:bidi w:val="0"/>
        <w:adjustRightInd/>
        <w:snapToGrid/>
        <w:ind w:firstLine="606" w:firstLineChars="200"/>
        <w:textAlignment w:val="auto"/>
        <w:rPr>
          <w:rFonts w:hint="default" w:ascii="宋体" w:hAnsi="宋体" w:eastAsia="宋体" w:cs="宋体"/>
          <w:sz w:val="28"/>
          <w:szCs w:val="28"/>
          <w:lang w:val="en-US" w:eastAsia="zh-CN"/>
        </w:rPr>
      </w:pPr>
      <w:r>
        <w:rPr>
          <w:rFonts w:hint="eastAsia"/>
        </w:rPr>
        <w:t>南昌布莱特进出口有限责任公司按相关法律、法规要求，成立了安全组织机构</w:t>
      </w:r>
      <w:r>
        <w:rPr>
          <w:rFonts w:hint="eastAsia"/>
          <w:lang w:eastAsia="zh-CN"/>
        </w:rPr>
        <w:t>，</w:t>
      </w:r>
      <w:r>
        <w:rPr>
          <w:rFonts w:hint="eastAsia"/>
          <w:lang w:val="en-US" w:eastAsia="zh-CN"/>
        </w:rPr>
        <w:t>成立了由</w:t>
      </w:r>
      <w:r>
        <w:rPr>
          <w:rFonts w:hint="eastAsia" w:ascii="宋体" w:hAnsi="宋体"/>
          <w:szCs w:val="21"/>
          <w:lang w:val="en-US" w:eastAsia="zh-CN"/>
        </w:rPr>
        <w:t>4</w:t>
      </w:r>
      <w:r>
        <w:rPr>
          <w:rFonts w:hint="eastAsia" w:ascii="宋体" w:hAnsi="宋体"/>
          <w:szCs w:val="21"/>
        </w:rPr>
        <w:t>人组成的安全领导小组</w:t>
      </w:r>
      <w:r>
        <w:rPr>
          <w:rFonts w:hint="eastAsia" w:ascii="宋体" w:hAnsi="宋体"/>
          <w:szCs w:val="21"/>
          <w:lang w:eastAsia="zh-CN"/>
        </w:rPr>
        <w:t>，</w:t>
      </w:r>
      <w:r>
        <w:rPr>
          <w:rFonts w:hint="eastAsia" w:ascii="宋体" w:hAnsi="宋体"/>
          <w:szCs w:val="21"/>
        </w:rPr>
        <w:t>设置</w:t>
      </w:r>
      <w:r>
        <w:rPr>
          <w:rFonts w:hint="eastAsia" w:ascii="宋体" w:hAnsi="宋体" w:eastAsia="宋体" w:cs="宋体"/>
          <w:sz w:val="28"/>
          <w:szCs w:val="28"/>
        </w:rPr>
        <w:t>组长</w:t>
      </w:r>
      <w:r>
        <w:rPr>
          <w:rFonts w:hint="eastAsia" w:ascii="宋体" w:hAnsi="宋体" w:eastAsia="宋体" w:cs="宋体"/>
          <w:sz w:val="28"/>
          <w:szCs w:val="28"/>
          <w:lang w:val="en-US" w:eastAsia="zh-CN"/>
        </w:rPr>
        <w:t>1人，</w:t>
      </w:r>
      <w:r>
        <w:rPr>
          <w:rFonts w:hint="eastAsia" w:ascii="宋体" w:hAnsi="宋体" w:eastAsia="宋体" w:cs="宋体"/>
          <w:sz w:val="28"/>
          <w:szCs w:val="28"/>
        </w:rPr>
        <w:t>副组长</w:t>
      </w:r>
      <w:r>
        <w:rPr>
          <w:rFonts w:hint="eastAsia" w:ascii="宋体" w:hAnsi="宋体" w:cs="宋体"/>
          <w:sz w:val="28"/>
          <w:szCs w:val="28"/>
          <w:lang w:val="en-US" w:eastAsia="zh-CN"/>
        </w:rPr>
        <w:t>1人，</w:t>
      </w:r>
      <w:r>
        <w:rPr>
          <w:rFonts w:hint="eastAsia" w:ascii="宋体" w:hAnsi="宋体" w:eastAsia="宋体" w:cs="宋体"/>
          <w:sz w:val="28"/>
          <w:szCs w:val="28"/>
        </w:rPr>
        <w:t>组员</w:t>
      </w:r>
      <w:r>
        <w:rPr>
          <w:rFonts w:hint="eastAsia" w:ascii="宋体" w:hAnsi="宋体" w:eastAsia="宋体" w:cs="宋体"/>
          <w:sz w:val="28"/>
          <w:szCs w:val="28"/>
          <w:lang w:val="en-US" w:eastAsia="zh-CN"/>
        </w:rPr>
        <w:t>2人。</w:t>
      </w:r>
    </w:p>
    <w:p w14:paraId="722D9699">
      <w:pPr>
        <w:pStyle w:val="4"/>
        <w:bidi w:val="0"/>
        <w:ind w:left="0" w:leftChars="0" w:firstLine="0" w:firstLineChars="0"/>
        <w:rPr>
          <w:rFonts w:hint="eastAsia"/>
        </w:rPr>
      </w:pPr>
      <w:bookmarkStart w:id="66" w:name="_Toc2136"/>
      <w:r>
        <w:rPr>
          <w:rFonts w:hint="eastAsia"/>
        </w:rPr>
        <w:t>2.8.2 劳动定员和人员培训</w:t>
      </w:r>
      <w:bookmarkEnd w:id="66"/>
    </w:p>
    <w:p w14:paraId="381881BA">
      <w:pPr>
        <w:bidi w:val="0"/>
        <w:rPr>
          <w:rFonts w:hint="eastAsia"/>
        </w:rPr>
      </w:pPr>
      <w:r>
        <w:rPr>
          <w:rFonts w:hint="eastAsia"/>
        </w:rPr>
        <w:t>该公司主要负责人</w:t>
      </w:r>
      <w:r>
        <w:rPr>
          <w:rFonts w:hint="eastAsia"/>
          <w:lang w:val="en-US" w:eastAsia="zh-CN"/>
        </w:rPr>
        <w:t>卢琛芸</w:t>
      </w:r>
      <w:r>
        <w:rPr>
          <w:rFonts w:hint="eastAsia"/>
        </w:rPr>
        <w:t>及管理人员均已获得相关证件，详见附件。另外该公司委托萍乡市金坪烟花制造有限公司</w:t>
      </w:r>
      <w:r>
        <w:rPr>
          <w:rFonts w:hint="eastAsia"/>
          <w:lang w:val="en-US" w:eastAsia="zh-CN"/>
        </w:rPr>
        <w:t>取得</w:t>
      </w:r>
      <w:r>
        <w:rPr>
          <w:rFonts w:hint="eastAsia"/>
        </w:rPr>
        <w:t>特种作业人员代为作业，特种作业人员资格证，详情如下表所示：</w:t>
      </w:r>
    </w:p>
    <w:p w14:paraId="67D85C0D">
      <w:pPr>
        <w:bidi w:val="0"/>
        <w:ind w:left="0" w:leftChars="0" w:firstLine="0" w:firstLineChars="0"/>
        <w:jc w:val="center"/>
        <w:rPr>
          <w:rFonts w:hint="eastAsia"/>
        </w:rPr>
      </w:pPr>
      <w:r>
        <w:rPr>
          <w:rFonts w:hint="eastAsia"/>
        </w:rPr>
        <w:t>表2.8-1企业主要负责人、安全管理人员及特种作业人员一览表</w:t>
      </w:r>
    </w:p>
    <w:tbl>
      <w:tblPr>
        <w:tblStyle w:val="105"/>
        <w:tblW w:w="899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1"/>
        <w:gridCol w:w="677"/>
        <w:gridCol w:w="2032"/>
        <w:gridCol w:w="2421"/>
        <w:gridCol w:w="2816"/>
      </w:tblGrid>
      <w:tr w14:paraId="5DA90D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051" w:type="dxa"/>
            <w:vAlign w:val="top"/>
          </w:tcPr>
          <w:p w14:paraId="58C95F8E">
            <w:pPr>
              <w:pStyle w:val="14"/>
              <w:bidi w:val="0"/>
              <w:rPr>
                <w:color w:val="auto"/>
              </w:rPr>
            </w:pPr>
            <w:r>
              <w:rPr>
                <w:color w:val="auto"/>
              </w:rPr>
              <w:t>姓名</w:t>
            </w:r>
          </w:p>
        </w:tc>
        <w:tc>
          <w:tcPr>
            <w:tcW w:w="677" w:type="dxa"/>
            <w:vAlign w:val="top"/>
          </w:tcPr>
          <w:p w14:paraId="76288EFB">
            <w:pPr>
              <w:pStyle w:val="14"/>
              <w:bidi w:val="0"/>
              <w:rPr>
                <w:color w:val="auto"/>
              </w:rPr>
            </w:pPr>
            <w:r>
              <w:rPr>
                <w:color w:val="auto"/>
              </w:rPr>
              <w:t>性别</w:t>
            </w:r>
          </w:p>
        </w:tc>
        <w:tc>
          <w:tcPr>
            <w:tcW w:w="2032" w:type="dxa"/>
            <w:vAlign w:val="top"/>
          </w:tcPr>
          <w:p w14:paraId="6A94B607">
            <w:pPr>
              <w:pStyle w:val="14"/>
              <w:bidi w:val="0"/>
              <w:rPr>
                <w:color w:val="auto"/>
              </w:rPr>
            </w:pPr>
            <w:r>
              <w:rPr>
                <w:rFonts w:hint="eastAsia" w:eastAsia="宋体"/>
                <w:color w:val="auto"/>
              </w:rPr>
              <w:t>资格类型</w:t>
            </w:r>
          </w:p>
        </w:tc>
        <w:tc>
          <w:tcPr>
            <w:tcW w:w="2421" w:type="dxa"/>
            <w:vAlign w:val="top"/>
          </w:tcPr>
          <w:p w14:paraId="03E36B7E">
            <w:pPr>
              <w:pStyle w:val="14"/>
              <w:bidi w:val="0"/>
              <w:rPr>
                <w:color w:val="auto"/>
              </w:rPr>
            </w:pPr>
            <w:r>
              <w:rPr>
                <w:color w:val="auto"/>
              </w:rPr>
              <w:t>证书号</w:t>
            </w:r>
          </w:p>
        </w:tc>
        <w:tc>
          <w:tcPr>
            <w:tcW w:w="2816" w:type="dxa"/>
            <w:vAlign w:val="top"/>
          </w:tcPr>
          <w:p w14:paraId="6B0EBDEF">
            <w:pPr>
              <w:pStyle w:val="14"/>
              <w:bidi w:val="0"/>
              <w:rPr>
                <w:color w:val="auto"/>
              </w:rPr>
            </w:pPr>
            <w:r>
              <w:rPr>
                <w:color w:val="auto"/>
              </w:rPr>
              <w:t>有效期</w:t>
            </w:r>
          </w:p>
        </w:tc>
      </w:tr>
      <w:tr w14:paraId="458BC9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 w:hRule="atLeast"/>
        </w:trPr>
        <w:tc>
          <w:tcPr>
            <w:tcW w:w="1051" w:type="dxa"/>
            <w:vAlign w:val="top"/>
          </w:tcPr>
          <w:p w14:paraId="2729EA8A">
            <w:pPr>
              <w:pStyle w:val="14"/>
              <w:bidi w:val="0"/>
              <w:rPr>
                <w:rFonts w:ascii="Times New Roman" w:hAnsi="Times New Roman" w:eastAsia="宋体" w:cs="Times New Roman"/>
                <w:color w:val="auto"/>
              </w:rPr>
            </w:pPr>
            <w:r>
              <w:rPr>
                <w:rFonts w:hint="eastAsia" w:ascii="Times New Roman" w:hAnsi="Times New Roman" w:eastAsia="宋体" w:cs="Times New Roman"/>
                <w:color w:val="auto"/>
                <w:lang w:val="en-US" w:eastAsia="zh-CN"/>
              </w:rPr>
              <w:t>卢琛芸</w:t>
            </w:r>
          </w:p>
        </w:tc>
        <w:tc>
          <w:tcPr>
            <w:tcW w:w="677" w:type="dxa"/>
            <w:vAlign w:val="top"/>
          </w:tcPr>
          <w:p w14:paraId="3F202782">
            <w:pPr>
              <w:pStyle w:val="14"/>
              <w:bidi w:val="0"/>
              <w:rPr>
                <w:rFonts w:ascii="Times New Roman" w:hAnsi="Times New Roman" w:eastAsia="宋体" w:cs="Times New Roman"/>
                <w:color w:val="auto"/>
              </w:rPr>
            </w:pPr>
            <w:r>
              <w:rPr>
                <w:rFonts w:ascii="Times New Roman" w:hAnsi="Times New Roman" w:eastAsia="宋体" w:cs="Times New Roman"/>
                <w:color w:val="auto"/>
              </w:rPr>
              <w:t>女</w:t>
            </w:r>
          </w:p>
        </w:tc>
        <w:tc>
          <w:tcPr>
            <w:tcW w:w="2032" w:type="dxa"/>
            <w:vAlign w:val="top"/>
          </w:tcPr>
          <w:p w14:paraId="620978B3">
            <w:pPr>
              <w:pStyle w:val="14"/>
              <w:bidi w:val="0"/>
              <w:rPr>
                <w:rFonts w:ascii="Times New Roman" w:hAnsi="Times New Roman" w:eastAsia="宋体" w:cs="Times New Roman"/>
                <w:color w:val="auto"/>
              </w:rPr>
            </w:pPr>
            <w:r>
              <w:rPr>
                <w:rFonts w:ascii="Times New Roman" w:hAnsi="Times New Roman" w:eastAsia="宋体" w:cs="Times New Roman"/>
                <w:color w:val="auto"/>
              </w:rPr>
              <w:t>主要负责人</w:t>
            </w:r>
          </w:p>
        </w:tc>
        <w:tc>
          <w:tcPr>
            <w:tcW w:w="2421" w:type="dxa"/>
            <w:vAlign w:val="top"/>
          </w:tcPr>
          <w:p w14:paraId="1B0C91E3">
            <w:pPr>
              <w:pStyle w:val="14"/>
              <w:bidi w:val="0"/>
              <w:rPr>
                <w:rFonts w:hint="default" w:eastAsia="宋体"/>
                <w:color w:val="auto"/>
                <w:lang w:val="en-US" w:eastAsia="zh-CN"/>
              </w:rPr>
            </w:pPr>
            <w:r>
              <w:rPr>
                <w:rFonts w:hint="eastAsia"/>
                <w:color w:val="auto"/>
                <w:lang w:val="en-US" w:eastAsia="zh-CN"/>
              </w:rPr>
              <w:t>*********</w:t>
            </w:r>
          </w:p>
        </w:tc>
        <w:tc>
          <w:tcPr>
            <w:tcW w:w="2816" w:type="dxa"/>
            <w:vAlign w:val="top"/>
          </w:tcPr>
          <w:p w14:paraId="769C0C8C">
            <w:pPr>
              <w:pStyle w:val="14"/>
              <w:bidi w:val="0"/>
              <w:rPr>
                <w:rFonts w:hint="default" w:eastAsia="宋体"/>
                <w:color w:val="auto"/>
                <w:lang w:val="en-US" w:eastAsia="zh-CN"/>
              </w:rPr>
            </w:pPr>
            <w:r>
              <w:rPr>
                <w:color w:val="auto"/>
              </w:rPr>
              <w:t>202</w:t>
            </w:r>
            <w:r>
              <w:rPr>
                <w:rFonts w:hint="eastAsia"/>
                <w:color w:val="auto"/>
                <w:lang w:val="en-US" w:eastAsia="zh-CN"/>
              </w:rPr>
              <w:t>5</w:t>
            </w:r>
            <w:r>
              <w:rPr>
                <w:color w:val="auto"/>
              </w:rPr>
              <w:t>.</w:t>
            </w:r>
            <w:r>
              <w:rPr>
                <w:rFonts w:hint="eastAsia"/>
                <w:color w:val="auto"/>
                <w:lang w:val="en-US" w:eastAsia="zh-CN"/>
              </w:rPr>
              <w:t>09</w:t>
            </w:r>
            <w:r>
              <w:rPr>
                <w:color w:val="auto"/>
              </w:rPr>
              <w:t>.</w:t>
            </w:r>
            <w:r>
              <w:rPr>
                <w:rFonts w:hint="eastAsia"/>
                <w:color w:val="auto"/>
                <w:lang w:val="en-US" w:eastAsia="zh-CN"/>
              </w:rPr>
              <w:t>25</w:t>
            </w:r>
            <w:r>
              <w:rPr>
                <w:color w:val="auto"/>
              </w:rPr>
              <w:t>-202</w:t>
            </w:r>
            <w:r>
              <w:rPr>
                <w:rFonts w:hint="eastAsia"/>
                <w:color w:val="auto"/>
                <w:lang w:val="en-US" w:eastAsia="zh-CN"/>
              </w:rPr>
              <w:t>8</w:t>
            </w:r>
            <w:r>
              <w:rPr>
                <w:color w:val="auto"/>
              </w:rPr>
              <w:t>.</w:t>
            </w:r>
            <w:r>
              <w:rPr>
                <w:rFonts w:hint="eastAsia"/>
                <w:color w:val="auto"/>
                <w:lang w:val="en-US" w:eastAsia="zh-CN"/>
              </w:rPr>
              <w:t>09</w:t>
            </w:r>
            <w:r>
              <w:rPr>
                <w:color w:val="auto"/>
              </w:rPr>
              <w:t>.</w:t>
            </w:r>
            <w:r>
              <w:rPr>
                <w:rFonts w:hint="eastAsia"/>
                <w:color w:val="auto"/>
                <w:lang w:val="en-US" w:eastAsia="zh-CN"/>
              </w:rPr>
              <w:t>24</w:t>
            </w:r>
          </w:p>
        </w:tc>
      </w:tr>
      <w:tr w14:paraId="682A2C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1051" w:type="dxa"/>
            <w:vAlign w:val="top"/>
          </w:tcPr>
          <w:p w14:paraId="146E3E28">
            <w:pPr>
              <w:pStyle w:val="14"/>
              <w:bidi w:val="0"/>
              <w:rPr>
                <w:rFonts w:ascii="Times New Roman" w:hAnsi="Times New Roman" w:eastAsia="宋体" w:cs="Times New Roman"/>
                <w:color w:val="auto"/>
              </w:rPr>
            </w:pPr>
            <w:r>
              <w:rPr>
                <w:rFonts w:ascii="Times New Roman" w:hAnsi="Times New Roman" w:eastAsia="宋体" w:cs="Times New Roman"/>
                <w:color w:val="auto"/>
              </w:rPr>
              <w:t>杨雨</w:t>
            </w:r>
          </w:p>
        </w:tc>
        <w:tc>
          <w:tcPr>
            <w:tcW w:w="677" w:type="dxa"/>
            <w:vAlign w:val="top"/>
          </w:tcPr>
          <w:p w14:paraId="6FC1499C">
            <w:pPr>
              <w:pStyle w:val="14"/>
              <w:bidi w:val="0"/>
              <w:rPr>
                <w:rFonts w:ascii="Times New Roman" w:hAnsi="Times New Roman" w:eastAsia="宋体" w:cs="Times New Roman"/>
                <w:color w:val="auto"/>
              </w:rPr>
            </w:pPr>
            <w:r>
              <w:rPr>
                <w:rFonts w:ascii="Times New Roman" w:hAnsi="Times New Roman" w:eastAsia="宋体" w:cs="Times New Roman"/>
                <w:color w:val="auto"/>
              </w:rPr>
              <w:t>女</w:t>
            </w:r>
          </w:p>
        </w:tc>
        <w:tc>
          <w:tcPr>
            <w:tcW w:w="2032" w:type="dxa"/>
            <w:vAlign w:val="top"/>
          </w:tcPr>
          <w:p w14:paraId="7AF6EE44">
            <w:pPr>
              <w:pStyle w:val="14"/>
              <w:bidi w:val="0"/>
              <w:rPr>
                <w:rFonts w:ascii="Times New Roman" w:hAnsi="Times New Roman" w:eastAsia="宋体" w:cs="Times New Roman"/>
                <w:color w:val="auto"/>
              </w:rPr>
            </w:pPr>
            <w:r>
              <w:rPr>
                <w:rFonts w:ascii="Times New Roman" w:hAnsi="Times New Roman" w:eastAsia="宋体" w:cs="Times New Roman"/>
                <w:color w:val="auto"/>
              </w:rPr>
              <w:t>安全管理人员</w:t>
            </w:r>
          </w:p>
        </w:tc>
        <w:tc>
          <w:tcPr>
            <w:tcW w:w="2421" w:type="dxa"/>
            <w:vAlign w:val="top"/>
          </w:tcPr>
          <w:p w14:paraId="4E9671CF">
            <w:pPr>
              <w:pStyle w:val="14"/>
              <w:bidi w:val="0"/>
              <w:rPr>
                <w:color w:val="auto"/>
              </w:rPr>
            </w:pPr>
            <w:r>
              <w:rPr>
                <w:rFonts w:hint="eastAsia"/>
                <w:color w:val="auto"/>
                <w:lang w:val="en-US" w:eastAsia="zh-CN"/>
              </w:rPr>
              <w:t>*********</w:t>
            </w:r>
          </w:p>
        </w:tc>
        <w:tc>
          <w:tcPr>
            <w:tcW w:w="2816" w:type="dxa"/>
            <w:vAlign w:val="top"/>
          </w:tcPr>
          <w:p w14:paraId="0A038E8E">
            <w:pPr>
              <w:pStyle w:val="14"/>
              <w:bidi w:val="0"/>
              <w:rPr>
                <w:color w:val="auto"/>
              </w:rPr>
            </w:pPr>
            <w:r>
              <w:rPr>
                <w:color w:val="auto"/>
              </w:rPr>
              <w:t>202</w:t>
            </w:r>
            <w:r>
              <w:rPr>
                <w:rFonts w:hint="eastAsia"/>
                <w:color w:val="auto"/>
                <w:lang w:val="en-US" w:eastAsia="zh-CN"/>
              </w:rPr>
              <w:t>5</w:t>
            </w:r>
            <w:r>
              <w:rPr>
                <w:color w:val="auto"/>
              </w:rPr>
              <w:t>.</w:t>
            </w:r>
            <w:r>
              <w:rPr>
                <w:rFonts w:hint="eastAsia"/>
                <w:color w:val="auto"/>
                <w:lang w:val="en-US" w:eastAsia="zh-CN"/>
              </w:rPr>
              <w:t>09</w:t>
            </w:r>
            <w:r>
              <w:rPr>
                <w:color w:val="auto"/>
              </w:rPr>
              <w:t>.</w:t>
            </w:r>
            <w:r>
              <w:rPr>
                <w:rFonts w:hint="eastAsia"/>
                <w:color w:val="auto"/>
                <w:lang w:val="en-US" w:eastAsia="zh-CN"/>
              </w:rPr>
              <w:t>25</w:t>
            </w:r>
            <w:r>
              <w:rPr>
                <w:color w:val="auto"/>
              </w:rPr>
              <w:t>-202</w:t>
            </w:r>
            <w:r>
              <w:rPr>
                <w:rFonts w:hint="eastAsia"/>
                <w:color w:val="auto"/>
                <w:lang w:val="en-US" w:eastAsia="zh-CN"/>
              </w:rPr>
              <w:t>8</w:t>
            </w:r>
            <w:r>
              <w:rPr>
                <w:color w:val="auto"/>
              </w:rPr>
              <w:t>.</w:t>
            </w:r>
            <w:r>
              <w:rPr>
                <w:rFonts w:hint="eastAsia"/>
                <w:color w:val="auto"/>
                <w:lang w:val="en-US" w:eastAsia="zh-CN"/>
              </w:rPr>
              <w:t>09</w:t>
            </w:r>
            <w:r>
              <w:rPr>
                <w:color w:val="auto"/>
              </w:rPr>
              <w:t>.</w:t>
            </w:r>
            <w:r>
              <w:rPr>
                <w:rFonts w:hint="eastAsia"/>
                <w:color w:val="auto"/>
                <w:lang w:val="en-US" w:eastAsia="zh-CN"/>
              </w:rPr>
              <w:t>24</w:t>
            </w:r>
          </w:p>
        </w:tc>
      </w:tr>
      <w:tr w14:paraId="3403E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7" w:hRule="atLeast"/>
        </w:trPr>
        <w:tc>
          <w:tcPr>
            <w:tcW w:w="1051" w:type="dxa"/>
            <w:vAlign w:val="top"/>
          </w:tcPr>
          <w:p w14:paraId="67CFCD0E">
            <w:pPr>
              <w:pStyle w:val="14"/>
              <w:bidi w:val="0"/>
              <w:rPr>
                <w:rFonts w:hint="default" w:eastAsia="宋体"/>
                <w:color w:val="auto"/>
                <w:lang w:val="en-US" w:eastAsia="zh-CN"/>
              </w:rPr>
            </w:pPr>
            <w:r>
              <w:rPr>
                <w:rFonts w:hint="eastAsia"/>
                <w:color w:val="auto"/>
                <w:lang w:val="en-US" w:eastAsia="zh-CN"/>
              </w:rPr>
              <w:t>陈晓玲</w:t>
            </w:r>
          </w:p>
        </w:tc>
        <w:tc>
          <w:tcPr>
            <w:tcW w:w="677" w:type="dxa"/>
            <w:vAlign w:val="top"/>
          </w:tcPr>
          <w:p w14:paraId="65089566">
            <w:pPr>
              <w:pStyle w:val="14"/>
              <w:bidi w:val="0"/>
              <w:rPr>
                <w:color w:val="auto"/>
              </w:rPr>
            </w:pPr>
            <w:r>
              <w:rPr>
                <w:color w:val="auto"/>
              </w:rPr>
              <w:t>女</w:t>
            </w:r>
          </w:p>
        </w:tc>
        <w:tc>
          <w:tcPr>
            <w:tcW w:w="2032" w:type="dxa"/>
            <w:vAlign w:val="top"/>
          </w:tcPr>
          <w:p w14:paraId="1B9DDDAF">
            <w:pPr>
              <w:pStyle w:val="14"/>
              <w:bidi w:val="0"/>
              <w:rPr>
                <w:color w:val="auto"/>
              </w:rPr>
            </w:pPr>
            <w:r>
              <w:rPr>
                <w:color w:val="auto"/>
              </w:rPr>
              <w:t>安全管理人员</w:t>
            </w:r>
          </w:p>
        </w:tc>
        <w:tc>
          <w:tcPr>
            <w:tcW w:w="2421" w:type="dxa"/>
            <w:vAlign w:val="top"/>
          </w:tcPr>
          <w:p w14:paraId="1B349197">
            <w:pPr>
              <w:pStyle w:val="14"/>
              <w:bidi w:val="0"/>
              <w:rPr>
                <w:rFonts w:hint="default" w:eastAsia="宋体"/>
                <w:color w:val="auto"/>
                <w:lang w:val="en-US" w:eastAsia="zh-CN"/>
              </w:rPr>
            </w:pPr>
            <w:r>
              <w:rPr>
                <w:rFonts w:hint="eastAsia"/>
                <w:color w:val="auto"/>
                <w:lang w:val="en-US" w:eastAsia="zh-CN"/>
              </w:rPr>
              <w:t>*********</w:t>
            </w:r>
          </w:p>
        </w:tc>
        <w:tc>
          <w:tcPr>
            <w:tcW w:w="2816" w:type="dxa"/>
            <w:vAlign w:val="top"/>
          </w:tcPr>
          <w:p w14:paraId="1E925E19">
            <w:pPr>
              <w:pStyle w:val="14"/>
              <w:bidi w:val="0"/>
              <w:rPr>
                <w:color w:val="auto"/>
              </w:rPr>
            </w:pPr>
            <w:r>
              <w:rPr>
                <w:color w:val="auto"/>
              </w:rPr>
              <w:t>202</w:t>
            </w:r>
            <w:r>
              <w:rPr>
                <w:rFonts w:hint="eastAsia"/>
                <w:color w:val="auto"/>
                <w:lang w:val="en-US" w:eastAsia="zh-CN"/>
              </w:rPr>
              <w:t>5</w:t>
            </w:r>
            <w:r>
              <w:rPr>
                <w:color w:val="auto"/>
              </w:rPr>
              <w:t>.</w:t>
            </w:r>
            <w:r>
              <w:rPr>
                <w:rFonts w:hint="eastAsia"/>
                <w:color w:val="auto"/>
                <w:lang w:val="en-US" w:eastAsia="zh-CN"/>
              </w:rPr>
              <w:t>09</w:t>
            </w:r>
            <w:r>
              <w:rPr>
                <w:color w:val="auto"/>
              </w:rPr>
              <w:t>.</w:t>
            </w:r>
            <w:r>
              <w:rPr>
                <w:rFonts w:hint="eastAsia"/>
                <w:color w:val="auto"/>
                <w:lang w:val="en-US" w:eastAsia="zh-CN"/>
              </w:rPr>
              <w:t>25</w:t>
            </w:r>
            <w:r>
              <w:rPr>
                <w:color w:val="auto"/>
              </w:rPr>
              <w:t>-202</w:t>
            </w:r>
            <w:r>
              <w:rPr>
                <w:rFonts w:hint="eastAsia"/>
                <w:color w:val="auto"/>
                <w:lang w:val="en-US" w:eastAsia="zh-CN"/>
              </w:rPr>
              <w:t>8</w:t>
            </w:r>
            <w:r>
              <w:rPr>
                <w:color w:val="auto"/>
              </w:rPr>
              <w:t>.</w:t>
            </w:r>
            <w:r>
              <w:rPr>
                <w:rFonts w:hint="eastAsia"/>
                <w:color w:val="auto"/>
                <w:lang w:val="en-US" w:eastAsia="zh-CN"/>
              </w:rPr>
              <w:t>09</w:t>
            </w:r>
            <w:r>
              <w:rPr>
                <w:color w:val="auto"/>
              </w:rPr>
              <w:t>.</w:t>
            </w:r>
            <w:r>
              <w:rPr>
                <w:rFonts w:hint="eastAsia"/>
                <w:color w:val="auto"/>
                <w:lang w:val="en-US" w:eastAsia="zh-CN"/>
              </w:rPr>
              <w:t>24</w:t>
            </w:r>
          </w:p>
        </w:tc>
      </w:tr>
      <w:tr w14:paraId="701280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 w:hRule="atLeast"/>
        </w:trPr>
        <w:tc>
          <w:tcPr>
            <w:tcW w:w="1051" w:type="dxa"/>
            <w:vAlign w:val="top"/>
          </w:tcPr>
          <w:p w14:paraId="1EAB84A1">
            <w:pPr>
              <w:pStyle w:val="14"/>
              <w:bidi w:val="0"/>
              <w:rPr>
                <w:rFonts w:hint="default" w:eastAsia="宋体"/>
                <w:color w:val="auto"/>
                <w:lang w:val="en-US" w:eastAsia="zh-CN"/>
              </w:rPr>
            </w:pPr>
            <w:r>
              <w:rPr>
                <w:rFonts w:hint="eastAsia"/>
                <w:color w:val="auto"/>
                <w:lang w:val="en-US" w:eastAsia="zh-CN"/>
              </w:rPr>
              <w:t>王思淼</w:t>
            </w:r>
          </w:p>
        </w:tc>
        <w:tc>
          <w:tcPr>
            <w:tcW w:w="677" w:type="dxa"/>
            <w:vAlign w:val="top"/>
          </w:tcPr>
          <w:p w14:paraId="2E0EE2A6">
            <w:pPr>
              <w:pStyle w:val="14"/>
              <w:bidi w:val="0"/>
              <w:rPr>
                <w:color w:val="auto"/>
              </w:rPr>
            </w:pPr>
            <w:r>
              <w:rPr>
                <w:color w:val="auto"/>
              </w:rPr>
              <w:t>女</w:t>
            </w:r>
          </w:p>
        </w:tc>
        <w:tc>
          <w:tcPr>
            <w:tcW w:w="2032" w:type="dxa"/>
            <w:vAlign w:val="top"/>
          </w:tcPr>
          <w:p w14:paraId="04C3C649">
            <w:pPr>
              <w:pStyle w:val="14"/>
              <w:bidi w:val="0"/>
              <w:rPr>
                <w:color w:val="auto"/>
              </w:rPr>
            </w:pPr>
            <w:r>
              <w:rPr>
                <w:color w:val="auto"/>
              </w:rPr>
              <w:t>安全管理人员</w:t>
            </w:r>
          </w:p>
        </w:tc>
        <w:tc>
          <w:tcPr>
            <w:tcW w:w="2421" w:type="dxa"/>
            <w:vAlign w:val="top"/>
          </w:tcPr>
          <w:p w14:paraId="5B4E12C9">
            <w:pPr>
              <w:pStyle w:val="14"/>
              <w:bidi w:val="0"/>
              <w:rPr>
                <w:rFonts w:hint="default" w:eastAsia="宋体"/>
                <w:color w:val="auto"/>
                <w:lang w:val="en-US" w:eastAsia="zh-CN"/>
              </w:rPr>
            </w:pPr>
            <w:r>
              <w:rPr>
                <w:rFonts w:hint="eastAsia"/>
                <w:color w:val="auto"/>
                <w:lang w:val="en-US" w:eastAsia="zh-CN"/>
              </w:rPr>
              <w:t>*********</w:t>
            </w:r>
          </w:p>
        </w:tc>
        <w:tc>
          <w:tcPr>
            <w:tcW w:w="2816" w:type="dxa"/>
            <w:vAlign w:val="top"/>
          </w:tcPr>
          <w:p w14:paraId="0A68E14A">
            <w:pPr>
              <w:pStyle w:val="14"/>
              <w:bidi w:val="0"/>
              <w:rPr>
                <w:color w:val="auto"/>
              </w:rPr>
            </w:pPr>
            <w:r>
              <w:rPr>
                <w:color w:val="auto"/>
              </w:rPr>
              <w:t>202</w:t>
            </w:r>
            <w:r>
              <w:rPr>
                <w:rFonts w:hint="eastAsia"/>
                <w:color w:val="auto"/>
                <w:lang w:val="en-US" w:eastAsia="zh-CN"/>
              </w:rPr>
              <w:t>5</w:t>
            </w:r>
            <w:r>
              <w:rPr>
                <w:color w:val="auto"/>
              </w:rPr>
              <w:t>.</w:t>
            </w:r>
            <w:r>
              <w:rPr>
                <w:rFonts w:hint="eastAsia"/>
                <w:color w:val="auto"/>
                <w:lang w:val="en-US" w:eastAsia="zh-CN"/>
              </w:rPr>
              <w:t>09</w:t>
            </w:r>
            <w:r>
              <w:rPr>
                <w:color w:val="auto"/>
              </w:rPr>
              <w:t>.</w:t>
            </w:r>
            <w:r>
              <w:rPr>
                <w:rFonts w:hint="eastAsia"/>
                <w:color w:val="auto"/>
                <w:lang w:val="en-US" w:eastAsia="zh-CN"/>
              </w:rPr>
              <w:t>25</w:t>
            </w:r>
            <w:r>
              <w:rPr>
                <w:color w:val="auto"/>
              </w:rPr>
              <w:t>-202</w:t>
            </w:r>
            <w:r>
              <w:rPr>
                <w:rFonts w:hint="eastAsia"/>
                <w:color w:val="auto"/>
                <w:lang w:val="en-US" w:eastAsia="zh-CN"/>
              </w:rPr>
              <w:t>8</w:t>
            </w:r>
            <w:r>
              <w:rPr>
                <w:color w:val="auto"/>
              </w:rPr>
              <w:t>.</w:t>
            </w:r>
            <w:r>
              <w:rPr>
                <w:rFonts w:hint="eastAsia"/>
                <w:color w:val="auto"/>
                <w:lang w:val="en-US" w:eastAsia="zh-CN"/>
              </w:rPr>
              <w:t>09</w:t>
            </w:r>
            <w:r>
              <w:rPr>
                <w:color w:val="auto"/>
              </w:rPr>
              <w:t>.</w:t>
            </w:r>
            <w:r>
              <w:rPr>
                <w:rFonts w:hint="eastAsia"/>
                <w:color w:val="auto"/>
                <w:lang w:val="en-US" w:eastAsia="zh-CN"/>
              </w:rPr>
              <w:t>24</w:t>
            </w:r>
          </w:p>
        </w:tc>
      </w:tr>
      <w:tr w14:paraId="43FAE8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7" w:hRule="atLeast"/>
        </w:trPr>
        <w:tc>
          <w:tcPr>
            <w:tcW w:w="1051" w:type="dxa"/>
            <w:vAlign w:val="top"/>
          </w:tcPr>
          <w:p w14:paraId="273EE52A">
            <w:pPr>
              <w:pStyle w:val="14"/>
              <w:bidi w:val="0"/>
              <w:rPr>
                <w:rFonts w:hint="default" w:eastAsia="宋体"/>
                <w:color w:val="auto"/>
                <w:lang w:val="en-US" w:eastAsia="zh-CN"/>
              </w:rPr>
            </w:pPr>
            <w:r>
              <w:rPr>
                <w:rFonts w:hint="eastAsia"/>
                <w:color w:val="auto"/>
                <w:lang w:val="en-US" w:eastAsia="zh-CN"/>
              </w:rPr>
              <w:t>文雪萍</w:t>
            </w:r>
          </w:p>
        </w:tc>
        <w:tc>
          <w:tcPr>
            <w:tcW w:w="677" w:type="dxa"/>
            <w:vAlign w:val="top"/>
          </w:tcPr>
          <w:p w14:paraId="5BDDCB3B">
            <w:pPr>
              <w:pStyle w:val="14"/>
              <w:bidi w:val="0"/>
              <w:rPr>
                <w:rFonts w:hint="eastAsia" w:eastAsia="宋体"/>
                <w:color w:val="auto"/>
                <w:lang w:eastAsia="zh-CN"/>
              </w:rPr>
            </w:pPr>
            <w:r>
              <w:rPr>
                <w:rFonts w:hint="eastAsia"/>
                <w:color w:val="auto"/>
                <w:lang w:val="en-US" w:eastAsia="zh-CN"/>
              </w:rPr>
              <w:t>女</w:t>
            </w:r>
          </w:p>
        </w:tc>
        <w:tc>
          <w:tcPr>
            <w:tcW w:w="2032" w:type="dxa"/>
            <w:vAlign w:val="top"/>
          </w:tcPr>
          <w:p w14:paraId="424546D3">
            <w:pPr>
              <w:pStyle w:val="14"/>
              <w:bidi w:val="0"/>
              <w:rPr>
                <w:color w:val="auto"/>
              </w:rPr>
            </w:pPr>
            <w:r>
              <w:rPr>
                <w:color w:val="auto"/>
              </w:rPr>
              <w:t>烟花爆竹储存作业</w:t>
            </w:r>
          </w:p>
        </w:tc>
        <w:tc>
          <w:tcPr>
            <w:tcW w:w="2421" w:type="dxa"/>
            <w:vAlign w:val="top"/>
          </w:tcPr>
          <w:p w14:paraId="1C7F545D">
            <w:pPr>
              <w:pStyle w:val="14"/>
              <w:bidi w:val="0"/>
              <w:rPr>
                <w:rFonts w:hint="default" w:eastAsia="宋体"/>
                <w:color w:val="auto"/>
                <w:lang w:val="en-US" w:eastAsia="zh-CN"/>
              </w:rPr>
            </w:pPr>
            <w:r>
              <w:rPr>
                <w:rFonts w:hint="eastAsia"/>
                <w:color w:val="auto"/>
                <w:lang w:val="en-US" w:eastAsia="zh-CN"/>
              </w:rPr>
              <w:t>*********</w:t>
            </w:r>
          </w:p>
        </w:tc>
        <w:tc>
          <w:tcPr>
            <w:tcW w:w="2816" w:type="dxa"/>
            <w:vAlign w:val="top"/>
          </w:tcPr>
          <w:p w14:paraId="754E2E30">
            <w:pPr>
              <w:pStyle w:val="14"/>
              <w:bidi w:val="0"/>
              <w:rPr>
                <w:rFonts w:hint="eastAsia" w:eastAsia="宋体"/>
                <w:color w:val="auto"/>
                <w:lang w:eastAsia="zh-CN"/>
              </w:rPr>
            </w:pPr>
            <w:r>
              <w:rPr>
                <w:color w:val="auto"/>
              </w:rPr>
              <w:t>202</w:t>
            </w:r>
            <w:r>
              <w:rPr>
                <w:rFonts w:hint="eastAsia"/>
                <w:color w:val="auto"/>
                <w:lang w:val="en-US" w:eastAsia="zh-CN"/>
              </w:rPr>
              <w:t>5</w:t>
            </w:r>
            <w:r>
              <w:rPr>
                <w:color w:val="auto"/>
              </w:rPr>
              <w:t>.0</w:t>
            </w:r>
            <w:r>
              <w:rPr>
                <w:rFonts w:hint="eastAsia"/>
                <w:color w:val="auto"/>
                <w:lang w:val="en-US" w:eastAsia="zh-CN"/>
              </w:rPr>
              <w:t>8</w:t>
            </w:r>
            <w:r>
              <w:rPr>
                <w:color w:val="auto"/>
              </w:rPr>
              <w:t>.2</w:t>
            </w:r>
            <w:r>
              <w:rPr>
                <w:rFonts w:hint="eastAsia"/>
                <w:color w:val="auto"/>
                <w:lang w:val="en-US" w:eastAsia="zh-CN"/>
              </w:rPr>
              <w:t>7</w:t>
            </w:r>
            <w:r>
              <w:rPr>
                <w:color w:val="auto"/>
              </w:rPr>
              <w:t>-20</w:t>
            </w:r>
            <w:r>
              <w:rPr>
                <w:rFonts w:hint="eastAsia"/>
                <w:color w:val="auto"/>
                <w:lang w:val="en-US" w:eastAsia="zh-CN"/>
              </w:rPr>
              <w:t>31</w:t>
            </w:r>
            <w:r>
              <w:rPr>
                <w:color w:val="auto"/>
              </w:rPr>
              <w:t>.0</w:t>
            </w:r>
            <w:r>
              <w:rPr>
                <w:rFonts w:hint="eastAsia"/>
                <w:color w:val="auto"/>
                <w:lang w:val="en-US" w:eastAsia="zh-CN"/>
              </w:rPr>
              <w:t>8</w:t>
            </w:r>
            <w:r>
              <w:rPr>
                <w:color w:val="auto"/>
              </w:rPr>
              <w:t>.2</w:t>
            </w:r>
            <w:r>
              <w:rPr>
                <w:rFonts w:hint="eastAsia"/>
                <w:color w:val="auto"/>
                <w:lang w:val="en-US" w:eastAsia="zh-CN"/>
              </w:rPr>
              <w:t>6</w:t>
            </w:r>
          </w:p>
        </w:tc>
      </w:tr>
      <w:tr w14:paraId="0F9327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7" w:hRule="atLeast"/>
        </w:trPr>
        <w:tc>
          <w:tcPr>
            <w:tcW w:w="1051" w:type="dxa"/>
            <w:vAlign w:val="top"/>
          </w:tcPr>
          <w:p w14:paraId="21046F97">
            <w:pPr>
              <w:pStyle w:val="14"/>
              <w:bidi w:val="0"/>
              <w:rPr>
                <w:rFonts w:hint="default" w:eastAsia="宋体"/>
                <w:color w:val="auto"/>
                <w:lang w:val="en-US" w:eastAsia="zh-CN"/>
              </w:rPr>
            </w:pPr>
            <w:r>
              <w:rPr>
                <w:rFonts w:hint="eastAsia"/>
                <w:color w:val="auto"/>
                <w:lang w:val="en-US" w:eastAsia="zh-CN"/>
              </w:rPr>
              <w:t>金玉红</w:t>
            </w:r>
          </w:p>
        </w:tc>
        <w:tc>
          <w:tcPr>
            <w:tcW w:w="677" w:type="dxa"/>
            <w:vAlign w:val="top"/>
          </w:tcPr>
          <w:p w14:paraId="5381D19D">
            <w:pPr>
              <w:pStyle w:val="14"/>
              <w:bidi w:val="0"/>
              <w:rPr>
                <w:rFonts w:hint="eastAsia" w:eastAsia="宋体"/>
                <w:color w:val="auto"/>
                <w:lang w:eastAsia="zh-CN"/>
              </w:rPr>
            </w:pPr>
            <w:r>
              <w:rPr>
                <w:rFonts w:hint="eastAsia"/>
                <w:color w:val="auto"/>
                <w:lang w:val="en-US" w:eastAsia="zh-CN"/>
              </w:rPr>
              <w:t>女</w:t>
            </w:r>
          </w:p>
        </w:tc>
        <w:tc>
          <w:tcPr>
            <w:tcW w:w="2032" w:type="dxa"/>
            <w:vAlign w:val="top"/>
          </w:tcPr>
          <w:p w14:paraId="2399386B">
            <w:pPr>
              <w:pStyle w:val="14"/>
              <w:bidi w:val="0"/>
              <w:rPr>
                <w:color w:val="auto"/>
              </w:rPr>
            </w:pPr>
            <w:r>
              <w:rPr>
                <w:color w:val="auto"/>
              </w:rPr>
              <w:t>烟花爆竹储存作业</w:t>
            </w:r>
          </w:p>
        </w:tc>
        <w:tc>
          <w:tcPr>
            <w:tcW w:w="2421" w:type="dxa"/>
            <w:vAlign w:val="top"/>
          </w:tcPr>
          <w:p w14:paraId="160F1091">
            <w:pPr>
              <w:pStyle w:val="14"/>
              <w:bidi w:val="0"/>
              <w:rPr>
                <w:rFonts w:hint="default" w:eastAsia="宋体"/>
                <w:color w:val="auto"/>
                <w:lang w:val="en-US" w:eastAsia="zh-CN"/>
              </w:rPr>
            </w:pPr>
            <w:r>
              <w:rPr>
                <w:rFonts w:hint="eastAsia"/>
                <w:color w:val="auto"/>
                <w:lang w:val="en-US" w:eastAsia="zh-CN"/>
              </w:rPr>
              <w:t>*********</w:t>
            </w:r>
          </w:p>
        </w:tc>
        <w:tc>
          <w:tcPr>
            <w:tcW w:w="2816" w:type="dxa"/>
            <w:vAlign w:val="top"/>
          </w:tcPr>
          <w:p w14:paraId="5302197C">
            <w:pPr>
              <w:pStyle w:val="14"/>
              <w:bidi w:val="0"/>
              <w:rPr>
                <w:color w:val="auto"/>
              </w:rPr>
            </w:pPr>
            <w:r>
              <w:rPr>
                <w:color w:val="auto"/>
              </w:rPr>
              <w:t>202</w:t>
            </w:r>
            <w:r>
              <w:rPr>
                <w:rFonts w:hint="eastAsia"/>
                <w:color w:val="auto"/>
                <w:lang w:val="en-US" w:eastAsia="zh-CN"/>
              </w:rPr>
              <w:t>5</w:t>
            </w:r>
            <w:r>
              <w:rPr>
                <w:color w:val="auto"/>
              </w:rPr>
              <w:t>.0</w:t>
            </w:r>
            <w:r>
              <w:rPr>
                <w:rFonts w:hint="eastAsia"/>
                <w:color w:val="auto"/>
                <w:lang w:val="en-US" w:eastAsia="zh-CN"/>
              </w:rPr>
              <w:t>8</w:t>
            </w:r>
            <w:r>
              <w:rPr>
                <w:color w:val="auto"/>
              </w:rPr>
              <w:t>.2</w:t>
            </w:r>
            <w:r>
              <w:rPr>
                <w:rFonts w:hint="eastAsia"/>
                <w:color w:val="auto"/>
                <w:lang w:val="en-US" w:eastAsia="zh-CN"/>
              </w:rPr>
              <w:t>7</w:t>
            </w:r>
            <w:r>
              <w:rPr>
                <w:color w:val="auto"/>
              </w:rPr>
              <w:t>-20</w:t>
            </w:r>
            <w:r>
              <w:rPr>
                <w:rFonts w:hint="eastAsia"/>
                <w:color w:val="auto"/>
                <w:lang w:val="en-US" w:eastAsia="zh-CN"/>
              </w:rPr>
              <w:t>31</w:t>
            </w:r>
            <w:r>
              <w:rPr>
                <w:color w:val="auto"/>
              </w:rPr>
              <w:t>.0</w:t>
            </w:r>
            <w:r>
              <w:rPr>
                <w:rFonts w:hint="eastAsia"/>
                <w:color w:val="auto"/>
                <w:lang w:val="en-US" w:eastAsia="zh-CN"/>
              </w:rPr>
              <w:t>8</w:t>
            </w:r>
            <w:r>
              <w:rPr>
                <w:color w:val="auto"/>
              </w:rPr>
              <w:t>.2</w:t>
            </w:r>
            <w:r>
              <w:rPr>
                <w:rFonts w:hint="eastAsia"/>
                <w:color w:val="auto"/>
                <w:lang w:val="en-US" w:eastAsia="zh-CN"/>
              </w:rPr>
              <w:t>6</w:t>
            </w:r>
          </w:p>
        </w:tc>
      </w:tr>
      <w:tr w14:paraId="0D405D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051" w:type="dxa"/>
            <w:vAlign w:val="top"/>
          </w:tcPr>
          <w:p w14:paraId="0176BB8A">
            <w:pPr>
              <w:pStyle w:val="14"/>
              <w:bidi w:val="0"/>
              <w:rPr>
                <w:color w:val="0000FF"/>
              </w:rPr>
            </w:pPr>
            <w:r>
              <w:rPr>
                <w:rFonts w:hint="eastAsia"/>
                <w:color w:val="auto"/>
                <w:lang w:val="en-US" w:eastAsia="zh-CN"/>
              </w:rPr>
              <w:t>付书存</w:t>
            </w:r>
          </w:p>
        </w:tc>
        <w:tc>
          <w:tcPr>
            <w:tcW w:w="677" w:type="dxa"/>
            <w:vAlign w:val="top"/>
          </w:tcPr>
          <w:p w14:paraId="51E401F7">
            <w:pPr>
              <w:pStyle w:val="14"/>
              <w:bidi w:val="0"/>
              <w:rPr>
                <w:color w:val="0000FF"/>
              </w:rPr>
            </w:pPr>
            <w:r>
              <w:rPr>
                <w:rFonts w:hint="eastAsia"/>
                <w:color w:val="auto"/>
                <w:lang w:val="en-US" w:eastAsia="zh-CN"/>
              </w:rPr>
              <w:t>女</w:t>
            </w:r>
          </w:p>
        </w:tc>
        <w:tc>
          <w:tcPr>
            <w:tcW w:w="2032" w:type="dxa"/>
            <w:vAlign w:val="top"/>
          </w:tcPr>
          <w:p w14:paraId="1CA3F2B4">
            <w:pPr>
              <w:pStyle w:val="14"/>
              <w:bidi w:val="0"/>
              <w:rPr>
                <w:color w:val="0000FF"/>
              </w:rPr>
            </w:pPr>
            <w:r>
              <w:rPr>
                <w:color w:val="auto"/>
              </w:rPr>
              <w:t>烟花爆竹储存作业</w:t>
            </w:r>
          </w:p>
        </w:tc>
        <w:tc>
          <w:tcPr>
            <w:tcW w:w="2421" w:type="dxa"/>
            <w:vAlign w:val="top"/>
          </w:tcPr>
          <w:p w14:paraId="47939F4A">
            <w:pPr>
              <w:pStyle w:val="14"/>
              <w:bidi w:val="0"/>
              <w:rPr>
                <w:rFonts w:ascii="Times New Roman" w:hAnsi="Times New Roman" w:eastAsia="宋体" w:cs="Times New Roman"/>
                <w:color w:val="auto"/>
              </w:rPr>
            </w:pPr>
            <w:r>
              <w:rPr>
                <w:rFonts w:hint="eastAsia"/>
                <w:color w:val="auto"/>
                <w:lang w:val="en-US" w:eastAsia="zh-CN"/>
              </w:rPr>
              <w:t>*********</w:t>
            </w:r>
          </w:p>
        </w:tc>
        <w:tc>
          <w:tcPr>
            <w:tcW w:w="2816" w:type="dxa"/>
            <w:vAlign w:val="top"/>
          </w:tcPr>
          <w:p w14:paraId="5F40CBD5">
            <w:pPr>
              <w:pStyle w:val="14"/>
              <w:bidi w:val="0"/>
              <w:rPr>
                <w:rFonts w:ascii="Times New Roman" w:hAnsi="Times New Roman" w:eastAsia="宋体" w:cs="Times New Roman"/>
                <w:color w:val="auto"/>
              </w:rPr>
            </w:pPr>
            <w:r>
              <w:rPr>
                <w:rFonts w:hint="eastAsia" w:ascii="Times New Roman" w:hAnsi="Times New Roman" w:eastAsia="宋体" w:cs="Times New Roman"/>
                <w:color w:val="auto"/>
              </w:rPr>
              <w:t>2025</w:t>
            </w:r>
            <w:r>
              <w:rPr>
                <w:rFonts w:hint="eastAsia" w:ascii="Times New Roman" w:hAnsi="Times New Roman" w:eastAsia="宋体" w:cs="Times New Roman"/>
                <w:color w:val="auto"/>
                <w:lang w:val="en-US" w:eastAsia="zh-CN"/>
              </w:rPr>
              <w:t>.</w:t>
            </w:r>
            <w:r>
              <w:rPr>
                <w:rFonts w:hint="eastAsia" w:ascii="Times New Roman" w:hAnsi="Times New Roman" w:eastAsia="宋体" w:cs="Times New Roman"/>
                <w:color w:val="auto"/>
              </w:rPr>
              <w:t>08</w:t>
            </w:r>
            <w:r>
              <w:rPr>
                <w:rFonts w:hint="eastAsia" w:ascii="Times New Roman" w:hAnsi="Times New Roman" w:eastAsia="宋体" w:cs="Times New Roman"/>
                <w:color w:val="auto"/>
                <w:lang w:val="en-US" w:eastAsia="zh-CN"/>
              </w:rPr>
              <w:t>.</w:t>
            </w:r>
            <w:r>
              <w:rPr>
                <w:rFonts w:hint="eastAsia" w:ascii="Times New Roman" w:hAnsi="Times New Roman" w:eastAsia="宋体" w:cs="Times New Roman"/>
                <w:color w:val="auto"/>
              </w:rPr>
              <w:t>27</w:t>
            </w:r>
            <w:r>
              <w:rPr>
                <w:rFonts w:hint="eastAsia" w:ascii="Times New Roman" w:hAnsi="Times New Roman" w:eastAsia="宋体" w:cs="Times New Roman"/>
                <w:color w:val="auto"/>
                <w:lang w:val="en-US" w:eastAsia="zh-CN"/>
              </w:rPr>
              <w:t>-</w:t>
            </w:r>
            <w:r>
              <w:rPr>
                <w:rFonts w:hint="eastAsia" w:ascii="Times New Roman" w:hAnsi="Times New Roman" w:eastAsia="宋体" w:cs="Times New Roman"/>
                <w:color w:val="auto"/>
              </w:rPr>
              <w:t>2031</w:t>
            </w:r>
            <w:r>
              <w:rPr>
                <w:rFonts w:hint="eastAsia" w:ascii="Times New Roman" w:hAnsi="Times New Roman" w:eastAsia="宋体" w:cs="Times New Roman"/>
                <w:color w:val="auto"/>
                <w:lang w:val="en-US" w:eastAsia="zh-CN"/>
              </w:rPr>
              <w:t>.</w:t>
            </w:r>
            <w:r>
              <w:rPr>
                <w:rFonts w:hint="eastAsia" w:ascii="Times New Roman" w:hAnsi="Times New Roman" w:eastAsia="宋体" w:cs="Times New Roman"/>
                <w:color w:val="auto"/>
              </w:rPr>
              <w:t>08</w:t>
            </w:r>
            <w:r>
              <w:rPr>
                <w:rFonts w:hint="eastAsia" w:ascii="Times New Roman" w:hAnsi="Times New Roman" w:eastAsia="宋体" w:cs="Times New Roman"/>
                <w:color w:val="auto"/>
                <w:lang w:val="en-US" w:eastAsia="zh-CN"/>
              </w:rPr>
              <w:t>.</w:t>
            </w:r>
            <w:r>
              <w:rPr>
                <w:rFonts w:hint="eastAsia" w:ascii="Times New Roman" w:hAnsi="Times New Roman" w:eastAsia="宋体" w:cs="Times New Roman"/>
                <w:color w:val="auto"/>
              </w:rPr>
              <w:t>26</w:t>
            </w:r>
          </w:p>
        </w:tc>
      </w:tr>
      <w:tr w14:paraId="71ECCE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trPr>
        <w:tc>
          <w:tcPr>
            <w:tcW w:w="8997" w:type="dxa"/>
            <w:gridSpan w:val="5"/>
            <w:vAlign w:val="top"/>
          </w:tcPr>
          <w:p w14:paraId="2653F149">
            <w:pPr>
              <w:pStyle w:val="14"/>
              <w:bidi w:val="0"/>
              <w:rPr>
                <w:rFonts w:hint="eastAsia" w:ascii="Times New Roman" w:hAnsi="Times New Roman" w:eastAsia="宋体" w:cs="Times New Roman"/>
                <w:color w:val="auto"/>
              </w:rPr>
            </w:pPr>
            <w:r>
              <w:rPr>
                <w:rFonts w:hint="eastAsia" w:ascii="宋体" w:hAnsi="宋体"/>
              </w:rPr>
              <w:t>注：</w:t>
            </w:r>
            <w:r>
              <w:rPr>
                <w:rFonts w:hint="eastAsia"/>
                <w:color w:val="auto"/>
                <w:lang w:val="en-US" w:eastAsia="zh-CN"/>
              </w:rPr>
              <w:t>付书存</w:t>
            </w:r>
            <w:r>
              <w:rPr>
                <w:rFonts w:hint="eastAsia" w:ascii="宋体" w:hAnsi="宋体"/>
              </w:rPr>
              <w:t>为守护员、</w:t>
            </w:r>
            <w:r>
              <w:rPr>
                <w:rFonts w:hint="eastAsia"/>
                <w:color w:val="auto"/>
                <w:lang w:val="en-US" w:eastAsia="zh-CN"/>
              </w:rPr>
              <w:t>金玉红</w:t>
            </w:r>
            <w:r>
              <w:rPr>
                <w:rFonts w:hint="eastAsia" w:ascii="宋体" w:hAnsi="宋体"/>
              </w:rPr>
              <w:t>为保管员，</w:t>
            </w:r>
            <w:r>
              <w:rPr>
                <w:rFonts w:hint="eastAsia"/>
                <w:color w:val="auto"/>
                <w:lang w:val="en-US" w:eastAsia="zh-CN"/>
              </w:rPr>
              <w:t>文雪萍</w:t>
            </w:r>
            <w:r>
              <w:rPr>
                <w:rFonts w:hint="eastAsia" w:ascii="宋体" w:hAnsi="宋体"/>
              </w:rPr>
              <w:t>搬运员</w:t>
            </w:r>
          </w:p>
        </w:tc>
      </w:tr>
    </w:tbl>
    <w:p w14:paraId="6C2521E7">
      <w:pPr>
        <w:pStyle w:val="4"/>
        <w:bidi w:val="0"/>
        <w:rPr>
          <w:rFonts w:hint="eastAsia"/>
        </w:rPr>
      </w:pPr>
      <w:bookmarkStart w:id="67" w:name="_Toc25778"/>
      <w:r>
        <w:rPr>
          <w:rFonts w:hint="eastAsia"/>
        </w:rPr>
        <w:t>2.8.3 安全经营管理制度</w:t>
      </w:r>
      <w:bookmarkEnd w:id="67"/>
    </w:p>
    <w:p w14:paraId="432AB156">
      <w:pPr>
        <w:bidi w:val="0"/>
        <w:rPr>
          <w:rFonts w:hint="eastAsia"/>
        </w:rPr>
      </w:pPr>
      <w:r>
        <w:rPr>
          <w:rFonts w:hint="eastAsia"/>
        </w:rPr>
        <w:t>南昌布莱特进出口有限责任公司主要负责人</w:t>
      </w:r>
      <w:r>
        <w:rPr>
          <w:rFonts w:hint="eastAsia"/>
          <w:lang w:val="en-US" w:eastAsia="zh-CN"/>
        </w:rPr>
        <w:t>卢琛芸</w:t>
      </w:r>
      <w:r>
        <w:rPr>
          <w:rFonts w:hint="eastAsia"/>
        </w:rPr>
        <w:t>是公司安全第一责任人，坚持“安全第一，预防为主、综合治理”的安全经营方针，做到了安全落实到人，齐抓共管抓安全。</w:t>
      </w:r>
    </w:p>
    <w:p w14:paraId="2D435F72">
      <w:pPr>
        <w:bidi w:val="0"/>
        <w:rPr>
          <w:rFonts w:hint="eastAsia"/>
        </w:rPr>
      </w:pPr>
      <w:r>
        <w:rPr>
          <w:rFonts w:hint="eastAsia"/>
        </w:rPr>
        <w:t>南昌布莱特进出口有限责任公司为保障烟花爆竹的经营、储存过程中的安全作业，制定了安全生产责任制、安全管理制度及各项操作规程。</w:t>
      </w:r>
    </w:p>
    <w:p w14:paraId="33AD5A9A">
      <w:pPr>
        <w:spacing w:line="360" w:lineRule="auto"/>
        <w:ind w:firstLine="606" w:firstLineChars="200"/>
        <w:rPr>
          <w:rFonts w:hint="eastAsia" w:ascii="宋体" w:hAnsi="宋体" w:cs="宋体"/>
          <w:bCs/>
          <w:sz w:val="28"/>
          <w:szCs w:val="28"/>
        </w:rPr>
      </w:pPr>
      <w:r>
        <w:rPr>
          <w:rFonts w:hint="eastAsia" w:ascii="宋体" w:hAnsi="宋体" w:cs="宋体"/>
          <w:bCs/>
          <w:sz w:val="28"/>
          <w:szCs w:val="28"/>
          <w:lang w:val="en-US" w:eastAsia="zh-CN"/>
        </w:rPr>
        <w:t>1)</w:t>
      </w:r>
      <w:r>
        <w:rPr>
          <w:rFonts w:hint="eastAsia" w:ascii="宋体" w:hAnsi="宋体" w:cs="宋体"/>
          <w:bCs/>
          <w:sz w:val="28"/>
          <w:szCs w:val="28"/>
        </w:rPr>
        <w:t>安全生产责任制</w:t>
      </w:r>
    </w:p>
    <w:p w14:paraId="4D2D3E97">
      <w:pPr>
        <w:spacing w:line="360" w:lineRule="auto"/>
        <w:ind w:firstLine="606" w:firstLineChars="200"/>
        <w:rPr>
          <w:rFonts w:hint="eastAsia" w:ascii="宋体" w:hAnsi="宋体" w:cs="宋体"/>
          <w:bCs/>
          <w:sz w:val="28"/>
          <w:szCs w:val="28"/>
        </w:rPr>
      </w:pPr>
      <w:r>
        <w:rPr>
          <w:rFonts w:hint="eastAsia" w:ascii="宋体" w:hAnsi="宋体" w:cs="宋体"/>
          <w:bCs/>
          <w:sz w:val="28"/>
          <w:szCs w:val="28"/>
        </w:rPr>
        <w:t>主要包括：主要负责人安全生产责任制、分管安全负责人安全生产责任制、安全管理员安全生产责任制、业务负责人安全生产责任制、仓库保管员安全生产责任制、库区守卫员(保卫人员)岗位职责、驾驶员安全责任制、押运人员岗位责任制、职工安全生产责任制、消防人员安全责任制、装卸/搬运员安全生产责任制。</w:t>
      </w:r>
    </w:p>
    <w:p w14:paraId="6AA36820">
      <w:pPr>
        <w:spacing w:line="360" w:lineRule="auto"/>
        <w:ind w:firstLine="606" w:firstLineChars="200"/>
        <w:rPr>
          <w:rFonts w:hint="eastAsia" w:ascii="宋体" w:hAnsi="宋体" w:cs="宋体"/>
          <w:bCs/>
          <w:sz w:val="28"/>
          <w:szCs w:val="28"/>
        </w:rPr>
      </w:pPr>
      <w:r>
        <w:rPr>
          <w:rFonts w:hint="eastAsia" w:ascii="宋体" w:hAnsi="宋体" w:cs="宋体"/>
          <w:bCs/>
          <w:sz w:val="28"/>
          <w:szCs w:val="28"/>
          <w:lang w:val="en-US" w:eastAsia="zh-CN"/>
        </w:rPr>
        <w:t>2)</w:t>
      </w:r>
      <w:r>
        <w:rPr>
          <w:rFonts w:hint="eastAsia" w:ascii="宋体" w:hAnsi="宋体" w:cs="宋体"/>
          <w:bCs/>
          <w:sz w:val="28"/>
          <w:szCs w:val="28"/>
        </w:rPr>
        <w:t>安全生产管理制度</w:t>
      </w:r>
    </w:p>
    <w:p w14:paraId="5A905DCC">
      <w:pPr>
        <w:spacing w:line="360" w:lineRule="auto"/>
        <w:ind w:firstLine="606" w:firstLineChars="200"/>
        <w:rPr>
          <w:rFonts w:hint="eastAsia" w:ascii="宋体" w:hAnsi="宋体" w:eastAsia="宋体" w:cs="宋体"/>
          <w:bCs/>
          <w:sz w:val="28"/>
          <w:szCs w:val="28"/>
          <w:lang w:val="en-US" w:eastAsia="zh-CN"/>
        </w:rPr>
      </w:pPr>
      <w:r>
        <w:rPr>
          <w:rFonts w:hint="eastAsia" w:ascii="宋体" w:hAnsi="宋体" w:eastAsia="宋体" w:cs="宋体"/>
          <w:bCs/>
          <w:sz w:val="28"/>
          <w:szCs w:val="28"/>
          <w:lang w:val="en-US" w:eastAsia="zh-CN"/>
        </w:rPr>
        <w:t>主要包括：安全管理责任制度、仓库安全管理制度、仓库保管守卫制度、防火防爆安全管理制度、安全检查和隐患排查治理制度、事故应急救援与事故报告制度、买卖合同管理制度、产品流向登记制度、产品检验验收制度、从业人员安全教育培训制度、违规违章行为处罚制度、企业负责人值（带）班制度、安全生产费用提取和使用制度、安全目标管理与奖惩制度、安全设施设备管理制度、动火作业管理制度、不合格产品处置制度等。</w:t>
      </w:r>
    </w:p>
    <w:p w14:paraId="600F3173">
      <w:pPr>
        <w:spacing w:line="360" w:lineRule="auto"/>
        <w:ind w:firstLine="606" w:firstLineChars="200"/>
        <w:rPr>
          <w:rFonts w:hint="eastAsia" w:ascii="宋体" w:hAnsi="宋体" w:cs="宋体"/>
          <w:bCs/>
          <w:sz w:val="28"/>
          <w:szCs w:val="28"/>
        </w:rPr>
      </w:pPr>
      <w:r>
        <w:rPr>
          <w:rFonts w:hint="eastAsia" w:ascii="宋体" w:hAnsi="宋体" w:cs="宋体"/>
          <w:bCs/>
          <w:sz w:val="28"/>
          <w:szCs w:val="28"/>
          <w:lang w:val="en-US" w:eastAsia="zh-CN"/>
        </w:rPr>
        <w:t>3)</w:t>
      </w:r>
      <w:r>
        <w:rPr>
          <w:rFonts w:hint="eastAsia" w:ascii="宋体" w:hAnsi="宋体" w:cs="宋体"/>
          <w:bCs/>
          <w:sz w:val="28"/>
          <w:szCs w:val="28"/>
        </w:rPr>
        <w:t>安全生产操作规程</w:t>
      </w:r>
    </w:p>
    <w:p w14:paraId="54954558">
      <w:pPr>
        <w:spacing w:line="360" w:lineRule="auto"/>
        <w:ind w:firstLine="606" w:firstLineChars="200"/>
        <w:rPr>
          <w:rFonts w:hint="eastAsia" w:ascii="宋体" w:hAnsi="宋体" w:cs="宋体"/>
          <w:bCs/>
          <w:sz w:val="28"/>
          <w:szCs w:val="28"/>
        </w:rPr>
      </w:pPr>
      <w:r>
        <w:rPr>
          <w:rFonts w:hint="eastAsia" w:ascii="宋体" w:hAnsi="宋体" w:cs="宋体"/>
          <w:bCs/>
          <w:sz w:val="28"/>
          <w:szCs w:val="28"/>
        </w:rPr>
        <w:t>包括：库房管理操作规程、烟花爆竹拆箱操作规程、烟花爆竹检验验收操作规程、烟花爆竹配送运输车辆管理操作规程、烟花爆竹装卸人员安全操作规程等。</w:t>
      </w:r>
    </w:p>
    <w:p w14:paraId="04E5D6EA">
      <w:pPr>
        <w:pStyle w:val="4"/>
        <w:bidi w:val="0"/>
        <w:ind w:left="0" w:leftChars="0" w:firstLine="0" w:firstLineChars="0"/>
        <w:rPr>
          <w:rFonts w:hint="eastAsia"/>
        </w:rPr>
      </w:pPr>
      <w:bookmarkStart w:id="68" w:name="_Toc17733"/>
      <w:r>
        <w:rPr>
          <w:rFonts w:hint="eastAsia"/>
        </w:rPr>
        <w:t>2.8.4劳动保护及保险</w:t>
      </w:r>
      <w:bookmarkEnd w:id="68"/>
    </w:p>
    <w:p w14:paraId="2CC95661">
      <w:pPr>
        <w:bidi w:val="0"/>
        <w:rPr>
          <w:rFonts w:hint="eastAsia"/>
        </w:rPr>
      </w:pPr>
      <w:r>
        <w:rPr>
          <w:rFonts w:hint="eastAsia"/>
        </w:rPr>
        <w:t>公司制定了《劳动保护用品管理制度》</w:t>
      </w:r>
      <w:r>
        <w:rPr>
          <w:rFonts w:hint="eastAsia"/>
          <w:lang w:val="en-US" w:eastAsia="zh-CN"/>
        </w:rPr>
        <w:t>，</w:t>
      </w:r>
      <w:r>
        <w:rPr>
          <w:rFonts w:hint="eastAsia"/>
        </w:rPr>
        <w:t>为仓库作业人员配备工作服、工作鞋、手套等劳动防护用品</w:t>
      </w:r>
      <w:r>
        <w:rPr>
          <w:rFonts w:hint="eastAsia"/>
          <w:lang w:eastAsia="zh-CN"/>
        </w:rPr>
        <w:t>，</w:t>
      </w:r>
      <w:r>
        <w:rPr>
          <w:rFonts w:hint="eastAsia"/>
        </w:rPr>
        <w:t>并规定作业人员进行装卸作业时</w:t>
      </w:r>
      <w:r>
        <w:rPr>
          <w:rFonts w:hint="eastAsia"/>
          <w:lang w:val="en-US" w:eastAsia="zh-CN"/>
        </w:rPr>
        <w:t>，</w:t>
      </w:r>
      <w:r>
        <w:rPr>
          <w:rFonts w:hint="eastAsia"/>
        </w:rPr>
        <w:t>严禁穿戴化纤服装作业，穿着棉布工作服，严禁穿高跟鞋或带金属鞋底的鞋进入库区</w:t>
      </w:r>
      <w:r>
        <w:rPr>
          <w:rFonts w:hint="eastAsia"/>
          <w:lang w:eastAsia="zh-CN"/>
        </w:rPr>
        <w:t>，</w:t>
      </w:r>
      <w:r>
        <w:rPr>
          <w:rFonts w:hint="eastAsia"/>
        </w:rPr>
        <w:t>以防摩擦产生明火造成事故隐患。</w:t>
      </w:r>
    </w:p>
    <w:p w14:paraId="4BCB136B">
      <w:pPr>
        <w:bidi w:val="0"/>
        <w:rPr>
          <w:rFonts w:hint="eastAsia"/>
        </w:rPr>
      </w:pPr>
      <w:r>
        <w:rPr>
          <w:rFonts w:hint="eastAsia"/>
        </w:rPr>
        <w:t>公司定期为员工购买了工伤保险及安全责任险，</w:t>
      </w:r>
      <w:r>
        <w:rPr>
          <w:rFonts w:hint="eastAsia"/>
          <w:lang w:val="en-US" w:eastAsia="zh-CN"/>
        </w:rPr>
        <w:t>其中</w:t>
      </w:r>
      <w:r>
        <w:rPr>
          <w:rFonts w:hint="eastAsia" w:ascii="宋体" w:hAnsi="宋体" w:eastAsia="宋体" w:cs="Times New Roman"/>
          <w:bCs/>
          <w:sz w:val="28"/>
          <w:szCs w:val="28"/>
          <w:lang w:val="en-US" w:eastAsia="zh-CN"/>
        </w:rPr>
        <w:t>陈晓玲</w:t>
      </w:r>
      <w:r>
        <w:rPr>
          <w:rFonts w:hint="eastAsia" w:ascii="宋体" w:hAnsi="宋体" w:eastAsia="宋体"/>
          <w:bCs/>
          <w:sz w:val="28"/>
          <w:szCs w:val="28"/>
          <w:lang w:val="en-US" w:eastAsia="zh-CN"/>
        </w:rPr>
        <w:t>为退休返聘人员，未</w:t>
      </w:r>
      <w:r>
        <w:rPr>
          <w:rFonts w:hint="eastAsia"/>
        </w:rPr>
        <w:t>购买工伤保险</w:t>
      </w:r>
      <w:r>
        <w:rPr>
          <w:rFonts w:hint="eastAsia" w:ascii="宋体" w:hAnsi="宋体" w:eastAsia="宋体"/>
          <w:bCs/>
          <w:sz w:val="28"/>
          <w:szCs w:val="28"/>
          <w:lang w:val="en-US" w:eastAsia="zh-CN"/>
        </w:rPr>
        <w:t>，</w:t>
      </w:r>
      <w:r>
        <w:rPr>
          <w:rFonts w:hint="eastAsia"/>
        </w:rPr>
        <w:t>详见附件。</w:t>
      </w:r>
    </w:p>
    <w:p w14:paraId="389E7E7B">
      <w:pPr>
        <w:pStyle w:val="3"/>
        <w:bidi w:val="0"/>
        <w:ind w:left="0" w:leftChars="0" w:firstLine="0" w:firstLineChars="0"/>
        <w:rPr>
          <w:rFonts w:hint="eastAsia" w:ascii="宋体" w:hAnsi="宋体" w:eastAsia="宋体"/>
        </w:rPr>
      </w:pPr>
      <w:bookmarkStart w:id="69" w:name="_Toc30429"/>
      <w:bookmarkStart w:id="70" w:name="_Toc13296"/>
      <w:r>
        <w:rPr>
          <w:rFonts w:hint="eastAsia" w:ascii="宋体" w:hAnsi="宋体" w:eastAsia="宋体"/>
        </w:rPr>
        <w:t>2.8.4 应急救援预案</w:t>
      </w:r>
      <w:bookmarkEnd w:id="69"/>
      <w:bookmarkEnd w:id="70"/>
    </w:p>
    <w:p w14:paraId="4B5DA89C">
      <w:pPr>
        <w:bidi w:val="0"/>
        <w:rPr>
          <w:rFonts w:hint="eastAsia" w:ascii="Times New Roman" w:hAnsi="Times New Roman" w:eastAsia="宋体" w:cs="Times New Roman"/>
        </w:rPr>
      </w:pPr>
      <w:r>
        <w:rPr>
          <w:rFonts w:hint="eastAsia" w:ascii="Times New Roman" w:hAnsi="Times New Roman" w:eastAsia="宋体" w:cs="Times New Roman"/>
        </w:rPr>
        <w:t>该企业制定并颁发了《南昌布莱特进出口有限责任公司</w:t>
      </w:r>
      <w:r>
        <w:rPr>
          <w:rFonts w:hint="eastAsia" w:ascii="Times New Roman" w:hAnsi="Times New Roman" w:eastAsia="宋体" w:cs="Times New Roman"/>
          <w:lang w:val="en-US" w:eastAsia="zh-CN"/>
        </w:rPr>
        <w:t>生产</w:t>
      </w:r>
      <w:r>
        <w:rPr>
          <w:rFonts w:hint="eastAsia" w:ascii="Times New Roman" w:hAnsi="Times New Roman" w:eastAsia="宋体" w:cs="Times New Roman"/>
        </w:rPr>
        <w:t>安全事故应急预案》。目前已建立了应急救援组织，配备了应急救援人员和必要的应急救援器材和设备，2025年</w:t>
      </w:r>
      <w:r>
        <w:rPr>
          <w:rFonts w:hint="eastAsia" w:ascii="Times New Roman" w:hAnsi="Times New Roman" w:eastAsia="宋体" w:cs="Times New Roman"/>
          <w:lang w:val="en-US" w:eastAsia="zh-CN"/>
        </w:rPr>
        <w:t>12</w:t>
      </w:r>
      <w:r>
        <w:rPr>
          <w:rFonts w:hint="eastAsia" w:ascii="Times New Roman" w:hAnsi="Times New Roman" w:eastAsia="宋体" w:cs="Times New Roman"/>
        </w:rPr>
        <w:t>月</w:t>
      </w:r>
      <w:r>
        <w:rPr>
          <w:rFonts w:hint="eastAsia" w:ascii="Times New Roman" w:hAnsi="Times New Roman" w:eastAsia="宋体" w:cs="Times New Roman"/>
          <w:lang w:val="en-US" w:eastAsia="zh-CN"/>
        </w:rPr>
        <w:t>9</w:t>
      </w:r>
      <w:r>
        <w:rPr>
          <w:rFonts w:hint="eastAsia" w:ascii="Times New Roman" w:hAnsi="Times New Roman" w:eastAsia="宋体" w:cs="Times New Roman"/>
        </w:rPr>
        <w:t>日</w:t>
      </w:r>
      <w:r>
        <w:rPr>
          <w:rFonts w:hint="eastAsia" w:ascii="Times New Roman" w:hAnsi="Times New Roman" w:eastAsia="宋体" w:cs="Times New Roman"/>
          <w:lang w:eastAsia="zh-CN"/>
        </w:rPr>
        <w:t>，</w:t>
      </w:r>
      <w:r>
        <w:rPr>
          <w:rFonts w:hint="eastAsia" w:ascii="Times New Roman" w:hAnsi="Times New Roman" w:eastAsia="宋体" w:cs="Times New Roman"/>
        </w:rPr>
        <w:t>《南昌布莱特进出口有限责任公司</w:t>
      </w:r>
      <w:r>
        <w:rPr>
          <w:rFonts w:hint="eastAsia" w:ascii="Times New Roman" w:hAnsi="Times New Roman" w:eastAsia="宋体" w:cs="Times New Roman"/>
          <w:lang w:val="en-US" w:eastAsia="zh-CN"/>
        </w:rPr>
        <w:t>生产</w:t>
      </w:r>
      <w:r>
        <w:rPr>
          <w:rFonts w:hint="eastAsia" w:ascii="Times New Roman" w:hAnsi="Times New Roman" w:eastAsia="宋体" w:cs="Times New Roman"/>
        </w:rPr>
        <w:t>安全事故应急预案》在</w:t>
      </w:r>
      <w:r>
        <w:rPr>
          <w:rFonts w:hint="eastAsia" w:ascii="Times New Roman" w:hAnsi="Times New Roman" w:eastAsia="宋体" w:cs="Times New Roman"/>
          <w:lang w:val="en-US" w:eastAsia="zh-CN"/>
        </w:rPr>
        <w:t>南昌</w:t>
      </w:r>
      <w:r>
        <w:rPr>
          <w:rFonts w:hint="eastAsia" w:ascii="Times New Roman" w:hAnsi="Times New Roman" w:eastAsia="宋体" w:cs="Times New Roman"/>
        </w:rPr>
        <w:t>市应急管理局备案登记</w:t>
      </w: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备案编号：3601002025-D0001</w:t>
      </w:r>
      <w:r>
        <w:rPr>
          <w:rFonts w:hint="eastAsia" w:ascii="Times New Roman" w:hAnsi="Times New Roman" w:eastAsia="宋体" w:cs="Times New Roman"/>
        </w:rPr>
        <w:t>。</w:t>
      </w:r>
    </w:p>
    <w:p w14:paraId="194A1ABB">
      <w:pPr>
        <w:pStyle w:val="3"/>
        <w:bidi w:val="0"/>
        <w:ind w:left="0" w:leftChars="0" w:firstLine="0" w:firstLineChars="0"/>
        <w:rPr>
          <w:rFonts w:hint="eastAsia"/>
        </w:rPr>
      </w:pPr>
      <w:bookmarkStart w:id="71" w:name="_Toc2481"/>
      <w:bookmarkStart w:id="72" w:name="_Toc2957"/>
      <w:r>
        <w:rPr>
          <w:rFonts w:hint="eastAsia"/>
        </w:rPr>
        <w:t>2.</w:t>
      </w:r>
      <w:r>
        <w:rPr>
          <w:rFonts w:hint="eastAsia"/>
          <w:lang w:val="en-US" w:eastAsia="zh-CN"/>
        </w:rPr>
        <w:t>9</w:t>
      </w:r>
      <w:r>
        <w:rPr>
          <w:rFonts w:hint="eastAsia"/>
        </w:rPr>
        <w:t>产品流向管理</w:t>
      </w:r>
      <w:bookmarkEnd w:id="71"/>
      <w:bookmarkEnd w:id="72"/>
    </w:p>
    <w:p w14:paraId="6708F8D4">
      <w:pPr>
        <w:bidi w:val="0"/>
        <w:rPr>
          <w:rFonts w:hint="eastAsia" w:ascii="Times New Roman" w:hAnsi="Times New Roman" w:eastAsia="宋体" w:cs="Times New Roman"/>
        </w:rPr>
      </w:pPr>
      <w:r>
        <w:rPr>
          <w:rFonts w:hint="eastAsia"/>
        </w:rPr>
        <w:t>该公司</w:t>
      </w:r>
      <w:r>
        <w:rPr>
          <w:rFonts w:hint="eastAsia" w:ascii="Times New Roman" w:hAnsi="Times New Roman" w:eastAsia="宋体" w:cs="Times New Roman"/>
        </w:rPr>
        <w:t>制定了严格的产品买卖合同管理制度，并按照《烟花爆竹流向登记通用规范》（AQ4102-2008）和烟花爆竹流向信息化管理的有关规定，购买并应用烟花爆竹流向信息化管理系统。</w:t>
      </w:r>
    </w:p>
    <w:p w14:paraId="6E2706D3">
      <w:pPr>
        <w:pStyle w:val="3"/>
        <w:bidi w:val="0"/>
        <w:ind w:left="0" w:leftChars="0" w:firstLine="0" w:firstLineChars="0"/>
        <w:rPr>
          <w:rFonts w:hint="eastAsia"/>
        </w:rPr>
      </w:pPr>
      <w:bookmarkStart w:id="73" w:name="_Toc9922"/>
      <w:bookmarkStart w:id="74" w:name="_Toc27807"/>
      <w:r>
        <w:rPr>
          <w:rFonts w:hint="eastAsia"/>
        </w:rPr>
        <w:t>2.</w:t>
      </w:r>
      <w:r>
        <w:rPr>
          <w:rFonts w:hint="eastAsia"/>
          <w:lang w:val="en-US" w:eastAsia="zh-CN"/>
        </w:rPr>
        <w:t>10</w:t>
      </w:r>
      <w:r>
        <w:rPr>
          <w:rFonts w:hint="eastAsia"/>
        </w:rPr>
        <w:t>公用工程</w:t>
      </w:r>
      <w:bookmarkEnd w:id="73"/>
      <w:bookmarkEnd w:id="74"/>
    </w:p>
    <w:p w14:paraId="42CC1E24">
      <w:pPr>
        <w:pStyle w:val="3"/>
        <w:bidi w:val="0"/>
        <w:ind w:left="0" w:leftChars="0" w:firstLine="0" w:firstLineChars="0"/>
        <w:rPr>
          <w:rFonts w:hint="eastAsia"/>
        </w:rPr>
      </w:pPr>
      <w:bookmarkStart w:id="75" w:name="_Toc2120"/>
      <w:bookmarkStart w:id="76" w:name="_Toc21682"/>
      <w:r>
        <w:rPr>
          <w:rFonts w:hint="eastAsia"/>
        </w:rPr>
        <w:t>2.</w:t>
      </w:r>
      <w:r>
        <w:rPr>
          <w:rFonts w:hint="eastAsia"/>
          <w:lang w:val="en-US" w:eastAsia="zh-CN"/>
        </w:rPr>
        <w:t>10</w:t>
      </w:r>
      <w:r>
        <w:rPr>
          <w:rFonts w:hint="eastAsia"/>
        </w:rPr>
        <w:t>.1 给排水</w:t>
      </w:r>
      <w:bookmarkEnd w:id="75"/>
      <w:bookmarkEnd w:id="76"/>
    </w:p>
    <w:p w14:paraId="4B474F82">
      <w:pPr>
        <w:bidi w:val="0"/>
        <w:rPr>
          <w:rFonts w:hint="eastAsia"/>
        </w:rPr>
      </w:pPr>
      <w:r>
        <w:rPr>
          <w:rFonts w:hint="eastAsia"/>
        </w:rPr>
        <w:t>该公司所租赁仓库库区生活用水、消防用水的供水源由自来水供应公司及消防水池，消防水池为备用水源。</w:t>
      </w:r>
    </w:p>
    <w:p w14:paraId="2C5AC63C">
      <w:pPr>
        <w:pStyle w:val="4"/>
        <w:bidi w:val="0"/>
        <w:ind w:left="0" w:leftChars="0" w:firstLine="0" w:firstLineChars="0"/>
        <w:rPr>
          <w:rFonts w:hint="eastAsia"/>
        </w:rPr>
      </w:pPr>
      <w:bookmarkStart w:id="77" w:name="_Toc19825"/>
      <w:r>
        <w:rPr>
          <w:rFonts w:hint="eastAsia"/>
        </w:rPr>
        <w:t>2.</w:t>
      </w:r>
      <w:r>
        <w:rPr>
          <w:rFonts w:hint="eastAsia"/>
          <w:lang w:val="en-US" w:eastAsia="zh-CN"/>
        </w:rPr>
        <w:t>10</w:t>
      </w:r>
      <w:r>
        <w:rPr>
          <w:rFonts w:hint="eastAsia"/>
        </w:rPr>
        <w:t>.2 供配电</w:t>
      </w:r>
      <w:bookmarkEnd w:id="77"/>
    </w:p>
    <w:p w14:paraId="4AA27783">
      <w:pPr>
        <w:bidi w:val="0"/>
        <w:rPr>
          <w:rFonts w:hint="eastAsia"/>
        </w:rPr>
      </w:pPr>
      <w:r>
        <w:rPr>
          <w:rFonts w:hint="eastAsia"/>
        </w:rPr>
        <w:t>该公司所租赁仓库库区生活用电由当地供电所提供，由变电设施变压后向库区供电。</w:t>
      </w:r>
    </w:p>
    <w:p w14:paraId="7DB5B46E">
      <w:pPr>
        <w:pStyle w:val="4"/>
        <w:bidi w:val="0"/>
        <w:ind w:left="0" w:leftChars="0" w:firstLine="0" w:firstLineChars="0"/>
        <w:rPr>
          <w:rFonts w:hint="eastAsia"/>
        </w:rPr>
      </w:pPr>
      <w:bookmarkStart w:id="78" w:name="_Toc30519"/>
      <w:r>
        <w:rPr>
          <w:rFonts w:hint="eastAsia"/>
        </w:rPr>
        <w:t>2.</w:t>
      </w:r>
      <w:r>
        <w:rPr>
          <w:rFonts w:hint="eastAsia"/>
          <w:lang w:val="en-US" w:eastAsia="zh-CN"/>
        </w:rPr>
        <w:t>10</w:t>
      </w:r>
      <w:r>
        <w:rPr>
          <w:rFonts w:hint="eastAsia"/>
        </w:rPr>
        <w:t>.3 库区道路</w:t>
      </w:r>
      <w:bookmarkEnd w:id="78"/>
    </w:p>
    <w:p w14:paraId="27E95A2C">
      <w:pPr>
        <w:bidi w:val="0"/>
        <w:rPr>
          <w:rFonts w:hint="eastAsia"/>
        </w:rPr>
      </w:pPr>
      <w:r>
        <w:rPr>
          <w:rFonts w:hint="eastAsia"/>
        </w:rPr>
        <w:t>经现场勘察，该项目库区的道路及回车坪均已硬化，</w:t>
      </w:r>
      <w:r>
        <w:rPr>
          <w:rFonts w:hint="eastAsia"/>
          <w:lang w:val="en-US" w:eastAsia="zh-CN"/>
        </w:rPr>
        <w:t>宽度约5m，</w:t>
      </w:r>
      <w:r>
        <w:rPr>
          <w:rFonts w:hint="eastAsia"/>
        </w:rPr>
        <w:t>转弯处的道路弧度能满足运输车辆的一次性过弯需求。</w:t>
      </w:r>
    </w:p>
    <w:p w14:paraId="08863745">
      <w:pPr>
        <w:pStyle w:val="4"/>
        <w:bidi w:val="0"/>
        <w:ind w:left="0" w:leftChars="0" w:firstLine="0" w:firstLineChars="0"/>
        <w:rPr>
          <w:rFonts w:hint="eastAsia"/>
        </w:rPr>
      </w:pPr>
      <w:bookmarkStart w:id="79" w:name="_Toc10967"/>
      <w:r>
        <w:rPr>
          <w:rFonts w:hint="eastAsia"/>
        </w:rPr>
        <w:t>2.</w:t>
      </w:r>
      <w:r>
        <w:rPr>
          <w:rFonts w:hint="eastAsia"/>
          <w:lang w:val="en-US" w:eastAsia="zh-CN"/>
        </w:rPr>
        <w:t>10</w:t>
      </w:r>
      <w:r>
        <w:rPr>
          <w:rFonts w:hint="eastAsia"/>
        </w:rPr>
        <w:t>.4通风、防潮设施</w:t>
      </w:r>
      <w:bookmarkEnd w:id="79"/>
    </w:p>
    <w:p w14:paraId="4F7DC3F8">
      <w:pPr>
        <w:bidi w:val="0"/>
        <w:rPr>
          <w:rFonts w:hint="eastAsia" w:ascii="宋体" w:hAnsi="宋体" w:cs="宋体"/>
          <w:bCs/>
          <w:szCs w:val="28"/>
        </w:rPr>
      </w:pPr>
      <w:r>
        <w:rPr>
          <w:rFonts w:hint="eastAsia"/>
        </w:rPr>
        <w:t>该项目各库房的地基均进行了防潮处理</w:t>
      </w:r>
      <w:r>
        <w:rPr>
          <w:rFonts w:hint="eastAsia"/>
          <w:lang w:eastAsia="zh-CN"/>
        </w:rPr>
        <w:t>，</w:t>
      </w:r>
      <w:r>
        <w:rPr>
          <w:rFonts w:hint="eastAsia"/>
        </w:rPr>
        <w:t>仓库地面为水泥地面，光滑平整；各仓库均设置有高窗和低窗，并设置了防小动物进入的金属网。库内的通风均为自然通风。</w:t>
      </w:r>
    </w:p>
    <w:p w14:paraId="5CE180F0">
      <w:pPr>
        <w:pStyle w:val="4"/>
        <w:bidi w:val="0"/>
        <w:ind w:left="0" w:leftChars="0" w:firstLine="0" w:firstLineChars="0"/>
        <w:rPr>
          <w:rFonts w:hint="eastAsia"/>
        </w:rPr>
      </w:pPr>
      <w:bookmarkStart w:id="80" w:name="_Toc26384"/>
      <w:r>
        <w:rPr>
          <w:rFonts w:hint="eastAsia"/>
        </w:rPr>
        <w:t>2.</w:t>
      </w:r>
      <w:r>
        <w:rPr>
          <w:rFonts w:hint="eastAsia"/>
          <w:lang w:val="en-US" w:eastAsia="zh-CN"/>
        </w:rPr>
        <w:t>10</w:t>
      </w:r>
      <w:r>
        <w:rPr>
          <w:rFonts w:hint="eastAsia"/>
        </w:rPr>
        <w:t>.5 通信设施</w:t>
      </w:r>
      <w:bookmarkEnd w:id="80"/>
    </w:p>
    <w:p w14:paraId="4F3394FA">
      <w:pPr>
        <w:bidi w:val="0"/>
        <w:rPr>
          <w:rFonts w:hint="eastAsia"/>
        </w:rPr>
      </w:pPr>
      <w:r>
        <w:rPr>
          <w:rFonts w:hint="eastAsia"/>
        </w:rPr>
        <w:t>库区设置门卫值班人员昼夜值班，值班人员通过固定电话进行通讯联系。</w:t>
      </w:r>
    </w:p>
    <w:p w14:paraId="77119645">
      <w:pPr>
        <w:spacing w:line="360" w:lineRule="auto"/>
        <w:ind w:firstLine="606" w:firstLineChars="200"/>
        <w:rPr>
          <w:rFonts w:ascii="宋体" w:hAnsi="宋体" w:cs="宋体"/>
          <w:bCs/>
          <w:sz w:val="28"/>
          <w:szCs w:val="28"/>
        </w:rPr>
      </w:pPr>
    </w:p>
    <w:p w14:paraId="3B4B58B7">
      <w:pPr>
        <w:rPr>
          <w:rFonts w:ascii="宋体" w:hAnsi="宋体" w:cs="宋体"/>
          <w:bCs/>
          <w:sz w:val="28"/>
          <w:szCs w:val="28"/>
        </w:rPr>
      </w:pPr>
      <w:r>
        <w:rPr>
          <w:rFonts w:ascii="宋体" w:hAnsi="宋体" w:cs="宋体"/>
          <w:bCs/>
          <w:sz w:val="28"/>
          <w:szCs w:val="28"/>
        </w:rPr>
        <w:br w:type="page"/>
      </w:r>
    </w:p>
    <w:p w14:paraId="3398DB87">
      <w:pPr>
        <w:pStyle w:val="2"/>
        <w:bidi w:val="0"/>
        <w:jc w:val="center"/>
        <w:rPr>
          <w:rFonts w:hint="eastAsia"/>
        </w:rPr>
      </w:pPr>
      <w:bookmarkStart w:id="81" w:name="_Toc12101"/>
      <w:bookmarkStart w:id="82" w:name="_Toc29071"/>
      <w:r>
        <w:rPr>
          <w:rFonts w:hint="eastAsia"/>
        </w:rPr>
        <w:t>3</w:t>
      </w:r>
      <w:r>
        <w:rPr>
          <w:rFonts w:hint="eastAsia"/>
          <w:lang w:val="en-US" w:eastAsia="zh-CN"/>
        </w:rPr>
        <w:t xml:space="preserve"> </w:t>
      </w:r>
      <w:r>
        <w:rPr>
          <w:rFonts w:hint="eastAsia"/>
        </w:rPr>
        <w:t>主要危险有害因素份的辨识与分析</w:t>
      </w:r>
      <w:bookmarkEnd w:id="81"/>
      <w:bookmarkEnd w:id="82"/>
    </w:p>
    <w:p w14:paraId="5A600FEB">
      <w:pPr>
        <w:pStyle w:val="3"/>
        <w:bidi w:val="0"/>
        <w:ind w:left="0" w:leftChars="0" w:firstLine="0" w:firstLineChars="0"/>
        <w:rPr>
          <w:rFonts w:hint="eastAsia"/>
        </w:rPr>
      </w:pPr>
      <w:bookmarkStart w:id="83" w:name="_Toc6521"/>
      <w:bookmarkStart w:id="84" w:name="_Toc17576"/>
      <w:r>
        <w:rPr>
          <w:rFonts w:hint="eastAsia"/>
        </w:rPr>
        <w:t>3.1 危险、有害因素分析方法</w:t>
      </w:r>
      <w:bookmarkEnd w:id="83"/>
      <w:bookmarkEnd w:id="84"/>
    </w:p>
    <w:p w14:paraId="67A12E07">
      <w:pPr>
        <w:bidi w:val="0"/>
        <w:rPr>
          <w:rFonts w:hint="eastAsia"/>
        </w:rPr>
      </w:pPr>
      <w:r>
        <w:rPr>
          <w:rFonts w:hint="eastAsia"/>
        </w:rPr>
        <w:t>危险因素是指对人造成伤亡或对物造成突发性损害的因素；有害因素是指能影响人的身体健康，导致疾病或对物造成慢性损害的因素。通常情况下，统称为危险因素，主要指客观存在的危险、有害物质或能量超过临界值的设备、设施和场所等。危险、有害因素的分析辨识是建立在现场考察和资料分析的基础上进行的，危险、有害因素的分析辨识是安全评价的基础。因此，在现场考察和资料分析的基础上，对公司烟花爆竹经营、储存过程中及其附属设施所存在的主要危险、有害因素采用如下分析方法。</w:t>
      </w:r>
    </w:p>
    <w:p w14:paraId="239956B0">
      <w:pPr>
        <w:bidi w:val="0"/>
        <w:rPr>
          <w:rFonts w:hint="eastAsia"/>
        </w:rPr>
      </w:pPr>
      <w:r>
        <w:rPr>
          <w:rFonts w:hint="eastAsia"/>
        </w:rPr>
        <w:t>1</w:t>
      </w:r>
      <w:r>
        <w:rPr>
          <w:rFonts w:hint="eastAsia"/>
          <w:lang w:eastAsia="zh-CN"/>
        </w:rPr>
        <w:t>）</w:t>
      </w:r>
      <w:r>
        <w:rPr>
          <w:rFonts w:hint="eastAsia"/>
        </w:rPr>
        <w:t>根据烟花爆竹药剂的物化性质，对其固有的危险性进行定性分析。</w:t>
      </w:r>
    </w:p>
    <w:p w14:paraId="34BD50D0">
      <w:pPr>
        <w:bidi w:val="0"/>
        <w:rPr>
          <w:rFonts w:hint="eastAsia"/>
        </w:rPr>
      </w:pPr>
      <w:r>
        <w:rPr>
          <w:rFonts w:hint="eastAsia"/>
        </w:rPr>
        <w:t>2</w:t>
      </w:r>
      <w:r>
        <w:rPr>
          <w:rFonts w:hint="eastAsia"/>
          <w:lang w:eastAsia="zh-CN"/>
        </w:rPr>
        <w:t>）</w:t>
      </w:r>
      <w:r>
        <w:rPr>
          <w:rFonts w:hint="eastAsia"/>
        </w:rPr>
        <w:t>根据国家标准《烟花爆竹工程设计安全标准》 GB50161-2022相关规定</w:t>
      </w:r>
      <w:r>
        <w:rPr>
          <w:rFonts w:hint="eastAsia"/>
          <w:lang w:eastAsia="zh-CN"/>
        </w:rPr>
        <w:t>，</w:t>
      </w:r>
      <w:r>
        <w:rPr>
          <w:rFonts w:hint="eastAsia"/>
        </w:rPr>
        <w:t>对库区总平面布置、内外部距离进行定性、定量分析。</w:t>
      </w:r>
    </w:p>
    <w:p w14:paraId="1DE7E0F4">
      <w:pPr>
        <w:bidi w:val="0"/>
        <w:rPr>
          <w:rFonts w:hint="eastAsia" w:ascii="宋体" w:hAnsi="宋体" w:cs="宋体"/>
          <w:bCs/>
          <w:szCs w:val="28"/>
        </w:rPr>
      </w:pPr>
      <w:r>
        <w:rPr>
          <w:rFonts w:hint="eastAsia"/>
        </w:rPr>
        <w:t>3</w:t>
      </w:r>
      <w:r>
        <w:rPr>
          <w:rFonts w:hint="eastAsia"/>
          <w:lang w:eastAsia="zh-CN"/>
        </w:rPr>
        <w:t>）</w:t>
      </w:r>
      <w:r>
        <w:rPr>
          <w:rFonts w:hint="eastAsia"/>
        </w:rPr>
        <w:t>对公司烟花爆竹储存过程中的滞药量进行重大危险源辨识，按 GB18218-2018《危险化学品重大危险源辨识》进行定量分析。</w:t>
      </w:r>
    </w:p>
    <w:p w14:paraId="3B4AB15B">
      <w:pPr>
        <w:pStyle w:val="3"/>
        <w:bidi w:val="0"/>
        <w:ind w:left="0" w:leftChars="0" w:firstLine="0" w:firstLineChars="0"/>
        <w:rPr>
          <w:rFonts w:hint="eastAsia"/>
        </w:rPr>
      </w:pPr>
      <w:bookmarkStart w:id="85" w:name="_Toc9752"/>
      <w:bookmarkStart w:id="86" w:name="_Toc4989"/>
      <w:r>
        <w:rPr>
          <w:rFonts w:hint="eastAsia"/>
        </w:rPr>
        <w:t>3.2 烟花爆竹危险因素分析</w:t>
      </w:r>
      <w:bookmarkEnd w:id="85"/>
      <w:bookmarkEnd w:id="86"/>
    </w:p>
    <w:p w14:paraId="263822BB">
      <w:pPr>
        <w:bidi w:val="0"/>
        <w:rPr>
          <w:rFonts w:hint="eastAsia"/>
          <w:spacing w:val="-6"/>
          <w:sz w:val="28"/>
        </w:rPr>
      </w:pPr>
      <w:r>
        <w:rPr>
          <w:rFonts w:hint="eastAsia"/>
          <w:spacing w:val="-6"/>
          <w:sz w:val="28"/>
        </w:rPr>
        <w:t>烟花是指燃放时能形成色彩、图案，产生音响等，以视觉为主的产品。爆竹指燃放时能产生爆音、闪光等，以听觉效果为主的产品。</w:t>
      </w:r>
    </w:p>
    <w:p w14:paraId="39B9741E">
      <w:pPr>
        <w:bidi w:val="0"/>
        <w:rPr>
          <w:rFonts w:hint="eastAsia"/>
        </w:rPr>
      </w:pPr>
      <w:r>
        <w:rPr>
          <w:rFonts w:hint="eastAsia"/>
        </w:rPr>
        <w:t>烟花爆竹主要物料有高氯酸钾、硝酸钾、硝酸钡、硝酸锶、木炭、硫、漆片、酚醛树脂、铝粉、铁粉、钛粉、镁铝合金粉及着色剂碳酸锶、草酸钠、氧化铜和少量特殊效应物质、含氯有机物、溶剂等。这些物料中既有氧化剂又有还原剂和着色剂，在受热、摩擦、撞击、接触明火、吸湿受潮，或者在一定条件下氧化剂与还原剂混合时，均有可能引起燃烧爆炸。</w:t>
      </w:r>
    </w:p>
    <w:p w14:paraId="04E352F0">
      <w:pPr>
        <w:bidi w:val="0"/>
        <w:rPr>
          <w:rFonts w:hint="eastAsia"/>
        </w:rPr>
      </w:pPr>
      <w:r>
        <w:rPr>
          <w:rFonts w:hint="eastAsia"/>
        </w:rPr>
        <w:t>公司主要经营A、B、C、D级烟花类、C级爆竹类产品。成品因经过包装及装箱后，相对原料及半成品的危险性降低，但仍存在因仓库超量贮存、分类存放不能达到安全间距、贮存的物质条件与技术条件可靠性不足</w:t>
      </w:r>
      <w:r>
        <w:rPr>
          <w:rFonts w:hint="eastAsia"/>
          <w:lang w:eastAsia="zh-CN"/>
        </w:rPr>
        <w:t>（</w:t>
      </w:r>
      <w:r>
        <w:rPr>
          <w:rFonts w:hint="eastAsia"/>
        </w:rPr>
        <w:t>如缺少防止小动物进入仓库内啃咬及防潮措施</w:t>
      </w:r>
      <w:r>
        <w:rPr>
          <w:rFonts w:hint="eastAsia"/>
          <w:lang w:eastAsia="zh-CN"/>
        </w:rPr>
        <w:t>）</w:t>
      </w:r>
      <w:r>
        <w:rPr>
          <w:rFonts w:hint="eastAsia"/>
        </w:rPr>
        <w:t>、成品装卸作业违章操作、仓库管理人员安全素质低、厂内运输工具缺陷等均有引起成品燃烧和爆炸危险。另外由于仓库安全距离不够或防护屏障不全又造成事故扩大的可能。</w:t>
      </w:r>
    </w:p>
    <w:p w14:paraId="5F46D733">
      <w:pPr>
        <w:bidi w:val="0"/>
        <w:rPr>
          <w:rFonts w:hint="eastAsia"/>
        </w:rPr>
      </w:pPr>
      <w:r>
        <w:rPr>
          <w:rFonts w:hint="eastAsia"/>
        </w:rPr>
        <w:t>导致烟花爆竹发生火灾爆炸的原因较多，发生后造成的后果极为严重，不仅会造成仓库损毁、财产损失，而且易造成人员伤亡。烟花爆竹产品在储存过程中发生火灾爆炸的原因主要有：</w:t>
      </w:r>
    </w:p>
    <w:p w14:paraId="36294A6D">
      <w:pPr>
        <w:bidi w:val="0"/>
        <w:rPr>
          <w:rFonts w:hint="eastAsia"/>
        </w:rPr>
      </w:pPr>
      <w:r>
        <w:rPr>
          <w:rFonts w:hint="eastAsia"/>
        </w:rPr>
        <w:t>1</w:t>
      </w:r>
      <w:r>
        <w:rPr>
          <w:rFonts w:hint="eastAsia"/>
          <w:lang w:eastAsia="zh-CN"/>
        </w:rPr>
        <w:t>）</w:t>
      </w:r>
      <w:r>
        <w:rPr>
          <w:rFonts w:hint="eastAsia"/>
        </w:rPr>
        <w:t>明火</w:t>
      </w:r>
    </w:p>
    <w:p w14:paraId="6FE47A8E">
      <w:pPr>
        <w:bidi w:val="0"/>
        <w:rPr>
          <w:rFonts w:hint="eastAsia"/>
        </w:rPr>
      </w:pPr>
      <w:r>
        <w:rPr>
          <w:rFonts w:hint="eastAsia"/>
        </w:rPr>
        <w:t>由于外来人员、搬运人员或其他进入仓库的人员携带火种，违章吸烟，或外来火源等易发生火灾；围墙外燃放烟花爆竹造成也会出现明火；若仓库安装照明线路，当电气线路老化、接触不好引起打火、照明灯具、开关不防爆等电气火花也可引起仓库发生火灾爆炸。</w:t>
      </w:r>
    </w:p>
    <w:p w14:paraId="63E6A558">
      <w:pPr>
        <w:bidi w:val="0"/>
        <w:rPr>
          <w:rFonts w:hint="eastAsia"/>
        </w:rPr>
      </w:pPr>
      <w:r>
        <w:rPr>
          <w:rFonts w:hint="eastAsia"/>
        </w:rPr>
        <w:t>2</w:t>
      </w:r>
      <w:r>
        <w:rPr>
          <w:rFonts w:hint="eastAsia"/>
          <w:lang w:eastAsia="zh-CN"/>
        </w:rPr>
        <w:t>）</w:t>
      </w:r>
      <w:r>
        <w:rPr>
          <w:rFonts w:hint="eastAsia"/>
        </w:rPr>
        <w:t>雷电危害</w:t>
      </w:r>
    </w:p>
    <w:p w14:paraId="12E1123F">
      <w:pPr>
        <w:bidi w:val="0"/>
        <w:rPr>
          <w:rFonts w:hint="eastAsia"/>
        </w:rPr>
      </w:pPr>
      <w:r>
        <w:rPr>
          <w:rFonts w:hint="eastAsia"/>
        </w:rPr>
        <w:t>雷电入侵的主要形式是直击雷和雷电感应。雷电的危害巨大，可以导致设备损坏、人员伤亡、建筑物损坏或电气系统故障，严重者还可导致火灾和爆炸。若烟花爆竹仓库缺少防雷设施或防雷设施接地电阻超标，可遭受雷击事故，由于烟花爆竹易燃易爆，因此对整个库区均应设置防雷设施，建筑物防雷可使用接闪</w:t>
      </w:r>
      <w:r>
        <w:rPr>
          <w:rFonts w:hint="eastAsia"/>
          <w:lang w:val="en-US" w:eastAsia="zh-CN"/>
        </w:rPr>
        <w:t>塔</w:t>
      </w:r>
      <w:r>
        <w:rPr>
          <w:rFonts w:hint="eastAsia"/>
        </w:rPr>
        <w:t>，接地电阻应≤10Ω</w:t>
      </w:r>
      <w:r>
        <w:rPr>
          <w:rFonts w:hint="eastAsia"/>
          <w:lang w:eastAsia="zh-CN"/>
        </w:rPr>
        <w:t>，</w:t>
      </w:r>
      <w:r>
        <w:rPr>
          <w:rFonts w:hint="eastAsia"/>
        </w:rPr>
        <w:t>定期检查测试</w:t>
      </w:r>
      <w:r>
        <w:rPr>
          <w:rFonts w:hint="eastAsia"/>
          <w:lang w:eastAsia="zh-CN"/>
        </w:rPr>
        <w:t>，</w:t>
      </w:r>
      <w:r>
        <w:rPr>
          <w:rFonts w:hint="eastAsia"/>
        </w:rPr>
        <w:t>防止雷电危害。</w:t>
      </w:r>
    </w:p>
    <w:p w14:paraId="3E94C65D">
      <w:pPr>
        <w:bidi w:val="0"/>
        <w:rPr>
          <w:rFonts w:hint="eastAsia"/>
        </w:rPr>
      </w:pPr>
      <w:r>
        <w:rPr>
          <w:rFonts w:hint="eastAsia"/>
        </w:rPr>
        <w:t>3</w:t>
      </w:r>
      <w:r>
        <w:rPr>
          <w:rFonts w:hint="eastAsia"/>
          <w:lang w:eastAsia="zh-CN"/>
        </w:rPr>
        <w:t>）</w:t>
      </w:r>
      <w:r>
        <w:rPr>
          <w:rFonts w:hint="eastAsia"/>
        </w:rPr>
        <w:t>摩擦、静电</w:t>
      </w:r>
    </w:p>
    <w:p w14:paraId="142D0240">
      <w:pPr>
        <w:bidi w:val="0"/>
        <w:rPr>
          <w:rFonts w:hint="eastAsia"/>
        </w:rPr>
      </w:pPr>
      <w:r>
        <w:rPr>
          <w:rFonts w:hint="eastAsia"/>
        </w:rPr>
        <w:t>烟花爆竹成品码垛过高、堆垛过大、使用水泥条、块石等材料，容易因摩擦产生火花而引起燃烧爆炸事故。如烟花爆竹产品质量不合格或使用高感度的氯酸盐等氧化剂，在受热、摩擦、撞击时可引起燃烧爆炸事故。在烟花爆竹成品长期的储存过程中，可能发生包装破损，黑火药、烟火药裸露或散落在地面，遇静电、撞击、摩擦均可导致火灾事故。因此进出仓库的人员均应穿戴防静电服装和导静电鞋，严禁携带任何易燃物品。</w:t>
      </w:r>
    </w:p>
    <w:p w14:paraId="3C258D71">
      <w:pPr>
        <w:bidi w:val="0"/>
        <w:rPr>
          <w:rFonts w:hint="eastAsia"/>
        </w:rPr>
      </w:pPr>
      <w:r>
        <w:rPr>
          <w:rFonts w:hint="eastAsia"/>
        </w:rPr>
        <w:t>4</w:t>
      </w:r>
      <w:r>
        <w:rPr>
          <w:rFonts w:hint="eastAsia"/>
          <w:lang w:eastAsia="zh-CN"/>
        </w:rPr>
        <w:t>）</w:t>
      </w:r>
      <w:r>
        <w:rPr>
          <w:rFonts w:hint="eastAsia"/>
        </w:rPr>
        <w:t>受潮分解爆炸</w:t>
      </w:r>
    </w:p>
    <w:p w14:paraId="3DA376C8">
      <w:pPr>
        <w:bidi w:val="0"/>
      </w:pPr>
      <w:r>
        <w:rPr>
          <w:rFonts w:hint="eastAsia"/>
        </w:rPr>
        <w:t>由于某些品种的烟花中使用铝粉、镁粉等金属粉末，空气中含铝粉 40mg/L 时，遇明火就会爆炸。铝粉、镁粉遇潮湿、水蒸气能分解产生易燃易爆的氢气，积热后自燃。粉尘愈细愈易燃烧。因此若库房漏雨、地面潮湿导致烟花爆竹受潮，可产生分解爆炸。</w:t>
      </w:r>
    </w:p>
    <w:p w14:paraId="3D878D13">
      <w:pPr>
        <w:bidi w:val="0"/>
        <w:rPr>
          <w:rFonts w:hint="eastAsia"/>
        </w:rPr>
      </w:pPr>
      <w:r>
        <w:rPr>
          <w:rFonts w:hint="eastAsia"/>
        </w:rPr>
        <w:t>烟花爆竹仓库引爆的原因分析见下图。</w:t>
      </w:r>
    </w:p>
    <w:p w14:paraId="3DA11CAF">
      <w:pPr>
        <w:spacing w:line="360" w:lineRule="auto"/>
        <w:ind w:firstLine="606" w:firstLineChars="200"/>
        <w:rPr>
          <w:rFonts w:ascii="宋体" w:hAnsi="宋体" w:cs="宋体"/>
          <w:bCs/>
          <w:sz w:val="28"/>
          <w:szCs w:val="28"/>
        </w:rPr>
      </w:pPr>
    </w:p>
    <w:p w14:paraId="0ED48515">
      <w:pPr>
        <w:tabs>
          <w:tab w:val="left" w:pos="0"/>
        </w:tabs>
        <w:spacing w:line="360" w:lineRule="auto"/>
        <w:ind w:left="0" w:leftChars="0" w:firstLine="0" w:firstLineChars="0"/>
        <w:jc w:val="center"/>
        <w:rPr>
          <w:rFonts w:hint="eastAsia" w:ascii="宋体" w:hAnsi="宋体" w:eastAsia="宋体" w:cs="宋体"/>
          <w:bCs/>
          <w:sz w:val="28"/>
          <w:szCs w:val="28"/>
          <w:lang w:eastAsia="zh-CN"/>
        </w:rPr>
      </w:pPr>
      <w:r>
        <w:rPr>
          <w:position w:val="-61"/>
        </w:rPr>
        <w:drawing>
          <wp:anchor distT="0" distB="0" distL="0" distR="0" simplePos="0" relativeHeight="251660288" behindDoc="0" locked="0" layoutInCell="1" allowOverlap="1">
            <wp:simplePos x="0" y="0"/>
            <wp:positionH relativeFrom="column">
              <wp:posOffset>275590</wp:posOffset>
            </wp:positionH>
            <wp:positionV relativeFrom="paragraph">
              <wp:posOffset>15240</wp:posOffset>
            </wp:positionV>
            <wp:extent cx="5032375" cy="1939290"/>
            <wp:effectExtent l="0" t="0" r="12065" b="11430"/>
            <wp:wrapTopAndBottom/>
            <wp:docPr id="36" name="IM 2"/>
            <wp:cNvGraphicFramePr/>
            <a:graphic xmlns:a="http://schemas.openxmlformats.org/drawingml/2006/main">
              <a:graphicData uri="http://schemas.openxmlformats.org/drawingml/2006/picture">
                <pic:pic xmlns:pic="http://schemas.openxmlformats.org/drawingml/2006/picture">
                  <pic:nvPicPr>
                    <pic:cNvPr id="36" name="IM 2"/>
                    <pic:cNvPicPr/>
                  </pic:nvPicPr>
                  <pic:blipFill>
                    <a:blip r:embed="rId17">
                      <a:lum bright="-18000" contrast="30000"/>
                    </a:blip>
                    <a:stretch>
                      <a:fillRect/>
                    </a:stretch>
                  </pic:blipFill>
                  <pic:spPr>
                    <a:xfrm>
                      <a:off x="0" y="0"/>
                      <a:ext cx="5033009" cy="1939924"/>
                    </a:xfrm>
                    <a:prstGeom prst="rect">
                      <a:avLst/>
                    </a:prstGeom>
                  </pic:spPr>
                </pic:pic>
              </a:graphicData>
            </a:graphic>
          </wp:anchor>
        </w:drawing>
      </w:r>
    </w:p>
    <w:p w14:paraId="30DF419D">
      <w:pPr>
        <w:bidi w:val="0"/>
        <w:rPr>
          <w:rFonts w:hint="eastAsia"/>
        </w:rPr>
      </w:pPr>
      <w:r>
        <w:rPr>
          <w:rFonts w:hint="eastAsia"/>
        </w:rPr>
        <w:t>5</w:t>
      </w:r>
      <w:r>
        <w:rPr>
          <w:rFonts w:hint="eastAsia"/>
          <w:lang w:eastAsia="zh-CN"/>
        </w:rPr>
        <w:t>）</w:t>
      </w:r>
      <w:r>
        <w:rPr>
          <w:rFonts w:hint="eastAsia"/>
        </w:rPr>
        <w:t>爆炸危害</w:t>
      </w:r>
    </w:p>
    <w:p w14:paraId="597C3453">
      <w:pPr>
        <w:bidi w:val="0"/>
        <w:rPr>
          <w:rFonts w:hint="eastAsia"/>
        </w:rPr>
      </w:pPr>
      <w:r>
        <w:rPr>
          <w:rFonts w:hint="eastAsia"/>
        </w:rPr>
        <w:t>烟花爆竹爆炸通常伴随发热、发光、压力上升等现象，具有很强的破坏作用，主要破坏形式有：</w:t>
      </w:r>
    </w:p>
    <w:p w14:paraId="5CA1D53F">
      <w:pPr>
        <w:bidi w:val="0"/>
        <w:rPr>
          <w:rFonts w:hint="eastAsia"/>
        </w:rPr>
      </w:pPr>
      <w:r>
        <w:rPr>
          <w:rFonts w:hint="eastAsia"/>
          <w:lang w:eastAsia="zh-CN"/>
        </w:rPr>
        <w:t>（</w:t>
      </w:r>
      <w:r>
        <w:rPr>
          <w:rFonts w:hint="eastAsia"/>
        </w:rPr>
        <w:t>1</w:t>
      </w:r>
      <w:r>
        <w:rPr>
          <w:rFonts w:hint="eastAsia"/>
          <w:lang w:eastAsia="zh-CN"/>
        </w:rPr>
        <w:t>）</w:t>
      </w:r>
      <w:r>
        <w:rPr>
          <w:rFonts w:hint="eastAsia"/>
        </w:rPr>
        <w:t>直接的破坏作用。厂房建筑、设备等爆炸后产生许多碎片,飞出后会在相当大的范围内造成危害。</w:t>
      </w:r>
    </w:p>
    <w:p w14:paraId="59DE7963">
      <w:pPr>
        <w:bidi w:val="0"/>
        <w:rPr>
          <w:rFonts w:hint="eastAsia"/>
        </w:rPr>
      </w:pPr>
      <w:r>
        <w:rPr>
          <w:rFonts w:hint="eastAsia"/>
          <w:lang w:eastAsia="zh-CN"/>
        </w:rPr>
        <w:t>（</w:t>
      </w:r>
      <w:r>
        <w:rPr>
          <w:rFonts w:hint="eastAsia"/>
        </w:rPr>
        <w:t>2</w:t>
      </w:r>
      <w:r>
        <w:rPr>
          <w:rFonts w:hint="eastAsia"/>
          <w:lang w:eastAsia="zh-CN"/>
        </w:rPr>
        <w:t>）</w:t>
      </w:r>
      <w:r>
        <w:rPr>
          <w:rFonts w:hint="eastAsia"/>
        </w:rPr>
        <w:t>冲击波的破坏作用。物质爆炸时，产生的高温高压气体以极高的速度膨胀，像活塞一样挤压周围空气，把爆炸反应释放出的部分能量传递给压缩的空气层，空气受冲击而发生动扰，使其压力、密度等产生突变，这种扰动在空气中传播就形成冲击波。冲击波的传播速度极快,在传播过程中，可以对周围环境中的机械设备建筑物产生破坏作用和人员伤亡</w:t>
      </w:r>
      <w:r>
        <w:rPr>
          <w:rFonts w:hint="eastAsia"/>
          <w:lang w:eastAsia="zh-CN"/>
        </w:rPr>
        <w:t>。</w:t>
      </w:r>
      <w:r>
        <w:rPr>
          <w:rFonts w:hint="eastAsia"/>
        </w:rPr>
        <w:t>冲击波还可以在它的作用区域内产生震荡作用，使物体因震荡而松散，甚至破坏。冲击波的破坏作用主要是由其波阵面上的超压引起的。在爆炸公司附近，空气冲击波波阵面上的超压可达几个甚至十几个大气压，在如此高的压力作用下，建筑物被摧毁，机械设备、管道等也会受到严重破坏。当冲击波大面积作用于建筑物时，波阵面超压在 20～30kPa 内，就足以使大部分砖木结构建物受到严重破坏。超压在 100kPa 以上时，除坚固的钢筋混凝土建筑外，其余部分将全部破坏。</w:t>
      </w:r>
    </w:p>
    <w:p w14:paraId="63BB783C">
      <w:pPr>
        <w:bidi w:val="0"/>
        <w:rPr>
          <w:rFonts w:hint="eastAsia"/>
        </w:rPr>
      </w:pPr>
      <w:r>
        <w:rPr>
          <w:rFonts w:hint="eastAsia"/>
          <w:lang w:eastAsia="zh-CN"/>
        </w:rPr>
        <w:t>（</w:t>
      </w:r>
      <w:r>
        <w:rPr>
          <w:rFonts w:hint="eastAsia"/>
        </w:rPr>
        <w:t>3</w:t>
      </w:r>
      <w:r>
        <w:rPr>
          <w:rFonts w:hint="eastAsia"/>
          <w:lang w:eastAsia="zh-CN"/>
        </w:rPr>
        <w:t>）</w:t>
      </w:r>
      <w:r>
        <w:rPr>
          <w:rFonts w:hint="eastAsia"/>
        </w:rPr>
        <w:t>造成火灾。爆炸发生后，产生的高温、高压，建筑物内遗留大量的热或残余火苗，不仅会对仓库本身造成危害，还会把库区周围的杂草引燃，导致火灾。</w:t>
      </w:r>
    </w:p>
    <w:p w14:paraId="5C91C0A8">
      <w:pPr>
        <w:bidi w:val="0"/>
        <w:rPr>
          <w:rFonts w:hint="eastAsia"/>
        </w:rPr>
      </w:pPr>
      <w:r>
        <w:rPr>
          <w:rFonts w:hint="eastAsia"/>
          <w:lang w:eastAsia="zh-CN"/>
        </w:rPr>
        <w:t>（</w:t>
      </w:r>
      <w:r>
        <w:rPr>
          <w:rFonts w:hint="eastAsia"/>
        </w:rPr>
        <w:t>4</w:t>
      </w:r>
      <w:r>
        <w:rPr>
          <w:rFonts w:hint="eastAsia"/>
          <w:lang w:eastAsia="zh-CN"/>
        </w:rPr>
        <w:t>）</w:t>
      </w:r>
      <w:r>
        <w:rPr>
          <w:rFonts w:hint="eastAsia"/>
        </w:rPr>
        <w:t>造成中毒和环境污染。在烟花爆竹大量的爆炸过程中，产生的硫化物、氮氧化物烟雾对环境会造成污染。</w:t>
      </w:r>
    </w:p>
    <w:p w14:paraId="55004919">
      <w:pPr>
        <w:pStyle w:val="3"/>
        <w:bidi w:val="0"/>
        <w:ind w:left="0" w:leftChars="0" w:firstLine="0" w:firstLineChars="0"/>
        <w:rPr>
          <w:rFonts w:hint="eastAsia"/>
        </w:rPr>
      </w:pPr>
      <w:bookmarkStart w:id="87" w:name="_Toc16139"/>
      <w:bookmarkStart w:id="88" w:name="_Toc9076"/>
      <w:r>
        <w:rPr>
          <w:rFonts w:hint="eastAsia"/>
        </w:rPr>
        <w:t>3.3 储运过程危险因素分析</w:t>
      </w:r>
      <w:bookmarkEnd w:id="87"/>
      <w:bookmarkEnd w:id="88"/>
    </w:p>
    <w:p w14:paraId="4BE6EFA6">
      <w:pPr>
        <w:pStyle w:val="4"/>
        <w:bidi w:val="0"/>
        <w:ind w:left="0" w:leftChars="0" w:firstLine="0" w:firstLineChars="0"/>
        <w:rPr>
          <w:rFonts w:hint="eastAsia"/>
        </w:rPr>
      </w:pPr>
      <w:bookmarkStart w:id="89" w:name="_Toc29409"/>
      <w:r>
        <w:rPr>
          <w:rFonts w:hint="eastAsia"/>
        </w:rPr>
        <w:t>3.3.1 储存过程危险因素分析</w:t>
      </w:r>
      <w:bookmarkEnd w:id="89"/>
    </w:p>
    <w:p w14:paraId="4AE01130">
      <w:pPr>
        <w:bidi w:val="0"/>
        <w:rPr>
          <w:rFonts w:hint="eastAsia"/>
          <w:lang w:eastAsia="zh-CN"/>
        </w:rPr>
      </w:pPr>
      <w:r>
        <w:rPr>
          <w:rFonts w:hint="eastAsia"/>
          <w:lang w:eastAsia="zh-CN"/>
        </w:rPr>
        <w:t>1）由于库区选址不当，烟花爆竹仓库的外部、内部安全距离不符合要求等原因，储存过程中发生火灾、爆炸事故，会对库区周围人员及库区内作业人员造成人员伤亡、财产损失。因此库区的选址必须符合国家标准的相关规定，内、外部安全距离和安全间距必须符合《烟花爆竹工程设计安全规范》的要求，使人员和危险源保持隔离，降低危险性。</w:t>
      </w:r>
    </w:p>
    <w:p w14:paraId="1993B7DE">
      <w:pPr>
        <w:bidi w:val="0"/>
        <w:rPr>
          <w:rFonts w:hint="eastAsia"/>
          <w:lang w:eastAsia="zh-CN"/>
        </w:rPr>
      </w:pPr>
      <w:r>
        <w:rPr>
          <w:rFonts w:hint="eastAsia"/>
          <w:lang w:eastAsia="zh-CN"/>
        </w:rPr>
        <w:t>2）建筑物的防火等级不够，设计不规范，直接影响人员的撤离和造成二次事故。</w:t>
      </w:r>
    </w:p>
    <w:p w14:paraId="28DC0A5F">
      <w:pPr>
        <w:bidi w:val="0"/>
        <w:rPr>
          <w:rFonts w:hint="eastAsia"/>
          <w:lang w:eastAsia="zh-CN"/>
        </w:rPr>
      </w:pPr>
      <w:r>
        <w:rPr>
          <w:rFonts w:hint="eastAsia"/>
          <w:lang w:eastAsia="zh-CN"/>
        </w:rPr>
        <w:t>3）明火直接引爆。仓库全部为易燃、易爆物质，由于吸烟、取暖、飞火等原因，易引发爆炸事故。</w:t>
      </w:r>
    </w:p>
    <w:p w14:paraId="38D3AD97">
      <w:pPr>
        <w:bidi w:val="0"/>
        <w:rPr>
          <w:rFonts w:hint="eastAsia"/>
          <w:lang w:eastAsia="zh-CN"/>
        </w:rPr>
      </w:pPr>
      <w:r>
        <w:rPr>
          <w:rFonts w:hint="eastAsia"/>
          <w:lang w:eastAsia="zh-CN"/>
        </w:rPr>
        <w:t>4）受太阳直射、局部热量聚集，当达到一定温度时，引起火药的自燃，产生明火导致爆炸事故。</w:t>
      </w:r>
    </w:p>
    <w:p w14:paraId="7A1E3EBF">
      <w:pPr>
        <w:bidi w:val="0"/>
        <w:rPr>
          <w:rFonts w:hint="eastAsia"/>
          <w:lang w:eastAsia="zh-CN"/>
        </w:rPr>
      </w:pPr>
      <w:r>
        <w:rPr>
          <w:rFonts w:hint="eastAsia"/>
          <w:lang w:eastAsia="zh-CN"/>
        </w:rPr>
        <w:t>5）产品质量不合格，使用了违禁原料，或产品过于敏感，在正常的储存条件下引发事故。</w:t>
      </w:r>
    </w:p>
    <w:p w14:paraId="1F9F3C3F">
      <w:pPr>
        <w:bidi w:val="0"/>
        <w:rPr>
          <w:rFonts w:hint="eastAsia"/>
          <w:lang w:eastAsia="zh-CN"/>
        </w:rPr>
      </w:pPr>
      <w:r>
        <w:rPr>
          <w:rFonts w:hint="eastAsia"/>
          <w:lang w:eastAsia="zh-CN"/>
        </w:rPr>
        <w:t>6）烟花爆竹仓库相应较独立，要做好防雷电设计，并采取有效避雷措施，防止雷电造成的燃烧、爆炸事故的发生。</w:t>
      </w:r>
    </w:p>
    <w:p w14:paraId="25789C4E">
      <w:pPr>
        <w:bidi w:val="0"/>
        <w:rPr>
          <w:rFonts w:hint="eastAsia"/>
          <w:lang w:eastAsia="zh-CN"/>
        </w:rPr>
      </w:pPr>
      <w:r>
        <w:rPr>
          <w:rFonts w:hint="eastAsia"/>
          <w:lang w:eastAsia="zh-CN"/>
        </w:rPr>
        <w:t>7）烟花爆竹仓库的照明、开关、线路都会产生电气火花，如果没有安装电气线路，临时使用的照明灯具也可能产生火花。</w:t>
      </w:r>
    </w:p>
    <w:p w14:paraId="52C1D5DE">
      <w:pPr>
        <w:bidi w:val="0"/>
        <w:rPr>
          <w:rFonts w:hint="eastAsia"/>
          <w:lang w:eastAsia="zh-CN"/>
        </w:rPr>
      </w:pPr>
      <w:r>
        <w:rPr>
          <w:rFonts w:hint="eastAsia"/>
          <w:lang w:eastAsia="zh-CN"/>
        </w:rPr>
        <w:t>8）静电起火，烟花爆竹在作业过程中产生的静电积聚和人带有静电，无消除静电装置接地造成静电积聚放电。</w:t>
      </w:r>
    </w:p>
    <w:p w14:paraId="25CA0A47">
      <w:pPr>
        <w:bidi w:val="0"/>
        <w:rPr>
          <w:rFonts w:hint="eastAsia"/>
          <w:lang w:eastAsia="zh-CN"/>
        </w:rPr>
      </w:pPr>
      <w:r>
        <w:rPr>
          <w:rFonts w:hint="eastAsia"/>
          <w:lang w:eastAsia="zh-CN"/>
        </w:rPr>
        <w:t>9）潮气和雨水直接影响产品的质量，同时部分品种的烟花爆竹中使用铝粉、镁粉等金属粉末，铝粉、镁粉遇潮湿、水蒸气能分解产生易燃易爆的氢气，积热后自燃。因此若库房漏雨、地面潮湿导致烟花爆竹受潮，可产生分解爆炸。</w:t>
      </w:r>
    </w:p>
    <w:p w14:paraId="01DD34BA">
      <w:pPr>
        <w:bidi w:val="0"/>
      </w:pPr>
      <w:r>
        <w:rPr>
          <w:rFonts w:hint="eastAsia"/>
          <w:lang w:eastAsia="zh-CN"/>
        </w:rPr>
        <w:t>10）仓库内地面不符合要求，地面没有按要求画堆垛线或产品没有按堆</w:t>
      </w:r>
      <w:r>
        <w:t>垛线堆放，作业通道和通风巷道宽度不够。</w:t>
      </w:r>
    </w:p>
    <w:p w14:paraId="6E0BFD9D">
      <w:pPr>
        <w:pStyle w:val="4"/>
        <w:bidi w:val="0"/>
        <w:ind w:left="0" w:leftChars="0" w:firstLine="0" w:firstLineChars="0"/>
        <w:rPr>
          <w:rFonts w:hint="eastAsia"/>
          <w:lang w:eastAsia="zh-CN"/>
        </w:rPr>
      </w:pPr>
      <w:bookmarkStart w:id="90" w:name="_Toc23177"/>
      <w:r>
        <w:rPr>
          <w:rFonts w:hint="eastAsia"/>
          <w:lang w:eastAsia="zh-CN"/>
        </w:rPr>
        <w:t>3.3.2运输过程危险因素分析</w:t>
      </w:r>
      <w:bookmarkEnd w:id="90"/>
    </w:p>
    <w:p w14:paraId="39684451">
      <w:pPr>
        <w:bidi w:val="0"/>
        <w:rPr>
          <w:rFonts w:hint="eastAsia"/>
          <w:lang w:eastAsia="zh-CN"/>
        </w:rPr>
      </w:pPr>
      <w:r>
        <w:rPr>
          <w:rFonts w:hint="eastAsia"/>
          <w:lang w:eastAsia="zh-CN"/>
        </w:rPr>
        <w:t>1）在库区内的运输采用人力和手推车运输，在装卸搬运操作过程中，撞击、坠落、摩擦、倾斜、重压、滚动、就地拖拉、投掷等均有可能引起烟花爆竹产品的燃烧爆炸。</w:t>
      </w:r>
    </w:p>
    <w:p w14:paraId="5BA77F5C">
      <w:pPr>
        <w:bidi w:val="0"/>
        <w:rPr>
          <w:rFonts w:hint="eastAsia"/>
          <w:lang w:eastAsia="zh-CN"/>
        </w:rPr>
      </w:pPr>
      <w:r>
        <w:rPr>
          <w:rFonts w:hint="eastAsia"/>
          <w:lang w:eastAsia="zh-CN"/>
        </w:rPr>
        <w:t>2）在物料的运输过程中，运输工具产生的火花或撞击、摩擦、坠落、人体产生的静电等均有可能引起危险物的燃烧爆炸。</w:t>
      </w:r>
    </w:p>
    <w:p w14:paraId="3347B8A9">
      <w:pPr>
        <w:bidi w:val="0"/>
        <w:rPr>
          <w:rFonts w:hint="eastAsia"/>
          <w:lang w:eastAsia="zh-CN"/>
        </w:rPr>
      </w:pPr>
      <w:r>
        <w:rPr>
          <w:rFonts w:hint="eastAsia"/>
          <w:lang w:eastAsia="zh-CN"/>
        </w:rPr>
        <w:t>3）运输过程中运输时，若运输过程中温度过高，加之日光曝晒、磨擦、撞击等，易发生燃烧爆炸事故。</w:t>
      </w:r>
    </w:p>
    <w:p w14:paraId="2D9ED9E4">
      <w:pPr>
        <w:bidi w:val="0"/>
        <w:rPr>
          <w:rFonts w:hint="eastAsia"/>
          <w:lang w:eastAsia="zh-CN"/>
        </w:rPr>
      </w:pPr>
      <w:r>
        <w:rPr>
          <w:rFonts w:hint="eastAsia"/>
          <w:lang w:eastAsia="zh-CN"/>
        </w:rPr>
        <w:t>4）在运输时，司机和押运员的管理原因，由明火直接引起爆炸。</w:t>
      </w:r>
    </w:p>
    <w:p w14:paraId="230C2C9A">
      <w:pPr>
        <w:bidi w:val="0"/>
        <w:rPr>
          <w:rFonts w:hint="eastAsia"/>
          <w:lang w:eastAsia="zh-CN"/>
        </w:rPr>
      </w:pPr>
      <w:r>
        <w:rPr>
          <w:rFonts w:hint="eastAsia"/>
          <w:lang w:eastAsia="zh-CN"/>
        </w:rPr>
        <w:t>5）禁忌性物料混运，一旦泄漏相遇，会发生燃烧、爆炸等事故。</w:t>
      </w:r>
    </w:p>
    <w:p w14:paraId="3D9848D7">
      <w:pPr>
        <w:bidi w:val="0"/>
        <w:rPr>
          <w:rFonts w:hint="eastAsia"/>
          <w:lang w:eastAsia="zh-CN"/>
        </w:rPr>
      </w:pPr>
      <w:r>
        <w:rPr>
          <w:rFonts w:hint="eastAsia"/>
          <w:lang w:eastAsia="zh-CN"/>
        </w:rPr>
        <w:t>6）运输途中，受雷击和静电积聚引起的火花，造成爆炸事故。</w:t>
      </w:r>
    </w:p>
    <w:p w14:paraId="77F8E1B1">
      <w:pPr>
        <w:bidi w:val="0"/>
        <w:rPr>
          <w:rFonts w:hint="eastAsia"/>
          <w:lang w:eastAsia="zh-CN"/>
        </w:rPr>
      </w:pPr>
      <w:r>
        <w:rPr>
          <w:rFonts w:hint="eastAsia"/>
          <w:lang w:eastAsia="zh-CN"/>
        </w:rPr>
        <w:t>7）产品质量和包装质量不合格，使用了违禁原料，发生爆炸事故的隐患。</w:t>
      </w:r>
    </w:p>
    <w:p w14:paraId="03E25707">
      <w:pPr>
        <w:bidi w:val="0"/>
        <w:rPr>
          <w:rFonts w:hint="eastAsia"/>
          <w:lang w:eastAsia="zh-CN"/>
        </w:rPr>
      </w:pPr>
      <w:r>
        <w:rPr>
          <w:rFonts w:hint="eastAsia"/>
          <w:lang w:eastAsia="zh-CN"/>
        </w:rPr>
        <w:t>8）运输的线路必须按照公安部门指定的线路，避开人员稠密区和重要场所。</w:t>
      </w:r>
    </w:p>
    <w:p w14:paraId="6A8236C3">
      <w:pPr>
        <w:bidi w:val="0"/>
        <w:rPr>
          <w:rFonts w:hint="eastAsia"/>
          <w:lang w:eastAsia="zh-CN"/>
        </w:rPr>
      </w:pPr>
      <w:r>
        <w:rPr>
          <w:rFonts w:hint="eastAsia"/>
          <w:lang w:eastAsia="zh-CN"/>
        </w:rPr>
        <w:t>9）运输车辆停靠时要加强监管，防止事故的发生。</w:t>
      </w:r>
    </w:p>
    <w:p w14:paraId="0036F5D6">
      <w:pPr>
        <w:bidi w:val="0"/>
        <w:rPr>
          <w:rFonts w:hint="eastAsia"/>
          <w:lang w:eastAsia="zh-CN"/>
        </w:rPr>
      </w:pPr>
      <w:r>
        <w:rPr>
          <w:rFonts w:hint="eastAsia"/>
          <w:lang w:eastAsia="zh-CN"/>
        </w:rPr>
        <w:t>10）使用非危险化学品车辆进行运输，极易造成事故的发生。</w:t>
      </w:r>
    </w:p>
    <w:p w14:paraId="5C241A52">
      <w:pPr>
        <w:bidi w:val="0"/>
        <w:rPr>
          <w:rFonts w:hint="default"/>
          <w:lang w:val="en-US" w:eastAsia="zh-CN"/>
        </w:rPr>
      </w:pPr>
      <w:r>
        <w:rPr>
          <w:rFonts w:hint="eastAsia"/>
          <w:lang w:val="en-US" w:eastAsia="zh-CN"/>
        </w:rPr>
        <w:t>11）</w:t>
      </w:r>
      <w:r>
        <w:rPr>
          <w:rFonts w:hint="eastAsia"/>
          <w:lang w:eastAsia="zh-CN"/>
        </w:rPr>
        <w:t>产品运输过程中机动车因驾驶员忽视或违反交通法规、违章行车，安全意识不强、酒后开车、疲劳驾车，判断、操作错误，缺乏安全知识，心里素质较差、反应时间过长、身体缺陷；因车辆安全装置失效（如制动器失效、方向失控、轮胎不合格、灯光不全等）；超载、堆码超高、违反规定混装、车辆不符合危险品运输要求；因道路不平整，坡度大，转弯半径小，缺少交通标志、标线等安全设施，均可造成碰撞或翻车，</w:t>
      </w:r>
      <w:r>
        <w:rPr>
          <w:rFonts w:hint="eastAsia"/>
          <w:lang w:val="en-US" w:eastAsia="zh-CN"/>
        </w:rPr>
        <w:t>造成车辆伤害。</w:t>
      </w:r>
    </w:p>
    <w:p w14:paraId="30A1F87F">
      <w:pPr>
        <w:pStyle w:val="4"/>
        <w:bidi w:val="0"/>
        <w:ind w:left="0" w:leftChars="0" w:firstLine="0" w:firstLineChars="0"/>
        <w:rPr>
          <w:rFonts w:hint="eastAsia"/>
          <w:lang w:eastAsia="zh-CN"/>
        </w:rPr>
      </w:pPr>
      <w:bookmarkStart w:id="91" w:name="_Toc23668"/>
      <w:r>
        <w:rPr>
          <w:rFonts w:hint="eastAsia"/>
          <w:lang w:eastAsia="zh-CN"/>
        </w:rPr>
        <w:t>3.3.3装卸过程危险因素分析</w:t>
      </w:r>
      <w:bookmarkEnd w:id="91"/>
    </w:p>
    <w:p w14:paraId="612E06F6">
      <w:pPr>
        <w:bidi w:val="0"/>
        <w:rPr>
          <w:rFonts w:hint="eastAsia"/>
          <w:lang w:eastAsia="zh-CN"/>
        </w:rPr>
      </w:pPr>
      <w:r>
        <w:rPr>
          <w:rFonts w:hint="eastAsia"/>
          <w:lang w:eastAsia="zh-CN"/>
        </w:rPr>
        <w:t>烟花爆竹在装卸搬运过程中，不严格执行操作规程，发生撞击、坠落、摩擦、倾斜重压，滚动、就地拖拉、投掷，</w:t>
      </w:r>
      <w:r>
        <w:rPr>
          <w:rFonts w:hint="eastAsia" w:ascii="宋体" w:hAnsi="宋体"/>
          <w:sz w:val="28"/>
          <w:szCs w:val="28"/>
          <w:lang w:val="en-GB"/>
        </w:rPr>
        <w:t>使用铁质工具产生火花或装卸人员穿戴易产生静电的服装</w:t>
      </w:r>
      <w:r>
        <w:rPr>
          <w:rFonts w:hint="eastAsia"/>
          <w:lang w:eastAsia="zh-CN"/>
        </w:rPr>
        <w:t>等均有可能引起产品的燃烧爆炸。</w:t>
      </w:r>
    </w:p>
    <w:p w14:paraId="06A7990C">
      <w:pPr>
        <w:pStyle w:val="4"/>
        <w:bidi w:val="0"/>
        <w:ind w:left="0" w:leftChars="0" w:firstLine="0" w:firstLineChars="0"/>
        <w:rPr>
          <w:rFonts w:hint="eastAsia"/>
          <w:lang w:eastAsia="zh-CN"/>
        </w:rPr>
      </w:pPr>
      <w:bookmarkStart w:id="92" w:name="_Toc15353"/>
      <w:r>
        <w:rPr>
          <w:rFonts w:hint="eastAsia"/>
          <w:lang w:eastAsia="zh-CN"/>
        </w:rPr>
        <w:t>3.3.4其它危险性分析</w:t>
      </w:r>
      <w:bookmarkEnd w:id="92"/>
    </w:p>
    <w:p w14:paraId="35CF2959">
      <w:pPr>
        <w:bidi w:val="0"/>
        <w:rPr>
          <w:rFonts w:hint="eastAsia" w:ascii="Times New Roman" w:hAnsi="Times New Roman" w:eastAsia="宋体" w:cs="Times New Roman"/>
          <w:lang w:eastAsia="zh-CN"/>
        </w:rPr>
      </w:pPr>
      <w:r>
        <w:rPr>
          <w:rFonts w:hint="eastAsia" w:ascii="Times New Roman" w:hAnsi="Times New Roman" w:eastAsia="宋体" w:cs="Times New Roman"/>
          <w:lang w:eastAsia="zh-CN"/>
        </w:rPr>
        <w:t>1）物体打击</w:t>
      </w:r>
    </w:p>
    <w:p w14:paraId="52B4BA47">
      <w:pPr>
        <w:bidi w:val="0"/>
        <w:rPr>
          <w:rFonts w:hint="eastAsia" w:ascii="Times New Roman" w:hAnsi="Times New Roman" w:eastAsia="宋体" w:cs="Times New Roman"/>
          <w:lang w:eastAsia="zh-CN"/>
        </w:rPr>
      </w:pPr>
      <w:r>
        <w:rPr>
          <w:rFonts w:hint="eastAsia" w:ascii="Times New Roman" w:hAnsi="Times New Roman" w:eastAsia="宋体" w:cs="Times New Roman"/>
          <w:lang w:eastAsia="zh-CN"/>
        </w:rPr>
        <w:t>烟花、爆竹堆垛过高、堆放方式不符合标准，发生倒塌，易发生货物倾倒造成物体打击事故。</w:t>
      </w:r>
    </w:p>
    <w:p w14:paraId="430E345E">
      <w:pPr>
        <w:bidi w:val="0"/>
        <w:rPr>
          <w:rFonts w:hint="eastAsia" w:ascii="Times New Roman" w:hAnsi="Times New Roman" w:eastAsia="宋体" w:cs="Times New Roman"/>
          <w:lang w:eastAsia="zh-CN"/>
        </w:rPr>
      </w:pPr>
      <w:r>
        <w:rPr>
          <w:rFonts w:hint="eastAsia" w:ascii="Times New Roman" w:hAnsi="Times New Roman" w:eastAsia="宋体" w:cs="Times New Roman"/>
          <w:lang w:val="en-US" w:eastAsia="zh-CN"/>
        </w:rPr>
        <w:t>2</w:t>
      </w:r>
      <w:r>
        <w:rPr>
          <w:rFonts w:hint="eastAsia" w:ascii="Times New Roman" w:hAnsi="Times New Roman" w:eastAsia="宋体" w:cs="Times New Roman"/>
          <w:lang w:eastAsia="zh-CN"/>
        </w:rPr>
        <w:t>）中毒</w:t>
      </w:r>
    </w:p>
    <w:p w14:paraId="1A84F5E7">
      <w:pPr>
        <w:bidi w:val="0"/>
        <w:rPr>
          <w:rFonts w:hint="eastAsia" w:ascii="Times New Roman" w:hAnsi="Times New Roman" w:eastAsia="宋体" w:cs="Times New Roman"/>
          <w:lang w:eastAsia="zh-CN"/>
        </w:rPr>
      </w:pPr>
      <w:r>
        <w:rPr>
          <w:rFonts w:hint="eastAsia" w:ascii="Times New Roman" w:hAnsi="Times New Roman" w:eastAsia="宋体" w:cs="Times New Roman"/>
          <w:lang w:eastAsia="zh-CN"/>
        </w:rPr>
        <w:t>烟花爆竹使用的火药属于有毒物品。此类物品经吸入、食入、经皮吸收会对人的神经中枢系统有麻醉作用，对上呼吸道、皮肤、肾脏、粘膜等人体各器官有刺激作用，引发各种疾病；短时间内吸入较高浓度时可引起急性中毒，出现眼及呼吸道明显的刺激症状、眼结膜及头晕、头痛等症状。</w:t>
      </w:r>
    </w:p>
    <w:p w14:paraId="6DA50C3D">
      <w:pPr>
        <w:bidi w:val="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3）高处坠落</w:t>
      </w:r>
    </w:p>
    <w:p w14:paraId="4CD17945">
      <w:pPr>
        <w:bidi w:val="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在对烟花爆竹屋顶进行检查和维修等高处作业时，作业人员安全意识不强、脚手架安装不良等原因，可能导致高处坠落事故发生。</w:t>
      </w:r>
    </w:p>
    <w:p w14:paraId="0BB6CCAD">
      <w:pPr>
        <w:pStyle w:val="3"/>
        <w:bidi w:val="0"/>
        <w:ind w:left="0" w:leftChars="0" w:firstLine="0" w:firstLineChars="0"/>
        <w:rPr>
          <w:rFonts w:hint="eastAsia" w:ascii="宋体" w:hAnsi="宋体" w:eastAsia="宋体" w:cs="Times New Roman"/>
        </w:rPr>
      </w:pPr>
      <w:bookmarkStart w:id="93" w:name="_Toc25327"/>
      <w:bookmarkStart w:id="94" w:name="_Toc32200"/>
      <w:r>
        <w:rPr>
          <w:rFonts w:hint="eastAsia" w:ascii="宋体" w:hAnsi="宋体" w:eastAsia="宋体" w:cs="Times New Roman"/>
        </w:rPr>
        <w:t>3.4 环境危险有害因素分析</w:t>
      </w:r>
      <w:bookmarkEnd w:id="93"/>
      <w:bookmarkEnd w:id="94"/>
    </w:p>
    <w:p w14:paraId="0EB6C3E9">
      <w:pPr>
        <w:pStyle w:val="4"/>
        <w:bidi w:val="0"/>
        <w:ind w:left="0" w:leftChars="0" w:firstLine="0" w:firstLineChars="0"/>
        <w:rPr>
          <w:rFonts w:hint="eastAsia" w:ascii="Times New Roman" w:hAnsi="Times New Roman" w:eastAsia="宋体" w:cs="Times New Roman"/>
          <w:lang w:eastAsia="zh-CN"/>
        </w:rPr>
      </w:pPr>
      <w:bookmarkStart w:id="95" w:name="_Toc9909"/>
      <w:r>
        <w:rPr>
          <w:rFonts w:hint="eastAsia" w:ascii="Times New Roman" w:hAnsi="Times New Roman" w:eastAsia="宋体" w:cs="Times New Roman"/>
          <w:lang w:eastAsia="zh-CN"/>
        </w:rPr>
        <w:t>3.4.1 自然条件危险因素分析</w:t>
      </w:r>
      <w:bookmarkEnd w:id="95"/>
    </w:p>
    <w:p w14:paraId="5D33D0E3">
      <w:pPr>
        <w:bidi w:val="0"/>
        <w:rPr>
          <w:rFonts w:hint="eastAsia"/>
        </w:rPr>
      </w:pPr>
      <w:r>
        <w:rPr>
          <w:rFonts w:hint="eastAsia"/>
        </w:rPr>
        <w:t>自然条件的影响主要指气候等方面的影响。本节着重分析雷电、高温和潮湿等因素对本项目的影响。</w:t>
      </w:r>
    </w:p>
    <w:p w14:paraId="3876CFEC">
      <w:pPr>
        <w:bidi w:val="0"/>
        <w:rPr>
          <w:rFonts w:hint="eastAsia"/>
        </w:rPr>
      </w:pPr>
      <w:r>
        <w:rPr>
          <w:rFonts w:hint="eastAsia"/>
        </w:rPr>
        <w:t>1</w:t>
      </w:r>
      <w:r>
        <w:rPr>
          <w:rFonts w:hint="eastAsia"/>
          <w:lang w:eastAsia="zh-CN"/>
        </w:rPr>
        <w:t>）</w:t>
      </w:r>
      <w:r>
        <w:rPr>
          <w:rFonts w:hint="eastAsia"/>
        </w:rPr>
        <w:t>雷电</w:t>
      </w:r>
    </w:p>
    <w:p w14:paraId="6029475A">
      <w:pPr>
        <w:bidi w:val="0"/>
        <w:rPr>
          <w:rFonts w:hint="eastAsia"/>
        </w:rPr>
      </w:pPr>
      <w:r>
        <w:rPr>
          <w:rFonts w:hint="eastAsia"/>
        </w:rPr>
        <w:t>雷电可能触发烟花爆竹火灾爆炸事故，因而防雷设施的可靠性是烟花爆竹行业安全生产的重要因素之一。由于雷电的不确定性，易在防雷设施设置不到位的部位发生直击雷或感应雷雷击事故，引起火灾爆炸。因此烟花爆竹库房的防雷设计应严格按规范进行，选择可靠的避雷方式、接地电阻、安全间距等，仪有效防止直击雷与感应雷。</w:t>
      </w:r>
    </w:p>
    <w:p w14:paraId="49CFB739">
      <w:pPr>
        <w:bidi w:val="0"/>
      </w:pPr>
      <w:r>
        <w:rPr>
          <w:rFonts w:hint="eastAsia"/>
        </w:rPr>
        <w:t>2</w:t>
      </w:r>
      <w:r>
        <w:rPr>
          <w:rFonts w:hint="eastAsia"/>
          <w:lang w:eastAsia="zh-CN"/>
        </w:rPr>
        <w:t>）</w:t>
      </w:r>
      <w:r>
        <w:rPr>
          <w:rFonts w:hint="eastAsia"/>
        </w:rPr>
        <w:t>高温</w:t>
      </w:r>
    </w:p>
    <w:p w14:paraId="060D353B">
      <w:pPr>
        <w:bidi w:val="0"/>
        <w:rPr>
          <w:rFonts w:hint="eastAsia"/>
        </w:rPr>
      </w:pPr>
      <w:r>
        <w:rPr>
          <w:rFonts w:hint="eastAsia"/>
        </w:rPr>
        <w:t>高温容易引发火灾，特别是在高温、潮湿天气，储存的烟花爆竹内的遇湿发热物质能形成局部高温，可能引发火灾事故。该项目所在地区属温带大陆性气候，但存在夏季高温现象，当夏季环境温度过高时，库内温度升高易发生火灾事故。</w:t>
      </w:r>
    </w:p>
    <w:p w14:paraId="2159C6B9">
      <w:pPr>
        <w:bidi w:val="0"/>
        <w:rPr>
          <w:rFonts w:hint="eastAsia"/>
        </w:rPr>
      </w:pPr>
      <w:r>
        <w:rPr>
          <w:rFonts w:hint="eastAsia"/>
        </w:rPr>
        <w:t>3</w:t>
      </w:r>
      <w:r>
        <w:rPr>
          <w:rFonts w:hint="eastAsia"/>
          <w:lang w:eastAsia="zh-CN"/>
        </w:rPr>
        <w:t>）</w:t>
      </w:r>
      <w:r>
        <w:rPr>
          <w:rFonts w:hint="eastAsia"/>
        </w:rPr>
        <w:t>潮湿</w:t>
      </w:r>
    </w:p>
    <w:p w14:paraId="150FF35F">
      <w:pPr>
        <w:bidi w:val="0"/>
        <w:rPr>
          <w:rFonts w:hint="eastAsia"/>
        </w:rPr>
      </w:pPr>
      <w:r>
        <w:rPr>
          <w:rFonts w:hint="eastAsia"/>
        </w:rPr>
        <w:t>烟花爆竹产品内含有铝粉等物质，这些物质遇湿易产生氢气并放出热量，导致火灾事故。因此仓库必须要有防雨、防潮、防漏措施，防止仓库内存放的烟花爆竹遇潮湿发热，引发燃爆事故。</w:t>
      </w:r>
    </w:p>
    <w:p w14:paraId="28E683A7">
      <w:pPr>
        <w:pStyle w:val="4"/>
        <w:bidi w:val="0"/>
        <w:ind w:left="0" w:leftChars="0" w:firstLine="0" w:firstLineChars="0"/>
        <w:rPr>
          <w:rFonts w:hint="eastAsia"/>
        </w:rPr>
      </w:pPr>
      <w:bookmarkStart w:id="96" w:name="_Toc29332"/>
      <w:r>
        <w:rPr>
          <w:rFonts w:hint="eastAsia"/>
        </w:rPr>
        <w:t>3.</w:t>
      </w:r>
      <w:r>
        <w:rPr>
          <w:rFonts w:hint="eastAsia"/>
          <w:lang w:val="en-US" w:eastAsia="zh-CN"/>
        </w:rPr>
        <w:t>4</w:t>
      </w:r>
      <w:r>
        <w:rPr>
          <w:rFonts w:hint="eastAsia"/>
        </w:rPr>
        <w:t>.</w:t>
      </w:r>
      <w:r>
        <w:rPr>
          <w:rFonts w:hint="eastAsia"/>
          <w:lang w:val="en-US" w:eastAsia="zh-CN"/>
        </w:rPr>
        <w:t>2</w:t>
      </w:r>
      <w:r>
        <w:rPr>
          <w:rFonts w:hint="eastAsia"/>
        </w:rPr>
        <w:t xml:space="preserve"> 周边环境危险因素分析</w:t>
      </w:r>
      <w:bookmarkEnd w:id="96"/>
    </w:p>
    <w:p w14:paraId="35264FCC">
      <w:pPr>
        <w:bidi w:val="0"/>
        <w:rPr>
          <w:rFonts w:hint="eastAsia"/>
        </w:rPr>
      </w:pPr>
      <w:r>
        <w:rPr>
          <w:rFonts w:hint="eastAsia"/>
        </w:rPr>
        <w:t>库区内仓库与周边的居住区安全间距符合要求，库区周边活动人员主要是围墙外道路流动人员及少数车辆等，此外，无对库区造成危害的危险源。</w:t>
      </w:r>
    </w:p>
    <w:p w14:paraId="7F4D0DA4">
      <w:pPr>
        <w:pStyle w:val="3"/>
        <w:bidi w:val="0"/>
        <w:ind w:left="0" w:leftChars="0" w:firstLine="0" w:firstLineChars="0"/>
        <w:rPr>
          <w:rFonts w:hint="eastAsia"/>
        </w:rPr>
      </w:pPr>
      <w:bookmarkStart w:id="97" w:name="_Toc30606"/>
      <w:bookmarkStart w:id="98" w:name="_Toc17910"/>
      <w:r>
        <w:rPr>
          <w:rFonts w:hint="eastAsia"/>
        </w:rPr>
        <w:t>3.</w:t>
      </w:r>
      <w:r>
        <w:rPr>
          <w:rFonts w:hint="eastAsia"/>
          <w:lang w:val="en-US" w:eastAsia="zh-CN"/>
        </w:rPr>
        <w:t>5</w:t>
      </w:r>
      <w:r>
        <w:rPr>
          <w:rFonts w:hint="eastAsia"/>
        </w:rPr>
        <w:t xml:space="preserve"> 人员因素危险性分析</w:t>
      </w:r>
      <w:bookmarkEnd w:id="97"/>
      <w:bookmarkEnd w:id="98"/>
    </w:p>
    <w:p w14:paraId="247004A4">
      <w:pPr>
        <w:spacing w:line="360" w:lineRule="auto"/>
        <w:ind w:firstLine="606" w:firstLineChars="200"/>
        <w:rPr>
          <w:rFonts w:hint="eastAsia" w:ascii="宋体" w:hAnsi="宋体" w:cs="宋体"/>
          <w:bCs/>
          <w:sz w:val="28"/>
          <w:szCs w:val="28"/>
        </w:rPr>
      </w:pPr>
      <w:r>
        <w:rPr>
          <w:rFonts w:hint="eastAsia" w:ascii="宋体" w:hAnsi="宋体" w:cs="宋体"/>
          <w:bCs/>
          <w:sz w:val="28"/>
          <w:szCs w:val="28"/>
        </w:rPr>
        <w:t>作业人员是否遵章守纪及公司安全管理水平的高低是实现烟花爆竹仓库安全运行的主要因素之一，在日常生产中人的不安全行为及安全管理不规范是引发事故主要的危险有害因素。</w:t>
      </w:r>
    </w:p>
    <w:p w14:paraId="7576AC0F">
      <w:pPr>
        <w:spacing w:line="360" w:lineRule="auto"/>
        <w:ind w:firstLine="606" w:firstLineChars="200"/>
        <w:rPr>
          <w:rFonts w:hint="eastAsia" w:ascii="宋体" w:hAnsi="宋体" w:cs="宋体"/>
          <w:bCs/>
          <w:sz w:val="28"/>
          <w:szCs w:val="28"/>
        </w:rPr>
      </w:pPr>
      <w:r>
        <w:rPr>
          <w:rFonts w:hint="eastAsia" w:ascii="宋体" w:hAnsi="宋体" w:cs="宋体"/>
          <w:bCs/>
          <w:sz w:val="28"/>
          <w:szCs w:val="28"/>
        </w:rPr>
        <w:t>人的不安全行为主要表现有：</w:t>
      </w:r>
    </w:p>
    <w:p w14:paraId="0706CDED">
      <w:pPr>
        <w:spacing w:line="360" w:lineRule="auto"/>
        <w:ind w:firstLine="606" w:firstLineChars="200"/>
        <w:rPr>
          <w:rFonts w:hint="eastAsia" w:ascii="宋体" w:hAnsi="宋体" w:cs="宋体"/>
          <w:bCs/>
          <w:sz w:val="28"/>
          <w:szCs w:val="28"/>
        </w:rPr>
      </w:pPr>
      <w:r>
        <w:rPr>
          <w:rFonts w:hint="eastAsia" w:ascii="宋体" w:hAnsi="宋体" w:cs="宋体"/>
          <w:bCs/>
          <w:sz w:val="28"/>
          <w:szCs w:val="28"/>
        </w:rPr>
        <w:t>1</w:t>
      </w:r>
      <w:r>
        <w:rPr>
          <w:rFonts w:hint="eastAsia" w:ascii="宋体" w:hAnsi="宋体" w:cs="宋体"/>
          <w:bCs/>
          <w:sz w:val="28"/>
          <w:szCs w:val="28"/>
          <w:lang w:eastAsia="zh-CN"/>
        </w:rPr>
        <w:t>）</w:t>
      </w:r>
      <w:r>
        <w:rPr>
          <w:rFonts w:hint="eastAsia" w:ascii="宋体" w:hAnsi="宋体" w:cs="宋体"/>
          <w:bCs/>
          <w:sz w:val="28"/>
          <w:szCs w:val="28"/>
        </w:rPr>
        <w:t>违章使用明火，违章携带手机等易发生静电和火花的工具进入库区。</w:t>
      </w:r>
    </w:p>
    <w:p w14:paraId="5E20DDE1">
      <w:pPr>
        <w:spacing w:line="360" w:lineRule="auto"/>
        <w:ind w:firstLine="606" w:firstLineChars="200"/>
        <w:rPr>
          <w:rFonts w:hint="eastAsia" w:ascii="宋体" w:hAnsi="宋体" w:cs="宋体"/>
          <w:bCs/>
          <w:sz w:val="28"/>
          <w:szCs w:val="28"/>
        </w:rPr>
      </w:pPr>
      <w:r>
        <w:rPr>
          <w:rFonts w:hint="eastAsia" w:ascii="宋体" w:hAnsi="宋体" w:cs="宋体"/>
          <w:bCs/>
          <w:sz w:val="28"/>
          <w:szCs w:val="28"/>
        </w:rPr>
        <w:t>2</w:t>
      </w:r>
      <w:r>
        <w:rPr>
          <w:rFonts w:hint="eastAsia" w:ascii="宋体" w:hAnsi="宋体" w:cs="宋体"/>
          <w:bCs/>
          <w:sz w:val="28"/>
          <w:szCs w:val="28"/>
          <w:lang w:eastAsia="zh-CN"/>
        </w:rPr>
        <w:t>）</w:t>
      </w:r>
      <w:r>
        <w:rPr>
          <w:rFonts w:hint="eastAsia" w:ascii="宋体" w:hAnsi="宋体" w:cs="宋体"/>
          <w:bCs/>
          <w:sz w:val="28"/>
          <w:szCs w:val="28"/>
        </w:rPr>
        <w:t>进入仓库的人员穿戴不防静电的衣物和钉底鞋。据测量，一个普通男子站在绝缘地板上脱化纤毛衣时，人体静电电位可达8200伏，起电量为0.95微库，积累的静电能力为3.9毫焦。这个能量比黑火药的最小静电点火能0.19毫焦大20倍。如果发生静电放电火花，就会引起爆炸事故。穿硬底、钉底鞋时，散落在地上的烟火药能被行走时的摩擦力引燃起爆。</w:t>
      </w:r>
    </w:p>
    <w:p w14:paraId="331D1761">
      <w:pPr>
        <w:spacing w:line="360" w:lineRule="auto"/>
        <w:ind w:firstLine="606" w:firstLineChars="200"/>
        <w:rPr>
          <w:rFonts w:hint="eastAsia" w:ascii="宋体" w:hAnsi="宋体" w:cs="宋体"/>
          <w:bCs/>
          <w:sz w:val="28"/>
          <w:szCs w:val="28"/>
        </w:rPr>
      </w:pPr>
      <w:r>
        <w:rPr>
          <w:rFonts w:hint="eastAsia" w:ascii="宋体" w:hAnsi="宋体" w:cs="宋体"/>
          <w:bCs/>
          <w:sz w:val="28"/>
          <w:szCs w:val="28"/>
        </w:rPr>
        <w:t>3</w:t>
      </w:r>
      <w:r>
        <w:rPr>
          <w:rFonts w:hint="eastAsia" w:ascii="宋体" w:hAnsi="宋体" w:cs="宋体"/>
          <w:bCs/>
          <w:sz w:val="28"/>
          <w:szCs w:val="28"/>
          <w:lang w:eastAsia="zh-CN"/>
        </w:rPr>
        <w:t>）</w:t>
      </w:r>
      <w:r>
        <w:rPr>
          <w:rFonts w:hint="eastAsia" w:ascii="宋体" w:hAnsi="宋体" w:cs="宋体"/>
          <w:bCs/>
          <w:sz w:val="28"/>
          <w:szCs w:val="28"/>
        </w:rPr>
        <w:t>操作不规范：</w:t>
      </w:r>
    </w:p>
    <w:p w14:paraId="4347C43E">
      <w:pPr>
        <w:spacing w:line="360" w:lineRule="auto"/>
        <w:ind w:firstLine="606" w:firstLineChars="200"/>
        <w:rPr>
          <w:rFonts w:hint="eastAsia" w:ascii="宋体" w:hAnsi="宋体" w:cs="宋体"/>
          <w:bCs/>
          <w:sz w:val="28"/>
          <w:szCs w:val="28"/>
        </w:rPr>
      </w:pPr>
      <w:r>
        <w:rPr>
          <w:rFonts w:hint="eastAsia" w:ascii="宋体" w:hAnsi="宋体" w:cs="宋体"/>
          <w:bCs/>
          <w:sz w:val="28"/>
          <w:szCs w:val="28"/>
        </w:rPr>
        <w:t>违规使用铁制工具。铁器冲击、碰撞时产生火花，可引爆烟火药。</w:t>
      </w:r>
    </w:p>
    <w:p w14:paraId="53B10A9C">
      <w:pPr>
        <w:spacing w:line="360" w:lineRule="auto"/>
        <w:ind w:firstLine="606" w:firstLineChars="200"/>
        <w:rPr>
          <w:rFonts w:hint="eastAsia" w:ascii="宋体" w:hAnsi="宋体" w:cs="宋体"/>
          <w:bCs/>
          <w:sz w:val="28"/>
          <w:szCs w:val="28"/>
        </w:rPr>
      </w:pPr>
      <w:r>
        <w:rPr>
          <w:rFonts w:hint="eastAsia" w:ascii="宋体" w:hAnsi="宋体" w:cs="宋体"/>
          <w:bCs/>
          <w:sz w:val="28"/>
          <w:szCs w:val="28"/>
        </w:rPr>
        <w:t>错误操作，忽视安全，忽视警告。装卸作业中，碰撞、拖拉、翻滚、倒置以及剧烈振动等，都可引起火灾爆炸事故。</w:t>
      </w:r>
    </w:p>
    <w:p w14:paraId="70E95B3D">
      <w:pPr>
        <w:spacing w:line="360" w:lineRule="auto"/>
        <w:ind w:firstLine="606" w:firstLineChars="200"/>
        <w:rPr>
          <w:rFonts w:ascii="宋体" w:hAnsi="宋体" w:cs="宋体"/>
          <w:bCs/>
          <w:sz w:val="28"/>
          <w:szCs w:val="28"/>
        </w:rPr>
      </w:pPr>
      <w:r>
        <w:rPr>
          <w:rFonts w:hint="eastAsia" w:ascii="宋体" w:hAnsi="宋体" w:cs="宋体"/>
          <w:bCs/>
          <w:sz w:val="28"/>
          <w:szCs w:val="28"/>
        </w:rPr>
        <w:t>操作、搬运过程中堆垛过高、过密造成倒塌。</w:t>
      </w:r>
    </w:p>
    <w:p w14:paraId="711EAD6E">
      <w:pPr>
        <w:spacing w:line="360" w:lineRule="auto"/>
        <w:ind w:firstLine="606" w:firstLineChars="200"/>
        <w:rPr>
          <w:rFonts w:hint="eastAsia" w:ascii="宋体" w:hAnsi="宋体" w:cs="宋体"/>
          <w:bCs/>
          <w:sz w:val="28"/>
          <w:szCs w:val="28"/>
        </w:rPr>
      </w:pPr>
      <w:r>
        <w:rPr>
          <w:rFonts w:hint="eastAsia" w:ascii="宋体" w:hAnsi="宋体" w:cs="宋体"/>
          <w:bCs/>
          <w:sz w:val="28"/>
          <w:szCs w:val="28"/>
        </w:rPr>
        <w:t>4</w:t>
      </w:r>
      <w:r>
        <w:rPr>
          <w:rFonts w:hint="eastAsia" w:ascii="宋体" w:hAnsi="宋体" w:cs="宋体"/>
          <w:bCs/>
          <w:sz w:val="28"/>
          <w:szCs w:val="28"/>
          <w:lang w:eastAsia="zh-CN"/>
        </w:rPr>
        <w:t>）</w:t>
      </w:r>
      <w:r>
        <w:rPr>
          <w:rFonts w:hint="eastAsia" w:ascii="宋体" w:hAnsi="宋体" w:cs="宋体"/>
          <w:bCs/>
          <w:sz w:val="28"/>
          <w:szCs w:val="28"/>
        </w:rPr>
        <w:t>库房内人员集中，限制库房内的人员是为了限制发生爆炸事故时造成大量的人员伤亡。</w:t>
      </w:r>
    </w:p>
    <w:p w14:paraId="5445E49F">
      <w:pPr>
        <w:spacing w:line="360" w:lineRule="auto"/>
        <w:ind w:firstLine="606" w:firstLineChars="200"/>
        <w:rPr>
          <w:rFonts w:hint="eastAsia" w:ascii="宋体" w:hAnsi="宋体" w:cs="宋体"/>
          <w:bCs/>
          <w:sz w:val="28"/>
          <w:szCs w:val="28"/>
        </w:rPr>
      </w:pPr>
      <w:r>
        <w:rPr>
          <w:rFonts w:hint="eastAsia" w:ascii="宋体" w:hAnsi="宋体" w:cs="宋体"/>
          <w:bCs/>
          <w:sz w:val="28"/>
          <w:szCs w:val="28"/>
        </w:rPr>
        <w:t>5</w:t>
      </w:r>
      <w:r>
        <w:rPr>
          <w:rFonts w:hint="eastAsia" w:ascii="宋体" w:hAnsi="宋体" w:cs="宋体"/>
          <w:bCs/>
          <w:sz w:val="28"/>
          <w:szCs w:val="28"/>
          <w:lang w:eastAsia="zh-CN"/>
        </w:rPr>
        <w:t>）</w:t>
      </w:r>
      <w:r>
        <w:rPr>
          <w:rFonts w:hint="eastAsia" w:ascii="宋体" w:hAnsi="宋体" w:cs="宋体"/>
          <w:bCs/>
          <w:sz w:val="28"/>
          <w:szCs w:val="28"/>
        </w:rPr>
        <w:t>使用不安全设备，人为造成安全装置失效。</w:t>
      </w:r>
    </w:p>
    <w:p w14:paraId="727D2C8D">
      <w:pPr>
        <w:spacing w:line="360" w:lineRule="auto"/>
        <w:ind w:firstLine="606" w:firstLineChars="200"/>
        <w:rPr>
          <w:rFonts w:hint="eastAsia" w:ascii="宋体" w:hAnsi="宋体" w:cs="宋体"/>
          <w:bCs/>
          <w:sz w:val="28"/>
          <w:szCs w:val="28"/>
        </w:rPr>
      </w:pPr>
      <w:r>
        <w:rPr>
          <w:rFonts w:hint="eastAsia" w:ascii="宋体" w:hAnsi="宋体" w:cs="宋体"/>
          <w:bCs/>
          <w:sz w:val="28"/>
          <w:szCs w:val="28"/>
        </w:rPr>
        <w:t>6</w:t>
      </w:r>
      <w:r>
        <w:rPr>
          <w:rFonts w:hint="eastAsia" w:ascii="宋体" w:hAnsi="宋体" w:cs="宋体"/>
          <w:bCs/>
          <w:sz w:val="28"/>
          <w:szCs w:val="28"/>
          <w:lang w:eastAsia="zh-CN"/>
        </w:rPr>
        <w:t>）</w:t>
      </w:r>
      <w:r>
        <w:rPr>
          <w:rFonts w:hint="eastAsia" w:ascii="宋体" w:hAnsi="宋体" w:cs="宋体"/>
          <w:bCs/>
          <w:sz w:val="28"/>
          <w:szCs w:val="28"/>
        </w:rPr>
        <w:t>安全管理不规范主要表现在：</w:t>
      </w:r>
    </w:p>
    <w:p w14:paraId="14FF87B1">
      <w:pPr>
        <w:spacing w:line="360" w:lineRule="auto"/>
        <w:ind w:firstLine="606" w:firstLineChars="200"/>
        <w:rPr>
          <w:rFonts w:hint="eastAsia" w:ascii="宋体" w:hAnsi="宋体" w:cs="宋体"/>
          <w:bCs/>
          <w:sz w:val="28"/>
          <w:szCs w:val="28"/>
        </w:rPr>
      </w:pPr>
      <w:r>
        <w:rPr>
          <w:rFonts w:hint="eastAsia" w:ascii="宋体" w:hAnsi="宋体" w:cs="宋体"/>
          <w:bCs/>
          <w:sz w:val="28"/>
          <w:szCs w:val="28"/>
          <w:lang w:eastAsia="zh-CN"/>
        </w:rPr>
        <w:t>（</w:t>
      </w:r>
      <w:r>
        <w:rPr>
          <w:rFonts w:hint="eastAsia" w:ascii="宋体" w:hAnsi="宋体" w:cs="宋体"/>
          <w:bCs/>
          <w:sz w:val="28"/>
          <w:szCs w:val="28"/>
        </w:rPr>
        <w:t>1</w:t>
      </w:r>
      <w:r>
        <w:rPr>
          <w:rFonts w:hint="eastAsia" w:ascii="宋体" w:hAnsi="宋体" w:cs="宋体"/>
          <w:bCs/>
          <w:sz w:val="28"/>
          <w:szCs w:val="28"/>
          <w:lang w:eastAsia="zh-CN"/>
        </w:rPr>
        <w:t>）</w:t>
      </w:r>
      <w:r>
        <w:rPr>
          <w:rFonts w:hint="eastAsia" w:ascii="宋体" w:hAnsi="宋体" w:cs="宋体"/>
          <w:bCs/>
          <w:sz w:val="28"/>
          <w:szCs w:val="28"/>
        </w:rPr>
        <w:t>公司对员工的教育培训不够，未经培训、缺乏或不懂安全操作技术知识。</w:t>
      </w:r>
    </w:p>
    <w:p w14:paraId="436CD30A">
      <w:pPr>
        <w:spacing w:line="360" w:lineRule="auto"/>
        <w:ind w:firstLine="606" w:firstLineChars="200"/>
        <w:rPr>
          <w:rFonts w:hint="eastAsia" w:ascii="宋体" w:hAnsi="宋体" w:cs="宋体"/>
          <w:bCs/>
          <w:sz w:val="28"/>
          <w:szCs w:val="28"/>
        </w:rPr>
      </w:pPr>
      <w:r>
        <w:rPr>
          <w:rFonts w:hint="eastAsia" w:ascii="宋体" w:hAnsi="宋体" w:cs="宋体"/>
          <w:bCs/>
          <w:sz w:val="28"/>
          <w:szCs w:val="28"/>
          <w:lang w:eastAsia="zh-CN"/>
        </w:rPr>
        <w:t>（</w:t>
      </w:r>
      <w:r>
        <w:rPr>
          <w:rFonts w:hint="eastAsia" w:ascii="宋体" w:hAnsi="宋体" w:cs="宋体"/>
          <w:bCs/>
          <w:sz w:val="28"/>
          <w:szCs w:val="28"/>
        </w:rPr>
        <w:t>2</w:t>
      </w:r>
      <w:r>
        <w:rPr>
          <w:rFonts w:hint="eastAsia" w:ascii="宋体" w:hAnsi="宋体" w:cs="宋体"/>
          <w:bCs/>
          <w:sz w:val="28"/>
          <w:szCs w:val="28"/>
          <w:lang w:eastAsia="zh-CN"/>
        </w:rPr>
        <w:t>）</w:t>
      </w:r>
      <w:r>
        <w:rPr>
          <w:rFonts w:hint="eastAsia" w:ascii="宋体" w:hAnsi="宋体" w:cs="宋体"/>
          <w:bCs/>
          <w:sz w:val="28"/>
          <w:szCs w:val="28"/>
        </w:rPr>
        <w:t>劳动组织不合理，对现场作业缺乏指导、检查或指导错误。</w:t>
      </w:r>
    </w:p>
    <w:p w14:paraId="51AC5617">
      <w:pPr>
        <w:spacing w:line="360" w:lineRule="auto"/>
        <w:ind w:firstLine="606" w:firstLineChars="200"/>
        <w:rPr>
          <w:rFonts w:ascii="宋体" w:hAnsi="宋体" w:cs="宋体"/>
          <w:bCs/>
          <w:sz w:val="28"/>
          <w:szCs w:val="28"/>
        </w:rPr>
      </w:pPr>
      <w:r>
        <w:rPr>
          <w:rFonts w:hint="eastAsia" w:ascii="宋体" w:hAnsi="宋体" w:cs="宋体"/>
          <w:bCs/>
          <w:sz w:val="28"/>
          <w:szCs w:val="28"/>
          <w:lang w:eastAsia="zh-CN"/>
        </w:rPr>
        <w:t>（</w:t>
      </w:r>
      <w:r>
        <w:rPr>
          <w:rFonts w:hint="eastAsia" w:ascii="宋体" w:hAnsi="宋体" w:cs="宋体"/>
          <w:bCs/>
          <w:sz w:val="28"/>
          <w:szCs w:val="28"/>
        </w:rPr>
        <w:t>3</w:t>
      </w:r>
      <w:r>
        <w:rPr>
          <w:rFonts w:hint="eastAsia" w:ascii="宋体" w:hAnsi="宋体" w:cs="宋体"/>
          <w:bCs/>
          <w:sz w:val="28"/>
          <w:szCs w:val="28"/>
          <w:lang w:eastAsia="zh-CN"/>
        </w:rPr>
        <w:t>）</w:t>
      </w:r>
      <w:r>
        <w:rPr>
          <w:rFonts w:hint="eastAsia" w:ascii="宋体" w:hAnsi="宋体" w:cs="宋体"/>
          <w:bCs/>
          <w:sz w:val="28"/>
          <w:szCs w:val="28"/>
        </w:rPr>
        <w:t>没有或不认真执行实施事故防范措施，存在侥幸心理，对事故隐患整改不力。</w:t>
      </w:r>
    </w:p>
    <w:p w14:paraId="44ECD3ED">
      <w:pPr>
        <w:pStyle w:val="3"/>
        <w:bidi w:val="0"/>
        <w:ind w:left="0" w:leftChars="0" w:firstLine="0" w:firstLineChars="0"/>
        <w:rPr>
          <w:rFonts w:hint="eastAsia"/>
        </w:rPr>
      </w:pPr>
      <w:bookmarkStart w:id="99" w:name="_Toc7423"/>
      <w:bookmarkStart w:id="100" w:name="_Toc17925"/>
      <w:r>
        <w:rPr>
          <w:rFonts w:hint="eastAsia"/>
        </w:rPr>
        <w:t>3.</w:t>
      </w:r>
      <w:r>
        <w:rPr>
          <w:rFonts w:hint="eastAsia"/>
          <w:lang w:val="en-US" w:eastAsia="zh-CN"/>
        </w:rPr>
        <w:t>6</w:t>
      </w:r>
      <w:r>
        <w:rPr>
          <w:rFonts w:hint="eastAsia"/>
        </w:rPr>
        <w:t>烟花爆竹重大危险源辨识</w:t>
      </w:r>
      <w:bookmarkEnd w:id="99"/>
      <w:bookmarkEnd w:id="100"/>
    </w:p>
    <w:p w14:paraId="23DB806E">
      <w:pPr>
        <w:bidi w:val="0"/>
        <w:rPr>
          <w:rFonts w:hint="eastAsia" w:ascii="宋体" w:hAnsi="宋体" w:cs="宋体"/>
          <w:bCs/>
          <w:szCs w:val="28"/>
        </w:rPr>
      </w:pPr>
      <w:r>
        <w:rPr>
          <w:rFonts w:hint="eastAsia"/>
        </w:rPr>
        <w:t>本项目以《烟花爆竹重大危险源辨识》（AQ4131-2023）为依据对该企业储存仓库进行烟花爆竹重大危险源辨识。</w:t>
      </w:r>
    </w:p>
    <w:p w14:paraId="4B208E19">
      <w:pPr>
        <w:pStyle w:val="4"/>
        <w:bidi w:val="0"/>
        <w:ind w:left="0" w:leftChars="0" w:firstLine="0" w:firstLineChars="0"/>
        <w:rPr>
          <w:rFonts w:hint="eastAsia"/>
        </w:rPr>
      </w:pPr>
      <w:bookmarkStart w:id="101" w:name="_Toc14756"/>
      <w:r>
        <w:rPr>
          <w:rFonts w:hint="eastAsia"/>
        </w:rPr>
        <w:t>3.</w:t>
      </w:r>
      <w:r>
        <w:rPr>
          <w:rFonts w:hint="eastAsia"/>
          <w:lang w:val="en-US" w:eastAsia="zh-CN"/>
        </w:rPr>
        <w:t>6</w:t>
      </w:r>
      <w:r>
        <w:rPr>
          <w:rFonts w:hint="eastAsia"/>
        </w:rPr>
        <w:t>.1烟花爆竹重大危险源定义</w:t>
      </w:r>
      <w:bookmarkEnd w:id="101"/>
    </w:p>
    <w:p w14:paraId="78C6C77F">
      <w:pPr>
        <w:spacing w:line="360" w:lineRule="auto"/>
        <w:ind w:firstLine="606" w:firstLineChars="200"/>
        <w:rPr>
          <w:rFonts w:hint="eastAsia" w:ascii="宋体" w:hAnsi="宋体" w:cs="宋体"/>
          <w:bCs/>
          <w:sz w:val="28"/>
          <w:szCs w:val="28"/>
        </w:rPr>
      </w:pPr>
      <w:r>
        <w:rPr>
          <w:rFonts w:hint="eastAsia" w:ascii="宋体" w:hAnsi="宋体" w:cs="宋体"/>
          <w:bCs/>
          <w:sz w:val="28"/>
          <w:szCs w:val="28"/>
        </w:rPr>
        <w:t>长期地或临时地生产、使用、储存烟花爆竹成品、半成品及生产烟花爆竹用化工原材料、烟火药（含黑火药、单基火药）、引火线等危险品，且危险品数量等于或超过临界量的单元。其中的单元是涉及危险品生产、储存的装置、设施或场所，分为生产单元和储存单元。</w:t>
      </w:r>
    </w:p>
    <w:p w14:paraId="3B57DCC5">
      <w:pPr>
        <w:spacing w:line="360" w:lineRule="auto"/>
        <w:ind w:firstLine="606" w:firstLineChars="200"/>
        <w:rPr>
          <w:rFonts w:hint="eastAsia" w:ascii="宋体" w:hAnsi="宋体" w:cs="宋体"/>
          <w:bCs/>
          <w:sz w:val="28"/>
          <w:szCs w:val="28"/>
        </w:rPr>
      </w:pPr>
      <w:r>
        <w:rPr>
          <w:rFonts w:hint="eastAsia" w:ascii="宋体" w:hAnsi="宋体" w:cs="宋体"/>
          <w:bCs/>
          <w:sz w:val="28"/>
          <w:szCs w:val="28"/>
        </w:rPr>
        <w:t>生产单元是指危险品生产区，每栋工房、中转库或每个晾晒场划分为一个生产单元；当工房、中转库或晾晒场之间通过管道、传送带、转动装置等相连时，相连的所有工房、中转库或晾晒场划分为一个生产单元。</w:t>
      </w:r>
    </w:p>
    <w:p w14:paraId="790EE35E">
      <w:pPr>
        <w:spacing w:line="360" w:lineRule="auto"/>
        <w:ind w:firstLine="606" w:firstLineChars="200"/>
        <w:rPr>
          <w:rFonts w:hint="eastAsia" w:ascii="宋体" w:hAnsi="宋体" w:cs="宋体"/>
          <w:bCs/>
          <w:sz w:val="28"/>
          <w:szCs w:val="28"/>
        </w:rPr>
      </w:pPr>
      <w:r>
        <w:rPr>
          <w:rFonts w:hint="eastAsia" w:ascii="宋体" w:hAnsi="宋体" w:cs="宋体"/>
          <w:bCs/>
          <w:sz w:val="28"/>
          <w:szCs w:val="28"/>
        </w:rPr>
        <w:t>储存单元是指危险品仓库区，每个库区内所有的烟火药(含黑火药,单基火药)、引火线、硝化纤维素仓库划分为一个储存单元；每栋独立的烟花爆竹成品和半成品仓库划分为一个储存单元。</w:t>
      </w:r>
    </w:p>
    <w:p w14:paraId="0CD56D73">
      <w:pPr>
        <w:spacing w:line="360" w:lineRule="auto"/>
        <w:ind w:firstLine="606" w:firstLineChars="200"/>
        <w:rPr>
          <w:rFonts w:hint="eastAsia" w:ascii="宋体" w:hAnsi="宋体" w:cs="宋体"/>
          <w:bCs/>
          <w:sz w:val="28"/>
          <w:szCs w:val="28"/>
        </w:rPr>
      </w:pPr>
      <w:r>
        <w:rPr>
          <w:rFonts w:hint="eastAsia" w:ascii="宋体" w:hAnsi="宋体" w:cs="宋体"/>
          <w:bCs/>
          <w:sz w:val="28"/>
          <w:szCs w:val="28"/>
        </w:rPr>
        <w:t>按式（1）计算单元的重大危险源辨识指标</w:t>
      </w:r>
    </w:p>
    <w:p w14:paraId="10589E49">
      <w:pPr>
        <w:spacing w:line="360" w:lineRule="auto"/>
        <w:ind w:firstLine="606" w:firstLineChars="200"/>
        <w:rPr>
          <w:rFonts w:hint="eastAsia" w:ascii="宋体" w:hAnsi="宋体" w:cs="宋体"/>
          <w:bCs/>
          <w:sz w:val="28"/>
          <w:szCs w:val="28"/>
        </w:rPr>
      </w:pPr>
      <w:r>
        <w:rPr>
          <w:rFonts w:hint="eastAsia" w:ascii="宋体" w:hAnsi="宋体" w:cs="宋体"/>
          <w:bCs/>
          <w:sz w:val="28"/>
          <w:szCs w:val="28"/>
        </w:rPr>
        <w:t>S=q</w:t>
      </w:r>
      <w:r>
        <w:rPr>
          <w:rFonts w:hint="eastAsia" w:ascii="宋体" w:hAnsi="宋体" w:cs="宋体"/>
          <w:bCs/>
          <w:sz w:val="28"/>
          <w:szCs w:val="28"/>
          <w:vertAlign w:val="subscript"/>
        </w:rPr>
        <w:t>1</w:t>
      </w:r>
      <w:r>
        <w:rPr>
          <w:rFonts w:hint="eastAsia" w:ascii="宋体" w:hAnsi="宋体" w:cs="宋体"/>
          <w:bCs/>
          <w:sz w:val="28"/>
          <w:szCs w:val="28"/>
        </w:rPr>
        <w:t>/Q</w:t>
      </w:r>
      <w:r>
        <w:rPr>
          <w:rFonts w:hint="eastAsia" w:ascii="宋体" w:hAnsi="宋体" w:cs="宋体"/>
          <w:bCs/>
          <w:sz w:val="28"/>
          <w:szCs w:val="28"/>
          <w:vertAlign w:val="subscript"/>
        </w:rPr>
        <w:t>1</w:t>
      </w:r>
      <w:r>
        <w:rPr>
          <w:rFonts w:hint="eastAsia" w:ascii="宋体" w:hAnsi="宋体" w:cs="宋体"/>
          <w:bCs/>
          <w:sz w:val="28"/>
          <w:szCs w:val="28"/>
        </w:rPr>
        <w:t>＋q</w:t>
      </w:r>
      <w:r>
        <w:rPr>
          <w:rFonts w:hint="eastAsia" w:ascii="宋体" w:hAnsi="宋体" w:cs="宋体"/>
          <w:bCs/>
          <w:sz w:val="28"/>
          <w:szCs w:val="28"/>
          <w:vertAlign w:val="subscript"/>
        </w:rPr>
        <w:t>2</w:t>
      </w:r>
      <w:r>
        <w:rPr>
          <w:rFonts w:hint="eastAsia" w:ascii="宋体" w:hAnsi="宋体" w:cs="宋体"/>
          <w:bCs/>
          <w:sz w:val="28"/>
          <w:szCs w:val="28"/>
        </w:rPr>
        <w:t>/Q</w:t>
      </w:r>
      <w:r>
        <w:rPr>
          <w:rFonts w:hint="eastAsia" w:ascii="宋体" w:hAnsi="宋体" w:cs="宋体"/>
          <w:bCs/>
          <w:sz w:val="28"/>
          <w:szCs w:val="28"/>
          <w:vertAlign w:val="subscript"/>
        </w:rPr>
        <w:t>2</w:t>
      </w:r>
      <w:r>
        <w:rPr>
          <w:rFonts w:hint="eastAsia" w:ascii="宋体" w:hAnsi="宋体" w:cs="宋体"/>
          <w:bCs/>
          <w:sz w:val="28"/>
          <w:szCs w:val="28"/>
        </w:rPr>
        <w:t>…＋q</w:t>
      </w:r>
      <w:r>
        <w:rPr>
          <w:rFonts w:hint="eastAsia" w:ascii="宋体" w:hAnsi="宋体" w:cs="宋体"/>
          <w:bCs/>
          <w:sz w:val="28"/>
          <w:szCs w:val="28"/>
          <w:vertAlign w:val="subscript"/>
        </w:rPr>
        <w:t>n</w:t>
      </w:r>
      <w:r>
        <w:rPr>
          <w:rFonts w:hint="eastAsia" w:ascii="宋体" w:hAnsi="宋体" w:cs="宋体"/>
          <w:bCs/>
          <w:sz w:val="28"/>
          <w:szCs w:val="28"/>
        </w:rPr>
        <w:t>/Q</w:t>
      </w:r>
      <w:r>
        <w:rPr>
          <w:rFonts w:hint="eastAsia" w:ascii="宋体" w:hAnsi="宋体" w:cs="宋体"/>
          <w:bCs/>
          <w:sz w:val="28"/>
          <w:szCs w:val="28"/>
          <w:vertAlign w:val="subscript"/>
        </w:rPr>
        <w:t>n</w:t>
      </w:r>
      <w:r>
        <w:rPr>
          <w:rFonts w:hint="eastAsia" w:ascii="宋体" w:hAnsi="宋体" w:cs="宋体"/>
          <w:bCs/>
          <w:sz w:val="28"/>
          <w:szCs w:val="28"/>
        </w:rPr>
        <w:t xml:space="preserve"> ……………………………（1）</w:t>
      </w:r>
    </w:p>
    <w:p w14:paraId="23DC5F81">
      <w:pPr>
        <w:spacing w:line="360" w:lineRule="auto"/>
        <w:ind w:firstLine="606" w:firstLineChars="200"/>
        <w:rPr>
          <w:rFonts w:hint="eastAsia" w:ascii="宋体" w:hAnsi="宋体" w:cs="宋体"/>
          <w:bCs/>
          <w:sz w:val="28"/>
          <w:szCs w:val="28"/>
        </w:rPr>
      </w:pPr>
      <w:r>
        <w:rPr>
          <w:rFonts w:hint="eastAsia" w:ascii="宋体" w:hAnsi="宋体" w:cs="宋体"/>
          <w:bCs/>
          <w:sz w:val="28"/>
          <w:szCs w:val="28"/>
        </w:rPr>
        <w:t>式中：</w:t>
      </w:r>
    </w:p>
    <w:p w14:paraId="334C1CE5">
      <w:pPr>
        <w:bidi w:val="0"/>
      </w:pPr>
      <w:r>
        <w:rPr>
          <w:rFonts w:hint="eastAsia"/>
        </w:rPr>
        <w:t>S——重大危险源辨识指标；</w:t>
      </w:r>
    </w:p>
    <w:p w14:paraId="06EB1110">
      <w:pPr>
        <w:bidi w:val="0"/>
        <w:rPr>
          <w:rFonts w:hint="eastAsia"/>
        </w:rPr>
      </w:pPr>
      <w:r>
        <w:rPr>
          <w:rFonts w:hint="eastAsia"/>
        </w:rPr>
        <w:t>q1，q2，…，qn——各种危险品的设计存放量，单位为吨（t）；</w:t>
      </w:r>
    </w:p>
    <w:p w14:paraId="3810A37A">
      <w:pPr>
        <w:bidi w:val="0"/>
        <w:rPr>
          <w:rFonts w:hint="eastAsia"/>
        </w:rPr>
      </w:pPr>
      <w:r>
        <w:rPr>
          <w:rFonts w:hint="eastAsia"/>
        </w:rPr>
        <w:t>Q1，Q2，…，Qn——各种危险品对应的临界量，单位为吨（t）。</w:t>
      </w:r>
    </w:p>
    <w:p w14:paraId="14A7A525">
      <w:pPr>
        <w:bidi w:val="0"/>
      </w:pPr>
      <w:r>
        <w:rPr>
          <w:rFonts w:hint="eastAsia"/>
        </w:rPr>
        <w:t>当单元的S≥1时，则该单元判定为重大危险源。</w:t>
      </w:r>
    </w:p>
    <w:p w14:paraId="75D4E076">
      <w:pPr>
        <w:pStyle w:val="4"/>
        <w:bidi w:val="0"/>
        <w:ind w:left="0" w:leftChars="0" w:firstLine="0" w:firstLineChars="0"/>
        <w:rPr>
          <w:rFonts w:hint="eastAsia"/>
        </w:rPr>
      </w:pPr>
      <w:bookmarkStart w:id="102" w:name="_Toc7181"/>
      <w:r>
        <w:rPr>
          <w:rFonts w:hint="eastAsia"/>
        </w:rPr>
        <w:t>3.</w:t>
      </w:r>
      <w:r>
        <w:rPr>
          <w:rFonts w:hint="eastAsia"/>
          <w:lang w:val="en-US" w:eastAsia="zh-CN"/>
        </w:rPr>
        <w:t>6</w:t>
      </w:r>
      <w:r>
        <w:rPr>
          <w:rFonts w:hint="eastAsia"/>
        </w:rPr>
        <w:t>.2烟花爆竹重大危险源临界量</w:t>
      </w:r>
      <w:bookmarkEnd w:id="102"/>
    </w:p>
    <w:p w14:paraId="1682E654">
      <w:pPr>
        <w:bidi w:val="0"/>
        <w:rPr>
          <w:rFonts w:hint="eastAsia"/>
        </w:rPr>
      </w:pPr>
      <w:r>
        <w:rPr>
          <w:rFonts w:hint="eastAsia"/>
        </w:rPr>
        <w:t>根据《烟花爆竹重大危险源辨识》AQ4131-2023，烟花爆竹成品重大危险源临界量如下表3.3-1所示。</w:t>
      </w:r>
    </w:p>
    <w:p w14:paraId="5C3F6058">
      <w:pPr>
        <w:ind w:left="0" w:leftChars="0" w:firstLine="0" w:firstLineChars="0"/>
        <w:jc w:val="center"/>
        <w:rPr>
          <w:rFonts w:ascii="宋体" w:hAnsi="宋体" w:cs="宋体"/>
          <w:bCs/>
          <w:sz w:val="28"/>
          <w:szCs w:val="28"/>
        </w:rPr>
      </w:pPr>
      <w:r>
        <w:rPr>
          <w:rFonts w:hint="eastAsia" w:ascii="宋体" w:hAnsi="宋体" w:cs="宋体"/>
          <w:bCs/>
          <w:sz w:val="28"/>
          <w:szCs w:val="28"/>
        </w:rPr>
        <w:t>表3.</w:t>
      </w:r>
      <w:r>
        <w:rPr>
          <w:rFonts w:hint="eastAsia" w:ascii="宋体" w:hAnsi="宋体" w:cs="宋体"/>
          <w:bCs/>
          <w:sz w:val="28"/>
          <w:szCs w:val="28"/>
          <w:lang w:val="en-US" w:eastAsia="zh-CN"/>
        </w:rPr>
        <w:t>6</w:t>
      </w:r>
      <w:r>
        <w:rPr>
          <w:rFonts w:hint="eastAsia" w:ascii="宋体" w:hAnsi="宋体" w:cs="宋体"/>
          <w:bCs/>
          <w:sz w:val="28"/>
          <w:szCs w:val="28"/>
        </w:rPr>
        <w:t>-1 烟花爆竹成品临界量</w:t>
      </w:r>
    </w:p>
    <w:tbl>
      <w:tblPr>
        <w:tblStyle w:val="105"/>
        <w:tblW w:w="886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832"/>
        <w:gridCol w:w="1029"/>
      </w:tblGrid>
      <w:tr w14:paraId="55CC07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7832" w:type="dxa"/>
            <w:tcBorders>
              <w:top w:val="single" w:color="000000" w:sz="10" w:space="0"/>
              <w:left w:val="single" w:color="000000" w:sz="10" w:space="0"/>
            </w:tcBorders>
            <w:vAlign w:val="top"/>
          </w:tcPr>
          <w:p w14:paraId="6E093F86">
            <w:pPr>
              <w:pStyle w:val="14"/>
              <w:bidi w:val="0"/>
            </w:pPr>
            <w:r>
              <w:t>种类</w:t>
            </w:r>
          </w:p>
        </w:tc>
        <w:tc>
          <w:tcPr>
            <w:tcW w:w="1029" w:type="dxa"/>
            <w:tcBorders>
              <w:top w:val="single" w:color="000000" w:sz="10" w:space="0"/>
              <w:right w:val="single" w:color="000000" w:sz="10" w:space="0"/>
            </w:tcBorders>
            <w:vAlign w:val="top"/>
          </w:tcPr>
          <w:p w14:paraId="7B48F522">
            <w:pPr>
              <w:pStyle w:val="14"/>
              <w:bidi w:val="0"/>
            </w:pPr>
            <w:r>
              <w:t>临界量</w:t>
            </w:r>
          </w:p>
        </w:tc>
      </w:tr>
      <w:tr w14:paraId="3E27DC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9" w:hRule="atLeast"/>
          <w:jc w:val="center"/>
        </w:trPr>
        <w:tc>
          <w:tcPr>
            <w:tcW w:w="7832" w:type="dxa"/>
            <w:tcBorders>
              <w:left w:val="single" w:color="000000" w:sz="10" w:space="0"/>
            </w:tcBorders>
            <w:vAlign w:val="top"/>
          </w:tcPr>
          <w:p w14:paraId="05AFCDB4">
            <w:pPr>
              <w:pStyle w:val="14"/>
              <w:bidi w:val="0"/>
              <w:jc w:val="left"/>
            </w:pPr>
            <w:r>
              <w:t>含雷弹的礼花弹成品及其半成品;</w:t>
            </w:r>
          </w:p>
          <w:p w14:paraId="039FD7C4">
            <w:pPr>
              <w:pStyle w:val="14"/>
              <w:bidi w:val="0"/>
              <w:jc w:val="left"/>
            </w:pPr>
            <w:r>
              <w:t>7 号及以上礼花弹成品及其半成品；</w:t>
            </w:r>
          </w:p>
          <w:p w14:paraId="2049833F">
            <w:pPr>
              <w:pStyle w:val="14"/>
              <w:bidi w:val="0"/>
              <w:jc w:val="left"/>
            </w:pPr>
            <w:r>
              <w:t>白药开包药大于 7 g 的小礼花类、组合烟花类成品及其半成品</w:t>
            </w:r>
          </w:p>
        </w:tc>
        <w:tc>
          <w:tcPr>
            <w:tcW w:w="1029" w:type="dxa"/>
            <w:tcBorders>
              <w:right w:val="single" w:color="000000" w:sz="10" w:space="0"/>
            </w:tcBorders>
            <w:vAlign w:val="top"/>
          </w:tcPr>
          <w:p w14:paraId="6A9852B7">
            <w:pPr>
              <w:pStyle w:val="14"/>
              <w:bidi w:val="0"/>
            </w:pPr>
          </w:p>
          <w:p w14:paraId="61394EC9">
            <w:pPr>
              <w:pStyle w:val="14"/>
              <w:bidi w:val="0"/>
            </w:pPr>
            <w:r>
              <w:t>1</w:t>
            </w:r>
          </w:p>
        </w:tc>
      </w:tr>
      <w:tr w14:paraId="4EA3EB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97" w:hRule="atLeast"/>
          <w:jc w:val="center"/>
        </w:trPr>
        <w:tc>
          <w:tcPr>
            <w:tcW w:w="7832" w:type="dxa"/>
            <w:tcBorders>
              <w:left w:val="single" w:color="000000" w:sz="10" w:space="0"/>
            </w:tcBorders>
            <w:vAlign w:val="top"/>
          </w:tcPr>
          <w:p w14:paraId="266373D0">
            <w:pPr>
              <w:pStyle w:val="14"/>
              <w:bidi w:val="0"/>
              <w:jc w:val="left"/>
            </w:pPr>
            <w:r>
              <w:t xml:space="preserve">6 号及以下礼花弹成品及其半成品; </w:t>
            </w:r>
          </w:p>
          <w:p w14:paraId="1B078B46">
            <w:pPr>
              <w:pStyle w:val="14"/>
              <w:bidi w:val="0"/>
              <w:jc w:val="left"/>
            </w:pPr>
            <w:r>
              <w:t>除雷弹外的其他效果内筒;</w:t>
            </w:r>
          </w:p>
          <w:p w14:paraId="58E72459">
            <w:pPr>
              <w:pStyle w:val="14"/>
              <w:bidi w:val="0"/>
              <w:jc w:val="left"/>
            </w:pPr>
            <w:r>
              <w:t>白药开包药小于等于 7g 且大于个人燃放类中组合烟花类、小礼花类最大白药开包药药量的小礼花类、组合烟花类成品及其半成品;</w:t>
            </w:r>
          </w:p>
          <w:p w14:paraId="0EB10E78">
            <w:pPr>
              <w:pStyle w:val="14"/>
              <w:bidi w:val="0"/>
              <w:jc w:val="left"/>
            </w:pPr>
            <w:r>
              <w:t>双响成品及其半成品</w:t>
            </w:r>
          </w:p>
        </w:tc>
        <w:tc>
          <w:tcPr>
            <w:tcW w:w="1029" w:type="dxa"/>
            <w:tcBorders>
              <w:right w:val="single" w:color="000000" w:sz="10" w:space="0"/>
            </w:tcBorders>
            <w:vAlign w:val="top"/>
          </w:tcPr>
          <w:p w14:paraId="42436837">
            <w:pPr>
              <w:pStyle w:val="14"/>
              <w:bidi w:val="0"/>
            </w:pPr>
          </w:p>
          <w:p w14:paraId="1AE841F9">
            <w:pPr>
              <w:pStyle w:val="14"/>
              <w:bidi w:val="0"/>
            </w:pPr>
          </w:p>
          <w:p w14:paraId="72E645D2">
            <w:pPr>
              <w:pStyle w:val="14"/>
              <w:bidi w:val="0"/>
            </w:pPr>
            <w:r>
              <w:t>5</w:t>
            </w:r>
          </w:p>
        </w:tc>
      </w:tr>
      <w:tr w14:paraId="47C2E3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1" w:hRule="atLeast"/>
          <w:jc w:val="center"/>
        </w:trPr>
        <w:tc>
          <w:tcPr>
            <w:tcW w:w="7832" w:type="dxa"/>
            <w:tcBorders>
              <w:left w:val="single" w:color="000000" w:sz="10" w:space="0"/>
            </w:tcBorders>
            <w:vAlign w:val="top"/>
          </w:tcPr>
          <w:p w14:paraId="6BD39683">
            <w:pPr>
              <w:pStyle w:val="14"/>
              <w:bidi w:val="0"/>
              <w:jc w:val="left"/>
            </w:pPr>
            <w:r>
              <w:t>单个爆竹白药药量超过 0.14 g 的结爆竹及其半成品；</w:t>
            </w:r>
          </w:p>
          <w:p w14:paraId="48185836">
            <w:pPr>
              <w:pStyle w:val="14"/>
              <w:bidi w:val="0"/>
              <w:jc w:val="left"/>
            </w:pPr>
            <w:r>
              <w:t>单个爆竹黑药药量超过 1g 的结鞭爆竹及其半成品</w:t>
            </w:r>
          </w:p>
        </w:tc>
        <w:tc>
          <w:tcPr>
            <w:tcW w:w="1029" w:type="dxa"/>
            <w:tcBorders>
              <w:right w:val="single" w:color="000000" w:sz="10" w:space="0"/>
            </w:tcBorders>
            <w:vAlign w:val="top"/>
          </w:tcPr>
          <w:p w14:paraId="1A8584AD">
            <w:pPr>
              <w:pStyle w:val="14"/>
              <w:bidi w:val="0"/>
            </w:pPr>
          </w:p>
          <w:p w14:paraId="3A02B678">
            <w:pPr>
              <w:pStyle w:val="14"/>
              <w:bidi w:val="0"/>
            </w:pPr>
            <w:r>
              <w:t>10</w:t>
            </w:r>
          </w:p>
        </w:tc>
      </w:tr>
      <w:tr w14:paraId="54AAAC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1" w:hRule="atLeast"/>
          <w:jc w:val="center"/>
        </w:trPr>
        <w:tc>
          <w:tcPr>
            <w:tcW w:w="7832" w:type="dxa"/>
            <w:tcBorders>
              <w:left w:val="single" w:color="000000" w:sz="10" w:space="0"/>
              <w:bottom w:val="single" w:color="000000" w:sz="10" w:space="0"/>
            </w:tcBorders>
            <w:vAlign w:val="top"/>
          </w:tcPr>
          <w:p w14:paraId="227C912A">
            <w:pPr>
              <w:pStyle w:val="14"/>
              <w:bidi w:val="0"/>
              <w:jc w:val="left"/>
            </w:pPr>
            <w:r>
              <w:t>个人燃放类组合烟花及其半成品;</w:t>
            </w:r>
          </w:p>
          <w:p w14:paraId="6FA9AF9A">
            <w:pPr>
              <w:pStyle w:val="14"/>
              <w:bidi w:val="0"/>
              <w:jc w:val="left"/>
            </w:pPr>
            <w:r>
              <w:t>单个爆竹白药药量小于等于 0</w:t>
            </w:r>
            <w:r>
              <w:rPr>
                <w:rFonts w:hint="eastAsia"/>
                <w:lang w:val="en-US" w:eastAsia="zh-CN"/>
              </w:rPr>
              <w:t>.</w:t>
            </w:r>
            <w:r>
              <w:t>14 g 的结爆竹及其半成品,单个爆竹黑药药量小于等于 1 g 的结鞭爆竹及其半成品</w:t>
            </w:r>
          </w:p>
        </w:tc>
        <w:tc>
          <w:tcPr>
            <w:tcW w:w="1029" w:type="dxa"/>
            <w:tcBorders>
              <w:bottom w:val="single" w:color="000000" w:sz="10" w:space="0"/>
              <w:right w:val="single" w:color="000000" w:sz="10" w:space="0"/>
            </w:tcBorders>
            <w:vAlign w:val="top"/>
          </w:tcPr>
          <w:p w14:paraId="060EE3E2">
            <w:pPr>
              <w:pStyle w:val="14"/>
              <w:bidi w:val="0"/>
            </w:pPr>
          </w:p>
          <w:p w14:paraId="0400223B">
            <w:pPr>
              <w:pStyle w:val="14"/>
              <w:bidi w:val="0"/>
            </w:pPr>
            <w:r>
              <w:t>50</w:t>
            </w:r>
          </w:p>
        </w:tc>
      </w:tr>
    </w:tbl>
    <w:p w14:paraId="1BC93D0B">
      <w:pPr>
        <w:bidi w:val="0"/>
      </w:pPr>
      <w:r>
        <w:rPr>
          <w:rFonts w:hint="eastAsia"/>
        </w:rPr>
        <w:t>表 3.6-1 中未规定临界量的</w:t>
      </w:r>
      <w:r>
        <w:rPr>
          <w:rFonts w:hint="eastAsia"/>
          <w:lang w:eastAsia="zh-CN"/>
        </w:rPr>
        <w:t>，</w:t>
      </w:r>
      <w:r>
        <w:rPr>
          <w:rFonts w:hint="eastAsia"/>
        </w:rPr>
        <w:t>A级烟花爆竹成品的临界量为5t</w:t>
      </w:r>
      <w:r>
        <w:rPr>
          <w:rFonts w:hint="eastAsia"/>
          <w:lang w:eastAsia="zh-CN"/>
        </w:rPr>
        <w:t>，</w:t>
      </w:r>
      <w:r>
        <w:rPr>
          <w:rFonts w:hint="eastAsia"/>
        </w:rPr>
        <w:t>B 级烟花爆竹成品的临界量为 10t</w:t>
      </w:r>
      <w:r>
        <w:rPr>
          <w:rFonts w:hint="eastAsia"/>
          <w:lang w:eastAsia="zh-CN"/>
        </w:rPr>
        <w:t>，</w:t>
      </w:r>
      <w:r>
        <w:rPr>
          <w:rFonts w:hint="eastAsia"/>
        </w:rPr>
        <w:t>C 级和 D 级烟花爆竹成品的临界量为 50t</w:t>
      </w:r>
      <w:r>
        <w:rPr>
          <w:rFonts w:hint="eastAsia"/>
          <w:lang w:eastAsia="zh-CN"/>
        </w:rPr>
        <w:t>。</w:t>
      </w:r>
      <w:r>
        <w:rPr>
          <w:rFonts w:hint="eastAsia"/>
        </w:rPr>
        <w:t>烟花爆竹半成品参照同一级别的烟花爆竹成品确定临界量。</w:t>
      </w:r>
    </w:p>
    <w:p w14:paraId="469D9E7D">
      <w:pPr>
        <w:pStyle w:val="4"/>
        <w:bidi w:val="0"/>
        <w:ind w:left="0" w:leftChars="0" w:firstLine="0" w:firstLineChars="0"/>
        <w:rPr>
          <w:rFonts w:hint="eastAsia"/>
        </w:rPr>
      </w:pPr>
      <w:bookmarkStart w:id="103" w:name="_Toc13045"/>
      <w:r>
        <w:rPr>
          <w:rFonts w:hint="eastAsia"/>
        </w:rPr>
        <w:t>3.</w:t>
      </w:r>
      <w:r>
        <w:rPr>
          <w:rFonts w:hint="eastAsia"/>
          <w:lang w:val="en-US" w:eastAsia="zh-CN"/>
        </w:rPr>
        <w:t>6</w:t>
      </w:r>
      <w:r>
        <w:rPr>
          <w:rFonts w:hint="eastAsia"/>
        </w:rPr>
        <w:t>.3重大危险源辨识</w:t>
      </w:r>
      <w:bookmarkEnd w:id="103"/>
    </w:p>
    <w:p w14:paraId="6781AB51">
      <w:pPr>
        <w:bidi w:val="0"/>
        <w:rPr>
          <w:rFonts w:hint="eastAsia"/>
          <w:color w:val="0000FF"/>
        </w:rPr>
      </w:pPr>
      <w:r>
        <w:rPr>
          <w:rFonts w:hint="eastAsia"/>
        </w:rPr>
        <w:t>该公司租用萍乡市金坪烟花制造有限公司的540号成品库危险等级为1.3级</w:t>
      </w:r>
      <w:r>
        <w:rPr>
          <w:rFonts w:hint="eastAsia"/>
          <w:lang w:eastAsia="zh-CN"/>
        </w:rPr>
        <w:t>，</w:t>
      </w:r>
      <w:r>
        <w:rPr>
          <w:rFonts w:hint="eastAsia"/>
        </w:rPr>
        <w:t>面积为420m²</w:t>
      </w:r>
      <w:r>
        <w:rPr>
          <w:rFonts w:hint="eastAsia"/>
          <w:lang w:eastAsia="zh-CN"/>
        </w:rPr>
        <w:t>，</w:t>
      </w:r>
      <w:r>
        <w:rPr>
          <w:rFonts w:hint="eastAsia"/>
        </w:rPr>
        <w:t>设置为1间</w:t>
      </w:r>
      <w:r>
        <w:rPr>
          <w:rFonts w:hint="eastAsia"/>
          <w:lang w:eastAsia="zh-CN"/>
        </w:rPr>
        <w:t>，</w:t>
      </w:r>
      <w:r>
        <w:rPr>
          <w:rFonts w:hint="eastAsia"/>
        </w:rPr>
        <w:t>用于储存C级爆竹类产品</w:t>
      </w:r>
      <w:r>
        <w:rPr>
          <w:rFonts w:hint="eastAsia"/>
          <w:lang w:eastAsia="zh-CN"/>
        </w:rPr>
        <w:t>，</w:t>
      </w:r>
      <w:r>
        <w:rPr>
          <w:rFonts w:hint="eastAsia"/>
        </w:rPr>
        <w:t>总限药量为9000kg</w:t>
      </w:r>
      <w:r>
        <w:rPr>
          <w:rFonts w:hint="eastAsia"/>
          <w:lang w:eastAsia="zh-CN"/>
        </w:rPr>
        <w:t>，</w:t>
      </w:r>
      <w:r>
        <w:rPr>
          <w:rFonts w:hint="eastAsia"/>
        </w:rPr>
        <w:t>542号成品库危险等级为1.3级,面积为294m²,设置为1间</w:t>
      </w:r>
      <w:r>
        <w:rPr>
          <w:rFonts w:hint="eastAsia"/>
          <w:lang w:eastAsia="zh-CN"/>
        </w:rPr>
        <w:t>，</w:t>
      </w:r>
      <w:r>
        <w:rPr>
          <w:rFonts w:hint="eastAsia"/>
        </w:rPr>
        <w:t>用于储存C、D级烟花类产品</w:t>
      </w:r>
      <w:r>
        <w:rPr>
          <w:rFonts w:hint="eastAsia"/>
          <w:lang w:eastAsia="zh-CN"/>
        </w:rPr>
        <w:t>，</w:t>
      </w:r>
      <w:r>
        <w:rPr>
          <w:rFonts w:hint="eastAsia"/>
        </w:rPr>
        <w:t>总限药量为5000kg</w:t>
      </w:r>
      <w:r>
        <w:rPr>
          <w:rFonts w:hint="eastAsia"/>
          <w:lang w:eastAsia="zh-CN"/>
        </w:rPr>
        <w:t>，</w:t>
      </w:r>
      <w:r>
        <w:rPr>
          <w:rFonts w:hint="eastAsia"/>
        </w:rPr>
        <w:t>545号成品库危险等级为1.1</w:t>
      </w:r>
      <w:r>
        <w:rPr>
          <w:rFonts w:hint="eastAsia"/>
          <w:vertAlign w:val="superscript"/>
          <w:lang w:val="en-US" w:eastAsia="zh-CN"/>
        </w:rPr>
        <w:t>-2</w:t>
      </w:r>
      <w:r>
        <w:rPr>
          <w:rFonts w:hint="eastAsia"/>
        </w:rPr>
        <w:t>级</w:t>
      </w:r>
      <w:r>
        <w:rPr>
          <w:rFonts w:hint="eastAsia"/>
          <w:lang w:eastAsia="zh-CN"/>
        </w:rPr>
        <w:t>，</w:t>
      </w:r>
      <w:r>
        <w:rPr>
          <w:rFonts w:hint="eastAsia"/>
        </w:rPr>
        <w:t>面积为216m²</w:t>
      </w:r>
      <w:r>
        <w:rPr>
          <w:rFonts w:hint="eastAsia"/>
          <w:lang w:eastAsia="zh-CN"/>
        </w:rPr>
        <w:t>，</w:t>
      </w:r>
      <w:r>
        <w:rPr>
          <w:rFonts w:hint="eastAsia"/>
        </w:rPr>
        <w:t>设置为1间</w:t>
      </w:r>
      <w:r>
        <w:rPr>
          <w:rFonts w:hint="eastAsia"/>
          <w:lang w:eastAsia="zh-CN"/>
        </w:rPr>
        <w:t>，</w:t>
      </w:r>
      <w:r>
        <w:rPr>
          <w:rFonts w:hint="eastAsia"/>
        </w:rPr>
        <w:t>用于储存A、B级烟花类产品</w:t>
      </w:r>
      <w:r>
        <w:rPr>
          <w:rFonts w:hint="eastAsia"/>
          <w:lang w:eastAsia="zh-CN"/>
        </w:rPr>
        <w:t>，</w:t>
      </w:r>
      <w:r>
        <w:rPr>
          <w:rFonts w:hint="eastAsia"/>
        </w:rPr>
        <w:t>总限药量为2000kg。</w:t>
      </w:r>
      <w:r>
        <w:rPr>
          <w:rFonts w:hint="eastAsia" w:ascii="Times New Roman" w:hAnsi="Times New Roman" w:eastAsia="宋体" w:cs="Times New Roman"/>
          <w:lang w:eastAsia="zh-CN"/>
        </w:rPr>
        <w:t>相关数据列于下表3.</w:t>
      </w:r>
      <w:r>
        <w:rPr>
          <w:rFonts w:hint="eastAsia" w:ascii="Times New Roman" w:hAnsi="Times New Roman" w:eastAsia="宋体" w:cs="Times New Roman"/>
          <w:lang w:val="en-US" w:eastAsia="zh-CN"/>
        </w:rPr>
        <w:t>6</w:t>
      </w:r>
      <w:r>
        <w:rPr>
          <w:rFonts w:hint="eastAsia" w:ascii="Times New Roman" w:hAnsi="Times New Roman" w:eastAsia="宋体" w:cs="Times New Roman"/>
          <w:lang w:eastAsia="zh-CN"/>
        </w:rPr>
        <w:t>-2中。</w:t>
      </w:r>
    </w:p>
    <w:p w14:paraId="0E6D5981">
      <w:pPr>
        <w:bidi w:val="0"/>
        <w:jc w:val="center"/>
      </w:pPr>
      <w:r>
        <w:rPr>
          <w:rFonts w:hint="eastAsia"/>
        </w:rPr>
        <w:t>表3.</w:t>
      </w:r>
      <w:r>
        <w:rPr>
          <w:rFonts w:hint="eastAsia"/>
          <w:lang w:val="en-US" w:eastAsia="zh-CN"/>
        </w:rPr>
        <w:t>6</w:t>
      </w:r>
      <w:r>
        <w:rPr>
          <w:rFonts w:hint="eastAsia"/>
        </w:rPr>
        <w:t>-2 储存单元重大危险源辨识</w:t>
      </w:r>
    </w:p>
    <w:tbl>
      <w:tblPr>
        <w:tblStyle w:val="105"/>
        <w:tblW w:w="8940" w:type="dxa"/>
        <w:tblInd w:w="15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39"/>
        <w:gridCol w:w="1599"/>
        <w:gridCol w:w="1161"/>
        <w:gridCol w:w="1278"/>
        <w:gridCol w:w="1278"/>
        <w:gridCol w:w="1279"/>
        <w:gridCol w:w="1206"/>
      </w:tblGrid>
      <w:tr w14:paraId="5C928C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8" w:hRule="atLeast"/>
        </w:trPr>
        <w:tc>
          <w:tcPr>
            <w:tcW w:w="1139" w:type="dxa"/>
            <w:tcBorders>
              <w:top w:val="single" w:color="000000" w:sz="10" w:space="0"/>
              <w:left w:val="single" w:color="000000" w:sz="10" w:space="0"/>
            </w:tcBorders>
            <w:vAlign w:val="center"/>
          </w:tcPr>
          <w:p w14:paraId="3C748E36">
            <w:pPr>
              <w:pStyle w:val="14"/>
              <w:bidi w:val="0"/>
              <w:jc w:val="center"/>
              <w:rPr>
                <w:color w:val="auto"/>
              </w:rPr>
            </w:pPr>
            <w:r>
              <w:rPr>
                <w:color w:val="auto"/>
              </w:rPr>
              <w:t>工房编号</w:t>
            </w:r>
          </w:p>
        </w:tc>
        <w:tc>
          <w:tcPr>
            <w:tcW w:w="1599" w:type="dxa"/>
            <w:tcBorders>
              <w:top w:val="single" w:color="000000" w:sz="10" w:space="0"/>
            </w:tcBorders>
            <w:vAlign w:val="center"/>
          </w:tcPr>
          <w:p w14:paraId="5BCBECF3">
            <w:pPr>
              <w:pStyle w:val="14"/>
              <w:bidi w:val="0"/>
              <w:jc w:val="center"/>
              <w:rPr>
                <w:color w:val="auto"/>
              </w:rPr>
            </w:pPr>
            <w:r>
              <w:rPr>
                <w:color w:val="auto"/>
              </w:rPr>
              <w:t>工房用途</w:t>
            </w:r>
          </w:p>
        </w:tc>
        <w:tc>
          <w:tcPr>
            <w:tcW w:w="1161" w:type="dxa"/>
            <w:tcBorders>
              <w:top w:val="single" w:color="000000" w:sz="10" w:space="0"/>
            </w:tcBorders>
            <w:vAlign w:val="center"/>
          </w:tcPr>
          <w:p w14:paraId="4B325429">
            <w:pPr>
              <w:pStyle w:val="14"/>
              <w:bidi w:val="0"/>
              <w:jc w:val="center"/>
              <w:rPr>
                <w:color w:val="auto"/>
              </w:rPr>
            </w:pPr>
            <w:r>
              <w:rPr>
                <w:color w:val="auto"/>
              </w:rPr>
              <w:t>危险等级</w:t>
            </w:r>
          </w:p>
        </w:tc>
        <w:tc>
          <w:tcPr>
            <w:tcW w:w="1278" w:type="dxa"/>
            <w:tcBorders>
              <w:top w:val="single" w:color="000000" w:sz="10" w:space="0"/>
            </w:tcBorders>
            <w:vAlign w:val="center"/>
          </w:tcPr>
          <w:p w14:paraId="61819490">
            <w:pPr>
              <w:pStyle w:val="14"/>
              <w:bidi w:val="0"/>
              <w:jc w:val="center"/>
              <w:rPr>
                <w:color w:val="auto"/>
              </w:rPr>
            </w:pPr>
            <w:r>
              <w:rPr>
                <w:color w:val="auto"/>
              </w:rPr>
              <w:t>仓库药量  q(单位：t)</w:t>
            </w:r>
          </w:p>
        </w:tc>
        <w:tc>
          <w:tcPr>
            <w:tcW w:w="1278" w:type="dxa"/>
            <w:tcBorders>
              <w:top w:val="single" w:color="000000" w:sz="10" w:space="0"/>
            </w:tcBorders>
            <w:vAlign w:val="center"/>
          </w:tcPr>
          <w:p w14:paraId="6CD1E0AA">
            <w:pPr>
              <w:pStyle w:val="14"/>
              <w:bidi w:val="0"/>
              <w:jc w:val="center"/>
              <w:rPr>
                <w:color w:val="auto"/>
              </w:rPr>
            </w:pPr>
            <w:r>
              <w:rPr>
                <w:color w:val="auto"/>
              </w:rPr>
              <w:t>临界量 Q (单位：t)</w:t>
            </w:r>
          </w:p>
        </w:tc>
        <w:tc>
          <w:tcPr>
            <w:tcW w:w="1279" w:type="dxa"/>
            <w:tcBorders>
              <w:top w:val="single" w:color="000000" w:sz="10" w:space="0"/>
            </w:tcBorders>
            <w:vAlign w:val="center"/>
          </w:tcPr>
          <w:p w14:paraId="1D772E2E">
            <w:pPr>
              <w:pStyle w:val="14"/>
              <w:bidi w:val="0"/>
              <w:jc w:val="center"/>
              <w:rPr>
                <w:color w:val="auto"/>
              </w:rPr>
            </w:pPr>
            <w:r>
              <w:rPr>
                <w:color w:val="auto"/>
              </w:rPr>
              <w:t>∑q/Q</w:t>
            </w:r>
          </w:p>
        </w:tc>
        <w:tc>
          <w:tcPr>
            <w:tcW w:w="1206" w:type="dxa"/>
            <w:tcBorders>
              <w:top w:val="single" w:color="000000" w:sz="10" w:space="0"/>
              <w:right w:val="single" w:color="000000" w:sz="10" w:space="0"/>
            </w:tcBorders>
            <w:vAlign w:val="center"/>
          </w:tcPr>
          <w:p w14:paraId="0574DB84">
            <w:pPr>
              <w:pStyle w:val="14"/>
              <w:bidi w:val="0"/>
              <w:jc w:val="center"/>
              <w:rPr>
                <w:color w:val="auto"/>
              </w:rPr>
            </w:pPr>
            <w:r>
              <w:rPr>
                <w:color w:val="auto"/>
              </w:rPr>
              <w:t>判定</w:t>
            </w:r>
          </w:p>
        </w:tc>
      </w:tr>
      <w:tr w14:paraId="502214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1139" w:type="dxa"/>
            <w:tcBorders>
              <w:left w:val="single" w:color="000000" w:sz="10" w:space="0"/>
            </w:tcBorders>
            <w:vAlign w:val="center"/>
          </w:tcPr>
          <w:p w14:paraId="208EB7C0">
            <w:pPr>
              <w:pStyle w:val="14"/>
              <w:bidi w:val="0"/>
              <w:jc w:val="center"/>
              <w:rPr>
                <w:color w:val="auto"/>
              </w:rPr>
            </w:pPr>
            <w:r>
              <w:rPr>
                <w:rFonts w:hint="eastAsia"/>
                <w:color w:val="auto"/>
              </w:rPr>
              <w:t>540</w:t>
            </w:r>
          </w:p>
        </w:tc>
        <w:tc>
          <w:tcPr>
            <w:tcW w:w="1599" w:type="dxa"/>
            <w:vAlign w:val="center"/>
          </w:tcPr>
          <w:p w14:paraId="0303170B">
            <w:pPr>
              <w:pStyle w:val="14"/>
              <w:bidi w:val="0"/>
              <w:jc w:val="center"/>
              <w:rPr>
                <w:color w:val="auto"/>
              </w:rPr>
            </w:pPr>
            <w:r>
              <w:rPr>
                <w:color w:val="auto"/>
              </w:rPr>
              <w:t>成品库</w:t>
            </w:r>
          </w:p>
        </w:tc>
        <w:tc>
          <w:tcPr>
            <w:tcW w:w="1161" w:type="dxa"/>
            <w:vAlign w:val="center"/>
          </w:tcPr>
          <w:p w14:paraId="03925744">
            <w:pPr>
              <w:pStyle w:val="14"/>
              <w:bidi w:val="0"/>
              <w:jc w:val="center"/>
              <w:rPr>
                <w:color w:val="auto"/>
              </w:rPr>
            </w:pPr>
            <w:r>
              <w:rPr>
                <w:color w:val="auto"/>
              </w:rPr>
              <w:t>1.3</w:t>
            </w:r>
          </w:p>
        </w:tc>
        <w:tc>
          <w:tcPr>
            <w:tcW w:w="1278" w:type="dxa"/>
            <w:vAlign w:val="center"/>
          </w:tcPr>
          <w:p w14:paraId="50EF92D0">
            <w:pPr>
              <w:pStyle w:val="14"/>
              <w:bidi w:val="0"/>
              <w:jc w:val="center"/>
              <w:rPr>
                <w:rFonts w:hint="default" w:eastAsia="宋体"/>
                <w:color w:val="auto"/>
                <w:lang w:val="en-US" w:eastAsia="zh-CN"/>
              </w:rPr>
            </w:pPr>
            <w:r>
              <w:rPr>
                <w:rFonts w:hint="eastAsia"/>
                <w:color w:val="auto"/>
                <w:lang w:val="en-US" w:eastAsia="zh-CN"/>
              </w:rPr>
              <w:t>9</w:t>
            </w:r>
          </w:p>
        </w:tc>
        <w:tc>
          <w:tcPr>
            <w:tcW w:w="1278" w:type="dxa"/>
            <w:vAlign w:val="center"/>
          </w:tcPr>
          <w:p w14:paraId="69564C68">
            <w:pPr>
              <w:pStyle w:val="14"/>
              <w:bidi w:val="0"/>
              <w:jc w:val="center"/>
              <w:rPr>
                <w:color w:val="auto"/>
              </w:rPr>
            </w:pPr>
            <w:r>
              <w:rPr>
                <w:color w:val="auto"/>
              </w:rPr>
              <w:t>50</w:t>
            </w:r>
          </w:p>
        </w:tc>
        <w:tc>
          <w:tcPr>
            <w:tcW w:w="1279" w:type="dxa"/>
            <w:vAlign w:val="center"/>
          </w:tcPr>
          <w:p w14:paraId="54FDE81C">
            <w:pPr>
              <w:pStyle w:val="14"/>
              <w:bidi w:val="0"/>
              <w:jc w:val="center"/>
              <w:rPr>
                <w:rFonts w:hint="default" w:eastAsia="宋体"/>
                <w:color w:val="auto"/>
                <w:lang w:val="en-US" w:eastAsia="zh-CN"/>
              </w:rPr>
            </w:pPr>
            <w:r>
              <w:rPr>
                <w:color w:val="auto"/>
              </w:rPr>
              <w:t>0.</w:t>
            </w:r>
            <w:r>
              <w:rPr>
                <w:rFonts w:hint="eastAsia"/>
                <w:color w:val="auto"/>
                <w:lang w:val="en-US" w:eastAsia="zh-CN"/>
              </w:rPr>
              <w:t>18</w:t>
            </w:r>
          </w:p>
        </w:tc>
        <w:tc>
          <w:tcPr>
            <w:tcW w:w="1206" w:type="dxa"/>
            <w:tcBorders>
              <w:right w:val="single" w:color="000000" w:sz="10" w:space="0"/>
            </w:tcBorders>
            <w:vAlign w:val="center"/>
          </w:tcPr>
          <w:p w14:paraId="2D777D23">
            <w:pPr>
              <w:pStyle w:val="14"/>
              <w:bidi w:val="0"/>
              <w:jc w:val="center"/>
              <w:rPr>
                <w:color w:val="auto"/>
              </w:rPr>
            </w:pPr>
            <w:r>
              <w:rPr>
                <w:color w:val="auto"/>
              </w:rPr>
              <w:t>不构成</w:t>
            </w:r>
          </w:p>
        </w:tc>
      </w:tr>
      <w:tr w14:paraId="11F6A3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trPr>
        <w:tc>
          <w:tcPr>
            <w:tcW w:w="1139" w:type="dxa"/>
            <w:tcBorders>
              <w:left w:val="single" w:color="000000" w:sz="10" w:space="0"/>
            </w:tcBorders>
            <w:vAlign w:val="center"/>
          </w:tcPr>
          <w:p w14:paraId="28C4DA2A">
            <w:pPr>
              <w:pStyle w:val="14"/>
              <w:bidi w:val="0"/>
              <w:jc w:val="center"/>
              <w:rPr>
                <w:rFonts w:hint="default" w:eastAsia="宋体"/>
                <w:color w:val="auto"/>
                <w:lang w:val="en-US" w:eastAsia="zh-CN"/>
              </w:rPr>
            </w:pPr>
            <w:r>
              <w:rPr>
                <w:rFonts w:hint="eastAsia"/>
                <w:color w:val="auto"/>
                <w:lang w:val="en-US" w:eastAsia="zh-CN"/>
              </w:rPr>
              <w:t>542</w:t>
            </w:r>
          </w:p>
        </w:tc>
        <w:tc>
          <w:tcPr>
            <w:tcW w:w="1599" w:type="dxa"/>
            <w:vAlign w:val="center"/>
          </w:tcPr>
          <w:p w14:paraId="162E454B">
            <w:pPr>
              <w:pStyle w:val="14"/>
              <w:bidi w:val="0"/>
              <w:jc w:val="center"/>
              <w:rPr>
                <w:color w:val="auto"/>
              </w:rPr>
            </w:pPr>
            <w:r>
              <w:rPr>
                <w:color w:val="auto"/>
              </w:rPr>
              <w:t>成品库</w:t>
            </w:r>
          </w:p>
        </w:tc>
        <w:tc>
          <w:tcPr>
            <w:tcW w:w="1161" w:type="dxa"/>
            <w:vAlign w:val="center"/>
          </w:tcPr>
          <w:p w14:paraId="53433518">
            <w:pPr>
              <w:pStyle w:val="14"/>
              <w:bidi w:val="0"/>
              <w:jc w:val="center"/>
              <w:rPr>
                <w:color w:val="auto"/>
              </w:rPr>
            </w:pPr>
            <w:r>
              <w:rPr>
                <w:color w:val="auto"/>
              </w:rPr>
              <w:t>1.3</w:t>
            </w:r>
          </w:p>
        </w:tc>
        <w:tc>
          <w:tcPr>
            <w:tcW w:w="1278" w:type="dxa"/>
            <w:vAlign w:val="center"/>
          </w:tcPr>
          <w:p w14:paraId="4FCA3D13">
            <w:pPr>
              <w:pStyle w:val="14"/>
              <w:bidi w:val="0"/>
              <w:jc w:val="center"/>
              <w:rPr>
                <w:rFonts w:hint="default" w:eastAsia="宋体"/>
                <w:color w:val="auto"/>
                <w:lang w:val="en-US" w:eastAsia="zh-CN"/>
              </w:rPr>
            </w:pPr>
            <w:r>
              <w:rPr>
                <w:rFonts w:hint="eastAsia"/>
                <w:color w:val="auto"/>
                <w:lang w:val="en-US" w:eastAsia="zh-CN"/>
              </w:rPr>
              <w:t>5</w:t>
            </w:r>
          </w:p>
        </w:tc>
        <w:tc>
          <w:tcPr>
            <w:tcW w:w="1278" w:type="dxa"/>
            <w:vAlign w:val="center"/>
          </w:tcPr>
          <w:p w14:paraId="7E378F72">
            <w:pPr>
              <w:pStyle w:val="14"/>
              <w:bidi w:val="0"/>
              <w:jc w:val="center"/>
              <w:rPr>
                <w:rFonts w:hint="default" w:eastAsia="宋体"/>
                <w:color w:val="auto"/>
                <w:lang w:val="en-US" w:eastAsia="zh-CN"/>
              </w:rPr>
            </w:pPr>
            <w:r>
              <w:rPr>
                <w:rFonts w:hint="eastAsia"/>
                <w:color w:val="auto"/>
                <w:lang w:val="en-US" w:eastAsia="zh-CN"/>
              </w:rPr>
              <w:t>50</w:t>
            </w:r>
          </w:p>
        </w:tc>
        <w:tc>
          <w:tcPr>
            <w:tcW w:w="1279" w:type="dxa"/>
            <w:vAlign w:val="center"/>
          </w:tcPr>
          <w:p w14:paraId="5EE10C1B">
            <w:pPr>
              <w:pStyle w:val="14"/>
              <w:bidi w:val="0"/>
              <w:jc w:val="center"/>
              <w:rPr>
                <w:rFonts w:hint="default" w:eastAsia="宋体"/>
                <w:color w:val="auto"/>
                <w:lang w:val="en-US" w:eastAsia="zh-CN"/>
              </w:rPr>
            </w:pPr>
            <w:r>
              <w:rPr>
                <w:rFonts w:hint="eastAsia"/>
                <w:color w:val="auto"/>
                <w:lang w:val="en-US" w:eastAsia="zh-CN"/>
              </w:rPr>
              <w:t>0.1</w:t>
            </w:r>
          </w:p>
        </w:tc>
        <w:tc>
          <w:tcPr>
            <w:tcW w:w="1206" w:type="dxa"/>
            <w:tcBorders>
              <w:right w:val="single" w:color="000000" w:sz="10" w:space="0"/>
            </w:tcBorders>
            <w:vAlign w:val="center"/>
          </w:tcPr>
          <w:p w14:paraId="01AAA0BD">
            <w:pPr>
              <w:pStyle w:val="14"/>
              <w:bidi w:val="0"/>
              <w:jc w:val="center"/>
              <w:rPr>
                <w:color w:val="auto"/>
              </w:rPr>
            </w:pPr>
            <w:r>
              <w:rPr>
                <w:color w:val="auto"/>
              </w:rPr>
              <w:t>不构成</w:t>
            </w:r>
          </w:p>
        </w:tc>
      </w:tr>
      <w:tr w14:paraId="3ADA24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1139" w:type="dxa"/>
            <w:tcBorders>
              <w:left w:val="single" w:color="000000" w:sz="10" w:space="0"/>
            </w:tcBorders>
            <w:vAlign w:val="center"/>
          </w:tcPr>
          <w:p w14:paraId="23BA03C3">
            <w:pPr>
              <w:pStyle w:val="14"/>
              <w:bidi w:val="0"/>
              <w:jc w:val="center"/>
              <w:rPr>
                <w:rFonts w:hint="default" w:eastAsia="宋体"/>
                <w:color w:val="auto"/>
                <w:lang w:val="en-US" w:eastAsia="zh-CN"/>
              </w:rPr>
            </w:pPr>
            <w:r>
              <w:rPr>
                <w:rFonts w:hint="eastAsia"/>
                <w:color w:val="auto"/>
                <w:lang w:val="en-US" w:eastAsia="zh-CN"/>
              </w:rPr>
              <w:t>545</w:t>
            </w:r>
          </w:p>
        </w:tc>
        <w:tc>
          <w:tcPr>
            <w:tcW w:w="1599" w:type="dxa"/>
            <w:vAlign w:val="center"/>
          </w:tcPr>
          <w:p w14:paraId="46C66278">
            <w:pPr>
              <w:pStyle w:val="14"/>
              <w:bidi w:val="0"/>
              <w:jc w:val="center"/>
              <w:rPr>
                <w:color w:val="auto"/>
              </w:rPr>
            </w:pPr>
            <w:r>
              <w:rPr>
                <w:color w:val="auto"/>
              </w:rPr>
              <w:t>成品库</w:t>
            </w:r>
          </w:p>
        </w:tc>
        <w:tc>
          <w:tcPr>
            <w:tcW w:w="1161" w:type="dxa"/>
            <w:vAlign w:val="center"/>
          </w:tcPr>
          <w:p w14:paraId="193290B3">
            <w:pPr>
              <w:pStyle w:val="14"/>
              <w:bidi w:val="0"/>
              <w:jc w:val="center"/>
              <w:rPr>
                <w:color w:val="auto"/>
              </w:rPr>
            </w:pPr>
            <w:r>
              <w:rPr>
                <w:color w:val="auto"/>
              </w:rPr>
              <w:t>1.1</w:t>
            </w:r>
            <w:r>
              <w:rPr>
                <w:color w:val="auto"/>
                <w:vertAlign w:val="superscript"/>
              </w:rPr>
              <w:t>-2</w:t>
            </w:r>
          </w:p>
        </w:tc>
        <w:tc>
          <w:tcPr>
            <w:tcW w:w="1278" w:type="dxa"/>
            <w:vAlign w:val="center"/>
          </w:tcPr>
          <w:p w14:paraId="3E4A7D07">
            <w:pPr>
              <w:pStyle w:val="14"/>
              <w:bidi w:val="0"/>
              <w:jc w:val="center"/>
              <w:rPr>
                <w:rFonts w:hint="eastAsia" w:eastAsia="宋体"/>
                <w:color w:val="auto"/>
                <w:lang w:eastAsia="zh-CN"/>
              </w:rPr>
            </w:pPr>
            <w:r>
              <w:rPr>
                <w:rFonts w:hint="eastAsia"/>
                <w:color w:val="auto"/>
                <w:lang w:val="en-US" w:eastAsia="zh-CN"/>
              </w:rPr>
              <w:t>2</w:t>
            </w:r>
          </w:p>
        </w:tc>
        <w:tc>
          <w:tcPr>
            <w:tcW w:w="1278" w:type="dxa"/>
            <w:vAlign w:val="center"/>
          </w:tcPr>
          <w:p w14:paraId="277DDD7C">
            <w:pPr>
              <w:pStyle w:val="14"/>
              <w:bidi w:val="0"/>
              <w:jc w:val="center"/>
              <w:rPr>
                <w:rFonts w:hint="eastAsia" w:eastAsia="宋体"/>
                <w:color w:val="auto"/>
                <w:lang w:eastAsia="zh-CN"/>
              </w:rPr>
            </w:pPr>
            <w:r>
              <w:rPr>
                <w:rFonts w:hint="eastAsia"/>
                <w:color w:val="auto"/>
                <w:lang w:val="en-US" w:eastAsia="zh-CN"/>
              </w:rPr>
              <w:t>1</w:t>
            </w:r>
          </w:p>
        </w:tc>
        <w:tc>
          <w:tcPr>
            <w:tcW w:w="1279" w:type="dxa"/>
            <w:vAlign w:val="center"/>
          </w:tcPr>
          <w:p w14:paraId="0A57080B">
            <w:pPr>
              <w:pStyle w:val="14"/>
              <w:bidi w:val="0"/>
              <w:jc w:val="center"/>
              <w:rPr>
                <w:rFonts w:hint="eastAsia" w:eastAsia="宋体"/>
                <w:color w:val="auto"/>
                <w:lang w:eastAsia="zh-CN"/>
              </w:rPr>
            </w:pPr>
            <w:r>
              <w:rPr>
                <w:rFonts w:hint="eastAsia"/>
                <w:color w:val="auto"/>
                <w:lang w:val="en-US" w:eastAsia="zh-CN"/>
              </w:rPr>
              <w:t>2</w:t>
            </w:r>
          </w:p>
        </w:tc>
        <w:tc>
          <w:tcPr>
            <w:tcW w:w="1206" w:type="dxa"/>
            <w:tcBorders>
              <w:right w:val="single" w:color="000000" w:sz="10" w:space="0"/>
            </w:tcBorders>
            <w:vAlign w:val="center"/>
          </w:tcPr>
          <w:p w14:paraId="54823662">
            <w:pPr>
              <w:pStyle w:val="14"/>
              <w:bidi w:val="0"/>
              <w:jc w:val="center"/>
              <w:rPr>
                <w:color w:val="auto"/>
              </w:rPr>
            </w:pPr>
            <w:r>
              <w:rPr>
                <w:color w:val="auto"/>
              </w:rPr>
              <w:t>构成</w:t>
            </w:r>
          </w:p>
        </w:tc>
      </w:tr>
      <w:tr w14:paraId="2E7086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2" w:hRule="atLeast"/>
        </w:trPr>
        <w:tc>
          <w:tcPr>
            <w:tcW w:w="8940" w:type="dxa"/>
            <w:gridSpan w:val="7"/>
            <w:tcBorders>
              <w:left w:val="single" w:color="000000" w:sz="10" w:space="0"/>
              <w:bottom w:val="single" w:color="000000" w:sz="10" w:space="0"/>
              <w:right w:val="single" w:color="000000" w:sz="10" w:space="0"/>
            </w:tcBorders>
            <w:vAlign w:val="center"/>
          </w:tcPr>
          <w:p w14:paraId="05AD9508">
            <w:pPr>
              <w:pStyle w:val="14"/>
              <w:bidi w:val="0"/>
              <w:jc w:val="both"/>
              <w:rPr>
                <w:color w:val="auto"/>
              </w:rPr>
            </w:pPr>
            <w:r>
              <w:rPr>
                <w:rFonts w:hint="eastAsia"/>
                <w:color w:val="auto"/>
              </w:rPr>
              <w:t>540号成品库</w:t>
            </w:r>
            <w:r>
              <w:rPr>
                <w:color w:val="auto"/>
              </w:rPr>
              <w:t>储存 C</w:t>
            </w:r>
            <w:r>
              <w:rPr>
                <w:rFonts w:hint="eastAsia"/>
                <w:color w:val="auto"/>
              </w:rPr>
              <w:t>爆竹类产品</w:t>
            </w:r>
            <w:r>
              <w:rPr>
                <w:rFonts w:hint="eastAsia"/>
                <w:color w:val="auto"/>
                <w:lang w:eastAsia="zh-CN"/>
              </w:rPr>
              <w:t>、</w:t>
            </w:r>
            <w:r>
              <w:rPr>
                <w:color w:val="auto"/>
              </w:rPr>
              <w:t>单个爆竹白药药量小于等于 0</w:t>
            </w:r>
            <w:r>
              <w:rPr>
                <w:rFonts w:hint="eastAsia"/>
                <w:color w:val="auto"/>
                <w:lang w:val="en-US" w:eastAsia="zh-CN"/>
              </w:rPr>
              <w:t>.</w:t>
            </w:r>
            <w:r>
              <w:rPr>
                <w:color w:val="auto"/>
              </w:rPr>
              <w:t>14 g</w:t>
            </w:r>
            <w:r>
              <w:rPr>
                <w:rFonts w:hint="eastAsia"/>
                <w:color w:val="auto"/>
                <w:lang w:eastAsia="zh-CN"/>
              </w:rPr>
              <w:t>，</w:t>
            </w:r>
            <w:r>
              <w:rPr>
                <w:color w:val="auto"/>
              </w:rPr>
              <w:t>临界值取 50t；</w:t>
            </w:r>
            <w:r>
              <w:rPr>
                <w:rFonts w:hint="eastAsia"/>
                <w:color w:val="auto"/>
              </w:rPr>
              <w:t>542号成品库储存C、D级</w:t>
            </w:r>
            <w:r>
              <w:rPr>
                <w:rFonts w:hint="eastAsia"/>
                <w:color w:val="auto"/>
                <w:lang w:eastAsia="zh-CN"/>
              </w:rPr>
              <w:t>、</w:t>
            </w:r>
            <w:r>
              <w:rPr>
                <w:color w:val="auto"/>
              </w:rPr>
              <w:t>个人燃放类组合烟花</w:t>
            </w:r>
            <w:r>
              <w:rPr>
                <w:rFonts w:hint="eastAsia"/>
                <w:color w:val="auto"/>
                <w:lang w:eastAsia="zh-CN"/>
              </w:rPr>
              <w:t>，</w:t>
            </w:r>
            <w:r>
              <w:rPr>
                <w:color w:val="auto"/>
              </w:rPr>
              <w:t>临界值取 50t；</w:t>
            </w:r>
            <w:r>
              <w:rPr>
                <w:rFonts w:hint="eastAsia"/>
                <w:color w:val="auto"/>
                <w:lang w:val="en-US" w:eastAsia="zh-CN"/>
              </w:rPr>
              <w:t>545</w:t>
            </w:r>
            <w:r>
              <w:rPr>
                <w:color w:val="auto"/>
              </w:rPr>
              <w:t xml:space="preserve"> 号成品库可能储存 A 级礼花类产品，临界值取 1t。</w:t>
            </w:r>
          </w:p>
        </w:tc>
      </w:tr>
    </w:tbl>
    <w:p w14:paraId="3329D63B">
      <w:pPr>
        <w:pStyle w:val="4"/>
        <w:bidi w:val="0"/>
        <w:ind w:left="0" w:leftChars="0" w:firstLine="0" w:firstLineChars="0"/>
        <w:rPr>
          <w:rFonts w:hint="eastAsia"/>
        </w:rPr>
      </w:pPr>
      <w:bookmarkStart w:id="104" w:name="_Toc4616"/>
      <w:r>
        <w:rPr>
          <w:rFonts w:hint="eastAsia"/>
        </w:rPr>
        <w:t>3.</w:t>
      </w:r>
      <w:r>
        <w:rPr>
          <w:rFonts w:hint="eastAsia"/>
          <w:lang w:val="en-US" w:eastAsia="zh-CN"/>
        </w:rPr>
        <w:t>6</w:t>
      </w:r>
      <w:r>
        <w:rPr>
          <w:rFonts w:hint="eastAsia"/>
        </w:rPr>
        <w:t>.4重大危险源辨识结果</w:t>
      </w:r>
      <w:bookmarkEnd w:id="104"/>
    </w:p>
    <w:p w14:paraId="5328A0CE">
      <w:pPr>
        <w:bidi w:val="0"/>
      </w:pPr>
      <w:r>
        <w:rPr>
          <w:rFonts w:hint="eastAsia"/>
        </w:rPr>
        <w:t>根据《烟花爆竹重大危险源辨识》（AQ4131-2023）的规定</w:t>
      </w:r>
      <w:r>
        <w:rPr>
          <w:rFonts w:hint="eastAsia"/>
          <w:lang w:eastAsia="zh-CN"/>
        </w:rPr>
        <w:t>，</w:t>
      </w:r>
      <w:r>
        <w:rPr>
          <w:rFonts w:hint="eastAsia"/>
        </w:rPr>
        <w:t>对项目涉及的危险品进行重大危险源辨识</w:t>
      </w:r>
      <w:r>
        <w:rPr>
          <w:rFonts w:hint="eastAsia"/>
          <w:lang w:eastAsia="zh-CN"/>
        </w:rPr>
        <w:t>，</w:t>
      </w:r>
      <w:r>
        <w:rPr>
          <w:rFonts w:hint="eastAsia"/>
        </w:rPr>
        <w:t xml:space="preserve">该项目 </w:t>
      </w:r>
      <w:r>
        <w:rPr>
          <w:rFonts w:hint="eastAsia"/>
          <w:lang w:val="en-US" w:eastAsia="zh-CN"/>
        </w:rPr>
        <w:t>545</w:t>
      </w:r>
      <w:r>
        <w:rPr>
          <w:rFonts w:hint="eastAsia"/>
        </w:rPr>
        <w:t xml:space="preserve"> 号成品库构成烟花爆竹重大危险源。</w:t>
      </w:r>
    </w:p>
    <w:p w14:paraId="48124F64">
      <w:pPr>
        <w:pStyle w:val="3"/>
        <w:bidi w:val="0"/>
        <w:ind w:left="0" w:leftChars="0" w:firstLine="0" w:firstLineChars="0"/>
        <w:rPr>
          <w:rFonts w:hint="eastAsia"/>
        </w:rPr>
      </w:pPr>
      <w:bookmarkStart w:id="105" w:name="_Toc11999"/>
      <w:bookmarkStart w:id="106" w:name="_Toc5681"/>
      <w:r>
        <w:rPr>
          <w:rFonts w:hint="eastAsia"/>
        </w:rPr>
        <w:t>3.</w:t>
      </w:r>
      <w:r>
        <w:rPr>
          <w:rFonts w:hint="eastAsia"/>
          <w:lang w:val="en-US" w:eastAsia="zh-CN"/>
        </w:rPr>
        <w:t>7</w:t>
      </w:r>
      <w:r>
        <w:rPr>
          <w:rFonts w:hint="eastAsia"/>
        </w:rPr>
        <w:t xml:space="preserve"> 重点监控化学品和易制爆化学品辨识</w:t>
      </w:r>
      <w:bookmarkEnd w:id="105"/>
      <w:bookmarkEnd w:id="106"/>
    </w:p>
    <w:p w14:paraId="4E33D210">
      <w:pPr>
        <w:pStyle w:val="4"/>
        <w:bidi w:val="0"/>
        <w:ind w:left="0" w:leftChars="0" w:firstLine="0" w:firstLineChars="0"/>
        <w:rPr>
          <w:rFonts w:hint="eastAsia"/>
        </w:rPr>
      </w:pPr>
      <w:bookmarkStart w:id="107" w:name="_Toc31193"/>
      <w:r>
        <w:rPr>
          <w:rFonts w:hint="eastAsia"/>
        </w:rPr>
        <w:t>3.</w:t>
      </w:r>
      <w:r>
        <w:rPr>
          <w:rFonts w:hint="eastAsia"/>
          <w:lang w:val="en-US" w:eastAsia="zh-CN"/>
        </w:rPr>
        <w:t>7</w:t>
      </w:r>
      <w:r>
        <w:rPr>
          <w:rFonts w:hint="eastAsia"/>
        </w:rPr>
        <w:t>.1 监控化学品辨识</w:t>
      </w:r>
      <w:bookmarkEnd w:id="107"/>
    </w:p>
    <w:p w14:paraId="7C71984E">
      <w:pPr>
        <w:bidi w:val="0"/>
        <w:rPr>
          <w:rFonts w:hint="eastAsia"/>
        </w:rPr>
      </w:pPr>
      <w:r>
        <w:rPr>
          <w:rFonts w:hint="eastAsia"/>
        </w:rPr>
        <w:t>监控化学品辨识是依据《中华人民共和国监控化学品管理条例》</w:t>
      </w:r>
      <w:r>
        <w:rPr>
          <w:rFonts w:hint="eastAsia"/>
          <w:lang w:eastAsia="zh-CN"/>
        </w:rPr>
        <w:t>，</w:t>
      </w:r>
      <w:r>
        <w:rPr>
          <w:rFonts w:hint="eastAsia"/>
        </w:rPr>
        <w:t>依据《中华人民共和国监控化学品管理条例》的规定</w:t>
      </w:r>
      <w:r>
        <w:rPr>
          <w:rFonts w:hint="eastAsia"/>
          <w:lang w:eastAsia="zh-CN"/>
        </w:rPr>
        <w:t>，</w:t>
      </w:r>
      <w:r>
        <w:rPr>
          <w:rFonts w:hint="eastAsia"/>
        </w:rPr>
        <w:t>该公司储存的产品为烟花爆竹成品，不属于监控化学品。</w:t>
      </w:r>
    </w:p>
    <w:p w14:paraId="78B82D82">
      <w:pPr>
        <w:pStyle w:val="4"/>
        <w:bidi w:val="0"/>
        <w:ind w:left="0" w:leftChars="0" w:firstLine="0" w:firstLineChars="0"/>
        <w:rPr>
          <w:rFonts w:hint="eastAsia"/>
        </w:rPr>
      </w:pPr>
      <w:bookmarkStart w:id="108" w:name="_Toc1371"/>
      <w:r>
        <w:rPr>
          <w:rFonts w:hint="eastAsia"/>
        </w:rPr>
        <w:t>3.</w:t>
      </w:r>
      <w:r>
        <w:rPr>
          <w:rFonts w:hint="eastAsia"/>
          <w:lang w:val="en-US" w:eastAsia="zh-CN"/>
        </w:rPr>
        <w:t>7</w:t>
      </w:r>
      <w:r>
        <w:rPr>
          <w:rFonts w:hint="eastAsia"/>
        </w:rPr>
        <w:t>.2 易制爆化学品辨识</w:t>
      </w:r>
      <w:bookmarkEnd w:id="108"/>
    </w:p>
    <w:p w14:paraId="37C3B1FD">
      <w:pPr>
        <w:bidi w:val="0"/>
        <w:rPr>
          <w:rFonts w:hint="eastAsia"/>
        </w:rPr>
      </w:pPr>
      <w:r>
        <w:rPr>
          <w:rFonts w:hint="eastAsia"/>
        </w:rPr>
        <w:t>易制爆化学品辨识辨识是依据《易制爆危险化学品名录》（2017 版），依据《易制爆危险化学品名录》（2017 版）的规定，该公司储存烟花爆竹成品不属于易制爆化学品。</w:t>
      </w:r>
    </w:p>
    <w:p w14:paraId="30684584">
      <w:pPr>
        <w:pStyle w:val="3"/>
        <w:bidi w:val="0"/>
        <w:ind w:left="0" w:leftChars="0" w:firstLine="0" w:firstLineChars="0"/>
        <w:rPr>
          <w:rFonts w:hint="eastAsia"/>
        </w:rPr>
      </w:pPr>
      <w:bookmarkStart w:id="109" w:name="_Toc29627"/>
      <w:bookmarkStart w:id="110" w:name="_Toc27312"/>
      <w:r>
        <w:rPr>
          <w:rFonts w:hint="eastAsia"/>
        </w:rPr>
        <w:t>3.</w:t>
      </w:r>
      <w:r>
        <w:rPr>
          <w:rFonts w:hint="eastAsia"/>
          <w:lang w:val="en-US" w:eastAsia="zh-CN"/>
        </w:rPr>
        <w:t>8</w:t>
      </w:r>
      <w:r>
        <w:rPr>
          <w:rFonts w:hint="eastAsia"/>
        </w:rPr>
        <w:t xml:space="preserve"> 事故案例和原因分析</w:t>
      </w:r>
      <w:bookmarkEnd w:id="109"/>
      <w:bookmarkEnd w:id="110"/>
    </w:p>
    <w:p w14:paraId="42BE94B9">
      <w:pPr>
        <w:pStyle w:val="4"/>
        <w:bidi w:val="0"/>
        <w:ind w:left="0" w:leftChars="0" w:firstLine="0" w:firstLineChars="0"/>
        <w:rPr>
          <w:rFonts w:hint="eastAsia"/>
        </w:rPr>
      </w:pPr>
      <w:bookmarkStart w:id="111" w:name="_Toc31631"/>
      <w:r>
        <w:rPr>
          <w:rFonts w:hint="eastAsia"/>
        </w:rPr>
        <w:t>3.</w:t>
      </w:r>
      <w:r>
        <w:rPr>
          <w:rFonts w:hint="eastAsia"/>
          <w:lang w:val="en-US" w:eastAsia="zh-CN"/>
        </w:rPr>
        <w:t>8</w:t>
      </w:r>
      <w:r>
        <w:rPr>
          <w:rFonts w:hint="eastAsia"/>
        </w:rPr>
        <w:t>.1 雷电</w:t>
      </w:r>
      <w:bookmarkEnd w:id="111"/>
    </w:p>
    <w:p w14:paraId="65679CE8">
      <w:pPr>
        <w:bidi w:val="0"/>
        <w:rPr>
          <w:rFonts w:hint="eastAsia"/>
          <w:lang w:eastAsia="zh-CN"/>
        </w:rPr>
      </w:pPr>
      <w:r>
        <w:rPr>
          <w:rFonts w:hint="eastAsia"/>
        </w:rPr>
        <w:t>事故案例：2005年4月24日上栗县一花炮厂成品仓库发生雷击爆炸事故</w:t>
      </w:r>
      <w:r>
        <w:rPr>
          <w:rFonts w:hint="eastAsia"/>
          <w:lang w:eastAsia="zh-CN"/>
        </w:rPr>
        <w:t>，</w:t>
      </w:r>
      <w:r>
        <w:rPr>
          <w:rFonts w:hint="eastAsia"/>
        </w:rPr>
        <w:t>损失30多万</w:t>
      </w:r>
      <w:r>
        <w:rPr>
          <w:rFonts w:hint="eastAsia"/>
          <w:lang w:eastAsia="zh-CN"/>
        </w:rPr>
        <w:t>。</w:t>
      </w:r>
    </w:p>
    <w:p w14:paraId="26021409">
      <w:pPr>
        <w:bidi w:val="0"/>
        <w:rPr>
          <w:rFonts w:hint="eastAsia"/>
        </w:rPr>
      </w:pPr>
      <w:r>
        <w:rPr>
          <w:rFonts w:hint="eastAsia"/>
        </w:rPr>
        <w:t>雷电可能触发烟花爆竹在储存过程中发生火灾、爆炸事故。因而防雷设施的可靠性是烟花爆竹安全储存的主要因素之一</w:t>
      </w:r>
      <w:r>
        <w:rPr>
          <w:rFonts w:hint="eastAsia"/>
          <w:lang w:eastAsia="zh-CN"/>
        </w:rPr>
        <w:t>，</w:t>
      </w:r>
      <w:r>
        <w:rPr>
          <w:rFonts w:hint="eastAsia"/>
        </w:rPr>
        <w:t>由于雷电的不确定性，易在防雷设施不到位的地方发生直击雷或感应雷雷击事件，引起火灾、爆炸。该公司所在山区位置</w:t>
      </w:r>
      <w:r>
        <w:rPr>
          <w:rFonts w:hint="eastAsia"/>
          <w:lang w:eastAsia="zh-CN"/>
        </w:rPr>
        <w:t>，</w:t>
      </w:r>
      <w:r>
        <w:rPr>
          <w:rFonts w:hint="eastAsia"/>
        </w:rPr>
        <w:t>尤其是夏天雨季雷电较多，受雷击危害的可能性相对较大。因此，防雷设施应严格按规范进行，选择可靠的避雷方式，接地电阻必须符合要求，以有效防止直击雷或感应雷的危害。</w:t>
      </w:r>
    </w:p>
    <w:p w14:paraId="334EE46B">
      <w:pPr>
        <w:bidi w:val="0"/>
        <w:rPr>
          <w:rFonts w:hint="eastAsia"/>
        </w:rPr>
      </w:pPr>
      <w:r>
        <w:rPr>
          <w:rFonts w:hint="eastAsia"/>
        </w:rPr>
        <w:t>1</w:t>
      </w:r>
      <w:r>
        <w:rPr>
          <w:rFonts w:hint="eastAsia"/>
          <w:lang w:val="en-US" w:eastAsia="zh-CN"/>
        </w:rPr>
        <w:t>）</w:t>
      </w:r>
      <w:r>
        <w:rPr>
          <w:rFonts w:hint="eastAsia"/>
        </w:rPr>
        <w:t>触发事件：雷电的火球接触药剂和人员。</w:t>
      </w:r>
    </w:p>
    <w:p w14:paraId="64291DE3">
      <w:pPr>
        <w:bidi w:val="0"/>
        <w:rPr>
          <w:rFonts w:hint="eastAsia"/>
        </w:rPr>
      </w:pPr>
      <w:r>
        <w:rPr>
          <w:rFonts w:hint="eastAsia"/>
        </w:rPr>
        <w:t>2</w:t>
      </w:r>
      <w:r>
        <w:rPr>
          <w:rFonts w:hint="eastAsia"/>
          <w:lang w:val="en-US" w:eastAsia="zh-CN"/>
        </w:rPr>
        <w:t>）</w:t>
      </w:r>
      <w:r>
        <w:rPr>
          <w:rFonts w:hint="eastAsia"/>
        </w:rPr>
        <w:t>发生条件：直击雷、球形雷。</w:t>
      </w:r>
    </w:p>
    <w:p w14:paraId="5C350BD3">
      <w:pPr>
        <w:bidi w:val="0"/>
      </w:pPr>
      <w:r>
        <w:rPr>
          <w:rFonts w:hint="eastAsia"/>
        </w:rPr>
        <w:t>3</w:t>
      </w:r>
      <w:r>
        <w:rPr>
          <w:rFonts w:hint="eastAsia"/>
          <w:lang w:val="en-US" w:eastAsia="zh-CN"/>
        </w:rPr>
        <w:t>）</w:t>
      </w:r>
      <w:r>
        <w:rPr>
          <w:rFonts w:hint="eastAsia"/>
        </w:rPr>
        <w:t>防范措施：</w:t>
      </w:r>
    </w:p>
    <w:p w14:paraId="5A8767FA">
      <w:pPr>
        <w:bidi w:val="0"/>
      </w:pPr>
      <w:r>
        <w:rPr>
          <w:rFonts w:hint="eastAsia"/>
          <w:lang w:eastAsia="zh-CN"/>
        </w:rPr>
        <w:t>（</w:t>
      </w:r>
      <w:r>
        <w:t>1</w:t>
      </w:r>
      <w:r>
        <w:rPr>
          <w:rFonts w:hint="eastAsia"/>
          <w:lang w:eastAsia="zh-CN"/>
        </w:rPr>
        <w:t>）</w:t>
      </w:r>
      <w:r>
        <w:t>直击雷可通过避雷针避免；</w:t>
      </w:r>
    </w:p>
    <w:p w14:paraId="4144F3D0">
      <w:pPr>
        <w:bidi w:val="0"/>
      </w:pPr>
      <w:r>
        <w:rPr>
          <w:rFonts w:hint="eastAsia"/>
          <w:lang w:eastAsia="zh-CN"/>
        </w:rPr>
        <w:t>（</w:t>
      </w:r>
      <w:r>
        <w:t>2</w:t>
      </w:r>
      <w:r>
        <w:rPr>
          <w:rFonts w:hint="eastAsia"/>
          <w:lang w:eastAsia="zh-CN"/>
        </w:rPr>
        <w:t>）</w:t>
      </w:r>
      <w:r>
        <w:t>球形雷很难预防，大雷暴雨时停止作业，并离开工作岗位到安全处。</w:t>
      </w:r>
    </w:p>
    <w:p w14:paraId="6CBD9C86">
      <w:pPr>
        <w:pStyle w:val="4"/>
        <w:bidi w:val="0"/>
        <w:ind w:left="0" w:leftChars="0" w:firstLine="0" w:firstLineChars="0"/>
      </w:pPr>
      <w:bookmarkStart w:id="112" w:name="_Toc15624"/>
      <w:r>
        <w:t>3.</w:t>
      </w:r>
      <w:r>
        <w:rPr>
          <w:rFonts w:hint="eastAsia"/>
          <w:lang w:val="en-US" w:eastAsia="zh-CN"/>
        </w:rPr>
        <w:t>8</w:t>
      </w:r>
      <w:r>
        <w:t>.2 机械能（碰撞、摩擦）</w:t>
      </w:r>
      <w:bookmarkEnd w:id="112"/>
    </w:p>
    <w:p w14:paraId="5B3E37A4">
      <w:pPr>
        <w:bidi w:val="0"/>
      </w:pPr>
      <w:r>
        <w:t>事故案例：1989 年 1 月 26 日江苏省建湖县庆丰乡红星花炮厂插引工领硝饼时用铁桶盖放在有药尘的水泥台面上，装满后移动时因水泥台面与铁桶盖摩擦起火引燃台面药尘发生爆炸，死亡 11 人，伤 18 人。</w:t>
      </w:r>
    </w:p>
    <w:p w14:paraId="0FB4ED3A">
      <w:pPr>
        <w:bidi w:val="0"/>
      </w:pPr>
      <w:r>
        <w:t>1</w:t>
      </w:r>
      <w:r>
        <w:rPr>
          <w:rFonts w:hint="eastAsia"/>
          <w:lang w:val="en-US" w:eastAsia="zh-CN"/>
        </w:rPr>
        <w:t>）</w:t>
      </w:r>
      <w:r>
        <w:t>触发事件：局部能量集中产生自燃点。</w:t>
      </w:r>
    </w:p>
    <w:p w14:paraId="35539EDB">
      <w:pPr>
        <w:bidi w:val="0"/>
      </w:pPr>
      <w:r>
        <w:t>2</w:t>
      </w:r>
      <w:r>
        <w:rPr>
          <w:rFonts w:hint="eastAsia"/>
          <w:lang w:eastAsia="zh-CN"/>
        </w:rPr>
        <w:t>）</w:t>
      </w:r>
      <w:r>
        <w:t>发生条件：药内有硬杂质、使用铁质工具、工具磨损有毛刺、意外跌落、挤压、超负荷疲劳作业、台面有沙粒、拖拉有药的半成品、踩燃地面余药、哄抢领料、烘干过程中翻动、违规使用高敏感度药剂。</w:t>
      </w:r>
    </w:p>
    <w:p w14:paraId="23720F6B">
      <w:pPr>
        <w:bidi w:val="0"/>
      </w:pPr>
      <w:r>
        <w:t>3</w:t>
      </w:r>
      <w:r>
        <w:rPr>
          <w:rFonts w:hint="eastAsia"/>
          <w:lang w:eastAsia="zh-CN"/>
        </w:rPr>
        <w:t>）</w:t>
      </w:r>
      <w:r>
        <w:t>防范措施：</w:t>
      </w:r>
    </w:p>
    <w:p w14:paraId="37707C99">
      <w:pPr>
        <w:bidi w:val="0"/>
      </w:pPr>
      <w:r>
        <w:rPr>
          <w:rFonts w:hint="eastAsia"/>
          <w:lang w:eastAsia="zh-CN"/>
        </w:rPr>
        <w:t>（</w:t>
      </w:r>
      <w:r>
        <w:t>1</w:t>
      </w:r>
      <w:r>
        <w:rPr>
          <w:rFonts w:hint="eastAsia"/>
          <w:lang w:eastAsia="zh-CN"/>
        </w:rPr>
        <w:t>）</w:t>
      </w:r>
      <w:r>
        <w:t>防止杂物进入原材料，混合前原材料应单项筛选；</w:t>
      </w:r>
    </w:p>
    <w:p w14:paraId="0FE76E19">
      <w:pPr>
        <w:bidi w:val="0"/>
      </w:pPr>
      <w:r>
        <w:rPr>
          <w:rFonts w:hint="eastAsia"/>
          <w:lang w:eastAsia="zh-CN"/>
        </w:rPr>
        <w:t>（</w:t>
      </w:r>
      <w:r>
        <w:t>2</w:t>
      </w:r>
      <w:r>
        <w:rPr>
          <w:rFonts w:hint="eastAsia"/>
          <w:lang w:eastAsia="zh-CN"/>
        </w:rPr>
        <w:t>）</w:t>
      </w:r>
      <w:r>
        <w:t>使用绢筛，不使用铁质工具；</w:t>
      </w:r>
    </w:p>
    <w:p w14:paraId="513DDBAE">
      <w:pPr>
        <w:bidi w:val="0"/>
      </w:pPr>
      <w:r>
        <w:rPr>
          <w:rFonts w:hint="eastAsia"/>
          <w:lang w:eastAsia="zh-CN"/>
        </w:rPr>
        <w:t>（</w:t>
      </w:r>
      <w:r>
        <w:t>3</w:t>
      </w:r>
      <w:r>
        <w:rPr>
          <w:rFonts w:hint="eastAsia"/>
          <w:lang w:eastAsia="zh-CN"/>
        </w:rPr>
        <w:t>）</w:t>
      </w:r>
      <w:r>
        <w:t>工具及工作台面打磨平整；</w:t>
      </w:r>
    </w:p>
    <w:p w14:paraId="28313B7A">
      <w:pPr>
        <w:bidi w:val="0"/>
      </w:pPr>
      <w:r>
        <w:rPr>
          <w:rFonts w:hint="eastAsia"/>
          <w:lang w:eastAsia="zh-CN"/>
        </w:rPr>
        <w:t>（</w:t>
      </w:r>
      <w:r>
        <w:t>4</w:t>
      </w:r>
      <w:r>
        <w:rPr>
          <w:rFonts w:hint="eastAsia"/>
          <w:lang w:eastAsia="zh-CN"/>
        </w:rPr>
        <w:t>）</w:t>
      </w:r>
      <w:r>
        <w:t>不使用违禁药物；</w:t>
      </w:r>
    </w:p>
    <w:p w14:paraId="27166FFF">
      <w:pPr>
        <w:bidi w:val="0"/>
      </w:pPr>
      <w:r>
        <w:rPr>
          <w:rFonts w:hint="eastAsia"/>
          <w:lang w:eastAsia="zh-CN"/>
        </w:rPr>
        <w:t>（</w:t>
      </w:r>
      <w:r>
        <w:t>5</w:t>
      </w:r>
      <w:r>
        <w:rPr>
          <w:rFonts w:hint="eastAsia"/>
          <w:lang w:eastAsia="zh-CN"/>
        </w:rPr>
        <w:t>）</w:t>
      </w:r>
      <w:r>
        <w:t>思想高度集中；</w:t>
      </w:r>
    </w:p>
    <w:p w14:paraId="02903F87">
      <w:pPr>
        <w:bidi w:val="0"/>
      </w:pPr>
      <w:r>
        <w:rPr>
          <w:rFonts w:hint="eastAsia"/>
          <w:lang w:eastAsia="zh-CN"/>
        </w:rPr>
        <w:t>（</w:t>
      </w:r>
      <w:r>
        <w:t>6</w:t>
      </w:r>
      <w:r>
        <w:rPr>
          <w:rFonts w:hint="eastAsia"/>
          <w:lang w:eastAsia="zh-CN"/>
        </w:rPr>
        <w:t>）</w:t>
      </w:r>
      <w:r>
        <w:t>严禁加班加点和延长劳动时间，不上晚班。</w:t>
      </w:r>
    </w:p>
    <w:p w14:paraId="1E46057E">
      <w:pPr>
        <w:pStyle w:val="4"/>
        <w:bidi w:val="0"/>
        <w:ind w:left="0" w:leftChars="0" w:firstLine="0" w:firstLineChars="0"/>
      </w:pPr>
      <w:bookmarkStart w:id="113" w:name="_Toc14412"/>
      <w:r>
        <w:t>3.</w:t>
      </w:r>
      <w:r>
        <w:rPr>
          <w:rFonts w:hint="eastAsia"/>
          <w:lang w:val="en-US" w:eastAsia="zh-CN"/>
        </w:rPr>
        <w:t>8</w:t>
      </w:r>
      <w:r>
        <w:t>.3 静电</w:t>
      </w:r>
      <w:bookmarkEnd w:id="113"/>
    </w:p>
    <w:p w14:paraId="3FD758E5">
      <w:pPr>
        <w:bidi w:val="0"/>
      </w:pPr>
      <w:r>
        <w:rPr>
          <w:spacing w:val="-6"/>
          <w:sz w:val="28"/>
        </w:rPr>
        <w:t>事故案例：1993 年 1 月 8 日黑龙江省方正县育林乡春雷花炮厂因工人穿化纤衣服产生静电火花引起爆炸，死亡 12 人、重伤 2 人。</w:t>
      </w:r>
    </w:p>
    <w:p w14:paraId="5066FC8B">
      <w:pPr>
        <w:bidi w:val="0"/>
      </w:pPr>
      <w:r>
        <w:t>静电能够引起火灾爆炸的根本原因在于静电放电火花具有点火能量，而静电保护主要是设法清除、控制静电的产生和积累条件。</w:t>
      </w:r>
    </w:p>
    <w:p w14:paraId="04C24660">
      <w:pPr>
        <w:bidi w:val="0"/>
      </w:pPr>
      <w:r>
        <w:t>1</w:t>
      </w:r>
      <w:r>
        <w:rPr>
          <w:rFonts w:hint="eastAsia"/>
          <w:lang w:eastAsia="zh-CN"/>
        </w:rPr>
        <w:t>）</w:t>
      </w:r>
      <w:r>
        <w:t>触发事件：静电放电火花。</w:t>
      </w:r>
    </w:p>
    <w:p w14:paraId="26679724">
      <w:pPr>
        <w:bidi w:val="0"/>
      </w:pPr>
      <w:r>
        <w:t>2</w:t>
      </w:r>
      <w:r>
        <w:rPr>
          <w:rFonts w:hint="eastAsia"/>
          <w:lang w:eastAsia="zh-CN"/>
        </w:rPr>
        <w:t>）</w:t>
      </w:r>
      <w:r>
        <w:t>发生条件：药剂积聚静电、人体积聚静电、搬运产生静电。</w:t>
      </w:r>
    </w:p>
    <w:p w14:paraId="2A6ABB35">
      <w:pPr>
        <w:bidi w:val="0"/>
      </w:pPr>
      <w:r>
        <w:t>3</w:t>
      </w:r>
      <w:r>
        <w:rPr>
          <w:rFonts w:hint="eastAsia"/>
          <w:lang w:eastAsia="zh-CN"/>
        </w:rPr>
        <w:t>）</w:t>
      </w:r>
      <w:r>
        <w:t>防范措施：</w:t>
      </w:r>
    </w:p>
    <w:p w14:paraId="6FAAA0CF">
      <w:pPr>
        <w:bidi w:val="0"/>
      </w:pPr>
      <w:r>
        <w:rPr>
          <w:rFonts w:hint="eastAsia"/>
          <w:lang w:eastAsia="zh-CN"/>
        </w:rPr>
        <w:t>（</w:t>
      </w:r>
      <w:r>
        <w:t>1</w:t>
      </w:r>
      <w:r>
        <w:rPr>
          <w:rFonts w:hint="eastAsia"/>
          <w:lang w:eastAsia="zh-CN"/>
        </w:rPr>
        <w:t>）</w:t>
      </w:r>
      <w:r>
        <w:t>有药工作台上铺导静电橡胶板；</w:t>
      </w:r>
    </w:p>
    <w:p w14:paraId="79F9C732">
      <w:pPr>
        <w:bidi w:val="0"/>
      </w:pPr>
      <w:r>
        <w:rPr>
          <w:rFonts w:hint="eastAsia"/>
          <w:lang w:eastAsia="zh-CN"/>
        </w:rPr>
        <w:t>（</w:t>
      </w:r>
      <w:r>
        <w:t>2</w:t>
      </w:r>
      <w:r>
        <w:rPr>
          <w:rFonts w:hint="eastAsia"/>
          <w:lang w:eastAsia="zh-CN"/>
        </w:rPr>
        <w:t>）</w:t>
      </w:r>
      <w:r>
        <w:t>工作间装静电消除装置；</w:t>
      </w:r>
    </w:p>
    <w:p w14:paraId="33BA4757">
      <w:pPr>
        <w:bidi w:val="0"/>
      </w:pPr>
      <w:r>
        <w:rPr>
          <w:rFonts w:hint="eastAsia"/>
          <w:lang w:eastAsia="zh-CN"/>
        </w:rPr>
        <w:t>（</w:t>
      </w:r>
      <w:r>
        <w:t>3</w:t>
      </w:r>
      <w:r>
        <w:rPr>
          <w:rFonts w:hint="eastAsia"/>
          <w:lang w:eastAsia="zh-CN"/>
        </w:rPr>
        <w:t>）</w:t>
      </w:r>
      <w:r>
        <w:t>操作人员穿防静电或全棉工作服；</w:t>
      </w:r>
    </w:p>
    <w:p w14:paraId="2814129E">
      <w:pPr>
        <w:bidi w:val="0"/>
      </w:pPr>
      <w:r>
        <w:rPr>
          <w:rFonts w:hint="eastAsia"/>
          <w:lang w:eastAsia="zh-CN"/>
        </w:rPr>
        <w:t>（</w:t>
      </w:r>
      <w:r>
        <w:t>4</w:t>
      </w:r>
      <w:r>
        <w:rPr>
          <w:rFonts w:hint="eastAsia"/>
          <w:lang w:eastAsia="zh-CN"/>
        </w:rPr>
        <w:t>）</w:t>
      </w:r>
      <w:r>
        <w:t>操作人员定期消除静电；</w:t>
      </w:r>
    </w:p>
    <w:p w14:paraId="201FF2BC">
      <w:pPr>
        <w:bidi w:val="0"/>
      </w:pPr>
      <w:r>
        <w:rPr>
          <w:rFonts w:hint="eastAsia"/>
          <w:lang w:eastAsia="zh-CN"/>
        </w:rPr>
        <w:t>（</w:t>
      </w:r>
      <w:r>
        <w:t>5</w:t>
      </w:r>
      <w:r>
        <w:rPr>
          <w:rFonts w:hint="eastAsia"/>
          <w:lang w:eastAsia="zh-CN"/>
        </w:rPr>
        <w:t>）</w:t>
      </w:r>
      <w:r>
        <w:t>保持地面潮湿，使用防静电器具（不能用普通塑料器皿盛装烟火药）。</w:t>
      </w:r>
    </w:p>
    <w:p w14:paraId="5D4ADCFB">
      <w:pPr>
        <w:pStyle w:val="4"/>
        <w:bidi w:val="0"/>
        <w:ind w:left="0" w:leftChars="0" w:firstLine="0" w:firstLineChars="0"/>
      </w:pPr>
      <w:bookmarkStart w:id="114" w:name="_Toc29609"/>
      <w:r>
        <w:t>3.</w:t>
      </w:r>
      <w:r>
        <w:rPr>
          <w:rFonts w:hint="eastAsia"/>
          <w:lang w:val="en-US" w:eastAsia="zh-CN"/>
        </w:rPr>
        <w:t>8</w:t>
      </w:r>
      <w:r>
        <w:t>.4 化学能</w:t>
      </w:r>
      <w:bookmarkEnd w:id="114"/>
    </w:p>
    <w:p w14:paraId="6ED74AD0">
      <w:pPr>
        <w:bidi w:val="0"/>
      </w:pPr>
      <w:r>
        <w:t>事故案例：2000 年 8 月 4 日江西省上栗县因从内蒙非法运回的亮珠等药料长时间在雨中吸湿、受潮，产生化学放热反应达到着火点引发爆炸，死亡 27 人，伤 26 人。</w:t>
      </w:r>
    </w:p>
    <w:p w14:paraId="728DF7F9">
      <w:pPr>
        <w:bidi w:val="0"/>
      </w:pPr>
      <w:r>
        <w:rPr>
          <w:spacing w:val="-6"/>
          <w:sz w:val="28"/>
        </w:rPr>
        <w:t>烟花爆竹产品中的升华硫或硫磺长时间暴露在空气中被氧化产生放热反应，并且烟花爆竹是由氧化剂、还原剂等物质混合组成，常用氧化剂（高氯酸钾）常温下稳定，遇热分解易燃，均易发生爆炸。</w:t>
      </w:r>
    </w:p>
    <w:p w14:paraId="59019592">
      <w:pPr>
        <w:bidi w:val="0"/>
      </w:pPr>
      <w:r>
        <w:t>1</w:t>
      </w:r>
      <w:r>
        <w:rPr>
          <w:rFonts w:hint="eastAsia"/>
          <w:lang w:eastAsia="zh-CN"/>
        </w:rPr>
        <w:t>）</w:t>
      </w:r>
      <w:r>
        <w:t>触发事件：温度、静电和摩擦。</w:t>
      </w:r>
    </w:p>
    <w:p w14:paraId="214BB8B3">
      <w:pPr>
        <w:bidi w:val="0"/>
      </w:pPr>
      <w:r>
        <w:t>2</w:t>
      </w:r>
      <w:r>
        <w:rPr>
          <w:rFonts w:hint="eastAsia"/>
          <w:lang w:eastAsia="zh-CN"/>
        </w:rPr>
        <w:t>）</w:t>
      </w:r>
      <w:r>
        <w:t>发生条件：化工材料质量不合格。</w:t>
      </w:r>
    </w:p>
    <w:p w14:paraId="10A9E547">
      <w:pPr>
        <w:bidi w:val="0"/>
      </w:pPr>
      <w:r>
        <w:t>3</w:t>
      </w:r>
      <w:r>
        <w:rPr>
          <w:rFonts w:hint="eastAsia"/>
          <w:lang w:eastAsia="zh-CN"/>
        </w:rPr>
        <w:t>）</w:t>
      </w:r>
      <w:r>
        <w:t>防范措施：</w:t>
      </w:r>
    </w:p>
    <w:p w14:paraId="0BB1D287">
      <w:pPr>
        <w:bidi w:val="0"/>
      </w:pPr>
      <w:r>
        <w:rPr>
          <w:rFonts w:hint="eastAsia"/>
          <w:lang w:eastAsia="zh-CN"/>
        </w:rPr>
        <w:t>（</w:t>
      </w:r>
      <w:r>
        <w:t>1</w:t>
      </w:r>
      <w:r>
        <w:rPr>
          <w:rFonts w:hint="eastAsia"/>
          <w:lang w:eastAsia="zh-CN"/>
        </w:rPr>
        <w:t>）</w:t>
      </w:r>
      <w:r>
        <w:t>如果药剂升温立即将药剂摊开散热，人员立即离开至安全地带，1 小时后无异常情况才允许上岗；</w:t>
      </w:r>
    </w:p>
    <w:p w14:paraId="5E68B414">
      <w:pPr>
        <w:bidi w:val="0"/>
      </w:pPr>
      <w:r>
        <w:rPr>
          <w:rFonts w:hint="eastAsia"/>
          <w:lang w:eastAsia="zh-CN"/>
        </w:rPr>
        <w:t>（</w:t>
      </w:r>
      <w:r>
        <w:t>2</w:t>
      </w:r>
      <w:r>
        <w:rPr>
          <w:rFonts w:hint="eastAsia"/>
          <w:lang w:eastAsia="zh-CN"/>
        </w:rPr>
        <w:t>）</w:t>
      </w:r>
      <w:r>
        <w:t>原材料、半成品必须保持干燥；</w:t>
      </w:r>
    </w:p>
    <w:p w14:paraId="0335CB2F">
      <w:pPr>
        <w:bidi w:val="0"/>
      </w:pPr>
      <w:r>
        <w:rPr>
          <w:rFonts w:hint="eastAsia"/>
          <w:lang w:eastAsia="zh-CN"/>
        </w:rPr>
        <w:t>（</w:t>
      </w:r>
      <w:r>
        <w:t>3</w:t>
      </w:r>
      <w:r>
        <w:rPr>
          <w:rFonts w:hint="eastAsia"/>
          <w:lang w:eastAsia="zh-CN"/>
        </w:rPr>
        <w:t>）</w:t>
      </w:r>
      <w:r>
        <w:t>选择符合质量要求的原材料；</w:t>
      </w:r>
    </w:p>
    <w:p w14:paraId="09CF336B">
      <w:pPr>
        <w:bidi w:val="0"/>
      </w:pPr>
      <w:r>
        <w:rPr>
          <w:rFonts w:hint="eastAsia"/>
          <w:lang w:eastAsia="zh-CN"/>
        </w:rPr>
        <w:t>（</w:t>
      </w:r>
      <w:r>
        <w:t>4</w:t>
      </w:r>
      <w:r>
        <w:rPr>
          <w:rFonts w:hint="eastAsia"/>
          <w:lang w:eastAsia="zh-CN"/>
        </w:rPr>
        <w:t>）</w:t>
      </w:r>
      <w:r>
        <w:t>原料使用完应扎紧袋口，不让其与空气接触。</w:t>
      </w:r>
    </w:p>
    <w:p w14:paraId="0858EC03">
      <w:pPr>
        <w:pStyle w:val="4"/>
        <w:bidi w:val="0"/>
        <w:ind w:left="0" w:leftChars="0" w:firstLine="0" w:firstLineChars="0"/>
      </w:pPr>
      <w:bookmarkStart w:id="115" w:name="_Toc13705"/>
      <w:r>
        <w:t>3.</w:t>
      </w:r>
      <w:r>
        <w:rPr>
          <w:rFonts w:hint="eastAsia"/>
          <w:lang w:val="en-US" w:eastAsia="zh-CN"/>
        </w:rPr>
        <w:t>8</w:t>
      </w:r>
      <w:r>
        <w:t>.5 热能</w:t>
      </w:r>
      <w:bookmarkEnd w:id="115"/>
    </w:p>
    <w:p w14:paraId="181C88F0">
      <w:pPr>
        <w:bidi w:val="0"/>
      </w:pPr>
      <w:r>
        <w:t>事故案例：2003 年 7 月 28 日河北省辛集市郭西花炮厂因在高温天气晾晒礼花弹及药物发生爆炸，死亡 35 人，2 人失踪，103 人受伤。</w:t>
      </w:r>
    </w:p>
    <w:p w14:paraId="05853444">
      <w:pPr>
        <w:bidi w:val="0"/>
      </w:pPr>
      <w:r>
        <w:t>高温、潮湿容易引发火灾。在储存过程中药物、半成品、成品遇湿发热物质能形成局部高温，可能引发火灾、爆炸事故。加之地处亚热带地区，夏季正常最高温度达 40℃</w:t>
      </w:r>
      <w:r>
        <w:rPr>
          <w:rFonts w:hint="eastAsia"/>
          <w:lang w:eastAsia="zh-CN"/>
        </w:rPr>
        <w:t>，</w:t>
      </w:r>
      <w:r>
        <w:t>当温度过高时，可采取降温措施，防止事故的发生。</w:t>
      </w:r>
    </w:p>
    <w:p w14:paraId="0D857B50">
      <w:pPr>
        <w:bidi w:val="0"/>
      </w:pPr>
      <w:r>
        <w:t>1</w:t>
      </w:r>
      <w:r>
        <w:rPr>
          <w:rFonts w:hint="eastAsia"/>
          <w:lang w:eastAsia="zh-CN"/>
        </w:rPr>
        <w:t>）</w:t>
      </w:r>
      <w:r>
        <w:t>触发事件：热量积累点燃药物。</w:t>
      </w:r>
    </w:p>
    <w:p w14:paraId="52B491B2">
      <w:pPr>
        <w:bidi w:val="0"/>
      </w:pPr>
      <w:r>
        <w:t>2</w:t>
      </w:r>
      <w:r>
        <w:rPr>
          <w:rFonts w:hint="eastAsia"/>
          <w:lang w:eastAsia="zh-CN"/>
        </w:rPr>
        <w:t>）</w:t>
      </w:r>
      <w:r>
        <w:t>发生条件：明火、环境温度过高。</w:t>
      </w:r>
    </w:p>
    <w:p w14:paraId="1C918D61">
      <w:pPr>
        <w:bidi w:val="0"/>
      </w:pPr>
      <w:r>
        <w:t>3</w:t>
      </w:r>
      <w:r>
        <w:rPr>
          <w:rFonts w:hint="eastAsia"/>
          <w:lang w:eastAsia="zh-CN"/>
        </w:rPr>
        <w:t>）</w:t>
      </w:r>
      <w:r>
        <w:t>防范措施：禁止明火源、34℃以上高温停止作业。</w:t>
      </w:r>
    </w:p>
    <w:p w14:paraId="25D9FB7B">
      <w:pPr>
        <w:spacing w:line="360" w:lineRule="auto"/>
        <w:ind w:firstLine="606" w:firstLineChars="200"/>
        <w:rPr>
          <w:rFonts w:ascii="宋体" w:hAnsi="宋体" w:cs="宋体"/>
          <w:bCs/>
          <w:sz w:val="28"/>
          <w:szCs w:val="28"/>
        </w:rPr>
      </w:pPr>
    </w:p>
    <w:p w14:paraId="0646405D">
      <w:pPr>
        <w:rPr>
          <w:rFonts w:ascii="宋体" w:hAnsi="宋体" w:cs="宋体"/>
          <w:bCs/>
          <w:sz w:val="28"/>
          <w:szCs w:val="28"/>
        </w:rPr>
      </w:pPr>
      <w:r>
        <w:rPr>
          <w:rFonts w:ascii="宋体" w:hAnsi="宋体" w:cs="宋体"/>
          <w:bCs/>
          <w:sz w:val="28"/>
          <w:szCs w:val="28"/>
        </w:rPr>
        <w:br w:type="page"/>
      </w:r>
    </w:p>
    <w:p w14:paraId="5785265C">
      <w:pPr>
        <w:pStyle w:val="2"/>
        <w:keepLines w:val="0"/>
        <w:pageBreakBefore w:val="0"/>
        <w:kinsoku/>
        <w:wordWrap/>
        <w:overflowPunct/>
        <w:topLinePunct w:val="0"/>
        <w:autoSpaceDE/>
        <w:autoSpaceDN/>
        <w:bidi w:val="0"/>
        <w:adjustRightInd/>
        <w:snapToGrid/>
        <w:spacing w:line="580" w:lineRule="exact"/>
        <w:jc w:val="center"/>
        <w:textAlignment w:val="auto"/>
        <w:rPr>
          <w:rFonts w:hint="eastAsia"/>
        </w:rPr>
      </w:pPr>
      <w:bookmarkStart w:id="116" w:name="_Toc11950"/>
      <w:bookmarkStart w:id="117" w:name="_Toc25011"/>
      <w:r>
        <w:rPr>
          <w:rFonts w:hint="eastAsia"/>
        </w:rPr>
        <w:t>4 评价单元划分及评价方法选择</w:t>
      </w:r>
      <w:bookmarkEnd w:id="116"/>
      <w:bookmarkEnd w:id="117"/>
    </w:p>
    <w:p w14:paraId="3871CFFE">
      <w:pPr>
        <w:pStyle w:val="3"/>
        <w:keepLines w:val="0"/>
        <w:pageBreakBefore w:val="0"/>
        <w:kinsoku/>
        <w:wordWrap/>
        <w:overflowPunct/>
        <w:topLinePunct w:val="0"/>
        <w:autoSpaceDE/>
        <w:autoSpaceDN/>
        <w:bidi w:val="0"/>
        <w:adjustRightInd/>
        <w:snapToGrid/>
        <w:spacing w:line="580" w:lineRule="exact"/>
        <w:ind w:left="0" w:leftChars="0" w:firstLine="0" w:firstLineChars="0"/>
        <w:textAlignment w:val="auto"/>
        <w:rPr>
          <w:rFonts w:hint="eastAsia"/>
        </w:rPr>
      </w:pPr>
      <w:bookmarkStart w:id="118" w:name="_Toc13901"/>
      <w:bookmarkStart w:id="119" w:name="_Toc24265"/>
      <w:r>
        <w:rPr>
          <w:rFonts w:hint="eastAsia"/>
        </w:rPr>
        <w:t>4.1 评价单元的划分</w:t>
      </w:r>
      <w:bookmarkEnd w:id="118"/>
      <w:bookmarkEnd w:id="119"/>
    </w:p>
    <w:p w14:paraId="737BA562">
      <w:pPr>
        <w:keepLines w:val="0"/>
        <w:pageBreakBefore w:val="0"/>
        <w:kinsoku/>
        <w:wordWrap/>
        <w:overflowPunct/>
        <w:topLinePunct w:val="0"/>
        <w:autoSpaceDE/>
        <w:autoSpaceDN/>
        <w:bidi w:val="0"/>
        <w:adjustRightInd/>
        <w:snapToGrid/>
        <w:spacing w:line="580" w:lineRule="exact"/>
        <w:textAlignment w:val="auto"/>
        <w:rPr>
          <w:rFonts w:hint="eastAsia"/>
        </w:rPr>
      </w:pPr>
      <w:r>
        <w:rPr>
          <w:rFonts w:hint="eastAsia"/>
        </w:rPr>
        <w:t>根据《烟花爆竹企业安全评价规范》（AQ4113-2008）结合评价对象实际情况，本次评价将对象划分为以下几个评价单元：</w:t>
      </w:r>
    </w:p>
    <w:p w14:paraId="467500A7">
      <w:pPr>
        <w:keepLines w:val="0"/>
        <w:pageBreakBefore w:val="0"/>
        <w:kinsoku/>
        <w:wordWrap/>
        <w:overflowPunct/>
        <w:topLinePunct w:val="0"/>
        <w:autoSpaceDE/>
        <w:autoSpaceDN/>
        <w:bidi w:val="0"/>
        <w:adjustRightInd/>
        <w:snapToGrid/>
        <w:spacing w:line="580" w:lineRule="exact"/>
        <w:textAlignment w:val="auto"/>
        <w:rPr>
          <w:rFonts w:hint="eastAsia"/>
        </w:rPr>
      </w:pPr>
      <w:r>
        <w:rPr>
          <w:rFonts w:hint="eastAsia"/>
        </w:rPr>
        <w:t>1、资料审核单元</w:t>
      </w:r>
    </w:p>
    <w:p w14:paraId="507DE380">
      <w:pPr>
        <w:keepLines w:val="0"/>
        <w:pageBreakBefore w:val="0"/>
        <w:kinsoku/>
        <w:wordWrap/>
        <w:overflowPunct/>
        <w:topLinePunct w:val="0"/>
        <w:autoSpaceDE/>
        <w:autoSpaceDN/>
        <w:bidi w:val="0"/>
        <w:adjustRightInd/>
        <w:snapToGrid/>
        <w:spacing w:line="580" w:lineRule="exact"/>
        <w:textAlignment w:val="auto"/>
        <w:rPr>
          <w:rFonts w:hint="eastAsia"/>
        </w:rPr>
      </w:pPr>
      <w:r>
        <w:rPr>
          <w:rFonts w:hint="eastAsia"/>
        </w:rPr>
        <w:t>2、总体布局和条件设施单元</w:t>
      </w:r>
    </w:p>
    <w:p w14:paraId="64F7FE7D">
      <w:pPr>
        <w:keepLines w:val="0"/>
        <w:pageBreakBefore w:val="0"/>
        <w:kinsoku/>
        <w:wordWrap/>
        <w:overflowPunct/>
        <w:topLinePunct w:val="0"/>
        <w:autoSpaceDE/>
        <w:autoSpaceDN/>
        <w:bidi w:val="0"/>
        <w:adjustRightInd/>
        <w:snapToGrid/>
        <w:spacing w:line="580" w:lineRule="exact"/>
        <w:textAlignment w:val="auto"/>
        <w:rPr>
          <w:rFonts w:hint="eastAsia"/>
        </w:rPr>
      </w:pPr>
      <w:r>
        <w:rPr>
          <w:rFonts w:hint="eastAsia"/>
        </w:rPr>
        <w:t>3、现场检查单元</w:t>
      </w:r>
    </w:p>
    <w:p w14:paraId="2D12B2BC">
      <w:pPr>
        <w:keepLines w:val="0"/>
        <w:pageBreakBefore w:val="0"/>
        <w:kinsoku/>
        <w:wordWrap/>
        <w:overflowPunct/>
        <w:topLinePunct w:val="0"/>
        <w:autoSpaceDE/>
        <w:autoSpaceDN/>
        <w:bidi w:val="0"/>
        <w:adjustRightInd/>
        <w:snapToGrid/>
        <w:spacing w:line="580" w:lineRule="exact"/>
        <w:textAlignment w:val="auto"/>
        <w:rPr>
          <w:rFonts w:hint="eastAsia"/>
        </w:rPr>
      </w:pPr>
      <w:r>
        <w:rPr>
          <w:rFonts w:hint="eastAsia"/>
        </w:rPr>
        <w:t>4、安全防护设施评价单元</w:t>
      </w:r>
    </w:p>
    <w:p w14:paraId="723E78DD">
      <w:pPr>
        <w:keepLines w:val="0"/>
        <w:pageBreakBefore w:val="0"/>
        <w:kinsoku/>
        <w:wordWrap/>
        <w:overflowPunct/>
        <w:topLinePunct w:val="0"/>
        <w:autoSpaceDE/>
        <w:autoSpaceDN/>
        <w:bidi w:val="0"/>
        <w:adjustRightInd/>
        <w:snapToGrid/>
        <w:spacing w:line="580" w:lineRule="exact"/>
        <w:textAlignment w:val="auto"/>
        <w:rPr>
          <w:rFonts w:hint="eastAsia"/>
        </w:rPr>
      </w:pPr>
      <w:r>
        <w:rPr>
          <w:rFonts w:hint="eastAsia"/>
        </w:rPr>
        <w:t>5、周边环境危险性评价单元</w:t>
      </w:r>
    </w:p>
    <w:p w14:paraId="26344335">
      <w:pPr>
        <w:keepLines w:val="0"/>
        <w:pageBreakBefore w:val="0"/>
        <w:kinsoku/>
        <w:wordWrap/>
        <w:overflowPunct/>
        <w:topLinePunct w:val="0"/>
        <w:autoSpaceDE/>
        <w:autoSpaceDN/>
        <w:bidi w:val="0"/>
        <w:adjustRightInd/>
        <w:snapToGrid/>
        <w:spacing w:line="580" w:lineRule="exact"/>
        <w:textAlignment w:val="auto"/>
        <w:rPr>
          <w:rFonts w:hint="eastAsia"/>
        </w:rPr>
      </w:pPr>
      <w:r>
        <w:rPr>
          <w:rFonts w:hint="eastAsia"/>
        </w:rPr>
        <w:t>6、安全经营条件评价单元</w:t>
      </w:r>
    </w:p>
    <w:p w14:paraId="2AFB0F20">
      <w:pPr>
        <w:keepLines w:val="0"/>
        <w:pageBreakBefore w:val="0"/>
        <w:kinsoku/>
        <w:wordWrap/>
        <w:overflowPunct/>
        <w:topLinePunct w:val="0"/>
        <w:autoSpaceDE/>
        <w:autoSpaceDN/>
        <w:bidi w:val="0"/>
        <w:adjustRightInd/>
        <w:snapToGrid/>
        <w:spacing w:line="580" w:lineRule="exact"/>
        <w:textAlignment w:val="auto"/>
        <w:rPr>
          <w:rFonts w:hint="eastAsia"/>
        </w:rPr>
      </w:pPr>
      <w:r>
        <w:rPr>
          <w:rFonts w:hint="eastAsia"/>
        </w:rPr>
        <w:t>7、重大安全事故隐患检查判定单元</w:t>
      </w:r>
    </w:p>
    <w:p w14:paraId="3502B0E3">
      <w:pPr>
        <w:pStyle w:val="3"/>
        <w:keepLines w:val="0"/>
        <w:pageBreakBefore w:val="0"/>
        <w:kinsoku/>
        <w:wordWrap/>
        <w:overflowPunct/>
        <w:topLinePunct w:val="0"/>
        <w:autoSpaceDE/>
        <w:autoSpaceDN/>
        <w:bidi w:val="0"/>
        <w:adjustRightInd/>
        <w:snapToGrid/>
        <w:spacing w:line="580" w:lineRule="exact"/>
        <w:ind w:left="0" w:leftChars="0" w:firstLine="0" w:firstLineChars="0"/>
        <w:textAlignment w:val="auto"/>
        <w:rPr>
          <w:rFonts w:hint="eastAsia"/>
        </w:rPr>
      </w:pPr>
      <w:bookmarkStart w:id="120" w:name="_Toc7672"/>
      <w:bookmarkStart w:id="121" w:name="_Toc7291"/>
      <w:r>
        <w:rPr>
          <w:rFonts w:hint="eastAsia"/>
        </w:rPr>
        <w:t>4.2 评价方法及选择</w:t>
      </w:r>
      <w:bookmarkEnd w:id="120"/>
      <w:bookmarkEnd w:id="121"/>
    </w:p>
    <w:p w14:paraId="6BCBA84F">
      <w:pPr>
        <w:keepLines w:val="0"/>
        <w:pageBreakBefore w:val="0"/>
        <w:kinsoku/>
        <w:wordWrap/>
        <w:overflowPunct/>
        <w:topLinePunct w:val="0"/>
        <w:autoSpaceDE/>
        <w:autoSpaceDN/>
        <w:bidi w:val="0"/>
        <w:adjustRightInd/>
        <w:snapToGrid/>
        <w:spacing w:line="580" w:lineRule="exact"/>
        <w:textAlignment w:val="auto"/>
        <w:rPr>
          <w:rFonts w:hint="eastAsia"/>
          <w:spacing w:val="-6"/>
          <w:sz w:val="28"/>
        </w:rPr>
      </w:pPr>
      <w:r>
        <w:rPr>
          <w:rFonts w:hint="eastAsia"/>
          <w:spacing w:val="-6"/>
          <w:sz w:val="28"/>
        </w:rPr>
        <w:t>根据公司烟花爆竹仓库的具体情况、特点及储存的物质特性，结合考虑各种评价方法的适用范围，本次评价采用以定性、定量评价为主，结合其他评价方法的综合评价方法。具体采用评价方法见表 4.2-1。</w:t>
      </w:r>
    </w:p>
    <w:p w14:paraId="6D971049">
      <w:pPr>
        <w:keepLines w:val="0"/>
        <w:pageBreakBefore w:val="0"/>
        <w:kinsoku/>
        <w:wordWrap/>
        <w:overflowPunct/>
        <w:topLinePunct w:val="0"/>
        <w:autoSpaceDE/>
        <w:autoSpaceDN/>
        <w:bidi w:val="0"/>
        <w:adjustRightInd/>
        <w:snapToGrid/>
        <w:spacing w:line="580" w:lineRule="exact"/>
        <w:jc w:val="center"/>
        <w:textAlignment w:val="auto"/>
      </w:pPr>
      <w:r>
        <w:rPr>
          <w:rFonts w:hint="eastAsia"/>
        </w:rPr>
        <w:t>表 4.2-1 各评价单元选用的评价方法汇总表</w:t>
      </w:r>
    </w:p>
    <w:tbl>
      <w:tblPr>
        <w:tblStyle w:val="105"/>
        <w:tblpPr w:leftFromText="180" w:rightFromText="180" w:vertAnchor="text" w:horzAnchor="page" w:tblpX="1652" w:tblpY="394"/>
        <w:tblOverlap w:val="never"/>
        <w:tblW w:w="84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9"/>
        <w:gridCol w:w="5770"/>
      </w:tblGrid>
      <w:tr w14:paraId="1075FD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2709" w:type="dxa"/>
            <w:tcBorders>
              <w:top w:val="single" w:color="000000" w:sz="10" w:space="0"/>
              <w:left w:val="single" w:color="000000" w:sz="10" w:space="0"/>
            </w:tcBorders>
            <w:vAlign w:val="top"/>
          </w:tcPr>
          <w:p w14:paraId="6DD0134D">
            <w:pPr>
              <w:keepNext w:val="0"/>
              <w:keepLines w:val="0"/>
              <w:pageBreakBefore w:val="0"/>
              <w:widowControl w:val="0"/>
              <w:kinsoku/>
              <w:wordWrap/>
              <w:overflowPunct/>
              <w:topLinePunct w:val="0"/>
              <w:autoSpaceDE/>
              <w:autoSpaceDN/>
              <w:bidi w:val="0"/>
              <w:adjustRightInd/>
              <w:snapToGrid/>
              <w:spacing w:line="320" w:lineRule="exact"/>
              <w:ind w:left="889"/>
              <w:textAlignment w:val="auto"/>
              <w:rPr>
                <w:rFonts w:ascii="宋体" w:hAnsi="宋体" w:eastAsia="宋体" w:cs="宋体"/>
                <w:sz w:val="21"/>
                <w:szCs w:val="21"/>
              </w:rPr>
            </w:pPr>
            <w:r>
              <w:rPr>
                <w:rFonts w:ascii="宋体" w:hAnsi="宋体" w:eastAsia="宋体" w:cs="宋体"/>
                <w:spacing w:val="-1"/>
                <w:sz w:val="21"/>
                <w:szCs w:val="21"/>
              </w:rPr>
              <w:t>评价单元</w:t>
            </w:r>
          </w:p>
        </w:tc>
        <w:tc>
          <w:tcPr>
            <w:tcW w:w="5770" w:type="dxa"/>
            <w:tcBorders>
              <w:top w:val="single" w:color="000000" w:sz="10" w:space="0"/>
              <w:right w:val="single" w:color="000000" w:sz="10" w:space="0"/>
            </w:tcBorders>
            <w:vAlign w:val="top"/>
          </w:tcPr>
          <w:p w14:paraId="3D0B62B0">
            <w:pPr>
              <w:keepNext w:val="0"/>
              <w:keepLines w:val="0"/>
              <w:pageBreakBefore w:val="0"/>
              <w:widowControl w:val="0"/>
              <w:kinsoku/>
              <w:wordWrap/>
              <w:overflowPunct/>
              <w:topLinePunct w:val="0"/>
              <w:autoSpaceDE/>
              <w:autoSpaceDN/>
              <w:bidi w:val="0"/>
              <w:adjustRightInd/>
              <w:snapToGrid/>
              <w:spacing w:line="320" w:lineRule="exact"/>
              <w:ind w:left="2664"/>
              <w:textAlignment w:val="auto"/>
              <w:rPr>
                <w:rFonts w:ascii="宋体" w:hAnsi="宋体" w:eastAsia="宋体" w:cs="宋体"/>
                <w:sz w:val="21"/>
                <w:szCs w:val="21"/>
              </w:rPr>
            </w:pPr>
            <w:r>
              <w:rPr>
                <w:rFonts w:ascii="宋体" w:hAnsi="宋体" w:eastAsia="宋体" w:cs="宋体"/>
                <w:spacing w:val="-1"/>
                <w:sz w:val="21"/>
                <w:szCs w:val="21"/>
              </w:rPr>
              <w:t>评价方法</w:t>
            </w:r>
          </w:p>
        </w:tc>
      </w:tr>
      <w:tr w14:paraId="3B59A6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2709" w:type="dxa"/>
            <w:tcBorders>
              <w:left w:val="single" w:color="000000" w:sz="10" w:space="0"/>
            </w:tcBorders>
            <w:vAlign w:val="top"/>
          </w:tcPr>
          <w:p w14:paraId="0DF92D25">
            <w:pPr>
              <w:keepNext w:val="0"/>
              <w:keepLines w:val="0"/>
              <w:pageBreakBefore w:val="0"/>
              <w:widowControl w:val="0"/>
              <w:kinsoku/>
              <w:wordWrap/>
              <w:overflowPunct/>
              <w:topLinePunct w:val="0"/>
              <w:autoSpaceDE/>
              <w:autoSpaceDN/>
              <w:bidi w:val="0"/>
              <w:adjustRightInd/>
              <w:snapToGrid/>
              <w:spacing w:line="320" w:lineRule="exact"/>
              <w:ind w:left="117"/>
              <w:textAlignment w:val="auto"/>
              <w:rPr>
                <w:rFonts w:ascii="宋体" w:hAnsi="宋体" w:eastAsia="宋体" w:cs="宋体"/>
                <w:sz w:val="21"/>
                <w:szCs w:val="21"/>
              </w:rPr>
            </w:pPr>
            <w:r>
              <w:rPr>
                <w:rFonts w:ascii="宋体" w:hAnsi="宋体" w:eastAsia="宋体" w:cs="宋体"/>
                <w:spacing w:val="-3"/>
                <w:sz w:val="21"/>
                <w:szCs w:val="21"/>
              </w:rPr>
              <w:t>资料审核单元</w:t>
            </w:r>
          </w:p>
        </w:tc>
        <w:tc>
          <w:tcPr>
            <w:tcW w:w="5770" w:type="dxa"/>
            <w:tcBorders>
              <w:right w:val="single" w:color="000000" w:sz="10" w:space="0"/>
            </w:tcBorders>
            <w:vAlign w:val="top"/>
          </w:tcPr>
          <w:p w14:paraId="6CEB0F93">
            <w:pPr>
              <w:keepNext w:val="0"/>
              <w:keepLines w:val="0"/>
              <w:pageBreakBefore w:val="0"/>
              <w:widowControl w:val="0"/>
              <w:kinsoku/>
              <w:wordWrap/>
              <w:overflowPunct/>
              <w:topLinePunct w:val="0"/>
              <w:autoSpaceDE/>
              <w:autoSpaceDN/>
              <w:bidi w:val="0"/>
              <w:adjustRightInd/>
              <w:snapToGrid/>
              <w:spacing w:line="320" w:lineRule="exact"/>
              <w:ind w:left="110"/>
              <w:textAlignment w:val="auto"/>
              <w:rPr>
                <w:rFonts w:ascii="宋体" w:hAnsi="宋体" w:eastAsia="宋体" w:cs="宋体"/>
                <w:sz w:val="21"/>
                <w:szCs w:val="21"/>
              </w:rPr>
            </w:pPr>
            <w:r>
              <w:rPr>
                <w:rFonts w:ascii="宋体" w:hAnsi="宋体" w:eastAsia="宋体" w:cs="宋体"/>
                <w:spacing w:val="-2"/>
                <w:sz w:val="21"/>
                <w:szCs w:val="21"/>
              </w:rPr>
              <w:t>安全检查表法</w:t>
            </w:r>
          </w:p>
        </w:tc>
      </w:tr>
      <w:tr w14:paraId="68C2BE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2709" w:type="dxa"/>
            <w:tcBorders>
              <w:left w:val="single" w:color="000000" w:sz="10" w:space="0"/>
            </w:tcBorders>
            <w:vAlign w:val="top"/>
          </w:tcPr>
          <w:p w14:paraId="18DA33FC">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ascii="宋体" w:hAnsi="宋体" w:eastAsia="宋体" w:cs="宋体"/>
                <w:sz w:val="21"/>
                <w:szCs w:val="21"/>
              </w:rPr>
            </w:pPr>
            <w:r>
              <w:rPr>
                <w:rFonts w:ascii="宋体" w:hAnsi="宋体" w:eastAsia="宋体" w:cs="宋体"/>
                <w:spacing w:val="-1"/>
                <w:sz w:val="21"/>
                <w:szCs w:val="21"/>
              </w:rPr>
              <w:t>总体布局和条件设施单元</w:t>
            </w:r>
          </w:p>
        </w:tc>
        <w:tc>
          <w:tcPr>
            <w:tcW w:w="5770" w:type="dxa"/>
            <w:tcBorders>
              <w:right w:val="single" w:color="000000" w:sz="10" w:space="0"/>
            </w:tcBorders>
            <w:vAlign w:val="top"/>
          </w:tcPr>
          <w:p w14:paraId="42F4BF6D">
            <w:pPr>
              <w:keepNext w:val="0"/>
              <w:keepLines w:val="0"/>
              <w:pageBreakBefore w:val="0"/>
              <w:widowControl w:val="0"/>
              <w:kinsoku/>
              <w:wordWrap/>
              <w:overflowPunct/>
              <w:topLinePunct w:val="0"/>
              <w:autoSpaceDE/>
              <w:autoSpaceDN/>
              <w:bidi w:val="0"/>
              <w:adjustRightInd/>
              <w:snapToGrid/>
              <w:spacing w:line="320" w:lineRule="exact"/>
              <w:ind w:left="110"/>
              <w:textAlignment w:val="auto"/>
              <w:rPr>
                <w:rFonts w:ascii="宋体" w:hAnsi="宋体" w:eastAsia="宋体" w:cs="宋体"/>
                <w:sz w:val="21"/>
                <w:szCs w:val="21"/>
              </w:rPr>
            </w:pPr>
            <w:r>
              <w:rPr>
                <w:rFonts w:ascii="宋体" w:hAnsi="宋体" w:eastAsia="宋体" w:cs="宋体"/>
                <w:spacing w:val="-2"/>
                <w:sz w:val="21"/>
                <w:szCs w:val="21"/>
              </w:rPr>
              <w:t>安全检查表法</w:t>
            </w:r>
          </w:p>
        </w:tc>
      </w:tr>
      <w:tr w14:paraId="482D6A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2709" w:type="dxa"/>
            <w:tcBorders>
              <w:left w:val="single" w:color="000000" w:sz="10" w:space="0"/>
            </w:tcBorders>
            <w:vAlign w:val="top"/>
          </w:tcPr>
          <w:p w14:paraId="3E837532">
            <w:pPr>
              <w:keepNext w:val="0"/>
              <w:keepLines w:val="0"/>
              <w:pageBreakBefore w:val="0"/>
              <w:widowControl w:val="0"/>
              <w:kinsoku/>
              <w:wordWrap/>
              <w:overflowPunct/>
              <w:topLinePunct w:val="0"/>
              <w:autoSpaceDE/>
              <w:autoSpaceDN/>
              <w:bidi w:val="0"/>
              <w:adjustRightInd/>
              <w:snapToGrid/>
              <w:spacing w:line="320" w:lineRule="exact"/>
              <w:ind w:left="109"/>
              <w:textAlignment w:val="auto"/>
              <w:rPr>
                <w:rFonts w:ascii="宋体" w:hAnsi="宋体" w:eastAsia="宋体" w:cs="宋体"/>
                <w:sz w:val="21"/>
                <w:szCs w:val="21"/>
              </w:rPr>
            </w:pPr>
            <w:r>
              <w:rPr>
                <w:rFonts w:ascii="宋体" w:hAnsi="宋体" w:eastAsia="宋体" w:cs="宋体"/>
                <w:spacing w:val="-2"/>
                <w:sz w:val="21"/>
                <w:szCs w:val="21"/>
              </w:rPr>
              <w:t>现场检查单元</w:t>
            </w:r>
          </w:p>
        </w:tc>
        <w:tc>
          <w:tcPr>
            <w:tcW w:w="5770" w:type="dxa"/>
            <w:tcBorders>
              <w:right w:val="single" w:color="000000" w:sz="10" w:space="0"/>
            </w:tcBorders>
            <w:vAlign w:val="top"/>
          </w:tcPr>
          <w:p w14:paraId="3A61E576">
            <w:pPr>
              <w:keepNext w:val="0"/>
              <w:keepLines w:val="0"/>
              <w:pageBreakBefore w:val="0"/>
              <w:widowControl w:val="0"/>
              <w:kinsoku/>
              <w:wordWrap/>
              <w:overflowPunct/>
              <w:topLinePunct w:val="0"/>
              <w:autoSpaceDE/>
              <w:autoSpaceDN/>
              <w:bidi w:val="0"/>
              <w:adjustRightInd/>
              <w:snapToGrid/>
              <w:spacing w:line="320" w:lineRule="exact"/>
              <w:ind w:left="110"/>
              <w:textAlignment w:val="auto"/>
              <w:rPr>
                <w:rFonts w:ascii="宋体" w:hAnsi="宋体" w:eastAsia="宋体" w:cs="宋体"/>
                <w:sz w:val="21"/>
                <w:szCs w:val="21"/>
              </w:rPr>
            </w:pPr>
            <w:r>
              <w:rPr>
                <w:rFonts w:ascii="宋体" w:hAnsi="宋体" w:eastAsia="宋体" w:cs="宋体"/>
                <w:spacing w:val="-2"/>
                <w:sz w:val="21"/>
                <w:szCs w:val="21"/>
              </w:rPr>
              <w:t>安全检查表法</w:t>
            </w:r>
          </w:p>
        </w:tc>
      </w:tr>
      <w:tr w14:paraId="005B11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2709" w:type="dxa"/>
            <w:tcBorders>
              <w:left w:val="single" w:color="000000" w:sz="10" w:space="0"/>
            </w:tcBorders>
            <w:vAlign w:val="top"/>
          </w:tcPr>
          <w:p w14:paraId="5B69B918">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ascii="宋体" w:hAnsi="宋体" w:eastAsia="宋体" w:cs="宋体"/>
                <w:sz w:val="21"/>
                <w:szCs w:val="21"/>
              </w:rPr>
            </w:pPr>
            <w:r>
              <w:rPr>
                <w:rFonts w:ascii="宋体" w:hAnsi="宋体" w:eastAsia="宋体" w:cs="宋体"/>
                <w:spacing w:val="-1"/>
                <w:sz w:val="21"/>
                <w:szCs w:val="21"/>
              </w:rPr>
              <w:t>安全防护设施评价单元</w:t>
            </w:r>
          </w:p>
        </w:tc>
        <w:tc>
          <w:tcPr>
            <w:tcW w:w="5770" w:type="dxa"/>
            <w:tcBorders>
              <w:right w:val="single" w:color="000000" w:sz="10" w:space="0"/>
            </w:tcBorders>
            <w:vAlign w:val="top"/>
          </w:tcPr>
          <w:p w14:paraId="54551C1B">
            <w:pPr>
              <w:keepNext w:val="0"/>
              <w:keepLines w:val="0"/>
              <w:pageBreakBefore w:val="0"/>
              <w:widowControl w:val="0"/>
              <w:kinsoku/>
              <w:wordWrap/>
              <w:overflowPunct/>
              <w:topLinePunct w:val="0"/>
              <w:autoSpaceDE/>
              <w:autoSpaceDN/>
              <w:bidi w:val="0"/>
              <w:adjustRightInd/>
              <w:snapToGrid/>
              <w:spacing w:line="320" w:lineRule="exact"/>
              <w:ind w:left="110"/>
              <w:textAlignment w:val="auto"/>
              <w:rPr>
                <w:rFonts w:ascii="宋体" w:hAnsi="宋体" w:eastAsia="宋体" w:cs="宋体"/>
                <w:sz w:val="21"/>
                <w:szCs w:val="21"/>
              </w:rPr>
            </w:pPr>
            <w:r>
              <w:rPr>
                <w:rFonts w:ascii="宋体" w:hAnsi="宋体" w:eastAsia="宋体" w:cs="宋体"/>
                <w:spacing w:val="-2"/>
                <w:sz w:val="21"/>
                <w:szCs w:val="21"/>
              </w:rPr>
              <w:t>安全检查表法</w:t>
            </w:r>
          </w:p>
        </w:tc>
      </w:tr>
      <w:tr w14:paraId="2C0C47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trPr>
        <w:tc>
          <w:tcPr>
            <w:tcW w:w="2709" w:type="dxa"/>
            <w:tcBorders>
              <w:left w:val="single" w:color="000000" w:sz="10" w:space="0"/>
            </w:tcBorders>
            <w:vAlign w:val="top"/>
          </w:tcPr>
          <w:p w14:paraId="2DA3C16A">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ascii="宋体" w:hAnsi="宋体" w:eastAsia="宋体" w:cs="宋体"/>
                <w:sz w:val="21"/>
                <w:szCs w:val="21"/>
              </w:rPr>
            </w:pPr>
            <w:r>
              <w:rPr>
                <w:rFonts w:ascii="宋体" w:hAnsi="宋体" w:eastAsia="宋体" w:cs="宋体"/>
                <w:spacing w:val="-1"/>
                <w:sz w:val="21"/>
                <w:szCs w:val="21"/>
              </w:rPr>
              <w:t>周边环境危险性评价单元</w:t>
            </w:r>
          </w:p>
        </w:tc>
        <w:tc>
          <w:tcPr>
            <w:tcW w:w="5770" w:type="dxa"/>
            <w:tcBorders>
              <w:right w:val="single" w:color="000000" w:sz="10" w:space="0"/>
            </w:tcBorders>
            <w:vAlign w:val="top"/>
          </w:tcPr>
          <w:p w14:paraId="36FAE452">
            <w:pPr>
              <w:keepNext w:val="0"/>
              <w:keepLines w:val="0"/>
              <w:pageBreakBefore w:val="0"/>
              <w:widowControl w:val="0"/>
              <w:kinsoku/>
              <w:wordWrap/>
              <w:overflowPunct/>
              <w:topLinePunct w:val="0"/>
              <w:autoSpaceDE/>
              <w:autoSpaceDN/>
              <w:bidi w:val="0"/>
              <w:adjustRightInd/>
              <w:snapToGrid/>
              <w:spacing w:line="320" w:lineRule="exact"/>
              <w:ind w:left="106"/>
              <w:textAlignment w:val="auto"/>
              <w:rPr>
                <w:rFonts w:ascii="宋体" w:hAnsi="宋体" w:eastAsia="宋体" w:cs="宋体"/>
                <w:sz w:val="21"/>
                <w:szCs w:val="21"/>
              </w:rPr>
            </w:pPr>
            <w:r>
              <w:rPr>
                <w:rFonts w:ascii="宋体" w:hAnsi="宋体" w:eastAsia="宋体" w:cs="宋体"/>
                <w:spacing w:val="-1"/>
                <w:sz w:val="21"/>
                <w:szCs w:val="21"/>
              </w:rPr>
              <w:t>根据现场实际情况进行论述</w:t>
            </w:r>
          </w:p>
        </w:tc>
      </w:tr>
      <w:tr w14:paraId="4D7C86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2709" w:type="dxa"/>
            <w:tcBorders>
              <w:left w:val="single" w:color="000000" w:sz="10" w:space="0"/>
            </w:tcBorders>
            <w:vAlign w:val="top"/>
          </w:tcPr>
          <w:p w14:paraId="3A7CA9AB">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ascii="宋体" w:hAnsi="宋体" w:eastAsia="宋体" w:cs="宋体"/>
                <w:sz w:val="21"/>
                <w:szCs w:val="21"/>
              </w:rPr>
            </w:pPr>
            <w:r>
              <w:rPr>
                <w:rFonts w:ascii="宋体" w:hAnsi="宋体" w:eastAsia="宋体" w:cs="宋体"/>
                <w:spacing w:val="-1"/>
                <w:sz w:val="21"/>
                <w:szCs w:val="21"/>
              </w:rPr>
              <w:t>安全经营条件评价单元</w:t>
            </w:r>
          </w:p>
        </w:tc>
        <w:tc>
          <w:tcPr>
            <w:tcW w:w="5770" w:type="dxa"/>
            <w:tcBorders>
              <w:right w:val="single" w:color="000000" w:sz="10" w:space="0"/>
            </w:tcBorders>
            <w:vAlign w:val="top"/>
          </w:tcPr>
          <w:p w14:paraId="44328575">
            <w:pPr>
              <w:keepNext w:val="0"/>
              <w:keepLines w:val="0"/>
              <w:pageBreakBefore w:val="0"/>
              <w:widowControl w:val="0"/>
              <w:kinsoku/>
              <w:wordWrap/>
              <w:overflowPunct/>
              <w:topLinePunct w:val="0"/>
              <w:autoSpaceDE/>
              <w:autoSpaceDN/>
              <w:bidi w:val="0"/>
              <w:adjustRightInd/>
              <w:snapToGrid/>
              <w:spacing w:line="320" w:lineRule="exact"/>
              <w:ind w:left="106"/>
              <w:textAlignment w:val="auto"/>
              <w:rPr>
                <w:rFonts w:ascii="宋体" w:hAnsi="宋体" w:eastAsia="宋体" w:cs="宋体"/>
                <w:sz w:val="21"/>
                <w:szCs w:val="21"/>
              </w:rPr>
            </w:pPr>
            <w:r>
              <w:rPr>
                <w:rFonts w:ascii="宋体" w:hAnsi="宋体" w:eastAsia="宋体" w:cs="宋体"/>
                <w:spacing w:val="-1"/>
                <w:sz w:val="21"/>
                <w:szCs w:val="21"/>
              </w:rPr>
              <w:t>根据相关文件和现场实际情况进行论述</w:t>
            </w:r>
          </w:p>
        </w:tc>
      </w:tr>
      <w:tr w14:paraId="350835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0" w:hRule="atLeast"/>
        </w:trPr>
        <w:tc>
          <w:tcPr>
            <w:tcW w:w="2709" w:type="dxa"/>
            <w:tcBorders>
              <w:left w:val="single" w:color="000000" w:sz="10" w:space="0"/>
              <w:bottom w:val="single" w:color="000000" w:sz="10" w:space="0"/>
            </w:tcBorders>
            <w:vAlign w:val="top"/>
          </w:tcPr>
          <w:p w14:paraId="7022FC95">
            <w:pPr>
              <w:keepNext w:val="0"/>
              <w:keepLines w:val="0"/>
              <w:pageBreakBefore w:val="0"/>
              <w:widowControl w:val="0"/>
              <w:kinsoku/>
              <w:wordWrap/>
              <w:overflowPunct/>
              <w:topLinePunct w:val="0"/>
              <w:autoSpaceDE/>
              <w:autoSpaceDN/>
              <w:bidi w:val="0"/>
              <w:adjustRightInd/>
              <w:snapToGrid/>
              <w:spacing w:line="320" w:lineRule="exact"/>
              <w:ind w:left="0" w:leftChars="0" w:right="833" w:firstLine="0" w:firstLineChars="0"/>
              <w:textAlignment w:val="auto"/>
              <w:rPr>
                <w:rFonts w:ascii="宋体" w:hAnsi="宋体" w:eastAsia="宋体" w:cs="宋体"/>
                <w:sz w:val="21"/>
                <w:szCs w:val="21"/>
              </w:rPr>
            </w:pPr>
            <w:r>
              <w:rPr>
                <w:rFonts w:ascii="宋体" w:hAnsi="宋体" w:eastAsia="宋体" w:cs="宋体"/>
                <w:spacing w:val="-1"/>
                <w:sz w:val="21"/>
                <w:szCs w:val="21"/>
              </w:rPr>
              <w:t>重大安全事故隐患检查判定单元</w:t>
            </w:r>
          </w:p>
        </w:tc>
        <w:tc>
          <w:tcPr>
            <w:tcW w:w="5770" w:type="dxa"/>
            <w:tcBorders>
              <w:bottom w:val="single" w:color="000000" w:sz="10" w:space="0"/>
              <w:right w:val="single" w:color="000000" w:sz="10" w:space="0"/>
            </w:tcBorders>
            <w:vAlign w:val="top"/>
          </w:tcPr>
          <w:p w14:paraId="43A968C5">
            <w:pPr>
              <w:keepNext w:val="0"/>
              <w:keepLines w:val="0"/>
              <w:pageBreakBefore w:val="0"/>
              <w:widowControl w:val="0"/>
              <w:kinsoku/>
              <w:wordWrap/>
              <w:overflowPunct/>
              <w:topLinePunct w:val="0"/>
              <w:autoSpaceDE/>
              <w:autoSpaceDN/>
              <w:bidi w:val="0"/>
              <w:adjustRightInd/>
              <w:snapToGrid/>
              <w:spacing w:line="320" w:lineRule="exact"/>
              <w:ind w:left="0" w:leftChars="0" w:right="94" w:firstLine="0" w:firstLineChars="0"/>
              <w:jc w:val="both"/>
              <w:textAlignment w:val="auto"/>
              <w:rPr>
                <w:rFonts w:ascii="宋体" w:hAnsi="宋体" w:eastAsia="宋体" w:cs="宋体"/>
                <w:sz w:val="21"/>
                <w:szCs w:val="21"/>
              </w:rPr>
            </w:pPr>
            <w:r>
              <w:rPr>
                <w:rFonts w:ascii="宋体" w:hAnsi="宋体" w:eastAsia="宋体" w:cs="宋体"/>
                <w:sz w:val="21"/>
                <w:szCs w:val="21"/>
              </w:rPr>
              <w:t>根据国家安全监管总局关于印发《化工和危险化学品生</w:t>
            </w:r>
            <w:r>
              <w:rPr>
                <w:rFonts w:ascii="宋体" w:hAnsi="宋体" w:eastAsia="宋体" w:cs="宋体"/>
                <w:spacing w:val="-1"/>
                <w:sz w:val="21"/>
                <w:szCs w:val="21"/>
              </w:rPr>
              <w:t>产经营单</w:t>
            </w:r>
            <w:r>
              <w:rPr>
                <w:rFonts w:ascii="宋体" w:hAnsi="宋体" w:eastAsia="宋体" w:cs="宋体"/>
                <w:spacing w:val="-5"/>
                <w:sz w:val="21"/>
                <w:szCs w:val="21"/>
              </w:rPr>
              <w:t>位重大生产安全隐患判定标准（试行）》和《烟花爆竹生产经营单</w:t>
            </w:r>
            <w:r>
              <w:rPr>
                <w:rFonts w:ascii="宋体" w:hAnsi="宋体" w:eastAsia="宋体" w:cs="宋体"/>
                <w:spacing w:val="8"/>
                <w:sz w:val="21"/>
                <w:szCs w:val="21"/>
              </w:rPr>
              <w:t xml:space="preserve"> </w:t>
            </w:r>
            <w:r>
              <w:rPr>
                <w:rFonts w:ascii="宋体" w:hAnsi="宋体" w:eastAsia="宋体" w:cs="宋体"/>
                <w:spacing w:val="-4"/>
                <w:sz w:val="21"/>
                <w:szCs w:val="21"/>
              </w:rPr>
              <w:t>位重大生产安全隐患判定标准（试行）》的通知进行对照</w:t>
            </w:r>
            <w:r>
              <w:rPr>
                <w:rFonts w:ascii="宋体" w:hAnsi="宋体" w:eastAsia="宋体" w:cs="宋体"/>
                <w:spacing w:val="-5"/>
                <w:sz w:val="21"/>
                <w:szCs w:val="21"/>
              </w:rPr>
              <w:t>检查</w:t>
            </w:r>
          </w:p>
        </w:tc>
      </w:tr>
      <w:bookmarkEnd w:id="31"/>
    </w:tbl>
    <w:p w14:paraId="2A5C8C22">
      <w:pPr>
        <w:pStyle w:val="2"/>
        <w:bidi w:val="0"/>
        <w:jc w:val="center"/>
        <w:rPr>
          <w:rFonts w:hint="eastAsia"/>
        </w:rPr>
      </w:pPr>
      <w:bookmarkStart w:id="122" w:name="_Toc16254"/>
      <w:bookmarkStart w:id="123" w:name="_Toc19335"/>
      <w:bookmarkStart w:id="124" w:name="_Toc209520338"/>
      <w:bookmarkStart w:id="125" w:name="_Toc209925195"/>
      <w:r>
        <w:rPr>
          <w:rFonts w:hint="eastAsia"/>
        </w:rPr>
        <w:t>5 定性、定量评价</w:t>
      </w:r>
      <w:bookmarkEnd w:id="122"/>
      <w:bookmarkEnd w:id="123"/>
    </w:p>
    <w:p w14:paraId="3DF93CB6">
      <w:pPr>
        <w:pStyle w:val="3"/>
        <w:bidi w:val="0"/>
        <w:rPr>
          <w:rFonts w:hint="eastAsia"/>
        </w:rPr>
      </w:pPr>
      <w:bookmarkStart w:id="126" w:name="_Toc12220"/>
      <w:bookmarkStart w:id="127" w:name="_Toc5682"/>
      <w:r>
        <w:rPr>
          <w:rFonts w:hint="eastAsia"/>
        </w:rPr>
        <w:t>5.1 资料审核单元安全评价</w:t>
      </w:r>
      <w:bookmarkEnd w:id="126"/>
      <w:bookmarkEnd w:id="127"/>
    </w:p>
    <w:p w14:paraId="5650DAD2">
      <w:pPr>
        <w:bidi w:val="0"/>
      </w:pPr>
      <w:r>
        <w:rPr>
          <w:rFonts w:hint="eastAsia"/>
        </w:rPr>
        <w:t>资料审核评价包括组织机构、从业人员、规章制度及相关技术资料等方面的情况，本节根据《烟花爆竹企业安全评价规范》（AQ4113-2008）《表 A.2 烟花爆竹批发经营企业安全评价资料审核表》对被评价单位的提供的资料审核评价，评价过程见下表。</w:t>
      </w:r>
    </w:p>
    <w:p w14:paraId="2C29846A">
      <w:pPr>
        <w:bidi w:val="0"/>
        <w:jc w:val="center"/>
        <w:rPr>
          <w:rFonts w:hint="eastAsia"/>
        </w:rPr>
      </w:pPr>
      <w:r>
        <w:rPr>
          <w:rFonts w:hint="eastAsia"/>
        </w:rPr>
        <w:t>表 5.1-1 资料审核表</w:t>
      </w:r>
    </w:p>
    <w:tbl>
      <w:tblPr>
        <w:tblStyle w:val="41"/>
        <w:tblW w:w="895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459"/>
        <w:gridCol w:w="469"/>
        <w:gridCol w:w="2985"/>
        <w:gridCol w:w="1169"/>
        <w:gridCol w:w="2841"/>
        <w:gridCol w:w="1035"/>
      </w:tblGrid>
      <w:tr w14:paraId="4965F3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90" w:hRule="atLeast"/>
          <w:tblHeader/>
          <w:jc w:val="center"/>
        </w:trPr>
        <w:tc>
          <w:tcPr>
            <w:tcW w:w="459" w:type="dxa"/>
            <w:vAlign w:val="center"/>
          </w:tcPr>
          <w:p w14:paraId="7C17F267">
            <w:pPr>
              <w:adjustRightInd w:val="0"/>
              <w:snapToGrid w:val="0"/>
              <w:spacing w:line="300" w:lineRule="exact"/>
              <w:ind w:left="0" w:leftChars="0" w:firstLine="0" w:firstLineChars="0"/>
              <w:jc w:val="both"/>
              <w:rPr>
                <w:rFonts w:hint="eastAsia" w:ascii="宋体" w:hAnsi="宋体"/>
                <w:b/>
                <w:sz w:val="21"/>
                <w:szCs w:val="21"/>
              </w:rPr>
            </w:pPr>
            <w:r>
              <w:rPr>
                <w:rFonts w:hint="eastAsia" w:ascii="宋体" w:hAnsi="宋体"/>
                <w:b/>
                <w:sz w:val="21"/>
                <w:szCs w:val="21"/>
              </w:rPr>
              <w:t>序</w:t>
            </w:r>
          </w:p>
          <w:p w14:paraId="1AB5375A">
            <w:pPr>
              <w:adjustRightInd w:val="0"/>
              <w:snapToGrid w:val="0"/>
              <w:spacing w:line="300" w:lineRule="exact"/>
              <w:ind w:left="0" w:leftChars="0" w:firstLine="0" w:firstLineChars="0"/>
              <w:jc w:val="both"/>
              <w:rPr>
                <w:rFonts w:ascii="宋体" w:hAnsi="宋体"/>
                <w:b/>
                <w:sz w:val="21"/>
                <w:szCs w:val="21"/>
              </w:rPr>
            </w:pPr>
            <w:r>
              <w:rPr>
                <w:rFonts w:hint="eastAsia" w:ascii="宋体" w:hAnsi="宋体"/>
                <w:b/>
                <w:sz w:val="21"/>
                <w:szCs w:val="21"/>
              </w:rPr>
              <w:t>号</w:t>
            </w:r>
          </w:p>
        </w:tc>
        <w:tc>
          <w:tcPr>
            <w:tcW w:w="469" w:type="dxa"/>
            <w:vAlign w:val="center"/>
          </w:tcPr>
          <w:p w14:paraId="5D92E7C0">
            <w:pPr>
              <w:adjustRightInd w:val="0"/>
              <w:snapToGrid w:val="0"/>
              <w:spacing w:line="300" w:lineRule="exact"/>
              <w:ind w:left="0" w:leftChars="0" w:firstLine="0" w:firstLineChars="0"/>
              <w:jc w:val="both"/>
              <w:rPr>
                <w:rFonts w:hint="eastAsia" w:ascii="宋体" w:hAnsi="宋体"/>
                <w:b/>
                <w:sz w:val="21"/>
                <w:szCs w:val="21"/>
              </w:rPr>
            </w:pPr>
            <w:r>
              <w:rPr>
                <w:rFonts w:hint="eastAsia" w:ascii="宋体" w:hAnsi="宋体"/>
                <w:b/>
                <w:sz w:val="21"/>
                <w:szCs w:val="21"/>
              </w:rPr>
              <w:t>项</w:t>
            </w:r>
          </w:p>
          <w:p w14:paraId="05E9EA0F">
            <w:pPr>
              <w:adjustRightInd w:val="0"/>
              <w:snapToGrid w:val="0"/>
              <w:spacing w:line="300" w:lineRule="exact"/>
              <w:ind w:left="0" w:leftChars="0" w:firstLine="0" w:firstLineChars="0"/>
              <w:jc w:val="both"/>
              <w:rPr>
                <w:rFonts w:ascii="宋体" w:hAnsi="宋体"/>
                <w:b/>
                <w:sz w:val="21"/>
                <w:szCs w:val="21"/>
              </w:rPr>
            </w:pPr>
            <w:r>
              <w:rPr>
                <w:rFonts w:hint="eastAsia" w:ascii="宋体" w:hAnsi="宋体"/>
                <w:b/>
                <w:sz w:val="21"/>
                <w:szCs w:val="21"/>
              </w:rPr>
              <w:t>目</w:t>
            </w:r>
          </w:p>
        </w:tc>
        <w:tc>
          <w:tcPr>
            <w:tcW w:w="4154" w:type="dxa"/>
            <w:gridSpan w:val="2"/>
            <w:vAlign w:val="center"/>
          </w:tcPr>
          <w:p w14:paraId="1F22D7F2">
            <w:pPr>
              <w:adjustRightInd w:val="0"/>
              <w:snapToGrid w:val="0"/>
              <w:spacing w:line="300" w:lineRule="exact"/>
              <w:ind w:firstLine="699" w:firstLineChars="300"/>
              <w:jc w:val="both"/>
              <w:rPr>
                <w:rFonts w:ascii="宋体" w:hAnsi="宋体"/>
                <w:b/>
                <w:sz w:val="21"/>
                <w:szCs w:val="21"/>
              </w:rPr>
            </w:pPr>
            <w:r>
              <w:rPr>
                <w:rFonts w:hint="eastAsia" w:ascii="宋体" w:hAnsi="宋体"/>
                <w:b/>
                <w:sz w:val="21"/>
                <w:szCs w:val="21"/>
              </w:rPr>
              <w:t>审核项目</w:t>
            </w:r>
          </w:p>
        </w:tc>
        <w:tc>
          <w:tcPr>
            <w:tcW w:w="2841" w:type="dxa"/>
            <w:vAlign w:val="center"/>
          </w:tcPr>
          <w:p w14:paraId="2B545671">
            <w:pPr>
              <w:adjustRightInd w:val="0"/>
              <w:snapToGrid w:val="0"/>
              <w:spacing w:line="300" w:lineRule="exact"/>
              <w:jc w:val="both"/>
              <w:rPr>
                <w:rFonts w:ascii="宋体" w:hAnsi="宋体"/>
                <w:b/>
                <w:sz w:val="21"/>
                <w:szCs w:val="21"/>
              </w:rPr>
            </w:pPr>
            <w:r>
              <w:rPr>
                <w:rFonts w:hint="eastAsia" w:ascii="宋体" w:hAnsi="宋体"/>
                <w:b/>
                <w:sz w:val="21"/>
                <w:szCs w:val="21"/>
              </w:rPr>
              <w:t>审核情况</w:t>
            </w:r>
          </w:p>
        </w:tc>
        <w:tc>
          <w:tcPr>
            <w:tcW w:w="1035" w:type="dxa"/>
            <w:vAlign w:val="center"/>
          </w:tcPr>
          <w:p w14:paraId="02FA5BAF">
            <w:pPr>
              <w:adjustRightInd w:val="0"/>
              <w:snapToGrid w:val="0"/>
              <w:spacing w:line="300" w:lineRule="exact"/>
              <w:ind w:left="0" w:leftChars="0" w:firstLine="0" w:firstLineChars="0"/>
              <w:jc w:val="both"/>
              <w:rPr>
                <w:rFonts w:ascii="宋体" w:hAnsi="宋体"/>
                <w:b/>
                <w:sz w:val="21"/>
                <w:szCs w:val="21"/>
              </w:rPr>
            </w:pPr>
            <w:r>
              <w:rPr>
                <w:rFonts w:hint="eastAsia" w:ascii="宋体" w:hAnsi="宋体"/>
                <w:b/>
                <w:sz w:val="21"/>
                <w:szCs w:val="21"/>
              </w:rPr>
              <w:t>审核结论</w:t>
            </w:r>
          </w:p>
        </w:tc>
      </w:tr>
      <w:tr w14:paraId="29E259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459" w:type="dxa"/>
            <w:vMerge w:val="restart"/>
            <w:vAlign w:val="center"/>
          </w:tcPr>
          <w:p w14:paraId="4D26C9F7">
            <w:pPr>
              <w:adjustRightInd w:val="0"/>
              <w:snapToGrid w:val="0"/>
              <w:spacing w:line="300" w:lineRule="exact"/>
              <w:jc w:val="center"/>
              <w:rPr>
                <w:rFonts w:ascii="宋体" w:hAnsi="宋体"/>
                <w:sz w:val="21"/>
                <w:szCs w:val="21"/>
              </w:rPr>
            </w:pPr>
            <w:r>
              <w:rPr>
                <w:rFonts w:hint="eastAsia" w:ascii="宋体" w:hAnsi="宋体"/>
                <w:sz w:val="21"/>
                <w:szCs w:val="21"/>
              </w:rPr>
              <w:t>1</w:t>
            </w:r>
          </w:p>
        </w:tc>
        <w:tc>
          <w:tcPr>
            <w:tcW w:w="469" w:type="dxa"/>
            <w:vMerge w:val="restart"/>
            <w:vAlign w:val="center"/>
          </w:tcPr>
          <w:p w14:paraId="318F2DC5">
            <w:pPr>
              <w:adjustRightInd w:val="0"/>
              <w:snapToGrid w:val="0"/>
              <w:spacing w:line="300" w:lineRule="exact"/>
              <w:ind w:left="0" w:leftChars="0" w:right="151" w:rightChars="50" w:firstLine="0" w:firstLineChars="0"/>
              <w:jc w:val="center"/>
              <w:rPr>
                <w:rFonts w:ascii="宋体" w:hAnsi="宋体"/>
                <w:sz w:val="21"/>
                <w:szCs w:val="21"/>
              </w:rPr>
            </w:pPr>
            <w:r>
              <w:rPr>
                <w:rFonts w:hint="eastAsia" w:ascii="宋体" w:hAnsi="宋体"/>
                <w:sz w:val="21"/>
                <w:szCs w:val="21"/>
              </w:rPr>
              <w:t>组织机构</w:t>
            </w:r>
          </w:p>
        </w:tc>
        <w:tc>
          <w:tcPr>
            <w:tcW w:w="4154" w:type="dxa"/>
            <w:gridSpan w:val="2"/>
            <w:vAlign w:val="center"/>
          </w:tcPr>
          <w:p w14:paraId="31694863">
            <w:pPr>
              <w:adjustRightInd w:val="0"/>
              <w:snapToGrid w:val="0"/>
              <w:spacing w:line="300" w:lineRule="exact"/>
              <w:rPr>
                <w:rFonts w:ascii="宋体" w:hAnsi="宋体"/>
                <w:sz w:val="21"/>
                <w:szCs w:val="21"/>
              </w:rPr>
            </w:pPr>
            <w:r>
              <w:rPr>
                <w:rFonts w:hint="eastAsia" w:ascii="宋体" w:hAnsi="宋体"/>
                <w:sz w:val="21"/>
                <w:szCs w:val="21"/>
              </w:rPr>
              <w:t>法人条件证明</w:t>
            </w:r>
          </w:p>
        </w:tc>
        <w:tc>
          <w:tcPr>
            <w:tcW w:w="2841" w:type="dxa"/>
            <w:vAlign w:val="center"/>
          </w:tcPr>
          <w:p w14:paraId="439FFF37">
            <w:pPr>
              <w:adjustRightInd w:val="0"/>
              <w:snapToGrid w:val="0"/>
              <w:spacing w:line="300" w:lineRule="exact"/>
              <w:rPr>
                <w:rFonts w:ascii="宋体" w:hAnsi="宋体"/>
                <w:sz w:val="21"/>
                <w:szCs w:val="21"/>
              </w:rPr>
            </w:pPr>
            <w:r>
              <w:rPr>
                <w:rFonts w:hint="eastAsia" w:ascii="宋体" w:hAnsi="宋体"/>
                <w:sz w:val="21"/>
                <w:szCs w:val="21"/>
              </w:rPr>
              <w:t>提供企业营业执照</w:t>
            </w:r>
          </w:p>
        </w:tc>
        <w:tc>
          <w:tcPr>
            <w:tcW w:w="1035" w:type="dxa"/>
            <w:vAlign w:val="center"/>
          </w:tcPr>
          <w:p w14:paraId="0F396397">
            <w:pPr>
              <w:adjustRightInd w:val="0"/>
              <w:snapToGrid w:val="0"/>
              <w:spacing w:line="300" w:lineRule="exact"/>
              <w:ind w:left="0" w:leftChars="0" w:firstLine="0" w:firstLineChars="0"/>
              <w:jc w:val="both"/>
              <w:rPr>
                <w:rFonts w:ascii="宋体" w:hAnsi="宋体"/>
                <w:sz w:val="21"/>
                <w:szCs w:val="21"/>
              </w:rPr>
            </w:pPr>
            <w:r>
              <w:rPr>
                <w:rFonts w:hint="eastAsia" w:ascii="宋体" w:hAnsi="宋体"/>
                <w:sz w:val="21"/>
                <w:szCs w:val="21"/>
              </w:rPr>
              <w:t>符合要求</w:t>
            </w:r>
          </w:p>
        </w:tc>
      </w:tr>
      <w:tr w14:paraId="569D7F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459" w:type="dxa"/>
            <w:vMerge w:val="continue"/>
            <w:vAlign w:val="center"/>
          </w:tcPr>
          <w:p w14:paraId="6CE6DDA4">
            <w:pPr>
              <w:adjustRightInd w:val="0"/>
              <w:snapToGrid w:val="0"/>
              <w:spacing w:line="300" w:lineRule="exact"/>
              <w:jc w:val="center"/>
              <w:rPr>
                <w:rFonts w:ascii="宋体" w:hAnsi="宋体"/>
                <w:sz w:val="21"/>
                <w:szCs w:val="21"/>
              </w:rPr>
            </w:pPr>
          </w:p>
        </w:tc>
        <w:tc>
          <w:tcPr>
            <w:tcW w:w="469" w:type="dxa"/>
            <w:vMerge w:val="continue"/>
            <w:vAlign w:val="center"/>
          </w:tcPr>
          <w:p w14:paraId="27380CBC">
            <w:pPr>
              <w:adjustRightInd w:val="0"/>
              <w:snapToGrid w:val="0"/>
              <w:spacing w:line="300" w:lineRule="exact"/>
              <w:jc w:val="center"/>
              <w:rPr>
                <w:rFonts w:ascii="宋体" w:hAnsi="宋体"/>
                <w:sz w:val="21"/>
                <w:szCs w:val="21"/>
              </w:rPr>
            </w:pPr>
          </w:p>
        </w:tc>
        <w:tc>
          <w:tcPr>
            <w:tcW w:w="4154" w:type="dxa"/>
            <w:gridSpan w:val="2"/>
            <w:vAlign w:val="center"/>
          </w:tcPr>
          <w:p w14:paraId="3373AA7E">
            <w:pPr>
              <w:adjustRightInd w:val="0"/>
              <w:snapToGrid w:val="0"/>
              <w:spacing w:line="300" w:lineRule="exact"/>
              <w:rPr>
                <w:rFonts w:ascii="宋体" w:hAnsi="宋体"/>
                <w:sz w:val="21"/>
                <w:szCs w:val="21"/>
              </w:rPr>
            </w:pPr>
            <w:r>
              <w:rPr>
                <w:rFonts w:hint="eastAsia" w:ascii="宋体" w:hAnsi="宋体"/>
                <w:sz w:val="21"/>
                <w:szCs w:val="21"/>
              </w:rPr>
              <w:t>安全生产组织机构</w:t>
            </w:r>
          </w:p>
        </w:tc>
        <w:tc>
          <w:tcPr>
            <w:tcW w:w="2841" w:type="dxa"/>
            <w:vAlign w:val="center"/>
          </w:tcPr>
          <w:p w14:paraId="0424D4CC">
            <w:pPr>
              <w:adjustRightInd w:val="0"/>
              <w:snapToGrid w:val="0"/>
              <w:spacing w:line="300" w:lineRule="exact"/>
              <w:rPr>
                <w:rFonts w:ascii="宋体" w:hAnsi="宋体"/>
                <w:sz w:val="21"/>
                <w:szCs w:val="21"/>
              </w:rPr>
            </w:pPr>
            <w:r>
              <w:rPr>
                <w:rFonts w:hint="eastAsia" w:ascii="宋体" w:hAnsi="宋体"/>
                <w:sz w:val="21"/>
                <w:szCs w:val="21"/>
              </w:rPr>
              <w:t>已建立</w:t>
            </w:r>
          </w:p>
        </w:tc>
        <w:tc>
          <w:tcPr>
            <w:tcW w:w="1035" w:type="dxa"/>
            <w:vAlign w:val="center"/>
          </w:tcPr>
          <w:p w14:paraId="78D267AD">
            <w:pPr>
              <w:adjustRightInd w:val="0"/>
              <w:snapToGrid w:val="0"/>
              <w:spacing w:line="300" w:lineRule="exact"/>
              <w:ind w:left="0" w:leftChars="0" w:firstLine="0" w:firstLineChars="0"/>
              <w:jc w:val="both"/>
              <w:rPr>
                <w:rFonts w:ascii="宋体" w:hAnsi="宋体"/>
                <w:sz w:val="21"/>
                <w:szCs w:val="21"/>
              </w:rPr>
            </w:pPr>
            <w:r>
              <w:rPr>
                <w:rFonts w:hint="eastAsia" w:ascii="宋体" w:hAnsi="宋体"/>
                <w:sz w:val="21"/>
                <w:szCs w:val="21"/>
              </w:rPr>
              <w:t>符合要求</w:t>
            </w:r>
          </w:p>
        </w:tc>
      </w:tr>
      <w:tr w14:paraId="7627C9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459" w:type="dxa"/>
            <w:vMerge w:val="continue"/>
            <w:vAlign w:val="center"/>
          </w:tcPr>
          <w:p w14:paraId="0F2D618C">
            <w:pPr>
              <w:adjustRightInd w:val="0"/>
              <w:snapToGrid w:val="0"/>
              <w:spacing w:line="300" w:lineRule="exact"/>
              <w:jc w:val="center"/>
              <w:rPr>
                <w:rFonts w:ascii="宋体" w:hAnsi="宋体"/>
                <w:sz w:val="21"/>
                <w:szCs w:val="21"/>
              </w:rPr>
            </w:pPr>
          </w:p>
        </w:tc>
        <w:tc>
          <w:tcPr>
            <w:tcW w:w="469" w:type="dxa"/>
            <w:vMerge w:val="continue"/>
            <w:vAlign w:val="center"/>
          </w:tcPr>
          <w:p w14:paraId="1A9A2340">
            <w:pPr>
              <w:adjustRightInd w:val="0"/>
              <w:snapToGrid w:val="0"/>
              <w:spacing w:line="300" w:lineRule="exact"/>
              <w:jc w:val="center"/>
              <w:rPr>
                <w:rFonts w:ascii="宋体" w:hAnsi="宋体"/>
                <w:sz w:val="21"/>
                <w:szCs w:val="21"/>
              </w:rPr>
            </w:pPr>
          </w:p>
        </w:tc>
        <w:tc>
          <w:tcPr>
            <w:tcW w:w="4154" w:type="dxa"/>
            <w:gridSpan w:val="2"/>
            <w:vAlign w:val="center"/>
          </w:tcPr>
          <w:p w14:paraId="48AA8274">
            <w:pPr>
              <w:adjustRightInd w:val="0"/>
              <w:snapToGrid w:val="0"/>
              <w:spacing w:line="300" w:lineRule="exact"/>
              <w:rPr>
                <w:rFonts w:ascii="宋体" w:hAnsi="宋体"/>
                <w:sz w:val="21"/>
                <w:szCs w:val="21"/>
              </w:rPr>
            </w:pPr>
            <w:r>
              <w:rPr>
                <w:rFonts w:hint="eastAsia" w:ascii="宋体" w:hAnsi="宋体"/>
                <w:sz w:val="21"/>
                <w:szCs w:val="21"/>
              </w:rPr>
              <w:t>产品质量检测检验管理机构</w:t>
            </w:r>
          </w:p>
        </w:tc>
        <w:tc>
          <w:tcPr>
            <w:tcW w:w="2841" w:type="dxa"/>
            <w:vAlign w:val="center"/>
          </w:tcPr>
          <w:p w14:paraId="16CB637B">
            <w:pPr>
              <w:adjustRightInd w:val="0"/>
              <w:snapToGrid w:val="0"/>
              <w:spacing w:line="300" w:lineRule="exact"/>
              <w:rPr>
                <w:rFonts w:ascii="宋体" w:hAnsi="宋体"/>
                <w:sz w:val="21"/>
                <w:szCs w:val="21"/>
              </w:rPr>
            </w:pPr>
            <w:r>
              <w:rPr>
                <w:rFonts w:hint="eastAsia" w:ascii="宋体" w:hAnsi="宋体"/>
                <w:sz w:val="21"/>
                <w:szCs w:val="21"/>
              </w:rPr>
              <w:t>已建立</w:t>
            </w:r>
          </w:p>
        </w:tc>
        <w:tc>
          <w:tcPr>
            <w:tcW w:w="1035" w:type="dxa"/>
            <w:vAlign w:val="center"/>
          </w:tcPr>
          <w:p w14:paraId="573E3EAF">
            <w:pPr>
              <w:adjustRightInd w:val="0"/>
              <w:snapToGrid w:val="0"/>
              <w:spacing w:line="300" w:lineRule="exact"/>
              <w:ind w:left="0" w:leftChars="0" w:firstLine="0" w:firstLineChars="0"/>
              <w:jc w:val="both"/>
              <w:rPr>
                <w:rFonts w:ascii="宋体" w:hAnsi="宋体"/>
                <w:sz w:val="21"/>
                <w:szCs w:val="21"/>
              </w:rPr>
            </w:pPr>
            <w:r>
              <w:rPr>
                <w:rFonts w:hint="eastAsia" w:ascii="宋体" w:hAnsi="宋体"/>
                <w:sz w:val="21"/>
                <w:szCs w:val="21"/>
              </w:rPr>
              <w:t>符合要求</w:t>
            </w:r>
          </w:p>
        </w:tc>
      </w:tr>
      <w:tr w14:paraId="1EE9B9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459" w:type="dxa"/>
            <w:vMerge w:val="continue"/>
            <w:vAlign w:val="center"/>
          </w:tcPr>
          <w:p w14:paraId="7013D46E">
            <w:pPr>
              <w:adjustRightInd w:val="0"/>
              <w:snapToGrid w:val="0"/>
              <w:spacing w:line="300" w:lineRule="exact"/>
              <w:jc w:val="center"/>
              <w:rPr>
                <w:rFonts w:ascii="宋体" w:hAnsi="宋体"/>
                <w:sz w:val="21"/>
                <w:szCs w:val="21"/>
              </w:rPr>
            </w:pPr>
          </w:p>
        </w:tc>
        <w:tc>
          <w:tcPr>
            <w:tcW w:w="469" w:type="dxa"/>
            <w:vMerge w:val="continue"/>
            <w:vAlign w:val="center"/>
          </w:tcPr>
          <w:p w14:paraId="3135E346">
            <w:pPr>
              <w:adjustRightInd w:val="0"/>
              <w:snapToGrid w:val="0"/>
              <w:spacing w:line="300" w:lineRule="exact"/>
              <w:jc w:val="center"/>
              <w:rPr>
                <w:rFonts w:ascii="宋体" w:hAnsi="宋体"/>
                <w:sz w:val="21"/>
                <w:szCs w:val="21"/>
              </w:rPr>
            </w:pPr>
          </w:p>
        </w:tc>
        <w:tc>
          <w:tcPr>
            <w:tcW w:w="4154" w:type="dxa"/>
            <w:gridSpan w:val="2"/>
            <w:vAlign w:val="center"/>
          </w:tcPr>
          <w:p w14:paraId="052F6B74">
            <w:pPr>
              <w:adjustRightInd w:val="0"/>
              <w:snapToGrid w:val="0"/>
              <w:spacing w:line="300" w:lineRule="exact"/>
              <w:rPr>
                <w:rFonts w:ascii="宋体" w:hAnsi="宋体"/>
                <w:sz w:val="21"/>
                <w:szCs w:val="21"/>
              </w:rPr>
            </w:pPr>
            <w:r>
              <w:rPr>
                <w:rFonts w:hint="eastAsia" w:ascii="宋体" w:hAnsi="宋体"/>
                <w:sz w:val="21"/>
                <w:szCs w:val="21"/>
              </w:rPr>
              <w:t>保卫组织机构</w:t>
            </w:r>
          </w:p>
        </w:tc>
        <w:tc>
          <w:tcPr>
            <w:tcW w:w="2841" w:type="dxa"/>
            <w:vAlign w:val="center"/>
          </w:tcPr>
          <w:p w14:paraId="6446B680">
            <w:pPr>
              <w:adjustRightInd w:val="0"/>
              <w:snapToGrid w:val="0"/>
              <w:spacing w:line="300" w:lineRule="exact"/>
              <w:rPr>
                <w:rFonts w:ascii="宋体" w:hAnsi="宋体"/>
                <w:sz w:val="21"/>
                <w:szCs w:val="21"/>
              </w:rPr>
            </w:pPr>
            <w:r>
              <w:rPr>
                <w:rFonts w:hint="eastAsia" w:ascii="宋体" w:hAnsi="宋体"/>
                <w:sz w:val="21"/>
                <w:szCs w:val="21"/>
              </w:rPr>
              <w:t>已设立</w:t>
            </w:r>
          </w:p>
        </w:tc>
        <w:tc>
          <w:tcPr>
            <w:tcW w:w="1035" w:type="dxa"/>
            <w:vAlign w:val="center"/>
          </w:tcPr>
          <w:p w14:paraId="4F14F5FD">
            <w:pPr>
              <w:adjustRightInd w:val="0"/>
              <w:snapToGrid w:val="0"/>
              <w:spacing w:line="300" w:lineRule="exact"/>
              <w:ind w:left="0" w:leftChars="0" w:firstLine="0" w:firstLineChars="0"/>
              <w:jc w:val="both"/>
              <w:rPr>
                <w:rFonts w:ascii="宋体" w:hAnsi="宋体"/>
                <w:sz w:val="21"/>
                <w:szCs w:val="21"/>
              </w:rPr>
            </w:pPr>
            <w:r>
              <w:rPr>
                <w:rFonts w:hint="eastAsia" w:ascii="宋体" w:hAnsi="宋体"/>
                <w:sz w:val="21"/>
                <w:szCs w:val="21"/>
              </w:rPr>
              <w:t>符合要求</w:t>
            </w:r>
          </w:p>
        </w:tc>
      </w:tr>
      <w:tr w14:paraId="429832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459" w:type="dxa"/>
            <w:vMerge w:val="continue"/>
            <w:vAlign w:val="center"/>
          </w:tcPr>
          <w:p w14:paraId="109BD90B">
            <w:pPr>
              <w:adjustRightInd w:val="0"/>
              <w:snapToGrid w:val="0"/>
              <w:spacing w:line="300" w:lineRule="exact"/>
              <w:jc w:val="center"/>
              <w:rPr>
                <w:rFonts w:ascii="宋体" w:hAnsi="宋体"/>
                <w:sz w:val="21"/>
                <w:szCs w:val="21"/>
              </w:rPr>
            </w:pPr>
          </w:p>
        </w:tc>
        <w:tc>
          <w:tcPr>
            <w:tcW w:w="469" w:type="dxa"/>
            <w:vMerge w:val="continue"/>
            <w:vAlign w:val="center"/>
          </w:tcPr>
          <w:p w14:paraId="0FD422B8">
            <w:pPr>
              <w:adjustRightInd w:val="0"/>
              <w:snapToGrid w:val="0"/>
              <w:spacing w:line="300" w:lineRule="exact"/>
              <w:jc w:val="center"/>
              <w:rPr>
                <w:rFonts w:ascii="宋体" w:hAnsi="宋体"/>
                <w:sz w:val="21"/>
                <w:szCs w:val="21"/>
              </w:rPr>
            </w:pPr>
          </w:p>
        </w:tc>
        <w:tc>
          <w:tcPr>
            <w:tcW w:w="4154" w:type="dxa"/>
            <w:gridSpan w:val="2"/>
            <w:vAlign w:val="center"/>
          </w:tcPr>
          <w:p w14:paraId="06D15AAB">
            <w:pPr>
              <w:adjustRightInd w:val="0"/>
              <w:snapToGrid w:val="0"/>
              <w:spacing w:line="300" w:lineRule="exact"/>
              <w:rPr>
                <w:rFonts w:ascii="宋体" w:hAnsi="宋体"/>
                <w:sz w:val="21"/>
                <w:szCs w:val="21"/>
              </w:rPr>
            </w:pPr>
            <w:r>
              <w:rPr>
                <w:rFonts w:hint="eastAsia" w:ascii="宋体" w:hAnsi="宋体"/>
                <w:sz w:val="21"/>
                <w:szCs w:val="21"/>
              </w:rPr>
              <w:t>应急救援组织</w:t>
            </w:r>
          </w:p>
        </w:tc>
        <w:tc>
          <w:tcPr>
            <w:tcW w:w="2841" w:type="dxa"/>
            <w:vAlign w:val="center"/>
          </w:tcPr>
          <w:p w14:paraId="74888F7F">
            <w:pPr>
              <w:adjustRightInd w:val="0"/>
              <w:snapToGrid w:val="0"/>
              <w:spacing w:line="300" w:lineRule="exact"/>
              <w:rPr>
                <w:rFonts w:ascii="宋体" w:hAnsi="宋体"/>
                <w:sz w:val="21"/>
                <w:szCs w:val="21"/>
              </w:rPr>
            </w:pPr>
            <w:r>
              <w:rPr>
                <w:rFonts w:hint="eastAsia" w:ascii="宋体" w:hAnsi="宋体"/>
                <w:sz w:val="21"/>
                <w:szCs w:val="21"/>
              </w:rPr>
              <w:t>已建立</w:t>
            </w:r>
          </w:p>
        </w:tc>
        <w:tc>
          <w:tcPr>
            <w:tcW w:w="1035" w:type="dxa"/>
            <w:vAlign w:val="center"/>
          </w:tcPr>
          <w:p w14:paraId="5086A69E">
            <w:pPr>
              <w:adjustRightInd w:val="0"/>
              <w:snapToGrid w:val="0"/>
              <w:spacing w:line="300" w:lineRule="exact"/>
              <w:ind w:left="0" w:leftChars="0" w:firstLine="0" w:firstLineChars="0"/>
              <w:jc w:val="both"/>
              <w:rPr>
                <w:rFonts w:ascii="宋体" w:hAnsi="宋体"/>
                <w:sz w:val="21"/>
                <w:szCs w:val="21"/>
              </w:rPr>
            </w:pPr>
            <w:r>
              <w:rPr>
                <w:rFonts w:hint="eastAsia" w:ascii="宋体" w:hAnsi="宋体"/>
                <w:sz w:val="21"/>
                <w:szCs w:val="21"/>
              </w:rPr>
              <w:t>符合要求</w:t>
            </w:r>
          </w:p>
        </w:tc>
      </w:tr>
      <w:tr w14:paraId="37B1E2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459" w:type="dxa"/>
            <w:vMerge w:val="restart"/>
            <w:vAlign w:val="center"/>
          </w:tcPr>
          <w:p w14:paraId="09A949D1">
            <w:pPr>
              <w:adjustRightInd w:val="0"/>
              <w:snapToGrid w:val="0"/>
              <w:spacing w:line="300" w:lineRule="exact"/>
              <w:jc w:val="center"/>
              <w:rPr>
                <w:rFonts w:ascii="宋体" w:hAnsi="宋体"/>
                <w:sz w:val="21"/>
                <w:szCs w:val="21"/>
              </w:rPr>
            </w:pPr>
            <w:r>
              <w:rPr>
                <w:rFonts w:hint="eastAsia" w:ascii="宋体" w:hAnsi="宋体"/>
                <w:sz w:val="21"/>
                <w:szCs w:val="21"/>
              </w:rPr>
              <w:t>2</w:t>
            </w:r>
          </w:p>
        </w:tc>
        <w:tc>
          <w:tcPr>
            <w:tcW w:w="469" w:type="dxa"/>
            <w:vMerge w:val="restart"/>
            <w:vAlign w:val="center"/>
          </w:tcPr>
          <w:p w14:paraId="584A0566">
            <w:pPr>
              <w:adjustRightInd w:val="0"/>
              <w:snapToGrid w:val="0"/>
              <w:spacing w:line="300" w:lineRule="exact"/>
              <w:ind w:left="0" w:leftChars="0" w:right="151" w:rightChars="50" w:firstLine="0" w:firstLineChars="0"/>
              <w:jc w:val="center"/>
              <w:rPr>
                <w:rFonts w:ascii="宋体" w:hAnsi="宋体"/>
                <w:sz w:val="21"/>
                <w:szCs w:val="21"/>
              </w:rPr>
            </w:pPr>
            <w:r>
              <w:rPr>
                <w:rFonts w:hint="eastAsia" w:ascii="宋体" w:hAnsi="宋体"/>
                <w:sz w:val="21"/>
                <w:szCs w:val="21"/>
              </w:rPr>
              <w:t>从业人员</w:t>
            </w:r>
          </w:p>
        </w:tc>
        <w:tc>
          <w:tcPr>
            <w:tcW w:w="4154" w:type="dxa"/>
            <w:gridSpan w:val="2"/>
            <w:vAlign w:val="center"/>
          </w:tcPr>
          <w:p w14:paraId="472616AF">
            <w:pPr>
              <w:adjustRightInd w:val="0"/>
              <w:snapToGrid w:val="0"/>
              <w:spacing w:line="300" w:lineRule="exact"/>
              <w:ind w:left="0" w:leftChars="0" w:firstLine="0" w:firstLineChars="0"/>
              <w:rPr>
                <w:rFonts w:ascii="宋体" w:hAnsi="宋体"/>
                <w:sz w:val="21"/>
                <w:szCs w:val="21"/>
              </w:rPr>
            </w:pPr>
            <w:r>
              <w:rPr>
                <w:rFonts w:hint="eastAsia" w:ascii="宋体" w:hAnsi="宋体"/>
                <w:sz w:val="21"/>
                <w:szCs w:val="21"/>
              </w:rPr>
              <w:t>主要负责人、安全管理人员培训考核上岗资格证</w:t>
            </w:r>
          </w:p>
        </w:tc>
        <w:tc>
          <w:tcPr>
            <w:tcW w:w="2841" w:type="dxa"/>
            <w:vAlign w:val="center"/>
          </w:tcPr>
          <w:p w14:paraId="1E2CC6EE">
            <w:pPr>
              <w:adjustRightInd w:val="0"/>
              <w:snapToGrid w:val="0"/>
              <w:spacing w:line="300" w:lineRule="exact"/>
              <w:ind w:left="0" w:leftChars="0" w:firstLine="0" w:firstLineChars="0"/>
              <w:rPr>
                <w:rFonts w:ascii="宋体" w:hAnsi="宋体"/>
                <w:sz w:val="21"/>
                <w:szCs w:val="21"/>
              </w:rPr>
            </w:pPr>
            <w:r>
              <w:rPr>
                <w:rFonts w:hint="eastAsia" w:ascii="宋体" w:hAnsi="宋体"/>
                <w:sz w:val="21"/>
                <w:szCs w:val="21"/>
              </w:rPr>
              <w:t>主要负责人、专职安全生产管理人员经相关管理部门培训，持证上岗</w:t>
            </w:r>
          </w:p>
        </w:tc>
        <w:tc>
          <w:tcPr>
            <w:tcW w:w="1035" w:type="dxa"/>
            <w:vAlign w:val="center"/>
          </w:tcPr>
          <w:p w14:paraId="37131B10">
            <w:pPr>
              <w:adjustRightInd w:val="0"/>
              <w:snapToGrid w:val="0"/>
              <w:spacing w:line="300" w:lineRule="exact"/>
              <w:ind w:left="0" w:leftChars="0" w:firstLine="0" w:firstLineChars="0"/>
              <w:jc w:val="both"/>
              <w:rPr>
                <w:rFonts w:ascii="宋体" w:hAnsi="宋体"/>
                <w:sz w:val="21"/>
                <w:szCs w:val="21"/>
              </w:rPr>
            </w:pPr>
            <w:r>
              <w:rPr>
                <w:rFonts w:hint="eastAsia" w:ascii="宋体" w:hAnsi="宋体"/>
                <w:sz w:val="21"/>
                <w:szCs w:val="21"/>
              </w:rPr>
              <w:t>符合要求</w:t>
            </w:r>
          </w:p>
        </w:tc>
      </w:tr>
      <w:tr w14:paraId="52CCCC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459" w:type="dxa"/>
            <w:vMerge w:val="continue"/>
            <w:vAlign w:val="center"/>
          </w:tcPr>
          <w:p w14:paraId="178E1D8F">
            <w:pPr>
              <w:adjustRightInd w:val="0"/>
              <w:snapToGrid w:val="0"/>
              <w:spacing w:line="300" w:lineRule="exact"/>
              <w:jc w:val="center"/>
              <w:rPr>
                <w:rFonts w:ascii="宋体" w:hAnsi="宋体"/>
                <w:sz w:val="21"/>
                <w:szCs w:val="21"/>
              </w:rPr>
            </w:pPr>
          </w:p>
        </w:tc>
        <w:tc>
          <w:tcPr>
            <w:tcW w:w="469" w:type="dxa"/>
            <w:vMerge w:val="continue"/>
            <w:vAlign w:val="center"/>
          </w:tcPr>
          <w:p w14:paraId="1A3E4526">
            <w:pPr>
              <w:adjustRightInd w:val="0"/>
              <w:snapToGrid w:val="0"/>
              <w:spacing w:line="300" w:lineRule="exact"/>
              <w:jc w:val="center"/>
              <w:rPr>
                <w:rFonts w:ascii="宋体" w:hAnsi="宋体"/>
                <w:sz w:val="21"/>
                <w:szCs w:val="21"/>
              </w:rPr>
            </w:pPr>
          </w:p>
        </w:tc>
        <w:tc>
          <w:tcPr>
            <w:tcW w:w="4154" w:type="dxa"/>
            <w:gridSpan w:val="2"/>
            <w:vAlign w:val="center"/>
          </w:tcPr>
          <w:p w14:paraId="324681DB">
            <w:pPr>
              <w:adjustRightInd w:val="0"/>
              <w:snapToGrid w:val="0"/>
              <w:spacing w:line="300" w:lineRule="exact"/>
              <w:ind w:left="0" w:leftChars="0" w:firstLine="0" w:firstLineChars="0"/>
              <w:rPr>
                <w:rFonts w:ascii="宋体" w:hAnsi="宋体"/>
                <w:sz w:val="21"/>
                <w:szCs w:val="21"/>
              </w:rPr>
            </w:pPr>
            <w:r>
              <w:rPr>
                <w:rFonts w:hint="eastAsia" w:ascii="宋体" w:hAnsi="宋体"/>
                <w:sz w:val="21"/>
                <w:szCs w:val="21"/>
              </w:rPr>
              <w:t>守护员、保管员培训考核上岗资格证明</w:t>
            </w:r>
          </w:p>
        </w:tc>
        <w:tc>
          <w:tcPr>
            <w:tcW w:w="2841" w:type="dxa"/>
            <w:vAlign w:val="center"/>
          </w:tcPr>
          <w:p w14:paraId="1CD04343">
            <w:pPr>
              <w:adjustRightInd w:val="0"/>
              <w:snapToGrid w:val="0"/>
              <w:spacing w:line="300" w:lineRule="exact"/>
              <w:ind w:left="0" w:leftChars="0" w:firstLine="0" w:firstLineChars="0"/>
              <w:rPr>
                <w:rFonts w:ascii="宋体" w:hAnsi="宋体"/>
                <w:sz w:val="21"/>
                <w:szCs w:val="21"/>
              </w:rPr>
            </w:pPr>
            <w:r>
              <w:rPr>
                <w:rFonts w:hint="eastAsia" w:ascii="宋体" w:hAnsi="宋体"/>
                <w:sz w:val="21"/>
                <w:szCs w:val="21"/>
              </w:rPr>
              <w:t>经相关部门培训考核合格并持证上岗</w:t>
            </w:r>
          </w:p>
        </w:tc>
        <w:tc>
          <w:tcPr>
            <w:tcW w:w="1035" w:type="dxa"/>
            <w:vAlign w:val="center"/>
          </w:tcPr>
          <w:p w14:paraId="79EDD4B6">
            <w:pPr>
              <w:adjustRightInd w:val="0"/>
              <w:snapToGrid w:val="0"/>
              <w:spacing w:line="300" w:lineRule="exact"/>
              <w:ind w:left="0" w:leftChars="0" w:firstLine="0" w:firstLineChars="0"/>
              <w:jc w:val="both"/>
              <w:rPr>
                <w:rFonts w:ascii="宋体" w:hAnsi="宋体"/>
                <w:sz w:val="21"/>
                <w:szCs w:val="21"/>
              </w:rPr>
            </w:pPr>
            <w:r>
              <w:rPr>
                <w:rFonts w:hint="eastAsia" w:ascii="宋体" w:hAnsi="宋体"/>
                <w:sz w:val="21"/>
                <w:szCs w:val="21"/>
              </w:rPr>
              <w:t>符合要求</w:t>
            </w:r>
          </w:p>
        </w:tc>
      </w:tr>
      <w:tr w14:paraId="575B7C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459" w:type="dxa"/>
            <w:vMerge w:val="continue"/>
            <w:vAlign w:val="center"/>
          </w:tcPr>
          <w:p w14:paraId="1BEE7496">
            <w:pPr>
              <w:adjustRightInd w:val="0"/>
              <w:snapToGrid w:val="0"/>
              <w:spacing w:line="300" w:lineRule="exact"/>
              <w:jc w:val="center"/>
              <w:rPr>
                <w:rFonts w:ascii="宋体" w:hAnsi="宋体"/>
                <w:sz w:val="21"/>
                <w:szCs w:val="21"/>
              </w:rPr>
            </w:pPr>
          </w:p>
        </w:tc>
        <w:tc>
          <w:tcPr>
            <w:tcW w:w="469" w:type="dxa"/>
            <w:vMerge w:val="continue"/>
            <w:vAlign w:val="center"/>
          </w:tcPr>
          <w:p w14:paraId="0ABB74EF">
            <w:pPr>
              <w:adjustRightInd w:val="0"/>
              <w:snapToGrid w:val="0"/>
              <w:spacing w:line="300" w:lineRule="exact"/>
              <w:jc w:val="center"/>
              <w:rPr>
                <w:rFonts w:ascii="宋体" w:hAnsi="宋体"/>
                <w:sz w:val="21"/>
                <w:szCs w:val="21"/>
              </w:rPr>
            </w:pPr>
          </w:p>
        </w:tc>
        <w:tc>
          <w:tcPr>
            <w:tcW w:w="4154" w:type="dxa"/>
            <w:gridSpan w:val="2"/>
            <w:vAlign w:val="center"/>
          </w:tcPr>
          <w:p w14:paraId="70D9100C">
            <w:pPr>
              <w:adjustRightInd w:val="0"/>
              <w:snapToGrid w:val="0"/>
              <w:spacing w:line="300" w:lineRule="exact"/>
              <w:rPr>
                <w:rFonts w:ascii="宋体" w:hAnsi="宋体"/>
                <w:sz w:val="21"/>
                <w:szCs w:val="21"/>
              </w:rPr>
            </w:pPr>
            <w:r>
              <w:rPr>
                <w:rFonts w:hint="eastAsia" w:ascii="宋体" w:hAnsi="宋体"/>
                <w:sz w:val="21"/>
                <w:szCs w:val="21"/>
              </w:rPr>
              <w:t>驾驶、押运人员资格证明</w:t>
            </w:r>
          </w:p>
        </w:tc>
        <w:tc>
          <w:tcPr>
            <w:tcW w:w="2841" w:type="dxa"/>
            <w:vAlign w:val="center"/>
          </w:tcPr>
          <w:p w14:paraId="51E81410">
            <w:pPr>
              <w:adjustRightInd w:val="0"/>
              <w:snapToGrid w:val="0"/>
              <w:spacing w:line="300" w:lineRule="exact"/>
              <w:rPr>
                <w:rFonts w:ascii="宋体" w:hAnsi="宋体"/>
                <w:sz w:val="21"/>
                <w:szCs w:val="21"/>
              </w:rPr>
            </w:pPr>
            <w:r>
              <w:rPr>
                <w:rFonts w:hint="eastAsia" w:ascii="宋体" w:hAnsi="宋体"/>
                <w:sz w:val="21"/>
                <w:szCs w:val="21"/>
              </w:rPr>
              <w:t>已提供</w:t>
            </w:r>
          </w:p>
        </w:tc>
        <w:tc>
          <w:tcPr>
            <w:tcW w:w="1035" w:type="dxa"/>
            <w:vAlign w:val="center"/>
          </w:tcPr>
          <w:p w14:paraId="12B86692">
            <w:pPr>
              <w:adjustRightInd w:val="0"/>
              <w:snapToGrid w:val="0"/>
              <w:spacing w:line="300" w:lineRule="exact"/>
              <w:ind w:left="0" w:leftChars="0" w:firstLine="0" w:firstLineChars="0"/>
              <w:jc w:val="both"/>
              <w:rPr>
                <w:rFonts w:ascii="宋体" w:hAnsi="宋体"/>
                <w:sz w:val="21"/>
                <w:szCs w:val="21"/>
              </w:rPr>
            </w:pPr>
            <w:r>
              <w:rPr>
                <w:rFonts w:hint="eastAsia" w:ascii="宋体" w:hAnsi="宋体"/>
                <w:sz w:val="21"/>
                <w:szCs w:val="21"/>
              </w:rPr>
              <w:t>符合要求</w:t>
            </w:r>
          </w:p>
        </w:tc>
      </w:tr>
      <w:tr w14:paraId="071C72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459" w:type="dxa"/>
            <w:vMerge w:val="continue"/>
            <w:vAlign w:val="center"/>
          </w:tcPr>
          <w:p w14:paraId="6340C588">
            <w:pPr>
              <w:adjustRightInd w:val="0"/>
              <w:snapToGrid w:val="0"/>
              <w:spacing w:line="300" w:lineRule="exact"/>
              <w:jc w:val="center"/>
              <w:rPr>
                <w:rFonts w:ascii="宋体" w:hAnsi="宋体"/>
                <w:sz w:val="21"/>
                <w:szCs w:val="21"/>
              </w:rPr>
            </w:pPr>
          </w:p>
        </w:tc>
        <w:tc>
          <w:tcPr>
            <w:tcW w:w="469" w:type="dxa"/>
            <w:vMerge w:val="continue"/>
            <w:vAlign w:val="center"/>
          </w:tcPr>
          <w:p w14:paraId="1D901FBF">
            <w:pPr>
              <w:adjustRightInd w:val="0"/>
              <w:snapToGrid w:val="0"/>
              <w:spacing w:line="300" w:lineRule="exact"/>
              <w:jc w:val="center"/>
              <w:rPr>
                <w:rFonts w:ascii="宋体" w:hAnsi="宋体"/>
                <w:sz w:val="21"/>
                <w:szCs w:val="21"/>
              </w:rPr>
            </w:pPr>
          </w:p>
        </w:tc>
        <w:tc>
          <w:tcPr>
            <w:tcW w:w="4154" w:type="dxa"/>
            <w:gridSpan w:val="2"/>
            <w:vAlign w:val="center"/>
          </w:tcPr>
          <w:p w14:paraId="3AE786A9">
            <w:pPr>
              <w:adjustRightInd w:val="0"/>
              <w:snapToGrid w:val="0"/>
              <w:spacing w:line="300" w:lineRule="exact"/>
              <w:rPr>
                <w:rFonts w:ascii="宋体" w:hAnsi="宋体"/>
                <w:sz w:val="21"/>
                <w:szCs w:val="21"/>
              </w:rPr>
            </w:pPr>
            <w:r>
              <w:rPr>
                <w:rFonts w:hint="eastAsia" w:ascii="宋体" w:hAnsi="宋体"/>
                <w:sz w:val="21"/>
                <w:szCs w:val="21"/>
              </w:rPr>
              <w:t>从业人员工伤保险名单</w:t>
            </w:r>
          </w:p>
        </w:tc>
        <w:tc>
          <w:tcPr>
            <w:tcW w:w="2841" w:type="dxa"/>
            <w:vAlign w:val="center"/>
          </w:tcPr>
          <w:p w14:paraId="7DF07F86">
            <w:pPr>
              <w:adjustRightInd w:val="0"/>
              <w:snapToGrid w:val="0"/>
              <w:spacing w:line="300" w:lineRule="exact"/>
              <w:rPr>
                <w:rFonts w:ascii="宋体" w:hAnsi="宋体"/>
                <w:sz w:val="21"/>
                <w:szCs w:val="21"/>
              </w:rPr>
            </w:pPr>
            <w:r>
              <w:rPr>
                <w:rFonts w:hint="eastAsia" w:ascii="宋体" w:hAnsi="宋体"/>
                <w:sz w:val="21"/>
                <w:szCs w:val="21"/>
              </w:rPr>
              <w:t>已提供</w:t>
            </w:r>
          </w:p>
        </w:tc>
        <w:tc>
          <w:tcPr>
            <w:tcW w:w="1035" w:type="dxa"/>
            <w:vAlign w:val="center"/>
          </w:tcPr>
          <w:p w14:paraId="38A12E13">
            <w:pPr>
              <w:adjustRightInd w:val="0"/>
              <w:snapToGrid w:val="0"/>
              <w:spacing w:line="300" w:lineRule="exact"/>
              <w:ind w:left="0" w:leftChars="0" w:firstLine="0" w:firstLineChars="0"/>
              <w:jc w:val="both"/>
              <w:rPr>
                <w:rFonts w:ascii="宋体" w:hAnsi="宋体"/>
                <w:sz w:val="21"/>
                <w:szCs w:val="21"/>
              </w:rPr>
            </w:pPr>
            <w:r>
              <w:rPr>
                <w:rFonts w:hint="eastAsia" w:ascii="宋体" w:hAnsi="宋体"/>
                <w:sz w:val="21"/>
                <w:szCs w:val="21"/>
              </w:rPr>
              <w:t>符合要求</w:t>
            </w:r>
          </w:p>
        </w:tc>
      </w:tr>
      <w:tr w14:paraId="2AB599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459" w:type="dxa"/>
            <w:vMerge w:val="restart"/>
            <w:vAlign w:val="center"/>
          </w:tcPr>
          <w:p w14:paraId="3562315B">
            <w:pPr>
              <w:adjustRightInd w:val="0"/>
              <w:snapToGrid w:val="0"/>
              <w:spacing w:line="300" w:lineRule="exact"/>
              <w:jc w:val="center"/>
              <w:rPr>
                <w:rFonts w:ascii="宋体" w:hAnsi="宋体"/>
                <w:sz w:val="21"/>
                <w:szCs w:val="21"/>
              </w:rPr>
            </w:pPr>
            <w:r>
              <w:rPr>
                <w:rFonts w:hint="eastAsia" w:ascii="宋体" w:hAnsi="宋体"/>
                <w:sz w:val="21"/>
                <w:szCs w:val="21"/>
              </w:rPr>
              <w:t>3</w:t>
            </w:r>
          </w:p>
        </w:tc>
        <w:tc>
          <w:tcPr>
            <w:tcW w:w="469" w:type="dxa"/>
            <w:vMerge w:val="restart"/>
            <w:vAlign w:val="center"/>
          </w:tcPr>
          <w:p w14:paraId="1519C99B">
            <w:pPr>
              <w:adjustRightInd w:val="0"/>
              <w:snapToGrid w:val="0"/>
              <w:spacing w:line="300" w:lineRule="exact"/>
              <w:ind w:left="0" w:leftChars="0" w:right="151" w:rightChars="50" w:firstLine="0" w:firstLineChars="0"/>
              <w:jc w:val="both"/>
              <w:rPr>
                <w:rFonts w:ascii="宋体" w:hAnsi="宋体"/>
                <w:sz w:val="21"/>
                <w:szCs w:val="21"/>
              </w:rPr>
            </w:pPr>
            <w:r>
              <w:rPr>
                <w:rFonts w:hint="eastAsia" w:ascii="宋体" w:hAnsi="宋体"/>
                <w:sz w:val="21"/>
                <w:szCs w:val="21"/>
              </w:rPr>
              <w:t>规章制度</w:t>
            </w:r>
          </w:p>
        </w:tc>
        <w:tc>
          <w:tcPr>
            <w:tcW w:w="4154" w:type="dxa"/>
            <w:gridSpan w:val="2"/>
            <w:vAlign w:val="center"/>
          </w:tcPr>
          <w:p w14:paraId="0AC04A19">
            <w:pPr>
              <w:adjustRightInd w:val="0"/>
              <w:snapToGrid w:val="0"/>
              <w:spacing w:line="300" w:lineRule="exact"/>
              <w:rPr>
                <w:rFonts w:ascii="宋体" w:hAnsi="宋体"/>
                <w:sz w:val="21"/>
                <w:szCs w:val="21"/>
              </w:rPr>
            </w:pPr>
            <w:r>
              <w:rPr>
                <w:rFonts w:hint="eastAsia" w:ascii="宋体" w:hAnsi="宋体"/>
                <w:sz w:val="21"/>
                <w:szCs w:val="21"/>
              </w:rPr>
              <w:t>安全生产责任制度</w:t>
            </w:r>
          </w:p>
        </w:tc>
        <w:tc>
          <w:tcPr>
            <w:tcW w:w="2841" w:type="dxa"/>
            <w:shd w:val="clear" w:color="auto" w:fill="auto"/>
            <w:vAlign w:val="center"/>
          </w:tcPr>
          <w:p w14:paraId="7ED84E0F">
            <w:pPr>
              <w:adjustRightInd w:val="0"/>
              <w:snapToGrid w:val="0"/>
              <w:spacing w:line="300" w:lineRule="exact"/>
              <w:ind w:firstLine="466" w:firstLineChars="200"/>
              <w:rPr>
                <w:rFonts w:hint="eastAsia" w:ascii="宋体" w:hAnsi="宋体" w:eastAsia="宋体" w:cs="Times New Roman"/>
                <w:kern w:val="2"/>
                <w:sz w:val="21"/>
                <w:szCs w:val="21"/>
                <w:lang w:val="en-US" w:eastAsia="zh-CN" w:bidi="ar-SA"/>
              </w:rPr>
            </w:pPr>
            <w:r>
              <w:rPr>
                <w:rFonts w:hint="eastAsia" w:ascii="宋体" w:hAnsi="宋体"/>
                <w:sz w:val="21"/>
                <w:szCs w:val="21"/>
              </w:rPr>
              <w:t>已建立</w:t>
            </w:r>
          </w:p>
        </w:tc>
        <w:tc>
          <w:tcPr>
            <w:tcW w:w="1035" w:type="dxa"/>
            <w:vAlign w:val="center"/>
          </w:tcPr>
          <w:p w14:paraId="7AB45FD4">
            <w:pPr>
              <w:adjustRightInd w:val="0"/>
              <w:snapToGrid w:val="0"/>
              <w:spacing w:line="300" w:lineRule="exact"/>
              <w:ind w:left="0" w:leftChars="0" w:firstLine="0" w:firstLineChars="0"/>
              <w:jc w:val="both"/>
              <w:rPr>
                <w:rFonts w:ascii="宋体" w:hAnsi="宋体"/>
                <w:sz w:val="21"/>
                <w:szCs w:val="21"/>
              </w:rPr>
            </w:pPr>
            <w:r>
              <w:rPr>
                <w:rFonts w:hint="eastAsia" w:ascii="宋体" w:hAnsi="宋体"/>
                <w:sz w:val="21"/>
                <w:szCs w:val="21"/>
              </w:rPr>
              <w:t>符合要求</w:t>
            </w:r>
          </w:p>
        </w:tc>
      </w:tr>
      <w:tr w14:paraId="539FA2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459" w:type="dxa"/>
            <w:vMerge w:val="continue"/>
            <w:vAlign w:val="center"/>
          </w:tcPr>
          <w:p w14:paraId="14759FE2">
            <w:pPr>
              <w:adjustRightInd w:val="0"/>
              <w:snapToGrid w:val="0"/>
              <w:spacing w:line="300" w:lineRule="exact"/>
              <w:jc w:val="center"/>
              <w:rPr>
                <w:rFonts w:ascii="宋体" w:hAnsi="宋体"/>
                <w:sz w:val="21"/>
                <w:szCs w:val="21"/>
              </w:rPr>
            </w:pPr>
          </w:p>
        </w:tc>
        <w:tc>
          <w:tcPr>
            <w:tcW w:w="469" w:type="dxa"/>
            <w:vMerge w:val="continue"/>
            <w:vAlign w:val="center"/>
          </w:tcPr>
          <w:p w14:paraId="5AB6EA3E">
            <w:pPr>
              <w:adjustRightInd w:val="0"/>
              <w:snapToGrid w:val="0"/>
              <w:spacing w:line="300" w:lineRule="exact"/>
              <w:ind w:left="151" w:leftChars="50" w:right="151" w:rightChars="50"/>
              <w:jc w:val="center"/>
              <w:rPr>
                <w:rFonts w:ascii="宋体" w:hAnsi="宋体"/>
                <w:sz w:val="21"/>
                <w:szCs w:val="21"/>
              </w:rPr>
            </w:pPr>
          </w:p>
        </w:tc>
        <w:tc>
          <w:tcPr>
            <w:tcW w:w="4154" w:type="dxa"/>
            <w:gridSpan w:val="2"/>
            <w:vAlign w:val="center"/>
          </w:tcPr>
          <w:p w14:paraId="39FC34F9">
            <w:pPr>
              <w:adjustRightInd w:val="0"/>
              <w:snapToGrid w:val="0"/>
              <w:spacing w:line="300" w:lineRule="exact"/>
              <w:ind w:firstLine="466" w:firstLineChars="200"/>
              <w:rPr>
                <w:rFonts w:hint="eastAsia" w:ascii="宋体" w:hAnsi="宋体"/>
                <w:sz w:val="21"/>
                <w:szCs w:val="21"/>
              </w:rPr>
            </w:pPr>
            <w:r>
              <w:rPr>
                <w:rFonts w:hint="eastAsia" w:ascii="宋体" w:hAnsi="宋体"/>
                <w:sz w:val="21"/>
                <w:szCs w:val="21"/>
              </w:rPr>
              <w:t>安全管理责任制度</w:t>
            </w:r>
          </w:p>
        </w:tc>
        <w:tc>
          <w:tcPr>
            <w:tcW w:w="2841" w:type="dxa"/>
            <w:shd w:val="clear" w:color="auto" w:fill="auto"/>
            <w:vAlign w:val="center"/>
          </w:tcPr>
          <w:p w14:paraId="31D4F8FF">
            <w:pPr>
              <w:adjustRightInd w:val="0"/>
              <w:snapToGrid w:val="0"/>
              <w:spacing w:line="300" w:lineRule="exact"/>
              <w:ind w:firstLine="466" w:firstLineChars="200"/>
              <w:rPr>
                <w:rFonts w:hint="eastAsia" w:ascii="宋体" w:hAnsi="宋体" w:eastAsia="宋体" w:cs="Times New Roman"/>
                <w:kern w:val="2"/>
                <w:sz w:val="21"/>
                <w:szCs w:val="21"/>
                <w:lang w:val="en-US" w:eastAsia="zh-CN" w:bidi="ar-SA"/>
              </w:rPr>
            </w:pPr>
            <w:r>
              <w:rPr>
                <w:rFonts w:hint="eastAsia" w:ascii="宋体" w:hAnsi="宋体"/>
                <w:sz w:val="21"/>
                <w:szCs w:val="21"/>
              </w:rPr>
              <w:t>已建立</w:t>
            </w:r>
          </w:p>
        </w:tc>
        <w:tc>
          <w:tcPr>
            <w:tcW w:w="1035" w:type="dxa"/>
            <w:vAlign w:val="center"/>
          </w:tcPr>
          <w:p w14:paraId="6C0C9F44">
            <w:pPr>
              <w:adjustRightInd w:val="0"/>
              <w:snapToGrid w:val="0"/>
              <w:spacing w:line="300" w:lineRule="exact"/>
              <w:ind w:left="0" w:leftChars="0" w:firstLine="0" w:firstLineChars="0"/>
              <w:jc w:val="both"/>
              <w:rPr>
                <w:rFonts w:ascii="宋体" w:hAnsi="宋体"/>
                <w:sz w:val="21"/>
                <w:szCs w:val="21"/>
              </w:rPr>
            </w:pPr>
            <w:r>
              <w:rPr>
                <w:rFonts w:hint="eastAsia" w:ascii="宋体" w:hAnsi="宋体"/>
                <w:sz w:val="21"/>
                <w:szCs w:val="21"/>
              </w:rPr>
              <w:t>符合要求</w:t>
            </w:r>
          </w:p>
        </w:tc>
      </w:tr>
      <w:tr w14:paraId="731A87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459" w:type="dxa"/>
            <w:vMerge w:val="continue"/>
            <w:vAlign w:val="center"/>
          </w:tcPr>
          <w:p w14:paraId="64919027">
            <w:pPr>
              <w:adjustRightInd w:val="0"/>
              <w:snapToGrid w:val="0"/>
              <w:spacing w:line="300" w:lineRule="exact"/>
              <w:jc w:val="center"/>
              <w:rPr>
                <w:rFonts w:ascii="宋体" w:hAnsi="宋体"/>
                <w:sz w:val="21"/>
                <w:szCs w:val="21"/>
              </w:rPr>
            </w:pPr>
          </w:p>
        </w:tc>
        <w:tc>
          <w:tcPr>
            <w:tcW w:w="469" w:type="dxa"/>
            <w:vMerge w:val="continue"/>
            <w:vAlign w:val="center"/>
          </w:tcPr>
          <w:p w14:paraId="7B8822A5">
            <w:pPr>
              <w:adjustRightInd w:val="0"/>
              <w:snapToGrid w:val="0"/>
              <w:spacing w:line="300" w:lineRule="exact"/>
              <w:ind w:left="151" w:leftChars="50" w:right="151" w:rightChars="50"/>
              <w:jc w:val="center"/>
              <w:rPr>
                <w:rFonts w:ascii="宋体" w:hAnsi="宋体"/>
                <w:sz w:val="21"/>
                <w:szCs w:val="21"/>
              </w:rPr>
            </w:pPr>
          </w:p>
        </w:tc>
        <w:tc>
          <w:tcPr>
            <w:tcW w:w="4154" w:type="dxa"/>
            <w:gridSpan w:val="2"/>
            <w:vAlign w:val="center"/>
          </w:tcPr>
          <w:p w14:paraId="03BCA56D">
            <w:pPr>
              <w:adjustRightInd w:val="0"/>
              <w:snapToGrid w:val="0"/>
              <w:spacing w:line="300" w:lineRule="exact"/>
              <w:ind w:firstLine="466" w:firstLineChars="200"/>
              <w:rPr>
                <w:rFonts w:hint="eastAsia" w:ascii="宋体" w:hAnsi="宋体"/>
                <w:sz w:val="21"/>
                <w:szCs w:val="21"/>
              </w:rPr>
            </w:pPr>
            <w:r>
              <w:rPr>
                <w:rFonts w:hint="eastAsia" w:ascii="宋体" w:hAnsi="宋体"/>
                <w:sz w:val="21"/>
                <w:szCs w:val="21"/>
              </w:rPr>
              <w:t>仓库安全管理制度</w:t>
            </w:r>
          </w:p>
        </w:tc>
        <w:tc>
          <w:tcPr>
            <w:tcW w:w="2841" w:type="dxa"/>
            <w:shd w:val="clear" w:color="auto" w:fill="auto"/>
            <w:vAlign w:val="center"/>
          </w:tcPr>
          <w:p w14:paraId="7D2A810F">
            <w:pPr>
              <w:adjustRightInd w:val="0"/>
              <w:snapToGrid w:val="0"/>
              <w:spacing w:line="300" w:lineRule="exact"/>
              <w:ind w:firstLine="466" w:firstLineChars="200"/>
              <w:rPr>
                <w:rFonts w:hint="eastAsia" w:ascii="宋体" w:hAnsi="宋体" w:eastAsia="宋体" w:cs="Times New Roman"/>
                <w:kern w:val="2"/>
                <w:sz w:val="21"/>
                <w:szCs w:val="21"/>
                <w:lang w:val="en-US" w:eastAsia="zh-CN" w:bidi="ar-SA"/>
              </w:rPr>
            </w:pPr>
            <w:r>
              <w:rPr>
                <w:rFonts w:hint="eastAsia" w:ascii="宋体" w:hAnsi="宋体"/>
                <w:sz w:val="21"/>
                <w:szCs w:val="21"/>
              </w:rPr>
              <w:t>已建立</w:t>
            </w:r>
          </w:p>
        </w:tc>
        <w:tc>
          <w:tcPr>
            <w:tcW w:w="1035" w:type="dxa"/>
            <w:vAlign w:val="center"/>
          </w:tcPr>
          <w:p w14:paraId="223C2582">
            <w:pPr>
              <w:adjustRightInd w:val="0"/>
              <w:snapToGrid w:val="0"/>
              <w:spacing w:line="300" w:lineRule="exact"/>
              <w:ind w:left="0" w:leftChars="0" w:firstLine="0" w:firstLineChars="0"/>
              <w:jc w:val="both"/>
              <w:rPr>
                <w:rFonts w:hint="eastAsia" w:ascii="宋体" w:hAnsi="宋体"/>
                <w:sz w:val="21"/>
                <w:szCs w:val="21"/>
              </w:rPr>
            </w:pPr>
            <w:r>
              <w:rPr>
                <w:rFonts w:hint="eastAsia" w:ascii="宋体" w:hAnsi="宋体"/>
                <w:sz w:val="21"/>
                <w:szCs w:val="21"/>
              </w:rPr>
              <w:t>符合要求</w:t>
            </w:r>
          </w:p>
        </w:tc>
      </w:tr>
      <w:tr w14:paraId="714447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459" w:type="dxa"/>
            <w:vMerge w:val="continue"/>
            <w:vAlign w:val="center"/>
          </w:tcPr>
          <w:p w14:paraId="3AE8CCE7">
            <w:pPr>
              <w:adjustRightInd w:val="0"/>
              <w:snapToGrid w:val="0"/>
              <w:spacing w:line="300" w:lineRule="exact"/>
              <w:jc w:val="center"/>
              <w:rPr>
                <w:rFonts w:ascii="宋体" w:hAnsi="宋体"/>
                <w:sz w:val="21"/>
                <w:szCs w:val="21"/>
              </w:rPr>
            </w:pPr>
          </w:p>
        </w:tc>
        <w:tc>
          <w:tcPr>
            <w:tcW w:w="469" w:type="dxa"/>
            <w:vMerge w:val="continue"/>
            <w:vAlign w:val="center"/>
          </w:tcPr>
          <w:p w14:paraId="006B407D">
            <w:pPr>
              <w:adjustRightInd w:val="0"/>
              <w:snapToGrid w:val="0"/>
              <w:spacing w:line="300" w:lineRule="exact"/>
              <w:ind w:left="151" w:leftChars="50" w:right="151" w:rightChars="50"/>
              <w:jc w:val="center"/>
              <w:rPr>
                <w:rFonts w:ascii="宋体" w:hAnsi="宋体"/>
                <w:sz w:val="21"/>
                <w:szCs w:val="21"/>
              </w:rPr>
            </w:pPr>
          </w:p>
        </w:tc>
        <w:tc>
          <w:tcPr>
            <w:tcW w:w="4154" w:type="dxa"/>
            <w:gridSpan w:val="2"/>
            <w:vAlign w:val="center"/>
          </w:tcPr>
          <w:p w14:paraId="1EA45B05">
            <w:pPr>
              <w:adjustRightInd w:val="0"/>
              <w:snapToGrid w:val="0"/>
              <w:spacing w:line="300" w:lineRule="exact"/>
              <w:ind w:firstLine="466" w:firstLineChars="200"/>
              <w:rPr>
                <w:rFonts w:hint="eastAsia" w:ascii="宋体" w:hAnsi="宋体"/>
                <w:sz w:val="21"/>
                <w:szCs w:val="21"/>
              </w:rPr>
            </w:pPr>
            <w:r>
              <w:rPr>
                <w:rFonts w:hint="eastAsia" w:ascii="宋体" w:hAnsi="宋体"/>
                <w:sz w:val="21"/>
                <w:szCs w:val="21"/>
              </w:rPr>
              <w:t>仓库保管守卫制度</w:t>
            </w:r>
          </w:p>
        </w:tc>
        <w:tc>
          <w:tcPr>
            <w:tcW w:w="2841" w:type="dxa"/>
            <w:shd w:val="clear" w:color="auto" w:fill="auto"/>
            <w:vAlign w:val="center"/>
          </w:tcPr>
          <w:p w14:paraId="6AC144FB">
            <w:pPr>
              <w:adjustRightInd w:val="0"/>
              <w:snapToGrid w:val="0"/>
              <w:spacing w:line="300" w:lineRule="exact"/>
              <w:ind w:firstLine="466" w:firstLineChars="200"/>
              <w:rPr>
                <w:rFonts w:hint="eastAsia" w:ascii="宋体" w:hAnsi="宋体" w:eastAsia="宋体" w:cs="Times New Roman"/>
                <w:kern w:val="2"/>
                <w:sz w:val="21"/>
                <w:szCs w:val="21"/>
                <w:lang w:val="en-US" w:eastAsia="zh-CN" w:bidi="ar-SA"/>
              </w:rPr>
            </w:pPr>
            <w:r>
              <w:rPr>
                <w:rFonts w:hint="eastAsia" w:ascii="宋体" w:hAnsi="宋体"/>
                <w:sz w:val="21"/>
                <w:szCs w:val="21"/>
              </w:rPr>
              <w:t>已建立</w:t>
            </w:r>
          </w:p>
        </w:tc>
        <w:tc>
          <w:tcPr>
            <w:tcW w:w="1035" w:type="dxa"/>
            <w:vAlign w:val="center"/>
          </w:tcPr>
          <w:p w14:paraId="152B9A62">
            <w:pPr>
              <w:adjustRightInd w:val="0"/>
              <w:snapToGrid w:val="0"/>
              <w:spacing w:line="300" w:lineRule="exact"/>
              <w:ind w:left="0" w:leftChars="0" w:firstLine="0" w:firstLineChars="0"/>
              <w:jc w:val="both"/>
              <w:rPr>
                <w:rFonts w:hint="eastAsia" w:ascii="宋体" w:hAnsi="宋体"/>
                <w:sz w:val="21"/>
                <w:szCs w:val="21"/>
              </w:rPr>
            </w:pPr>
            <w:r>
              <w:rPr>
                <w:rFonts w:hint="eastAsia" w:ascii="宋体" w:hAnsi="宋体"/>
                <w:sz w:val="21"/>
                <w:szCs w:val="21"/>
              </w:rPr>
              <w:t>符合要求</w:t>
            </w:r>
          </w:p>
        </w:tc>
      </w:tr>
      <w:tr w14:paraId="284AE5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459" w:type="dxa"/>
            <w:vMerge w:val="continue"/>
            <w:vAlign w:val="center"/>
          </w:tcPr>
          <w:p w14:paraId="28EE5A24">
            <w:pPr>
              <w:adjustRightInd w:val="0"/>
              <w:snapToGrid w:val="0"/>
              <w:spacing w:line="300" w:lineRule="exact"/>
              <w:jc w:val="center"/>
              <w:rPr>
                <w:rFonts w:ascii="宋体" w:hAnsi="宋体"/>
                <w:sz w:val="21"/>
                <w:szCs w:val="21"/>
              </w:rPr>
            </w:pPr>
          </w:p>
        </w:tc>
        <w:tc>
          <w:tcPr>
            <w:tcW w:w="469" w:type="dxa"/>
            <w:vMerge w:val="continue"/>
            <w:vAlign w:val="center"/>
          </w:tcPr>
          <w:p w14:paraId="1A0358A8">
            <w:pPr>
              <w:adjustRightInd w:val="0"/>
              <w:snapToGrid w:val="0"/>
              <w:spacing w:line="300" w:lineRule="exact"/>
              <w:ind w:left="151" w:leftChars="50" w:right="151" w:rightChars="50"/>
              <w:jc w:val="center"/>
              <w:rPr>
                <w:rFonts w:ascii="宋体" w:hAnsi="宋体"/>
                <w:sz w:val="21"/>
                <w:szCs w:val="21"/>
              </w:rPr>
            </w:pPr>
          </w:p>
        </w:tc>
        <w:tc>
          <w:tcPr>
            <w:tcW w:w="4154" w:type="dxa"/>
            <w:gridSpan w:val="2"/>
            <w:vAlign w:val="center"/>
          </w:tcPr>
          <w:p w14:paraId="59EDD9EA">
            <w:pPr>
              <w:adjustRightInd w:val="0"/>
              <w:snapToGrid w:val="0"/>
              <w:spacing w:line="300" w:lineRule="exact"/>
              <w:ind w:firstLine="466" w:firstLineChars="200"/>
              <w:rPr>
                <w:rFonts w:hint="eastAsia" w:ascii="宋体" w:hAnsi="宋体"/>
                <w:sz w:val="21"/>
                <w:szCs w:val="21"/>
              </w:rPr>
            </w:pPr>
            <w:r>
              <w:rPr>
                <w:rFonts w:hint="eastAsia" w:ascii="宋体" w:hAnsi="宋体"/>
                <w:sz w:val="21"/>
                <w:szCs w:val="21"/>
              </w:rPr>
              <w:t>防火防爆安全管理制度</w:t>
            </w:r>
          </w:p>
        </w:tc>
        <w:tc>
          <w:tcPr>
            <w:tcW w:w="2841" w:type="dxa"/>
            <w:shd w:val="clear" w:color="auto" w:fill="auto"/>
            <w:vAlign w:val="center"/>
          </w:tcPr>
          <w:p w14:paraId="415481D2">
            <w:pPr>
              <w:adjustRightInd w:val="0"/>
              <w:snapToGrid w:val="0"/>
              <w:spacing w:line="300" w:lineRule="exact"/>
              <w:ind w:firstLine="466" w:firstLineChars="200"/>
              <w:rPr>
                <w:rFonts w:hint="eastAsia" w:ascii="宋体" w:hAnsi="宋体"/>
                <w:sz w:val="21"/>
                <w:szCs w:val="21"/>
                <w:lang w:val="en-US" w:eastAsia="zh-CN"/>
              </w:rPr>
            </w:pPr>
            <w:r>
              <w:rPr>
                <w:rFonts w:hint="eastAsia" w:ascii="宋体" w:hAnsi="宋体"/>
                <w:sz w:val="21"/>
                <w:szCs w:val="21"/>
              </w:rPr>
              <w:t>已建立</w:t>
            </w:r>
          </w:p>
        </w:tc>
        <w:tc>
          <w:tcPr>
            <w:tcW w:w="1035" w:type="dxa"/>
            <w:shd w:val="clear" w:color="auto" w:fill="auto"/>
            <w:vAlign w:val="center"/>
          </w:tcPr>
          <w:p w14:paraId="4CC8477A">
            <w:pPr>
              <w:adjustRightInd w:val="0"/>
              <w:snapToGrid w:val="0"/>
              <w:spacing w:line="300" w:lineRule="exact"/>
              <w:ind w:left="0" w:leftChars="0" w:firstLine="0" w:firstLineChars="0"/>
              <w:rPr>
                <w:rFonts w:hint="eastAsia" w:ascii="宋体" w:hAnsi="宋体"/>
                <w:sz w:val="21"/>
                <w:szCs w:val="21"/>
                <w:lang w:val="en-US" w:eastAsia="zh-CN"/>
              </w:rPr>
            </w:pPr>
            <w:r>
              <w:rPr>
                <w:rFonts w:hint="eastAsia" w:ascii="宋体" w:hAnsi="宋体"/>
                <w:sz w:val="21"/>
                <w:szCs w:val="21"/>
              </w:rPr>
              <w:t>符合要求</w:t>
            </w:r>
          </w:p>
        </w:tc>
      </w:tr>
      <w:tr w14:paraId="5FAF0E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459" w:type="dxa"/>
            <w:vMerge w:val="continue"/>
            <w:vAlign w:val="center"/>
          </w:tcPr>
          <w:p w14:paraId="77E3CFAE">
            <w:pPr>
              <w:adjustRightInd w:val="0"/>
              <w:snapToGrid w:val="0"/>
              <w:spacing w:line="300" w:lineRule="exact"/>
              <w:jc w:val="center"/>
              <w:rPr>
                <w:rFonts w:ascii="宋体" w:hAnsi="宋体"/>
                <w:sz w:val="21"/>
                <w:szCs w:val="21"/>
              </w:rPr>
            </w:pPr>
          </w:p>
        </w:tc>
        <w:tc>
          <w:tcPr>
            <w:tcW w:w="469" w:type="dxa"/>
            <w:vMerge w:val="continue"/>
            <w:vAlign w:val="center"/>
          </w:tcPr>
          <w:p w14:paraId="1DB392DE">
            <w:pPr>
              <w:adjustRightInd w:val="0"/>
              <w:snapToGrid w:val="0"/>
              <w:spacing w:line="300" w:lineRule="exact"/>
              <w:jc w:val="center"/>
              <w:rPr>
                <w:rFonts w:ascii="宋体" w:hAnsi="宋体"/>
                <w:sz w:val="21"/>
                <w:szCs w:val="21"/>
              </w:rPr>
            </w:pPr>
          </w:p>
        </w:tc>
        <w:tc>
          <w:tcPr>
            <w:tcW w:w="4154" w:type="dxa"/>
            <w:gridSpan w:val="2"/>
            <w:vAlign w:val="center"/>
          </w:tcPr>
          <w:p w14:paraId="13AA3F28">
            <w:pPr>
              <w:adjustRightInd w:val="0"/>
              <w:snapToGrid w:val="0"/>
              <w:spacing w:line="300" w:lineRule="exact"/>
              <w:ind w:firstLine="466" w:firstLineChars="200"/>
              <w:rPr>
                <w:rFonts w:hint="eastAsia" w:ascii="宋体" w:hAnsi="宋体"/>
                <w:sz w:val="21"/>
                <w:szCs w:val="21"/>
              </w:rPr>
            </w:pPr>
            <w:r>
              <w:rPr>
                <w:rFonts w:hint="eastAsia" w:ascii="宋体" w:hAnsi="宋体"/>
                <w:sz w:val="21"/>
                <w:szCs w:val="21"/>
              </w:rPr>
              <w:t>安全检查和隐患排查治理制度</w:t>
            </w:r>
          </w:p>
        </w:tc>
        <w:tc>
          <w:tcPr>
            <w:tcW w:w="2841" w:type="dxa"/>
            <w:vAlign w:val="center"/>
          </w:tcPr>
          <w:p w14:paraId="7A45222D">
            <w:pPr>
              <w:adjustRightInd w:val="0"/>
              <w:snapToGrid w:val="0"/>
              <w:spacing w:line="300" w:lineRule="exact"/>
              <w:ind w:firstLine="466" w:firstLineChars="200"/>
              <w:rPr>
                <w:rFonts w:hint="eastAsia" w:ascii="宋体" w:hAnsi="宋体"/>
                <w:sz w:val="21"/>
                <w:szCs w:val="21"/>
              </w:rPr>
            </w:pPr>
            <w:r>
              <w:rPr>
                <w:rFonts w:hint="eastAsia" w:ascii="宋体" w:hAnsi="宋体"/>
                <w:sz w:val="21"/>
                <w:szCs w:val="21"/>
              </w:rPr>
              <w:t>已建立</w:t>
            </w:r>
          </w:p>
        </w:tc>
        <w:tc>
          <w:tcPr>
            <w:tcW w:w="1035" w:type="dxa"/>
            <w:vAlign w:val="center"/>
          </w:tcPr>
          <w:p w14:paraId="50D4DE63">
            <w:pPr>
              <w:adjustRightInd w:val="0"/>
              <w:snapToGrid w:val="0"/>
              <w:spacing w:line="300" w:lineRule="exact"/>
              <w:ind w:left="0" w:leftChars="0" w:firstLine="0" w:firstLineChars="0"/>
              <w:rPr>
                <w:rFonts w:hint="eastAsia" w:ascii="宋体" w:hAnsi="宋体"/>
                <w:sz w:val="21"/>
                <w:szCs w:val="21"/>
              </w:rPr>
            </w:pPr>
            <w:r>
              <w:rPr>
                <w:rFonts w:hint="eastAsia" w:ascii="宋体" w:hAnsi="宋体"/>
                <w:sz w:val="21"/>
                <w:szCs w:val="21"/>
              </w:rPr>
              <w:t>符合要求</w:t>
            </w:r>
          </w:p>
        </w:tc>
      </w:tr>
      <w:tr w14:paraId="156D06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459" w:type="dxa"/>
            <w:vMerge w:val="continue"/>
            <w:vAlign w:val="center"/>
          </w:tcPr>
          <w:p w14:paraId="3108E14C">
            <w:pPr>
              <w:adjustRightInd w:val="0"/>
              <w:snapToGrid w:val="0"/>
              <w:spacing w:line="300" w:lineRule="exact"/>
              <w:jc w:val="center"/>
              <w:rPr>
                <w:rFonts w:ascii="宋体" w:hAnsi="宋体"/>
                <w:sz w:val="21"/>
                <w:szCs w:val="21"/>
              </w:rPr>
            </w:pPr>
          </w:p>
        </w:tc>
        <w:tc>
          <w:tcPr>
            <w:tcW w:w="469" w:type="dxa"/>
            <w:vMerge w:val="continue"/>
            <w:vAlign w:val="center"/>
          </w:tcPr>
          <w:p w14:paraId="70EA75B3">
            <w:pPr>
              <w:adjustRightInd w:val="0"/>
              <w:snapToGrid w:val="0"/>
              <w:spacing w:line="300" w:lineRule="exact"/>
              <w:jc w:val="center"/>
              <w:rPr>
                <w:rFonts w:ascii="宋体" w:hAnsi="宋体"/>
                <w:sz w:val="21"/>
                <w:szCs w:val="21"/>
              </w:rPr>
            </w:pPr>
          </w:p>
        </w:tc>
        <w:tc>
          <w:tcPr>
            <w:tcW w:w="4154" w:type="dxa"/>
            <w:gridSpan w:val="2"/>
            <w:vAlign w:val="center"/>
          </w:tcPr>
          <w:p w14:paraId="7795F47E">
            <w:pPr>
              <w:adjustRightInd w:val="0"/>
              <w:snapToGrid w:val="0"/>
              <w:spacing w:line="300" w:lineRule="exact"/>
              <w:ind w:firstLine="466" w:firstLineChars="200"/>
              <w:rPr>
                <w:rFonts w:hint="eastAsia" w:ascii="宋体" w:hAnsi="宋体"/>
                <w:sz w:val="21"/>
                <w:szCs w:val="21"/>
              </w:rPr>
            </w:pPr>
            <w:r>
              <w:rPr>
                <w:rFonts w:hint="eastAsia" w:ascii="宋体" w:hAnsi="宋体"/>
                <w:sz w:val="21"/>
                <w:szCs w:val="21"/>
              </w:rPr>
              <w:t>事故应急救援与事故报告制度</w:t>
            </w:r>
          </w:p>
        </w:tc>
        <w:tc>
          <w:tcPr>
            <w:tcW w:w="2841" w:type="dxa"/>
            <w:shd w:val="clear" w:color="auto" w:fill="auto"/>
            <w:vAlign w:val="center"/>
          </w:tcPr>
          <w:p w14:paraId="5FE1FD12">
            <w:pPr>
              <w:adjustRightInd w:val="0"/>
              <w:snapToGrid w:val="0"/>
              <w:spacing w:line="300" w:lineRule="exact"/>
              <w:ind w:firstLine="466" w:firstLineChars="200"/>
              <w:rPr>
                <w:rFonts w:hint="eastAsia" w:ascii="宋体" w:hAnsi="宋体"/>
                <w:sz w:val="21"/>
                <w:szCs w:val="21"/>
                <w:lang w:val="en-US" w:eastAsia="zh-CN"/>
              </w:rPr>
            </w:pPr>
            <w:r>
              <w:rPr>
                <w:rFonts w:hint="eastAsia" w:ascii="宋体" w:hAnsi="宋体"/>
                <w:sz w:val="21"/>
                <w:szCs w:val="21"/>
              </w:rPr>
              <w:t>已建立</w:t>
            </w:r>
          </w:p>
        </w:tc>
        <w:tc>
          <w:tcPr>
            <w:tcW w:w="1035" w:type="dxa"/>
            <w:shd w:val="clear" w:color="auto" w:fill="auto"/>
            <w:vAlign w:val="center"/>
          </w:tcPr>
          <w:p w14:paraId="61BA6A5F">
            <w:pPr>
              <w:adjustRightInd w:val="0"/>
              <w:snapToGrid w:val="0"/>
              <w:spacing w:line="300" w:lineRule="exact"/>
              <w:ind w:left="0" w:leftChars="0" w:firstLine="0" w:firstLineChars="0"/>
              <w:rPr>
                <w:rFonts w:hint="eastAsia" w:ascii="宋体" w:hAnsi="宋体"/>
                <w:sz w:val="21"/>
                <w:szCs w:val="21"/>
                <w:lang w:val="en-US" w:eastAsia="zh-CN"/>
              </w:rPr>
            </w:pPr>
            <w:r>
              <w:rPr>
                <w:rFonts w:hint="eastAsia" w:ascii="宋体" w:hAnsi="宋体"/>
                <w:sz w:val="21"/>
                <w:szCs w:val="21"/>
              </w:rPr>
              <w:t>符合要求</w:t>
            </w:r>
          </w:p>
        </w:tc>
      </w:tr>
      <w:tr w14:paraId="5B6E55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459" w:type="dxa"/>
            <w:vMerge w:val="continue"/>
            <w:vAlign w:val="center"/>
          </w:tcPr>
          <w:p w14:paraId="2656304D">
            <w:pPr>
              <w:adjustRightInd w:val="0"/>
              <w:snapToGrid w:val="0"/>
              <w:spacing w:line="300" w:lineRule="exact"/>
              <w:jc w:val="center"/>
              <w:rPr>
                <w:rFonts w:ascii="宋体" w:hAnsi="宋体"/>
                <w:sz w:val="21"/>
                <w:szCs w:val="21"/>
              </w:rPr>
            </w:pPr>
          </w:p>
        </w:tc>
        <w:tc>
          <w:tcPr>
            <w:tcW w:w="469" w:type="dxa"/>
            <w:vMerge w:val="continue"/>
            <w:vAlign w:val="center"/>
          </w:tcPr>
          <w:p w14:paraId="586EC898">
            <w:pPr>
              <w:adjustRightInd w:val="0"/>
              <w:snapToGrid w:val="0"/>
              <w:spacing w:line="300" w:lineRule="exact"/>
              <w:jc w:val="center"/>
              <w:rPr>
                <w:rFonts w:ascii="宋体" w:hAnsi="宋体"/>
                <w:sz w:val="21"/>
                <w:szCs w:val="21"/>
              </w:rPr>
            </w:pPr>
          </w:p>
        </w:tc>
        <w:tc>
          <w:tcPr>
            <w:tcW w:w="4154" w:type="dxa"/>
            <w:gridSpan w:val="2"/>
            <w:vAlign w:val="center"/>
          </w:tcPr>
          <w:p w14:paraId="29B6F5D4">
            <w:pPr>
              <w:adjustRightInd w:val="0"/>
              <w:snapToGrid w:val="0"/>
              <w:spacing w:line="300" w:lineRule="exact"/>
              <w:ind w:firstLine="466" w:firstLineChars="200"/>
              <w:rPr>
                <w:rFonts w:hint="eastAsia" w:ascii="宋体" w:hAnsi="宋体"/>
                <w:sz w:val="21"/>
                <w:szCs w:val="21"/>
              </w:rPr>
            </w:pPr>
            <w:r>
              <w:rPr>
                <w:rFonts w:hint="eastAsia" w:ascii="宋体" w:hAnsi="宋体"/>
                <w:sz w:val="21"/>
                <w:szCs w:val="21"/>
              </w:rPr>
              <w:t>买卖合同管理制度</w:t>
            </w:r>
          </w:p>
        </w:tc>
        <w:tc>
          <w:tcPr>
            <w:tcW w:w="2841" w:type="dxa"/>
            <w:shd w:val="clear" w:color="auto" w:fill="auto"/>
            <w:vAlign w:val="center"/>
          </w:tcPr>
          <w:p w14:paraId="390E2081">
            <w:pPr>
              <w:adjustRightInd w:val="0"/>
              <w:snapToGrid w:val="0"/>
              <w:spacing w:line="300" w:lineRule="exact"/>
              <w:ind w:firstLine="466" w:firstLineChars="200"/>
              <w:rPr>
                <w:rFonts w:hint="eastAsia" w:ascii="宋体" w:hAnsi="宋体"/>
                <w:sz w:val="21"/>
                <w:szCs w:val="21"/>
                <w:lang w:val="en-US" w:eastAsia="zh-CN"/>
              </w:rPr>
            </w:pPr>
            <w:r>
              <w:rPr>
                <w:rFonts w:hint="eastAsia" w:ascii="宋体" w:hAnsi="宋体"/>
                <w:sz w:val="21"/>
                <w:szCs w:val="21"/>
              </w:rPr>
              <w:t>已建立</w:t>
            </w:r>
          </w:p>
        </w:tc>
        <w:tc>
          <w:tcPr>
            <w:tcW w:w="1035" w:type="dxa"/>
            <w:shd w:val="clear" w:color="auto" w:fill="auto"/>
            <w:vAlign w:val="center"/>
          </w:tcPr>
          <w:p w14:paraId="5A0954A8">
            <w:pPr>
              <w:adjustRightInd w:val="0"/>
              <w:snapToGrid w:val="0"/>
              <w:spacing w:line="300" w:lineRule="exact"/>
              <w:ind w:left="0" w:leftChars="0" w:firstLine="0" w:firstLineChars="0"/>
              <w:rPr>
                <w:rFonts w:hint="eastAsia" w:ascii="宋体" w:hAnsi="宋体"/>
                <w:sz w:val="21"/>
                <w:szCs w:val="21"/>
                <w:lang w:val="en-US" w:eastAsia="zh-CN"/>
              </w:rPr>
            </w:pPr>
            <w:r>
              <w:rPr>
                <w:rFonts w:hint="eastAsia" w:ascii="宋体" w:hAnsi="宋体"/>
                <w:sz w:val="21"/>
                <w:szCs w:val="21"/>
              </w:rPr>
              <w:t>符合要求</w:t>
            </w:r>
          </w:p>
        </w:tc>
      </w:tr>
      <w:tr w14:paraId="0F09F7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459" w:type="dxa"/>
            <w:vMerge w:val="continue"/>
            <w:vAlign w:val="center"/>
          </w:tcPr>
          <w:p w14:paraId="20567EA3">
            <w:pPr>
              <w:adjustRightInd w:val="0"/>
              <w:snapToGrid w:val="0"/>
              <w:spacing w:line="300" w:lineRule="exact"/>
              <w:jc w:val="center"/>
              <w:rPr>
                <w:rFonts w:ascii="宋体" w:hAnsi="宋体"/>
                <w:sz w:val="21"/>
                <w:szCs w:val="21"/>
              </w:rPr>
            </w:pPr>
          </w:p>
        </w:tc>
        <w:tc>
          <w:tcPr>
            <w:tcW w:w="469" w:type="dxa"/>
            <w:vMerge w:val="continue"/>
            <w:vAlign w:val="center"/>
          </w:tcPr>
          <w:p w14:paraId="4EA38BCD">
            <w:pPr>
              <w:adjustRightInd w:val="0"/>
              <w:snapToGrid w:val="0"/>
              <w:spacing w:line="300" w:lineRule="exact"/>
              <w:jc w:val="center"/>
              <w:rPr>
                <w:rFonts w:ascii="宋体" w:hAnsi="宋体"/>
                <w:sz w:val="21"/>
                <w:szCs w:val="21"/>
              </w:rPr>
            </w:pPr>
          </w:p>
        </w:tc>
        <w:tc>
          <w:tcPr>
            <w:tcW w:w="4154" w:type="dxa"/>
            <w:gridSpan w:val="2"/>
            <w:vAlign w:val="center"/>
          </w:tcPr>
          <w:p w14:paraId="14569595">
            <w:pPr>
              <w:adjustRightInd w:val="0"/>
              <w:snapToGrid w:val="0"/>
              <w:spacing w:line="300" w:lineRule="exact"/>
              <w:ind w:firstLine="466" w:firstLineChars="200"/>
              <w:rPr>
                <w:rFonts w:hint="eastAsia" w:ascii="宋体" w:hAnsi="宋体"/>
                <w:sz w:val="21"/>
                <w:szCs w:val="21"/>
              </w:rPr>
            </w:pPr>
            <w:r>
              <w:rPr>
                <w:rFonts w:hint="eastAsia" w:ascii="宋体" w:hAnsi="宋体"/>
                <w:sz w:val="21"/>
                <w:szCs w:val="21"/>
              </w:rPr>
              <w:t>产品流向登记制度</w:t>
            </w:r>
          </w:p>
        </w:tc>
        <w:tc>
          <w:tcPr>
            <w:tcW w:w="2841" w:type="dxa"/>
            <w:shd w:val="clear" w:color="auto" w:fill="auto"/>
            <w:vAlign w:val="center"/>
          </w:tcPr>
          <w:p w14:paraId="437DEE87">
            <w:pPr>
              <w:adjustRightInd w:val="0"/>
              <w:snapToGrid w:val="0"/>
              <w:spacing w:line="300" w:lineRule="exact"/>
              <w:ind w:firstLine="466" w:firstLineChars="200"/>
              <w:rPr>
                <w:rFonts w:hint="eastAsia" w:ascii="宋体" w:hAnsi="宋体"/>
                <w:sz w:val="21"/>
                <w:szCs w:val="21"/>
                <w:lang w:val="en-US" w:eastAsia="zh-CN"/>
              </w:rPr>
            </w:pPr>
            <w:r>
              <w:rPr>
                <w:rFonts w:hint="eastAsia" w:ascii="宋体" w:hAnsi="宋体"/>
                <w:sz w:val="21"/>
                <w:szCs w:val="21"/>
              </w:rPr>
              <w:t>已建立</w:t>
            </w:r>
          </w:p>
        </w:tc>
        <w:tc>
          <w:tcPr>
            <w:tcW w:w="1035" w:type="dxa"/>
            <w:shd w:val="clear" w:color="auto" w:fill="auto"/>
            <w:vAlign w:val="center"/>
          </w:tcPr>
          <w:p w14:paraId="62DE342A">
            <w:pPr>
              <w:adjustRightInd w:val="0"/>
              <w:snapToGrid w:val="0"/>
              <w:spacing w:line="300" w:lineRule="exact"/>
              <w:ind w:left="0" w:leftChars="0" w:firstLine="0" w:firstLineChars="0"/>
              <w:rPr>
                <w:rFonts w:hint="eastAsia" w:ascii="宋体" w:hAnsi="宋体"/>
                <w:sz w:val="21"/>
                <w:szCs w:val="21"/>
                <w:lang w:val="en-US" w:eastAsia="zh-CN"/>
              </w:rPr>
            </w:pPr>
            <w:r>
              <w:rPr>
                <w:rFonts w:hint="eastAsia" w:ascii="宋体" w:hAnsi="宋体"/>
                <w:sz w:val="21"/>
                <w:szCs w:val="21"/>
              </w:rPr>
              <w:t>符合要求</w:t>
            </w:r>
          </w:p>
        </w:tc>
      </w:tr>
      <w:tr w14:paraId="5C8282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459" w:type="dxa"/>
            <w:vMerge w:val="continue"/>
            <w:vAlign w:val="center"/>
          </w:tcPr>
          <w:p w14:paraId="5B13B22E">
            <w:pPr>
              <w:adjustRightInd w:val="0"/>
              <w:snapToGrid w:val="0"/>
              <w:spacing w:line="300" w:lineRule="exact"/>
              <w:jc w:val="center"/>
              <w:rPr>
                <w:rFonts w:ascii="宋体" w:hAnsi="宋体"/>
                <w:sz w:val="21"/>
                <w:szCs w:val="21"/>
              </w:rPr>
            </w:pPr>
          </w:p>
        </w:tc>
        <w:tc>
          <w:tcPr>
            <w:tcW w:w="469" w:type="dxa"/>
            <w:vMerge w:val="continue"/>
            <w:vAlign w:val="center"/>
          </w:tcPr>
          <w:p w14:paraId="2D9CE77B">
            <w:pPr>
              <w:adjustRightInd w:val="0"/>
              <w:snapToGrid w:val="0"/>
              <w:spacing w:line="300" w:lineRule="exact"/>
              <w:jc w:val="center"/>
              <w:rPr>
                <w:rFonts w:ascii="宋体" w:hAnsi="宋体"/>
                <w:sz w:val="21"/>
                <w:szCs w:val="21"/>
              </w:rPr>
            </w:pPr>
          </w:p>
        </w:tc>
        <w:tc>
          <w:tcPr>
            <w:tcW w:w="4154" w:type="dxa"/>
            <w:gridSpan w:val="2"/>
            <w:vAlign w:val="center"/>
          </w:tcPr>
          <w:p w14:paraId="55D53463">
            <w:pPr>
              <w:adjustRightInd w:val="0"/>
              <w:snapToGrid w:val="0"/>
              <w:spacing w:line="300" w:lineRule="exact"/>
              <w:ind w:firstLine="466" w:firstLineChars="200"/>
              <w:rPr>
                <w:rFonts w:hint="eastAsia" w:ascii="宋体" w:hAnsi="宋体"/>
                <w:sz w:val="21"/>
                <w:szCs w:val="21"/>
              </w:rPr>
            </w:pPr>
            <w:r>
              <w:rPr>
                <w:rFonts w:hint="eastAsia" w:ascii="宋体" w:hAnsi="宋体"/>
                <w:sz w:val="21"/>
                <w:szCs w:val="21"/>
              </w:rPr>
              <w:t>产品检验验收制度</w:t>
            </w:r>
          </w:p>
        </w:tc>
        <w:tc>
          <w:tcPr>
            <w:tcW w:w="2841" w:type="dxa"/>
            <w:shd w:val="clear" w:color="auto" w:fill="auto"/>
            <w:vAlign w:val="center"/>
          </w:tcPr>
          <w:p w14:paraId="5D4B2BA1">
            <w:pPr>
              <w:adjustRightInd w:val="0"/>
              <w:snapToGrid w:val="0"/>
              <w:spacing w:line="300" w:lineRule="exact"/>
              <w:ind w:firstLine="466" w:firstLineChars="200"/>
              <w:rPr>
                <w:rFonts w:hint="eastAsia" w:ascii="宋体" w:hAnsi="宋体"/>
                <w:sz w:val="21"/>
                <w:szCs w:val="21"/>
                <w:lang w:val="en-US" w:eastAsia="zh-CN"/>
              </w:rPr>
            </w:pPr>
            <w:r>
              <w:rPr>
                <w:rFonts w:hint="eastAsia" w:ascii="宋体" w:hAnsi="宋体"/>
                <w:sz w:val="21"/>
                <w:szCs w:val="21"/>
              </w:rPr>
              <w:t>已建立</w:t>
            </w:r>
          </w:p>
        </w:tc>
        <w:tc>
          <w:tcPr>
            <w:tcW w:w="1035" w:type="dxa"/>
            <w:shd w:val="clear" w:color="auto" w:fill="auto"/>
            <w:vAlign w:val="center"/>
          </w:tcPr>
          <w:p w14:paraId="7842D68E">
            <w:pPr>
              <w:adjustRightInd w:val="0"/>
              <w:snapToGrid w:val="0"/>
              <w:spacing w:line="300" w:lineRule="exact"/>
              <w:ind w:left="0" w:leftChars="0" w:firstLine="0" w:firstLineChars="0"/>
              <w:rPr>
                <w:rFonts w:hint="eastAsia" w:ascii="宋体" w:hAnsi="宋体"/>
                <w:sz w:val="21"/>
                <w:szCs w:val="21"/>
                <w:lang w:val="en-US" w:eastAsia="zh-CN"/>
              </w:rPr>
            </w:pPr>
            <w:r>
              <w:rPr>
                <w:rFonts w:hint="eastAsia" w:ascii="宋体" w:hAnsi="宋体"/>
                <w:sz w:val="21"/>
                <w:szCs w:val="21"/>
              </w:rPr>
              <w:t>符合要求</w:t>
            </w:r>
          </w:p>
        </w:tc>
      </w:tr>
      <w:tr w14:paraId="31350A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459" w:type="dxa"/>
            <w:vMerge w:val="continue"/>
            <w:vAlign w:val="center"/>
          </w:tcPr>
          <w:p w14:paraId="7BA3FD6D">
            <w:pPr>
              <w:adjustRightInd w:val="0"/>
              <w:snapToGrid w:val="0"/>
              <w:spacing w:line="300" w:lineRule="exact"/>
              <w:jc w:val="center"/>
              <w:rPr>
                <w:rFonts w:ascii="宋体" w:hAnsi="宋体"/>
                <w:sz w:val="21"/>
                <w:szCs w:val="21"/>
              </w:rPr>
            </w:pPr>
          </w:p>
        </w:tc>
        <w:tc>
          <w:tcPr>
            <w:tcW w:w="469" w:type="dxa"/>
            <w:vMerge w:val="continue"/>
            <w:vAlign w:val="center"/>
          </w:tcPr>
          <w:p w14:paraId="63852861">
            <w:pPr>
              <w:adjustRightInd w:val="0"/>
              <w:snapToGrid w:val="0"/>
              <w:spacing w:line="300" w:lineRule="exact"/>
              <w:jc w:val="center"/>
              <w:rPr>
                <w:rFonts w:ascii="宋体" w:hAnsi="宋体"/>
                <w:sz w:val="21"/>
                <w:szCs w:val="21"/>
              </w:rPr>
            </w:pPr>
          </w:p>
        </w:tc>
        <w:tc>
          <w:tcPr>
            <w:tcW w:w="4154" w:type="dxa"/>
            <w:gridSpan w:val="2"/>
            <w:vAlign w:val="center"/>
          </w:tcPr>
          <w:p w14:paraId="27C7AAC2">
            <w:pPr>
              <w:adjustRightInd w:val="0"/>
              <w:snapToGrid w:val="0"/>
              <w:spacing w:line="300" w:lineRule="exact"/>
              <w:ind w:firstLine="466" w:firstLineChars="200"/>
              <w:rPr>
                <w:rFonts w:hint="eastAsia" w:ascii="宋体" w:hAnsi="宋体"/>
                <w:sz w:val="21"/>
                <w:szCs w:val="21"/>
              </w:rPr>
            </w:pPr>
            <w:r>
              <w:rPr>
                <w:rFonts w:hint="eastAsia" w:ascii="宋体" w:hAnsi="宋体"/>
                <w:sz w:val="21"/>
                <w:szCs w:val="21"/>
              </w:rPr>
              <w:t>从业人员安全教育培训制度</w:t>
            </w:r>
          </w:p>
        </w:tc>
        <w:tc>
          <w:tcPr>
            <w:tcW w:w="2841" w:type="dxa"/>
            <w:shd w:val="clear" w:color="auto" w:fill="auto"/>
            <w:vAlign w:val="center"/>
          </w:tcPr>
          <w:p w14:paraId="46057C6F">
            <w:pPr>
              <w:adjustRightInd w:val="0"/>
              <w:snapToGrid w:val="0"/>
              <w:spacing w:line="300" w:lineRule="exact"/>
              <w:ind w:firstLine="466" w:firstLineChars="200"/>
              <w:rPr>
                <w:rFonts w:hint="eastAsia" w:ascii="宋体" w:hAnsi="宋体"/>
                <w:sz w:val="21"/>
                <w:szCs w:val="21"/>
                <w:lang w:val="en-US" w:eastAsia="zh-CN"/>
              </w:rPr>
            </w:pPr>
            <w:r>
              <w:rPr>
                <w:rFonts w:hint="eastAsia" w:ascii="宋体" w:hAnsi="宋体"/>
                <w:sz w:val="21"/>
                <w:szCs w:val="21"/>
              </w:rPr>
              <w:t>已建立</w:t>
            </w:r>
          </w:p>
        </w:tc>
        <w:tc>
          <w:tcPr>
            <w:tcW w:w="1035" w:type="dxa"/>
            <w:shd w:val="clear" w:color="auto" w:fill="auto"/>
            <w:vAlign w:val="center"/>
          </w:tcPr>
          <w:p w14:paraId="51CA1EC9">
            <w:pPr>
              <w:adjustRightInd w:val="0"/>
              <w:snapToGrid w:val="0"/>
              <w:spacing w:line="300" w:lineRule="exact"/>
              <w:ind w:left="0" w:leftChars="0" w:firstLine="0" w:firstLineChars="0"/>
              <w:rPr>
                <w:rFonts w:hint="eastAsia" w:ascii="宋体" w:hAnsi="宋体"/>
                <w:sz w:val="21"/>
                <w:szCs w:val="21"/>
                <w:lang w:val="en-US" w:eastAsia="zh-CN"/>
              </w:rPr>
            </w:pPr>
            <w:r>
              <w:rPr>
                <w:rFonts w:hint="eastAsia" w:ascii="宋体" w:hAnsi="宋体"/>
                <w:sz w:val="21"/>
                <w:szCs w:val="21"/>
              </w:rPr>
              <w:t>符合要求</w:t>
            </w:r>
          </w:p>
        </w:tc>
      </w:tr>
      <w:tr w14:paraId="21051C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459" w:type="dxa"/>
            <w:vMerge w:val="continue"/>
            <w:vAlign w:val="center"/>
          </w:tcPr>
          <w:p w14:paraId="0B17C89D">
            <w:pPr>
              <w:adjustRightInd w:val="0"/>
              <w:snapToGrid w:val="0"/>
              <w:spacing w:line="300" w:lineRule="exact"/>
              <w:jc w:val="center"/>
              <w:rPr>
                <w:rFonts w:ascii="宋体" w:hAnsi="宋体"/>
                <w:sz w:val="21"/>
                <w:szCs w:val="21"/>
              </w:rPr>
            </w:pPr>
          </w:p>
        </w:tc>
        <w:tc>
          <w:tcPr>
            <w:tcW w:w="469" w:type="dxa"/>
            <w:vMerge w:val="continue"/>
            <w:vAlign w:val="center"/>
          </w:tcPr>
          <w:p w14:paraId="0C80F72D">
            <w:pPr>
              <w:adjustRightInd w:val="0"/>
              <w:snapToGrid w:val="0"/>
              <w:spacing w:line="300" w:lineRule="exact"/>
              <w:jc w:val="center"/>
              <w:rPr>
                <w:rFonts w:ascii="宋体" w:hAnsi="宋体"/>
                <w:sz w:val="21"/>
                <w:szCs w:val="21"/>
              </w:rPr>
            </w:pPr>
          </w:p>
        </w:tc>
        <w:tc>
          <w:tcPr>
            <w:tcW w:w="4154" w:type="dxa"/>
            <w:gridSpan w:val="2"/>
            <w:vAlign w:val="center"/>
          </w:tcPr>
          <w:p w14:paraId="340F88E2">
            <w:pPr>
              <w:adjustRightInd w:val="0"/>
              <w:snapToGrid w:val="0"/>
              <w:spacing w:line="300" w:lineRule="exact"/>
              <w:ind w:firstLine="466" w:firstLineChars="200"/>
              <w:rPr>
                <w:rFonts w:hint="eastAsia" w:ascii="宋体" w:hAnsi="宋体"/>
                <w:sz w:val="21"/>
                <w:szCs w:val="21"/>
              </w:rPr>
            </w:pPr>
            <w:r>
              <w:rPr>
                <w:rFonts w:hint="eastAsia" w:ascii="宋体" w:hAnsi="宋体"/>
                <w:sz w:val="21"/>
                <w:szCs w:val="21"/>
              </w:rPr>
              <w:t>违规违章行为处罚制度</w:t>
            </w:r>
          </w:p>
        </w:tc>
        <w:tc>
          <w:tcPr>
            <w:tcW w:w="2841" w:type="dxa"/>
            <w:shd w:val="clear" w:color="auto" w:fill="auto"/>
            <w:vAlign w:val="center"/>
          </w:tcPr>
          <w:p w14:paraId="1D21245B">
            <w:pPr>
              <w:adjustRightInd w:val="0"/>
              <w:snapToGrid w:val="0"/>
              <w:spacing w:line="300" w:lineRule="exact"/>
              <w:ind w:firstLine="466" w:firstLineChars="200"/>
              <w:rPr>
                <w:rFonts w:hint="eastAsia" w:ascii="宋体" w:hAnsi="宋体"/>
                <w:sz w:val="21"/>
                <w:szCs w:val="21"/>
                <w:lang w:val="en-US" w:eastAsia="zh-CN"/>
              </w:rPr>
            </w:pPr>
            <w:r>
              <w:rPr>
                <w:rFonts w:hint="eastAsia" w:ascii="宋体" w:hAnsi="宋体"/>
                <w:sz w:val="21"/>
                <w:szCs w:val="21"/>
              </w:rPr>
              <w:t>已建立</w:t>
            </w:r>
          </w:p>
        </w:tc>
        <w:tc>
          <w:tcPr>
            <w:tcW w:w="1035" w:type="dxa"/>
            <w:shd w:val="clear" w:color="auto" w:fill="auto"/>
            <w:vAlign w:val="center"/>
          </w:tcPr>
          <w:p w14:paraId="7114DE3F">
            <w:pPr>
              <w:adjustRightInd w:val="0"/>
              <w:snapToGrid w:val="0"/>
              <w:spacing w:line="300" w:lineRule="exact"/>
              <w:ind w:left="0" w:leftChars="0" w:firstLine="0" w:firstLineChars="0"/>
              <w:rPr>
                <w:rFonts w:hint="eastAsia" w:ascii="宋体" w:hAnsi="宋体"/>
                <w:sz w:val="21"/>
                <w:szCs w:val="21"/>
                <w:lang w:val="en-US" w:eastAsia="zh-CN"/>
              </w:rPr>
            </w:pPr>
            <w:r>
              <w:rPr>
                <w:rFonts w:hint="eastAsia" w:ascii="宋体" w:hAnsi="宋体"/>
                <w:sz w:val="21"/>
                <w:szCs w:val="21"/>
              </w:rPr>
              <w:t>符合要求</w:t>
            </w:r>
          </w:p>
        </w:tc>
      </w:tr>
      <w:tr w14:paraId="587547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459" w:type="dxa"/>
            <w:vMerge w:val="continue"/>
            <w:vAlign w:val="center"/>
          </w:tcPr>
          <w:p w14:paraId="5BAC3064">
            <w:pPr>
              <w:adjustRightInd w:val="0"/>
              <w:snapToGrid w:val="0"/>
              <w:spacing w:line="300" w:lineRule="exact"/>
              <w:jc w:val="center"/>
              <w:rPr>
                <w:rFonts w:ascii="宋体" w:hAnsi="宋体"/>
                <w:sz w:val="21"/>
                <w:szCs w:val="21"/>
              </w:rPr>
            </w:pPr>
          </w:p>
        </w:tc>
        <w:tc>
          <w:tcPr>
            <w:tcW w:w="469" w:type="dxa"/>
            <w:vMerge w:val="continue"/>
            <w:vAlign w:val="center"/>
          </w:tcPr>
          <w:p w14:paraId="0A4C2748">
            <w:pPr>
              <w:adjustRightInd w:val="0"/>
              <w:snapToGrid w:val="0"/>
              <w:spacing w:line="300" w:lineRule="exact"/>
              <w:jc w:val="center"/>
              <w:rPr>
                <w:rFonts w:ascii="宋体" w:hAnsi="宋体"/>
                <w:sz w:val="21"/>
                <w:szCs w:val="21"/>
              </w:rPr>
            </w:pPr>
          </w:p>
        </w:tc>
        <w:tc>
          <w:tcPr>
            <w:tcW w:w="4154" w:type="dxa"/>
            <w:gridSpan w:val="2"/>
            <w:vAlign w:val="center"/>
          </w:tcPr>
          <w:p w14:paraId="5D9FE586">
            <w:pPr>
              <w:adjustRightInd w:val="0"/>
              <w:snapToGrid w:val="0"/>
              <w:spacing w:line="300" w:lineRule="exact"/>
              <w:ind w:firstLine="466" w:firstLineChars="200"/>
              <w:rPr>
                <w:rFonts w:hint="eastAsia" w:ascii="宋体" w:hAnsi="宋体"/>
                <w:sz w:val="21"/>
                <w:szCs w:val="21"/>
              </w:rPr>
            </w:pPr>
            <w:r>
              <w:rPr>
                <w:rFonts w:hint="eastAsia" w:ascii="宋体" w:hAnsi="宋体"/>
                <w:sz w:val="21"/>
                <w:szCs w:val="21"/>
              </w:rPr>
              <w:t>企业负责人值（带）班制度</w:t>
            </w:r>
          </w:p>
        </w:tc>
        <w:tc>
          <w:tcPr>
            <w:tcW w:w="2841" w:type="dxa"/>
            <w:shd w:val="clear" w:color="auto" w:fill="auto"/>
            <w:vAlign w:val="center"/>
          </w:tcPr>
          <w:p w14:paraId="1B7B1F7C">
            <w:pPr>
              <w:adjustRightInd w:val="0"/>
              <w:snapToGrid w:val="0"/>
              <w:spacing w:line="300" w:lineRule="exact"/>
              <w:ind w:firstLine="466" w:firstLineChars="200"/>
              <w:rPr>
                <w:rFonts w:hint="eastAsia" w:ascii="宋体" w:hAnsi="宋体"/>
                <w:sz w:val="21"/>
                <w:szCs w:val="21"/>
                <w:lang w:val="en-US" w:eastAsia="zh-CN"/>
              </w:rPr>
            </w:pPr>
            <w:r>
              <w:rPr>
                <w:rFonts w:hint="eastAsia" w:ascii="宋体" w:hAnsi="宋体"/>
                <w:sz w:val="21"/>
                <w:szCs w:val="21"/>
              </w:rPr>
              <w:t>已建立</w:t>
            </w:r>
          </w:p>
        </w:tc>
        <w:tc>
          <w:tcPr>
            <w:tcW w:w="1035" w:type="dxa"/>
            <w:shd w:val="clear" w:color="auto" w:fill="auto"/>
            <w:vAlign w:val="center"/>
          </w:tcPr>
          <w:p w14:paraId="02087AC5">
            <w:pPr>
              <w:adjustRightInd w:val="0"/>
              <w:snapToGrid w:val="0"/>
              <w:spacing w:line="300" w:lineRule="exact"/>
              <w:ind w:left="0" w:leftChars="0" w:firstLine="0" w:firstLineChars="0"/>
              <w:rPr>
                <w:rFonts w:hint="eastAsia" w:ascii="宋体" w:hAnsi="宋体"/>
                <w:sz w:val="21"/>
                <w:szCs w:val="21"/>
                <w:lang w:val="en-US" w:eastAsia="zh-CN"/>
              </w:rPr>
            </w:pPr>
            <w:r>
              <w:rPr>
                <w:rFonts w:hint="eastAsia" w:ascii="宋体" w:hAnsi="宋体"/>
                <w:sz w:val="21"/>
                <w:szCs w:val="21"/>
              </w:rPr>
              <w:t>符合要求</w:t>
            </w:r>
          </w:p>
        </w:tc>
      </w:tr>
      <w:tr w14:paraId="606D5A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459" w:type="dxa"/>
            <w:vMerge w:val="continue"/>
            <w:vAlign w:val="center"/>
          </w:tcPr>
          <w:p w14:paraId="04D30AD2">
            <w:pPr>
              <w:adjustRightInd w:val="0"/>
              <w:snapToGrid w:val="0"/>
              <w:spacing w:line="300" w:lineRule="exact"/>
              <w:jc w:val="center"/>
              <w:rPr>
                <w:rFonts w:ascii="宋体" w:hAnsi="宋体"/>
                <w:sz w:val="21"/>
                <w:szCs w:val="21"/>
              </w:rPr>
            </w:pPr>
          </w:p>
        </w:tc>
        <w:tc>
          <w:tcPr>
            <w:tcW w:w="469" w:type="dxa"/>
            <w:vMerge w:val="continue"/>
            <w:vAlign w:val="center"/>
          </w:tcPr>
          <w:p w14:paraId="59C81E1A">
            <w:pPr>
              <w:adjustRightInd w:val="0"/>
              <w:snapToGrid w:val="0"/>
              <w:spacing w:line="300" w:lineRule="exact"/>
              <w:jc w:val="center"/>
              <w:rPr>
                <w:rFonts w:ascii="宋体" w:hAnsi="宋体"/>
                <w:sz w:val="21"/>
                <w:szCs w:val="21"/>
              </w:rPr>
            </w:pPr>
          </w:p>
        </w:tc>
        <w:tc>
          <w:tcPr>
            <w:tcW w:w="4154" w:type="dxa"/>
            <w:gridSpan w:val="2"/>
            <w:vAlign w:val="center"/>
          </w:tcPr>
          <w:p w14:paraId="0F1B8D6C">
            <w:pPr>
              <w:adjustRightInd w:val="0"/>
              <w:snapToGrid w:val="0"/>
              <w:spacing w:line="300" w:lineRule="exact"/>
              <w:ind w:firstLine="466" w:firstLineChars="200"/>
              <w:rPr>
                <w:rFonts w:hint="eastAsia" w:ascii="宋体" w:hAnsi="宋体"/>
                <w:sz w:val="21"/>
                <w:szCs w:val="21"/>
              </w:rPr>
            </w:pPr>
            <w:r>
              <w:rPr>
                <w:rFonts w:hint="eastAsia" w:ascii="宋体" w:hAnsi="宋体"/>
                <w:sz w:val="21"/>
                <w:szCs w:val="21"/>
              </w:rPr>
              <w:t>安全生产费用提取和使用制度</w:t>
            </w:r>
          </w:p>
        </w:tc>
        <w:tc>
          <w:tcPr>
            <w:tcW w:w="2841" w:type="dxa"/>
            <w:shd w:val="clear" w:color="auto" w:fill="auto"/>
            <w:vAlign w:val="center"/>
          </w:tcPr>
          <w:p w14:paraId="22E6CBAF">
            <w:pPr>
              <w:adjustRightInd w:val="0"/>
              <w:snapToGrid w:val="0"/>
              <w:spacing w:line="300" w:lineRule="exact"/>
              <w:ind w:firstLine="466" w:firstLineChars="200"/>
              <w:rPr>
                <w:rFonts w:hint="eastAsia" w:ascii="宋体" w:hAnsi="宋体"/>
                <w:sz w:val="21"/>
                <w:szCs w:val="21"/>
                <w:lang w:val="en-US" w:eastAsia="zh-CN"/>
              </w:rPr>
            </w:pPr>
            <w:r>
              <w:rPr>
                <w:rFonts w:hint="eastAsia" w:ascii="宋体" w:hAnsi="宋体"/>
                <w:sz w:val="21"/>
                <w:szCs w:val="21"/>
              </w:rPr>
              <w:t>已建立</w:t>
            </w:r>
          </w:p>
        </w:tc>
        <w:tc>
          <w:tcPr>
            <w:tcW w:w="1035" w:type="dxa"/>
            <w:shd w:val="clear" w:color="auto" w:fill="auto"/>
            <w:vAlign w:val="center"/>
          </w:tcPr>
          <w:p w14:paraId="622DA390">
            <w:pPr>
              <w:adjustRightInd w:val="0"/>
              <w:snapToGrid w:val="0"/>
              <w:spacing w:line="300" w:lineRule="exact"/>
              <w:ind w:left="0" w:leftChars="0" w:firstLine="0" w:firstLineChars="0"/>
              <w:rPr>
                <w:rFonts w:hint="eastAsia" w:ascii="宋体" w:hAnsi="宋体"/>
                <w:sz w:val="21"/>
                <w:szCs w:val="21"/>
                <w:lang w:val="en-US" w:eastAsia="zh-CN"/>
              </w:rPr>
            </w:pPr>
            <w:r>
              <w:rPr>
                <w:rFonts w:hint="eastAsia" w:ascii="宋体" w:hAnsi="宋体"/>
                <w:sz w:val="21"/>
                <w:szCs w:val="21"/>
              </w:rPr>
              <w:t>符合要求</w:t>
            </w:r>
          </w:p>
        </w:tc>
      </w:tr>
      <w:tr w14:paraId="084E40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459" w:type="dxa"/>
            <w:vMerge w:val="continue"/>
            <w:vAlign w:val="center"/>
          </w:tcPr>
          <w:p w14:paraId="11EF53A5">
            <w:pPr>
              <w:adjustRightInd w:val="0"/>
              <w:snapToGrid w:val="0"/>
              <w:spacing w:line="300" w:lineRule="exact"/>
              <w:jc w:val="center"/>
              <w:rPr>
                <w:rFonts w:ascii="宋体" w:hAnsi="宋体"/>
                <w:sz w:val="21"/>
                <w:szCs w:val="21"/>
              </w:rPr>
            </w:pPr>
          </w:p>
        </w:tc>
        <w:tc>
          <w:tcPr>
            <w:tcW w:w="469" w:type="dxa"/>
            <w:vMerge w:val="continue"/>
            <w:vAlign w:val="center"/>
          </w:tcPr>
          <w:p w14:paraId="70289FB0">
            <w:pPr>
              <w:adjustRightInd w:val="0"/>
              <w:snapToGrid w:val="0"/>
              <w:spacing w:line="300" w:lineRule="exact"/>
              <w:jc w:val="center"/>
              <w:rPr>
                <w:rFonts w:ascii="宋体" w:hAnsi="宋体"/>
                <w:sz w:val="21"/>
                <w:szCs w:val="21"/>
              </w:rPr>
            </w:pPr>
          </w:p>
        </w:tc>
        <w:tc>
          <w:tcPr>
            <w:tcW w:w="4154" w:type="dxa"/>
            <w:gridSpan w:val="2"/>
            <w:vAlign w:val="center"/>
          </w:tcPr>
          <w:p w14:paraId="26CB7FBB">
            <w:pPr>
              <w:adjustRightInd w:val="0"/>
              <w:snapToGrid w:val="0"/>
              <w:spacing w:line="300" w:lineRule="exact"/>
              <w:rPr>
                <w:rFonts w:ascii="宋体" w:hAnsi="宋体"/>
                <w:sz w:val="21"/>
                <w:szCs w:val="21"/>
              </w:rPr>
            </w:pPr>
            <w:r>
              <w:rPr>
                <w:rFonts w:hint="eastAsia" w:ascii="宋体" w:hAnsi="宋体"/>
                <w:sz w:val="21"/>
                <w:szCs w:val="21"/>
              </w:rPr>
              <w:t>安全设施设备管理制度</w:t>
            </w:r>
          </w:p>
        </w:tc>
        <w:tc>
          <w:tcPr>
            <w:tcW w:w="2841" w:type="dxa"/>
            <w:vAlign w:val="center"/>
          </w:tcPr>
          <w:p w14:paraId="58ED92B7">
            <w:pPr>
              <w:adjustRightInd w:val="0"/>
              <w:snapToGrid w:val="0"/>
              <w:spacing w:line="300" w:lineRule="exact"/>
              <w:rPr>
                <w:rFonts w:ascii="宋体" w:hAnsi="宋体"/>
                <w:sz w:val="21"/>
                <w:szCs w:val="21"/>
              </w:rPr>
            </w:pPr>
            <w:r>
              <w:rPr>
                <w:rFonts w:hint="eastAsia" w:ascii="宋体" w:hAnsi="宋体"/>
                <w:sz w:val="21"/>
                <w:szCs w:val="21"/>
              </w:rPr>
              <w:t>已建立</w:t>
            </w:r>
          </w:p>
        </w:tc>
        <w:tc>
          <w:tcPr>
            <w:tcW w:w="1035" w:type="dxa"/>
            <w:vAlign w:val="center"/>
          </w:tcPr>
          <w:p w14:paraId="26BD4815">
            <w:pPr>
              <w:adjustRightInd w:val="0"/>
              <w:snapToGrid w:val="0"/>
              <w:spacing w:line="300" w:lineRule="exact"/>
              <w:ind w:left="0" w:leftChars="0" w:firstLine="0" w:firstLineChars="0"/>
              <w:jc w:val="both"/>
              <w:rPr>
                <w:rFonts w:ascii="宋体" w:hAnsi="宋体"/>
                <w:sz w:val="21"/>
                <w:szCs w:val="21"/>
              </w:rPr>
            </w:pPr>
            <w:r>
              <w:rPr>
                <w:rFonts w:hint="eastAsia" w:ascii="宋体" w:hAnsi="宋体"/>
                <w:sz w:val="21"/>
                <w:szCs w:val="21"/>
              </w:rPr>
              <w:t>符合要求</w:t>
            </w:r>
          </w:p>
        </w:tc>
      </w:tr>
      <w:tr w14:paraId="22C1AF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459" w:type="dxa"/>
            <w:vMerge w:val="continue"/>
            <w:vAlign w:val="center"/>
          </w:tcPr>
          <w:p w14:paraId="533E22B8">
            <w:pPr>
              <w:adjustRightInd w:val="0"/>
              <w:snapToGrid w:val="0"/>
              <w:spacing w:line="300" w:lineRule="exact"/>
              <w:jc w:val="center"/>
              <w:rPr>
                <w:rFonts w:ascii="宋体" w:hAnsi="宋体"/>
                <w:sz w:val="21"/>
                <w:szCs w:val="21"/>
              </w:rPr>
            </w:pPr>
          </w:p>
        </w:tc>
        <w:tc>
          <w:tcPr>
            <w:tcW w:w="469" w:type="dxa"/>
            <w:vMerge w:val="continue"/>
            <w:vAlign w:val="center"/>
          </w:tcPr>
          <w:p w14:paraId="046228E2">
            <w:pPr>
              <w:adjustRightInd w:val="0"/>
              <w:snapToGrid w:val="0"/>
              <w:spacing w:line="300" w:lineRule="exact"/>
              <w:jc w:val="center"/>
              <w:rPr>
                <w:rFonts w:ascii="宋体" w:hAnsi="宋体"/>
                <w:sz w:val="21"/>
                <w:szCs w:val="21"/>
              </w:rPr>
            </w:pPr>
          </w:p>
        </w:tc>
        <w:tc>
          <w:tcPr>
            <w:tcW w:w="4154" w:type="dxa"/>
            <w:gridSpan w:val="2"/>
            <w:vAlign w:val="center"/>
          </w:tcPr>
          <w:p w14:paraId="6EF4B797">
            <w:pPr>
              <w:adjustRightInd w:val="0"/>
              <w:snapToGrid w:val="0"/>
              <w:spacing w:line="300" w:lineRule="exact"/>
              <w:rPr>
                <w:rFonts w:ascii="宋体" w:hAnsi="宋体"/>
                <w:sz w:val="21"/>
                <w:szCs w:val="21"/>
              </w:rPr>
            </w:pPr>
            <w:r>
              <w:rPr>
                <w:rFonts w:hint="eastAsia" w:ascii="宋体" w:hAnsi="宋体"/>
                <w:sz w:val="21"/>
                <w:szCs w:val="21"/>
              </w:rPr>
              <w:t>安全目标管理与奖惩制度</w:t>
            </w:r>
          </w:p>
        </w:tc>
        <w:tc>
          <w:tcPr>
            <w:tcW w:w="2841" w:type="dxa"/>
            <w:vAlign w:val="center"/>
          </w:tcPr>
          <w:p w14:paraId="261B736A">
            <w:pPr>
              <w:adjustRightInd w:val="0"/>
              <w:snapToGrid w:val="0"/>
              <w:spacing w:line="300" w:lineRule="exact"/>
              <w:rPr>
                <w:rFonts w:ascii="宋体" w:hAnsi="宋体"/>
                <w:sz w:val="21"/>
                <w:szCs w:val="21"/>
              </w:rPr>
            </w:pPr>
            <w:r>
              <w:rPr>
                <w:rFonts w:hint="eastAsia" w:ascii="宋体" w:hAnsi="宋体"/>
                <w:sz w:val="21"/>
                <w:szCs w:val="21"/>
              </w:rPr>
              <w:t>已建立</w:t>
            </w:r>
          </w:p>
        </w:tc>
        <w:tc>
          <w:tcPr>
            <w:tcW w:w="1035" w:type="dxa"/>
            <w:vAlign w:val="center"/>
          </w:tcPr>
          <w:p w14:paraId="3B6007AD">
            <w:pPr>
              <w:adjustRightInd w:val="0"/>
              <w:snapToGrid w:val="0"/>
              <w:spacing w:line="300" w:lineRule="exact"/>
              <w:ind w:left="0" w:leftChars="0" w:firstLine="0" w:firstLineChars="0"/>
              <w:jc w:val="both"/>
              <w:rPr>
                <w:rFonts w:ascii="宋体" w:hAnsi="宋体"/>
                <w:sz w:val="21"/>
                <w:szCs w:val="21"/>
              </w:rPr>
            </w:pPr>
            <w:r>
              <w:rPr>
                <w:rFonts w:hint="eastAsia" w:ascii="宋体" w:hAnsi="宋体"/>
                <w:sz w:val="21"/>
                <w:szCs w:val="21"/>
              </w:rPr>
              <w:t>符合要求</w:t>
            </w:r>
          </w:p>
        </w:tc>
      </w:tr>
      <w:tr w14:paraId="253873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459" w:type="dxa"/>
            <w:vMerge w:val="continue"/>
            <w:vAlign w:val="center"/>
          </w:tcPr>
          <w:p w14:paraId="0B95088C">
            <w:pPr>
              <w:adjustRightInd w:val="0"/>
              <w:snapToGrid w:val="0"/>
              <w:spacing w:line="300" w:lineRule="exact"/>
              <w:jc w:val="center"/>
              <w:rPr>
                <w:rFonts w:ascii="宋体" w:hAnsi="宋体"/>
                <w:sz w:val="21"/>
                <w:szCs w:val="21"/>
              </w:rPr>
            </w:pPr>
          </w:p>
        </w:tc>
        <w:tc>
          <w:tcPr>
            <w:tcW w:w="469" w:type="dxa"/>
            <w:vMerge w:val="continue"/>
            <w:vAlign w:val="center"/>
          </w:tcPr>
          <w:p w14:paraId="72730E9A">
            <w:pPr>
              <w:adjustRightInd w:val="0"/>
              <w:snapToGrid w:val="0"/>
              <w:spacing w:line="300" w:lineRule="exact"/>
              <w:jc w:val="center"/>
              <w:rPr>
                <w:rFonts w:ascii="宋体" w:hAnsi="宋体"/>
                <w:sz w:val="21"/>
                <w:szCs w:val="21"/>
              </w:rPr>
            </w:pPr>
          </w:p>
        </w:tc>
        <w:tc>
          <w:tcPr>
            <w:tcW w:w="4154" w:type="dxa"/>
            <w:gridSpan w:val="2"/>
            <w:vAlign w:val="center"/>
          </w:tcPr>
          <w:p w14:paraId="330D22F8">
            <w:pPr>
              <w:adjustRightInd w:val="0"/>
              <w:snapToGrid w:val="0"/>
              <w:spacing w:line="300" w:lineRule="exact"/>
              <w:rPr>
                <w:rFonts w:ascii="宋体" w:hAnsi="宋体"/>
                <w:sz w:val="21"/>
                <w:szCs w:val="21"/>
              </w:rPr>
            </w:pPr>
            <w:r>
              <w:rPr>
                <w:rFonts w:hint="eastAsia" w:ascii="宋体" w:hAnsi="宋体"/>
                <w:sz w:val="21"/>
                <w:szCs w:val="21"/>
              </w:rPr>
              <w:t>动火作业管理制度</w:t>
            </w:r>
          </w:p>
        </w:tc>
        <w:tc>
          <w:tcPr>
            <w:tcW w:w="2841" w:type="dxa"/>
            <w:vAlign w:val="center"/>
          </w:tcPr>
          <w:p w14:paraId="7B8A8A8D">
            <w:pPr>
              <w:adjustRightInd w:val="0"/>
              <w:snapToGrid w:val="0"/>
              <w:spacing w:line="300" w:lineRule="exact"/>
              <w:rPr>
                <w:rFonts w:ascii="宋体" w:hAnsi="宋体"/>
                <w:sz w:val="21"/>
                <w:szCs w:val="21"/>
              </w:rPr>
            </w:pPr>
            <w:r>
              <w:rPr>
                <w:rFonts w:hint="eastAsia" w:ascii="宋体" w:hAnsi="宋体"/>
                <w:sz w:val="21"/>
                <w:szCs w:val="21"/>
              </w:rPr>
              <w:t>已建立</w:t>
            </w:r>
          </w:p>
        </w:tc>
        <w:tc>
          <w:tcPr>
            <w:tcW w:w="1035" w:type="dxa"/>
            <w:vAlign w:val="center"/>
          </w:tcPr>
          <w:p w14:paraId="100BD2E9">
            <w:pPr>
              <w:adjustRightInd w:val="0"/>
              <w:snapToGrid w:val="0"/>
              <w:spacing w:line="300" w:lineRule="exact"/>
              <w:ind w:left="0" w:leftChars="0" w:firstLine="0" w:firstLineChars="0"/>
              <w:jc w:val="both"/>
              <w:rPr>
                <w:rFonts w:ascii="宋体" w:hAnsi="宋体"/>
                <w:sz w:val="21"/>
                <w:szCs w:val="21"/>
              </w:rPr>
            </w:pPr>
            <w:r>
              <w:rPr>
                <w:rFonts w:hint="eastAsia" w:ascii="宋体" w:hAnsi="宋体"/>
                <w:sz w:val="21"/>
                <w:szCs w:val="21"/>
              </w:rPr>
              <w:t>符合要求</w:t>
            </w:r>
          </w:p>
        </w:tc>
      </w:tr>
      <w:tr w14:paraId="5BD29A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459" w:type="dxa"/>
            <w:vMerge w:val="continue"/>
            <w:vAlign w:val="center"/>
          </w:tcPr>
          <w:p w14:paraId="78E97151">
            <w:pPr>
              <w:adjustRightInd w:val="0"/>
              <w:snapToGrid w:val="0"/>
              <w:spacing w:line="300" w:lineRule="exact"/>
              <w:jc w:val="center"/>
              <w:rPr>
                <w:rFonts w:ascii="宋体" w:hAnsi="宋体"/>
                <w:sz w:val="21"/>
                <w:szCs w:val="21"/>
              </w:rPr>
            </w:pPr>
          </w:p>
        </w:tc>
        <w:tc>
          <w:tcPr>
            <w:tcW w:w="469" w:type="dxa"/>
            <w:vMerge w:val="continue"/>
            <w:vAlign w:val="center"/>
          </w:tcPr>
          <w:p w14:paraId="3E537A8C">
            <w:pPr>
              <w:adjustRightInd w:val="0"/>
              <w:snapToGrid w:val="0"/>
              <w:spacing w:line="300" w:lineRule="exact"/>
              <w:jc w:val="center"/>
              <w:rPr>
                <w:rFonts w:ascii="宋体" w:hAnsi="宋体"/>
                <w:sz w:val="21"/>
                <w:szCs w:val="21"/>
              </w:rPr>
            </w:pPr>
          </w:p>
        </w:tc>
        <w:tc>
          <w:tcPr>
            <w:tcW w:w="4154" w:type="dxa"/>
            <w:gridSpan w:val="2"/>
            <w:vAlign w:val="center"/>
          </w:tcPr>
          <w:p w14:paraId="052C2354">
            <w:pPr>
              <w:adjustRightInd w:val="0"/>
              <w:snapToGrid w:val="0"/>
              <w:spacing w:line="300" w:lineRule="exact"/>
              <w:rPr>
                <w:rFonts w:ascii="宋体" w:hAnsi="宋体"/>
                <w:sz w:val="21"/>
                <w:szCs w:val="21"/>
              </w:rPr>
            </w:pPr>
            <w:r>
              <w:rPr>
                <w:rFonts w:hint="eastAsia" w:ascii="宋体" w:hAnsi="宋体"/>
                <w:sz w:val="21"/>
                <w:szCs w:val="21"/>
              </w:rPr>
              <w:t>装卸（搬运）作业</w:t>
            </w:r>
            <w:r>
              <w:rPr>
                <w:rFonts w:hint="eastAsia" w:ascii="宋体" w:hAnsi="宋体"/>
                <w:sz w:val="21"/>
                <w:szCs w:val="21"/>
                <w:lang w:val="en-US" w:eastAsia="zh-CN"/>
              </w:rPr>
              <w:t>等</w:t>
            </w:r>
            <w:r>
              <w:rPr>
                <w:rFonts w:hint="eastAsia" w:ascii="宋体" w:hAnsi="宋体"/>
                <w:sz w:val="21"/>
                <w:szCs w:val="21"/>
              </w:rPr>
              <w:t>安全操作规程</w:t>
            </w:r>
          </w:p>
        </w:tc>
        <w:tc>
          <w:tcPr>
            <w:tcW w:w="2841" w:type="dxa"/>
            <w:vAlign w:val="center"/>
          </w:tcPr>
          <w:p w14:paraId="28F25565">
            <w:pPr>
              <w:adjustRightInd w:val="0"/>
              <w:snapToGrid w:val="0"/>
              <w:spacing w:line="300" w:lineRule="exact"/>
              <w:rPr>
                <w:rFonts w:ascii="宋体" w:hAnsi="宋体"/>
                <w:sz w:val="21"/>
                <w:szCs w:val="21"/>
              </w:rPr>
            </w:pPr>
            <w:r>
              <w:rPr>
                <w:rFonts w:hint="eastAsia" w:ascii="宋体" w:hAnsi="宋体"/>
                <w:sz w:val="21"/>
                <w:szCs w:val="21"/>
              </w:rPr>
              <w:t>已建立</w:t>
            </w:r>
          </w:p>
        </w:tc>
        <w:tc>
          <w:tcPr>
            <w:tcW w:w="1035" w:type="dxa"/>
            <w:vAlign w:val="center"/>
          </w:tcPr>
          <w:p w14:paraId="18FCEDF7">
            <w:pPr>
              <w:adjustRightInd w:val="0"/>
              <w:snapToGrid w:val="0"/>
              <w:spacing w:line="300" w:lineRule="exact"/>
              <w:ind w:left="0" w:leftChars="0" w:firstLine="0" w:firstLineChars="0"/>
              <w:jc w:val="both"/>
              <w:rPr>
                <w:rFonts w:ascii="宋体" w:hAnsi="宋体"/>
                <w:sz w:val="21"/>
                <w:szCs w:val="21"/>
              </w:rPr>
            </w:pPr>
            <w:r>
              <w:rPr>
                <w:rFonts w:hint="eastAsia" w:ascii="宋体" w:hAnsi="宋体"/>
                <w:sz w:val="21"/>
                <w:szCs w:val="21"/>
              </w:rPr>
              <w:t>符合要求</w:t>
            </w:r>
          </w:p>
        </w:tc>
      </w:tr>
      <w:tr w14:paraId="54C1EC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459" w:type="dxa"/>
            <w:vMerge w:val="continue"/>
            <w:vAlign w:val="center"/>
          </w:tcPr>
          <w:p w14:paraId="2B3D86A6">
            <w:pPr>
              <w:adjustRightInd w:val="0"/>
              <w:snapToGrid w:val="0"/>
              <w:spacing w:line="300" w:lineRule="exact"/>
              <w:jc w:val="center"/>
              <w:rPr>
                <w:rFonts w:ascii="宋体" w:hAnsi="宋体"/>
                <w:sz w:val="21"/>
                <w:szCs w:val="21"/>
              </w:rPr>
            </w:pPr>
          </w:p>
        </w:tc>
        <w:tc>
          <w:tcPr>
            <w:tcW w:w="469" w:type="dxa"/>
            <w:vMerge w:val="continue"/>
            <w:vAlign w:val="center"/>
          </w:tcPr>
          <w:p w14:paraId="15D649E8">
            <w:pPr>
              <w:adjustRightInd w:val="0"/>
              <w:snapToGrid w:val="0"/>
              <w:spacing w:line="300" w:lineRule="exact"/>
              <w:jc w:val="center"/>
              <w:rPr>
                <w:rFonts w:ascii="宋体" w:hAnsi="宋体"/>
                <w:sz w:val="21"/>
                <w:szCs w:val="21"/>
              </w:rPr>
            </w:pPr>
          </w:p>
        </w:tc>
        <w:tc>
          <w:tcPr>
            <w:tcW w:w="4154" w:type="dxa"/>
            <w:gridSpan w:val="2"/>
            <w:vAlign w:val="center"/>
          </w:tcPr>
          <w:p w14:paraId="5BCECF79">
            <w:pPr>
              <w:adjustRightInd w:val="0"/>
              <w:snapToGrid w:val="0"/>
              <w:spacing w:line="300" w:lineRule="exact"/>
              <w:rPr>
                <w:rFonts w:ascii="宋体" w:hAnsi="宋体"/>
                <w:sz w:val="21"/>
                <w:szCs w:val="21"/>
              </w:rPr>
            </w:pPr>
            <w:r>
              <w:rPr>
                <w:rFonts w:hint="eastAsia" w:ascii="宋体" w:hAnsi="宋体"/>
                <w:sz w:val="21"/>
                <w:szCs w:val="21"/>
              </w:rPr>
              <w:t>重大危险源评估、监控措施</w:t>
            </w:r>
          </w:p>
        </w:tc>
        <w:tc>
          <w:tcPr>
            <w:tcW w:w="2841" w:type="dxa"/>
            <w:vAlign w:val="center"/>
          </w:tcPr>
          <w:p w14:paraId="392ED8E1">
            <w:pPr>
              <w:adjustRightInd w:val="0"/>
              <w:snapToGrid w:val="0"/>
              <w:spacing w:line="300" w:lineRule="exact"/>
              <w:ind w:left="0" w:leftChars="0" w:firstLine="0" w:firstLineChars="0"/>
              <w:rPr>
                <w:rFonts w:ascii="宋体" w:hAnsi="宋体"/>
                <w:sz w:val="21"/>
                <w:szCs w:val="21"/>
              </w:rPr>
            </w:pPr>
            <w:r>
              <w:rPr>
                <w:rFonts w:hint="eastAsia" w:ascii="宋体" w:hAnsi="宋体"/>
                <w:sz w:val="21"/>
                <w:szCs w:val="21"/>
                <w:lang w:val="en-US" w:eastAsia="zh-CN"/>
              </w:rPr>
              <w:t>545</w:t>
            </w:r>
            <w:r>
              <w:rPr>
                <w:rFonts w:hint="eastAsia" w:ascii="宋体" w:hAnsi="宋体"/>
                <w:sz w:val="21"/>
                <w:szCs w:val="21"/>
              </w:rPr>
              <w:t>号成品库构成烟花爆竹重大危险源，企业加强管理、监控。</w:t>
            </w:r>
          </w:p>
        </w:tc>
        <w:tc>
          <w:tcPr>
            <w:tcW w:w="1035" w:type="dxa"/>
            <w:vAlign w:val="center"/>
          </w:tcPr>
          <w:p w14:paraId="0501E6EA">
            <w:pPr>
              <w:adjustRightInd w:val="0"/>
              <w:snapToGrid w:val="0"/>
              <w:spacing w:line="300" w:lineRule="exact"/>
              <w:ind w:left="0" w:leftChars="0" w:firstLine="0" w:firstLineChars="0"/>
              <w:jc w:val="both"/>
              <w:rPr>
                <w:rFonts w:ascii="宋体" w:hAnsi="宋体"/>
                <w:sz w:val="21"/>
                <w:szCs w:val="21"/>
              </w:rPr>
            </w:pPr>
            <w:r>
              <w:rPr>
                <w:rFonts w:hint="eastAsia" w:ascii="宋体" w:hAnsi="宋体"/>
                <w:sz w:val="21"/>
                <w:szCs w:val="21"/>
              </w:rPr>
              <w:t>符合要求</w:t>
            </w:r>
          </w:p>
        </w:tc>
      </w:tr>
      <w:tr w14:paraId="1ECA40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459" w:type="dxa"/>
            <w:vMerge w:val="continue"/>
            <w:vAlign w:val="center"/>
          </w:tcPr>
          <w:p w14:paraId="748F7178">
            <w:pPr>
              <w:adjustRightInd w:val="0"/>
              <w:snapToGrid w:val="0"/>
              <w:spacing w:line="300" w:lineRule="exact"/>
              <w:jc w:val="center"/>
              <w:rPr>
                <w:rFonts w:ascii="宋体" w:hAnsi="宋体"/>
                <w:sz w:val="21"/>
                <w:szCs w:val="21"/>
              </w:rPr>
            </w:pPr>
          </w:p>
        </w:tc>
        <w:tc>
          <w:tcPr>
            <w:tcW w:w="469" w:type="dxa"/>
            <w:vMerge w:val="continue"/>
            <w:vAlign w:val="center"/>
          </w:tcPr>
          <w:p w14:paraId="64955154">
            <w:pPr>
              <w:adjustRightInd w:val="0"/>
              <w:snapToGrid w:val="0"/>
              <w:spacing w:line="300" w:lineRule="exact"/>
              <w:jc w:val="center"/>
              <w:rPr>
                <w:rFonts w:ascii="宋体" w:hAnsi="宋体"/>
                <w:sz w:val="21"/>
                <w:szCs w:val="21"/>
              </w:rPr>
            </w:pPr>
          </w:p>
        </w:tc>
        <w:tc>
          <w:tcPr>
            <w:tcW w:w="4154" w:type="dxa"/>
            <w:gridSpan w:val="2"/>
            <w:vAlign w:val="center"/>
          </w:tcPr>
          <w:p w14:paraId="47F6F3C2">
            <w:pPr>
              <w:adjustRightInd w:val="0"/>
              <w:snapToGrid w:val="0"/>
              <w:spacing w:line="300" w:lineRule="exact"/>
              <w:rPr>
                <w:rFonts w:ascii="宋体" w:hAnsi="宋体"/>
                <w:sz w:val="21"/>
                <w:szCs w:val="21"/>
              </w:rPr>
            </w:pPr>
            <w:r>
              <w:rPr>
                <w:rFonts w:hint="eastAsia" w:ascii="宋体" w:hAnsi="宋体"/>
                <w:sz w:val="21"/>
                <w:szCs w:val="21"/>
              </w:rPr>
              <w:t>不合格产品处置制度</w:t>
            </w:r>
          </w:p>
        </w:tc>
        <w:tc>
          <w:tcPr>
            <w:tcW w:w="2841" w:type="dxa"/>
            <w:vAlign w:val="center"/>
          </w:tcPr>
          <w:p w14:paraId="47AC1738">
            <w:pPr>
              <w:adjustRightInd w:val="0"/>
              <w:snapToGrid w:val="0"/>
              <w:spacing w:line="300" w:lineRule="exact"/>
              <w:rPr>
                <w:rFonts w:ascii="宋体" w:hAnsi="宋体"/>
                <w:sz w:val="21"/>
                <w:szCs w:val="21"/>
              </w:rPr>
            </w:pPr>
            <w:r>
              <w:rPr>
                <w:rFonts w:hint="eastAsia" w:ascii="宋体" w:hAnsi="宋体"/>
                <w:sz w:val="21"/>
                <w:szCs w:val="21"/>
              </w:rPr>
              <w:t>已建立</w:t>
            </w:r>
          </w:p>
        </w:tc>
        <w:tc>
          <w:tcPr>
            <w:tcW w:w="1035" w:type="dxa"/>
            <w:vAlign w:val="center"/>
          </w:tcPr>
          <w:p w14:paraId="640542D5">
            <w:pPr>
              <w:adjustRightInd w:val="0"/>
              <w:snapToGrid w:val="0"/>
              <w:spacing w:line="300" w:lineRule="exact"/>
              <w:ind w:left="0" w:leftChars="0" w:firstLine="0" w:firstLineChars="0"/>
              <w:jc w:val="both"/>
              <w:rPr>
                <w:rFonts w:ascii="宋体" w:hAnsi="宋体"/>
                <w:sz w:val="21"/>
                <w:szCs w:val="21"/>
              </w:rPr>
            </w:pPr>
            <w:r>
              <w:rPr>
                <w:rFonts w:hint="eastAsia" w:ascii="宋体" w:hAnsi="宋体"/>
                <w:sz w:val="21"/>
                <w:szCs w:val="21"/>
              </w:rPr>
              <w:t>符合要求</w:t>
            </w:r>
          </w:p>
        </w:tc>
      </w:tr>
      <w:tr w14:paraId="7DBB13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459" w:type="dxa"/>
            <w:vMerge w:val="continue"/>
            <w:vAlign w:val="center"/>
          </w:tcPr>
          <w:p w14:paraId="77165D26">
            <w:pPr>
              <w:adjustRightInd w:val="0"/>
              <w:snapToGrid w:val="0"/>
              <w:spacing w:line="300" w:lineRule="exact"/>
              <w:jc w:val="center"/>
              <w:rPr>
                <w:rFonts w:ascii="宋体" w:hAnsi="宋体"/>
                <w:sz w:val="21"/>
                <w:szCs w:val="21"/>
              </w:rPr>
            </w:pPr>
          </w:p>
        </w:tc>
        <w:tc>
          <w:tcPr>
            <w:tcW w:w="469" w:type="dxa"/>
            <w:vMerge w:val="continue"/>
            <w:vAlign w:val="center"/>
          </w:tcPr>
          <w:p w14:paraId="1592FD23">
            <w:pPr>
              <w:adjustRightInd w:val="0"/>
              <w:snapToGrid w:val="0"/>
              <w:spacing w:line="300" w:lineRule="exact"/>
              <w:jc w:val="center"/>
              <w:rPr>
                <w:rFonts w:ascii="宋体" w:hAnsi="宋体"/>
                <w:sz w:val="21"/>
                <w:szCs w:val="21"/>
              </w:rPr>
            </w:pPr>
          </w:p>
        </w:tc>
        <w:tc>
          <w:tcPr>
            <w:tcW w:w="4154" w:type="dxa"/>
            <w:gridSpan w:val="2"/>
            <w:vAlign w:val="center"/>
          </w:tcPr>
          <w:p w14:paraId="4CE620C9">
            <w:pPr>
              <w:adjustRightInd w:val="0"/>
              <w:snapToGrid w:val="0"/>
              <w:spacing w:line="300" w:lineRule="exact"/>
              <w:rPr>
                <w:rFonts w:ascii="宋体" w:hAnsi="宋体"/>
                <w:sz w:val="21"/>
                <w:szCs w:val="21"/>
              </w:rPr>
            </w:pPr>
            <w:r>
              <w:rPr>
                <w:rFonts w:hint="eastAsia" w:ascii="宋体" w:hAnsi="宋体"/>
                <w:sz w:val="21"/>
                <w:szCs w:val="21"/>
              </w:rPr>
              <w:t>隐患排查整改和事故记录</w:t>
            </w:r>
          </w:p>
        </w:tc>
        <w:tc>
          <w:tcPr>
            <w:tcW w:w="2841" w:type="dxa"/>
            <w:vAlign w:val="center"/>
          </w:tcPr>
          <w:p w14:paraId="0FBB4776">
            <w:pPr>
              <w:adjustRightInd w:val="0"/>
              <w:snapToGrid w:val="0"/>
              <w:spacing w:line="300" w:lineRule="exact"/>
              <w:rPr>
                <w:rFonts w:ascii="宋体" w:hAnsi="宋体"/>
                <w:sz w:val="21"/>
                <w:szCs w:val="21"/>
              </w:rPr>
            </w:pPr>
            <w:r>
              <w:rPr>
                <w:rFonts w:hint="eastAsia" w:ascii="宋体" w:hAnsi="宋体"/>
                <w:sz w:val="21"/>
                <w:szCs w:val="21"/>
              </w:rPr>
              <w:t>已提供</w:t>
            </w:r>
          </w:p>
        </w:tc>
        <w:tc>
          <w:tcPr>
            <w:tcW w:w="1035" w:type="dxa"/>
            <w:vAlign w:val="center"/>
          </w:tcPr>
          <w:p w14:paraId="7003A494">
            <w:pPr>
              <w:adjustRightInd w:val="0"/>
              <w:snapToGrid w:val="0"/>
              <w:spacing w:line="300" w:lineRule="exact"/>
              <w:ind w:left="0" w:leftChars="0" w:firstLine="0" w:firstLineChars="0"/>
              <w:jc w:val="both"/>
              <w:rPr>
                <w:rFonts w:ascii="宋体" w:hAnsi="宋体"/>
                <w:sz w:val="21"/>
                <w:szCs w:val="21"/>
              </w:rPr>
            </w:pPr>
            <w:r>
              <w:rPr>
                <w:rFonts w:hint="eastAsia" w:ascii="宋体" w:hAnsi="宋体"/>
                <w:sz w:val="21"/>
                <w:szCs w:val="21"/>
              </w:rPr>
              <w:t>符合要求</w:t>
            </w:r>
          </w:p>
        </w:tc>
      </w:tr>
      <w:tr w14:paraId="7DDC9F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459" w:type="dxa"/>
            <w:vMerge w:val="continue"/>
            <w:vAlign w:val="center"/>
          </w:tcPr>
          <w:p w14:paraId="69CF1511">
            <w:pPr>
              <w:adjustRightInd w:val="0"/>
              <w:snapToGrid w:val="0"/>
              <w:spacing w:line="300" w:lineRule="exact"/>
              <w:jc w:val="center"/>
              <w:rPr>
                <w:rFonts w:ascii="宋体" w:hAnsi="宋体"/>
                <w:sz w:val="21"/>
                <w:szCs w:val="21"/>
              </w:rPr>
            </w:pPr>
          </w:p>
        </w:tc>
        <w:tc>
          <w:tcPr>
            <w:tcW w:w="469" w:type="dxa"/>
            <w:vMerge w:val="continue"/>
            <w:vAlign w:val="center"/>
          </w:tcPr>
          <w:p w14:paraId="0119395B">
            <w:pPr>
              <w:adjustRightInd w:val="0"/>
              <w:snapToGrid w:val="0"/>
              <w:spacing w:line="300" w:lineRule="exact"/>
              <w:jc w:val="center"/>
              <w:rPr>
                <w:rFonts w:ascii="宋体" w:hAnsi="宋体"/>
                <w:sz w:val="21"/>
                <w:szCs w:val="21"/>
              </w:rPr>
            </w:pPr>
          </w:p>
        </w:tc>
        <w:tc>
          <w:tcPr>
            <w:tcW w:w="4154" w:type="dxa"/>
            <w:gridSpan w:val="2"/>
            <w:vAlign w:val="center"/>
          </w:tcPr>
          <w:p w14:paraId="42DB09B5">
            <w:pPr>
              <w:adjustRightInd w:val="0"/>
              <w:snapToGrid w:val="0"/>
              <w:spacing w:line="300" w:lineRule="exact"/>
              <w:rPr>
                <w:rFonts w:ascii="宋体" w:hAnsi="宋体"/>
                <w:sz w:val="21"/>
                <w:szCs w:val="21"/>
              </w:rPr>
            </w:pPr>
            <w:r>
              <w:rPr>
                <w:rFonts w:hint="eastAsia" w:ascii="宋体" w:hAnsi="宋体"/>
                <w:sz w:val="21"/>
                <w:szCs w:val="21"/>
              </w:rPr>
              <w:t>事故应急救援预案</w:t>
            </w:r>
          </w:p>
        </w:tc>
        <w:tc>
          <w:tcPr>
            <w:tcW w:w="2841" w:type="dxa"/>
            <w:vAlign w:val="center"/>
          </w:tcPr>
          <w:p w14:paraId="7001745F">
            <w:pPr>
              <w:adjustRightInd w:val="0"/>
              <w:snapToGrid w:val="0"/>
              <w:spacing w:line="300" w:lineRule="exact"/>
              <w:rPr>
                <w:rFonts w:ascii="宋体" w:hAnsi="宋体"/>
                <w:sz w:val="21"/>
                <w:szCs w:val="21"/>
              </w:rPr>
            </w:pPr>
            <w:r>
              <w:rPr>
                <w:rFonts w:hint="eastAsia" w:ascii="宋体" w:hAnsi="宋体"/>
                <w:sz w:val="21"/>
                <w:szCs w:val="21"/>
              </w:rPr>
              <w:t>已建立</w:t>
            </w:r>
          </w:p>
        </w:tc>
        <w:tc>
          <w:tcPr>
            <w:tcW w:w="1035" w:type="dxa"/>
            <w:vAlign w:val="center"/>
          </w:tcPr>
          <w:p w14:paraId="7D49FA43">
            <w:pPr>
              <w:adjustRightInd w:val="0"/>
              <w:snapToGrid w:val="0"/>
              <w:spacing w:line="300" w:lineRule="exact"/>
              <w:ind w:left="0" w:leftChars="0" w:firstLine="0" w:firstLineChars="0"/>
              <w:jc w:val="both"/>
              <w:rPr>
                <w:rFonts w:ascii="宋体" w:hAnsi="宋体"/>
                <w:sz w:val="21"/>
                <w:szCs w:val="21"/>
              </w:rPr>
            </w:pPr>
            <w:r>
              <w:rPr>
                <w:rFonts w:hint="eastAsia" w:ascii="宋体" w:hAnsi="宋体"/>
                <w:sz w:val="21"/>
                <w:szCs w:val="21"/>
              </w:rPr>
              <w:t>符合要求</w:t>
            </w:r>
          </w:p>
        </w:tc>
      </w:tr>
      <w:tr w14:paraId="486110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459" w:type="dxa"/>
            <w:vMerge w:val="continue"/>
            <w:vAlign w:val="center"/>
          </w:tcPr>
          <w:p w14:paraId="63C655D3">
            <w:pPr>
              <w:adjustRightInd w:val="0"/>
              <w:snapToGrid w:val="0"/>
              <w:spacing w:line="300" w:lineRule="exact"/>
              <w:jc w:val="center"/>
              <w:rPr>
                <w:rFonts w:ascii="宋体" w:hAnsi="宋体"/>
                <w:sz w:val="21"/>
                <w:szCs w:val="21"/>
              </w:rPr>
            </w:pPr>
          </w:p>
        </w:tc>
        <w:tc>
          <w:tcPr>
            <w:tcW w:w="469" w:type="dxa"/>
            <w:vMerge w:val="continue"/>
            <w:vAlign w:val="center"/>
          </w:tcPr>
          <w:p w14:paraId="1E551793">
            <w:pPr>
              <w:adjustRightInd w:val="0"/>
              <w:snapToGrid w:val="0"/>
              <w:spacing w:line="300" w:lineRule="exact"/>
              <w:jc w:val="center"/>
              <w:rPr>
                <w:rFonts w:ascii="宋体" w:hAnsi="宋体"/>
                <w:sz w:val="21"/>
                <w:szCs w:val="21"/>
              </w:rPr>
            </w:pPr>
          </w:p>
        </w:tc>
        <w:tc>
          <w:tcPr>
            <w:tcW w:w="4154" w:type="dxa"/>
            <w:gridSpan w:val="2"/>
            <w:vAlign w:val="center"/>
          </w:tcPr>
          <w:p w14:paraId="753B5065">
            <w:pPr>
              <w:adjustRightInd w:val="0"/>
              <w:snapToGrid w:val="0"/>
              <w:spacing w:line="300" w:lineRule="exact"/>
              <w:rPr>
                <w:rFonts w:ascii="宋体" w:hAnsi="宋体"/>
                <w:sz w:val="21"/>
                <w:szCs w:val="21"/>
              </w:rPr>
            </w:pPr>
            <w:r>
              <w:rPr>
                <w:rFonts w:hint="eastAsia" w:ascii="宋体" w:hAnsi="宋体"/>
                <w:sz w:val="21"/>
                <w:szCs w:val="21"/>
              </w:rPr>
              <w:t>其它相关资料</w:t>
            </w:r>
          </w:p>
        </w:tc>
        <w:tc>
          <w:tcPr>
            <w:tcW w:w="2841" w:type="dxa"/>
            <w:vAlign w:val="center"/>
          </w:tcPr>
          <w:p w14:paraId="3BB23109">
            <w:pPr>
              <w:adjustRightInd w:val="0"/>
              <w:snapToGrid w:val="0"/>
              <w:spacing w:line="300" w:lineRule="exact"/>
              <w:rPr>
                <w:rFonts w:hint="default" w:ascii="宋体" w:hAnsi="宋体" w:eastAsia="宋体"/>
                <w:sz w:val="21"/>
                <w:szCs w:val="21"/>
                <w:lang w:val="en-US" w:eastAsia="zh-CN"/>
              </w:rPr>
            </w:pPr>
            <w:r>
              <w:rPr>
                <w:rFonts w:hint="eastAsia" w:ascii="宋体" w:hAnsi="宋体"/>
                <w:sz w:val="21"/>
                <w:szCs w:val="21"/>
                <w:lang w:val="en-US" w:eastAsia="zh-CN"/>
              </w:rPr>
              <w:t>制定了安全管理目标</w:t>
            </w:r>
          </w:p>
        </w:tc>
        <w:tc>
          <w:tcPr>
            <w:tcW w:w="1035" w:type="dxa"/>
            <w:vAlign w:val="center"/>
          </w:tcPr>
          <w:p w14:paraId="65998D63">
            <w:pPr>
              <w:adjustRightInd w:val="0"/>
              <w:snapToGrid w:val="0"/>
              <w:spacing w:line="300" w:lineRule="exact"/>
              <w:ind w:left="0" w:leftChars="0" w:firstLine="0" w:firstLineChars="0"/>
              <w:jc w:val="both"/>
              <w:rPr>
                <w:rFonts w:ascii="宋体" w:hAnsi="宋体"/>
                <w:sz w:val="21"/>
                <w:szCs w:val="21"/>
              </w:rPr>
            </w:pPr>
            <w:r>
              <w:rPr>
                <w:rFonts w:hint="eastAsia" w:ascii="宋体" w:hAnsi="宋体"/>
                <w:sz w:val="21"/>
                <w:szCs w:val="21"/>
              </w:rPr>
              <w:t>符合要求</w:t>
            </w:r>
          </w:p>
        </w:tc>
      </w:tr>
      <w:tr w14:paraId="5212F1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459" w:type="dxa"/>
            <w:vMerge w:val="restart"/>
            <w:vAlign w:val="center"/>
          </w:tcPr>
          <w:p w14:paraId="106EEAFD">
            <w:pPr>
              <w:snapToGrid w:val="0"/>
              <w:spacing w:line="300" w:lineRule="exact"/>
              <w:jc w:val="center"/>
              <w:rPr>
                <w:rFonts w:ascii="宋体" w:hAnsi="宋体"/>
                <w:sz w:val="21"/>
                <w:szCs w:val="21"/>
              </w:rPr>
            </w:pPr>
            <w:r>
              <w:rPr>
                <w:rFonts w:hint="eastAsia" w:ascii="宋体" w:hAnsi="宋体"/>
                <w:sz w:val="21"/>
                <w:szCs w:val="21"/>
              </w:rPr>
              <w:t>4</w:t>
            </w:r>
          </w:p>
        </w:tc>
        <w:tc>
          <w:tcPr>
            <w:tcW w:w="469" w:type="dxa"/>
            <w:vMerge w:val="restart"/>
            <w:vAlign w:val="center"/>
          </w:tcPr>
          <w:p w14:paraId="36C9BA03">
            <w:pPr>
              <w:snapToGrid w:val="0"/>
              <w:spacing w:line="300" w:lineRule="exact"/>
              <w:ind w:left="0" w:leftChars="0" w:right="151" w:rightChars="50" w:firstLine="0" w:firstLineChars="0"/>
              <w:jc w:val="both"/>
              <w:rPr>
                <w:rFonts w:ascii="宋体" w:hAnsi="宋体"/>
                <w:sz w:val="21"/>
                <w:szCs w:val="21"/>
              </w:rPr>
            </w:pPr>
            <w:r>
              <w:rPr>
                <w:rFonts w:hint="eastAsia" w:ascii="宋体" w:hAnsi="宋体"/>
                <w:sz w:val="21"/>
                <w:szCs w:val="21"/>
              </w:rPr>
              <w:t>技术资料</w:t>
            </w:r>
          </w:p>
        </w:tc>
        <w:tc>
          <w:tcPr>
            <w:tcW w:w="4154" w:type="dxa"/>
            <w:gridSpan w:val="2"/>
            <w:vAlign w:val="center"/>
          </w:tcPr>
          <w:p w14:paraId="7955D2E6">
            <w:pPr>
              <w:snapToGrid w:val="0"/>
              <w:spacing w:line="300" w:lineRule="exact"/>
              <w:rPr>
                <w:rFonts w:ascii="宋体" w:hAnsi="宋体"/>
                <w:sz w:val="21"/>
                <w:szCs w:val="21"/>
              </w:rPr>
            </w:pPr>
            <w:r>
              <w:rPr>
                <w:rFonts w:hint="eastAsia" w:ascii="宋体" w:hAnsi="宋体"/>
                <w:sz w:val="21"/>
                <w:szCs w:val="21"/>
              </w:rPr>
              <w:t>设计说明书</w:t>
            </w:r>
          </w:p>
        </w:tc>
        <w:tc>
          <w:tcPr>
            <w:tcW w:w="2841" w:type="dxa"/>
            <w:vAlign w:val="center"/>
          </w:tcPr>
          <w:p w14:paraId="0B1DB5F9">
            <w:pPr>
              <w:snapToGrid w:val="0"/>
              <w:spacing w:line="300" w:lineRule="exact"/>
              <w:ind w:left="0" w:leftChars="0" w:firstLine="0" w:firstLineChars="0"/>
              <w:rPr>
                <w:rFonts w:ascii="宋体" w:hAnsi="宋体"/>
                <w:sz w:val="21"/>
                <w:szCs w:val="21"/>
              </w:rPr>
            </w:pPr>
            <w:r>
              <w:rPr>
                <w:rFonts w:hint="eastAsia" w:ascii="宋体" w:hAnsi="宋体"/>
                <w:sz w:val="21"/>
                <w:szCs w:val="21"/>
              </w:rPr>
              <w:t>库房为已建库房，不适用。</w:t>
            </w:r>
          </w:p>
        </w:tc>
        <w:tc>
          <w:tcPr>
            <w:tcW w:w="1035" w:type="dxa"/>
            <w:vAlign w:val="center"/>
          </w:tcPr>
          <w:p w14:paraId="78DB141A">
            <w:pPr>
              <w:adjustRightInd w:val="0"/>
              <w:snapToGrid w:val="0"/>
              <w:spacing w:line="300" w:lineRule="exact"/>
              <w:ind w:left="0" w:leftChars="0" w:firstLine="0" w:firstLineChars="0"/>
              <w:jc w:val="both"/>
              <w:rPr>
                <w:rFonts w:ascii="宋体" w:hAnsi="宋体"/>
                <w:sz w:val="21"/>
                <w:szCs w:val="21"/>
              </w:rPr>
            </w:pPr>
            <w:r>
              <w:rPr>
                <w:rFonts w:hint="eastAsia" w:ascii="宋体" w:hAnsi="宋体"/>
                <w:sz w:val="21"/>
                <w:szCs w:val="21"/>
              </w:rPr>
              <w:t>——</w:t>
            </w:r>
          </w:p>
        </w:tc>
      </w:tr>
      <w:tr w14:paraId="45F53D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459" w:type="dxa"/>
            <w:vMerge w:val="continue"/>
            <w:vAlign w:val="center"/>
          </w:tcPr>
          <w:p w14:paraId="14C573E3">
            <w:pPr>
              <w:snapToGrid w:val="0"/>
              <w:spacing w:line="300" w:lineRule="exact"/>
              <w:jc w:val="center"/>
              <w:rPr>
                <w:rFonts w:ascii="宋体" w:hAnsi="宋体"/>
                <w:sz w:val="21"/>
                <w:szCs w:val="21"/>
              </w:rPr>
            </w:pPr>
          </w:p>
        </w:tc>
        <w:tc>
          <w:tcPr>
            <w:tcW w:w="469" w:type="dxa"/>
            <w:vMerge w:val="continue"/>
            <w:vAlign w:val="center"/>
          </w:tcPr>
          <w:p w14:paraId="4AFAE47F">
            <w:pPr>
              <w:snapToGrid w:val="0"/>
              <w:spacing w:line="300" w:lineRule="exact"/>
              <w:jc w:val="center"/>
              <w:rPr>
                <w:rFonts w:ascii="宋体" w:hAnsi="宋体"/>
                <w:sz w:val="21"/>
                <w:szCs w:val="21"/>
              </w:rPr>
            </w:pPr>
          </w:p>
        </w:tc>
        <w:tc>
          <w:tcPr>
            <w:tcW w:w="4154" w:type="dxa"/>
            <w:gridSpan w:val="2"/>
            <w:vAlign w:val="center"/>
          </w:tcPr>
          <w:p w14:paraId="26C53C3B">
            <w:pPr>
              <w:snapToGrid w:val="0"/>
              <w:spacing w:line="300" w:lineRule="exact"/>
              <w:rPr>
                <w:rFonts w:ascii="宋体" w:hAnsi="宋体"/>
                <w:sz w:val="21"/>
                <w:szCs w:val="21"/>
              </w:rPr>
            </w:pPr>
            <w:r>
              <w:rPr>
                <w:rFonts w:hint="eastAsia" w:ascii="宋体" w:hAnsi="宋体"/>
                <w:sz w:val="21"/>
                <w:szCs w:val="21"/>
              </w:rPr>
              <w:t>平面布局图</w:t>
            </w:r>
          </w:p>
        </w:tc>
        <w:tc>
          <w:tcPr>
            <w:tcW w:w="2841" w:type="dxa"/>
            <w:vAlign w:val="center"/>
          </w:tcPr>
          <w:p w14:paraId="675A6DFE">
            <w:pPr>
              <w:snapToGrid w:val="0"/>
              <w:spacing w:line="300" w:lineRule="exact"/>
              <w:rPr>
                <w:rFonts w:ascii="宋体" w:hAnsi="宋体"/>
                <w:sz w:val="21"/>
                <w:szCs w:val="21"/>
              </w:rPr>
            </w:pPr>
            <w:r>
              <w:rPr>
                <w:rFonts w:hint="eastAsia" w:ascii="宋体" w:hAnsi="宋体"/>
                <w:sz w:val="21"/>
                <w:szCs w:val="21"/>
              </w:rPr>
              <w:t>已提供</w:t>
            </w:r>
          </w:p>
        </w:tc>
        <w:tc>
          <w:tcPr>
            <w:tcW w:w="1035" w:type="dxa"/>
            <w:vAlign w:val="center"/>
          </w:tcPr>
          <w:p w14:paraId="172CBB95">
            <w:pPr>
              <w:adjustRightInd w:val="0"/>
              <w:snapToGrid w:val="0"/>
              <w:spacing w:line="300" w:lineRule="exact"/>
              <w:ind w:left="0" w:leftChars="0" w:firstLine="0" w:firstLineChars="0"/>
              <w:jc w:val="both"/>
              <w:rPr>
                <w:rFonts w:ascii="宋体" w:hAnsi="宋体"/>
                <w:sz w:val="21"/>
                <w:szCs w:val="21"/>
              </w:rPr>
            </w:pPr>
            <w:r>
              <w:rPr>
                <w:rFonts w:hint="eastAsia" w:ascii="宋体" w:hAnsi="宋体"/>
                <w:sz w:val="21"/>
                <w:szCs w:val="21"/>
              </w:rPr>
              <w:t>符合要求</w:t>
            </w:r>
          </w:p>
        </w:tc>
      </w:tr>
      <w:tr w14:paraId="174D29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459" w:type="dxa"/>
            <w:vMerge w:val="continue"/>
            <w:vAlign w:val="center"/>
          </w:tcPr>
          <w:p w14:paraId="0087CD00">
            <w:pPr>
              <w:snapToGrid w:val="0"/>
              <w:spacing w:line="300" w:lineRule="exact"/>
              <w:jc w:val="center"/>
              <w:rPr>
                <w:rFonts w:ascii="宋体" w:hAnsi="宋体"/>
                <w:sz w:val="21"/>
                <w:szCs w:val="21"/>
              </w:rPr>
            </w:pPr>
          </w:p>
        </w:tc>
        <w:tc>
          <w:tcPr>
            <w:tcW w:w="469" w:type="dxa"/>
            <w:vMerge w:val="continue"/>
            <w:vAlign w:val="center"/>
          </w:tcPr>
          <w:p w14:paraId="36F0086E">
            <w:pPr>
              <w:snapToGrid w:val="0"/>
              <w:spacing w:line="300" w:lineRule="exact"/>
              <w:jc w:val="center"/>
              <w:rPr>
                <w:rFonts w:ascii="宋体" w:hAnsi="宋体"/>
                <w:sz w:val="21"/>
                <w:szCs w:val="21"/>
              </w:rPr>
            </w:pPr>
          </w:p>
        </w:tc>
        <w:tc>
          <w:tcPr>
            <w:tcW w:w="4154" w:type="dxa"/>
            <w:gridSpan w:val="2"/>
            <w:vAlign w:val="center"/>
          </w:tcPr>
          <w:p w14:paraId="62443DEB">
            <w:pPr>
              <w:snapToGrid w:val="0"/>
              <w:spacing w:line="300" w:lineRule="exact"/>
              <w:rPr>
                <w:rFonts w:ascii="宋体" w:hAnsi="宋体"/>
                <w:sz w:val="21"/>
                <w:szCs w:val="21"/>
              </w:rPr>
            </w:pPr>
            <w:r>
              <w:rPr>
                <w:rFonts w:hint="eastAsia" w:ascii="宋体" w:hAnsi="宋体"/>
                <w:sz w:val="21"/>
                <w:szCs w:val="21"/>
              </w:rPr>
              <w:t>库房施工设计图</w:t>
            </w:r>
          </w:p>
        </w:tc>
        <w:tc>
          <w:tcPr>
            <w:tcW w:w="2841" w:type="dxa"/>
            <w:vAlign w:val="center"/>
          </w:tcPr>
          <w:p w14:paraId="62F9D0FC">
            <w:pPr>
              <w:snapToGrid w:val="0"/>
              <w:spacing w:line="300" w:lineRule="exact"/>
              <w:ind w:left="0" w:leftChars="0" w:firstLine="0" w:firstLineChars="0"/>
              <w:rPr>
                <w:rFonts w:ascii="宋体" w:hAnsi="宋体"/>
                <w:sz w:val="21"/>
                <w:szCs w:val="21"/>
              </w:rPr>
            </w:pPr>
            <w:r>
              <w:rPr>
                <w:rFonts w:hint="eastAsia" w:ascii="宋体" w:hAnsi="宋体"/>
                <w:sz w:val="21"/>
                <w:szCs w:val="21"/>
              </w:rPr>
              <w:t>库房为已建库房，不适用。</w:t>
            </w:r>
          </w:p>
        </w:tc>
        <w:tc>
          <w:tcPr>
            <w:tcW w:w="1035" w:type="dxa"/>
            <w:vAlign w:val="center"/>
          </w:tcPr>
          <w:p w14:paraId="7B3C00FC">
            <w:pPr>
              <w:adjustRightInd w:val="0"/>
              <w:snapToGrid w:val="0"/>
              <w:spacing w:line="300" w:lineRule="exact"/>
              <w:ind w:left="0" w:leftChars="0" w:firstLine="0" w:firstLineChars="0"/>
              <w:jc w:val="both"/>
              <w:rPr>
                <w:rFonts w:ascii="宋体" w:hAnsi="宋体"/>
                <w:sz w:val="21"/>
                <w:szCs w:val="21"/>
              </w:rPr>
            </w:pPr>
            <w:r>
              <w:rPr>
                <w:rFonts w:hint="eastAsia" w:ascii="宋体" w:hAnsi="宋体"/>
                <w:sz w:val="21"/>
                <w:szCs w:val="21"/>
              </w:rPr>
              <w:t>——</w:t>
            </w:r>
          </w:p>
        </w:tc>
      </w:tr>
      <w:tr w14:paraId="06AA92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459" w:type="dxa"/>
            <w:vMerge w:val="continue"/>
            <w:vAlign w:val="center"/>
          </w:tcPr>
          <w:p w14:paraId="76600AB0">
            <w:pPr>
              <w:snapToGrid w:val="0"/>
              <w:spacing w:line="300" w:lineRule="exact"/>
              <w:jc w:val="center"/>
              <w:rPr>
                <w:rFonts w:ascii="宋体" w:hAnsi="宋体"/>
                <w:sz w:val="21"/>
                <w:szCs w:val="21"/>
              </w:rPr>
            </w:pPr>
          </w:p>
        </w:tc>
        <w:tc>
          <w:tcPr>
            <w:tcW w:w="469" w:type="dxa"/>
            <w:vMerge w:val="continue"/>
            <w:vAlign w:val="center"/>
          </w:tcPr>
          <w:p w14:paraId="420FE6C1">
            <w:pPr>
              <w:snapToGrid w:val="0"/>
              <w:spacing w:line="300" w:lineRule="exact"/>
              <w:jc w:val="center"/>
              <w:rPr>
                <w:rFonts w:ascii="宋体" w:hAnsi="宋体"/>
                <w:sz w:val="21"/>
                <w:szCs w:val="21"/>
              </w:rPr>
            </w:pPr>
          </w:p>
        </w:tc>
        <w:tc>
          <w:tcPr>
            <w:tcW w:w="4154" w:type="dxa"/>
            <w:gridSpan w:val="2"/>
            <w:vAlign w:val="center"/>
          </w:tcPr>
          <w:p w14:paraId="1DB27E60">
            <w:pPr>
              <w:snapToGrid w:val="0"/>
              <w:spacing w:line="300" w:lineRule="exact"/>
              <w:rPr>
                <w:rFonts w:ascii="宋体" w:hAnsi="宋体"/>
                <w:sz w:val="21"/>
                <w:szCs w:val="21"/>
              </w:rPr>
            </w:pPr>
            <w:r>
              <w:rPr>
                <w:rFonts w:hint="eastAsia" w:ascii="宋体" w:hAnsi="宋体"/>
                <w:sz w:val="21"/>
                <w:szCs w:val="21"/>
              </w:rPr>
              <w:t>安全设施和设备清单</w:t>
            </w:r>
          </w:p>
        </w:tc>
        <w:tc>
          <w:tcPr>
            <w:tcW w:w="2841" w:type="dxa"/>
            <w:vAlign w:val="center"/>
          </w:tcPr>
          <w:p w14:paraId="2C2EDFF7">
            <w:pPr>
              <w:snapToGrid w:val="0"/>
              <w:spacing w:line="300" w:lineRule="exact"/>
              <w:rPr>
                <w:rFonts w:ascii="宋体" w:hAnsi="宋体"/>
                <w:sz w:val="21"/>
                <w:szCs w:val="21"/>
              </w:rPr>
            </w:pPr>
            <w:r>
              <w:rPr>
                <w:rFonts w:hint="eastAsia" w:ascii="宋体" w:hAnsi="宋体"/>
                <w:sz w:val="21"/>
                <w:szCs w:val="21"/>
              </w:rPr>
              <w:t>已提供</w:t>
            </w:r>
          </w:p>
        </w:tc>
        <w:tc>
          <w:tcPr>
            <w:tcW w:w="1035" w:type="dxa"/>
            <w:vAlign w:val="center"/>
          </w:tcPr>
          <w:p w14:paraId="74E99397">
            <w:pPr>
              <w:adjustRightInd w:val="0"/>
              <w:snapToGrid w:val="0"/>
              <w:spacing w:line="300" w:lineRule="exact"/>
              <w:ind w:left="0" w:leftChars="0" w:firstLine="0" w:firstLineChars="0"/>
              <w:jc w:val="both"/>
              <w:rPr>
                <w:rFonts w:ascii="宋体" w:hAnsi="宋体"/>
                <w:sz w:val="21"/>
                <w:szCs w:val="21"/>
              </w:rPr>
            </w:pPr>
            <w:r>
              <w:rPr>
                <w:rFonts w:hint="eastAsia" w:ascii="宋体" w:hAnsi="宋体"/>
                <w:sz w:val="21"/>
                <w:szCs w:val="21"/>
              </w:rPr>
              <w:t>符合要求</w:t>
            </w:r>
          </w:p>
        </w:tc>
      </w:tr>
      <w:tr w14:paraId="14E2A2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459" w:type="dxa"/>
            <w:vMerge w:val="continue"/>
            <w:vAlign w:val="center"/>
          </w:tcPr>
          <w:p w14:paraId="669A1C91">
            <w:pPr>
              <w:snapToGrid w:val="0"/>
              <w:spacing w:line="300" w:lineRule="exact"/>
              <w:jc w:val="center"/>
              <w:rPr>
                <w:rFonts w:ascii="宋体" w:hAnsi="宋体"/>
                <w:sz w:val="21"/>
                <w:szCs w:val="21"/>
              </w:rPr>
            </w:pPr>
          </w:p>
        </w:tc>
        <w:tc>
          <w:tcPr>
            <w:tcW w:w="469" w:type="dxa"/>
            <w:vMerge w:val="continue"/>
            <w:vAlign w:val="center"/>
          </w:tcPr>
          <w:p w14:paraId="0224C1EA">
            <w:pPr>
              <w:snapToGrid w:val="0"/>
              <w:spacing w:line="300" w:lineRule="exact"/>
              <w:jc w:val="center"/>
              <w:rPr>
                <w:rFonts w:ascii="宋体" w:hAnsi="宋体"/>
                <w:sz w:val="21"/>
                <w:szCs w:val="21"/>
              </w:rPr>
            </w:pPr>
          </w:p>
        </w:tc>
        <w:tc>
          <w:tcPr>
            <w:tcW w:w="4154" w:type="dxa"/>
            <w:gridSpan w:val="2"/>
            <w:vAlign w:val="center"/>
          </w:tcPr>
          <w:p w14:paraId="4AF4709D">
            <w:pPr>
              <w:snapToGrid w:val="0"/>
              <w:spacing w:line="300" w:lineRule="exact"/>
              <w:rPr>
                <w:rFonts w:ascii="宋体" w:hAnsi="宋体"/>
                <w:sz w:val="21"/>
                <w:szCs w:val="21"/>
              </w:rPr>
            </w:pPr>
            <w:r>
              <w:rPr>
                <w:rFonts w:hint="eastAsia" w:ascii="宋体" w:hAnsi="宋体"/>
                <w:sz w:val="21"/>
                <w:szCs w:val="21"/>
              </w:rPr>
              <w:t>消防设施和设备清单</w:t>
            </w:r>
          </w:p>
        </w:tc>
        <w:tc>
          <w:tcPr>
            <w:tcW w:w="2841" w:type="dxa"/>
            <w:vAlign w:val="center"/>
          </w:tcPr>
          <w:p w14:paraId="6AB78760">
            <w:pPr>
              <w:snapToGrid w:val="0"/>
              <w:spacing w:line="300" w:lineRule="exact"/>
              <w:rPr>
                <w:rFonts w:ascii="宋体" w:hAnsi="宋体"/>
                <w:sz w:val="21"/>
                <w:szCs w:val="21"/>
              </w:rPr>
            </w:pPr>
            <w:r>
              <w:rPr>
                <w:rFonts w:hint="eastAsia" w:ascii="宋体" w:hAnsi="宋体"/>
                <w:sz w:val="21"/>
                <w:szCs w:val="21"/>
              </w:rPr>
              <w:t>已提供</w:t>
            </w:r>
          </w:p>
        </w:tc>
        <w:tc>
          <w:tcPr>
            <w:tcW w:w="1035" w:type="dxa"/>
            <w:vAlign w:val="center"/>
          </w:tcPr>
          <w:p w14:paraId="102D1DD0">
            <w:pPr>
              <w:adjustRightInd w:val="0"/>
              <w:snapToGrid w:val="0"/>
              <w:spacing w:line="300" w:lineRule="exact"/>
              <w:ind w:left="0" w:leftChars="0" w:firstLine="0" w:firstLineChars="0"/>
              <w:jc w:val="both"/>
              <w:rPr>
                <w:rFonts w:ascii="宋体" w:hAnsi="宋体"/>
                <w:sz w:val="21"/>
                <w:szCs w:val="21"/>
              </w:rPr>
            </w:pPr>
            <w:r>
              <w:rPr>
                <w:rFonts w:hint="eastAsia" w:ascii="宋体" w:hAnsi="宋体"/>
                <w:sz w:val="21"/>
                <w:szCs w:val="21"/>
              </w:rPr>
              <w:t>符合要求</w:t>
            </w:r>
          </w:p>
        </w:tc>
      </w:tr>
      <w:tr w14:paraId="05F404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459" w:type="dxa"/>
            <w:vMerge w:val="continue"/>
            <w:vAlign w:val="center"/>
          </w:tcPr>
          <w:p w14:paraId="2155FEAB">
            <w:pPr>
              <w:snapToGrid w:val="0"/>
              <w:spacing w:line="300" w:lineRule="exact"/>
              <w:jc w:val="center"/>
              <w:rPr>
                <w:rFonts w:ascii="宋体" w:hAnsi="宋体"/>
                <w:sz w:val="21"/>
                <w:szCs w:val="21"/>
              </w:rPr>
            </w:pPr>
          </w:p>
        </w:tc>
        <w:tc>
          <w:tcPr>
            <w:tcW w:w="469" w:type="dxa"/>
            <w:vMerge w:val="continue"/>
            <w:vAlign w:val="center"/>
          </w:tcPr>
          <w:p w14:paraId="74F38317">
            <w:pPr>
              <w:snapToGrid w:val="0"/>
              <w:spacing w:line="300" w:lineRule="exact"/>
              <w:jc w:val="center"/>
              <w:rPr>
                <w:rFonts w:ascii="宋体" w:hAnsi="宋体"/>
                <w:sz w:val="21"/>
                <w:szCs w:val="21"/>
              </w:rPr>
            </w:pPr>
          </w:p>
        </w:tc>
        <w:tc>
          <w:tcPr>
            <w:tcW w:w="4154" w:type="dxa"/>
            <w:gridSpan w:val="2"/>
            <w:vAlign w:val="center"/>
          </w:tcPr>
          <w:p w14:paraId="7C6207E1">
            <w:pPr>
              <w:snapToGrid w:val="0"/>
              <w:spacing w:line="300" w:lineRule="exact"/>
              <w:rPr>
                <w:rFonts w:ascii="宋体" w:hAnsi="宋体"/>
                <w:sz w:val="21"/>
                <w:szCs w:val="21"/>
              </w:rPr>
            </w:pPr>
            <w:r>
              <w:rPr>
                <w:rFonts w:hint="eastAsia" w:ascii="宋体" w:hAnsi="宋体"/>
                <w:sz w:val="21"/>
                <w:szCs w:val="21"/>
              </w:rPr>
              <w:t>主要生产设施和设备检测合格证明</w:t>
            </w:r>
          </w:p>
        </w:tc>
        <w:tc>
          <w:tcPr>
            <w:tcW w:w="2841" w:type="dxa"/>
            <w:vAlign w:val="center"/>
          </w:tcPr>
          <w:p w14:paraId="0A954FA5">
            <w:pPr>
              <w:snapToGrid w:val="0"/>
              <w:spacing w:line="300" w:lineRule="exact"/>
              <w:ind w:left="0" w:leftChars="0" w:firstLine="0" w:firstLineChars="0"/>
              <w:rPr>
                <w:rFonts w:hint="eastAsia" w:ascii="宋体" w:hAnsi="宋体" w:eastAsia="宋体"/>
                <w:sz w:val="21"/>
                <w:szCs w:val="21"/>
                <w:lang w:eastAsia="zh-CN"/>
              </w:rPr>
            </w:pPr>
            <w:r>
              <w:rPr>
                <w:rFonts w:hint="eastAsia" w:ascii="宋体" w:hAnsi="宋体"/>
                <w:sz w:val="21"/>
                <w:szCs w:val="21"/>
              </w:rPr>
              <w:t>提供有雷电</w:t>
            </w:r>
            <w:r>
              <w:rPr>
                <w:rFonts w:hint="eastAsia" w:ascii="宋体" w:hAnsi="宋体"/>
                <w:sz w:val="21"/>
                <w:szCs w:val="21"/>
                <w:lang w:eastAsia="zh-CN"/>
              </w:rPr>
              <w:t>、</w:t>
            </w:r>
            <w:r>
              <w:rPr>
                <w:rFonts w:hint="eastAsia" w:ascii="宋体" w:hAnsi="宋体"/>
                <w:sz w:val="21"/>
                <w:szCs w:val="21"/>
                <w:lang w:val="en-US" w:eastAsia="zh-CN"/>
              </w:rPr>
              <w:t>静电</w:t>
            </w:r>
            <w:r>
              <w:rPr>
                <w:rFonts w:hint="eastAsia" w:ascii="宋体" w:hAnsi="宋体"/>
                <w:sz w:val="21"/>
                <w:szCs w:val="21"/>
              </w:rPr>
              <w:t>防护装置检测报告等</w:t>
            </w:r>
            <w:r>
              <w:rPr>
                <w:rFonts w:hint="eastAsia" w:ascii="宋体" w:hAnsi="宋体"/>
                <w:sz w:val="21"/>
                <w:szCs w:val="21"/>
                <w:lang w:eastAsia="zh-CN"/>
              </w:rPr>
              <w:t>。</w:t>
            </w:r>
          </w:p>
        </w:tc>
        <w:tc>
          <w:tcPr>
            <w:tcW w:w="1035" w:type="dxa"/>
            <w:vAlign w:val="center"/>
          </w:tcPr>
          <w:p w14:paraId="2E2CC41F">
            <w:pPr>
              <w:adjustRightInd w:val="0"/>
              <w:snapToGrid w:val="0"/>
              <w:spacing w:line="300" w:lineRule="exact"/>
              <w:ind w:left="0" w:leftChars="0" w:firstLine="0" w:firstLineChars="0"/>
              <w:jc w:val="both"/>
              <w:rPr>
                <w:rFonts w:ascii="宋体" w:hAnsi="宋体"/>
                <w:sz w:val="21"/>
                <w:szCs w:val="21"/>
              </w:rPr>
            </w:pPr>
            <w:r>
              <w:rPr>
                <w:rFonts w:hint="eastAsia" w:ascii="宋体" w:hAnsi="宋体"/>
                <w:sz w:val="21"/>
                <w:szCs w:val="21"/>
              </w:rPr>
              <w:t>符合要求</w:t>
            </w:r>
          </w:p>
        </w:tc>
      </w:tr>
      <w:tr w14:paraId="202F65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459" w:type="dxa"/>
            <w:vMerge w:val="continue"/>
            <w:vAlign w:val="center"/>
          </w:tcPr>
          <w:p w14:paraId="7567C972">
            <w:pPr>
              <w:snapToGrid w:val="0"/>
              <w:spacing w:line="300" w:lineRule="exact"/>
              <w:jc w:val="center"/>
              <w:rPr>
                <w:rFonts w:ascii="宋体" w:hAnsi="宋体"/>
                <w:sz w:val="21"/>
                <w:szCs w:val="21"/>
              </w:rPr>
            </w:pPr>
          </w:p>
        </w:tc>
        <w:tc>
          <w:tcPr>
            <w:tcW w:w="469" w:type="dxa"/>
            <w:vMerge w:val="continue"/>
            <w:vAlign w:val="center"/>
          </w:tcPr>
          <w:p w14:paraId="4C485A06">
            <w:pPr>
              <w:snapToGrid w:val="0"/>
              <w:spacing w:line="300" w:lineRule="exact"/>
              <w:jc w:val="center"/>
              <w:rPr>
                <w:rFonts w:ascii="宋体" w:hAnsi="宋体"/>
                <w:sz w:val="21"/>
                <w:szCs w:val="21"/>
              </w:rPr>
            </w:pPr>
          </w:p>
        </w:tc>
        <w:tc>
          <w:tcPr>
            <w:tcW w:w="4154" w:type="dxa"/>
            <w:gridSpan w:val="2"/>
            <w:vAlign w:val="center"/>
          </w:tcPr>
          <w:p w14:paraId="55D0ADF2">
            <w:pPr>
              <w:snapToGrid w:val="0"/>
              <w:spacing w:line="300" w:lineRule="exact"/>
              <w:rPr>
                <w:rFonts w:ascii="宋体" w:hAnsi="宋体"/>
                <w:sz w:val="21"/>
                <w:szCs w:val="21"/>
              </w:rPr>
            </w:pPr>
            <w:r>
              <w:rPr>
                <w:rFonts w:hint="eastAsia" w:ascii="宋体" w:hAnsi="宋体"/>
                <w:sz w:val="21"/>
                <w:szCs w:val="21"/>
              </w:rPr>
              <w:t>特种设备检测合格证明</w:t>
            </w:r>
          </w:p>
        </w:tc>
        <w:tc>
          <w:tcPr>
            <w:tcW w:w="2841" w:type="dxa"/>
            <w:vAlign w:val="center"/>
          </w:tcPr>
          <w:p w14:paraId="7E400E7B">
            <w:pPr>
              <w:snapToGrid w:val="0"/>
              <w:spacing w:line="300" w:lineRule="exact"/>
              <w:rPr>
                <w:rFonts w:ascii="宋体" w:hAnsi="宋体"/>
                <w:sz w:val="21"/>
                <w:szCs w:val="21"/>
              </w:rPr>
            </w:pPr>
            <w:r>
              <w:rPr>
                <w:rFonts w:hint="eastAsia" w:ascii="宋体" w:hAnsi="宋体"/>
                <w:sz w:val="21"/>
                <w:szCs w:val="21"/>
              </w:rPr>
              <w:t>无特种设备</w:t>
            </w:r>
          </w:p>
        </w:tc>
        <w:tc>
          <w:tcPr>
            <w:tcW w:w="1035" w:type="dxa"/>
            <w:vAlign w:val="center"/>
          </w:tcPr>
          <w:p w14:paraId="73C8C2CA">
            <w:pPr>
              <w:snapToGrid w:val="0"/>
              <w:spacing w:line="300" w:lineRule="exact"/>
              <w:ind w:left="0" w:leftChars="0" w:firstLine="0" w:firstLineChars="0"/>
              <w:jc w:val="both"/>
              <w:rPr>
                <w:rFonts w:ascii="宋体" w:hAnsi="宋体"/>
                <w:sz w:val="21"/>
                <w:szCs w:val="21"/>
              </w:rPr>
            </w:pPr>
            <w:r>
              <w:rPr>
                <w:rFonts w:hint="eastAsia" w:ascii="宋体" w:hAnsi="宋体"/>
                <w:sz w:val="21"/>
                <w:szCs w:val="21"/>
              </w:rPr>
              <w:t>——</w:t>
            </w:r>
          </w:p>
        </w:tc>
      </w:tr>
      <w:tr w14:paraId="7CECDD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459" w:type="dxa"/>
            <w:vMerge w:val="continue"/>
            <w:vAlign w:val="center"/>
          </w:tcPr>
          <w:p w14:paraId="32017086">
            <w:pPr>
              <w:snapToGrid w:val="0"/>
              <w:spacing w:line="300" w:lineRule="exact"/>
              <w:jc w:val="center"/>
              <w:rPr>
                <w:rFonts w:ascii="宋体" w:hAnsi="宋体"/>
                <w:sz w:val="21"/>
                <w:szCs w:val="21"/>
              </w:rPr>
            </w:pPr>
          </w:p>
        </w:tc>
        <w:tc>
          <w:tcPr>
            <w:tcW w:w="469" w:type="dxa"/>
            <w:vMerge w:val="continue"/>
            <w:vAlign w:val="center"/>
          </w:tcPr>
          <w:p w14:paraId="5687AAA5">
            <w:pPr>
              <w:snapToGrid w:val="0"/>
              <w:spacing w:line="300" w:lineRule="exact"/>
              <w:jc w:val="center"/>
              <w:rPr>
                <w:rFonts w:ascii="宋体" w:hAnsi="宋体"/>
                <w:sz w:val="21"/>
                <w:szCs w:val="21"/>
              </w:rPr>
            </w:pPr>
          </w:p>
        </w:tc>
        <w:tc>
          <w:tcPr>
            <w:tcW w:w="4154" w:type="dxa"/>
            <w:gridSpan w:val="2"/>
            <w:vAlign w:val="center"/>
          </w:tcPr>
          <w:p w14:paraId="53F409AA">
            <w:pPr>
              <w:snapToGrid w:val="0"/>
              <w:spacing w:line="300" w:lineRule="exact"/>
              <w:rPr>
                <w:rFonts w:ascii="宋体" w:hAnsi="宋体"/>
                <w:sz w:val="21"/>
                <w:szCs w:val="21"/>
              </w:rPr>
            </w:pPr>
            <w:r>
              <w:rPr>
                <w:rFonts w:hint="eastAsia" w:ascii="宋体" w:hAnsi="宋体"/>
                <w:sz w:val="21"/>
                <w:szCs w:val="21"/>
              </w:rPr>
              <w:t>配送运输车辆情况</w:t>
            </w:r>
          </w:p>
        </w:tc>
        <w:tc>
          <w:tcPr>
            <w:tcW w:w="2841" w:type="dxa"/>
            <w:vAlign w:val="center"/>
          </w:tcPr>
          <w:p w14:paraId="0DE1C6D3">
            <w:pPr>
              <w:snapToGrid w:val="0"/>
              <w:spacing w:line="300" w:lineRule="exact"/>
              <w:ind w:left="0" w:leftChars="0" w:firstLine="0" w:firstLineChars="0"/>
              <w:rPr>
                <w:rFonts w:ascii="宋体" w:hAnsi="宋体"/>
                <w:sz w:val="21"/>
                <w:szCs w:val="21"/>
              </w:rPr>
            </w:pPr>
            <w:r>
              <w:rPr>
                <w:rFonts w:hint="eastAsia" w:ascii="宋体" w:hAnsi="宋体"/>
                <w:sz w:val="21"/>
                <w:szCs w:val="21"/>
              </w:rPr>
              <w:t>有相关手续和资质证明</w:t>
            </w:r>
          </w:p>
        </w:tc>
        <w:tc>
          <w:tcPr>
            <w:tcW w:w="1035" w:type="dxa"/>
            <w:vAlign w:val="center"/>
          </w:tcPr>
          <w:p w14:paraId="177181AD">
            <w:pPr>
              <w:snapToGrid w:val="0"/>
              <w:spacing w:line="300" w:lineRule="exact"/>
              <w:ind w:left="0" w:leftChars="0" w:firstLine="0" w:firstLineChars="0"/>
              <w:jc w:val="both"/>
              <w:rPr>
                <w:rFonts w:ascii="宋体" w:hAnsi="宋体"/>
                <w:sz w:val="21"/>
                <w:szCs w:val="21"/>
              </w:rPr>
            </w:pPr>
            <w:r>
              <w:rPr>
                <w:rFonts w:hint="eastAsia" w:ascii="宋体" w:hAnsi="宋体"/>
                <w:sz w:val="21"/>
                <w:szCs w:val="21"/>
              </w:rPr>
              <w:t>符合要求</w:t>
            </w:r>
          </w:p>
        </w:tc>
      </w:tr>
      <w:tr w14:paraId="2D8897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3913" w:type="dxa"/>
            <w:gridSpan w:val="3"/>
            <w:vAlign w:val="center"/>
          </w:tcPr>
          <w:p w14:paraId="43FB6813">
            <w:pPr>
              <w:snapToGrid w:val="0"/>
              <w:spacing w:line="300" w:lineRule="exact"/>
              <w:jc w:val="center"/>
              <w:rPr>
                <w:rFonts w:ascii="宋体" w:hAnsi="宋体"/>
                <w:sz w:val="21"/>
                <w:szCs w:val="21"/>
              </w:rPr>
            </w:pPr>
            <w:r>
              <w:rPr>
                <w:rFonts w:hint="eastAsia" w:ascii="宋体" w:hAnsi="宋体"/>
                <w:sz w:val="21"/>
                <w:szCs w:val="21"/>
              </w:rPr>
              <w:t>资料审查结论意见</w:t>
            </w:r>
          </w:p>
        </w:tc>
        <w:tc>
          <w:tcPr>
            <w:tcW w:w="5045" w:type="dxa"/>
            <w:gridSpan w:val="3"/>
            <w:vAlign w:val="center"/>
          </w:tcPr>
          <w:p w14:paraId="0E73267A">
            <w:pPr>
              <w:snapToGrid w:val="0"/>
              <w:spacing w:line="300" w:lineRule="exact"/>
              <w:jc w:val="center"/>
              <w:rPr>
                <w:rFonts w:ascii="宋体" w:hAnsi="宋体"/>
                <w:sz w:val="21"/>
                <w:szCs w:val="21"/>
              </w:rPr>
            </w:pPr>
            <w:r>
              <w:rPr>
                <w:rFonts w:hint="eastAsia" w:ascii="宋体" w:hAnsi="宋体"/>
                <w:sz w:val="21"/>
                <w:szCs w:val="21"/>
              </w:rPr>
              <w:t>该单元符合要求</w:t>
            </w:r>
          </w:p>
        </w:tc>
      </w:tr>
    </w:tbl>
    <w:p w14:paraId="57A6EECB">
      <w:pPr>
        <w:spacing w:before="219" w:line="220" w:lineRule="auto"/>
        <w:ind w:left="456"/>
        <w:rPr>
          <w:rFonts w:ascii="宋体" w:hAnsi="宋体" w:eastAsia="宋体" w:cs="宋体"/>
          <w:sz w:val="21"/>
          <w:szCs w:val="21"/>
        </w:rPr>
      </w:pPr>
      <w:r>
        <w:rPr>
          <w:rFonts w:ascii="宋体" w:hAnsi="宋体" w:eastAsia="宋体" w:cs="宋体"/>
          <w:sz w:val="21"/>
          <w:szCs w:val="21"/>
        </w:rPr>
        <w:t>注：1、本表所列的审核和检查项目，全部合格，符合</w:t>
      </w:r>
      <w:r>
        <w:rPr>
          <w:rFonts w:ascii="宋体" w:hAnsi="宋体" w:eastAsia="宋体" w:cs="宋体"/>
          <w:spacing w:val="-1"/>
          <w:sz w:val="21"/>
          <w:szCs w:val="21"/>
        </w:rPr>
        <w:t>安全条件；</w:t>
      </w:r>
    </w:p>
    <w:p w14:paraId="174E5D68">
      <w:pPr>
        <w:bidi w:val="0"/>
        <w:jc w:val="center"/>
        <w:rPr>
          <w:rFonts w:hint="eastAsia"/>
          <w:sz w:val="21"/>
          <w:szCs w:val="21"/>
        </w:rPr>
      </w:pPr>
      <w:r>
        <w:rPr>
          <w:rFonts w:ascii="宋体" w:hAnsi="宋体" w:eastAsia="宋体" w:cs="宋体"/>
          <w:sz w:val="21"/>
          <w:szCs w:val="21"/>
        </w:rPr>
        <w:t>2、本表所列的审核和检查项目，有一项不合格的</w:t>
      </w:r>
      <w:r>
        <w:rPr>
          <w:rFonts w:ascii="宋体" w:hAnsi="宋体" w:eastAsia="宋体" w:cs="宋体"/>
          <w:spacing w:val="-1"/>
          <w:sz w:val="21"/>
          <w:szCs w:val="21"/>
        </w:rPr>
        <w:t>，不符合安全条件。</w:t>
      </w:r>
    </w:p>
    <w:p w14:paraId="5CEFEBA4">
      <w:pPr>
        <w:pStyle w:val="3"/>
        <w:bidi w:val="0"/>
        <w:ind w:left="0" w:leftChars="0" w:firstLine="0" w:firstLineChars="0"/>
        <w:rPr>
          <w:rFonts w:hint="eastAsia"/>
        </w:rPr>
      </w:pPr>
      <w:bookmarkStart w:id="128" w:name="_Toc15899"/>
      <w:bookmarkStart w:id="129" w:name="_Toc1375"/>
      <w:r>
        <w:rPr>
          <w:rFonts w:hint="eastAsia"/>
        </w:rPr>
        <w:t>5.2 总体布局和条件设施单元安全评价</w:t>
      </w:r>
      <w:bookmarkEnd w:id="128"/>
      <w:bookmarkEnd w:id="129"/>
    </w:p>
    <w:p w14:paraId="59D3A09A">
      <w:pPr>
        <w:bidi w:val="0"/>
        <w:rPr>
          <w:rFonts w:ascii="宋体" w:hAnsi="宋体"/>
          <w:szCs w:val="28"/>
        </w:rPr>
      </w:pPr>
      <w:r>
        <w:rPr>
          <w:rFonts w:hint="eastAsia"/>
        </w:rPr>
        <w:t>根据《烟花爆竹企业安全评价规范》（AQ4113-2008）《表 B.2 烟花爆竹批发经营企业安全评价总体布局和条件设施现场检查表》对仓库选址及总体布局单元检查评价，评价过程见下表。</w:t>
      </w:r>
    </w:p>
    <w:p w14:paraId="60CBCE71">
      <w:pPr>
        <w:spacing w:line="360" w:lineRule="auto"/>
        <w:ind w:firstLine="606" w:firstLineChars="200"/>
        <w:rPr>
          <w:rFonts w:ascii="宋体" w:hAnsi="宋体"/>
          <w:sz w:val="28"/>
          <w:szCs w:val="28"/>
        </w:rPr>
      </w:pPr>
    </w:p>
    <w:tbl>
      <w:tblPr>
        <w:tblStyle w:val="41"/>
        <w:tblW w:w="8997"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564"/>
        <w:gridCol w:w="482"/>
        <w:gridCol w:w="2038"/>
        <w:gridCol w:w="4843"/>
        <w:gridCol w:w="1070"/>
      </w:tblGrid>
      <w:tr w14:paraId="065D1C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78" w:hRule="atLeast"/>
          <w:tblHeader/>
        </w:trPr>
        <w:tc>
          <w:tcPr>
            <w:tcW w:w="564" w:type="dxa"/>
            <w:tcMar>
              <w:top w:w="57" w:type="dxa"/>
              <w:left w:w="57" w:type="dxa"/>
              <w:bottom w:w="57" w:type="dxa"/>
              <w:right w:w="57" w:type="dxa"/>
            </w:tcMar>
            <w:vAlign w:val="center"/>
          </w:tcPr>
          <w:p w14:paraId="50DA60A7">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0" w:firstLineChars="0"/>
              <w:jc w:val="center"/>
              <w:textAlignment w:val="auto"/>
              <w:rPr>
                <w:rFonts w:hint="eastAsia" w:ascii="宋体" w:hAnsi="宋体" w:eastAsia="宋体" w:cs="宋体"/>
                <w:b/>
                <w:sz w:val="21"/>
                <w:szCs w:val="21"/>
              </w:rPr>
            </w:pPr>
            <w:r>
              <w:rPr>
                <w:rFonts w:hint="eastAsia" w:ascii="宋体" w:hAnsi="宋体" w:eastAsia="宋体" w:cs="宋体"/>
                <w:b/>
                <w:sz w:val="21"/>
                <w:szCs w:val="21"/>
              </w:rPr>
              <w:t>序号</w:t>
            </w:r>
          </w:p>
        </w:tc>
        <w:tc>
          <w:tcPr>
            <w:tcW w:w="482" w:type="dxa"/>
            <w:tcMar>
              <w:top w:w="57" w:type="dxa"/>
              <w:left w:w="57" w:type="dxa"/>
              <w:bottom w:w="57" w:type="dxa"/>
              <w:right w:w="57" w:type="dxa"/>
            </w:tcMar>
            <w:vAlign w:val="center"/>
          </w:tcPr>
          <w:p w14:paraId="6AC47977">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0" w:firstLineChars="0"/>
              <w:jc w:val="center"/>
              <w:textAlignment w:val="auto"/>
              <w:rPr>
                <w:rFonts w:hint="eastAsia" w:ascii="宋体" w:hAnsi="宋体" w:eastAsia="宋体" w:cs="宋体"/>
                <w:b/>
                <w:sz w:val="21"/>
                <w:szCs w:val="21"/>
              </w:rPr>
            </w:pPr>
            <w:r>
              <w:rPr>
                <w:rFonts w:hint="eastAsia" w:ascii="宋体" w:hAnsi="宋体" w:eastAsia="宋体" w:cs="宋体"/>
                <w:b/>
                <w:sz w:val="21"/>
                <w:szCs w:val="21"/>
              </w:rPr>
              <w:t>项目</w:t>
            </w:r>
          </w:p>
        </w:tc>
        <w:tc>
          <w:tcPr>
            <w:tcW w:w="2038" w:type="dxa"/>
            <w:tcMar>
              <w:top w:w="57" w:type="dxa"/>
              <w:left w:w="57" w:type="dxa"/>
              <w:bottom w:w="57" w:type="dxa"/>
              <w:right w:w="57" w:type="dxa"/>
            </w:tcMar>
            <w:vAlign w:val="center"/>
          </w:tcPr>
          <w:p w14:paraId="5C3717C4">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0" w:firstLineChars="0"/>
              <w:jc w:val="center"/>
              <w:textAlignment w:val="auto"/>
              <w:rPr>
                <w:rFonts w:hint="eastAsia" w:ascii="宋体" w:hAnsi="宋体" w:eastAsia="宋体" w:cs="宋体"/>
                <w:b/>
                <w:sz w:val="21"/>
                <w:szCs w:val="21"/>
              </w:rPr>
            </w:pPr>
            <w:r>
              <w:rPr>
                <w:rFonts w:hint="eastAsia" w:ascii="宋体" w:hAnsi="宋体" w:eastAsia="宋体" w:cs="宋体"/>
                <w:b/>
                <w:sz w:val="21"/>
                <w:szCs w:val="21"/>
              </w:rPr>
              <w:t>检查项目</w:t>
            </w:r>
          </w:p>
        </w:tc>
        <w:tc>
          <w:tcPr>
            <w:tcW w:w="4843" w:type="dxa"/>
            <w:tcMar>
              <w:top w:w="57" w:type="dxa"/>
              <w:left w:w="57" w:type="dxa"/>
              <w:bottom w:w="57" w:type="dxa"/>
              <w:right w:w="57" w:type="dxa"/>
            </w:tcMar>
            <w:vAlign w:val="center"/>
          </w:tcPr>
          <w:p w14:paraId="282DDD23">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0" w:firstLineChars="0"/>
              <w:jc w:val="center"/>
              <w:textAlignment w:val="auto"/>
              <w:rPr>
                <w:rFonts w:hint="eastAsia" w:ascii="宋体" w:hAnsi="宋体" w:eastAsia="宋体" w:cs="宋体"/>
                <w:b/>
                <w:sz w:val="21"/>
                <w:szCs w:val="21"/>
              </w:rPr>
            </w:pPr>
            <w:r>
              <w:rPr>
                <w:rFonts w:hint="eastAsia" w:ascii="宋体" w:hAnsi="宋体" w:eastAsia="宋体" w:cs="宋体"/>
                <w:b/>
                <w:sz w:val="21"/>
                <w:szCs w:val="21"/>
              </w:rPr>
              <w:t>实际情况</w:t>
            </w:r>
          </w:p>
        </w:tc>
        <w:tc>
          <w:tcPr>
            <w:tcW w:w="1070" w:type="dxa"/>
            <w:tcMar>
              <w:top w:w="57" w:type="dxa"/>
              <w:left w:w="57" w:type="dxa"/>
              <w:bottom w:w="57" w:type="dxa"/>
              <w:right w:w="57" w:type="dxa"/>
            </w:tcMar>
            <w:vAlign w:val="center"/>
          </w:tcPr>
          <w:p w14:paraId="4DB45FB4">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0" w:firstLineChars="0"/>
              <w:jc w:val="center"/>
              <w:textAlignment w:val="auto"/>
              <w:rPr>
                <w:rFonts w:hint="eastAsia" w:ascii="宋体" w:hAnsi="宋体" w:eastAsia="宋体" w:cs="宋体"/>
                <w:b/>
                <w:sz w:val="21"/>
                <w:szCs w:val="21"/>
              </w:rPr>
            </w:pPr>
            <w:r>
              <w:rPr>
                <w:rFonts w:hint="eastAsia" w:ascii="宋体" w:hAnsi="宋体" w:eastAsia="宋体" w:cs="宋体"/>
                <w:b/>
                <w:sz w:val="21"/>
                <w:szCs w:val="21"/>
              </w:rPr>
              <w:t>检查结论</w:t>
            </w:r>
          </w:p>
        </w:tc>
      </w:tr>
      <w:tr w14:paraId="46F52B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769" w:hRule="atLeast"/>
        </w:trPr>
        <w:tc>
          <w:tcPr>
            <w:tcW w:w="564" w:type="dxa"/>
            <w:vMerge w:val="restart"/>
            <w:tcMar>
              <w:top w:w="57" w:type="dxa"/>
              <w:left w:w="57" w:type="dxa"/>
              <w:bottom w:w="57" w:type="dxa"/>
              <w:right w:w="57" w:type="dxa"/>
            </w:tcMar>
            <w:vAlign w:val="center"/>
          </w:tcPr>
          <w:p w14:paraId="608A7A7B">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482" w:type="dxa"/>
            <w:vMerge w:val="restart"/>
            <w:tcMar>
              <w:top w:w="57" w:type="dxa"/>
              <w:left w:w="57" w:type="dxa"/>
              <w:bottom w:w="57" w:type="dxa"/>
              <w:right w:w="57" w:type="dxa"/>
            </w:tcMar>
            <w:vAlign w:val="center"/>
          </w:tcPr>
          <w:p w14:paraId="03B67E71">
            <w:pPr>
              <w:keepNext w:val="0"/>
              <w:keepLines w:val="0"/>
              <w:pageBreakBefore w:val="0"/>
              <w:widowControl w:val="0"/>
              <w:kinsoku/>
              <w:wordWrap/>
              <w:overflowPunct/>
              <w:topLinePunct w:val="0"/>
              <w:autoSpaceDE/>
              <w:autoSpaceDN/>
              <w:bidi w:val="0"/>
              <w:adjustRightInd w:val="0"/>
              <w:snapToGrid w:val="0"/>
              <w:spacing w:line="240" w:lineRule="exact"/>
              <w:ind w:left="0" w:leftChars="0" w:right="151" w:rightChars="5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规划</w:t>
            </w:r>
          </w:p>
        </w:tc>
        <w:tc>
          <w:tcPr>
            <w:tcW w:w="2038" w:type="dxa"/>
            <w:tcMar>
              <w:top w:w="57" w:type="dxa"/>
              <w:left w:w="57" w:type="dxa"/>
              <w:bottom w:w="57" w:type="dxa"/>
              <w:right w:w="57" w:type="dxa"/>
            </w:tcMar>
            <w:vAlign w:val="center"/>
          </w:tcPr>
          <w:p w14:paraId="690A05D9">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选址</w:t>
            </w:r>
          </w:p>
        </w:tc>
        <w:tc>
          <w:tcPr>
            <w:tcW w:w="4843" w:type="dxa"/>
            <w:tcMar>
              <w:top w:w="57" w:type="dxa"/>
              <w:left w:w="57" w:type="dxa"/>
              <w:bottom w:w="57" w:type="dxa"/>
              <w:right w:w="57" w:type="dxa"/>
            </w:tcMar>
            <w:vAlign w:val="center"/>
          </w:tcPr>
          <w:p w14:paraId="1D95F4A9">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0" w:firstLineChars="0"/>
              <w:jc w:val="both"/>
              <w:textAlignment w:val="auto"/>
              <w:rPr>
                <w:rFonts w:hint="eastAsia" w:ascii="宋体" w:hAnsi="宋体" w:eastAsia="宋体" w:cs="宋体"/>
                <w:sz w:val="21"/>
                <w:szCs w:val="21"/>
              </w:rPr>
            </w:pPr>
            <w:r>
              <w:rPr>
                <w:rFonts w:hint="eastAsia" w:ascii="宋体" w:hAnsi="宋体" w:eastAsia="宋体"/>
                <w:sz w:val="21"/>
                <w:szCs w:val="21"/>
              </w:rPr>
              <w:t>选址不在城镇规划区域内，周边无学校、工业区、旅游区、重点建筑物、铁路和公路运输线</w:t>
            </w:r>
            <w:r>
              <w:rPr>
                <w:rFonts w:hint="eastAsia" w:ascii="宋体" w:hAnsi="宋体" w:eastAsia="宋体"/>
                <w:sz w:val="21"/>
                <w:szCs w:val="21"/>
                <w:lang w:eastAsia="zh-CN"/>
              </w:rPr>
              <w:t>、</w:t>
            </w:r>
            <w:r>
              <w:rPr>
                <w:rFonts w:hint="eastAsia" w:ascii="宋体" w:hAnsi="宋体" w:eastAsia="宋体"/>
                <w:sz w:val="21"/>
                <w:szCs w:val="21"/>
                <w:lang w:val="en-US" w:eastAsia="zh-CN"/>
              </w:rPr>
              <w:t>高压输电线路</w:t>
            </w:r>
            <w:r>
              <w:rPr>
                <w:rFonts w:hint="eastAsia" w:ascii="宋体" w:hAnsi="宋体" w:eastAsia="宋体"/>
                <w:sz w:val="21"/>
                <w:szCs w:val="21"/>
              </w:rPr>
              <w:t>等，能满足安全要求。</w:t>
            </w:r>
          </w:p>
        </w:tc>
        <w:tc>
          <w:tcPr>
            <w:tcW w:w="1070" w:type="dxa"/>
            <w:tcMar>
              <w:top w:w="57" w:type="dxa"/>
              <w:left w:w="57" w:type="dxa"/>
              <w:bottom w:w="57" w:type="dxa"/>
              <w:right w:w="57" w:type="dxa"/>
            </w:tcMar>
            <w:vAlign w:val="center"/>
          </w:tcPr>
          <w:p w14:paraId="7927CEAA">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符合要求</w:t>
            </w:r>
          </w:p>
        </w:tc>
      </w:tr>
      <w:tr w14:paraId="1B9CCC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769" w:hRule="atLeast"/>
        </w:trPr>
        <w:tc>
          <w:tcPr>
            <w:tcW w:w="564" w:type="dxa"/>
            <w:vMerge w:val="continue"/>
            <w:tcMar>
              <w:top w:w="57" w:type="dxa"/>
              <w:left w:w="57" w:type="dxa"/>
              <w:bottom w:w="57" w:type="dxa"/>
              <w:right w:w="57" w:type="dxa"/>
            </w:tcMar>
            <w:vAlign w:val="center"/>
          </w:tcPr>
          <w:p w14:paraId="5DD55DA6">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sz w:val="21"/>
                <w:szCs w:val="21"/>
              </w:rPr>
            </w:pPr>
          </w:p>
        </w:tc>
        <w:tc>
          <w:tcPr>
            <w:tcW w:w="482" w:type="dxa"/>
            <w:vMerge w:val="continue"/>
            <w:tcMar>
              <w:top w:w="57" w:type="dxa"/>
              <w:left w:w="57" w:type="dxa"/>
              <w:bottom w:w="57" w:type="dxa"/>
              <w:right w:w="57" w:type="dxa"/>
            </w:tcMar>
            <w:vAlign w:val="center"/>
          </w:tcPr>
          <w:p w14:paraId="50B0AB5C">
            <w:pPr>
              <w:keepNext w:val="0"/>
              <w:keepLines w:val="0"/>
              <w:pageBreakBefore w:val="0"/>
              <w:widowControl w:val="0"/>
              <w:kinsoku/>
              <w:wordWrap/>
              <w:overflowPunct/>
              <w:topLinePunct w:val="0"/>
              <w:autoSpaceDE/>
              <w:autoSpaceDN/>
              <w:bidi w:val="0"/>
              <w:adjustRightInd w:val="0"/>
              <w:snapToGrid w:val="0"/>
              <w:spacing w:line="240" w:lineRule="exact"/>
              <w:ind w:left="151" w:leftChars="50" w:right="151" w:rightChars="50"/>
              <w:jc w:val="center"/>
              <w:textAlignment w:val="auto"/>
              <w:rPr>
                <w:rFonts w:hint="eastAsia" w:ascii="宋体" w:hAnsi="宋体" w:eastAsia="宋体" w:cs="宋体"/>
                <w:sz w:val="21"/>
                <w:szCs w:val="21"/>
              </w:rPr>
            </w:pPr>
          </w:p>
        </w:tc>
        <w:tc>
          <w:tcPr>
            <w:tcW w:w="2038" w:type="dxa"/>
            <w:tcMar>
              <w:top w:w="57" w:type="dxa"/>
              <w:left w:w="57" w:type="dxa"/>
              <w:bottom w:w="57" w:type="dxa"/>
              <w:right w:w="57" w:type="dxa"/>
            </w:tcMar>
            <w:vAlign w:val="center"/>
          </w:tcPr>
          <w:p w14:paraId="0CBD05D7">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围墙</w:t>
            </w:r>
          </w:p>
        </w:tc>
        <w:tc>
          <w:tcPr>
            <w:tcW w:w="4843" w:type="dxa"/>
            <w:tcMar>
              <w:top w:w="57" w:type="dxa"/>
              <w:left w:w="57" w:type="dxa"/>
              <w:bottom w:w="57" w:type="dxa"/>
              <w:right w:w="57" w:type="dxa"/>
            </w:tcMar>
            <w:vAlign w:val="center"/>
          </w:tcPr>
          <w:p w14:paraId="5608D34A">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0" w:firstLineChars="0"/>
              <w:jc w:val="both"/>
              <w:textAlignment w:val="auto"/>
              <w:rPr>
                <w:rFonts w:hint="eastAsia" w:ascii="宋体" w:hAnsi="宋体" w:eastAsia="宋体" w:cs="宋体"/>
                <w:sz w:val="21"/>
                <w:szCs w:val="21"/>
              </w:rPr>
            </w:pPr>
            <w:r>
              <w:rPr>
                <w:rFonts w:hint="eastAsia" w:ascii="宋体" w:hAnsi="宋体" w:eastAsia="宋体"/>
                <w:sz w:val="21"/>
                <w:szCs w:val="21"/>
              </w:rPr>
              <w:t>该公司所租赁仓库库区入口及平缓地段均设有砌体围墙，部分陡峭地段利用高山及铁丝网作为围墙，能保证无外来人员出入。</w:t>
            </w:r>
          </w:p>
        </w:tc>
        <w:tc>
          <w:tcPr>
            <w:tcW w:w="1070" w:type="dxa"/>
            <w:tcMar>
              <w:top w:w="57" w:type="dxa"/>
              <w:left w:w="57" w:type="dxa"/>
              <w:bottom w:w="57" w:type="dxa"/>
              <w:right w:w="57" w:type="dxa"/>
            </w:tcMar>
            <w:vAlign w:val="center"/>
          </w:tcPr>
          <w:p w14:paraId="604DE6FA">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符合要求</w:t>
            </w:r>
          </w:p>
        </w:tc>
      </w:tr>
      <w:tr w14:paraId="337E5F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1" w:hRule="atLeast"/>
        </w:trPr>
        <w:tc>
          <w:tcPr>
            <w:tcW w:w="564" w:type="dxa"/>
            <w:vMerge w:val="continue"/>
            <w:tcMar>
              <w:top w:w="57" w:type="dxa"/>
              <w:left w:w="57" w:type="dxa"/>
              <w:bottom w:w="57" w:type="dxa"/>
              <w:right w:w="57" w:type="dxa"/>
            </w:tcMar>
            <w:vAlign w:val="center"/>
          </w:tcPr>
          <w:p w14:paraId="5462A4AA">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sz w:val="21"/>
                <w:szCs w:val="21"/>
              </w:rPr>
            </w:pPr>
          </w:p>
        </w:tc>
        <w:tc>
          <w:tcPr>
            <w:tcW w:w="482" w:type="dxa"/>
            <w:vMerge w:val="continue"/>
            <w:tcMar>
              <w:top w:w="57" w:type="dxa"/>
              <w:left w:w="57" w:type="dxa"/>
              <w:bottom w:w="57" w:type="dxa"/>
              <w:right w:w="57" w:type="dxa"/>
            </w:tcMar>
            <w:vAlign w:val="center"/>
          </w:tcPr>
          <w:p w14:paraId="21F580F1">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sz w:val="21"/>
                <w:szCs w:val="21"/>
              </w:rPr>
            </w:pPr>
          </w:p>
        </w:tc>
        <w:tc>
          <w:tcPr>
            <w:tcW w:w="2038" w:type="dxa"/>
            <w:tcMar>
              <w:top w:w="57" w:type="dxa"/>
              <w:left w:w="57" w:type="dxa"/>
              <w:bottom w:w="57" w:type="dxa"/>
              <w:right w:w="57" w:type="dxa"/>
            </w:tcMar>
            <w:vAlign w:val="center"/>
          </w:tcPr>
          <w:p w14:paraId="1C0E638B">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功能分区</w:t>
            </w:r>
          </w:p>
        </w:tc>
        <w:tc>
          <w:tcPr>
            <w:tcW w:w="4843" w:type="dxa"/>
            <w:tcMar>
              <w:top w:w="57" w:type="dxa"/>
              <w:left w:w="57" w:type="dxa"/>
              <w:bottom w:w="57" w:type="dxa"/>
              <w:right w:w="57" w:type="dxa"/>
            </w:tcMar>
            <w:vAlign w:val="center"/>
          </w:tcPr>
          <w:p w14:paraId="6B613EAD">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0" w:firstLineChars="0"/>
              <w:jc w:val="both"/>
              <w:textAlignment w:val="auto"/>
              <w:rPr>
                <w:rFonts w:hint="eastAsia" w:ascii="宋体" w:hAnsi="宋体" w:eastAsia="宋体" w:cs="宋体"/>
                <w:sz w:val="21"/>
                <w:szCs w:val="21"/>
              </w:rPr>
            </w:pPr>
            <w:r>
              <w:rPr>
                <w:rFonts w:hint="eastAsia" w:ascii="宋体" w:hAnsi="宋体" w:eastAsia="宋体" w:cs="宋体"/>
                <w:sz w:val="21"/>
                <w:szCs w:val="21"/>
              </w:rPr>
              <w:t>分区合理。</w:t>
            </w:r>
          </w:p>
        </w:tc>
        <w:tc>
          <w:tcPr>
            <w:tcW w:w="1070" w:type="dxa"/>
            <w:tcMar>
              <w:top w:w="57" w:type="dxa"/>
              <w:left w:w="57" w:type="dxa"/>
              <w:bottom w:w="57" w:type="dxa"/>
              <w:right w:w="57" w:type="dxa"/>
            </w:tcMar>
            <w:vAlign w:val="center"/>
          </w:tcPr>
          <w:p w14:paraId="7894AA89">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符合要求</w:t>
            </w:r>
          </w:p>
        </w:tc>
      </w:tr>
      <w:tr w14:paraId="4DEE8B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1" w:hRule="atLeast"/>
        </w:trPr>
        <w:tc>
          <w:tcPr>
            <w:tcW w:w="564" w:type="dxa"/>
            <w:vMerge w:val="continue"/>
            <w:tcMar>
              <w:top w:w="57" w:type="dxa"/>
              <w:left w:w="57" w:type="dxa"/>
              <w:bottom w:w="57" w:type="dxa"/>
              <w:right w:w="57" w:type="dxa"/>
            </w:tcMar>
            <w:vAlign w:val="center"/>
          </w:tcPr>
          <w:p w14:paraId="42DFDEAB">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sz w:val="21"/>
                <w:szCs w:val="21"/>
              </w:rPr>
            </w:pPr>
          </w:p>
        </w:tc>
        <w:tc>
          <w:tcPr>
            <w:tcW w:w="482" w:type="dxa"/>
            <w:vMerge w:val="continue"/>
            <w:tcMar>
              <w:top w:w="57" w:type="dxa"/>
              <w:left w:w="57" w:type="dxa"/>
              <w:bottom w:w="57" w:type="dxa"/>
              <w:right w:w="57" w:type="dxa"/>
            </w:tcMar>
            <w:vAlign w:val="center"/>
          </w:tcPr>
          <w:p w14:paraId="0566A6A1">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sz w:val="21"/>
                <w:szCs w:val="21"/>
              </w:rPr>
            </w:pPr>
          </w:p>
        </w:tc>
        <w:tc>
          <w:tcPr>
            <w:tcW w:w="2038" w:type="dxa"/>
            <w:tcMar>
              <w:top w:w="57" w:type="dxa"/>
              <w:left w:w="57" w:type="dxa"/>
              <w:bottom w:w="57" w:type="dxa"/>
              <w:right w:w="57" w:type="dxa"/>
            </w:tcMar>
            <w:vAlign w:val="center"/>
          </w:tcPr>
          <w:p w14:paraId="7BAC3C20">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建筑物危险等级划分和布置</w:t>
            </w:r>
          </w:p>
        </w:tc>
        <w:tc>
          <w:tcPr>
            <w:tcW w:w="4843" w:type="dxa"/>
            <w:tcMar>
              <w:top w:w="57" w:type="dxa"/>
              <w:left w:w="57" w:type="dxa"/>
              <w:bottom w:w="57" w:type="dxa"/>
              <w:right w:w="57" w:type="dxa"/>
            </w:tcMar>
            <w:vAlign w:val="center"/>
          </w:tcPr>
          <w:p w14:paraId="39292A62">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0" w:firstLineChars="0"/>
              <w:jc w:val="both"/>
              <w:textAlignment w:val="auto"/>
              <w:rPr>
                <w:rFonts w:hint="eastAsia" w:ascii="宋体" w:hAnsi="宋体" w:eastAsia="宋体" w:cs="宋体"/>
                <w:sz w:val="21"/>
                <w:szCs w:val="21"/>
                <w:lang w:eastAsia="zh-CN"/>
              </w:rPr>
            </w:pPr>
            <w:r>
              <w:rPr>
                <w:rFonts w:hint="eastAsia" w:ascii="宋体" w:hAnsi="宋体" w:eastAsia="宋体"/>
                <w:sz w:val="21"/>
                <w:szCs w:val="21"/>
              </w:rPr>
              <w:t>建筑物危险等级划分与总平面布置图相符，布置合理</w:t>
            </w:r>
            <w:r>
              <w:rPr>
                <w:rFonts w:hint="eastAsia" w:ascii="宋体" w:hAnsi="宋体" w:eastAsia="宋体"/>
                <w:sz w:val="21"/>
                <w:szCs w:val="21"/>
                <w:lang w:eastAsia="zh-CN"/>
              </w:rPr>
              <w:t>。</w:t>
            </w:r>
          </w:p>
        </w:tc>
        <w:tc>
          <w:tcPr>
            <w:tcW w:w="1070" w:type="dxa"/>
            <w:tcMar>
              <w:top w:w="57" w:type="dxa"/>
              <w:left w:w="57" w:type="dxa"/>
              <w:bottom w:w="57" w:type="dxa"/>
              <w:right w:w="57" w:type="dxa"/>
            </w:tcMar>
            <w:vAlign w:val="center"/>
          </w:tcPr>
          <w:p w14:paraId="52B9CC48">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符合要求</w:t>
            </w:r>
          </w:p>
        </w:tc>
      </w:tr>
      <w:tr w14:paraId="7256D6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1" w:hRule="atLeast"/>
        </w:trPr>
        <w:tc>
          <w:tcPr>
            <w:tcW w:w="564" w:type="dxa"/>
            <w:vMerge w:val="continue"/>
            <w:tcMar>
              <w:top w:w="57" w:type="dxa"/>
              <w:left w:w="57" w:type="dxa"/>
              <w:bottom w:w="57" w:type="dxa"/>
              <w:right w:w="57" w:type="dxa"/>
            </w:tcMar>
            <w:vAlign w:val="center"/>
          </w:tcPr>
          <w:p w14:paraId="4332EF6C">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sz w:val="21"/>
                <w:szCs w:val="21"/>
              </w:rPr>
            </w:pPr>
          </w:p>
        </w:tc>
        <w:tc>
          <w:tcPr>
            <w:tcW w:w="482" w:type="dxa"/>
            <w:vMerge w:val="continue"/>
            <w:tcMar>
              <w:top w:w="57" w:type="dxa"/>
              <w:left w:w="57" w:type="dxa"/>
              <w:bottom w:w="57" w:type="dxa"/>
              <w:right w:w="57" w:type="dxa"/>
            </w:tcMar>
            <w:vAlign w:val="center"/>
          </w:tcPr>
          <w:p w14:paraId="2720BC18">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sz w:val="21"/>
                <w:szCs w:val="21"/>
              </w:rPr>
            </w:pPr>
          </w:p>
        </w:tc>
        <w:tc>
          <w:tcPr>
            <w:tcW w:w="2038" w:type="dxa"/>
            <w:tcMar>
              <w:top w:w="57" w:type="dxa"/>
              <w:left w:w="57" w:type="dxa"/>
              <w:bottom w:w="57" w:type="dxa"/>
              <w:right w:w="57" w:type="dxa"/>
            </w:tcMar>
            <w:vAlign w:val="center"/>
          </w:tcPr>
          <w:p w14:paraId="143ED10F">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危险品运输通道</w:t>
            </w:r>
          </w:p>
        </w:tc>
        <w:tc>
          <w:tcPr>
            <w:tcW w:w="4843" w:type="dxa"/>
            <w:tcMar>
              <w:top w:w="57" w:type="dxa"/>
              <w:left w:w="57" w:type="dxa"/>
              <w:bottom w:w="57" w:type="dxa"/>
              <w:right w:w="57" w:type="dxa"/>
            </w:tcMar>
            <w:vAlign w:val="center"/>
          </w:tcPr>
          <w:p w14:paraId="73028C2B">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0" w:firstLineChars="0"/>
              <w:jc w:val="both"/>
              <w:textAlignment w:val="auto"/>
              <w:rPr>
                <w:rFonts w:hint="eastAsia" w:ascii="宋体" w:hAnsi="宋体" w:eastAsia="宋体" w:cs="宋体"/>
                <w:sz w:val="21"/>
                <w:szCs w:val="21"/>
              </w:rPr>
            </w:pPr>
            <w:r>
              <w:rPr>
                <w:rFonts w:hint="eastAsia" w:ascii="宋体" w:hAnsi="宋体" w:eastAsia="宋体"/>
                <w:sz w:val="21"/>
                <w:szCs w:val="21"/>
              </w:rPr>
              <w:t>库区内、外部运输通道通畅，无关人员和车辆不通过库区。</w:t>
            </w:r>
          </w:p>
        </w:tc>
        <w:tc>
          <w:tcPr>
            <w:tcW w:w="1070" w:type="dxa"/>
            <w:tcMar>
              <w:top w:w="57" w:type="dxa"/>
              <w:left w:w="57" w:type="dxa"/>
              <w:bottom w:w="57" w:type="dxa"/>
              <w:right w:w="57" w:type="dxa"/>
            </w:tcMar>
            <w:vAlign w:val="center"/>
          </w:tcPr>
          <w:p w14:paraId="7E57E667">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符合要求</w:t>
            </w:r>
          </w:p>
        </w:tc>
      </w:tr>
      <w:tr w14:paraId="453FA0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1" w:hRule="atLeast"/>
        </w:trPr>
        <w:tc>
          <w:tcPr>
            <w:tcW w:w="564" w:type="dxa"/>
            <w:vMerge w:val="continue"/>
            <w:tcMar>
              <w:top w:w="57" w:type="dxa"/>
              <w:left w:w="57" w:type="dxa"/>
              <w:bottom w:w="57" w:type="dxa"/>
              <w:right w:w="57" w:type="dxa"/>
            </w:tcMar>
            <w:vAlign w:val="center"/>
          </w:tcPr>
          <w:p w14:paraId="70FD42F1">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sz w:val="21"/>
                <w:szCs w:val="21"/>
              </w:rPr>
            </w:pPr>
          </w:p>
        </w:tc>
        <w:tc>
          <w:tcPr>
            <w:tcW w:w="482" w:type="dxa"/>
            <w:vMerge w:val="continue"/>
            <w:tcMar>
              <w:top w:w="57" w:type="dxa"/>
              <w:left w:w="57" w:type="dxa"/>
              <w:bottom w:w="57" w:type="dxa"/>
              <w:right w:w="57" w:type="dxa"/>
            </w:tcMar>
            <w:vAlign w:val="center"/>
          </w:tcPr>
          <w:p w14:paraId="065AF030">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sz w:val="21"/>
                <w:szCs w:val="21"/>
              </w:rPr>
            </w:pPr>
          </w:p>
        </w:tc>
        <w:tc>
          <w:tcPr>
            <w:tcW w:w="2038" w:type="dxa"/>
            <w:tcMar>
              <w:top w:w="57" w:type="dxa"/>
              <w:left w:w="57" w:type="dxa"/>
              <w:bottom w:w="57" w:type="dxa"/>
              <w:right w:w="57" w:type="dxa"/>
            </w:tcMar>
            <w:vAlign w:val="center"/>
          </w:tcPr>
          <w:p w14:paraId="1C2F436B">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值班室</w:t>
            </w:r>
          </w:p>
        </w:tc>
        <w:tc>
          <w:tcPr>
            <w:tcW w:w="4843" w:type="dxa"/>
            <w:tcMar>
              <w:top w:w="57" w:type="dxa"/>
              <w:left w:w="57" w:type="dxa"/>
              <w:bottom w:w="57" w:type="dxa"/>
              <w:right w:w="57" w:type="dxa"/>
            </w:tcMar>
            <w:vAlign w:val="center"/>
          </w:tcPr>
          <w:p w14:paraId="2407CAE0">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0" w:firstLineChars="0"/>
              <w:jc w:val="both"/>
              <w:textAlignment w:val="auto"/>
              <w:rPr>
                <w:rFonts w:hint="eastAsia" w:ascii="宋体" w:hAnsi="宋体" w:eastAsia="宋体" w:cs="宋体"/>
                <w:sz w:val="21"/>
                <w:szCs w:val="21"/>
              </w:rPr>
            </w:pPr>
            <w:r>
              <w:rPr>
                <w:rFonts w:hint="eastAsia" w:ascii="宋体" w:hAnsi="宋体" w:eastAsia="宋体" w:cs="宋体"/>
                <w:sz w:val="21"/>
                <w:szCs w:val="21"/>
              </w:rPr>
              <w:t>库区设有值班室，其与库房的距离符合标准要求。</w:t>
            </w:r>
          </w:p>
        </w:tc>
        <w:tc>
          <w:tcPr>
            <w:tcW w:w="1070" w:type="dxa"/>
            <w:tcMar>
              <w:top w:w="57" w:type="dxa"/>
              <w:left w:w="57" w:type="dxa"/>
              <w:bottom w:w="57" w:type="dxa"/>
              <w:right w:w="57" w:type="dxa"/>
            </w:tcMar>
            <w:vAlign w:val="center"/>
          </w:tcPr>
          <w:p w14:paraId="601EAD73">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符合要求</w:t>
            </w:r>
          </w:p>
        </w:tc>
      </w:tr>
      <w:tr w14:paraId="36CEEF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1" w:hRule="atLeast"/>
        </w:trPr>
        <w:tc>
          <w:tcPr>
            <w:tcW w:w="564" w:type="dxa"/>
            <w:vMerge w:val="continue"/>
            <w:tcMar>
              <w:top w:w="57" w:type="dxa"/>
              <w:left w:w="57" w:type="dxa"/>
              <w:bottom w:w="57" w:type="dxa"/>
              <w:right w:w="57" w:type="dxa"/>
            </w:tcMar>
            <w:vAlign w:val="center"/>
          </w:tcPr>
          <w:p w14:paraId="62105210">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sz w:val="21"/>
                <w:szCs w:val="21"/>
              </w:rPr>
            </w:pPr>
          </w:p>
        </w:tc>
        <w:tc>
          <w:tcPr>
            <w:tcW w:w="482" w:type="dxa"/>
            <w:vMerge w:val="continue"/>
            <w:tcMar>
              <w:top w:w="57" w:type="dxa"/>
              <w:left w:w="57" w:type="dxa"/>
              <w:bottom w:w="57" w:type="dxa"/>
              <w:right w:w="57" w:type="dxa"/>
            </w:tcMar>
            <w:vAlign w:val="center"/>
          </w:tcPr>
          <w:p w14:paraId="1E3FAA6C">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sz w:val="21"/>
                <w:szCs w:val="21"/>
              </w:rPr>
            </w:pPr>
          </w:p>
        </w:tc>
        <w:tc>
          <w:tcPr>
            <w:tcW w:w="2038" w:type="dxa"/>
            <w:tcMar>
              <w:top w:w="57" w:type="dxa"/>
              <w:left w:w="57" w:type="dxa"/>
              <w:bottom w:w="57" w:type="dxa"/>
              <w:right w:w="57" w:type="dxa"/>
            </w:tcMar>
            <w:vAlign w:val="center"/>
          </w:tcPr>
          <w:p w14:paraId="0BE09DAE">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外部安全距离</w:t>
            </w:r>
          </w:p>
        </w:tc>
        <w:tc>
          <w:tcPr>
            <w:tcW w:w="4843" w:type="dxa"/>
            <w:tcMar>
              <w:top w:w="57" w:type="dxa"/>
              <w:left w:w="57" w:type="dxa"/>
              <w:bottom w:w="57" w:type="dxa"/>
              <w:right w:w="57" w:type="dxa"/>
            </w:tcMar>
            <w:vAlign w:val="center"/>
          </w:tcPr>
          <w:p w14:paraId="47E16DB9">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0" w:firstLineChars="0"/>
              <w:jc w:val="both"/>
              <w:textAlignment w:val="auto"/>
              <w:rPr>
                <w:rFonts w:hint="eastAsia" w:ascii="宋体" w:hAnsi="宋体" w:eastAsia="宋体" w:cs="宋体"/>
                <w:sz w:val="21"/>
                <w:szCs w:val="21"/>
              </w:rPr>
            </w:pPr>
            <w:r>
              <w:rPr>
                <w:rFonts w:hint="eastAsia" w:ascii="宋体" w:hAnsi="宋体" w:eastAsia="宋体" w:cs="宋体"/>
                <w:sz w:val="21"/>
                <w:szCs w:val="21"/>
              </w:rPr>
              <w:t>库区外部安全距离符合《烟花爆竹工程设计安全标准》要求。</w:t>
            </w:r>
          </w:p>
        </w:tc>
        <w:tc>
          <w:tcPr>
            <w:tcW w:w="1070" w:type="dxa"/>
            <w:tcMar>
              <w:top w:w="57" w:type="dxa"/>
              <w:left w:w="57" w:type="dxa"/>
              <w:bottom w:w="57" w:type="dxa"/>
              <w:right w:w="57" w:type="dxa"/>
            </w:tcMar>
            <w:vAlign w:val="center"/>
          </w:tcPr>
          <w:p w14:paraId="4488896A">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符合要求</w:t>
            </w:r>
          </w:p>
        </w:tc>
      </w:tr>
      <w:tr w14:paraId="5491CC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1" w:hRule="atLeast"/>
        </w:trPr>
        <w:tc>
          <w:tcPr>
            <w:tcW w:w="564" w:type="dxa"/>
            <w:vMerge w:val="continue"/>
            <w:tcMar>
              <w:top w:w="57" w:type="dxa"/>
              <w:left w:w="57" w:type="dxa"/>
              <w:bottom w:w="57" w:type="dxa"/>
              <w:right w:w="57" w:type="dxa"/>
            </w:tcMar>
            <w:vAlign w:val="center"/>
          </w:tcPr>
          <w:p w14:paraId="6ADC83A5">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sz w:val="21"/>
                <w:szCs w:val="21"/>
              </w:rPr>
            </w:pPr>
          </w:p>
        </w:tc>
        <w:tc>
          <w:tcPr>
            <w:tcW w:w="482" w:type="dxa"/>
            <w:vMerge w:val="continue"/>
            <w:tcMar>
              <w:top w:w="57" w:type="dxa"/>
              <w:left w:w="57" w:type="dxa"/>
              <w:bottom w:w="57" w:type="dxa"/>
              <w:right w:w="57" w:type="dxa"/>
            </w:tcMar>
            <w:vAlign w:val="center"/>
          </w:tcPr>
          <w:p w14:paraId="08E1A3C9">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sz w:val="21"/>
                <w:szCs w:val="21"/>
              </w:rPr>
            </w:pPr>
          </w:p>
        </w:tc>
        <w:tc>
          <w:tcPr>
            <w:tcW w:w="2038" w:type="dxa"/>
            <w:tcMar>
              <w:top w:w="57" w:type="dxa"/>
              <w:left w:w="57" w:type="dxa"/>
              <w:bottom w:w="57" w:type="dxa"/>
              <w:right w:w="57" w:type="dxa"/>
            </w:tcMar>
            <w:vAlign w:val="center"/>
          </w:tcPr>
          <w:p w14:paraId="3E52C258">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安全疏散条件</w:t>
            </w:r>
          </w:p>
        </w:tc>
        <w:tc>
          <w:tcPr>
            <w:tcW w:w="4843" w:type="dxa"/>
            <w:tcMar>
              <w:top w:w="57" w:type="dxa"/>
              <w:left w:w="57" w:type="dxa"/>
              <w:bottom w:w="57" w:type="dxa"/>
              <w:right w:w="57" w:type="dxa"/>
            </w:tcMar>
            <w:vAlign w:val="center"/>
          </w:tcPr>
          <w:p w14:paraId="5C0F5E6A">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0" w:firstLineChars="0"/>
              <w:jc w:val="both"/>
              <w:textAlignment w:val="auto"/>
              <w:rPr>
                <w:rFonts w:hint="eastAsia" w:ascii="宋体" w:hAnsi="宋体" w:eastAsia="宋体" w:cs="宋体"/>
                <w:sz w:val="21"/>
                <w:szCs w:val="21"/>
              </w:rPr>
            </w:pPr>
            <w:r>
              <w:rPr>
                <w:rFonts w:hint="eastAsia" w:ascii="宋体" w:hAnsi="宋体" w:eastAsia="宋体" w:cs="宋体"/>
                <w:sz w:val="21"/>
                <w:szCs w:val="21"/>
              </w:rPr>
              <w:t>安全疏散出口符合标准要求。</w:t>
            </w:r>
          </w:p>
        </w:tc>
        <w:tc>
          <w:tcPr>
            <w:tcW w:w="1070" w:type="dxa"/>
            <w:tcMar>
              <w:top w:w="57" w:type="dxa"/>
              <w:left w:w="57" w:type="dxa"/>
              <w:bottom w:w="57" w:type="dxa"/>
              <w:right w:w="57" w:type="dxa"/>
            </w:tcMar>
            <w:vAlign w:val="center"/>
          </w:tcPr>
          <w:p w14:paraId="4F62A72B">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符合要求</w:t>
            </w:r>
          </w:p>
        </w:tc>
      </w:tr>
      <w:tr w14:paraId="175721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709" w:hRule="atLeast"/>
        </w:trPr>
        <w:tc>
          <w:tcPr>
            <w:tcW w:w="564" w:type="dxa"/>
            <w:vMerge w:val="restart"/>
            <w:tcMar>
              <w:top w:w="57" w:type="dxa"/>
              <w:left w:w="57" w:type="dxa"/>
              <w:bottom w:w="57" w:type="dxa"/>
              <w:right w:w="57" w:type="dxa"/>
            </w:tcMar>
            <w:vAlign w:val="center"/>
          </w:tcPr>
          <w:p w14:paraId="42C2AD15">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2</w:t>
            </w:r>
          </w:p>
        </w:tc>
        <w:tc>
          <w:tcPr>
            <w:tcW w:w="482" w:type="dxa"/>
            <w:vMerge w:val="restart"/>
            <w:tcMar>
              <w:top w:w="57" w:type="dxa"/>
              <w:left w:w="57" w:type="dxa"/>
              <w:bottom w:w="57" w:type="dxa"/>
              <w:right w:w="57" w:type="dxa"/>
            </w:tcMar>
            <w:vAlign w:val="center"/>
          </w:tcPr>
          <w:p w14:paraId="228057CD">
            <w:pPr>
              <w:keepNext w:val="0"/>
              <w:keepLines w:val="0"/>
              <w:pageBreakBefore w:val="0"/>
              <w:widowControl w:val="0"/>
              <w:kinsoku/>
              <w:wordWrap/>
              <w:overflowPunct/>
              <w:topLinePunct w:val="0"/>
              <w:autoSpaceDE/>
              <w:autoSpaceDN/>
              <w:bidi w:val="0"/>
              <w:adjustRightInd w:val="0"/>
              <w:snapToGrid w:val="0"/>
              <w:spacing w:line="240" w:lineRule="exact"/>
              <w:ind w:left="11" w:leftChars="0" w:right="154" w:rightChars="51" w:hanging="11"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条件和设施</w:t>
            </w:r>
          </w:p>
        </w:tc>
        <w:tc>
          <w:tcPr>
            <w:tcW w:w="2038" w:type="dxa"/>
            <w:tcMar>
              <w:top w:w="57" w:type="dxa"/>
              <w:left w:w="57" w:type="dxa"/>
              <w:bottom w:w="57" w:type="dxa"/>
              <w:right w:w="57" w:type="dxa"/>
            </w:tcMar>
            <w:vAlign w:val="center"/>
          </w:tcPr>
          <w:p w14:paraId="0A8D2B4C">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库区主要道路的宽度、坡度，建筑间的通道宽度</w:t>
            </w:r>
          </w:p>
        </w:tc>
        <w:tc>
          <w:tcPr>
            <w:tcW w:w="4843" w:type="dxa"/>
            <w:tcMar>
              <w:top w:w="57" w:type="dxa"/>
              <w:left w:w="57" w:type="dxa"/>
              <w:bottom w:w="57" w:type="dxa"/>
              <w:right w:w="57" w:type="dxa"/>
            </w:tcMar>
            <w:vAlign w:val="center"/>
          </w:tcPr>
          <w:p w14:paraId="430599BC">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0" w:firstLineChars="0"/>
              <w:jc w:val="both"/>
              <w:textAlignment w:val="auto"/>
              <w:rPr>
                <w:rFonts w:hint="eastAsia" w:ascii="宋体" w:hAnsi="宋体" w:eastAsia="宋体" w:cs="宋体"/>
                <w:sz w:val="21"/>
                <w:szCs w:val="21"/>
              </w:rPr>
            </w:pPr>
            <w:r>
              <w:rPr>
                <w:rFonts w:hint="eastAsia" w:ascii="宋体" w:hAnsi="宋体" w:eastAsia="宋体" w:cs="宋体"/>
                <w:sz w:val="21"/>
                <w:szCs w:val="21"/>
              </w:rPr>
              <w:t>库区主要道路宽度约5米，建筑物之间设有回车坪。</w:t>
            </w:r>
          </w:p>
        </w:tc>
        <w:tc>
          <w:tcPr>
            <w:tcW w:w="1070" w:type="dxa"/>
            <w:tcMar>
              <w:top w:w="57" w:type="dxa"/>
              <w:left w:w="57" w:type="dxa"/>
              <w:bottom w:w="57" w:type="dxa"/>
              <w:right w:w="57" w:type="dxa"/>
            </w:tcMar>
            <w:vAlign w:val="center"/>
          </w:tcPr>
          <w:p w14:paraId="49EED6E7">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符合要求</w:t>
            </w:r>
          </w:p>
        </w:tc>
      </w:tr>
      <w:tr w14:paraId="193AA5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628" w:hRule="atLeast"/>
        </w:trPr>
        <w:tc>
          <w:tcPr>
            <w:tcW w:w="564" w:type="dxa"/>
            <w:vMerge w:val="continue"/>
            <w:tcMar>
              <w:top w:w="57" w:type="dxa"/>
              <w:left w:w="57" w:type="dxa"/>
              <w:bottom w:w="57" w:type="dxa"/>
              <w:right w:w="57" w:type="dxa"/>
            </w:tcMar>
            <w:vAlign w:val="center"/>
          </w:tcPr>
          <w:p w14:paraId="63324415">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sz w:val="21"/>
                <w:szCs w:val="21"/>
              </w:rPr>
            </w:pPr>
          </w:p>
        </w:tc>
        <w:tc>
          <w:tcPr>
            <w:tcW w:w="482" w:type="dxa"/>
            <w:vMerge w:val="continue"/>
            <w:tcMar>
              <w:top w:w="57" w:type="dxa"/>
              <w:left w:w="57" w:type="dxa"/>
              <w:bottom w:w="57" w:type="dxa"/>
              <w:right w:w="57" w:type="dxa"/>
            </w:tcMar>
            <w:vAlign w:val="center"/>
          </w:tcPr>
          <w:p w14:paraId="08C62407">
            <w:pPr>
              <w:keepNext w:val="0"/>
              <w:keepLines w:val="0"/>
              <w:pageBreakBefore w:val="0"/>
              <w:widowControl w:val="0"/>
              <w:kinsoku/>
              <w:wordWrap/>
              <w:overflowPunct/>
              <w:topLinePunct w:val="0"/>
              <w:autoSpaceDE/>
              <w:autoSpaceDN/>
              <w:bidi w:val="0"/>
              <w:adjustRightInd w:val="0"/>
              <w:snapToGrid w:val="0"/>
              <w:spacing w:line="240" w:lineRule="exact"/>
              <w:ind w:left="151" w:leftChars="50" w:right="151" w:rightChars="50"/>
              <w:jc w:val="center"/>
              <w:textAlignment w:val="auto"/>
              <w:rPr>
                <w:rFonts w:hint="eastAsia" w:ascii="宋体" w:hAnsi="宋体" w:eastAsia="宋体" w:cs="宋体"/>
                <w:sz w:val="21"/>
                <w:szCs w:val="21"/>
              </w:rPr>
            </w:pPr>
          </w:p>
        </w:tc>
        <w:tc>
          <w:tcPr>
            <w:tcW w:w="2038" w:type="dxa"/>
            <w:tcMar>
              <w:top w:w="57" w:type="dxa"/>
              <w:left w:w="57" w:type="dxa"/>
              <w:bottom w:w="57" w:type="dxa"/>
              <w:right w:w="57" w:type="dxa"/>
            </w:tcMar>
            <w:vAlign w:val="center"/>
          </w:tcPr>
          <w:p w14:paraId="639384B8">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消防设施、消防水源水量、保护范围、补充时间</w:t>
            </w:r>
          </w:p>
        </w:tc>
        <w:tc>
          <w:tcPr>
            <w:tcW w:w="4843" w:type="dxa"/>
            <w:tcMar>
              <w:top w:w="57" w:type="dxa"/>
              <w:left w:w="57" w:type="dxa"/>
              <w:bottom w:w="57" w:type="dxa"/>
              <w:right w:w="57" w:type="dxa"/>
            </w:tcMar>
            <w:vAlign w:val="center"/>
          </w:tcPr>
          <w:p w14:paraId="2A01778C">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0" w:firstLineChars="0"/>
              <w:jc w:val="both"/>
              <w:textAlignment w:val="auto"/>
              <w:rPr>
                <w:rFonts w:hint="eastAsia" w:ascii="宋体" w:hAnsi="宋体" w:eastAsia="宋体" w:cs="宋体"/>
                <w:sz w:val="21"/>
                <w:szCs w:val="21"/>
              </w:rPr>
            </w:pPr>
            <w:r>
              <w:rPr>
                <w:rFonts w:hint="eastAsia" w:ascii="宋体" w:hAnsi="宋体" w:eastAsia="宋体" w:cs="宋体"/>
                <w:sz w:val="21"/>
                <w:szCs w:val="21"/>
              </w:rPr>
              <w:t>库区消防水源充足，配备了消防水池等消防设施。</w:t>
            </w:r>
          </w:p>
        </w:tc>
        <w:tc>
          <w:tcPr>
            <w:tcW w:w="1070" w:type="dxa"/>
            <w:tcMar>
              <w:top w:w="57" w:type="dxa"/>
              <w:left w:w="57" w:type="dxa"/>
              <w:bottom w:w="57" w:type="dxa"/>
              <w:right w:w="57" w:type="dxa"/>
            </w:tcMar>
            <w:vAlign w:val="center"/>
          </w:tcPr>
          <w:p w14:paraId="291FB6C0">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符合要求</w:t>
            </w:r>
          </w:p>
        </w:tc>
      </w:tr>
      <w:tr w14:paraId="557268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61" w:hRule="atLeast"/>
        </w:trPr>
        <w:tc>
          <w:tcPr>
            <w:tcW w:w="564" w:type="dxa"/>
            <w:vMerge w:val="continue"/>
            <w:tcMar>
              <w:top w:w="57" w:type="dxa"/>
              <w:left w:w="57" w:type="dxa"/>
              <w:bottom w:w="57" w:type="dxa"/>
              <w:right w:w="57" w:type="dxa"/>
            </w:tcMar>
            <w:vAlign w:val="center"/>
          </w:tcPr>
          <w:p w14:paraId="20B39A96">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sz w:val="21"/>
                <w:szCs w:val="21"/>
              </w:rPr>
            </w:pPr>
          </w:p>
        </w:tc>
        <w:tc>
          <w:tcPr>
            <w:tcW w:w="482" w:type="dxa"/>
            <w:vMerge w:val="continue"/>
            <w:tcMar>
              <w:top w:w="57" w:type="dxa"/>
              <w:left w:w="57" w:type="dxa"/>
              <w:bottom w:w="57" w:type="dxa"/>
              <w:right w:w="57" w:type="dxa"/>
            </w:tcMar>
            <w:vAlign w:val="center"/>
          </w:tcPr>
          <w:p w14:paraId="078428A4">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sz w:val="21"/>
                <w:szCs w:val="21"/>
              </w:rPr>
            </w:pPr>
          </w:p>
        </w:tc>
        <w:tc>
          <w:tcPr>
            <w:tcW w:w="2038" w:type="dxa"/>
            <w:tcMar>
              <w:top w:w="57" w:type="dxa"/>
              <w:left w:w="57" w:type="dxa"/>
              <w:bottom w:w="57" w:type="dxa"/>
              <w:right w:w="57" w:type="dxa"/>
            </w:tcMar>
            <w:vAlign w:val="center"/>
          </w:tcPr>
          <w:p w14:paraId="4F8F3048">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安全监控保卫设施和固定值班电话</w:t>
            </w:r>
          </w:p>
        </w:tc>
        <w:tc>
          <w:tcPr>
            <w:tcW w:w="4843" w:type="dxa"/>
            <w:tcMar>
              <w:top w:w="57" w:type="dxa"/>
              <w:left w:w="57" w:type="dxa"/>
              <w:bottom w:w="57" w:type="dxa"/>
              <w:right w:w="57" w:type="dxa"/>
            </w:tcMar>
            <w:vAlign w:val="center"/>
          </w:tcPr>
          <w:p w14:paraId="629DB2A9">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0" w:firstLineChars="0"/>
              <w:jc w:val="both"/>
              <w:textAlignment w:val="auto"/>
              <w:rPr>
                <w:rFonts w:hint="eastAsia" w:ascii="宋体" w:hAnsi="宋体" w:eastAsia="宋体" w:cs="宋体"/>
                <w:sz w:val="21"/>
                <w:szCs w:val="21"/>
              </w:rPr>
            </w:pPr>
            <w:r>
              <w:rPr>
                <w:rFonts w:ascii="宋体" w:hAnsi="宋体" w:eastAsia="宋体" w:cs="宋体"/>
                <w:spacing w:val="-1"/>
                <w:sz w:val="21"/>
                <w:szCs w:val="21"/>
              </w:rPr>
              <w:t>库区配备了视频监控系统，配备固定电话</w:t>
            </w:r>
            <w:r>
              <w:rPr>
                <w:rFonts w:ascii="宋体" w:hAnsi="宋体" w:eastAsia="宋体" w:cs="宋体"/>
                <w:spacing w:val="-2"/>
                <w:sz w:val="21"/>
                <w:szCs w:val="21"/>
              </w:rPr>
              <w:t>。</w:t>
            </w:r>
          </w:p>
        </w:tc>
        <w:tc>
          <w:tcPr>
            <w:tcW w:w="1070" w:type="dxa"/>
            <w:tcMar>
              <w:top w:w="57" w:type="dxa"/>
              <w:left w:w="57" w:type="dxa"/>
              <w:bottom w:w="57" w:type="dxa"/>
              <w:right w:w="57" w:type="dxa"/>
            </w:tcMar>
            <w:vAlign w:val="center"/>
          </w:tcPr>
          <w:p w14:paraId="4137A43C">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符合要求</w:t>
            </w:r>
          </w:p>
        </w:tc>
      </w:tr>
      <w:tr w14:paraId="489572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611" w:hRule="atLeast"/>
        </w:trPr>
        <w:tc>
          <w:tcPr>
            <w:tcW w:w="3084" w:type="dxa"/>
            <w:gridSpan w:val="3"/>
            <w:tcMar>
              <w:top w:w="57" w:type="dxa"/>
              <w:left w:w="57" w:type="dxa"/>
              <w:bottom w:w="57" w:type="dxa"/>
              <w:right w:w="57" w:type="dxa"/>
            </w:tcMar>
            <w:vAlign w:val="center"/>
          </w:tcPr>
          <w:p w14:paraId="10EA3541">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现场检查结论意见</w:t>
            </w:r>
          </w:p>
        </w:tc>
        <w:tc>
          <w:tcPr>
            <w:tcW w:w="5913" w:type="dxa"/>
            <w:gridSpan w:val="2"/>
            <w:tcMar>
              <w:top w:w="57" w:type="dxa"/>
              <w:left w:w="57" w:type="dxa"/>
              <w:bottom w:w="57" w:type="dxa"/>
              <w:right w:w="57" w:type="dxa"/>
            </w:tcMar>
            <w:vAlign w:val="center"/>
          </w:tcPr>
          <w:p w14:paraId="1B53F8C9">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该单元符合要求。</w:t>
            </w:r>
          </w:p>
        </w:tc>
      </w:tr>
    </w:tbl>
    <w:p w14:paraId="3ED744B1">
      <w:pPr>
        <w:spacing w:line="360" w:lineRule="auto"/>
        <w:ind w:firstLine="466" w:firstLineChars="200"/>
        <w:rPr>
          <w:rFonts w:hint="eastAsia" w:ascii="宋体" w:hAnsi="宋体"/>
          <w:sz w:val="21"/>
          <w:szCs w:val="21"/>
        </w:rPr>
      </w:pPr>
      <w:r>
        <w:rPr>
          <w:rFonts w:hint="eastAsia" w:ascii="宋体" w:hAnsi="宋体"/>
          <w:sz w:val="21"/>
          <w:szCs w:val="21"/>
        </w:rPr>
        <w:t>注：1、本表所列的审核和检查项目，全部合格的，为符合安全条件；</w:t>
      </w:r>
    </w:p>
    <w:p w14:paraId="256BCB5E">
      <w:pPr>
        <w:spacing w:line="360" w:lineRule="auto"/>
        <w:ind w:firstLine="466" w:firstLineChars="200"/>
        <w:rPr>
          <w:rFonts w:ascii="宋体" w:hAnsi="宋体"/>
          <w:sz w:val="21"/>
          <w:szCs w:val="21"/>
        </w:rPr>
      </w:pPr>
      <w:r>
        <w:rPr>
          <w:rFonts w:hint="eastAsia" w:ascii="宋体" w:hAnsi="宋体"/>
          <w:sz w:val="21"/>
          <w:szCs w:val="21"/>
        </w:rPr>
        <w:t>2、本表所列的审核和检查项目，有一项不合格的，为不符合安全条件。</w:t>
      </w:r>
    </w:p>
    <w:p w14:paraId="6B1A63F8">
      <w:pPr>
        <w:pStyle w:val="3"/>
        <w:bidi w:val="0"/>
        <w:ind w:left="0" w:leftChars="0" w:firstLine="0" w:firstLineChars="0"/>
        <w:rPr>
          <w:rFonts w:hint="eastAsia"/>
        </w:rPr>
      </w:pPr>
      <w:bookmarkStart w:id="130" w:name="_Toc15057"/>
      <w:bookmarkStart w:id="131" w:name="_Toc26836"/>
      <w:r>
        <w:rPr>
          <w:rFonts w:hint="eastAsia"/>
        </w:rPr>
        <w:t>5.3 现场检查单元安全评价</w:t>
      </w:r>
      <w:bookmarkEnd w:id="130"/>
      <w:bookmarkEnd w:id="131"/>
    </w:p>
    <w:p w14:paraId="19855368">
      <w:pPr>
        <w:bidi w:val="0"/>
        <w:rPr>
          <w:rFonts w:hint="eastAsia"/>
        </w:rPr>
      </w:pPr>
      <w:r>
        <w:rPr>
          <w:rFonts w:hint="eastAsia"/>
        </w:rPr>
        <w:t>本节根据《烟花爆竹企业安全评价规范》（AQ4113-2008）《表 C.3 烟花爆竹经营企业安全评价现场检查表》对被评价单位烟花、爆竹仓库现场情况进行检查评价，评价过程见下表。</w:t>
      </w:r>
    </w:p>
    <w:p w14:paraId="71B93F74">
      <w:pPr>
        <w:bidi w:val="0"/>
      </w:pPr>
      <w:r>
        <w:rPr>
          <w:rFonts w:hint="eastAsia"/>
        </w:rPr>
        <w:t>表 5.3-1 烟花爆竹批发经营企业安全评价现场检查表</w:t>
      </w:r>
    </w:p>
    <w:tbl>
      <w:tblPr>
        <w:tblStyle w:val="105"/>
        <w:tblW w:w="9088"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79"/>
        <w:gridCol w:w="928"/>
        <w:gridCol w:w="2804"/>
        <w:gridCol w:w="4084"/>
        <w:gridCol w:w="693"/>
      </w:tblGrid>
      <w:tr w14:paraId="194998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0" w:hRule="atLeast"/>
        </w:trPr>
        <w:tc>
          <w:tcPr>
            <w:tcW w:w="579" w:type="dxa"/>
            <w:tcBorders>
              <w:top w:val="single" w:color="000000" w:sz="10" w:space="0"/>
              <w:left w:val="single" w:color="000000" w:sz="10" w:space="0"/>
            </w:tcBorders>
            <w:vAlign w:val="top"/>
          </w:tcPr>
          <w:p w14:paraId="08D94759">
            <w:pPr>
              <w:keepNext w:val="0"/>
              <w:keepLines w:val="0"/>
              <w:pageBreakBefore w:val="0"/>
              <w:widowControl w:val="0"/>
              <w:kinsoku/>
              <w:wordWrap/>
              <w:overflowPunct/>
              <w:topLinePunct w:val="0"/>
              <w:autoSpaceDE/>
              <w:autoSpaceDN/>
              <w:bidi w:val="0"/>
              <w:adjustRightInd/>
              <w:snapToGrid/>
              <w:spacing w:before="302" w:line="300" w:lineRule="exact"/>
              <w:ind w:left="0" w:leftChars="0" w:firstLine="0" w:firstLineChars="0"/>
              <w:jc w:val="center"/>
              <w:textAlignment w:val="auto"/>
              <w:rPr>
                <w:rFonts w:hint="eastAsia" w:ascii="宋体" w:hAnsi="宋体" w:eastAsia="宋体" w:cs="宋体"/>
                <w:sz w:val="21"/>
                <w:szCs w:val="21"/>
              </w:rPr>
            </w:pPr>
            <w:r>
              <w:rPr>
                <w:rFonts w:hint="eastAsia" w:ascii="宋体" w:hAnsi="宋体" w:eastAsia="宋体" w:cs="宋体"/>
                <w:spacing w:val="-2"/>
                <w:sz w:val="21"/>
                <w:szCs w:val="21"/>
              </w:rPr>
              <w:t>序号</w:t>
            </w:r>
          </w:p>
        </w:tc>
        <w:tc>
          <w:tcPr>
            <w:tcW w:w="928" w:type="dxa"/>
            <w:tcBorders>
              <w:top w:val="single" w:color="000000" w:sz="10" w:space="0"/>
            </w:tcBorders>
            <w:vAlign w:val="top"/>
          </w:tcPr>
          <w:p w14:paraId="26AEBEF4">
            <w:pPr>
              <w:keepNext w:val="0"/>
              <w:keepLines w:val="0"/>
              <w:pageBreakBefore w:val="0"/>
              <w:widowControl w:val="0"/>
              <w:kinsoku/>
              <w:wordWrap/>
              <w:overflowPunct/>
              <w:topLinePunct w:val="0"/>
              <w:autoSpaceDE/>
              <w:autoSpaceDN/>
              <w:bidi w:val="0"/>
              <w:adjustRightInd/>
              <w:snapToGrid/>
              <w:spacing w:before="302" w:line="300" w:lineRule="exact"/>
              <w:ind w:left="0" w:leftChars="0" w:firstLine="0" w:firstLineChars="0"/>
              <w:jc w:val="center"/>
              <w:textAlignment w:val="auto"/>
              <w:rPr>
                <w:rFonts w:hint="eastAsia" w:ascii="宋体" w:hAnsi="宋体" w:eastAsia="宋体" w:cs="宋体"/>
                <w:sz w:val="21"/>
                <w:szCs w:val="21"/>
              </w:rPr>
            </w:pPr>
            <w:r>
              <w:rPr>
                <w:rFonts w:hint="eastAsia" w:ascii="宋体" w:hAnsi="宋体" w:eastAsia="宋体" w:cs="宋体"/>
                <w:spacing w:val="-3"/>
                <w:sz w:val="21"/>
                <w:szCs w:val="21"/>
              </w:rPr>
              <w:t>项目</w:t>
            </w:r>
          </w:p>
        </w:tc>
        <w:tc>
          <w:tcPr>
            <w:tcW w:w="2804" w:type="dxa"/>
            <w:tcBorders>
              <w:top w:val="single" w:color="000000" w:sz="10" w:space="0"/>
            </w:tcBorders>
            <w:vAlign w:val="top"/>
          </w:tcPr>
          <w:p w14:paraId="504E7E9F">
            <w:pPr>
              <w:keepNext w:val="0"/>
              <w:keepLines w:val="0"/>
              <w:pageBreakBefore w:val="0"/>
              <w:widowControl w:val="0"/>
              <w:kinsoku/>
              <w:wordWrap/>
              <w:overflowPunct/>
              <w:topLinePunct w:val="0"/>
              <w:autoSpaceDE/>
              <w:autoSpaceDN/>
              <w:bidi w:val="0"/>
              <w:adjustRightInd/>
              <w:snapToGrid/>
              <w:spacing w:before="301" w:line="300" w:lineRule="exact"/>
              <w:ind w:left="0" w:leftChars="0" w:firstLine="0" w:firstLineChars="0"/>
              <w:jc w:val="center"/>
              <w:textAlignment w:val="auto"/>
              <w:rPr>
                <w:rFonts w:hint="eastAsia" w:ascii="宋体" w:hAnsi="宋体" w:eastAsia="宋体" w:cs="宋体"/>
                <w:sz w:val="21"/>
                <w:szCs w:val="21"/>
              </w:rPr>
            </w:pPr>
            <w:r>
              <w:rPr>
                <w:rFonts w:hint="eastAsia" w:ascii="宋体" w:hAnsi="宋体" w:eastAsia="宋体" w:cs="宋体"/>
                <w:spacing w:val="-2"/>
                <w:sz w:val="21"/>
                <w:szCs w:val="21"/>
              </w:rPr>
              <w:t>检查项目</w:t>
            </w:r>
          </w:p>
        </w:tc>
        <w:tc>
          <w:tcPr>
            <w:tcW w:w="4084" w:type="dxa"/>
            <w:tcBorders>
              <w:top w:val="single" w:color="000000" w:sz="10" w:space="0"/>
            </w:tcBorders>
            <w:vAlign w:val="top"/>
          </w:tcPr>
          <w:p w14:paraId="61ACFC90">
            <w:pPr>
              <w:keepNext w:val="0"/>
              <w:keepLines w:val="0"/>
              <w:pageBreakBefore w:val="0"/>
              <w:widowControl w:val="0"/>
              <w:kinsoku/>
              <w:wordWrap/>
              <w:overflowPunct/>
              <w:topLinePunct w:val="0"/>
              <w:autoSpaceDE/>
              <w:autoSpaceDN/>
              <w:bidi w:val="0"/>
              <w:adjustRightInd/>
              <w:snapToGrid/>
              <w:spacing w:before="301" w:line="300" w:lineRule="exact"/>
              <w:ind w:left="0" w:leftChars="0" w:firstLine="0" w:firstLineChars="0"/>
              <w:jc w:val="center"/>
              <w:textAlignment w:val="auto"/>
              <w:rPr>
                <w:rFonts w:hint="eastAsia" w:ascii="宋体" w:hAnsi="宋体" w:eastAsia="宋体" w:cs="宋体"/>
                <w:sz w:val="21"/>
                <w:szCs w:val="21"/>
              </w:rPr>
            </w:pPr>
            <w:r>
              <w:rPr>
                <w:rFonts w:hint="eastAsia" w:ascii="宋体" w:hAnsi="宋体" w:eastAsia="宋体" w:cs="宋体"/>
                <w:spacing w:val="-2"/>
                <w:sz w:val="21"/>
                <w:szCs w:val="21"/>
              </w:rPr>
              <w:t>检查情况</w:t>
            </w:r>
          </w:p>
        </w:tc>
        <w:tc>
          <w:tcPr>
            <w:tcW w:w="693" w:type="dxa"/>
            <w:tcBorders>
              <w:top w:val="single" w:color="000000" w:sz="10" w:space="0"/>
              <w:right w:val="single" w:color="000000" w:sz="10" w:space="0"/>
            </w:tcBorders>
            <w:vAlign w:val="top"/>
          </w:tcPr>
          <w:p w14:paraId="124968C3">
            <w:pPr>
              <w:keepNext w:val="0"/>
              <w:keepLines w:val="0"/>
              <w:pageBreakBefore w:val="0"/>
              <w:widowControl w:val="0"/>
              <w:kinsoku/>
              <w:wordWrap/>
              <w:overflowPunct/>
              <w:topLinePunct w:val="0"/>
              <w:autoSpaceDE/>
              <w:autoSpaceDN/>
              <w:bidi w:val="0"/>
              <w:adjustRightInd/>
              <w:snapToGrid/>
              <w:spacing w:before="101" w:line="300" w:lineRule="exact"/>
              <w:ind w:left="0" w:leftChars="0" w:right="158" w:firstLine="0" w:firstLineChars="0"/>
              <w:jc w:val="both"/>
              <w:textAlignment w:val="auto"/>
              <w:rPr>
                <w:rFonts w:hint="eastAsia" w:ascii="宋体" w:hAnsi="宋体" w:eastAsia="宋体" w:cs="宋体"/>
                <w:sz w:val="21"/>
                <w:szCs w:val="21"/>
              </w:rPr>
            </w:pPr>
            <w:r>
              <w:rPr>
                <w:rFonts w:hint="eastAsia" w:ascii="宋体" w:hAnsi="宋体" w:eastAsia="宋体" w:cs="宋体"/>
                <w:spacing w:val="-3"/>
                <w:sz w:val="21"/>
                <w:szCs w:val="21"/>
              </w:rPr>
              <w:t>检查</w:t>
            </w:r>
            <w:r>
              <w:rPr>
                <w:rFonts w:hint="eastAsia" w:ascii="宋体" w:hAnsi="宋体" w:eastAsia="宋体" w:cs="宋体"/>
                <w:spacing w:val="-6"/>
                <w:sz w:val="21"/>
                <w:szCs w:val="21"/>
              </w:rPr>
              <w:t>结论</w:t>
            </w:r>
          </w:p>
        </w:tc>
      </w:tr>
      <w:tr w14:paraId="5A5F6F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3" w:hRule="atLeast"/>
        </w:trPr>
        <w:tc>
          <w:tcPr>
            <w:tcW w:w="579" w:type="dxa"/>
            <w:vMerge w:val="restart"/>
            <w:tcBorders>
              <w:left w:val="single" w:color="000000" w:sz="10" w:space="0"/>
              <w:bottom w:val="nil"/>
            </w:tcBorders>
            <w:vAlign w:val="top"/>
          </w:tcPr>
          <w:p w14:paraId="759AE238">
            <w:pPr>
              <w:pStyle w:val="104"/>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rPr>
            </w:pPr>
          </w:p>
          <w:p w14:paraId="206C3CDF">
            <w:pPr>
              <w:pStyle w:val="104"/>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rPr>
            </w:pPr>
          </w:p>
          <w:p w14:paraId="1CD4A030">
            <w:pPr>
              <w:pStyle w:val="104"/>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rPr>
            </w:pPr>
          </w:p>
          <w:p w14:paraId="1C2F0547">
            <w:pPr>
              <w:pStyle w:val="104"/>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rPr>
            </w:pPr>
          </w:p>
          <w:p w14:paraId="0F6818DA">
            <w:pPr>
              <w:pStyle w:val="104"/>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rPr>
            </w:pPr>
          </w:p>
          <w:p w14:paraId="331BDA0E">
            <w:pPr>
              <w:keepNext w:val="0"/>
              <w:keepLines w:val="0"/>
              <w:pageBreakBefore w:val="0"/>
              <w:widowControl w:val="0"/>
              <w:kinsoku/>
              <w:wordWrap/>
              <w:overflowPunct/>
              <w:topLinePunct w:val="0"/>
              <w:autoSpaceDE/>
              <w:autoSpaceDN/>
              <w:bidi w:val="0"/>
              <w:adjustRightInd/>
              <w:snapToGrid/>
              <w:spacing w:before="69" w:line="300" w:lineRule="exact"/>
              <w:ind w:left="0" w:leftChars="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928" w:type="dxa"/>
            <w:vMerge w:val="restart"/>
            <w:tcBorders>
              <w:bottom w:val="nil"/>
            </w:tcBorders>
            <w:vAlign w:val="top"/>
          </w:tcPr>
          <w:p w14:paraId="777F7C3B">
            <w:pPr>
              <w:pStyle w:val="104"/>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rPr>
            </w:pPr>
          </w:p>
          <w:p w14:paraId="2C7942EF">
            <w:pPr>
              <w:pStyle w:val="104"/>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rPr>
            </w:pPr>
          </w:p>
          <w:p w14:paraId="34A8D2B6">
            <w:pPr>
              <w:pStyle w:val="104"/>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rPr>
            </w:pPr>
          </w:p>
          <w:p w14:paraId="6978B7F5">
            <w:pPr>
              <w:pStyle w:val="104"/>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rPr>
            </w:pPr>
          </w:p>
          <w:p w14:paraId="7C6FE558">
            <w:pPr>
              <w:keepNext w:val="0"/>
              <w:keepLines w:val="0"/>
              <w:pageBreakBefore w:val="0"/>
              <w:widowControl w:val="0"/>
              <w:kinsoku/>
              <w:wordWrap/>
              <w:overflowPunct/>
              <w:topLinePunct w:val="0"/>
              <w:autoSpaceDE/>
              <w:autoSpaceDN/>
              <w:bidi w:val="0"/>
              <w:adjustRightInd/>
              <w:snapToGrid/>
              <w:spacing w:before="68" w:line="300" w:lineRule="exact"/>
              <w:ind w:left="0" w:leftChars="0" w:right="159" w:firstLine="0" w:firstLineChars="0"/>
              <w:jc w:val="center"/>
              <w:textAlignment w:val="auto"/>
              <w:rPr>
                <w:rFonts w:hint="eastAsia" w:ascii="宋体" w:hAnsi="宋体" w:eastAsia="宋体" w:cs="宋体"/>
                <w:spacing w:val="-6"/>
                <w:sz w:val="21"/>
                <w:szCs w:val="21"/>
              </w:rPr>
            </w:pPr>
            <w:r>
              <w:rPr>
                <w:rFonts w:hint="eastAsia" w:ascii="宋体" w:hAnsi="宋体" w:eastAsia="宋体" w:cs="宋体"/>
                <w:spacing w:val="-6"/>
                <w:sz w:val="21"/>
                <w:szCs w:val="21"/>
              </w:rPr>
              <w:t>定级</w:t>
            </w:r>
          </w:p>
          <w:p w14:paraId="033CD6AD">
            <w:pPr>
              <w:keepNext w:val="0"/>
              <w:keepLines w:val="0"/>
              <w:pageBreakBefore w:val="0"/>
              <w:widowControl w:val="0"/>
              <w:kinsoku/>
              <w:wordWrap/>
              <w:overflowPunct/>
              <w:topLinePunct w:val="0"/>
              <w:autoSpaceDE/>
              <w:autoSpaceDN/>
              <w:bidi w:val="0"/>
              <w:adjustRightInd/>
              <w:snapToGrid/>
              <w:spacing w:before="68" w:line="300" w:lineRule="exact"/>
              <w:ind w:left="0" w:leftChars="0" w:right="159" w:firstLine="0" w:firstLineChars="0"/>
              <w:jc w:val="center"/>
              <w:textAlignment w:val="auto"/>
              <w:rPr>
                <w:rFonts w:hint="eastAsia" w:ascii="宋体" w:hAnsi="宋体" w:eastAsia="宋体" w:cs="宋体"/>
                <w:sz w:val="21"/>
                <w:szCs w:val="21"/>
              </w:rPr>
            </w:pPr>
            <w:r>
              <w:rPr>
                <w:rFonts w:hint="eastAsia" w:ascii="宋体" w:hAnsi="宋体" w:eastAsia="宋体" w:cs="宋体"/>
                <w:spacing w:val="-6"/>
                <w:sz w:val="21"/>
                <w:szCs w:val="21"/>
              </w:rPr>
              <w:t>定量</w:t>
            </w:r>
          </w:p>
        </w:tc>
        <w:tc>
          <w:tcPr>
            <w:tcW w:w="2804" w:type="dxa"/>
            <w:vAlign w:val="top"/>
          </w:tcPr>
          <w:p w14:paraId="715DF7C9">
            <w:pPr>
              <w:keepNext w:val="0"/>
              <w:keepLines w:val="0"/>
              <w:pageBreakBefore w:val="0"/>
              <w:widowControl w:val="0"/>
              <w:kinsoku/>
              <w:wordWrap/>
              <w:overflowPunct/>
              <w:topLinePunct w:val="0"/>
              <w:autoSpaceDE/>
              <w:autoSpaceDN/>
              <w:bidi w:val="0"/>
              <w:adjustRightInd/>
              <w:snapToGrid/>
              <w:spacing w:before="276" w:line="300" w:lineRule="exact"/>
              <w:ind w:left="0" w:leftChars="0" w:firstLine="0" w:firstLineChars="0"/>
              <w:jc w:val="center"/>
              <w:textAlignment w:val="auto"/>
              <w:rPr>
                <w:rFonts w:hint="eastAsia" w:ascii="宋体" w:hAnsi="宋体" w:eastAsia="宋体" w:cs="宋体"/>
                <w:sz w:val="21"/>
                <w:szCs w:val="21"/>
              </w:rPr>
            </w:pPr>
            <w:r>
              <w:rPr>
                <w:rFonts w:hint="eastAsia" w:ascii="宋体" w:hAnsi="宋体" w:eastAsia="宋体" w:cs="宋体"/>
                <w:spacing w:val="-2"/>
                <w:sz w:val="21"/>
                <w:szCs w:val="21"/>
              </w:rPr>
              <w:t>建筑危险等级</w:t>
            </w:r>
          </w:p>
        </w:tc>
        <w:tc>
          <w:tcPr>
            <w:tcW w:w="4084" w:type="dxa"/>
            <w:vAlign w:val="top"/>
          </w:tcPr>
          <w:p w14:paraId="31C3B48D">
            <w:pPr>
              <w:keepNext w:val="0"/>
              <w:keepLines w:val="0"/>
              <w:pageBreakBefore w:val="0"/>
              <w:widowControl w:val="0"/>
              <w:kinsoku/>
              <w:wordWrap/>
              <w:overflowPunct/>
              <w:topLinePunct w:val="0"/>
              <w:autoSpaceDE/>
              <w:autoSpaceDN/>
              <w:bidi w:val="0"/>
              <w:adjustRightInd/>
              <w:snapToGrid/>
              <w:spacing w:before="84" w:line="300" w:lineRule="exact"/>
              <w:ind w:left="0" w:leftChars="0" w:right="89" w:firstLine="0" w:firstLineChars="0"/>
              <w:jc w:val="center"/>
              <w:textAlignment w:val="auto"/>
              <w:rPr>
                <w:rFonts w:hint="eastAsia" w:ascii="宋体" w:hAnsi="宋体" w:eastAsia="宋体" w:cs="宋体"/>
                <w:sz w:val="21"/>
                <w:szCs w:val="21"/>
              </w:rPr>
            </w:pPr>
            <w:r>
              <w:rPr>
                <w:rFonts w:hint="eastAsia" w:ascii="宋体" w:hAnsi="宋体" w:eastAsia="宋体" w:cs="宋体"/>
                <w:spacing w:val="-4"/>
                <w:sz w:val="21"/>
                <w:szCs w:val="21"/>
              </w:rPr>
              <w:t>540号成品库危险等级为1.3级</w:t>
            </w:r>
            <w:r>
              <w:rPr>
                <w:rFonts w:hint="eastAsia" w:ascii="宋体" w:hAnsi="宋体" w:eastAsia="宋体" w:cs="宋体"/>
                <w:spacing w:val="-4"/>
                <w:sz w:val="21"/>
                <w:szCs w:val="21"/>
                <w:lang w:eastAsia="zh-CN"/>
              </w:rPr>
              <w:t>，</w:t>
            </w:r>
            <w:r>
              <w:rPr>
                <w:rFonts w:hint="eastAsia" w:ascii="宋体" w:hAnsi="宋体" w:eastAsia="宋体" w:cs="宋体"/>
                <w:spacing w:val="-4"/>
                <w:sz w:val="21"/>
                <w:szCs w:val="21"/>
              </w:rPr>
              <w:t>542号成品库危险等级为1.3级</w:t>
            </w:r>
            <w:r>
              <w:rPr>
                <w:rFonts w:hint="eastAsia" w:ascii="宋体" w:hAnsi="宋体" w:eastAsia="宋体" w:cs="宋体"/>
                <w:spacing w:val="-4"/>
                <w:sz w:val="21"/>
                <w:szCs w:val="21"/>
                <w:lang w:eastAsia="zh-CN"/>
              </w:rPr>
              <w:t>，</w:t>
            </w:r>
            <w:r>
              <w:rPr>
                <w:rFonts w:hint="eastAsia" w:ascii="宋体" w:hAnsi="宋体" w:eastAsia="宋体" w:cs="宋体"/>
                <w:spacing w:val="-4"/>
                <w:sz w:val="21"/>
                <w:szCs w:val="21"/>
              </w:rPr>
              <w:t>545号成品库危险等级为1.1</w:t>
            </w:r>
            <w:r>
              <w:rPr>
                <w:rFonts w:hint="eastAsia" w:ascii="宋体" w:hAnsi="宋体" w:eastAsia="宋体" w:cs="宋体"/>
                <w:spacing w:val="-4"/>
                <w:sz w:val="21"/>
                <w:szCs w:val="21"/>
                <w:vertAlign w:val="superscript"/>
                <w:lang w:val="en-US" w:eastAsia="zh-CN"/>
              </w:rPr>
              <w:t>-2</w:t>
            </w:r>
            <w:r>
              <w:rPr>
                <w:rFonts w:hint="eastAsia" w:ascii="宋体" w:hAnsi="宋体" w:eastAsia="宋体" w:cs="宋体"/>
                <w:spacing w:val="-4"/>
                <w:sz w:val="21"/>
                <w:szCs w:val="21"/>
              </w:rPr>
              <w:t>级，符合要求。</w:t>
            </w:r>
          </w:p>
        </w:tc>
        <w:tc>
          <w:tcPr>
            <w:tcW w:w="693" w:type="dxa"/>
            <w:tcBorders>
              <w:right w:val="single" w:color="000000" w:sz="10" w:space="0"/>
            </w:tcBorders>
            <w:vAlign w:val="top"/>
          </w:tcPr>
          <w:p w14:paraId="4488151B">
            <w:pPr>
              <w:keepNext w:val="0"/>
              <w:keepLines w:val="0"/>
              <w:pageBreakBefore w:val="0"/>
              <w:widowControl w:val="0"/>
              <w:kinsoku/>
              <w:wordWrap/>
              <w:overflowPunct/>
              <w:topLinePunct w:val="0"/>
              <w:autoSpaceDE/>
              <w:autoSpaceDN/>
              <w:bidi w:val="0"/>
              <w:adjustRightInd/>
              <w:snapToGrid/>
              <w:spacing w:before="276" w:line="300" w:lineRule="exact"/>
              <w:ind w:left="0" w:leftChars="0" w:firstLine="0" w:firstLineChars="0"/>
              <w:jc w:val="both"/>
              <w:textAlignment w:val="auto"/>
              <w:rPr>
                <w:rFonts w:hint="eastAsia" w:ascii="宋体" w:hAnsi="宋体" w:eastAsia="宋体" w:cs="宋体"/>
                <w:sz w:val="21"/>
                <w:szCs w:val="21"/>
              </w:rPr>
            </w:pPr>
            <w:r>
              <w:rPr>
                <w:rFonts w:hint="eastAsia" w:ascii="宋体" w:hAnsi="宋体" w:eastAsia="宋体" w:cs="宋体"/>
                <w:spacing w:val="-2"/>
                <w:sz w:val="21"/>
                <w:szCs w:val="21"/>
              </w:rPr>
              <w:t>合格</w:t>
            </w:r>
          </w:p>
        </w:tc>
      </w:tr>
      <w:tr w14:paraId="0A68BD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1" w:hRule="atLeast"/>
        </w:trPr>
        <w:tc>
          <w:tcPr>
            <w:tcW w:w="579" w:type="dxa"/>
            <w:vMerge w:val="continue"/>
            <w:tcBorders>
              <w:top w:val="nil"/>
              <w:left w:val="single" w:color="000000" w:sz="10" w:space="0"/>
              <w:bottom w:val="nil"/>
            </w:tcBorders>
            <w:vAlign w:val="top"/>
          </w:tcPr>
          <w:p w14:paraId="12A09844">
            <w:pPr>
              <w:pStyle w:val="104"/>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rPr>
            </w:pPr>
          </w:p>
        </w:tc>
        <w:tc>
          <w:tcPr>
            <w:tcW w:w="928" w:type="dxa"/>
            <w:vMerge w:val="continue"/>
            <w:tcBorders>
              <w:top w:val="nil"/>
              <w:bottom w:val="nil"/>
            </w:tcBorders>
            <w:vAlign w:val="top"/>
          </w:tcPr>
          <w:p w14:paraId="64DCE1E5">
            <w:pPr>
              <w:pStyle w:val="104"/>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rPr>
            </w:pPr>
          </w:p>
        </w:tc>
        <w:tc>
          <w:tcPr>
            <w:tcW w:w="2804" w:type="dxa"/>
            <w:vAlign w:val="top"/>
          </w:tcPr>
          <w:p w14:paraId="690F2EC2">
            <w:pPr>
              <w:pStyle w:val="104"/>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rPr>
            </w:pPr>
          </w:p>
          <w:p w14:paraId="4DDF5095">
            <w:pPr>
              <w:keepNext w:val="0"/>
              <w:keepLines w:val="0"/>
              <w:pageBreakBefore w:val="0"/>
              <w:widowControl w:val="0"/>
              <w:kinsoku/>
              <w:wordWrap/>
              <w:overflowPunct/>
              <w:topLinePunct w:val="0"/>
              <w:autoSpaceDE/>
              <w:autoSpaceDN/>
              <w:bidi w:val="0"/>
              <w:adjustRightInd/>
              <w:snapToGrid/>
              <w:spacing w:before="69" w:line="300" w:lineRule="exact"/>
              <w:ind w:left="0" w:leftChars="0" w:firstLine="0" w:firstLineChars="0"/>
              <w:jc w:val="center"/>
              <w:textAlignment w:val="auto"/>
              <w:rPr>
                <w:rFonts w:hint="eastAsia" w:ascii="宋体" w:hAnsi="宋体" w:eastAsia="宋体" w:cs="宋体"/>
                <w:sz w:val="21"/>
                <w:szCs w:val="21"/>
              </w:rPr>
            </w:pPr>
            <w:r>
              <w:rPr>
                <w:rFonts w:hint="eastAsia" w:ascii="宋体" w:hAnsi="宋体" w:eastAsia="宋体" w:cs="宋体"/>
                <w:spacing w:val="-2"/>
                <w:sz w:val="21"/>
                <w:szCs w:val="21"/>
              </w:rPr>
              <w:t>核定存药量</w:t>
            </w:r>
          </w:p>
        </w:tc>
        <w:tc>
          <w:tcPr>
            <w:tcW w:w="4084" w:type="dxa"/>
            <w:vAlign w:val="top"/>
          </w:tcPr>
          <w:p w14:paraId="153CFF48">
            <w:pPr>
              <w:keepNext w:val="0"/>
              <w:keepLines w:val="0"/>
              <w:pageBreakBefore w:val="0"/>
              <w:widowControl w:val="0"/>
              <w:kinsoku/>
              <w:wordWrap/>
              <w:overflowPunct/>
              <w:topLinePunct w:val="0"/>
              <w:autoSpaceDE/>
              <w:autoSpaceDN/>
              <w:bidi w:val="0"/>
              <w:adjustRightInd/>
              <w:snapToGrid/>
              <w:spacing w:before="86" w:line="300" w:lineRule="exact"/>
              <w:ind w:left="0" w:leftChars="0" w:right="89" w:firstLine="0" w:firstLineChars="0"/>
              <w:jc w:val="center"/>
              <w:textAlignment w:val="auto"/>
              <w:rPr>
                <w:rFonts w:hint="eastAsia" w:ascii="宋体" w:hAnsi="宋体" w:eastAsia="宋体" w:cs="宋体"/>
                <w:sz w:val="21"/>
                <w:szCs w:val="21"/>
              </w:rPr>
            </w:pPr>
            <w:r>
              <w:rPr>
                <w:rFonts w:hint="eastAsia" w:ascii="宋体" w:hAnsi="宋体" w:eastAsia="宋体" w:cs="宋体"/>
                <w:spacing w:val="-4"/>
                <w:sz w:val="21"/>
                <w:szCs w:val="21"/>
              </w:rPr>
              <w:t>540号成品库总限药量为9000kg</w:t>
            </w:r>
            <w:r>
              <w:rPr>
                <w:rFonts w:hint="eastAsia" w:ascii="宋体" w:hAnsi="宋体" w:eastAsia="宋体" w:cs="宋体"/>
                <w:spacing w:val="-4"/>
                <w:sz w:val="21"/>
                <w:szCs w:val="21"/>
                <w:lang w:eastAsia="zh-CN"/>
              </w:rPr>
              <w:t>，</w:t>
            </w:r>
            <w:r>
              <w:rPr>
                <w:rFonts w:hint="eastAsia" w:ascii="宋体" w:hAnsi="宋体" w:eastAsia="宋体" w:cs="宋体"/>
                <w:spacing w:val="-4"/>
                <w:sz w:val="21"/>
                <w:szCs w:val="21"/>
              </w:rPr>
              <w:t>542号成品库总限药量为5000kg</w:t>
            </w:r>
            <w:r>
              <w:rPr>
                <w:rFonts w:hint="eastAsia" w:ascii="宋体" w:hAnsi="宋体" w:eastAsia="宋体" w:cs="宋体"/>
                <w:spacing w:val="-4"/>
                <w:sz w:val="21"/>
                <w:szCs w:val="21"/>
                <w:lang w:eastAsia="zh-CN"/>
              </w:rPr>
              <w:t>，</w:t>
            </w:r>
            <w:r>
              <w:rPr>
                <w:rFonts w:hint="eastAsia" w:ascii="宋体" w:hAnsi="宋体" w:eastAsia="宋体" w:cs="宋体"/>
                <w:spacing w:val="-4"/>
                <w:sz w:val="21"/>
                <w:szCs w:val="21"/>
              </w:rPr>
              <w:t>545号成品库总限药量为2000kg,符合要求。</w:t>
            </w:r>
          </w:p>
        </w:tc>
        <w:tc>
          <w:tcPr>
            <w:tcW w:w="693" w:type="dxa"/>
            <w:tcBorders>
              <w:right w:val="single" w:color="000000" w:sz="10" w:space="0"/>
            </w:tcBorders>
            <w:vAlign w:val="top"/>
          </w:tcPr>
          <w:p w14:paraId="1DB0D886">
            <w:pPr>
              <w:pStyle w:val="104"/>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rPr>
            </w:pPr>
          </w:p>
          <w:p w14:paraId="56A0AD3B">
            <w:pPr>
              <w:keepNext w:val="0"/>
              <w:keepLines w:val="0"/>
              <w:pageBreakBefore w:val="0"/>
              <w:widowControl w:val="0"/>
              <w:kinsoku/>
              <w:wordWrap/>
              <w:overflowPunct/>
              <w:topLinePunct w:val="0"/>
              <w:autoSpaceDE/>
              <w:autoSpaceDN/>
              <w:bidi w:val="0"/>
              <w:adjustRightInd/>
              <w:snapToGrid/>
              <w:spacing w:before="69" w:line="300" w:lineRule="exact"/>
              <w:ind w:left="0" w:leftChars="0" w:firstLine="0" w:firstLineChars="0"/>
              <w:jc w:val="both"/>
              <w:textAlignment w:val="auto"/>
              <w:rPr>
                <w:rFonts w:hint="eastAsia" w:ascii="宋体" w:hAnsi="宋体" w:eastAsia="宋体" w:cs="宋体"/>
                <w:sz w:val="21"/>
                <w:szCs w:val="21"/>
              </w:rPr>
            </w:pPr>
            <w:r>
              <w:rPr>
                <w:rFonts w:hint="eastAsia" w:ascii="宋体" w:hAnsi="宋体" w:eastAsia="宋体" w:cs="宋体"/>
                <w:spacing w:val="-2"/>
                <w:sz w:val="21"/>
                <w:szCs w:val="21"/>
              </w:rPr>
              <w:t>合格</w:t>
            </w:r>
          </w:p>
        </w:tc>
      </w:tr>
      <w:tr w14:paraId="3D399C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579" w:type="dxa"/>
            <w:vMerge w:val="continue"/>
            <w:tcBorders>
              <w:top w:val="nil"/>
              <w:left w:val="single" w:color="000000" w:sz="10" w:space="0"/>
              <w:bottom w:val="nil"/>
            </w:tcBorders>
            <w:vAlign w:val="top"/>
          </w:tcPr>
          <w:p w14:paraId="79AB5E93">
            <w:pPr>
              <w:pStyle w:val="104"/>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rPr>
            </w:pPr>
          </w:p>
        </w:tc>
        <w:tc>
          <w:tcPr>
            <w:tcW w:w="928" w:type="dxa"/>
            <w:vMerge w:val="continue"/>
            <w:tcBorders>
              <w:top w:val="nil"/>
              <w:bottom w:val="nil"/>
            </w:tcBorders>
            <w:vAlign w:val="top"/>
          </w:tcPr>
          <w:p w14:paraId="4A94A2FF">
            <w:pPr>
              <w:pStyle w:val="104"/>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rPr>
            </w:pPr>
          </w:p>
        </w:tc>
        <w:tc>
          <w:tcPr>
            <w:tcW w:w="2804" w:type="dxa"/>
            <w:vAlign w:val="top"/>
          </w:tcPr>
          <w:p w14:paraId="07A793B3">
            <w:pPr>
              <w:keepNext w:val="0"/>
              <w:keepLines w:val="0"/>
              <w:pageBreakBefore w:val="0"/>
              <w:widowControl w:val="0"/>
              <w:kinsoku/>
              <w:wordWrap/>
              <w:overflowPunct/>
              <w:topLinePunct w:val="0"/>
              <w:autoSpaceDE/>
              <w:autoSpaceDN/>
              <w:bidi w:val="0"/>
              <w:adjustRightInd/>
              <w:snapToGrid/>
              <w:spacing w:before="114" w:line="300" w:lineRule="exact"/>
              <w:ind w:left="0" w:leftChars="0" w:firstLine="0" w:firstLineChars="0"/>
              <w:jc w:val="center"/>
              <w:textAlignment w:val="auto"/>
              <w:rPr>
                <w:rFonts w:hint="eastAsia" w:ascii="宋体" w:hAnsi="宋体" w:eastAsia="宋体" w:cs="宋体"/>
                <w:sz w:val="21"/>
                <w:szCs w:val="21"/>
              </w:rPr>
            </w:pPr>
            <w:r>
              <w:rPr>
                <w:rFonts w:hint="eastAsia" w:ascii="宋体" w:hAnsi="宋体" w:eastAsia="宋体" w:cs="宋体"/>
                <w:spacing w:val="-6"/>
                <w:sz w:val="21"/>
                <w:szCs w:val="21"/>
              </w:rPr>
              <w:t>内部安全距离</w:t>
            </w:r>
          </w:p>
        </w:tc>
        <w:tc>
          <w:tcPr>
            <w:tcW w:w="4084" w:type="dxa"/>
            <w:vAlign w:val="top"/>
          </w:tcPr>
          <w:p w14:paraId="625BDAAB">
            <w:pPr>
              <w:keepNext w:val="0"/>
              <w:keepLines w:val="0"/>
              <w:pageBreakBefore w:val="0"/>
              <w:widowControl w:val="0"/>
              <w:kinsoku/>
              <w:wordWrap/>
              <w:overflowPunct/>
              <w:topLinePunct w:val="0"/>
              <w:autoSpaceDE/>
              <w:autoSpaceDN/>
              <w:bidi w:val="0"/>
              <w:adjustRightInd/>
              <w:snapToGrid/>
              <w:spacing w:before="114" w:line="300" w:lineRule="exact"/>
              <w:ind w:left="0" w:leftChars="0" w:firstLine="0" w:firstLineChars="0"/>
              <w:jc w:val="center"/>
              <w:textAlignment w:val="auto"/>
              <w:rPr>
                <w:rFonts w:hint="eastAsia" w:ascii="宋体" w:hAnsi="宋体" w:eastAsia="宋体" w:cs="宋体"/>
                <w:sz w:val="21"/>
                <w:szCs w:val="21"/>
              </w:rPr>
            </w:pPr>
            <w:r>
              <w:rPr>
                <w:rFonts w:hint="eastAsia" w:ascii="宋体" w:hAnsi="宋体" w:eastAsia="宋体" w:cs="宋体"/>
                <w:spacing w:val="-4"/>
                <w:sz w:val="21"/>
                <w:szCs w:val="21"/>
              </w:rPr>
              <w:t>内部安全距离符合标准要求。</w:t>
            </w:r>
          </w:p>
        </w:tc>
        <w:tc>
          <w:tcPr>
            <w:tcW w:w="693" w:type="dxa"/>
            <w:tcBorders>
              <w:right w:val="single" w:color="000000" w:sz="10" w:space="0"/>
            </w:tcBorders>
            <w:vAlign w:val="top"/>
          </w:tcPr>
          <w:p w14:paraId="265B4C2D">
            <w:pPr>
              <w:keepNext w:val="0"/>
              <w:keepLines w:val="0"/>
              <w:pageBreakBefore w:val="0"/>
              <w:widowControl w:val="0"/>
              <w:kinsoku/>
              <w:wordWrap/>
              <w:overflowPunct/>
              <w:topLinePunct w:val="0"/>
              <w:autoSpaceDE/>
              <w:autoSpaceDN/>
              <w:bidi w:val="0"/>
              <w:adjustRightInd/>
              <w:snapToGrid/>
              <w:spacing w:before="114" w:line="300" w:lineRule="exact"/>
              <w:ind w:left="0" w:leftChars="0" w:firstLine="0" w:firstLineChars="0"/>
              <w:jc w:val="both"/>
              <w:textAlignment w:val="auto"/>
              <w:rPr>
                <w:rFonts w:hint="eastAsia" w:ascii="宋体" w:hAnsi="宋体" w:eastAsia="宋体" w:cs="宋体"/>
                <w:sz w:val="21"/>
                <w:szCs w:val="21"/>
              </w:rPr>
            </w:pPr>
            <w:r>
              <w:rPr>
                <w:rFonts w:hint="eastAsia" w:ascii="宋体" w:hAnsi="宋体" w:eastAsia="宋体" w:cs="宋体"/>
                <w:spacing w:val="-2"/>
                <w:sz w:val="21"/>
                <w:szCs w:val="21"/>
              </w:rPr>
              <w:t>合格</w:t>
            </w:r>
          </w:p>
        </w:tc>
      </w:tr>
      <w:tr w14:paraId="3B2AF0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 w:hRule="atLeast"/>
        </w:trPr>
        <w:tc>
          <w:tcPr>
            <w:tcW w:w="579" w:type="dxa"/>
            <w:vMerge w:val="continue"/>
            <w:tcBorders>
              <w:top w:val="nil"/>
              <w:left w:val="single" w:color="000000" w:sz="10" w:space="0"/>
            </w:tcBorders>
            <w:vAlign w:val="top"/>
          </w:tcPr>
          <w:p w14:paraId="596142D7">
            <w:pPr>
              <w:pStyle w:val="104"/>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rPr>
            </w:pPr>
          </w:p>
        </w:tc>
        <w:tc>
          <w:tcPr>
            <w:tcW w:w="928" w:type="dxa"/>
            <w:vMerge w:val="continue"/>
            <w:tcBorders>
              <w:top w:val="nil"/>
            </w:tcBorders>
            <w:vAlign w:val="top"/>
          </w:tcPr>
          <w:p w14:paraId="4EBEED4B">
            <w:pPr>
              <w:pStyle w:val="104"/>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rPr>
            </w:pPr>
          </w:p>
        </w:tc>
        <w:tc>
          <w:tcPr>
            <w:tcW w:w="2804" w:type="dxa"/>
            <w:vAlign w:val="top"/>
          </w:tcPr>
          <w:p w14:paraId="6E5642F7">
            <w:pPr>
              <w:keepNext w:val="0"/>
              <w:keepLines w:val="0"/>
              <w:pageBreakBefore w:val="0"/>
              <w:widowControl w:val="0"/>
              <w:kinsoku/>
              <w:wordWrap/>
              <w:overflowPunct/>
              <w:topLinePunct w:val="0"/>
              <w:autoSpaceDE/>
              <w:autoSpaceDN/>
              <w:bidi w:val="0"/>
              <w:adjustRightInd/>
              <w:snapToGrid/>
              <w:spacing w:before="116" w:line="300" w:lineRule="exact"/>
              <w:ind w:left="0" w:leftChars="0" w:firstLine="0" w:firstLineChars="0"/>
              <w:jc w:val="center"/>
              <w:textAlignment w:val="auto"/>
              <w:rPr>
                <w:rFonts w:hint="eastAsia" w:ascii="宋体" w:hAnsi="宋体" w:eastAsia="宋体" w:cs="宋体"/>
                <w:sz w:val="21"/>
                <w:szCs w:val="21"/>
              </w:rPr>
            </w:pPr>
            <w:r>
              <w:rPr>
                <w:rFonts w:hint="eastAsia" w:ascii="宋体" w:hAnsi="宋体" w:eastAsia="宋体" w:cs="宋体"/>
                <w:spacing w:val="-3"/>
                <w:sz w:val="21"/>
                <w:szCs w:val="21"/>
              </w:rPr>
              <w:t>安全标志</w:t>
            </w:r>
          </w:p>
        </w:tc>
        <w:tc>
          <w:tcPr>
            <w:tcW w:w="4084" w:type="dxa"/>
            <w:vAlign w:val="top"/>
          </w:tcPr>
          <w:p w14:paraId="21928517">
            <w:pPr>
              <w:keepNext w:val="0"/>
              <w:keepLines w:val="0"/>
              <w:pageBreakBefore w:val="0"/>
              <w:widowControl w:val="0"/>
              <w:kinsoku/>
              <w:wordWrap/>
              <w:overflowPunct/>
              <w:topLinePunct w:val="0"/>
              <w:autoSpaceDE/>
              <w:autoSpaceDN/>
              <w:bidi w:val="0"/>
              <w:adjustRightInd/>
              <w:snapToGrid/>
              <w:spacing w:before="115" w:line="300" w:lineRule="exact"/>
              <w:ind w:left="0" w:leftChars="0" w:firstLine="0" w:firstLineChars="0"/>
              <w:jc w:val="center"/>
              <w:textAlignment w:val="auto"/>
              <w:rPr>
                <w:rFonts w:hint="eastAsia" w:ascii="宋体" w:hAnsi="宋体" w:eastAsia="宋体" w:cs="宋体"/>
                <w:sz w:val="21"/>
                <w:szCs w:val="21"/>
              </w:rPr>
            </w:pPr>
            <w:r>
              <w:rPr>
                <w:rFonts w:hint="eastAsia" w:ascii="宋体" w:hAnsi="宋体" w:eastAsia="宋体" w:cs="宋体"/>
                <w:spacing w:val="-2"/>
                <w:sz w:val="21"/>
                <w:szCs w:val="21"/>
              </w:rPr>
              <w:t>较齐全。</w:t>
            </w:r>
          </w:p>
        </w:tc>
        <w:tc>
          <w:tcPr>
            <w:tcW w:w="693" w:type="dxa"/>
            <w:tcBorders>
              <w:right w:val="single" w:color="000000" w:sz="10" w:space="0"/>
            </w:tcBorders>
            <w:vAlign w:val="top"/>
          </w:tcPr>
          <w:p w14:paraId="67F5C5E6">
            <w:pPr>
              <w:keepNext w:val="0"/>
              <w:keepLines w:val="0"/>
              <w:pageBreakBefore w:val="0"/>
              <w:widowControl w:val="0"/>
              <w:kinsoku/>
              <w:wordWrap/>
              <w:overflowPunct/>
              <w:topLinePunct w:val="0"/>
              <w:autoSpaceDE/>
              <w:autoSpaceDN/>
              <w:bidi w:val="0"/>
              <w:adjustRightInd/>
              <w:snapToGrid/>
              <w:spacing w:before="115" w:line="300" w:lineRule="exact"/>
              <w:ind w:left="0" w:leftChars="0" w:firstLine="0" w:firstLineChars="0"/>
              <w:jc w:val="both"/>
              <w:textAlignment w:val="auto"/>
              <w:rPr>
                <w:rFonts w:hint="eastAsia" w:ascii="宋体" w:hAnsi="宋体" w:eastAsia="宋体" w:cs="宋体"/>
                <w:sz w:val="21"/>
                <w:szCs w:val="21"/>
              </w:rPr>
            </w:pPr>
            <w:r>
              <w:rPr>
                <w:rFonts w:hint="eastAsia" w:ascii="宋体" w:hAnsi="宋体" w:eastAsia="宋体" w:cs="宋体"/>
                <w:spacing w:val="-2"/>
                <w:sz w:val="21"/>
                <w:szCs w:val="21"/>
              </w:rPr>
              <w:t>合格</w:t>
            </w:r>
          </w:p>
        </w:tc>
      </w:tr>
      <w:tr w14:paraId="5FC697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 w:hRule="atLeast"/>
        </w:trPr>
        <w:tc>
          <w:tcPr>
            <w:tcW w:w="579" w:type="dxa"/>
            <w:vMerge w:val="restart"/>
            <w:tcBorders>
              <w:left w:val="single" w:color="000000" w:sz="10" w:space="0"/>
              <w:bottom w:val="nil"/>
            </w:tcBorders>
            <w:vAlign w:val="top"/>
          </w:tcPr>
          <w:p w14:paraId="40B84A1B">
            <w:pPr>
              <w:pStyle w:val="104"/>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rPr>
            </w:pPr>
          </w:p>
          <w:p w14:paraId="1EB071E6">
            <w:pPr>
              <w:pStyle w:val="104"/>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rPr>
            </w:pPr>
          </w:p>
          <w:p w14:paraId="222DF6E8">
            <w:pPr>
              <w:pStyle w:val="104"/>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rPr>
            </w:pPr>
          </w:p>
          <w:p w14:paraId="5DAEFA40">
            <w:pPr>
              <w:pStyle w:val="104"/>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rPr>
            </w:pPr>
          </w:p>
          <w:p w14:paraId="2C230F80">
            <w:pPr>
              <w:pStyle w:val="104"/>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rPr>
            </w:pPr>
          </w:p>
          <w:p w14:paraId="7215A5B6">
            <w:pPr>
              <w:pStyle w:val="104"/>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rPr>
            </w:pPr>
          </w:p>
          <w:p w14:paraId="7BD90D82">
            <w:pPr>
              <w:pStyle w:val="104"/>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rPr>
            </w:pPr>
          </w:p>
          <w:p w14:paraId="33FC58DE">
            <w:pPr>
              <w:pStyle w:val="104"/>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rPr>
            </w:pPr>
          </w:p>
          <w:p w14:paraId="3CECEE1E">
            <w:pPr>
              <w:keepNext w:val="0"/>
              <w:keepLines w:val="0"/>
              <w:pageBreakBefore w:val="0"/>
              <w:widowControl w:val="0"/>
              <w:kinsoku/>
              <w:wordWrap/>
              <w:overflowPunct/>
              <w:topLinePunct w:val="0"/>
              <w:autoSpaceDE/>
              <w:autoSpaceDN/>
              <w:bidi w:val="0"/>
              <w:adjustRightInd/>
              <w:snapToGrid/>
              <w:spacing w:before="68" w:line="300" w:lineRule="exact"/>
              <w:ind w:left="0" w:leftChars="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2</w:t>
            </w:r>
          </w:p>
        </w:tc>
        <w:tc>
          <w:tcPr>
            <w:tcW w:w="928" w:type="dxa"/>
            <w:vMerge w:val="restart"/>
            <w:tcBorders>
              <w:bottom w:val="nil"/>
            </w:tcBorders>
            <w:vAlign w:val="top"/>
          </w:tcPr>
          <w:p w14:paraId="1AF9D740">
            <w:pPr>
              <w:pStyle w:val="104"/>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rPr>
            </w:pPr>
          </w:p>
          <w:p w14:paraId="1DD5F291">
            <w:pPr>
              <w:pStyle w:val="104"/>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rPr>
            </w:pPr>
          </w:p>
          <w:p w14:paraId="67F1DE29">
            <w:pPr>
              <w:pStyle w:val="104"/>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rPr>
            </w:pPr>
          </w:p>
          <w:p w14:paraId="00A7D2D2">
            <w:pPr>
              <w:pStyle w:val="104"/>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rPr>
            </w:pPr>
          </w:p>
          <w:p w14:paraId="2CF8392F">
            <w:pPr>
              <w:pStyle w:val="104"/>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rPr>
            </w:pPr>
          </w:p>
          <w:p w14:paraId="3A1AF720">
            <w:pPr>
              <w:pStyle w:val="104"/>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rPr>
            </w:pPr>
          </w:p>
          <w:p w14:paraId="6085F5B8">
            <w:pPr>
              <w:pStyle w:val="104"/>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rPr>
            </w:pPr>
          </w:p>
          <w:p w14:paraId="48F66D30">
            <w:pPr>
              <w:keepNext w:val="0"/>
              <w:keepLines w:val="0"/>
              <w:pageBreakBefore w:val="0"/>
              <w:widowControl w:val="0"/>
              <w:kinsoku/>
              <w:wordWrap/>
              <w:overflowPunct/>
              <w:topLinePunct w:val="0"/>
              <w:autoSpaceDE/>
              <w:autoSpaceDN/>
              <w:bidi w:val="0"/>
              <w:adjustRightInd/>
              <w:snapToGrid/>
              <w:spacing w:before="68" w:line="300" w:lineRule="exact"/>
              <w:ind w:left="0" w:leftChars="0" w:right="159" w:firstLine="0" w:firstLineChars="0"/>
              <w:jc w:val="center"/>
              <w:textAlignment w:val="auto"/>
              <w:rPr>
                <w:rFonts w:hint="eastAsia" w:ascii="宋体" w:hAnsi="宋体" w:eastAsia="宋体" w:cs="宋体"/>
                <w:spacing w:val="-5"/>
                <w:sz w:val="21"/>
                <w:szCs w:val="21"/>
              </w:rPr>
            </w:pPr>
            <w:r>
              <w:rPr>
                <w:rFonts w:hint="eastAsia" w:ascii="宋体" w:hAnsi="宋体" w:eastAsia="宋体" w:cs="宋体"/>
                <w:spacing w:val="-5"/>
                <w:sz w:val="21"/>
                <w:szCs w:val="21"/>
              </w:rPr>
              <w:t>建筑</w:t>
            </w:r>
          </w:p>
          <w:p w14:paraId="01DA1A3C">
            <w:pPr>
              <w:keepNext w:val="0"/>
              <w:keepLines w:val="0"/>
              <w:pageBreakBefore w:val="0"/>
              <w:widowControl w:val="0"/>
              <w:kinsoku/>
              <w:wordWrap/>
              <w:overflowPunct/>
              <w:topLinePunct w:val="0"/>
              <w:autoSpaceDE/>
              <w:autoSpaceDN/>
              <w:bidi w:val="0"/>
              <w:adjustRightInd/>
              <w:snapToGrid/>
              <w:spacing w:before="68" w:line="300" w:lineRule="exact"/>
              <w:ind w:left="0" w:leftChars="0" w:right="159" w:firstLine="0" w:firstLineChars="0"/>
              <w:jc w:val="center"/>
              <w:textAlignment w:val="auto"/>
              <w:rPr>
                <w:rFonts w:hint="eastAsia" w:ascii="宋体" w:hAnsi="宋体" w:eastAsia="宋体" w:cs="宋体"/>
                <w:sz w:val="21"/>
                <w:szCs w:val="21"/>
              </w:rPr>
            </w:pPr>
            <w:r>
              <w:rPr>
                <w:rFonts w:hint="eastAsia" w:ascii="宋体" w:hAnsi="宋体" w:eastAsia="宋体" w:cs="宋体"/>
                <w:spacing w:val="-6"/>
                <w:sz w:val="21"/>
                <w:szCs w:val="21"/>
              </w:rPr>
              <w:t>结构</w:t>
            </w:r>
          </w:p>
        </w:tc>
        <w:tc>
          <w:tcPr>
            <w:tcW w:w="2804" w:type="dxa"/>
            <w:vAlign w:val="top"/>
          </w:tcPr>
          <w:p w14:paraId="068816A4">
            <w:pPr>
              <w:keepNext w:val="0"/>
              <w:keepLines w:val="0"/>
              <w:pageBreakBefore w:val="0"/>
              <w:widowControl w:val="0"/>
              <w:kinsoku/>
              <w:wordWrap/>
              <w:overflowPunct/>
              <w:topLinePunct w:val="0"/>
              <w:autoSpaceDE/>
              <w:autoSpaceDN/>
              <w:bidi w:val="0"/>
              <w:adjustRightInd/>
              <w:snapToGrid/>
              <w:spacing w:before="117" w:line="300" w:lineRule="exact"/>
              <w:ind w:left="0" w:leftChars="0" w:firstLine="0" w:firstLineChars="0"/>
              <w:jc w:val="center"/>
              <w:textAlignment w:val="auto"/>
              <w:rPr>
                <w:rFonts w:hint="eastAsia" w:ascii="宋体" w:hAnsi="宋体" w:eastAsia="宋体" w:cs="宋体"/>
                <w:sz w:val="21"/>
                <w:szCs w:val="21"/>
              </w:rPr>
            </w:pPr>
            <w:r>
              <w:rPr>
                <w:rFonts w:hint="eastAsia" w:ascii="宋体" w:hAnsi="宋体" w:eastAsia="宋体" w:cs="宋体"/>
                <w:spacing w:val="-2"/>
                <w:sz w:val="21"/>
                <w:szCs w:val="21"/>
              </w:rPr>
              <w:t>建筑设计和结构</w:t>
            </w:r>
          </w:p>
        </w:tc>
        <w:tc>
          <w:tcPr>
            <w:tcW w:w="4084" w:type="dxa"/>
            <w:vAlign w:val="top"/>
          </w:tcPr>
          <w:p w14:paraId="532CB960">
            <w:pPr>
              <w:keepNext w:val="0"/>
              <w:keepLines w:val="0"/>
              <w:pageBreakBefore w:val="0"/>
              <w:widowControl w:val="0"/>
              <w:kinsoku/>
              <w:wordWrap/>
              <w:overflowPunct/>
              <w:topLinePunct w:val="0"/>
              <w:autoSpaceDE/>
              <w:autoSpaceDN/>
              <w:bidi w:val="0"/>
              <w:adjustRightInd/>
              <w:snapToGrid/>
              <w:spacing w:before="117" w:line="300" w:lineRule="exact"/>
              <w:ind w:left="0" w:leftChars="0" w:firstLine="0" w:firstLineChars="0"/>
              <w:jc w:val="center"/>
              <w:textAlignment w:val="auto"/>
              <w:rPr>
                <w:rFonts w:hint="eastAsia" w:ascii="宋体" w:hAnsi="宋体" w:eastAsia="宋体" w:cs="宋体"/>
                <w:sz w:val="21"/>
                <w:szCs w:val="21"/>
              </w:rPr>
            </w:pPr>
            <w:r>
              <w:rPr>
                <w:rFonts w:hint="eastAsia" w:ascii="宋体" w:hAnsi="宋体" w:eastAsia="宋体" w:cs="宋体"/>
                <w:spacing w:val="-1"/>
                <w:sz w:val="21"/>
                <w:szCs w:val="21"/>
              </w:rPr>
              <w:t>砌体承重结构，设上下圈梁和构造柱。</w:t>
            </w:r>
          </w:p>
        </w:tc>
        <w:tc>
          <w:tcPr>
            <w:tcW w:w="693" w:type="dxa"/>
            <w:tcBorders>
              <w:right w:val="single" w:color="000000" w:sz="10" w:space="0"/>
            </w:tcBorders>
            <w:vAlign w:val="top"/>
          </w:tcPr>
          <w:p w14:paraId="0096905D">
            <w:pPr>
              <w:keepNext w:val="0"/>
              <w:keepLines w:val="0"/>
              <w:pageBreakBefore w:val="0"/>
              <w:widowControl w:val="0"/>
              <w:kinsoku/>
              <w:wordWrap/>
              <w:overflowPunct/>
              <w:topLinePunct w:val="0"/>
              <w:autoSpaceDE/>
              <w:autoSpaceDN/>
              <w:bidi w:val="0"/>
              <w:adjustRightInd/>
              <w:snapToGrid/>
              <w:spacing w:before="117" w:line="300" w:lineRule="exact"/>
              <w:ind w:left="0" w:leftChars="0" w:firstLine="0" w:firstLineChars="0"/>
              <w:jc w:val="both"/>
              <w:textAlignment w:val="auto"/>
              <w:rPr>
                <w:rFonts w:hint="eastAsia" w:ascii="宋体" w:hAnsi="宋体" w:eastAsia="宋体" w:cs="宋体"/>
                <w:sz w:val="21"/>
                <w:szCs w:val="21"/>
              </w:rPr>
            </w:pPr>
            <w:r>
              <w:rPr>
                <w:rFonts w:hint="eastAsia" w:ascii="宋体" w:hAnsi="宋体" w:eastAsia="宋体" w:cs="宋体"/>
                <w:spacing w:val="-2"/>
                <w:sz w:val="21"/>
                <w:szCs w:val="21"/>
              </w:rPr>
              <w:t>合格</w:t>
            </w:r>
          </w:p>
        </w:tc>
      </w:tr>
      <w:tr w14:paraId="5716FD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579" w:type="dxa"/>
            <w:vMerge w:val="continue"/>
            <w:tcBorders>
              <w:top w:val="nil"/>
              <w:left w:val="single" w:color="000000" w:sz="10" w:space="0"/>
              <w:bottom w:val="nil"/>
            </w:tcBorders>
            <w:vAlign w:val="top"/>
          </w:tcPr>
          <w:p w14:paraId="77EAD852">
            <w:pPr>
              <w:pStyle w:val="104"/>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rPr>
            </w:pPr>
          </w:p>
        </w:tc>
        <w:tc>
          <w:tcPr>
            <w:tcW w:w="928" w:type="dxa"/>
            <w:vMerge w:val="continue"/>
            <w:tcBorders>
              <w:top w:val="nil"/>
              <w:bottom w:val="nil"/>
            </w:tcBorders>
            <w:vAlign w:val="top"/>
          </w:tcPr>
          <w:p w14:paraId="3025A3B8">
            <w:pPr>
              <w:pStyle w:val="104"/>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rPr>
            </w:pPr>
          </w:p>
        </w:tc>
        <w:tc>
          <w:tcPr>
            <w:tcW w:w="2804" w:type="dxa"/>
            <w:vAlign w:val="top"/>
          </w:tcPr>
          <w:p w14:paraId="555C08F8">
            <w:pPr>
              <w:keepNext w:val="0"/>
              <w:keepLines w:val="0"/>
              <w:pageBreakBefore w:val="0"/>
              <w:widowControl w:val="0"/>
              <w:kinsoku/>
              <w:wordWrap/>
              <w:overflowPunct/>
              <w:topLinePunct w:val="0"/>
              <w:autoSpaceDE/>
              <w:autoSpaceDN/>
              <w:bidi w:val="0"/>
              <w:adjustRightInd/>
              <w:snapToGrid/>
              <w:spacing w:before="118" w:line="300" w:lineRule="exact"/>
              <w:ind w:left="0" w:leftChars="0" w:firstLine="0" w:firstLineChars="0"/>
              <w:jc w:val="center"/>
              <w:textAlignment w:val="auto"/>
              <w:rPr>
                <w:rFonts w:hint="eastAsia" w:ascii="宋体" w:hAnsi="宋体" w:eastAsia="宋体" w:cs="宋体"/>
                <w:sz w:val="21"/>
                <w:szCs w:val="21"/>
              </w:rPr>
            </w:pPr>
            <w:r>
              <w:rPr>
                <w:rFonts w:hint="eastAsia" w:ascii="宋体" w:hAnsi="宋体" w:eastAsia="宋体" w:cs="宋体"/>
                <w:spacing w:val="-2"/>
                <w:sz w:val="21"/>
                <w:szCs w:val="21"/>
              </w:rPr>
              <w:t>建筑防火等级</w:t>
            </w:r>
          </w:p>
        </w:tc>
        <w:tc>
          <w:tcPr>
            <w:tcW w:w="4084" w:type="dxa"/>
            <w:vAlign w:val="top"/>
          </w:tcPr>
          <w:p w14:paraId="46D9824A">
            <w:pPr>
              <w:keepNext w:val="0"/>
              <w:keepLines w:val="0"/>
              <w:pageBreakBefore w:val="0"/>
              <w:widowControl w:val="0"/>
              <w:kinsoku/>
              <w:wordWrap/>
              <w:overflowPunct/>
              <w:topLinePunct w:val="0"/>
              <w:autoSpaceDE/>
              <w:autoSpaceDN/>
              <w:bidi w:val="0"/>
              <w:adjustRightInd/>
              <w:snapToGrid/>
              <w:spacing w:before="118" w:line="300" w:lineRule="exact"/>
              <w:ind w:left="0" w:leftChars="0" w:firstLine="0" w:firstLineChars="0"/>
              <w:jc w:val="center"/>
              <w:textAlignment w:val="auto"/>
              <w:rPr>
                <w:rFonts w:hint="eastAsia" w:ascii="宋体" w:hAnsi="宋体" w:eastAsia="宋体" w:cs="宋体"/>
                <w:sz w:val="21"/>
                <w:szCs w:val="21"/>
              </w:rPr>
            </w:pPr>
            <w:r>
              <w:rPr>
                <w:rFonts w:hint="eastAsia" w:ascii="宋体" w:hAnsi="宋体" w:eastAsia="宋体" w:cs="宋体"/>
                <w:spacing w:val="-2"/>
                <w:sz w:val="21"/>
                <w:szCs w:val="21"/>
              </w:rPr>
              <w:t>库房耐火等级均为二级。</w:t>
            </w:r>
          </w:p>
        </w:tc>
        <w:tc>
          <w:tcPr>
            <w:tcW w:w="693" w:type="dxa"/>
            <w:tcBorders>
              <w:right w:val="single" w:color="000000" w:sz="10" w:space="0"/>
            </w:tcBorders>
            <w:vAlign w:val="top"/>
          </w:tcPr>
          <w:p w14:paraId="3BE367BB">
            <w:pPr>
              <w:keepNext w:val="0"/>
              <w:keepLines w:val="0"/>
              <w:pageBreakBefore w:val="0"/>
              <w:widowControl w:val="0"/>
              <w:kinsoku/>
              <w:wordWrap/>
              <w:overflowPunct/>
              <w:topLinePunct w:val="0"/>
              <w:autoSpaceDE/>
              <w:autoSpaceDN/>
              <w:bidi w:val="0"/>
              <w:adjustRightInd/>
              <w:snapToGrid/>
              <w:spacing w:before="118" w:line="300" w:lineRule="exact"/>
              <w:ind w:left="0" w:leftChars="0" w:firstLine="0" w:firstLineChars="0"/>
              <w:jc w:val="both"/>
              <w:textAlignment w:val="auto"/>
              <w:rPr>
                <w:rFonts w:hint="eastAsia" w:ascii="宋体" w:hAnsi="宋体" w:eastAsia="宋体" w:cs="宋体"/>
                <w:sz w:val="21"/>
                <w:szCs w:val="21"/>
              </w:rPr>
            </w:pPr>
            <w:r>
              <w:rPr>
                <w:rFonts w:hint="eastAsia" w:ascii="宋体" w:hAnsi="宋体" w:eastAsia="宋体" w:cs="宋体"/>
                <w:spacing w:val="-2"/>
                <w:sz w:val="21"/>
                <w:szCs w:val="21"/>
              </w:rPr>
              <w:t>合格</w:t>
            </w:r>
          </w:p>
        </w:tc>
      </w:tr>
      <w:tr w14:paraId="5D6B5D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1" w:hRule="atLeast"/>
        </w:trPr>
        <w:tc>
          <w:tcPr>
            <w:tcW w:w="579" w:type="dxa"/>
            <w:vMerge w:val="continue"/>
            <w:tcBorders>
              <w:top w:val="nil"/>
              <w:left w:val="single" w:color="000000" w:sz="10" w:space="0"/>
              <w:bottom w:val="nil"/>
            </w:tcBorders>
            <w:vAlign w:val="top"/>
          </w:tcPr>
          <w:p w14:paraId="59EEF6D2">
            <w:pPr>
              <w:pStyle w:val="104"/>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rPr>
            </w:pPr>
          </w:p>
        </w:tc>
        <w:tc>
          <w:tcPr>
            <w:tcW w:w="928" w:type="dxa"/>
            <w:vMerge w:val="continue"/>
            <w:tcBorders>
              <w:top w:val="nil"/>
              <w:bottom w:val="nil"/>
            </w:tcBorders>
            <w:vAlign w:val="top"/>
          </w:tcPr>
          <w:p w14:paraId="0D54DA13">
            <w:pPr>
              <w:pStyle w:val="104"/>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rPr>
            </w:pPr>
          </w:p>
        </w:tc>
        <w:tc>
          <w:tcPr>
            <w:tcW w:w="2804" w:type="dxa"/>
            <w:vAlign w:val="top"/>
          </w:tcPr>
          <w:p w14:paraId="58532261">
            <w:pPr>
              <w:keepNext w:val="0"/>
              <w:keepLines w:val="0"/>
              <w:pageBreakBefore w:val="0"/>
              <w:widowControl w:val="0"/>
              <w:kinsoku/>
              <w:wordWrap/>
              <w:overflowPunct/>
              <w:topLinePunct w:val="0"/>
              <w:autoSpaceDE/>
              <w:autoSpaceDN/>
              <w:bidi w:val="0"/>
              <w:adjustRightInd/>
              <w:snapToGrid/>
              <w:spacing w:before="109" w:line="300" w:lineRule="exact"/>
              <w:ind w:left="0" w:leftChars="0" w:right="101" w:firstLine="0" w:firstLineChars="0"/>
              <w:jc w:val="center"/>
              <w:textAlignment w:val="auto"/>
              <w:rPr>
                <w:rFonts w:hint="eastAsia" w:ascii="宋体" w:hAnsi="宋体" w:eastAsia="宋体" w:cs="宋体"/>
                <w:sz w:val="21"/>
                <w:szCs w:val="21"/>
              </w:rPr>
            </w:pPr>
            <w:r>
              <w:rPr>
                <w:rFonts w:hint="eastAsia" w:ascii="宋体" w:hAnsi="宋体" w:eastAsia="宋体" w:cs="宋体"/>
                <w:spacing w:val="-6"/>
                <w:sz w:val="21"/>
                <w:szCs w:val="21"/>
              </w:rPr>
              <w:t>门的开启方向、宽度、数量以</w:t>
            </w:r>
            <w:r>
              <w:rPr>
                <w:rFonts w:hint="eastAsia" w:ascii="宋体" w:hAnsi="宋体" w:eastAsia="宋体" w:cs="宋体"/>
                <w:spacing w:val="-1"/>
                <w:sz w:val="21"/>
                <w:szCs w:val="21"/>
              </w:rPr>
              <w:t>及与其他建筑物门的对应方</w:t>
            </w:r>
            <w:r>
              <w:rPr>
                <w:rFonts w:hint="eastAsia" w:ascii="宋体" w:hAnsi="宋体" w:eastAsia="宋体" w:cs="宋体"/>
                <w:sz w:val="21"/>
                <w:szCs w:val="21"/>
              </w:rPr>
              <w:t>向</w:t>
            </w:r>
          </w:p>
        </w:tc>
        <w:tc>
          <w:tcPr>
            <w:tcW w:w="4084" w:type="dxa"/>
            <w:vAlign w:val="top"/>
          </w:tcPr>
          <w:p w14:paraId="0B2F6702">
            <w:pPr>
              <w:keepNext w:val="0"/>
              <w:keepLines w:val="0"/>
              <w:pageBreakBefore w:val="0"/>
              <w:widowControl w:val="0"/>
              <w:kinsoku/>
              <w:wordWrap/>
              <w:overflowPunct/>
              <w:topLinePunct w:val="0"/>
              <w:autoSpaceDE/>
              <w:autoSpaceDN/>
              <w:bidi w:val="0"/>
              <w:adjustRightInd/>
              <w:snapToGrid/>
              <w:spacing w:before="308" w:line="300" w:lineRule="exact"/>
              <w:ind w:left="0" w:leftChars="0" w:right="145" w:firstLine="0" w:firstLineChars="0"/>
              <w:jc w:val="center"/>
              <w:textAlignment w:val="auto"/>
              <w:rPr>
                <w:rFonts w:hint="eastAsia" w:ascii="宋体" w:hAnsi="宋体" w:eastAsia="宋体" w:cs="宋体"/>
                <w:sz w:val="21"/>
                <w:szCs w:val="21"/>
              </w:rPr>
            </w:pPr>
            <w:r>
              <w:rPr>
                <w:rFonts w:hint="eastAsia" w:ascii="宋体" w:hAnsi="宋体" w:eastAsia="宋体" w:cs="宋体"/>
                <w:spacing w:val="-2"/>
                <w:sz w:val="21"/>
                <w:szCs w:val="21"/>
              </w:rPr>
              <w:t>库门均向外开启，门宽大于</w:t>
            </w:r>
            <w:r>
              <w:rPr>
                <w:rFonts w:hint="eastAsia" w:ascii="宋体" w:hAnsi="宋体" w:eastAsia="宋体" w:cs="宋体"/>
                <w:spacing w:val="-29"/>
                <w:sz w:val="21"/>
                <w:szCs w:val="21"/>
              </w:rPr>
              <w:t xml:space="preserve"> </w:t>
            </w:r>
            <w:r>
              <w:rPr>
                <w:rFonts w:hint="eastAsia" w:ascii="宋体" w:hAnsi="宋体" w:eastAsia="宋体" w:cs="宋体"/>
                <w:spacing w:val="-2"/>
                <w:sz w:val="21"/>
                <w:szCs w:val="21"/>
              </w:rPr>
              <w:t>1.5m，库门没</w:t>
            </w:r>
            <w:r>
              <w:rPr>
                <w:rFonts w:hint="eastAsia" w:ascii="宋体" w:hAnsi="宋体" w:eastAsia="宋体" w:cs="宋体"/>
                <w:spacing w:val="-1"/>
                <w:sz w:val="21"/>
                <w:szCs w:val="21"/>
              </w:rPr>
              <w:t>有与其他建筑物门相对应。</w:t>
            </w:r>
          </w:p>
        </w:tc>
        <w:tc>
          <w:tcPr>
            <w:tcW w:w="693" w:type="dxa"/>
            <w:tcBorders>
              <w:right w:val="single" w:color="000000" w:sz="10" w:space="0"/>
            </w:tcBorders>
            <w:vAlign w:val="top"/>
          </w:tcPr>
          <w:p w14:paraId="4AAA23A0">
            <w:pPr>
              <w:pStyle w:val="104"/>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rPr>
            </w:pPr>
          </w:p>
          <w:p w14:paraId="33757A46">
            <w:pPr>
              <w:keepNext w:val="0"/>
              <w:keepLines w:val="0"/>
              <w:pageBreakBefore w:val="0"/>
              <w:widowControl w:val="0"/>
              <w:kinsoku/>
              <w:wordWrap/>
              <w:overflowPunct/>
              <w:topLinePunct w:val="0"/>
              <w:autoSpaceDE/>
              <w:autoSpaceDN/>
              <w:bidi w:val="0"/>
              <w:adjustRightInd/>
              <w:snapToGrid/>
              <w:spacing w:before="69" w:line="300" w:lineRule="exact"/>
              <w:ind w:left="0" w:leftChars="0" w:firstLine="0" w:firstLineChars="0"/>
              <w:jc w:val="both"/>
              <w:textAlignment w:val="auto"/>
              <w:rPr>
                <w:rFonts w:hint="eastAsia" w:ascii="宋体" w:hAnsi="宋体" w:eastAsia="宋体" w:cs="宋体"/>
                <w:sz w:val="21"/>
                <w:szCs w:val="21"/>
              </w:rPr>
            </w:pPr>
            <w:r>
              <w:rPr>
                <w:rFonts w:hint="eastAsia" w:ascii="宋体" w:hAnsi="宋体" w:eastAsia="宋体" w:cs="宋体"/>
                <w:spacing w:val="-2"/>
                <w:sz w:val="21"/>
                <w:szCs w:val="21"/>
              </w:rPr>
              <w:t>合格</w:t>
            </w:r>
          </w:p>
        </w:tc>
      </w:tr>
      <w:tr w14:paraId="15EBE0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 w:hRule="atLeast"/>
        </w:trPr>
        <w:tc>
          <w:tcPr>
            <w:tcW w:w="579" w:type="dxa"/>
            <w:vMerge w:val="continue"/>
            <w:tcBorders>
              <w:top w:val="nil"/>
              <w:left w:val="single" w:color="000000" w:sz="10" w:space="0"/>
              <w:bottom w:val="nil"/>
            </w:tcBorders>
            <w:vAlign w:val="top"/>
          </w:tcPr>
          <w:p w14:paraId="1787AF07">
            <w:pPr>
              <w:pStyle w:val="104"/>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rPr>
            </w:pPr>
          </w:p>
        </w:tc>
        <w:tc>
          <w:tcPr>
            <w:tcW w:w="928" w:type="dxa"/>
            <w:vMerge w:val="continue"/>
            <w:tcBorders>
              <w:top w:val="nil"/>
              <w:bottom w:val="nil"/>
            </w:tcBorders>
            <w:vAlign w:val="top"/>
          </w:tcPr>
          <w:p w14:paraId="61A11568">
            <w:pPr>
              <w:pStyle w:val="104"/>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rPr>
            </w:pPr>
          </w:p>
        </w:tc>
        <w:tc>
          <w:tcPr>
            <w:tcW w:w="2804" w:type="dxa"/>
            <w:vAlign w:val="top"/>
          </w:tcPr>
          <w:p w14:paraId="281AA230">
            <w:pPr>
              <w:keepNext w:val="0"/>
              <w:keepLines w:val="0"/>
              <w:pageBreakBefore w:val="0"/>
              <w:widowControl w:val="0"/>
              <w:kinsoku/>
              <w:wordWrap/>
              <w:overflowPunct/>
              <w:topLinePunct w:val="0"/>
              <w:autoSpaceDE/>
              <w:autoSpaceDN/>
              <w:bidi w:val="0"/>
              <w:adjustRightInd/>
              <w:snapToGrid/>
              <w:spacing w:before="124" w:line="300" w:lineRule="exact"/>
              <w:ind w:left="0" w:leftChars="0" w:firstLine="0" w:firstLineChars="0"/>
              <w:jc w:val="center"/>
              <w:textAlignment w:val="auto"/>
              <w:rPr>
                <w:rFonts w:hint="eastAsia" w:ascii="宋体" w:hAnsi="宋体" w:eastAsia="宋体" w:cs="宋体"/>
                <w:sz w:val="21"/>
                <w:szCs w:val="21"/>
              </w:rPr>
            </w:pPr>
            <w:r>
              <w:rPr>
                <w:rFonts w:hint="eastAsia" w:ascii="宋体" w:hAnsi="宋体" w:eastAsia="宋体" w:cs="宋体"/>
                <w:spacing w:val="-5"/>
                <w:sz w:val="21"/>
                <w:szCs w:val="21"/>
              </w:rPr>
              <w:t>窗的结构、材料以及开启方向</w:t>
            </w:r>
          </w:p>
        </w:tc>
        <w:tc>
          <w:tcPr>
            <w:tcW w:w="4084" w:type="dxa"/>
            <w:vAlign w:val="top"/>
          </w:tcPr>
          <w:p w14:paraId="0875977E">
            <w:pPr>
              <w:keepNext w:val="0"/>
              <w:keepLines w:val="0"/>
              <w:pageBreakBefore w:val="0"/>
              <w:widowControl w:val="0"/>
              <w:kinsoku/>
              <w:wordWrap/>
              <w:overflowPunct/>
              <w:topLinePunct w:val="0"/>
              <w:autoSpaceDE/>
              <w:autoSpaceDN/>
              <w:bidi w:val="0"/>
              <w:adjustRightInd/>
              <w:snapToGrid/>
              <w:spacing w:before="123" w:line="300" w:lineRule="exact"/>
              <w:ind w:left="0" w:leftChars="0" w:firstLine="0" w:firstLineChars="0"/>
              <w:jc w:val="center"/>
              <w:textAlignment w:val="auto"/>
              <w:rPr>
                <w:rFonts w:hint="eastAsia" w:ascii="宋体" w:hAnsi="宋体" w:eastAsia="宋体" w:cs="宋体"/>
                <w:sz w:val="21"/>
                <w:szCs w:val="21"/>
              </w:rPr>
            </w:pPr>
            <w:r>
              <w:rPr>
                <w:rFonts w:hint="eastAsia" w:ascii="宋体" w:hAnsi="宋体" w:eastAsia="宋体" w:cs="宋体"/>
                <w:spacing w:val="-2"/>
                <w:sz w:val="21"/>
                <w:szCs w:val="21"/>
              </w:rPr>
              <w:t>高窗为百叶窗结构，均设有金属网。</w:t>
            </w:r>
          </w:p>
        </w:tc>
        <w:tc>
          <w:tcPr>
            <w:tcW w:w="693" w:type="dxa"/>
            <w:tcBorders>
              <w:right w:val="single" w:color="000000" w:sz="10" w:space="0"/>
            </w:tcBorders>
            <w:vAlign w:val="top"/>
          </w:tcPr>
          <w:p w14:paraId="18CDB516">
            <w:pPr>
              <w:keepNext w:val="0"/>
              <w:keepLines w:val="0"/>
              <w:pageBreakBefore w:val="0"/>
              <w:widowControl w:val="0"/>
              <w:kinsoku/>
              <w:wordWrap/>
              <w:overflowPunct/>
              <w:topLinePunct w:val="0"/>
              <w:autoSpaceDE/>
              <w:autoSpaceDN/>
              <w:bidi w:val="0"/>
              <w:adjustRightInd/>
              <w:snapToGrid/>
              <w:spacing w:before="123" w:line="300" w:lineRule="exact"/>
              <w:ind w:left="0" w:leftChars="0" w:firstLine="0" w:firstLineChars="0"/>
              <w:jc w:val="both"/>
              <w:textAlignment w:val="auto"/>
              <w:rPr>
                <w:rFonts w:hint="eastAsia" w:ascii="宋体" w:hAnsi="宋体" w:eastAsia="宋体" w:cs="宋体"/>
                <w:sz w:val="21"/>
                <w:szCs w:val="21"/>
              </w:rPr>
            </w:pPr>
            <w:r>
              <w:rPr>
                <w:rFonts w:hint="eastAsia" w:ascii="宋体" w:hAnsi="宋体" w:eastAsia="宋体" w:cs="宋体"/>
                <w:spacing w:val="-2"/>
                <w:sz w:val="21"/>
                <w:szCs w:val="21"/>
              </w:rPr>
              <w:t>合格</w:t>
            </w:r>
          </w:p>
        </w:tc>
      </w:tr>
      <w:tr w14:paraId="6ACFF1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579" w:type="dxa"/>
            <w:vMerge w:val="restart"/>
            <w:tcBorders>
              <w:top w:val="nil"/>
              <w:left w:val="single" w:color="000000" w:sz="10" w:space="0"/>
            </w:tcBorders>
            <w:vAlign w:val="top"/>
          </w:tcPr>
          <w:p w14:paraId="5FA6B0C2">
            <w:pPr>
              <w:pStyle w:val="104"/>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rPr>
            </w:pPr>
          </w:p>
        </w:tc>
        <w:tc>
          <w:tcPr>
            <w:tcW w:w="928" w:type="dxa"/>
            <w:vMerge w:val="restart"/>
            <w:tcBorders>
              <w:top w:val="nil"/>
            </w:tcBorders>
            <w:vAlign w:val="top"/>
          </w:tcPr>
          <w:p w14:paraId="3ADB6BE3">
            <w:pPr>
              <w:pStyle w:val="104"/>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rPr>
            </w:pPr>
          </w:p>
        </w:tc>
        <w:tc>
          <w:tcPr>
            <w:tcW w:w="2804" w:type="dxa"/>
            <w:vAlign w:val="top"/>
          </w:tcPr>
          <w:p w14:paraId="28B2B218">
            <w:pPr>
              <w:keepNext w:val="0"/>
              <w:keepLines w:val="0"/>
              <w:pageBreakBefore w:val="0"/>
              <w:widowControl w:val="0"/>
              <w:kinsoku/>
              <w:wordWrap/>
              <w:overflowPunct/>
              <w:topLinePunct w:val="0"/>
              <w:autoSpaceDE/>
              <w:autoSpaceDN/>
              <w:bidi w:val="0"/>
              <w:adjustRightInd/>
              <w:snapToGrid/>
              <w:spacing w:before="125" w:line="300" w:lineRule="exact"/>
              <w:ind w:left="0" w:leftChars="0" w:firstLine="0" w:firstLineChars="0"/>
              <w:jc w:val="center"/>
              <w:textAlignment w:val="auto"/>
              <w:rPr>
                <w:rFonts w:hint="eastAsia" w:ascii="宋体" w:hAnsi="宋体" w:eastAsia="宋体" w:cs="宋体"/>
                <w:sz w:val="21"/>
                <w:szCs w:val="21"/>
              </w:rPr>
            </w:pPr>
            <w:r>
              <w:rPr>
                <w:rFonts w:hint="eastAsia" w:ascii="宋体" w:hAnsi="宋体" w:eastAsia="宋体" w:cs="宋体"/>
                <w:spacing w:val="-1"/>
                <w:sz w:val="21"/>
                <w:szCs w:val="21"/>
              </w:rPr>
              <w:t>屋盖的材料、结构</w:t>
            </w:r>
          </w:p>
        </w:tc>
        <w:tc>
          <w:tcPr>
            <w:tcW w:w="4084" w:type="dxa"/>
            <w:vAlign w:val="top"/>
          </w:tcPr>
          <w:p w14:paraId="15E124C9">
            <w:pPr>
              <w:keepNext w:val="0"/>
              <w:keepLines w:val="0"/>
              <w:pageBreakBefore w:val="0"/>
              <w:widowControl w:val="0"/>
              <w:kinsoku/>
              <w:wordWrap/>
              <w:overflowPunct/>
              <w:topLinePunct w:val="0"/>
              <w:autoSpaceDE/>
              <w:autoSpaceDN/>
              <w:bidi w:val="0"/>
              <w:adjustRightInd/>
              <w:snapToGrid/>
              <w:spacing w:before="125" w:line="300" w:lineRule="exact"/>
              <w:ind w:left="0" w:leftChars="0" w:firstLine="0" w:firstLineChars="0"/>
              <w:jc w:val="center"/>
              <w:textAlignment w:val="auto"/>
              <w:rPr>
                <w:rFonts w:hint="eastAsia" w:ascii="宋体" w:hAnsi="宋体" w:eastAsia="宋体" w:cs="宋体"/>
                <w:sz w:val="21"/>
                <w:szCs w:val="21"/>
                <w:lang w:eastAsia="zh-CN"/>
              </w:rPr>
            </w:pPr>
            <w:r>
              <w:rPr>
                <w:rFonts w:hint="eastAsia" w:ascii="宋体" w:hAnsi="宋体" w:eastAsia="宋体" w:cs="宋体"/>
                <w:spacing w:val="-2"/>
                <w:sz w:val="21"/>
                <w:szCs w:val="21"/>
              </w:rPr>
              <w:t>屋盖为轻质泄压屋盖</w:t>
            </w:r>
            <w:r>
              <w:rPr>
                <w:rFonts w:hint="eastAsia" w:ascii="宋体" w:hAnsi="宋体" w:eastAsia="宋体" w:cs="宋体"/>
                <w:spacing w:val="-2"/>
                <w:sz w:val="21"/>
                <w:szCs w:val="21"/>
                <w:lang w:eastAsia="zh-CN"/>
              </w:rPr>
              <w:t>。</w:t>
            </w:r>
          </w:p>
        </w:tc>
        <w:tc>
          <w:tcPr>
            <w:tcW w:w="693" w:type="dxa"/>
            <w:tcBorders>
              <w:right w:val="single" w:color="000000" w:sz="10" w:space="0"/>
            </w:tcBorders>
            <w:vAlign w:val="top"/>
          </w:tcPr>
          <w:p w14:paraId="32214A23">
            <w:pPr>
              <w:keepNext w:val="0"/>
              <w:keepLines w:val="0"/>
              <w:pageBreakBefore w:val="0"/>
              <w:widowControl w:val="0"/>
              <w:kinsoku/>
              <w:wordWrap/>
              <w:overflowPunct/>
              <w:topLinePunct w:val="0"/>
              <w:autoSpaceDE/>
              <w:autoSpaceDN/>
              <w:bidi w:val="0"/>
              <w:adjustRightInd/>
              <w:snapToGrid/>
              <w:spacing w:before="125" w:line="300" w:lineRule="exact"/>
              <w:ind w:left="0" w:leftChars="0" w:firstLine="0" w:firstLineChars="0"/>
              <w:jc w:val="both"/>
              <w:textAlignment w:val="auto"/>
              <w:rPr>
                <w:rFonts w:hint="eastAsia" w:ascii="宋体" w:hAnsi="宋体" w:eastAsia="宋体" w:cs="宋体"/>
                <w:sz w:val="21"/>
                <w:szCs w:val="21"/>
              </w:rPr>
            </w:pPr>
            <w:r>
              <w:rPr>
                <w:rFonts w:hint="eastAsia" w:ascii="宋体" w:hAnsi="宋体" w:eastAsia="宋体" w:cs="宋体"/>
                <w:spacing w:val="-2"/>
                <w:sz w:val="21"/>
                <w:szCs w:val="21"/>
              </w:rPr>
              <w:t>合格</w:t>
            </w:r>
          </w:p>
        </w:tc>
      </w:tr>
      <w:tr w14:paraId="07CB05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1" w:hRule="atLeast"/>
        </w:trPr>
        <w:tc>
          <w:tcPr>
            <w:tcW w:w="579" w:type="dxa"/>
            <w:vMerge w:val="continue"/>
            <w:tcBorders>
              <w:top w:val="nil"/>
              <w:left w:val="single" w:color="000000" w:sz="10" w:space="0"/>
              <w:bottom w:val="nil"/>
            </w:tcBorders>
            <w:vAlign w:val="top"/>
          </w:tcPr>
          <w:p w14:paraId="2CB8E102">
            <w:pPr>
              <w:pStyle w:val="104"/>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rPr>
            </w:pPr>
          </w:p>
        </w:tc>
        <w:tc>
          <w:tcPr>
            <w:tcW w:w="928" w:type="dxa"/>
            <w:vMerge w:val="continue"/>
            <w:tcBorders>
              <w:top w:val="nil"/>
              <w:bottom w:val="nil"/>
            </w:tcBorders>
            <w:vAlign w:val="top"/>
          </w:tcPr>
          <w:p w14:paraId="1C19C4D7">
            <w:pPr>
              <w:pStyle w:val="104"/>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rPr>
            </w:pPr>
          </w:p>
        </w:tc>
        <w:tc>
          <w:tcPr>
            <w:tcW w:w="2804" w:type="dxa"/>
            <w:vAlign w:val="top"/>
          </w:tcPr>
          <w:p w14:paraId="49E19600">
            <w:pPr>
              <w:keepNext w:val="0"/>
              <w:keepLines w:val="0"/>
              <w:pageBreakBefore w:val="0"/>
              <w:widowControl w:val="0"/>
              <w:kinsoku/>
              <w:wordWrap/>
              <w:overflowPunct/>
              <w:topLinePunct w:val="0"/>
              <w:autoSpaceDE/>
              <w:autoSpaceDN/>
              <w:bidi w:val="0"/>
              <w:adjustRightInd/>
              <w:snapToGrid/>
              <w:spacing w:before="113" w:line="300" w:lineRule="exact"/>
              <w:ind w:left="0" w:leftChars="0" w:right="104" w:firstLine="0" w:firstLineChars="0"/>
              <w:jc w:val="center"/>
              <w:textAlignment w:val="auto"/>
              <w:rPr>
                <w:rFonts w:hint="eastAsia" w:ascii="宋体" w:hAnsi="宋体" w:eastAsia="宋体" w:cs="宋体"/>
                <w:sz w:val="21"/>
                <w:szCs w:val="21"/>
              </w:rPr>
            </w:pPr>
            <w:r>
              <w:rPr>
                <w:rFonts w:hint="eastAsia" w:ascii="宋体" w:hAnsi="宋体" w:eastAsia="宋体" w:cs="宋体"/>
                <w:spacing w:val="-17"/>
                <w:sz w:val="21"/>
                <w:szCs w:val="21"/>
              </w:rPr>
              <w:t>墙的结构、厚度，内墙面、梁</w:t>
            </w:r>
            <w:r>
              <w:rPr>
                <w:rFonts w:hint="eastAsia" w:ascii="宋体" w:hAnsi="宋体" w:eastAsia="宋体" w:cs="宋体"/>
                <w:spacing w:val="-2"/>
                <w:sz w:val="21"/>
                <w:szCs w:val="21"/>
              </w:rPr>
              <w:t>或过梁的设计等</w:t>
            </w:r>
          </w:p>
        </w:tc>
        <w:tc>
          <w:tcPr>
            <w:tcW w:w="4084" w:type="dxa"/>
            <w:vAlign w:val="top"/>
          </w:tcPr>
          <w:p w14:paraId="5258C400">
            <w:pPr>
              <w:pStyle w:val="104"/>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rPr>
            </w:pPr>
          </w:p>
          <w:p w14:paraId="48101B04">
            <w:pPr>
              <w:keepNext w:val="0"/>
              <w:keepLines w:val="0"/>
              <w:pageBreakBefore w:val="0"/>
              <w:widowControl w:val="0"/>
              <w:kinsoku/>
              <w:wordWrap/>
              <w:overflowPunct/>
              <w:topLinePunct w:val="0"/>
              <w:autoSpaceDE/>
              <w:autoSpaceDN/>
              <w:bidi w:val="0"/>
              <w:adjustRightInd/>
              <w:snapToGrid/>
              <w:spacing w:before="68" w:line="300" w:lineRule="exact"/>
              <w:ind w:left="0" w:leftChars="0" w:firstLine="0" w:firstLineChars="0"/>
              <w:jc w:val="center"/>
              <w:textAlignment w:val="auto"/>
              <w:rPr>
                <w:rFonts w:hint="eastAsia" w:ascii="宋体" w:hAnsi="宋体" w:eastAsia="宋体" w:cs="宋体"/>
                <w:sz w:val="21"/>
                <w:szCs w:val="21"/>
                <w:lang w:eastAsia="zh-CN"/>
              </w:rPr>
            </w:pPr>
            <w:r>
              <w:rPr>
                <w:rFonts w:hint="eastAsia" w:ascii="宋体" w:hAnsi="宋体" w:eastAsia="宋体" w:cs="宋体"/>
                <w:spacing w:val="-2"/>
                <w:sz w:val="21"/>
                <w:szCs w:val="21"/>
              </w:rPr>
              <w:t>仓库为砖混墙体</w:t>
            </w:r>
            <w:r>
              <w:rPr>
                <w:rFonts w:hint="eastAsia" w:ascii="宋体" w:hAnsi="宋体" w:cs="宋体"/>
                <w:spacing w:val="-2"/>
                <w:sz w:val="21"/>
                <w:szCs w:val="21"/>
                <w:lang w:eastAsia="zh-CN"/>
              </w:rPr>
              <w:t>、</w:t>
            </w:r>
            <w:r>
              <w:rPr>
                <w:rFonts w:hint="eastAsia" w:ascii="宋体" w:hAnsi="宋体" w:cs="宋体"/>
                <w:spacing w:val="-2"/>
                <w:sz w:val="21"/>
                <w:szCs w:val="21"/>
                <w:lang w:val="en-US" w:eastAsia="zh-CN"/>
              </w:rPr>
              <w:t>钢架梁承重结构</w:t>
            </w:r>
            <w:r>
              <w:rPr>
                <w:rFonts w:hint="eastAsia" w:ascii="宋体" w:hAnsi="宋体" w:eastAsia="宋体" w:cs="宋体"/>
                <w:spacing w:val="-2"/>
                <w:sz w:val="21"/>
                <w:szCs w:val="21"/>
                <w:lang w:eastAsia="zh-CN"/>
              </w:rPr>
              <w:t>。</w:t>
            </w:r>
          </w:p>
        </w:tc>
        <w:tc>
          <w:tcPr>
            <w:tcW w:w="693" w:type="dxa"/>
            <w:tcBorders>
              <w:right w:val="single" w:color="000000" w:sz="10" w:space="0"/>
            </w:tcBorders>
            <w:vAlign w:val="top"/>
          </w:tcPr>
          <w:p w14:paraId="65CFF5CD">
            <w:pPr>
              <w:pStyle w:val="104"/>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rPr>
            </w:pPr>
          </w:p>
          <w:p w14:paraId="5B53EF95">
            <w:pPr>
              <w:keepNext w:val="0"/>
              <w:keepLines w:val="0"/>
              <w:pageBreakBefore w:val="0"/>
              <w:widowControl w:val="0"/>
              <w:kinsoku/>
              <w:wordWrap/>
              <w:overflowPunct/>
              <w:topLinePunct w:val="0"/>
              <w:autoSpaceDE/>
              <w:autoSpaceDN/>
              <w:bidi w:val="0"/>
              <w:adjustRightInd/>
              <w:snapToGrid/>
              <w:spacing w:before="68" w:line="300" w:lineRule="exact"/>
              <w:ind w:left="0" w:leftChars="0" w:firstLine="0" w:firstLineChars="0"/>
              <w:jc w:val="both"/>
              <w:textAlignment w:val="auto"/>
              <w:rPr>
                <w:rFonts w:hint="eastAsia" w:ascii="宋体" w:hAnsi="宋体" w:eastAsia="宋体" w:cs="宋体"/>
                <w:sz w:val="21"/>
                <w:szCs w:val="21"/>
              </w:rPr>
            </w:pPr>
            <w:r>
              <w:rPr>
                <w:rFonts w:hint="eastAsia" w:ascii="宋体" w:hAnsi="宋体" w:eastAsia="宋体" w:cs="宋体"/>
                <w:spacing w:val="-2"/>
                <w:sz w:val="21"/>
                <w:szCs w:val="21"/>
              </w:rPr>
              <w:t>合格</w:t>
            </w:r>
          </w:p>
        </w:tc>
      </w:tr>
      <w:tr w14:paraId="5927DC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579" w:type="dxa"/>
            <w:vMerge w:val="continue"/>
            <w:tcBorders>
              <w:top w:val="nil"/>
              <w:left w:val="single" w:color="000000" w:sz="10" w:space="0"/>
              <w:bottom w:val="nil"/>
            </w:tcBorders>
            <w:vAlign w:val="top"/>
          </w:tcPr>
          <w:p w14:paraId="360C8F2A">
            <w:pPr>
              <w:pStyle w:val="104"/>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rPr>
            </w:pPr>
          </w:p>
        </w:tc>
        <w:tc>
          <w:tcPr>
            <w:tcW w:w="928" w:type="dxa"/>
            <w:vMerge w:val="continue"/>
            <w:tcBorders>
              <w:top w:val="nil"/>
              <w:bottom w:val="nil"/>
            </w:tcBorders>
            <w:vAlign w:val="top"/>
          </w:tcPr>
          <w:p w14:paraId="7919EBB6">
            <w:pPr>
              <w:pStyle w:val="104"/>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rPr>
            </w:pPr>
          </w:p>
        </w:tc>
        <w:tc>
          <w:tcPr>
            <w:tcW w:w="2804" w:type="dxa"/>
            <w:vAlign w:val="top"/>
          </w:tcPr>
          <w:p w14:paraId="1771F873">
            <w:pPr>
              <w:keepNext w:val="0"/>
              <w:keepLines w:val="0"/>
              <w:pageBreakBefore w:val="0"/>
              <w:widowControl w:val="0"/>
              <w:kinsoku/>
              <w:wordWrap/>
              <w:overflowPunct/>
              <w:topLinePunct w:val="0"/>
              <w:autoSpaceDE/>
              <w:autoSpaceDN/>
              <w:bidi w:val="0"/>
              <w:adjustRightInd/>
              <w:snapToGrid/>
              <w:spacing w:before="129" w:line="300" w:lineRule="exact"/>
              <w:ind w:left="0" w:leftChars="0" w:firstLine="0" w:firstLineChars="0"/>
              <w:jc w:val="center"/>
              <w:textAlignment w:val="auto"/>
              <w:rPr>
                <w:rFonts w:hint="eastAsia" w:ascii="宋体" w:hAnsi="宋体" w:eastAsia="宋体" w:cs="宋体"/>
                <w:sz w:val="21"/>
                <w:szCs w:val="21"/>
              </w:rPr>
            </w:pPr>
            <w:r>
              <w:rPr>
                <w:rFonts w:hint="eastAsia" w:ascii="宋体" w:hAnsi="宋体" w:eastAsia="宋体" w:cs="宋体"/>
                <w:spacing w:val="-4"/>
                <w:sz w:val="21"/>
                <w:szCs w:val="21"/>
              </w:rPr>
              <w:t>地面阻燃性、柔性、导静电性</w:t>
            </w:r>
          </w:p>
        </w:tc>
        <w:tc>
          <w:tcPr>
            <w:tcW w:w="4084" w:type="dxa"/>
            <w:vAlign w:val="top"/>
          </w:tcPr>
          <w:p w14:paraId="3031154B">
            <w:pPr>
              <w:keepNext w:val="0"/>
              <w:keepLines w:val="0"/>
              <w:pageBreakBefore w:val="0"/>
              <w:widowControl w:val="0"/>
              <w:kinsoku/>
              <w:wordWrap/>
              <w:overflowPunct/>
              <w:topLinePunct w:val="0"/>
              <w:autoSpaceDE/>
              <w:autoSpaceDN/>
              <w:bidi w:val="0"/>
              <w:adjustRightInd/>
              <w:snapToGrid/>
              <w:spacing w:before="129" w:line="300" w:lineRule="exact"/>
              <w:ind w:left="0" w:leftChars="0" w:firstLine="0" w:firstLineChars="0"/>
              <w:jc w:val="center"/>
              <w:textAlignment w:val="auto"/>
              <w:rPr>
                <w:rFonts w:hint="eastAsia" w:ascii="宋体" w:hAnsi="宋体" w:eastAsia="宋体" w:cs="宋体"/>
                <w:sz w:val="21"/>
                <w:szCs w:val="21"/>
              </w:rPr>
            </w:pPr>
            <w:r>
              <w:rPr>
                <w:rFonts w:hint="eastAsia" w:ascii="宋体" w:hAnsi="宋体" w:eastAsia="宋体" w:cs="宋体"/>
                <w:spacing w:val="-2"/>
                <w:sz w:val="21"/>
                <w:szCs w:val="21"/>
              </w:rPr>
              <w:t>库房为水泥地面，光滑平整，符合要求。</w:t>
            </w:r>
          </w:p>
        </w:tc>
        <w:tc>
          <w:tcPr>
            <w:tcW w:w="693" w:type="dxa"/>
            <w:tcBorders>
              <w:right w:val="single" w:color="000000" w:sz="10" w:space="0"/>
            </w:tcBorders>
            <w:vAlign w:val="top"/>
          </w:tcPr>
          <w:p w14:paraId="1FE94231">
            <w:pPr>
              <w:keepNext w:val="0"/>
              <w:keepLines w:val="0"/>
              <w:pageBreakBefore w:val="0"/>
              <w:widowControl w:val="0"/>
              <w:kinsoku/>
              <w:wordWrap/>
              <w:overflowPunct/>
              <w:topLinePunct w:val="0"/>
              <w:autoSpaceDE/>
              <w:autoSpaceDN/>
              <w:bidi w:val="0"/>
              <w:adjustRightInd/>
              <w:snapToGrid/>
              <w:spacing w:before="129" w:line="300" w:lineRule="exact"/>
              <w:ind w:left="0" w:leftChars="0" w:firstLine="0" w:firstLineChars="0"/>
              <w:jc w:val="both"/>
              <w:textAlignment w:val="auto"/>
              <w:rPr>
                <w:rFonts w:hint="eastAsia" w:ascii="宋体" w:hAnsi="宋体" w:eastAsia="宋体" w:cs="宋体"/>
                <w:sz w:val="21"/>
                <w:szCs w:val="21"/>
              </w:rPr>
            </w:pPr>
            <w:r>
              <w:rPr>
                <w:rFonts w:hint="eastAsia" w:ascii="宋体" w:hAnsi="宋体" w:eastAsia="宋体" w:cs="宋体"/>
                <w:spacing w:val="-2"/>
                <w:sz w:val="21"/>
                <w:szCs w:val="21"/>
              </w:rPr>
              <w:t>合格</w:t>
            </w:r>
          </w:p>
        </w:tc>
      </w:tr>
      <w:tr w14:paraId="65F8BE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579" w:type="dxa"/>
            <w:tcBorders>
              <w:top w:val="nil"/>
              <w:left w:val="single" w:color="000000" w:sz="10" w:space="0"/>
              <w:bottom w:val="single" w:color="auto" w:sz="4" w:space="0"/>
            </w:tcBorders>
            <w:vAlign w:val="top"/>
          </w:tcPr>
          <w:p w14:paraId="75407601">
            <w:pPr>
              <w:pStyle w:val="104"/>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rPr>
            </w:pPr>
          </w:p>
        </w:tc>
        <w:tc>
          <w:tcPr>
            <w:tcW w:w="928" w:type="dxa"/>
            <w:tcBorders>
              <w:top w:val="nil"/>
              <w:bottom w:val="single" w:color="auto" w:sz="4" w:space="0"/>
            </w:tcBorders>
            <w:vAlign w:val="top"/>
          </w:tcPr>
          <w:p w14:paraId="268DB948">
            <w:pPr>
              <w:pStyle w:val="104"/>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rPr>
            </w:pPr>
          </w:p>
        </w:tc>
        <w:tc>
          <w:tcPr>
            <w:tcW w:w="2804" w:type="dxa"/>
            <w:vAlign w:val="top"/>
          </w:tcPr>
          <w:p w14:paraId="5412E3A8">
            <w:pPr>
              <w:keepNext w:val="0"/>
              <w:keepLines w:val="0"/>
              <w:pageBreakBefore w:val="0"/>
              <w:widowControl w:val="0"/>
              <w:kinsoku/>
              <w:wordWrap/>
              <w:overflowPunct/>
              <w:topLinePunct w:val="0"/>
              <w:autoSpaceDE/>
              <w:autoSpaceDN/>
              <w:bidi w:val="0"/>
              <w:adjustRightInd/>
              <w:snapToGrid/>
              <w:spacing w:before="129" w:line="300" w:lineRule="exact"/>
              <w:ind w:left="0" w:leftChars="0" w:firstLine="0" w:firstLineChars="0"/>
              <w:jc w:val="center"/>
              <w:textAlignment w:val="auto"/>
              <w:rPr>
                <w:rFonts w:hint="eastAsia" w:ascii="宋体" w:hAnsi="宋体" w:eastAsia="宋体" w:cs="宋体"/>
                <w:spacing w:val="-4"/>
                <w:sz w:val="21"/>
                <w:szCs w:val="21"/>
              </w:rPr>
            </w:pPr>
            <w:r>
              <w:rPr>
                <w:rFonts w:ascii="宋体" w:hAnsi="宋体" w:eastAsia="宋体" w:cs="宋体"/>
                <w:spacing w:val="-4"/>
                <w:sz w:val="21"/>
                <w:szCs w:val="21"/>
              </w:rPr>
              <w:t>仓库防潮、隔热、通风与防小</w:t>
            </w:r>
            <w:r>
              <w:rPr>
                <w:rFonts w:ascii="宋体" w:hAnsi="宋体" w:eastAsia="宋体" w:cs="宋体"/>
                <w:spacing w:val="-2"/>
                <w:sz w:val="21"/>
                <w:szCs w:val="21"/>
              </w:rPr>
              <w:t>动物</w:t>
            </w:r>
          </w:p>
        </w:tc>
        <w:tc>
          <w:tcPr>
            <w:tcW w:w="4084" w:type="dxa"/>
            <w:vAlign w:val="top"/>
          </w:tcPr>
          <w:p w14:paraId="5E27354A">
            <w:pPr>
              <w:keepNext w:val="0"/>
              <w:keepLines w:val="0"/>
              <w:pageBreakBefore w:val="0"/>
              <w:widowControl w:val="0"/>
              <w:kinsoku/>
              <w:wordWrap/>
              <w:overflowPunct/>
              <w:topLinePunct w:val="0"/>
              <w:autoSpaceDE/>
              <w:autoSpaceDN/>
              <w:bidi w:val="0"/>
              <w:adjustRightInd/>
              <w:snapToGrid/>
              <w:spacing w:before="129" w:line="300" w:lineRule="exact"/>
              <w:ind w:left="0" w:leftChars="0" w:firstLine="0" w:firstLineChars="0"/>
              <w:jc w:val="center"/>
              <w:textAlignment w:val="auto"/>
              <w:rPr>
                <w:rFonts w:hint="eastAsia" w:ascii="宋体" w:hAnsi="宋体" w:eastAsia="宋体" w:cs="宋体"/>
                <w:spacing w:val="-2"/>
                <w:sz w:val="21"/>
                <w:szCs w:val="21"/>
              </w:rPr>
            </w:pPr>
            <w:r>
              <w:rPr>
                <w:rFonts w:hint="eastAsia" w:ascii="宋体" w:hAnsi="宋体" w:eastAsia="宋体" w:cs="宋体"/>
                <w:spacing w:val="-2"/>
                <w:sz w:val="21"/>
                <w:szCs w:val="21"/>
              </w:rPr>
              <w:t>仓库采取了防潮措施，设置了高窗。</w:t>
            </w:r>
          </w:p>
        </w:tc>
        <w:tc>
          <w:tcPr>
            <w:tcW w:w="693" w:type="dxa"/>
            <w:tcBorders>
              <w:right w:val="single" w:color="000000" w:sz="10" w:space="0"/>
            </w:tcBorders>
            <w:vAlign w:val="top"/>
          </w:tcPr>
          <w:p w14:paraId="201214CA">
            <w:pPr>
              <w:keepNext w:val="0"/>
              <w:keepLines w:val="0"/>
              <w:pageBreakBefore w:val="0"/>
              <w:widowControl w:val="0"/>
              <w:kinsoku/>
              <w:wordWrap/>
              <w:overflowPunct/>
              <w:topLinePunct w:val="0"/>
              <w:autoSpaceDE/>
              <w:autoSpaceDN/>
              <w:bidi w:val="0"/>
              <w:adjustRightInd/>
              <w:snapToGrid/>
              <w:spacing w:before="129" w:line="300" w:lineRule="exact"/>
              <w:ind w:left="0" w:leftChars="0" w:firstLine="0" w:firstLineChars="0"/>
              <w:jc w:val="both"/>
              <w:textAlignment w:val="auto"/>
              <w:rPr>
                <w:rFonts w:hint="eastAsia" w:ascii="宋体" w:hAnsi="宋体" w:eastAsia="宋体" w:cs="宋体"/>
                <w:spacing w:val="-2"/>
                <w:sz w:val="21"/>
                <w:szCs w:val="21"/>
              </w:rPr>
            </w:pPr>
            <w:r>
              <w:rPr>
                <w:rFonts w:hint="eastAsia" w:ascii="宋体" w:hAnsi="宋体" w:eastAsia="宋体" w:cs="宋体"/>
                <w:spacing w:val="-2"/>
                <w:sz w:val="21"/>
                <w:szCs w:val="21"/>
              </w:rPr>
              <w:t>合格</w:t>
            </w:r>
          </w:p>
        </w:tc>
      </w:tr>
      <w:tr w14:paraId="323E90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579" w:type="dxa"/>
            <w:vMerge w:val="restart"/>
            <w:tcBorders>
              <w:top w:val="single" w:color="auto" w:sz="4" w:space="0"/>
              <w:left w:val="single" w:color="auto" w:sz="4" w:space="0"/>
            </w:tcBorders>
            <w:vAlign w:val="top"/>
          </w:tcPr>
          <w:p w14:paraId="394045CC">
            <w:pPr>
              <w:pStyle w:val="104"/>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p w14:paraId="5B88913D">
            <w:pPr>
              <w:pStyle w:val="104"/>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rPr>
            </w:pPr>
          </w:p>
          <w:p w14:paraId="41D1C64F">
            <w:pPr>
              <w:pStyle w:val="104"/>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rPr>
            </w:pPr>
          </w:p>
          <w:p w14:paraId="0D7B85DF">
            <w:pPr>
              <w:pStyle w:val="104"/>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rPr>
            </w:pPr>
          </w:p>
        </w:tc>
        <w:tc>
          <w:tcPr>
            <w:tcW w:w="928" w:type="dxa"/>
            <w:vMerge w:val="restart"/>
            <w:tcBorders>
              <w:top w:val="single" w:color="auto" w:sz="4" w:space="0"/>
              <w:right w:val="single" w:color="auto" w:sz="4" w:space="0"/>
            </w:tcBorders>
            <w:vAlign w:val="top"/>
          </w:tcPr>
          <w:p w14:paraId="6D0A2919">
            <w:pPr>
              <w:pStyle w:val="104"/>
              <w:spacing w:before="62" w:line="219" w:lineRule="auto"/>
              <w:ind w:left="0" w:leftChars="0" w:firstLine="0" w:firstLineChars="0"/>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疏散</w:t>
            </w:r>
          </w:p>
          <w:p w14:paraId="3E059534">
            <w:pPr>
              <w:pStyle w:val="104"/>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both"/>
              <w:textAlignment w:val="auto"/>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要求</w:t>
            </w:r>
          </w:p>
          <w:p w14:paraId="7CAC1DCB">
            <w:pPr>
              <w:pStyle w:val="104"/>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pacing w:val="-4"/>
                <w:kern w:val="2"/>
                <w:sz w:val="21"/>
                <w:szCs w:val="21"/>
                <w:lang w:val="en-US" w:eastAsia="zh-CN" w:bidi="ar-SA"/>
              </w:rPr>
            </w:pPr>
          </w:p>
        </w:tc>
        <w:tc>
          <w:tcPr>
            <w:tcW w:w="2804" w:type="dxa"/>
            <w:tcBorders>
              <w:left w:val="single" w:color="auto" w:sz="4" w:space="0"/>
            </w:tcBorders>
            <w:shd w:val="clear" w:color="auto" w:fill="auto"/>
            <w:vAlign w:val="top"/>
          </w:tcPr>
          <w:p w14:paraId="44D83B10">
            <w:pPr>
              <w:spacing w:before="69" w:line="339" w:lineRule="auto"/>
              <w:ind w:left="0" w:leftChars="0" w:right="101" w:rightChars="0" w:firstLine="0" w:firstLineChars="0"/>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安全出口的数量，设置方向和位置，疏散距离</w:t>
            </w:r>
          </w:p>
        </w:tc>
        <w:tc>
          <w:tcPr>
            <w:tcW w:w="4084" w:type="dxa"/>
            <w:vAlign w:val="top"/>
          </w:tcPr>
          <w:p w14:paraId="29A8AA18">
            <w:pPr>
              <w:keepNext w:val="0"/>
              <w:keepLines w:val="0"/>
              <w:pageBreakBefore w:val="0"/>
              <w:widowControl w:val="0"/>
              <w:kinsoku/>
              <w:wordWrap/>
              <w:overflowPunct/>
              <w:topLinePunct w:val="0"/>
              <w:autoSpaceDE/>
              <w:autoSpaceDN/>
              <w:bidi w:val="0"/>
              <w:adjustRightInd/>
              <w:snapToGrid/>
              <w:spacing w:before="129" w:line="300" w:lineRule="exact"/>
              <w:ind w:left="0" w:leftChars="0" w:firstLine="0" w:firstLineChars="0"/>
              <w:jc w:val="center"/>
              <w:textAlignment w:val="auto"/>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安全出口的数量符合标准要求，最远工作点至外部出口能达到标准要求。</w:t>
            </w:r>
          </w:p>
        </w:tc>
        <w:tc>
          <w:tcPr>
            <w:tcW w:w="693" w:type="dxa"/>
            <w:tcBorders>
              <w:right w:val="single" w:color="000000" w:sz="10" w:space="0"/>
            </w:tcBorders>
            <w:vAlign w:val="top"/>
          </w:tcPr>
          <w:p w14:paraId="76929274">
            <w:pPr>
              <w:keepNext w:val="0"/>
              <w:keepLines w:val="0"/>
              <w:pageBreakBefore w:val="0"/>
              <w:widowControl w:val="0"/>
              <w:kinsoku/>
              <w:wordWrap/>
              <w:overflowPunct/>
              <w:topLinePunct w:val="0"/>
              <w:autoSpaceDE/>
              <w:autoSpaceDN/>
              <w:bidi w:val="0"/>
              <w:adjustRightInd/>
              <w:snapToGrid/>
              <w:spacing w:before="129" w:line="300" w:lineRule="exact"/>
              <w:ind w:left="0" w:leftChars="0" w:firstLine="0" w:firstLineChars="0"/>
              <w:jc w:val="both"/>
              <w:textAlignment w:val="auto"/>
              <w:rPr>
                <w:rFonts w:hint="eastAsia" w:ascii="宋体" w:hAnsi="宋体" w:eastAsia="宋体" w:cs="宋体"/>
                <w:spacing w:val="-2"/>
                <w:sz w:val="21"/>
                <w:szCs w:val="21"/>
              </w:rPr>
            </w:pPr>
            <w:r>
              <w:rPr>
                <w:rFonts w:hint="eastAsia" w:ascii="宋体" w:hAnsi="宋体" w:eastAsia="宋体" w:cs="宋体"/>
                <w:spacing w:val="-2"/>
                <w:sz w:val="21"/>
                <w:szCs w:val="21"/>
              </w:rPr>
              <w:t>合格</w:t>
            </w:r>
          </w:p>
        </w:tc>
      </w:tr>
      <w:tr w14:paraId="14F41D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579" w:type="dxa"/>
            <w:vMerge w:val="continue"/>
            <w:tcBorders>
              <w:left w:val="single" w:color="auto" w:sz="4" w:space="0"/>
            </w:tcBorders>
            <w:vAlign w:val="top"/>
          </w:tcPr>
          <w:p w14:paraId="2CEE0945">
            <w:pPr>
              <w:pStyle w:val="104"/>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rPr>
            </w:pPr>
          </w:p>
        </w:tc>
        <w:tc>
          <w:tcPr>
            <w:tcW w:w="928" w:type="dxa"/>
            <w:vMerge w:val="continue"/>
            <w:tcBorders>
              <w:right w:val="single" w:color="auto" w:sz="4" w:space="0"/>
            </w:tcBorders>
            <w:vAlign w:val="top"/>
          </w:tcPr>
          <w:p w14:paraId="29E6084B">
            <w:pPr>
              <w:pStyle w:val="104"/>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pacing w:val="-4"/>
                <w:kern w:val="2"/>
                <w:sz w:val="21"/>
                <w:szCs w:val="21"/>
                <w:lang w:val="en-US" w:eastAsia="zh-CN" w:bidi="ar-SA"/>
              </w:rPr>
            </w:pPr>
          </w:p>
        </w:tc>
        <w:tc>
          <w:tcPr>
            <w:tcW w:w="2804" w:type="dxa"/>
            <w:tcBorders>
              <w:left w:val="single" w:color="auto" w:sz="4" w:space="0"/>
            </w:tcBorders>
            <w:shd w:val="clear" w:color="auto" w:fill="auto"/>
            <w:vAlign w:val="top"/>
          </w:tcPr>
          <w:p w14:paraId="3E968976">
            <w:pPr>
              <w:spacing w:before="111" w:line="221" w:lineRule="auto"/>
              <w:ind w:left="0" w:leftChars="0" w:firstLine="0" w:firstLineChars="0"/>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建筑物内的通道宽度</w:t>
            </w:r>
          </w:p>
        </w:tc>
        <w:tc>
          <w:tcPr>
            <w:tcW w:w="4084" w:type="dxa"/>
            <w:shd w:val="clear" w:color="auto" w:fill="auto"/>
            <w:vAlign w:val="top"/>
          </w:tcPr>
          <w:p w14:paraId="2F884FB6">
            <w:pPr>
              <w:spacing w:before="111" w:line="221" w:lineRule="auto"/>
              <w:ind w:left="113" w:leftChars="0" w:firstLine="450" w:firstLineChars="200"/>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建筑物内通道宽度为 1.5 米。</w:t>
            </w:r>
          </w:p>
        </w:tc>
        <w:tc>
          <w:tcPr>
            <w:tcW w:w="693" w:type="dxa"/>
            <w:tcBorders>
              <w:right w:val="single" w:color="000000" w:sz="10" w:space="0"/>
            </w:tcBorders>
            <w:vAlign w:val="top"/>
          </w:tcPr>
          <w:p w14:paraId="3E75C44D">
            <w:pPr>
              <w:keepNext w:val="0"/>
              <w:keepLines w:val="0"/>
              <w:pageBreakBefore w:val="0"/>
              <w:widowControl w:val="0"/>
              <w:kinsoku/>
              <w:wordWrap/>
              <w:overflowPunct/>
              <w:topLinePunct w:val="0"/>
              <w:autoSpaceDE/>
              <w:autoSpaceDN/>
              <w:bidi w:val="0"/>
              <w:adjustRightInd/>
              <w:snapToGrid/>
              <w:spacing w:before="129" w:line="300" w:lineRule="exact"/>
              <w:ind w:left="0" w:leftChars="0" w:firstLine="0" w:firstLineChars="0"/>
              <w:jc w:val="both"/>
              <w:textAlignment w:val="auto"/>
              <w:rPr>
                <w:rFonts w:hint="eastAsia" w:ascii="宋体" w:hAnsi="宋体" w:eastAsia="宋体" w:cs="宋体"/>
                <w:spacing w:val="-2"/>
                <w:sz w:val="21"/>
                <w:szCs w:val="21"/>
              </w:rPr>
            </w:pPr>
            <w:r>
              <w:rPr>
                <w:rFonts w:hint="eastAsia" w:ascii="宋体" w:hAnsi="宋体" w:eastAsia="宋体" w:cs="宋体"/>
                <w:spacing w:val="-2"/>
                <w:sz w:val="21"/>
                <w:szCs w:val="21"/>
              </w:rPr>
              <w:t>合格</w:t>
            </w:r>
          </w:p>
        </w:tc>
      </w:tr>
      <w:tr w14:paraId="026199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579" w:type="dxa"/>
            <w:vMerge w:val="continue"/>
            <w:tcBorders>
              <w:left w:val="single" w:color="auto" w:sz="4" w:space="0"/>
              <w:bottom w:val="single" w:color="auto" w:sz="4" w:space="0"/>
            </w:tcBorders>
            <w:vAlign w:val="top"/>
          </w:tcPr>
          <w:p w14:paraId="6E7368D1">
            <w:pPr>
              <w:pStyle w:val="104"/>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rPr>
            </w:pPr>
          </w:p>
        </w:tc>
        <w:tc>
          <w:tcPr>
            <w:tcW w:w="928" w:type="dxa"/>
            <w:vMerge w:val="continue"/>
            <w:tcBorders>
              <w:bottom w:val="single" w:color="auto" w:sz="4" w:space="0"/>
              <w:right w:val="single" w:color="auto" w:sz="4" w:space="0"/>
            </w:tcBorders>
            <w:vAlign w:val="top"/>
          </w:tcPr>
          <w:p w14:paraId="04A1CDF4">
            <w:pPr>
              <w:pStyle w:val="104"/>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pacing w:val="-4"/>
                <w:kern w:val="2"/>
                <w:sz w:val="21"/>
                <w:szCs w:val="21"/>
                <w:lang w:val="en-US" w:eastAsia="zh-CN" w:bidi="ar-SA"/>
              </w:rPr>
            </w:pPr>
          </w:p>
        </w:tc>
        <w:tc>
          <w:tcPr>
            <w:tcW w:w="2804" w:type="dxa"/>
            <w:tcBorders>
              <w:left w:val="single" w:color="auto" w:sz="4" w:space="0"/>
            </w:tcBorders>
            <w:shd w:val="clear" w:color="auto" w:fill="auto"/>
            <w:vAlign w:val="top"/>
          </w:tcPr>
          <w:p w14:paraId="3E401B55">
            <w:pPr>
              <w:spacing w:before="113" w:line="221" w:lineRule="auto"/>
              <w:ind w:left="0" w:leftChars="0" w:firstLine="0" w:firstLineChars="0"/>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门口的台阶及坡度</w:t>
            </w:r>
          </w:p>
        </w:tc>
        <w:tc>
          <w:tcPr>
            <w:tcW w:w="4084" w:type="dxa"/>
            <w:shd w:val="clear" w:color="auto" w:fill="auto"/>
            <w:vAlign w:val="top"/>
          </w:tcPr>
          <w:p w14:paraId="34FA6343">
            <w:pPr>
              <w:spacing w:before="113" w:line="221" w:lineRule="auto"/>
              <w:ind w:left="134" w:leftChars="0" w:firstLine="450" w:firstLineChars="200"/>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门口无台阶。</w:t>
            </w:r>
          </w:p>
        </w:tc>
        <w:tc>
          <w:tcPr>
            <w:tcW w:w="693" w:type="dxa"/>
            <w:tcBorders>
              <w:right w:val="single" w:color="000000" w:sz="10" w:space="0"/>
            </w:tcBorders>
            <w:vAlign w:val="top"/>
          </w:tcPr>
          <w:p w14:paraId="48DE6377">
            <w:pPr>
              <w:keepNext w:val="0"/>
              <w:keepLines w:val="0"/>
              <w:pageBreakBefore w:val="0"/>
              <w:widowControl w:val="0"/>
              <w:kinsoku/>
              <w:wordWrap/>
              <w:overflowPunct/>
              <w:topLinePunct w:val="0"/>
              <w:autoSpaceDE/>
              <w:autoSpaceDN/>
              <w:bidi w:val="0"/>
              <w:adjustRightInd/>
              <w:snapToGrid/>
              <w:spacing w:before="129" w:line="300" w:lineRule="exact"/>
              <w:ind w:left="0" w:leftChars="0" w:firstLine="0" w:firstLineChars="0"/>
              <w:jc w:val="both"/>
              <w:textAlignment w:val="auto"/>
              <w:rPr>
                <w:rFonts w:hint="eastAsia" w:ascii="宋体" w:hAnsi="宋体" w:eastAsia="宋体" w:cs="宋体"/>
                <w:spacing w:val="-2"/>
                <w:sz w:val="21"/>
                <w:szCs w:val="21"/>
              </w:rPr>
            </w:pPr>
            <w:r>
              <w:rPr>
                <w:rFonts w:hint="eastAsia" w:ascii="宋体" w:hAnsi="宋体" w:eastAsia="宋体" w:cs="宋体"/>
                <w:spacing w:val="-2"/>
                <w:sz w:val="21"/>
                <w:szCs w:val="21"/>
              </w:rPr>
              <w:t>合格</w:t>
            </w:r>
          </w:p>
        </w:tc>
      </w:tr>
      <w:tr w14:paraId="101E6F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579" w:type="dxa"/>
            <w:vMerge w:val="restart"/>
            <w:tcBorders>
              <w:top w:val="single" w:color="auto" w:sz="4" w:space="0"/>
              <w:left w:val="single" w:color="auto" w:sz="4" w:space="0"/>
            </w:tcBorders>
            <w:vAlign w:val="top"/>
          </w:tcPr>
          <w:p w14:paraId="63F0FBAD">
            <w:pPr>
              <w:pStyle w:val="104"/>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928" w:type="dxa"/>
            <w:vMerge w:val="restart"/>
            <w:tcBorders>
              <w:top w:val="single" w:color="auto" w:sz="4" w:space="0"/>
              <w:right w:val="single" w:color="auto" w:sz="4" w:space="0"/>
            </w:tcBorders>
            <w:vAlign w:val="top"/>
          </w:tcPr>
          <w:p w14:paraId="6D37AABE">
            <w:pPr>
              <w:pStyle w:val="104"/>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both"/>
              <w:textAlignment w:val="auto"/>
              <w:rPr>
                <w:rFonts w:hint="eastAsia" w:ascii="宋体" w:hAnsi="宋体" w:eastAsia="宋体" w:cs="宋体"/>
                <w:sz w:val="21"/>
                <w:szCs w:val="21"/>
              </w:rPr>
            </w:pPr>
            <w:r>
              <w:rPr>
                <w:rFonts w:ascii="宋体" w:hAnsi="宋体" w:eastAsia="宋体" w:cs="宋体"/>
                <w:spacing w:val="-2"/>
                <w:sz w:val="21"/>
                <w:szCs w:val="21"/>
              </w:rPr>
              <w:t>人员</w:t>
            </w:r>
          </w:p>
        </w:tc>
        <w:tc>
          <w:tcPr>
            <w:tcW w:w="2804" w:type="dxa"/>
            <w:tcBorders>
              <w:left w:val="single" w:color="auto" w:sz="4" w:space="0"/>
            </w:tcBorders>
            <w:vAlign w:val="top"/>
          </w:tcPr>
          <w:p w14:paraId="308A887A">
            <w:pPr>
              <w:keepNext w:val="0"/>
              <w:keepLines w:val="0"/>
              <w:pageBreakBefore w:val="0"/>
              <w:widowControl w:val="0"/>
              <w:kinsoku/>
              <w:wordWrap/>
              <w:overflowPunct/>
              <w:topLinePunct w:val="0"/>
              <w:autoSpaceDE/>
              <w:autoSpaceDN/>
              <w:bidi w:val="0"/>
              <w:adjustRightInd/>
              <w:snapToGrid/>
              <w:spacing w:before="129" w:line="300" w:lineRule="exact"/>
              <w:ind w:left="0" w:leftChars="0" w:firstLine="0" w:firstLineChars="0"/>
              <w:jc w:val="center"/>
              <w:textAlignment w:val="auto"/>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核定数量</w:t>
            </w:r>
          </w:p>
        </w:tc>
        <w:tc>
          <w:tcPr>
            <w:tcW w:w="4084" w:type="dxa"/>
            <w:vAlign w:val="top"/>
          </w:tcPr>
          <w:p w14:paraId="696C9F49">
            <w:pPr>
              <w:keepNext w:val="0"/>
              <w:keepLines w:val="0"/>
              <w:pageBreakBefore w:val="0"/>
              <w:widowControl w:val="0"/>
              <w:kinsoku/>
              <w:wordWrap/>
              <w:overflowPunct/>
              <w:topLinePunct w:val="0"/>
              <w:autoSpaceDE/>
              <w:autoSpaceDN/>
              <w:bidi w:val="0"/>
              <w:adjustRightInd/>
              <w:snapToGrid/>
              <w:spacing w:before="129" w:line="300" w:lineRule="exact"/>
              <w:ind w:left="0" w:leftChars="0" w:firstLine="0" w:firstLineChars="0"/>
              <w:jc w:val="center"/>
              <w:textAlignment w:val="auto"/>
              <w:rPr>
                <w:rFonts w:hint="eastAsia" w:ascii="宋体" w:hAnsi="宋体" w:eastAsia="宋体" w:cs="宋体"/>
                <w:spacing w:val="-2"/>
                <w:sz w:val="21"/>
                <w:szCs w:val="21"/>
              </w:rPr>
            </w:pPr>
            <w:r>
              <w:rPr>
                <w:spacing w:val="-2"/>
                <w:sz w:val="19"/>
                <w:szCs w:val="19"/>
              </w:rPr>
              <w:t>符合要求</w:t>
            </w:r>
          </w:p>
        </w:tc>
        <w:tc>
          <w:tcPr>
            <w:tcW w:w="693" w:type="dxa"/>
            <w:tcBorders>
              <w:right w:val="single" w:color="000000" w:sz="10" w:space="0"/>
            </w:tcBorders>
            <w:vAlign w:val="top"/>
          </w:tcPr>
          <w:p w14:paraId="1EBB7FE5">
            <w:pPr>
              <w:keepNext w:val="0"/>
              <w:keepLines w:val="0"/>
              <w:pageBreakBefore w:val="0"/>
              <w:widowControl w:val="0"/>
              <w:kinsoku/>
              <w:wordWrap/>
              <w:overflowPunct/>
              <w:topLinePunct w:val="0"/>
              <w:autoSpaceDE/>
              <w:autoSpaceDN/>
              <w:bidi w:val="0"/>
              <w:adjustRightInd/>
              <w:snapToGrid/>
              <w:spacing w:before="129" w:line="300" w:lineRule="exact"/>
              <w:ind w:left="0" w:leftChars="0" w:firstLine="0" w:firstLineChars="0"/>
              <w:jc w:val="both"/>
              <w:textAlignment w:val="auto"/>
              <w:rPr>
                <w:rFonts w:hint="eastAsia" w:ascii="宋体" w:hAnsi="宋体" w:eastAsia="宋体" w:cs="宋体"/>
                <w:spacing w:val="-2"/>
                <w:sz w:val="21"/>
                <w:szCs w:val="21"/>
              </w:rPr>
            </w:pPr>
          </w:p>
        </w:tc>
      </w:tr>
      <w:tr w14:paraId="28BF9C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579" w:type="dxa"/>
            <w:vMerge w:val="continue"/>
            <w:tcBorders>
              <w:left w:val="single" w:color="auto" w:sz="4" w:space="0"/>
            </w:tcBorders>
            <w:vAlign w:val="top"/>
          </w:tcPr>
          <w:p w14:paraId="4224745E">
            <w:pPr>
              <w:pStyle w:val="104"/>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rPr>
            </w:pPr>
          </w:p>
        </w:tc>
        <w:tc>
          <w:tcPr>
            <w:tcW w:w="928" w:type="dxa"/>
            <w:vMerge w:val="continue"/>
            <w:tcBorders>
              <w:right w:val="single" w:color="auto" w:sz="4" w:space="0"/>
            </w:tcBorders>
            <w:vAlign w:val="top"/>
          </w:tcPr>
          <w:p w14:paraId="2530D447">
            <w:pPr>
              <w:pStyle w:val="104"/>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rPr>
            </w:pPr>
          </w:p>
        </w:tc>
        <w:tc>
          <w:tcPr>
            <w:tcW w:w="2804" w:type="dxa"/>
            <w:tcBorders>
              <w:left w:val="single" w:color="auto" w:sz="4" w:space="0"/>
            </w:tcBorders>
            <w:vAlign w:val="top"/>
          </w:tcPr>
          <w:p w14:paraId="2E94F261">
            <w:pPr>
              <w:keepNext w:val="0"/>
              <w:keepLines w:val="0"/>
              <w:pageBreakBefore w:val="0"/>
              <w:widowControl w:val="0"/>
              <w:kinsoku/>
              <w:wordWrap/>
              <w:overflowPunct/>
              <w:topLinePunct w:val="0"/>
              <w:autoSpaceDE/>
              <w:autoSpaceDN/>
              <w:bidi w:val="0"/>
              <w:adjustRightInd/>
              <w:snapToGrid/>
              <w:spacing w:before="129" w:line="300" w:lineRule="exact"/>
              <w:ind w:left="0" w:leftChars="0" w:firstLine="0" w:firstLineChars="0"/>
              <w:jc w:val="center"/>
              <w:textAlignment w:val="auto"/>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培训和上岗证</w:t>
            </w:r>
          </w:p>
        </w:tc>
        <w:tc>
          <w:tcPr>
            <w:tcW w:w="4084" w:type="dxa"/>
            <w:vAlign w:val="top"/>
          </w:tcPr>
          <w:p w14:paraId="47AFDD57">
            <w:pPr>
              <w:keepNext w:val="0"/>
              <w:keepLines w:val="0"/>
              <w:pageBreakBefore w:val="0"/>
              <w:widowControl w:val="0"/>
              <w:kinsoku/>
              <w:wordWrap/>
              <w:overflowPunct/>
              <w:topLinePunct w:val="0"/>
              <w:autoSpaceDE/>
              <w:autoSpaceDN/>
              <w:bidi w:val="0"/>
              <w:adjustRightInd/>
              <w:snapToGrid/>
              <w:spacing w:before="129" w:line="300" w:lineRule="exact"/>
              <w:ind w:left="0" w:leftChars="0" w:firstLine="0" w:firstLineChars="0"/>
              <w:jc w:val="center"/>
              <w:textAlignment w:val="auto"/>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主要负责人及安全管理员持有相关证件</w:t>
            </w:r>
          </w:p>
        </w:tc>
        <w:tc>
          <w:tcPr>
            <w:tcW w:w="693" w:type="dxa"/>
            <w:tcBorders>
              <w:right w:val="single" w:color="000000" w:sz="10" w:space="0"/>
            </w:tcBorders>
            <w:vAlign w:val="top"/>
          </w:tcPr>
          <w:p w14:paraId="3F0D8B69">
            <w:pPr>
              <w:keepNext w:val="0"/>
              <w:keepLines w:val="0"/>
              <w:pageBreakBefore w:val="0"/>
              <w:widowControl w:val="0"/>
              <w:kinsoku/>
              <w:wordWrap/>
              <w:overflowPunct/>
              <w:topLinePunct w:val="0"/>
              <w:autoSpaceDE/>
              <w:autoSpaceDN/>
              <w:bidi w:val="0"/>
              <w:adjustRightInd/>
              <w:snapToGrid/>
              <w:spacing w:before="129" w:line="300" w:lineRule="exact"/>
              <w:ind w:left="0" w:leftChars="0" w:firstLine="0" w:firstLineChars="0"/>
              <w:jc w:val="both"/>
              <w:textAlignment w:val="auto"/>
              <w:rPr>
                <w:rFonts w:hint="eastAsia" w:ascii="宋体" w:hAnsi="宋体" w:eastAsia="宋体" w:cs="宋体"/>
                <w:spacing w:val="-2"/>
                <w:sz w:val="21"/>
                <w:szCs w:val="21"/>
              </w:rPr>
            </w:pPr>
            <w:r>
              <w:rPr>
                <w:rFonts w:hint="eastAsia" w:ascii="宋体" w:hAnsi="宋体" w:eastAsia="宋体" w:cs="宋体"/>
                <w:spacing w:val="-2"/>
                <w:sz w:val="21"/>
                <w:szCs w:val="21"/>
              </w:rPr>
              <w:t>合格</w:t>
            </w:r>
          </w:p>
        </w:tc>
      </w:tr>
      <w:tr w14:paraId="6B4BD2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579" w:type="dxa"/>
            <w:vMerge w:val="continue"/>
            <w:tcBorders>
              <w:left w:val="single" w:color="auto" w:sz="4" w:space="0"/>
            </w:tcBorders>
            <w:vAlign w:val="top"/>
          </w:tcPr>
          <w:p w14:paraId="0205E78F">
            <w:pPr>
              <w:pStyle w:val="104"/>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rPr>
            </w:pPr>
          </w:p>
        </w:tc>
        <w:tc>
          <w:tcPr>
            <w:tcW w:w="928" w:type="dxa"/>
            <w:vMerge w:val="continue"/>
            <w:tcBorders>
              <w:right w:val="single" w:color="auto" w:sz="4" w:space="0"/>
            </w:tcBorders>
            <w:vAlign w:val="top"/>
          </w:tcPr>
          <w:p w14:paraId="2A1797B2">
            <w:pPr>
              <w:pStyle w:val="104"/>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rPr>
            </w:pPr>
          </w:p>
        </w:tc>
        <w:tc>
          <w:tcPr>
            <w:tcW w:w="2804" w:type="dxa"/>
            <w:tcBorders>
              <w:left w:val="single" w:color="auto" w:sz="4" w:space="0"/>
            </w:tcBorders>
            <w:vAlign w:val="top"/>
          </w:tcPr>
          <w:p w14:paraId="5CEFD2A3">
            <w:pPr>
              <w:keepNext w:val="0"/>
              <w:keepLines w:val="0"/>
              <w:pageBreakBefore w:val="0"/>
              <w:widowControl w:val="0"/>
              <w:kinsoku/>
              <w:wordWrap/>
              <w:overflowPunct/>
              <w:topLinePunct w:val="0"/>
              <w:autoSpaceDE/>
              <w:autoSpaceDN/>
              <w:bidi w:val="0"/>
              <w:adjustRightInd/>
              <w:snapToGrid/>
              <w:spacing w:before="129" w:line="300" w:lineRule="exact"/>
              <w:ind w:left="0" w:leftChars="0" w:firstLine="0" w:firstLineChars="0"/>
              <w:jc w:val="center"/>
              <w:textAlignment w:val="auto"/>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衣着</w:t>
            </w:r>
          </w:p>
        </w:tc>
        <w:tc>
          <w:tcPr>
            <w:tcW w:w="4084" w:type="dxa"/>
            <w:vAlign w:val="top"/>
          </w:tcPr>
          <w:p w14:paraId="1C15CBD7">
            <w:pPr>
              <w:keepNext w:val="0"/>
              <w:keepLines w:val="0"/>
              <w:pageBreakBefore w:val="0"/>
              <w:widowControl w:val="0"/>
              <w:kinsoku/>
              <w:wordWrap/>
              <w:overflowPunct/>
              <w:topLinePunct w:val="0"/>
              <w:autoSpaceDE/>
              <w:autoSpaceDN/>
              <w:bidi w:val="0"/>
              <w:adjustRightInd/>
              <w:snapToGrid/>
              <w:spacing w:before="129" w:line="300" w:lineRule="exact"/>
              <w:ind w:left="0" w:leftChars="0" w:firstLine="0" w:firstLineChars="0"/>
              <w:jc w:val="center"/>
              <w:textAlignment w:val="auto"/>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员工衣着为棉制品。</w:t>
            </w:r>
          </w:p>
        </w:tc>
        <w:tc>
          <w:tcPr>
            <w:tcW w:w="693" w:type="dxa"/>
            <w:tcBorders>
              <w:right w:val="single" w:color="000000" w:sz="10" w:space="0"/>
            </w:tcBorders>
            <w:vAlign w:val="top"/>
          </w:tcPr>
          <w:p w14:paraId="710A6F23">
            <w:pPr>
              <w:keepNext w:val="0"/>
              <w:keepLines w:val="0"/>
              <w:pageBreakBefore w:val="0"/>
              <w:widowControl w:val="0"/>
              <w:kinsoku/>
              <w:wordWrap/>
              <w:overflowPunct/>
              <w:topLinePunct w:val="0"/>
              <w:autoSpaceDE/>
              <w:autoSpaceDN/>
              <w:bidi w:val="0"/>
              <w:adjustRightInd/>
              <w:snapToGrid/>
              <w:spacing w:before="129" w:line="300" w:lineRule="exact"/>
              <w:ind w:left="0" w:leftChars="0" w:firstLine="0" w:firstLineChars="0"/>
              <w:jc w:val="both"/>
              <w:textAlignment w:val="auto"/>
              <w:rPr>
                <w:rFonts w:hint="eastAsia" w:ascii="宋体" w:hAnsi="宋体" w:eastAsia="宋体" w:cs="宋体"/>
                <w:spacing w:val="-2"/>
                <w:sz w:val="21"/>
                <w:szCs w:val="21"/>
              </w:rPr>
            </w:pPr>
            <w:r>
              <w:rPr>
                <w:rFonts w:hint="eastAsia" w:ascii="宋体" w:hAnsi="宋体" w:eastAsia="宋体" w:cs="宋体"/>
                <w:spacing w:val="-2"/>
                <w:sz w:val="21"/>
                <w:szCs w:val="21"/>
              </w:rPr>
              <w:t>合格</w:t>
            </w:r>
          </w:p>
        </w:tc>
      </w:tr>
      <w:tr w14:paraId="1E6294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579" w:type="dxa"/>
            <w:vMerge w:val="continue"/>
            <w:tcBorders>
              <w:left w:val="single" w:color="auto" w:sz="4" w:space="0"/>
            </w:tcBorders>
            <w:vAlign w:val="top"/>
          </w:tcPr>
          <w:p w14:paraId="3143AACB">
            <w:pPr>
              <w:pStyle w:val="104"/>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rPr>
            </w:pPr>
          </w:p>
        </w:tc>
        <w:tc>
          <w:tcPr>
            <w:tcW w:w="928" w:type="dxa"/>
            <w:vMerge w:val="continue"/>
            <w:tcBorders>
              <w:right w:val="single" w:color="auto" w:sz="4" w:space="0"/>
            </w:tcBorders>
            <w:vAlign w:val="top"/>
          </w:tcPr>
          <w:p w14:paraId="0DB08D98">
            <w:pPr>
              <w:pStyle w:val="104"/>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rPr>
            </w:pPr>
          </w:p>
        </w:tc>
        <w:tc>
          <w:tcPr>
            <w:tcW w:w="2804" w:type="dxa"/>
            <w:tcBorders>
              <w:left w:val="single" w:color="auto" w:sz="4" w:space="0"/>
            </w:tcBorders>
            <w:vAlign w:val="top"/>
          </w:tcPr>
          <w:p w14:paraId="01A3BAEB">
            <w:pPr>
              <w:keepNext w:val="0"/>
              <w:keepLines w:val="0"/>
              <w:pageBreakBefore w:val="0"/>
              <w:widowControl w:val="0"/>
              <w:kinsoku/>
              <w:wordWrap/>
              <w:overflowPunct/>
              <w:topLinePunct w:val="0"/>
              <w:autoSpaceDE/>
              <w:autoSpaceDN/>
              <w:bidi w:val="0"/>
              <w:adjustRightInd/>
              <w:snapToGrid/>
              <w:spacing w:before="129" w:line="300" w:lineRule="exact"/>
              <w:ind w:left="0" w:leftChars="0" w:firstLine="0" w:firstLineChars="0"/>
              <w:jc w:val="center"/>
              <w:textAlignment w:val="auto"/>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防护用品及材质</w:t>
            </w:r>
          </w:p>
        </w:tc>
        <w:tc>
          <w:tcPr>
            <w:tcW w:w="4084" w:type="dxa"/>
            <w:vAlign w:val="top"/>
          </w:tcPr>
          <w:p w14:paraId="414308FC">
            <w:pPr>
              <w:keepNext w:val="0"/>
              <w:keepLines w:val="0"/>
              <w:pageBreakBefore w:val="0"/>
              <w:widowControl w:val="0"/>
              <w:kinsoku/>
              <w:wordWrap/>
              <w:overflowPunct/>
              <w:topLinePunct w:val="0"/>
              <w:autoSpaceDE/>
              <w:autoSpaceDN/>
              <w:bidi w:val="0"/>
              <w:adjustRightInd/>
              <w:snapToGrid/>
              <w:spacing w:before="129" w:line="300" w:lineRule="exact"/>
              <w:ind w:left="0" w:leftChars="0" w:firstLine="0" w:firstLineChars="0"/>
              <w:jc w:val="center"/>
              <w:textAlignment w:val="auto"/>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防火用品的材质为棉制品</w:t>
            </w:r>
          </w:p>
        </w:tc>
        <w:tc>
          <w:tcPr>
            <w:tcW w:w="693" w:type="dxa"/>
            <w:tcBorders>
              <w:right w:val="single" w:color="000000" w:sz="10" w:space="0"/>
            </w:tcBorders>
            <w:vAlign w:val="top"/>
          </w:tcPr>
          <w:p w14:paraId="7BC9BC16">
            <w:pPr>
              <w:keepNext w:val="0"/>
              <w:keepLines w:val="0"/>
              <w:pageBreakBefore w:val="0"/>
              <w:widowControl w:val="0"/>
              <w:kinsoku/>
              <w:wordWrap/>
              <w:overflowPunct/>
              <w:topLinePunct w:val="0"/>
              <w:autoSpaceDE/>
              <w:autoSpaceDN/>
              <w:bidi w:val="0"/>
              <w:adjustRightInd/>
              <w:snapToGrid/>
              <w:spacing w:before="129" w:line="300" w:lineRule="exact"/>
              <w:ind w:left="0" w:leftChars="0" w:firstLine="0" w:firstLineChars="0"/>
              <w:jc w:val="both"/>
              <w:textAlignment w:val="auto"/>
              <w:rPr>
                <w:rFonts w:hint="eastAsia" w:ascii="宋体" w:hAnsi="宋体" w:eastAsia="宋体" w:cs="宋体"/>
                <w:spacing w:val="-2"/>
                <w:sz w:val="21"/>
                <w:szCs w:val="21"/>
              </w:rPr>
            </w:pPr>
            <w:r>
              <w:rPr>
                <w:rFonts w:hint="eastAsia" w:ascii="宋体" w:hAnsi="宋体" w:eastAsia="宋体" w:cs="宋体"/>
                <w:spacing w:val="-2"/>
                <w:sz w:val="21"/>
                <w:szCs w:val="21"/>
              </w:rPr>
              <w:t>合格</w:t>
            </w:r>
          </w:p>
        </w:tc>
      </w:tr>
      <w:tr w14:paraId="73A4BB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579" w:type="dxa"/>
            <w:vMerge w:val="continue"/>
            <w:tcBorders>
              <w:left w:val="single" w:color="auto" w:sz="4" w:space="0"/>
              <w:bottom w:val="single" w:color="auto" w:sz="4" w:space="0"/>
            </w:tcBorders>
            <w:vAlign w:val="top"/>
          </w:tcPr>
          <w:p w14:paraId="0A1290C1">
            <w:pPr>
              <w:pStyle w:val="104"/>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rPr>
            </w:pPr>
          </w:p>
        </w:tc>
        <w:tc>
          <w:tcPr>
            <w:tcW w:w="928" w:type="dxa"/>
            <w:vMerge w:val="continue"/>
            <w:tcBorders>
              <w:bottom w:val="single" w:color="auto" w:sz="4" w:space="0"/>
              <w:right w:val="single" w:color="auto" w:sz="4" w:space="0"/>
            </w:tcBorders>
            <w:vAlign w:val="top"/>
          </w:tcPr>
          <w:p w14:paraId="639895CA">
            <w:pPr>
              <w:pStyle w:val="104"/>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rPr>
            </w:pPr>
          </w:p>
        </w:tc>
        <w:tc>
          <w:tcPr>
            <w:tcW w:w="2804" w:type="dxa"/>
            <w:tcBorders>
              <w:left w:val="single" w:color="auto" w:sz="4" w:space="0"/>
            </w:tcBorders>
            <w:vAlign w:val="top"/>
          </w:tcPr>
          <w:p w14:paraId="7BD2D67C">
            <w:pPr>
              <w:keepNext w:val="0"/>
              <w:keepLines w:val="0"/>
              <w:pageBreakBefore w:val="0"/>
              <w:widowControl w:val="0"/>
              <w:kinsoku/>
              <w:wordWrap/>
              <w:overflowPunct/>
              <w:topLinePunct w:val="0"/>
              <w:autoSpaceDE/>
              <w:autoSpaceDN/>
              <w:bidi w:val="0"/>
              <w:adjustRightInd/>
              <w:snapToGrid/>
              <w:spacing w:before="129" w:line="300" w:lineRule="exact"/>
              <w:ind w:left="0" w:leftChars="0" w:firstLine="0" w:firstLineChars="0"/>
              <w:jc w:val="center"/>
              <w:textAlignment w:val="auto"/>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年龄及身体状况</w:t>
            </w:r>
          </w:p>
        </w:tc>
        <w:tc>
          <w:tcPr>
            <w:tcW w:w="4084" w:type="dxa"/>
            <w:vAlign w:val="top"/>
          </w:tcPr>
          <w:p w14:paraId="6FEC4032">
            <w:pPr>
              <w:keepNext w:val="0"/>
              <w:keepLines w:val="0"/>
              <w:pageBreakBefore w:val="0"/>
              <w:widowControl w:val="0"/>
              <w:kinsoku/>
              <w:wordWrap/>
              <w:overflowPunct/>
              <w:topLinePunct w:val="0"/>
              <w:autoSpaceDE/>
              <w:autoSpaceDN/>
              <w:bidi w:val="0"/>
              <w:adjustRightInd/>
              <w:snapToGrid/>
              <w:spacing w:before="129" w:line="300" w:lineRule="exact"/>
              <w:ind w:left="0" w:leftChars="0" w:firstLine="0" w:firstLineChars="0"/>
              <w:jc w:val="center"/>
              <w:textAlignment w:val="auto"/>
              <w:rPr>
                <w:rFonts w:hint="eastAsia" w:ascii="宋体" w:hAnsi="宋体" w:eastAsia="宋体" w:cs="宋体"/>
                <w:spacing w:val="-4"/>
                <w:kern w:val="2"/>
                <w:sz w:val="21"/>
                <w:szCs w:val="21"/>
                <w:lang w:val="en-US" w:eastAsia="zh-CN" w:bidi="ar-SA"/>
              </w:rPr>
            </w:pPr>
            <w:r>
              <w:rPr>
                <w:rFonts w:hint="eastAsia" w:ascii="宋体" w:hAnsi="宋体" w:eastAsia="宋体" w:cs="宋体"/>
                <w:spacing w:val="-4"/>
                <w:kern w:val="2"/>
                <w:sz w:val="21"/>
                <w:szCs w:val="21"/>
                <w:lang w:val="en-US" w:eastAsia="zh-CN" w:bidi="ar-SA"/>
              </w:rPr>
              <w:t>员工的年龄和身体状况符合规范要求</w:t>
            </w:r>
          </w:p>
        </w:tc>
        <w:tc>
          <w:tcPr>
            <w:tcW w:w="693" w:type="dxa"/>
            <w:tcBorders>
              <w:right w:val="single" w:color="000000" w:sz="10" w:space="0"/>
            </w:tcBorders>
            <w:vAlign w:val="top"/>
          </w:tcPr>
          <w:p w14:paraId="185FE118">
            <w:pPr>
              <w:keepNext w:val="0"/>
              <w:keepLines w:val="0"/>
              <w:pageBreakBefore w:val="0"/>
              <w:widowControl w:val="0"/>
              <w:kinsoku/>
              <w:wordWrap/>
              <w:overflowPunct/>
              <w:topLinePunct w:val="0"/>
              <w:autoSpaceDE/>
              <w:autoSpaceDN/>
              <w:bidi w:val="0"/>
              <w:adjustRightInd/>
              <w:snapToGrid/>
              <w:spacing w:before="129" w:line="300" w:lineRule="exact"/>
              <w:ind w:left="0" w:leftChars="0" w:firstLine="0" w:firstLineChars="0"/>
              <w:jc w:val="both"/>
              <w:textAlignment w:val="auto"/>
              <w:rPr>
                <w:rFonts w:hint="eastAsia" w:ascii="宋体" w:hAnsi="宋体" w:eastAsia="宋体" w:cs="宋体"/>
                <w:spacing w:val="-2"/>
                <w:sz w:val="21"/>
                <w:szCs w:val="21"/>
              </w:rPr>
            </w:pPr>
            <w:r>
              <w:rPr>
                <w:rFonts w:hint="eastAsia" w:ascii="宋体" w:hAnsi="宋体" w:eastAsia="宋体" w:cs="宋体"/>
                <w:spacing w:val="-2"/>
                <w:sz w:val="21"/>
                <w:szCs w:val="21"/>
              </w:rPr>
              <w:t>合格</w:t>
            </w:r>
          </w:p>
        </w:tc>
      </w:tr>
      <w:tr w14:paraId="28C311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579" w:type="dxa"/>
            <w:vMerge w:val="restart"/>
            <w:tcBorders>
              <w:top w:val="single" w:color="auto" w:sz="4" w:space="0"/>
              <w:left w:val="single" w:color="auto" w:sz="4" w:space="0"/>
            </w:tcBorders>
            <w:vAlign w:val="top"/>
          </w:tcPr>
          <w:p w14:paraId="38841EE9">
            <w:pPr>
              <w:pStyle w:val="104"/>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928" w:type="dxa"/>
            <w:vMerge w:val="restart"/>
            <w:tcBorders>
              <w:top w:val="single" w:color="auto" w:sz="4" w:space="0"/>
              <w:right w:val="single" w:color="auto" w:sz="4" w:space="0"/>
            </w:tcBorders>
            <w:vAlign w:val="top"/>
          </w:tcPr>
          <w:p w14:paraId="27A95A95">
            <w:pPr>
              <w:pStyle w:val="104"/>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消防</w:t>
            </w:r>
          </w:p>
        </w:tc>
        <w:tc>
          <w:tcPr>
            <w:tcW w:w="2804" w:type="dxa"/>
            <w:tcBorders>
              <w:left w:val="single" w:color="auto" w:sz="4" w:space="0"/>
            </w:tcBorders>
            <w:vAlign w:val="top"/>
          </w:tcPr>
          <w:p w14:paraId="2C22689B">
            <w:pPr>
              <w:keepNext w:val="0"/>
              <w:keepLines w:val="0"/>
              <w:pageBreakBefore w:val="0"/>
              <w:widowControl w:val="0"/>
              <w:kinsoku/>
              <w:wordWrap/>
              <w:overflowPunct/>
              <w:topLinePunct w:val="0"/>
              <w:autoSpaceDE/>
              <w:autoSpaceDN/>
              <w:bidi w:val="0"/>
              <w:adjustRightInd/>
              <w:snapToGrid/>
              <w:spacing w:before="129" w:line="300" w:lineRule="exact"/>
              <w:ind w:left="0" w:leftChars="0" w:firstLine="0" w:firstLineChars="0"/>
              <w:jc w:val="center"/>
              <w:textAlignment w:val="auto"/>
              <w:rPr>
                <w:rFonts w:ascii="宋体" w:hAnsi="宋体" w:eastAsia="宋体" w:cs="宋体"/>
                <w:spacing w:val="-4"/>
                <w:sz w:val="21"/>
                <w:szCs w:val="21"/>
              </w:rPr>
            </w:pPr>
            <w:r>
              <w:rPr>
                <w:rFonts w:ascii="宋体" w:hAnsi="宋体" w:eastAsia="宋体" w:cs="宋体"/>
                <w:spacing w:val="-1"/>
                <w:sz w:val="21"/>
                <w:szCs w:val="21"/>
              </w:rPr>
              <w:t>设施、器材的配置和检验</w:t>
            </w:r>
          </w:p>
        </w:tc>
        <w:tc>
          <w:tcPr>
            <w:tcW w:w="4084" w:type="dxa"/>
            <w:vAlign w:val="top"/>
          </w:tcPr>
          <w:p w14:paraId="38919A0F">
            <w:pPr>
              <w:keepNext w:val="0"/>
              <w:keepLines w:val="0"/>
              <w:pageBreakBefore w:val="0"/>
              <w:widowControl w:val="0"/>
              <w:kinsoku/>
              <w:wordWrap/>
              <w:overflowPunct/>
              <w:topLinePunct w:val="0"/>
              <w:autoSpaceDE/>
              <w:autoSpaceDN/>
              <w:bidi w:val="0"/>
              <w:adjustRightInd/>
              <w:snapToGrid/>
              <w:spacing w:before="129" w:line="300" w:lineRule="exact"/>
              <w:ind w:left="0" w:leftChars="0" w:firstLine="0" w:firstLineChars="0"/>
              <w:jc w:val="center"/>
              <w:textAlignment w:val="auto"/>
              <w:rPr>
                <w:rFonts w:hint="eastAsia" w:ascii="宋体" w:hAnsi="宋体" w:eastAsia="宋体" w:cs="宋体"/>
                <w:spacing w:val="-2"/>
                <w:sz w:val="21"/>
                <w:szCs w:val="21"/>
              </w:rPr>
            </w:pPr>
            <w:r>
              <w:rPr>
                <w:rFonts w:hint="eastAsia" w:ascii="宋体" w:hAnsi="宋体" w:eastAsia="宋体" w:cs="宋体"/>
                <w:spacing w:val="-4"/>
                <w:kern w:val="2"/>
                <w:sz w:val="21"/>
                <w:szCs w:val="21"/>
                <w:lang w:val="en-US" w:eastAsia="zh-CN" w:bidi="ar-SA"/>
              </w:rPr>
              <w:t>符合要求</w:t>
            </w:r>
          </w:p>
        </w:tc>
        <w:tc>
          <w:tcPr>
            <w:tcW w:w="693" w:type="dxa"/>
            <w:tcBorders>
              <w:right w:val="single" w:color="000000" w:sz="10" w:space="0"/>
            </w:tcBorders>
            <w:vAlign w:val="top"/>
          </w:tcPr>
          <w:p w14:paraId="55A9A0EB">
            <w:pPr>
              <w:keepNext w:val="0"/>
              <w:keepLines w:val="0"/>
              <w:pageBreakBefore w:val="0"/>
              <w:widowControl w:val="0"/>
              <w:kinsoku/>
              <w:wordWrap/>
              <w:overflowPunct/>
              <w:topLinePunct w:val="0"/>
              <w:autoSpaceDE/>
              <w:autoSpaceDN/>
              <w:bidi w:val="0"/>
              <w:adjustRightInd/>
              <w:snapToGrid/>
              <w:spacing w:before="129" w:line="300" w:lineRule="exact"/>
              <w:ind w:left="0" w:leftChars="0" w:firstLine="0" w:firstLineChars="0"/>
              <w:jc w:val="both"/>
              <w:textAlignment w:val="auto"/>
              <w:rPr>
                <w:rFonts w:hint="eastAsia" w:ascii="宋体" w:hAnsi="宋体" w:eastAsia="宋体" w:cs="宋体"/>
                <w:spacing w:val="-2"/>
                <w:sz w:val="21"/>
                <w:szCs w:val="21"/>
              </w:rPr>
            </w:pPr>
            <w:r>
              <w:rPr>
                <w:rFonts w:hint="eastAsia" w:ascii="宋体" w:hAnsi="宋体" w:eastAsia="宋体" w:cs="宋体"/>
                <w:spacing w:val="-2"/>
                <w:sz w:val="21"/>
                <w:szCs w:val="21"/>
              </w:rPr>
              <w:t>合格</w:t>
            </w:r>
          </w:p>
        </w:tc>
      </w:tr>
      <w:tr w14:paraId="4BBC39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579" w:type="dxa"/>
            <w:vMerge w:val="continue"/>
            <w:tcBorders>
              <w:left w:val="single" w:color="auto" w:sz="4" w:space="0"/>
            </w:tcBorders>
            <w:vAlign w:val="top"/>
          </w:tcPr>
          <w:p w14:paraId="17F6985A">
            <w:pPr>
              <w:pStyle w:val="104"/>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rPr>
            </w:pPr>
          </w:p>
        </w:tc>
        <w:tc>
          <w:tcPr>
            <w:tcW w:w="928" w:type="dxa"/>
            <w:vMerge w:val="continue"/>
            <w:tcBorders>
              <w:right w:val="single" w:color="auto" w:sz="4" w:space="0"/>
            </w:tcBorders>
            <w:vAlign w:val="top"/>
          </w:tcPr>
          <w:p w14:paraId="43E98673">
            <w:pPr>
              <w:pStyle w:val="104"/>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rPr>
            </w:pPr>
          </w:p>
        </w:tc>
        <w:tc>
          <w:tcPr>
            <w:tcW w:w="2804" w:type="dxa"/>
            <w:tcBorders>
              <w:left w:val="single" w:color="auto" w:sz="4" w:space="0"/>
            </w:tcBorders>
            <w:vAlign w:val="top"/>
          </w:tcPr>
          <w:p w14:paraId="42B4DB45">
            <w:pPr>
              <w:keepNext w:val="0"/>
              <w:keepLines w:val="0"/>
              <w:pageBreakBefore w:val="0"/>
              <w:widowControl w:val="0"/>
              <w:kinsoku/>
              <w:wordWrap/>
              <w:overflowPunct/>
              <w:topLinePunct w:val="0"/>
              <w:autoSpaceDE/>
              <w:autoSpaceDN/>
              <w:bidi w:val="0"/>
              <w:adjustRightInd/>
              <w:snapToGrid/>
              <w:spacing w:before="129" w:line="300" w:lineRule="exact"/>
              <w:ind w:left="0" w:leftChars="0" w:firstLine="0" w:firstLineChars="0"/>
              <w:jc w:val="center"/>
              <w:textAlignment w:val="auto"/>
              <w:rPr>
                <w:rFonts w:ascii="宋体" w:hAnsi="宋体" w:eastAsia="宋体" w:cs="宋体"/>
                <w:spacing w:val="-4"/>
                <w:sz w:val="21"/>
                <w:szCs w:val="21"/>
              </w:rPr>
            </w:pPr>
            <w:r>
              <w:rPr>
                <w:rFonts w:ascii="宋体" w:hAnsi="宋体" w:eastAsia="宋体" w:cs="宋体"/>
                <w:spacing w:val="-3"/>
                <w:sz w:val="21"/>
                <w:szCs w:val="21"/>
              </w:rPr>
              <w:t>防火设备和措施</w:t>
            </w:r>
          </w:p>
        </w:tc>
        <w:tc>
          <w:tcPr>
            <w:tcW w:w="4084" w:type="dxa"/>
            <w:vAlign w:val="top"/>
          </w:tcPr>
          <w:p w14:paraId="00AF6CF3">
            <w:pPr>
              <w:keepNext w:val="0"/>
              <w:keepLines w:val="0"/>
              <w:pageBreakBefore w:val="0"/>
              <w:widowControl w:val="0"/>
              <w:kinsoku/>
              <w:wordWrap/>
              <w:overflowPunct/>
              <w:topLinePunct w:val="0"/>
              <w:autoSpaceDE/>
              <w:autoSpaceDN/>
              <w:bidi w:val="0"/>
              <w:adjustRightInd/>
              <w:snapToGrid/>
              <w:spacing w:before="129" w:line="300" w:lineRule="exact"/>
              <w:ind w:left="0" w:leftChars="0" w:firstLine="0" w:firstLineChars="0"/>
              <w:jc w:val="center"/>
              <w:textAlignment w:val="auto"/>
              <w:rPr>
                <w:rFonts w:hint="eastAsia" w:ascii="宋体" w:hAnsi="宋体" w:eastAsia="宋体" w:cs="宋体"/>
                <w:spacing w:val="-2"/>
                <w:sz w:val="21"/>
                <w:szCs w:val="21"/>
              </w:rPr>
            </w:pPr>
            <w:r>
              <w:rPr>
                <w:rFonts w:ascii="宋体" w:hAnsi="宋体" w:eastAsia="宋体" w:cs="宋体"/>
                <w:spacing w:val="-1"/>
                <w:sz w:val="21"/>
                <w:szCs w:val="21"/>
              </w:rPr>
              <w:t>配备齐全</w:t>
            </w:r>
            <w:r>
              <w:rPr>
                <w:rFonts w:hint="eastAsia" w:ascii="宋体" w:hAnsi="宋体" w:eastAsia="宋体" w:cs="宋体"/>
                <w:spacing w:val="-1"/>
                <w:sz w:val="21"/>
                <w:szCs w:val="21"/>
                <w:lang w:eastAsia="zh-CN"/>
              </w:rPr>
              <w:t>，</w:t>
            </w:r>
            <w:r>
              <w:rPr>
                <w:rFonts w:hint="eastAsia" w:ascii="宋体" w:hAnsi="宋体" w:eastAsia="宋体" w:cs="宋体"/>
                <w:spacing w:val="-1"/>
                <w:sz w:val="21"/>
                <w:szCs w:val="21"/>
                <w:lang w:val="en-US" w:eastAsia="zh-CN"/>
              </w:rPr>
              <w:t>检查时</w:t>
            </w:r>
            <w:r>
              <w:rPr>
                <w:rFonts w:ascii="宋体" w:hAnsi="宋体" w:eastAsia="宋体" w:cs="宋体"/>
                <w:spacing w:val="-1"/>
                <w:sz w:val="21"/>
                <w:szCs w:val="21"/>
              </w:rPr>
              <w:t>防火隔离带</w:t>
            </w:r>
            <w:r>
              <w:rPr>
                <w:rFonts w:hint="eastAsia" w:ascii="宋体" w:hAnsi="宋体" w:eastAsia="宋体" w:cs="宋体"/>
                <w:spacing w:val="-1"/>
                <w:sz w:val="21"/>
                <w:szCs w:val="21"/>
                <w:lang w:val="en-US" w:eastAsia="zh-CN"/>
              </w:rPr>
              <w:t>未及时清理，现已清理干净</w:t>
            </w:r>
            <w:r>
              <w:rPr>
                <w:rFonts w:hint="eastAsia" w:ascii="宋体" w:hAnsi="宋体" w:eastAsia="宋体" w:cs="宋体"/>
                <w:spacing w:val="-1"/>
                <w:sz w:val="21"/>
                <w:szCs w:val="21"/>
                <w:lang w:eastAsia="zh-CN"/>
              </w:rPr>
              <w:t>，</w:t>
            </w:r>
            <w:r>
              <w:rPr>
                <w:rFonts w:hint="eastAsia" w:ascii="宋体" w:hAnsi="宋体" w:eastAsia="宋体" w:cs="宋体"/>
                <w:spacing w:val="-4"/>
                <w:kern w:val="2"/>
                <w:sz w:val="21"/>
                <w:szCs w:val="21"/>
                <w:lang w:val="en-US" w:eastAsia="zh-CN" w:bidi="ar-SA"/>
              </w:rPr>
              <w:t>符合要求。</w:t>
            </w:r>
          </w:p>
        </w:tc>
        <w:tc>
          <w:tcPr>
            <w:tcW w:w="693" w:type="dxa"/>
            <w:tcBorders>
              <w:right w:val="single" w:color="000000" w:sz="10" w:space="0"/>
            </w:tcBorders>
            <w:vAlign w:val="top"/>
          </w:tcPr>
          <w:p w14:paraId="7A29829E">
            <w:pPr>
              <w:keepNext w:val="0"/>
              <w:keepLines w:val="0"/>
              <w:pageBreakBefore w:val="0"/>
              <w:widowControl w:val="0"/>
              <w:kinsoku/>
              <w:wordWrap/>
              <w:overflowPunct/>
              <w:topLinePunct w:val="0"/>
              <w:autoSpaceDE/>
              <w:autoSpaceDN/>
              <w:bidi w:val="0"/>
              <w:adjustRightInd/>
              <w:snapToGrid/>
              <w:spacing w:before="129" w:line="300" w:lineRule="exact"/>
              <w:ind w:left="0" w:leftChars="0" w:firstLine="0" w:firstLineChars="0"/>
              <w:jc w:val="both"/>
              <w:textAlignment w:val="auto"/>
              <w:rPr>
                <w:rFonts w:hint="eastAsia" w:ascii="宋体" w:hAnsi="宋体" w:eastAsia="宋体" w:cs="宋体"/>
                <w:spacing w:val="-2"/>
                <w:sz w:val="21"/>
                <w:szCs w:val="21"/>
              </w:rPr>
            </w:pPr>
            <w:r>
              <w:rPr>
                <w:rFonts w:hint="eastAsia" w:ascii="宋体" w:hAnsi="宋体" w:eastAsia="宋体" w:cs="宋体"/>
                <w:spacing w:val="-2"/>
                <w:sz w:val="21"/>
                <w:szCs w:val="21"/>
              </w:rPr>
              <w:t>合格</w:t>
            </w:r>
          </w:p>
        </w:tc>
      </w:tr>
      <w:tr w14:paraId="1F2038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579" w:type="dxa"/>
            <w:vMerge w:val="continue"/>
            <w:tcBorders>
              <w:left w:val="single" w:color="auto" w:sz="4" w:space="0"/>
            </w:tcBorders>
            <w:vAlign w:val="top"/>
          </w:tcPr>
          <w:p w14:paraId="7068DCDF">
            <w:pPr>
              <w:pStyle w:val="104"/>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rPr>
            </w:pPr>
          </w:p>
        </w:tc>
        <w:tc>
          <w:tcPr>
            <w:tcW w:w="928" w:type="dxa"/>
            <w:vMerge w:val="continue"/>
            <w:tcBorders>
              <w:right w:val="single" w:color="auto" w:sz="4" w:space="0"/>
            </w:tcBorders>
            <w:vAlign w:val="top"/>
          </w:tcPr>
          <w:p w14:paraId="07F33EF8">
            <w:pPr>
              <w:pStyle w:val="104"/>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rPr>
            </w:pPr>
          </w:p>
        </w:tc>
        <w:tc>
          <w:tcPr>
            <w:tcW w:w="2804" w:type="dxa"/>
            <w:tcBorders>
              <w:left w:val="single" w:color="auto" w:sz="4" w:space="0"/>
            </w:tcBorders>
            <w:vAlign w:val="top"/>
          </w:tcPr>
          <w:p w14:paraId="68A295AD">
            <w:pPr>
              <w:keepNext w:val="0"/>
              <w:keepLines w:val="0"/>
              <w:pageBreakBefore w:val="0"/>
              <w:widowControl w:val="0"/>
              <w:kinsoku/>
              <w:wordWrap/>
              <w:overflowPunct/>
              <w:topLinePunct w:val="0"/>
              <w:autoSpaceDE/>
              <w:autoSpaceDN/>
              <w:bidi w:val="0"/>
              <w:adjustRightInd/>
              <w:snapToGrid/>
              <w:spacing w:before="129" w:line="300" w:lineRule="exact"/>
              <w:ind w:left="0" w:leftChars="0" w:firstLine="0" w:firstLineChars="0"/>
              <w:jc w:val="center"/>
              <w:textAlignment w:val="auto"/>
              <w:rPr>
                <w:rFonts w:ascii="宋体" w:hAnsi="宋体" w:eastAsia="宋体" w:cs="宋体"/>
                <w:spacing w:val="-4"/>
                <w:sz w:val="21"/>
                <w:szCs w:val="21"/>
              </w:rPr>
            </w:pPr>
            <w:r>
              <w:rPr>
                <w:rFonts w:ascii="宋体" w:hAnsi="宋体" w:eastAsia="宋体" w:cs="宋体"/>
                <w:spacing w:val="-3"/>
                <w:sz w:val="21"/>
                <w:szCs w:val="21"/>
              </w:rPr>
              <w:t>电器设备的选型与安装</w:t>
            </w:r>
          </w:p>
        </w:tc>
        <w:tc>
          <w:tcPr>
            <w:tcW w:w="4084" w:type="dxa"/>
            <w:vAlign w:val="top"/>
          </w:tcPr>
          <w:p w14:paraId="3159B21D">
            <w:pPr>
              <w:keepNext w:val="0"/>
              <w:keepLines w:val="0"/>
              <w:pageBreakBefore w:val="0"/>
              <w:widowControl w:val="0"/>
              <w:kinsoku/>
              <w:wordWrap/>
              <w:overflowPunct/>
              <w:topLinePunct w:val="0"/>
              <w:autoSpaceDE/>
              <w:autoSpaceDN/>
              <w:bidi w:val="0"/>
              <w:adjustRightInd/>
              <w:snapToGrid/>
              <w:spacing w:before="129" w:line="300" w:lineRule="exact"/>
              <w:ind w:left="0" w:leftChars="0" w:firstLine="0" w:firstLineChars="0"/>
              <w:jc w:val="center"/>
              <w:textAlignment w:val="auto"/>
              <w:rPr>
                <w:rFonts w:hint="eastAsia" w:ascii="宋体" w:hAnsi="宋体" w:eastAsia="宋体" w:cs="宋体"/>
                <w:spacing w:val="-2"/>
                <w:sz w:val="21"/>
                <w:szCs w:val="21"/>
              </w:rPr>
            </w:pPr>
            <w:r>
              <w:rPr>
                <w:rFonts w:ascii="宋体" w:hAnsi="宋体" w:eastAsia="宋体" w:cs="宋体"/>
                <w:spacing w:val="-2"/>
                <w:sz w:val="21"/>
                <w:szCs w:val="21"/>
              </w:rPr>
              <w:t>无此项。</w:t>
            </w:r>
          </w:p>
        </w:tc>
        <w:tc>
          <w:tcPr>
            <w:tcW w:w="693" w:type="dxa"/>
            <w:tcBorders>
              <w:right w:val="single" w:color="000000" w:sz="10" w:space="0"/>
            </w:tcBorders>
            <w:vAlign w:val="top"/>
          </w:tcPr>
          <w:p w14:paraId="4B291790">
            <w:pPr>
              <w:keepNext w:val="0"/>
              <w:keepLines w:val="0"/>
              <w:pageBreakBefore w:val="0"/>
              <w:widowControl w:val="0"/>
              <w:kinsoku/>
              <w:wordWrap/>
              <w:overflowPunct/>
              <w:topLinePunct w:val="0"/>
              <w:autoSpaceDE/>
              <w:autoSpaceDN/>
              <w:bidi w:val="0"/>
              <w:adjustRightInd/>
              <w:snapToGrid/>
              <w:spacing w:before="129" w:line="300" w:lineRule="exact"/>
              <w:ind w:left="0" w:leftChars="0" w:firstLine="0" w:firstLineChars="0"/>
              <w:jc w:val="both"/>
              <w:textAlignment w:val="auto"/>
              <w:rPr>
                <w:rFonts w:hint="default" w:ascii="宋体" w:hAnsi="宋体" w:eastAsia="宋体" w:cs="宋体"/>
                <w:spacing w:val="-2"/>
                <w:sz w:val="21"/>
                <w:szCs w:val="21"/>
                <w:lang w:val="en-US" w:eastAsia="zh-CN"/>
              </w:rPr>
            </w:pPr>
            <w:r>
              <w:rPr>
                <w:rFonts w:hint="eastAsia" w:ascii="宋体" w:hAnsi="宋体" w:eastAsia="宋体" w:cs="宋体"/>
                <w:spacing w:val="-2"/>
                <w:w w:val="90"/>
                <w:sz w:val="21"/>
                <w:szCs w:val="21"/>
                <w:lang w:val="en-US" w:eastAsia="zh-CN"/>
              </w:rPr>
              <w:t>不考核</w:t>
            </w:r>
          </w:p>
        </w:tc>
      </w:tr>
      <w:tr w14:paraId="31F656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579" w:type="dxa"/>
            <w:vMerge w:val="continue"/>
            <w:tcBorders>
              <w:left w:val="single" w:color="auto" w:sz="4" w:space="0"/>
            </w:tcBorders>
            <w:vAlign w:val="top"/>
          </w:tcPr>
          <w:p w14:paraId="78DD0007">
            <w:pPr>
              <w:pStyle w:val="104"/>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rPr>
            </w:pPr>
          </w:p>
        </w:tc>
        <w:tc>
          <w:tcPr>
            <w:tcW w:w="928" w:type="dxa"/>
            <w:vMerge w:val="continue"/>
            <w:tcBorders>
              <w:right w:val="single" w:color="auto" w:sz="4" w:space="0"/>
            </w:tcBorders>
            <w:vAlign w:val="top"/>
          </w:tcPr>
          <w:p w14:paraId="41DDDF8A">
            <w:pPr>
              <w:pStyle w:val="104"/>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rPr>
            </w:pPr>
          </w:p>
        </w:tc>
        <w:tc>
          <w:tcPr>
            <w:tcW w:w="2804" w:type="dxa"/>
            <w:tcBorders>
              <w:left w:val="single" w:color="auto" w:sz="4" w:space="0"/>
            </w:tcBorders>
            <w:vAlign w:val="top"/>
          </w:tcPr>
          <w:p w14:paraId="3006ECF6">
            <w:pPr>
              <w:keepNext w:val="0"/>
              <w:keepLines w:val="0"/>
              <w:pageBreakBefore w:val="0"/>
              <w:widowControl w:val="0"/>
              <w:kinsoku/>
              <w:wordWrap/>
              <w:overflowPunct/>
              <w:topLinePunct w:val="0"/>
              <w:autoSpaceDE/>
              <w:autoSpaceDN/>
              <w:bidi w:val="0"/>
              <w:adjustRightInd/>
              <w:snapToGrid/>
              <w:spacing w:before="129" w:line="300" w:lineRule="exact"/>
              <w:ind w:left="0" w:leftChars="0" w:firstLine="0" w:firstLineChars="0"/>
              <w:jc w:val="center"/>
              <w:textAlignment w:val="auto"/>
              <w:rPr>
                <w:rFonts w:ascii="宋体" w:hAnsi="宋体" w:eastAsia="宋体" w:cs="宋体"/>
                <w:spacing w:val="-4"/>
                <w:sz w:val="21"/>
                <w:szCs w:val="21"/>
              </w:rPr>
            </w:pPr>
            <w:r>
              <w:rPr>
                <w:rFonts w:ascii="宋体" w:hAnsi="宋体" w:eastAsia="宋体" w:cs="宋体"/>
                <w:spacing w:val="-3"/>
                <w:sz w:val="21"/>
                <w:szCs w:val="21"/>
              </w:rPr>
              <w:t>电器照明的选型与安装</w:t>
            </w:r>
          </w:p>
        </w:tc>
        <w:tc>
          <w:tcPr>
            <w:tcW w:w="4084" w:type="dxa"/>
            <w:vAlign w:val="top"/>
          </w:tcPr>
          <w:p w14:paraId="6008926C">
            <w:pPr>
              <w:keepNext w:val="0"/>
              <w:keepLines w:val="0"/>
              <w:pageBreakBefore w:val="0"/>
              <w:widowControl w:val="0"/>
              <w:kinsoku/>
              <w:wordWrap/>
              <w:overflowPunct/>
              <w:topLinePunct w:val="0"/>
              <w:autoSpaceDE/>
              <w:autoSpaceDN/>
              <w:bidi w:val="0"/>
              <w:adjustRightInd/>
              <w:snapToGrid/>
              <w:spacing w:before="129" w:line="300" w:lineRule="exact"/>
              <w:ind w:left="0" w:leftChars="0" w:firstLine="0" w:firstLineChars="0"/>
              <w:jc w:val="center"/>
              <w:textAlignment w:val="auto"/>
              <w:rPr>
                <w:rFonts w:hint="eastAsia" w:ascii="宋体" w:hAnsi="宋体" w:eastAsia="宋体" w:cs="宋体"/>
                <w:spacing w:val="-2"/>
                <w:sz w:val="21"/>
                <w:szCs w:val="21"/>
              </w:rPr>
            </w:pPr>
            <w:r>
              <w:rPr>
                <w:rFonts w:ascii="宋体" w:hAnsi="宋体" w:eastAsia="宋体" w:cs="宋体"/>
                <w:spacing w:val="-1"/>
                <w:sz w:val="21"/>
                <w:szCs w:val="21"/>
              </w:rPr>
              <w:t>未设置照明灯具。</w:t>
            </w:r>
          </w:p>
        </w:tc>
        <w:tc>
          <w:tcPr>
            <w:tcW w:w="693" w:type="dxa"/>
            <w:tcBorders>
              <w:right w:val="single" w:color="000000" w:sz="10" w:space="0"/>
            </w:tcBorders>
            <w:vAlign w:val="top"/>
          </w:tcPr>
          <w:p w14:paraId="414F402C">
            <w:pPr>
              <w:keepNext w:val="0"/>
              <w:keepLines w:val="0"/>
              <w:pageBreakBefore w:val="0"/>
              <w:widowControl w:val="0"/>
              <w:kinsoku/>
              <w:wordWrap/>
              <w:overflowPunct/>
              <w:topLinePunct w:val="0"/>
              <w:autoSpaceDE/>
              <w:autoSpaceDN/>
              <w:bidi w:val="0"/>
              <w:adjustRightInd/>
              <w:snapToGrid/>
              <w:spacing w:before="129" w:line="300" w:lineRule="exact"/>
              <w:ind w:left="0" w:leftChars="0" w:firstLine="0" w:firstLineChars="0"/>
              <w:jc w:val="both"/>
              <w:textAlignment w:val="auto"/>
              <w:rPr>
                <w:rFonts w:hint="eastAsia" w:ascii="宋体" w:hAnsi="宋体" w:eastAsia="宋体" w:cs="宋体"/>
                <w:spacing w:val="-2"/>
                <w:sz w:val="21"/>
                <w:szCs w:val="21"/>
              </w:rPr>
            </w:pPr>
            <w:r>
              <w:rPr>
                <w:rFonts w:hint="eastAsia" w:ascii="宋体" w:hAnsi="宋体" w:eastAsia="宋体" w:cs="宋体"/>
                <w:spacing w:val="-2"/>
                <w:sz w:val="21"/>
                <w:szCs w:val="21"/>
              </w:rPr>
              <w:t>合格</w:t>
            </w:r>
          </w:p>
        </w:tc>
      </w:tr>
      <w:tr w14:paraId="757E0B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579" w:type="dxa"/>
            <w:vMerge w:val="continue"/>
            <w:tcBorders>
              <w:left w:val="single" w:color="auto" w:sz="4" w:space="0"/>
            </w:tcBorders>
            <w:vAlign w:val="top"/>
          </w:tcPr>
          <w:p w14:paraId="1A65E539">
            <w:pPr>
              <w:pStyle w:val="104"/>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rPr>
            </w:pPr>
          </w:p>
        </w:tc>
        <w:tc>
          <w:tcPr>
            <w:tcW w:w="928" w:type="dxa"/>
            <w:vMerge w:val="continue"/>
            <w:tcBorders>
              <w:right w:val="single" w:color="auto" w:sz="4" w:space="0"/>
            </w:tcBorders>
            <w:vAlign w:val="top"/>
          </w:tcPr>
          <w:p w14:paraId="293F84EB">
            <w:pPr>
              <w:pStyle w:val="104"/>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rPr>
            </w:pPr>
          </w:p>
        </w:tc>
        <w:tc>
          <w:tcPr>
            <w:tcW w:w="2804" w:type="dxa"/>
            <w:tcBorders>
              <w:left w:val="single" w:color="auto" w:sz="4" w:space="0"/>
            </w:tcBorders>
            <w:vAlign w:val="top"/>
          </w:tcPr>
          <w:p w14:paraId="65393E44">
            <w:pPr>
              <w:keepNext w:val="0"/>
              <w:keepLines w:val="0"/>
              <w:pageBreakBefore w:val="0"/>
              <w:widowControl w:val="0"/>
              <w:kinsoku/>
              <w:wordWrap/>
              <w:overflowPunct/>
              <w:topLinePunct w:val="0"/>
              <w:autoSpaceDE/>
              <w:autoSpaceDN/>
              <w:bidi w:val="0"/>
              <w:adjustRightInd/>
              <w:snapToGrid/>
              <w:spacing w:before="129" w:line="300" w:lineRule="exact"/>
              <w:ind w:left="0" w:leftChars="0" w:firstLine="0" w:firstLineChars="0"/>
              <w:jc w:val="center"/>
              <w:textAlignment w:val="auto"/>
              <w:rPr>
                <w:rFonts w:ascii="宋体" w:hAnsi="宋体" w:eastAsia="宋体" w:cs="宋体"/>
                <w:spacing w:val="-4"/>
                <w:sz w:val="21"/>
                <w:szCs w:val="21"/>
              </w:rPr>
            </w:pPr>
            <w:r>
              <w:rPr>
                <w:rFonts w:ascii="宋体" w:hAnsi="宋体" w:eastAsia="宋体" w:cs="宋体"/>
                <w:spacing w:val="-3"/>
                <w:sz w:val="21"/>
                <w:szCs w:val="21"/>
              </w:rPr>
              <w:t>电线的选型、连接和敷设</w:t>
            </w:r>
          </w:p>
        </w:tc>
        <w:tc>
          <w:tcPr>
            <w:tcW w:w="4084" w:type="dxa"/>
            <w:vAlign w:val="top"/>
          </w:tcPr>
          <w:p w14:paraId="28500D30">
            <w:pPr>
              <w:keepNext w:val="0"/>
              <w:keepLines w:val="0"/>
              <w:pageBreakBefore w:val="0"/>
              <w:widowControl w:val="0"/>
              <w:kinsoku/>
              <w:wordWrap/>
              <w:overflowPunct/>
              <w:topLinePunct w:val="0"/>
              <w:autoSpaceDE/>
              <w:autoSpaceDN/>
              <w:bidi w:val="0"/>
              <w:adjustRightInd/>
              <w:snapToGrid/>
              <w:spacing w:before="129" w:line="300" w:lineRule="exact"/>
              <w:ind w:left="0" w:leftChars="0" w:firstLine="0" w:firstLineChars="0"/>
              <w:jc w:val="center"/>
              <w:textAlignment w:val="auto"/>
              <w:rPr>
                <w:rFonts w:hint="eastAsia" w:ascii="宋体" w:hAnsi="宋体" w:eastAsia="宋体" w:cs="宋体"/>
                <w:spacing w:val="-2"/>
                <w:sz w:val="21"/>
                <w:szCs w:val="21"/>
              </w:rPr>
            </w:pPr>
            <w:r>
              <w:rPr>
                <w:rFonts w:ascii="宋体" w:hAnsi="宋体" w:eastAsia="宋体" w:cs="宋体"/>
                <w:spacing w:val="-1"/>
                <w:sz w:val="21"/>
                <w:szCs w:val="21"/>
              </w:rPr>
              <w:t>未敷设电气线路。</w:t>
            </w:r>
          </w:p>
        </w:tc>
        <w:tc>
          <w:tcPr>
            <w:tcW w:w="693" w:type="dxa"/>
            <w:tcBorders>
              <w:right w:val="single" w:color="000000" w:sz="10" w:space="0"/>
            </w:tcBorders>
            <w:vAlign w:val="top"/>
          </w:tcPr>
          <w:p w14:paraId="377B1CE8">
            <w:pPr>
              <w:keepNext w:val="0"/>
              <w:keepLines w:val="0"/>
              <w:pageBreakBefore w:val="0"/>
              <w:widowControl w:val="0"/>
              <w:kinsoku/>
              <w:wordWrap/>
              <w:overflowPunct/>
              <w:topLinePunct w:val="0"/>
              <w:autoSpaceDE/>
              <w:autoSpaceDN/>
              <w:bidi w:val="0"/>
              <w:adjustRightInd/>
              <w:snapToGrid/>
              <w:spacing w:before="129" w:line="300" w:lineRule="exact"/>
              <w:ind w:left="0" w:leftChars="0" w:firstLine="0" w:firstLineChars="0"/>
              <w:jc w:val="both"/>
              <w:textAlignment w:val="auto"/>
              <w:rPr>
                <w:rFonts w:hint="eastAsia" w:ascii="宋体" w:hAnsi="宋体" w:eastAsia="宋体" w:cs="宋体"/>
                <w:spacing w:val="-2"/>
                <w:sz w:val="21"/>
                <w:szCs w:val="21"/>
              </w:rPr>
            </w:pPr>
            <w:r>
              <w:rPr>
                <w:rFonts w:hint="eastAsia" w:ascii="宋体" w:hAnsi="宋体" w:eastAsia="宋体" w:cs="宋体"/>
                <w:spacing w:val="-2"/>
                <w:sz w:val="21"/>
                <w:szCs w:val="21"/>
              </w:rPr>
              <w:t>合格</w:t>
            </w:r>
          </w:p>
        </w:tc>
      </w:tr>
      <w:tr w14:paraId="73FB70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579" w:type="dxa"/>
            <w:vMerge w:val="continue"/>
            <w:tcBorders>
              <w:left w:val="single" w:color="auto" w:sz="4" w:space="0"/>
            </w:tcBorders>
            <w:vAlign w:val="top"/>
          </w:tcPr>
          <w:p w14:paraId="69BA2D20">
            <w:pPr>
              <w:pStyle w:val="104"/>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rPr>
            </w:pPr>
          </w:p>
        </w:tc>
        <w:tc>
          <w:tcPr>
            <w:tcW w:w="928" w:type="dxa"/>
            <w:vMerge w:val="continue"/>
            <w:tcBorders>
              <w:right w:val="single" w:color="auto" w:sz="4" w:space="0"/>
            </w:tcBorders>
            <w:vAlign w:val="top"/>
          </w:tcPr>
          <w:p w14:paraId="2E288350">
            <w:pPr>
              <w:pStyle w:val="104"/>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rPr>
            </w:pPr>
          </w:p>
        </w:tc>
        <w:tc>
          <w:tcPr>
            <w:tcW w:w="2804" w:type="dxa"/>
            <w:tcBorders>
              <w:left w:val="single" w:color="auto" w:sz="4" w:space="0"/>
            </w:tcBorders>
            <w:vAlign w:val="top"/>
          </w:tcPr>
          <w:p w14:paraId="3632FB8A">
            <w:pPr>
              <w:keepNext w:val="0"/>
              <w:keepLines w:val="0"/>
              <w:pageBreakBefore w:val="0"/>
              <w:widowControl w:val="0"/>
              <w:kinsoku/>
              <w:wordWrap/>
              <w:overflowPunct/>
              <w:topLinePunct w:val="0"/>
              <w:autoSpaceDE/>
              <w:autoSpaceDN/>
              <w:bidi w:val="0"/>
              <w:adjustRightInd/>
              <w:snapToGrid/>
              <w:spacing w:before="129" w:line="300" w:lineRule="exact"/>
              <w:ind w:left="0" w:leftChars="0" w:firstLine="0" w:firstLineChars="0"/>
              <w:jc w:val="center"/>
              <w:textAlignment w:val="auto"/>
              <w:rPr>
                <w:rFonts w:ascii="宋体" w:hAnsi="宋体" w:eastAsia="宋体" w:cs="宋体"/>
                <w:spacing w:val="-4"/>
                <w:sz w:val="21"/>
                <w:szCs w:val="21"/>
              </w:rPr>
            </w:pPr>
            <w:r>
              <w:rPr>
                <w:rFonts w:ascii="宋体" w:hAnsi="宋体" w:eastAsia="宋体" w:cs="宋体"/>
                <w:spacing w:val="-2"/>
                <w:sz w:val="21"/>
                <w:szCs w:val="21"/>
              </w:rPr>
              <w:t>建筑物的防雷</w:t>
            </w:r>
          </w:p>
        </w:tc>
        <w:tc>
          <w:tcPr>
            <w:tcW w:w="4084" w:type="dxa"/>
            <w:vAlign w:val="top"/>
          </w:tcPr>
          <w:p w14:paraId="16295F17">
            <w:pPr>
              <w:keepNext w:val="0"/>
              <w:keepLines w:val="0"/>
              <w:pageBreakBefore w:val="0"/>
              <w:widowControl w:val="0"/>
              <w:kinsoku/>
              <w:wordWrap/>
              <w:overflowPunct/>
              <w:topLinePunct w:val="0"/>
              <w:autoSpaceDE/>
              <w:autoSpaceDN/>
              <w:bidi w:val="0"/>
              <w:adjustRightInd/>
              <w:snapToGrid/>
              <w:spacing w:before="129" w:line="300" w:lineRule="exact"/>
              <w:ind w:left="0" w:leftChars="0" w:firstLine="0" w:firstLineChars="0"/>
              <w:jc w:val="center"/>
              <w:textAlignment w:val="auto"/>
              <w:rPr>
                <w:rFonts w:hint="eastAsia" w:ascii="宋体" w:hAnsi="宋体" w:eastAsia="宋体" w:cs="宋体"/>
                <w:spacing w:val="-2"/>
                <w:sz w:val="21"/>
                <w:szCs w:val="21"/>
              </w:rPr>
            </w:pPr>
            <w:r>
              <w:rPr>
                <w:rFonts w:ascii="宋体" w:hAnsi="宋体" w:eastAsia="宋体" w:cs="宋体"/>
                <w:spacing w:val="-2"/>
                <w:sz w:val="21"/>
                <w:szCs w:val="21"/>
              </w:rPr>
              <w:t>仓库设置了防雷设施，并检测合格。</w:t>
            </w:r>
          </w:p>
        </w:tc>
        <w:tc>
          <w:tcPr>
            <w:tcW w:w="693" w:type="dxa"/>
            <w:tcBorders>
              <w:right w:val="single" w:color="000000" w:sz="10" w:space="0"/>
            </w:tcBorders>
            <w:vAlign w:val="top"/>
          </w:tcPr>
          <w:p w14:paraId="456DD6FD">
            <w:pPr>
              <w:keepNext w:val="0"/>
              <w:keepLines w:val="0"/>
              <w:pageBreakBefore w:val="0"/>
              <w:widowControl w:val="0"/>
              <w:kinsoku/>
              <w:wordWrap/>
              <w:overflowPunct/>
              <w:topLinePunct w:val="0"/>
              <w:autoSpaceDE/>
              <w:autoSpaceDN/>
              <w:bidi w:val="0"/>
              <w:adjustRightInd/>
              <w:snapToGrid/>
              <w:spacing w:before="129" w:line="300" w:lineRule="exact"/>
              <w:ind w:left="0" w:leftChars="0" w:firstLine="0" w:firstLineChars="0"/>
              <w:jc w:val="both"/>
              <w:textAlignment w:val="auto"/>
              <w:rPr>
                <w:rFonts w:hint="eastAsia" w:ascii="宋体" w:hAnsi="宋体" w:eastAsia="宋体" w:cs="宋体"/>
                <w:spacing w:val="-2"/>
                <w:sz w:val="21"/>
                <w:szCs w:val="21"/>
              </w:rPr>
            </w:pPr>
            <w:r>
              <w:rPr>
                <w:rFonts w:hint="eastAsia" w:ascii="宋体" w:hAnsi="宋体" w:eastAsia="宋体" w:cs="宋体"/>
                <w:spacing w:val="-2"/>
                <w:sz w:val="21"/>
                <w:szCs w:val="21"/>
              </w:rPr>
              <w:t>合格</w:t>
            </w:r>
          </w:p>
        </w:tc>
      </w:tr>
      <w:tr w14:paraId="542FBF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579" w:type="dxa"/>
            <w:vMerge w:val="continue"/>
            <w:tcBorders>
              <w:left w:val="single" w:color="auto" w:sz="4" w:space="0"/>
            </w:tcBorders>
            <w:vAlign w:val="top"/>
          </w:tcPr>
          <w:p w14:paraId="446A34D4">
            <w:pPr>
              <w:pStyle w:val="104"/>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rPr>
            </w:pPr>
          </w:p>
        </w:tc>
        <w:tc>
          <w:tcPr>
            <w:tcW w:w="928" w:type="dxa"/>
            <w:vMerge w:val="continue"/>
            <w:tcBorders>
              <w:right w:val="single" w:color="auto" w:sz="4" w:space="0"/>
            </w:tcBorders>
            <w:vAlign w:val="top"/>
          </w:tcPr>
          <w:p w14:paraId="705DF8D6">
            <w:pPr>
              <w:pStyle w:val="104"/>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rPr>
            </w:pPr>
          </w:p>
        </w:tc>
        <w:tc>
          <w:tcPr>
            <w:tcW w:w="2804" w:type="dxa"/>
            <w:tcBorders>
              <w:left w:val="single" w:color="auto" w:sz="4" w:space="0"/>
            </w:tcBorders>
            <w:vAlign w:val="top"/>
          </w:tcPr>
          <w:p w14:paraId="7520E7F3">
            <w:pPr>
              <w:keepNext w:val="0"/>
              <w:keepLines w:val="0"/>
              <w:pageBreakBefore w:val="0"/>
              <w:widowControl w:val="0"/>
              <w:kinsoku/>
              <w:wordWrap/>
              <w:overflowPunct/>
              <w:topLinePunct w:val="0"/>
              <w:autoSpaceDE/>
              <w:autoSpaceDN/>
              <w:bidi w:val="0"/>
              <w:adjustRightInd/>
              <w:snapToGrid/>
              <w:spacing w:before="129" w:line="300" w:lineRule="exact"/>
              <w:ind w:left="0" w:leftChars="0" w:firstLine="0" w:firstLineChars="0"/>
              <w:jc w:val="center"/>
              <w:textAlignment w:val="auto"/>
              <w:rPr>
                <w:rFonts w:ascii="宋体" w:hAnsi="宋体" w:eastAsia="宋体" w:cs="宋体"/>
                <w:spacing w:val="-4"/>
                <w:sz w:val="21"/>
                <w:szCs w:val="21"/>
              </w:rPr>
            </w:pPr>
            <w:r>
              <w:rPr>
                <w:rFonts w:ascii="宋体" w:hAnsi="宋体" w:eastAsia="宋体" w:cs="宋体"/>
                <w:spacing w:val="-1"/>
                <w:sz w:val="21"/>
                <w:szCs w:val="21"/>
              </w:rPr>
              <w:t>设备和电器的接地</w:t>
            </w:r>
          </w:p>
        </w:tc>
        <w:tc>
          <w:tcPr>
            <w:tcW w:w="4084" w:type="dxa"/>
            <w:vAlign w:val="top"/>
          </w:tcPr>
          <w:p w14:paraId="78CCB9CD">
            <w:pPr>
              <w:keepNext w:val="0"/>
              <w:keepLines w:val="0"/>
              <w:pageBreakBefore w:val="0"/>
              <w:widowControl w:val="0"/>
              <w:kinsoku/>
              <w:wordWrap/>
              <w:overflowPunct/>
              <w:topLinePunct w:val="0"/>
              <w:autoSpaceDE/>
              <w:autoSpaceDN/>
              <w:bidi w:val="0"/>
              <w:adjustRightInd/>
              <w:snapToGrid/>
              <w:spacing w:before="129" w:line="300" w:lineRule="exact"/>
              <w:ind w:left="0" w:leftChars="0" w:firstLine="0" w:firstLineChars="0"/>
              <w:jc w:val="center"/>
              <w:textAlignment w:val="auto"/>
              <w:rPr>
                <w:rFonts w:hint="eastAsia" w:ascii="宋体" w:hAnsi="宋体" w:eastAsia="宋体" w:cs="宋体"/>
                <w:spacing w:val="-2"/>
                <w:sz w:val="21"/>
                <w:szCs w:val="21"/>
              </w:rPr>
            </w:pPr>
            <w:r>
              <w:rPr>
                <w:rFonts w:ascii="宋体" w:hAnsi="宋体" w:eastAsia="宋体" w:cs="宋体"/>
                <w:spacing w:val="-2"/>
                <w:sz w:val="21"/>
                <w:szCs w:val="21"/>
              </w:rPr>
              <w:t>无此项。</w:t>
            </w:r>
          </w:p>
        </w:tc>
        <w:tc>
          <w:tcPr>
            <w:tcW w:w="693" w:type="dxa"/>
            <w:tcBorders>
              <w:right w:val="single" w:color="000000" w:sz="10" w:space="0"/>
            </w:tcBorders>
            <w:vAlign w:val="top"/>
          </w:tcPr>
          <w:p w14:paraId="37154945">
            <w:pPr>
              <w:keepNext w:val="0"/>
              <w:keepLines w:val="0"/>
              <w:pageBreakBefore w:val="0"/>
              <w:widowControl w:val="0"/>
              <w:kinsoku/>
              <w:wordWrap/>
              <w:overflowPunct/>
              <w:topLinePunct w:val="0"/>
              <w:autoSpaceDE/>
              <w:autoSpaceDN/>
              <w:bidi w:val="0"/>
              <w:adjustRightInd/>
              <w:snapToGrid/>
              <w:spacing w:before="129" w:line="300" w:lineRule="exact"/>
              <w:ind w:left="0" w:leftChars="0" w:firstLine="0" w:firstLineChars="0"/>
              <w:jc w:val="both"/>
              <w:textAlignment w:val="auto"/>
              <w:rPr>
                <w:rFonts w:hint="eastAsia" w:ascii="宋体" w:hAnsi="宋体" w:eastAsia="宋体" w:cs="宋体"/>
                <w:spacing w:val="-2"/>
                <w:sz w:val="21"/>
                <w:szCs w:val="21"/>
              </w:rPr>
            </w:pPr>
            <w:r>
              <w:rPr>
                <w:rFonts w:hint="eastAsia" w:ascii="宋体" w:hAnsi="宋体" w:eastAsia="宋体" w:cs="宋体"/>
                <w:spacing w:val="-2"/>
                <w:w w:val="90"/>
                <w:sz w:val="21"/>
                <w:szCs w:val="21"/>
                <w:lang w:val="en-US" w:eastAsia="zh-CN"/>
              </w:rPr>
              <w:t>不考核</w:t>
            </w:r>
          </w:p>
        </w:tc>
      </w:tr>
      <w:tr w14:paraId="4ED3B9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579" w:type="dxa"/>
            <w:vMerge w:val="continue"/>
            <w:tcBorders>
              <w:left w:val="single" w:color="auto" w:sz="4" w:space="0"/>
            </w:tcBorders>
            <w:vAlign w:val="top"/>
          </w:tcPr>
          <w:p w14:paraId="77F51CF7">
            <w:pPr>
              <w:pStyle w:val="104"/>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rPr>
            </w:pPr>
          </w:p>
        </w:tc>
        <w:tc>
          <w:tcPr>
            <w:tcW w:w="928" w:type="dxa"/>
            <w:vMerge w:val="continue"/>
            <w:tcBorders>
              <w:right w:val="single" w:color="auto" w:sz="4" w:space="0"/>
            </w:tcBorders>
            <w:vAlign w:val="top"/>
          </w:tcPr>
          <w:p w14:paraId="032210A2">
            <w:pPr>
              <w:pStyle w:val="104"/>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rPr>
            </w:pPr>
          </w:p>
        </w:tc>
        <w:tc>
          <w:tcPr>
            <w:tcW w:w="2804" w:type="dxa"/>
            <w:tcBorders>
              <w:left w:val="single" w:color="auto" w:sz="4" w:space="0"/>
            </w:tcBorders>
            <w:vAlign w:val="top"/>
          </w:tcPr>
          <w:p w14:paraId="5453ACC3">
            <w:pPr>
              <w:keepNext w:val="0"/>
              <w:keepLines w:val="0"/>
              <w:pageBreakBefore w:val="0"/>
              <w:widowControl w:val="0"/>
              <w:kinsoku/>
              <w:wordWrap/>
              <w:overflowPunct/>
              <w:topLinePunct w:val="0"/>
              <w:autoSpaceDE/>
              <w:autoSpaceDN/>
              <w:bidi w:val="0"/>
              <w:adjustRightInd/>
              <w:snapToGrid/>
              <w:spacing w:before="129" w:line="300" w:lineRule="exact"/>
              <w:ind w:left="0" w:leftChars="0" w:firstLine="0" w:firstLineChars="0"/>
              <w:jc w:val="center"/>
              <w:textAlignment w:val="auto"/>
              <w:rPr>
                <w:rFonts w:ascii="宋体" w:hAnsi="宋体" w:eastAsia="宋体" w:cs="宋体"/>
                <w:spacing w:val="-4"/>
                <w:sz w:val="21"/>
                <w:szCs w:val="21"/>
              </w:rPr>
            </w:pPr>
            <w:r>
              <w:rPr>
                <w:rFonts w:ascii="宋体" w:hAnsi="宋体" w:eastAsia="宋体" w:cs="宋体"/>
                <w:spacing w:val="-1"/>
                <w:sz w:val="21"/>
                <w:szCs w:val="21"/>
              </w:rPr>
              <w:t>设备的检修和维护</w:t>
            </w:r>
          </w:p>
        </w:tc>
        <w:tc>
          <w:tcPr>
            <w:tcW w:w="4084" w:type="dxa"/>
            <w:vAlign w:val="top"/>
          </w:tcPr>
          <w:p w14:paraId="529FB723">
            <w:pPr>
              <w:keepNext w:val="0"/>
              <w:keepLines w:val="0"/>
              <w:pageBreakBefore w:val="0"/>
              <w:widowControl w:val="0"/>
              <w:kinsoku/>
              <w:wordWrap/>
              <w:overflowPunct/>
              <w:topLinePunct w:val="0"/>
              <w:autoSpaceDE/>
              <w:autoSpaceDN/>
              <w:bidi w:val="0"/>
              <w:adjustRightInd/>
              <w:snapToGrid/>
              <w:spacing w:before="129" w:line="300" w:lineRule="exact"/>
              <w:ind w:left="0" w:leftChars="0" w:firstLine="0" w:firstLineChars="0"/>
              <w:jc w:val="center"/>
              <w:textAlignment w:val="auto"/>
              <w:rPr>
                <w:rFonts w:hint="eastAsia" w:ascii="宋体" w:hAnsi="宋体" w:eastAsia="宋体" w:cs="宋体"/>
                <w:spacing w:val="-2"/>
                <w:sz w:val="21"/>
                <w:szCs w:val="21"/>
              </w:rPr>
            </w:pPr>
            <w:r>
              <w:rPr>
                <w:rFonts w:ascii="宋体" w:hAnsi="宋体" w:eastAsia="宋体" w:cs="宋体"/>
                <w:spacing w:val="-2"/>
                <w:sz w:val="21"/>
                <w:szCs w:val="21"/>
              </w:rPr>
              <w:t>对监控设备定期检修和维护。</w:t>
            </w:r>
          </w:p>
        </w:tc>
        <w:tc>
          <w:tcPr>
            <w:tcW w:w="693" w:type="dxa"/>
            <w:tcBorders>
              <w:right w:val="single" w:color="000000" w:sz="10" w:space="0"/>
            </w:tcBorders>
            <w:vAlign w:val="top"/>
          </w:tcPr>
          <w:p w14:paraId="3637ADDF">
            <w:pPr>
              <w:keepNext w:val="0"/>
              <w:keepLines w:val="0"/>
              <w:pageBreakBefore w:val="0"/>
              <w:widowControl w:val="0"/>
              <w:kinsoku/>
              <w:wordWrap/>
              <w:overflowPunct/>
              <w:topLinePunct w:val="0"/>
              <w:autoSpaceDE/>
              <w:autoSpaceDN/>
              <w:bidi w:val="0"/>
              <w:adjustRightInd/>
              <w:snapToGrid/>
              <w:spacing w:before="129" w:line="300" w:lineRule="exact"/>
              <w:ind w:left="0" w:leftChars="0" w:firstLine="0" w:firstLineChars="0"/>
              <w:jc w:val="both"/>
              <w:textAlignment w:val="auto"/>
              <w:rPr>
                <w:rFonts w:hint="eastAsia" w:ascii="宋体" w:hAnsi="宋体" w:eastAsia="宋体" w:cs="宋体"/>
                <w:spacing w:val="-2"/>
                <w:sz w:val="21"/>
                <w:szCs w:val="21"/>
              </w:rPr>
            </w:pPr>
            <w:r>
              <w:rPr>
                <w:rFonts w:hint="eastAsia" w:ascii="宋体" w:hAnsi="宋体" w:eastAsia="宋体" w:cs="宋体"/>
                <w:spacing w:val="-2"/>
                <w:sz w:val="21"/>
                <w:szCs w:val="21"/>
              </w:rPr>
              <w:t>合格</w:t>
            </w:r>
          </w:p>
        </w:tc>
      </w:tr>
      <w:tr w14:paraId="60EBDE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579" w:type="dxa"/>
            <w:vMerge w:val="continue"/>
            <w:tcBorders>
              <w:left w:val="single" w:color="auto" w:sz="4" w:space="0"/>
              <w:bottom w:val="single" w:color="auto" w:sz="4" w:space="0"/>
            </w:tcBorders>
            <w:vAlign w:val="top"/>
          </w:tcPr>
          <w:p w14:paraId="02B880FD">
            <w:pPr>
              <w:pStyle w:val="104"/>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rPr>
            </w:pPr>
          </w:p>
        </w:tc>
        <w:tc>
          <w:tcPr>
            <w:tcW w:w="928" w:type="dxa"/>
            <w:vMerge w:val="continue"/>
            <w:tcBorders>
              <w:bottom w:val="single" w:color="auto" w:sz="4" w:space="0"/>
              <w:right w:val="single" w:color="auto" w:sz="4" w:space="0"/>
            </w:tcBorders>
            <w:vAlign w:val="top"/>
          </w:tcPr>
          <w:p w14:paraId="2BEFE784">
            <w:pPr>
              <w:pStyle w:val="104"/>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rPr>
            </w:pPr>
          </w:p>
        </w:tc>
        <w:tc>
          <w:tcPr>
            <w:tcW w:w="2804" w:type="dxa"/>
            <w:tcBorders>
              <w:left w:val="single" w:color="auto" w:sz="4" w:space="0"/>
            </w:tcBorders>
            <w:vAlign w:val="top"/>
          </w:tcPr>
          <w:p w14:paraId="05C04773">
            <w:pPr>
              <w:keepNext w:val="0"/>
              <w:keepLines w:val="0"/>
              <w:pageBreakBefore w:val="0"/>
              <w:widowControl w:val="0"/>
              <w:kinsoku/>
              <w:wordWrap/>
              <w:overflowPunct/>
              <w:topLinePunct w:val="0"/>
              <w:autoSpaceDE/>
              <w:autoSpaceDN/>
              <w:bidi w:val="0"/>
              <w:adjustRightInd/>
              <w:snapToGrid/>
              <w:spacing w:before="129" w:line="300" w:lineRule="exact"/>
              <w:ind w:left="0" w:leftChars="0" w:firstLine="0" w:firstLineChars="0"/>
              <w:jc w:val="center"/>
              <w:textAlignment w:val="auto"/>
              <w:rPr>
                <w:rFonts w:ascii="宋体" w:hAnsi="宋体" w:eastAsia="宋体" w:cs="宋体"/>
                <w:spacing w:val="-4"/>
                <w:sz w:val="21"/>
                <w:szCs w:val="21"/>
              </w:rPr>
            </w:pPr>
            <w:r>
              <w:rPr>
                <w:rFonts w:ascii="宋体" w:hAnsi="宋体" w:eastAsia="宋体" w:cs="宋体"/>
                <w:spacing w:val="-2"/>
                <w:sz w:val="21"/>
                <w:szCs w:val="21"/>
              </w:rPr>
              <w:t>消除人体静电装置</w:t>
            </w:r>
          </w:p>
        </w:tc>
        <w:tc>
          <w:tcPr>
            <w:tcW w:w="4084" w:type="dxa"/>
            <w:vAlign w:val="top"/>
          </w:tcPr>
          <w:p w14:paraId="30AF1090">
            <w:pPr>
              <w:keepNext w:val="0"/>
              <w:keepLines w:val="0"/>
              <w:pageBreakBefore w:val="0"/>
              <w:widowControl w:val="0"/>
              <w:kinsoku/>
              <w:wordWrap/>
              <w:overflowPunct/>
              <w:topLinePunct w:val="0"/>
              <w:autoSpaceDE/>
              <w:autoSpaceDN/>
              <w:bidi w:val="0"/>
              <w:adjustRightInd/>
              <w:snapToGrid/>
              <w:spacing w:before="129" w:line="300" w:lineRule="exact"/>
              <w:ind w:left="0" w:leftChars="0" w:firstLine="0" w:firstLineChars="0"/>
              <w:jc w:val="center"/>
              <w:textAlignment w:val="auto"/>
              <w:rPr>
                <w:rFonts w:hint="eastAsia" w:ascii="宋体" w:hAnsi="宋体" w:eastAsia="宋体" w:cs="宋体"/>
                <w:spacing w:val="-2"/>
                <w:sz w:val="21"/>
                <w:szCs w:val="21"/>
              </w:rPr>
            </w:pPr>
            <w:r>
              <w:rPr>
                <w:rFonts w:ascii="宋体" w:hAnsi="宋体" w:eastAsia="宋体" w:cs="宋体"/>
                <w:spacing w:val="-1"/>
                <w:sz w:val="21"/>
                <w:szCs w:val="21"/>
              </w:rPr>
              <w:t>设置有静电消除装置，并经过相关部门检</w:t>
            </w:r>
            <w:r>
              <w:rPr>
                <w:rFonts w:ascii="宋体" w:hAnsi="宋体" w:eastAsia="宋体" w:cs="宋体"/>
                <w:spacing w:val="10"/>
                <w:sz w:val="21"/>
                <w:szCs w:val="21"/>
              </w:rPr>
              <w:t xml:space="preserve"> </w:t>
            </w:r>
            <w:r>
              <w:rPr>
                <w:rFonts w:ascii="宋体" w:hAnsi="宋体" w:eastAsia="宋体" w:cs="宋体"/>
                <w:spacing w:val="-2"/>
                <w:sz w:val="21"/>
                <w:szCs w:val="21"/>
              </w:rPr>
              <w:t>测合格。</w:t>
            </w:r>
          </w:p>
        </w:tc>
        <w:tc>
          <w:tcPr>
            <w:tcW w:w="693" w:type="dxa"/>
            <w:tcBorders>
              <w:right w:val="single" w:color="000000" w:sz="10" w:space="0"/>
            </w:tcBorders>
            <w:vAlign w:val="top"/>
          </w:tcPr>
          <w:p w14:paraId="20E3D06B">
            <w:pPr>
              <w:keepNext w:val="0"/>
              <w:keepLines w:val="0"/>
              <w:pageBreakBefore w:val="0"/>
              <w:widowControl w:val="0"/>
              <w:kinsoku/>
              <w:wordWrap/>
              <w:overflowPunct/>
              <w:topLinePunct w:val="0"/>
              <w:autoSpaceDE/>
              <w:autoSpaceDN/>
              <w:bidi w:val="0"/>
              <w:adjustRightInd/>
              <w:snapToGrid/>
              <w:spacing w:before="129" w:line="300" w:lineRule="exact"/>
              <w:ind w:left="0" w:leftChars="0" w:firstLine="0" w:firstLineChars="0"/>
              <w:jc w:val="both"/>
              <w:textAlignment w:val="auto"/>
              <w:rPr>
                <w:rFonts w:hint="eastAsia" w:ascii="宋体" w:hAnsi="宋体" w:eastAsia="宋体" w:cs="宋体"/>
                <w:spacing w:val="-2"/>
                <w:sz w:val="21"/>
                <w:szCs w:val="21"/>
              </w:rPr>
            </w:pPr>
            <w:r>
              <w:rPr>
                <w:rFonts w:hint="eastAsia" w:ascii="宋体" w:hAnsi="宋体" w:eastAsia="宋体" w:cs="宋体"/>
                <w:spacing w:val="-2"/>
                <w:sz w:val="21"/>
                <w:szCs w:val="21"/>
              </w:rPr>
              <w:t>合格</w:t>
            </w:r>
          </w:p>
        </w:tc>
      </w:tr>
      <w:tr w14:paraId="01DECA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579" w:type="dxa"/>
            <w:vMerge w:val="restart"/>
            <w:tcBorders>
              <w:top w:val="single" w:color="auto" w:sz="4" w:space="0"/>
              <w:left w:val="single" w:color="auto" w:sz="4" w:space="0"/>
            </w:tcBorders>
            <w:vAlign w:val="top"/>
          </w:tcPr>
          <w:p w14:paraId="64345090">
            <w:pPr>
              <w:pStyle w:val="104"/>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w:t>
            </w:r>
          </w:p>
        </w:tc>
        <w:tc>
          <w:tcPr>
            <w:tcW w:w="928" w:type="dxa"/>
            <w:vMerge w:val="restart"/>
            <w:tcBorders>
              <w:top w:val="single" w:color="auto" w:sz="4" w:space="0"/>
              <w:right w:val="single" w:color="auto" w:sz="4" w:space="0"/>
            </w:tcBorders>
            <w:vAlign w:val="top"/>
          </w:tcPr>
          <w:p w14:paraId="66B78057">
            <w:pPr>
              <w:spacing w:before="68" w:line="221" w:lineRule="auto"/>
              <w:ind w:left="0" w:leftChars="0" w:firstLine="0" w:firstLineChars="0"/>
              <w:rPr>
                <w:rFonts w:ascii="宋体" w:hAnsi="宋体" w:eastAsia="宋体" w:cs="宋体"/>
                <w:sz w:val="21"/>
                <w:szCs w:val="21"/>
              </w:rPr>
            </w:pPr>
            <w:r>
              <w:rPr>
                <w:rFonts w:ascii="宋体" w:hAnsi="宋体" w:eastAsia="宋体" w:cs="宋体"/>
                <w:spacing w:val="-2"/>
                <w:sz w:val="21"/>
                <w:szCs w:val="21"/>
              </w:rPr>
              <w:t>贮存</w:t>
            </w:r>
          </w:p>
          <w:p w14:paraId="7C4C7EA9">
            <w:pPr>
              <w:spacing w:before="149" w:line="223" w:lineRule="auto"/>
              <w:ind w:left="0" w:leftChars="0" w:firstLine="0" w:firstLineChars="0"/>
              <w:rPr>
                <w:rFonts w:ascii="宋体" w:hAnsi="宋体" w:eastAsia="宋体" w:cs="宋体"/>
                <w:sz w:val="21"/>
                <w:szCs w:val="21"/>
              </w:rPr>
            </w:pPr>
            <w:r>
              <w:rPr>
                <w:rFonts w:ascii="宋体" w:hAnsi="宋体" w:eastAsia="宋体" w:cs="宋体"/>
                <w:sz w:val="21"/>
                <w:szCs w:val="21"/>
              </w:rPr>
              <w:t>与</w:t>
            </w:r>
          </w:p>
          <w:p w14:paraId="619D9E96">
            <w:pPr>
              <w:pStyle w:val="104"/>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both"/>
              <w:textAlignment w:val="auto"/>
              <w:rPr>
                <w:rFonts w:hint="eastAsia" w:ascii="宋体" w:hAnsi="宋体" w:eastAsia="宋体" w:cs="宋体"/>
                <w:sz w:val="21"/>
                <w:szCs w:val="21"/>
              </w:rPr>
            </w:pPr>
            <w:r>
              <w:rPr>
                <w:rFonts w:ascii="宋体" w:hAnsi="宋体" w:eastAsia="宋体" w:cs="宋体"/>
                <w:spacing w:val="-2"/>
                <w:sz w:val="21"/>
                <w:szCs w:val="21"/>
              </w:rPr>
              <w:t>运输</w:t>
            </w:r>
          </w:p>
        </w:tc>
        <w:tc>
          <w:tcPr>
            <w:tcW w:w="2804" w:type="dxa"/>
            <w:tcBorders>
              <w:left w:val="single" w:color="auto" w:sz="4" w:space="0"/>
            </w:tcBorders>
            <w:vAlign w:val="top"/>
          </w:tcPr>
          <w:p w14:paraId="1B900EA3">
            <w:pPr>
              <w:keepNext w:val="0"/>
              <w:keepLines w:val="0"/>
              <w:pageBreakBefore w:val="0"/>
              <w:widowControl w:val="0"/>
              <w:kinsoku/>
              <w:wordWrap/>
              <w:overflowPunct/>
              <w:topLinePunct w:val="0"/>
              <w:autoSpaceDE/>
              <w:autoSpaceDN/>
              <w:bidi w:val="0"/>
              <w:adjustRightInd/>
              <w:snapToGrid/>
              <w:spacing w:before="129" w:line="300" w:lineRule="exact"/>
              <w:ind w:left="0" w:leftChars="0" w:firstLine="0" w:firstLineChars="0"/>
              <w:jc w:val="center"/>
              <w:textAlignment w:val="auto"/>
              <w:rPr>
                <w:rFonts w:ascii="宋体" w:hAnsi="宋体" w:eastAsia="宋体" w:cs="宋体"/>
                <w:spacing w:val="-4"/>
                <w:sz w:val="21"/>
                <w:szCs w:val="21"/>
              </w:rPr>
            </w:pPr>
            <w:r>
              <w:rPr>
                <w:rFonts w:ascii="宋体" w:hAnsi="宋体" w:eastAsia="宋体" w:cs="宋体"/>
                <w:spacing w:val="-1"/>
                <w:sz w:val="21"/>
                <w:szCs w:val="21"/>
              </w:rPr>
              <w:t>产品堆垛的高度和堆垛间距</w:t>
            </w:r>
          </w:p>
        </w:tc>
        <w:tc>
          <w:tcPr>
            <w:tcW w:w="4084" w:type="dxa"/>
            <w:vAlign w:val="top"/>
          </w:tcPr>
          <w:p w14:paraId="0CEBFB31">
            <w:pPr>
              <w:keepNext w:val="0"/>
              <w:keepLines w:val="0"/>
              <w:pageBreakBefore w:val="0"/>
              <w:widowControl w:val="0"/>
              <w:kinsoku/>
              <w:wordWrap/>
              <w:overflowPunct/>
              <w:topLinePunct w:val="0"/>
              <w:autoSpaceDE/>
              <w:autoSpaceDN/>
              <w:bidi w:val="0"/>
              <w:adjustRightInd/>
              <w:snapToGrid/>
              <w:spacing w:before="129" w:line="300" w:lineRule="exact"/>
              <w:ind w:left="0" w:leftChars="0" w:firstLine="0" w:firstLineChars="0"/>
              <w:jc w:val="center"/>
              <w:textAlignment w:val="auto"/>
              <w:rPr>
                <w:rFonts w:hint="eastAsia" w:ascii="宋体" w:hAnsi="宋体" w:eastAsia="宋体" w:cs="宋体"/>
                <w:spacing w:val="-1"/>
                <w:sz w:val="21"/>
                <w:szCs w:val="21"/>
              </w:rPr>
            </w:pPr>
            <w:r>
              <w:rPr>
                <w:rFonts w:ascii="宋体" w:hAnsi="宋体" w:eastAsia="宋体" w:cs="宋体"/>
                <w:spacing w:val="-1"/>
                <w:sz w:val="21"/>
                <w:szCs w:val="21"/>
              </w:rPr>
              <w:t>产品堆垛的高度和堆垛间距符合要求</w:t>
            </w:r>
          </w:p>
        </w:tc>
        <w:tc>
          <w:tcPr>
            <w:tcW w:w="693" w:type="dxa"/>
            <w:tcBorders>
              <w:right w:val="single" w:color="000000" w:sz="10" w:space="0"/>
            </w:tcBorders>
            <w:vAlign w:val="top"/>
          </w:tcPr>
          <w:p w14:paraId="13EFF2E2">
            <w:pPr>
              <w:keepNext w:val="0"/>
              <w:keepLines w:val="0"/>
              <w:pageBreakBefore w:val="0"/>
              <w:widowControl w:val="0"/>
              <w:kinsoku/>
              <w:wordWrap/>
              <w:overflowPunct/>
              <w:topLinePunct w:val="0"/>
              <w:autoSpaceDE/>
              <w:autoSpaceDN/>
              <w:bidi w:val="0"/>
              <w:adjustRightInd/>
              <w:snapToGrid/>
              <w:spacing w:before="129" w:line="300" w:lineRule="exact"/>
              <w:ind w:left="0" w:leftChars="0" w:firstLine="0" w:firstLineChars="0"/>
              <w:jc w:val="center"/>
              <w:textAlignment w:val="auto"/>
              <w:rPr>
                <w:rFonts w:hint="eastAsia" w:ascii="宋体" w:hAnsi="宋体" w:eastAsia="宋体" w:cs="宋体"/>
                <w:spacing w:val="-1"/>
                <w:sz w:val="21"/>
                <w:szCs w:val="21"/>
              </w:rPr>
            </w:pPr>
            <w:r>
              <w:rPr>
                <w:rFonts w:hint="eastAsia" w:ascii="宋体" w:hAnsi="宋体" w:eastAsia="宋体" w:cs="宋体"/>
                <w:spacing w:val="-2"/>
                <w:sz w:val="21"/>
                <w:szCs w:val="21"/>
              </w:rPr>
              <w:t>合格</w:t>
            </w:r>
          </w:p>
        </w:tc>
      </w:tr>
      <w:tr w14:paraId="28683C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579" w:type="dxa"/>
            <w:vMerge w:val="continue"/>
            <w:tcBorders>
              <w:left w:val="single" w:color="auto" w:sz="4" w:space="0"/>
            </w:tcBorders>
            <w:vAlign w:val="top"/>
          </w:tcPr>
          <w:p w14:paraId="28DE066B">
            <w:pPr>
              <w:pStyle w:val="104"/>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rPr>
            </w:pPr>
          </w:p>
        </w:tc>
        <w:tc>
          <w:tcPr>
            <w:tcW w:w="928" w:type="dxa"/>
            <w:vMerge w:val="continue"/>
            <w:tcBorders>
              <w:right w:val="single" w:color="auto" w:sz="4" w:space="0"/>
            </w:tcBorders>
            <w:vAlign w:val="top"/>
          </w:tcPr>
          <w:p w14:paraId="315116B2">
            <w:pPr>
              <w:pStyle w:val="104"/>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rPr>
            </w:pPr>
          </w:p>
        </w:tc>
        <w:tc>
          <w:tcPr>
            <w:tcW w:w="2804" w:type="dxa"/>
            <w:tcBorders>
              <w:left w:val="single" w:color="auto" w:sz="4" w:space="0"/>
            </w:tcBorders>
            <w:vAlign w:val="top"/>
          </w:tcPr>
          <w:p w14:paraId="4F3F1FE0">
            <w:pPr>
              <w:keepNext w:val="0"/>
              <w:keepLines w:val="0"/>
              <w:pageBreakBefore w:val="0"/>
              <w:widowControl w:val="0"/>
              <w:kinsoku/>
              <w:wordWrap/>
              <w:overflowPunct/>
              <w:topLinePunct w:val="0"/>
              <w:autoSpaceDE/>
              <w:autoSpaceDN/>
              <w:bidi w:val="0"/>
              <w:adjustRightInd/>
              <w:snapToGrid/>
              <w:spacing w:before="129" w:line="300" w:lineRule="exact"/>
              <w:ind w:left="0" w:leftChars="0" w:firstLine="0" w:firstLineChars="0"/>
              <w:jc w:val="center"/>
              <w:textAlignment w:val="auto"/>
              <w:rPr>
                <w:rFonts w:ascii="宋体" w:hAnsi="宋体" w:eastAsia="宋体" w:cs="宋体"/>
                <w:spacing w:val="-4"/>
                <w:sz w:val="21"/>
                <w:szCs w:val="21"/>
              </w:rPr>
            </w:pPr>
            <w:r>
              <w:rPr>
                <w:rFonts w:ascii="宋体" w:hAnsi="宋体" w:eastAsia="宋体" w:cs="宋体"/>
                <w:spacing w:val="-1"/>
                <w:sz w:val="21"/>
                <w:szCs w:val="21"/>
              </w:rPr>
              <w:t>运输通道的宽度</w:t>
            </w:r>
          </w:p>
        </w:tc>
        <w:tc>
          <w:tcPr>
            <w:tcW w:w="4084" w:type="dxa"/>
            <w:vAlign w:val="top"/>
          </w:tcPr>
          <w:p w14:paraId="3F9386AB">
            <w:pPr>
              <w:keepNext w:val="0"/>
              <w:keepLines w:val="0"/>
              <w:pageBreakBefore w:val="0"/>
              <w:widowControl w:val="0"/>
              <w:kinsoku/>
              <w:wordWrap/>
              <w:overflowPunct/>
              <w:topLinePunct w:val="0"/>
              <w:autoSpaceDE/>
              <w:autoSpaceDN/>
              <w:bidi w:val="0"/>
              <w:adjustRightInd/>
              <w:snapToGrid/>
              <w:spacing w:before="129" w:line="300" w:lineRule="exact"/>
              <w:ind w:left="0" w:leftChars="0" w:firstLine="0" w:firstLineChars="0"/>
              <w:jc w:val="center"/>
              <w:textAlignment w:val="auto"/>
              <w:rPr>
                <w:rFonts w:hint="eastAsia" w:ascii="宋体" w:hAnsi="宋体" w:eastAsia="宋体" w:cs="宋体"/>
                <w:spacing w:val="-1"/>
                <w:sz w:val="21"/>
                <w:szCs w:val="21"/>
              </w:rPr>
            </w:pPr>
            <w:r>
              <w:rPr>
                <w:rFonts w:ascii="宋体" w:hAnsi="宋体" w:eastAsia="宋体" w:cs="宋体"/>
                <w:spacing w:val="-1"/>
                <w:sz w:val="21"/>
                <w:szCs w:val="21"/>
              </w:rPr>
              <w:t>运输通道宽度符合规范要求</w:t>
            </w:r>
          </w:p>
        </w:tc>
        <w:tc>
          <w:tcPr>
            <w:tcW w:w="693" w:type="dxa"/>
            <w:tcBorders>
              <w:right w:val="single" w:color="000000" w:sz="10" w:space="0"/>
            </w:tcBorders>
            <w:vAlign w:val="top"/>
          </w:tcPr>
          <w:p w14:paraId="4E037BE8">
            <w:pPr>
              <w:keepNext w:val="0"/>
              <w:keepLines w:val="0"/>
              <w:pageBreakBefore w:val="0"/>
              <w:widowControl w:val="0"/>
              <w:kinsoku/>
              <w:wordWrap/>
              <w:overflowPunct/>
              <w:topLinePunct w:val="0"/>
              <w:autoSpaceDE/>
              <w:autoSpaceDN/>
              <w:bidi w:val="0"/>
              <w:adjustRightInd/>
              <w:snapToGrid/>
              <w:spacing w:before="129" w:line="300" w:lineRule="exact"/>
              <w:ind w:left="0" w:leftChars="0" w:firstLine="0" w:firstLineChars="0"/>
              <w:jc w:val="center"/>
              <w:textAlignment w:val="auto"/>
              <w:rPr>
                <w:rFonts w:hint="eastAsia" w:ascii="宋体" w:hAnsi="宋体" w:eastAsia="宋体" w:cs="宋体"/>
                <w:spacing w:val="-1"/>
                <w:sz w:val="21"/>
                <w:szCs w:val="21"/>
              </w:rPr>
            </w:pPr>
            <w:r>
              <w:rPr>
                <w:rFonts w:hint="eastAsia" w:ascii="宋体" w:hAnsi="宋体" w:eastAsia="宋体" w:cs="宋体"/>
                <w:spacing w:val="-2"/>
                <w:sz w:val="21"/>
                <w:szCs w:val="21"/>
              </w:rPr>
              <w:t>合格</w:t>
            </w:r>
          </w:p>
        </w:tc>
      </w:tr>
      <w:tr w14:paraId="079A16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579" w:type="dxa"/>
            <w:vMerge w:val="continue"/>
            <w:tcBorders>
              <w:left w:val="single" w:color="auto" w:sz="4" w:space="0"/>
            </w:tcBorders>
            <w:vAlign w:val="top"/>
          </w:tcPr>
          <w:p w14:paraId="4DE08156">
            <w:pPr>
              <w:pStyle w:val="104"/>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rPr>
            </w:pPr>
          </w:p>
        </w:tc>
        <w:tc>
          <w:tcPr>
            <w:tcW w:w="928" w:type="dxa"/>
            <w:vMerge w:val="continue"/>
            <w:tcBorders>
              <w:right w:val="single" w:color="auto" w:sz="4" w:space="0"/>
            </w:tcBorders>
            <w:vAlign w:val="top"/>
          </w:tcPr>
          <w:p w14:paraId="18AF647B">
            <w:pPr>
              <w:pStyle w:val="104"/>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rPr>
            </w:pPr>
          </w:p>
        </w:tc>
        <w:tc>
          <w:tcPr>
            <w:tcW w:w="2804" w:type="dxa"/>
            <w:tcBorders>
              <w:left w:val="single" w:color="auto" w:sz="4" w:space="0"/>
            </w:tcBorders>
            <w:vAlign w:val="top"/>
          </w:tcPr>
          <w:p w14:paraId="1CB9C433">
            <w:pPr>
              <w:keepNext w:val="0"/>
              <w:keepLines w:val="0"/>
              <w:pageBreakBefore w:val="0"/>
              <w:widowControl w:val="0"/>
              <w:kinsoku/>
              <w:wordWrap/>
              <w:overflowPunct/>
              <w:topLinePunct w:val="0"/>
              <w:autoSpaceDE/>
              <w:autoSpaceDN/>
              <w:bidi w:val="0"/>
              <w:adjustRightInd/>
              <w:snapToGrid/>
              <w:spacing w:before="129" w:line="300" w:lineRule="exact"/>
              <w:ind w:left="0" w:leftChars="0" w:firstLine="0" w:firstLineChars="0"/>
              <w:jc w:val="center"/>
              <w:textAlignment w:val="auto"/>
              <w:rPr>
                <w:rFonts w:ascii="宋体" w:hAnsi="宋体" w:eastAsia="宋体" w:cs="宋体"/>
                <w:spacing w:val="-4"/>
                <w:sz w:val="21"/>
                <w:szCs w:val="21"/>
              </w:rPr>
            </w:pPr>
            <w:r>
              <w:rPr>
                <w:rFonts w:ascii="宋体" w:hAnsi="宋体" w:eastAsia="宋体" w:cs="宋体"/>
                <w:spacing w:val="-1"/>
                <w:sz w:val="21"/>
                <w:szCs w:val="21"/>
              </w:rPr>
              <w:t>库房地面防潮措施</w:t>
            </w:r>
          </w:p>
        </w:tc>
        <w:tc>
          <w:tcPr>
            <w:tcW w:w="4084" w:type="dxa"/>
            <w:vAlign w:val="top"/>
          </w:tcPr>
          <w:p w14:paraId="237A41D1">
            <w:pPr>
              <w:keepNext w:val="0"/>
              <w:keepLines w:val="0"/>
              <w:pageBreakBefore w:val="0"/>
              <w:widowControl w:val="0"/>
              <w:kinsoku/>
              <w:wordWrap/>
              <w:overflowPunct/>
              <w:topLinePunct w:val="0"/>
              <w:autoSpaceDE/>
              <w:autoSpaceDN/>
              <w:bidi w:val="0"/>
              <w:adjustRightInd/>
              <w:snapToGrid/>
              <w:spacing w:before="129" w:line="300" w:lineRule="exact"/>
              <w:ind w:left="0" w:leftChars="0" w:firstLine="0" w:firstLineChars="0"/>
              <w:jc w:val="center"/>
              <w:textAlignment w:val="auto"/>
              <w:rPr>
                <w:rFonts w:hint="eastAsia" w:ascii="宋体" w:hAnsi="宋体" w:eastAsia="宋体" w:cs="宋体"/>
                <w:spacing w:val="-1"/>
                <w:sz w:val="21"/>
                <w:szCs w:val="21"/>
              </w:rPr>
            </w:pPr>
            <w:r>
              <w:rPr>
                <w:rFonts w:ascii="宋体" w:hAnsi="宋体" w:eastAsia="宋体" w:cs="宋体"/>
                <w:spacing w:val="-1"/>
                <w:sz w:val="21"/>
                <w:szCs w:val="21"/>
              </w:rPr>
              <w:t>采取了防潮措施</w:t>
            </w:r>
          </w:p>
        </w:tc>
        <w:tc>
          <w:tcPr>
            <w:tcW w:w="693" w:type="dxa"/>
            <w:tcBorders>
              <w:right w:val="single" w:color="000000" w:sz="10" w:space="0"/>
            </w:tcBorders>
            <w:vAlign w:val="top"/>
          </w:tcPr>
          <w:p w14:paraId="34262E23">
            <w:pPr>
              <w:keepNext w:val="0"/>
              <w:keepLines w:val="0"/>
              <w:pageBreakBefore w:val="0"/>
              <w:widowControl w:val="0"/>
              <w:kinsoku/>
              <w:wordWrap/>
              <w:overflowPunct/>
              <w:topLinePunct w:val="0"/>
              <w:autoSpaceDE/>
              <w:autoSpaceDN/>
              <w:bidi w:val="0"/>
              <w:adjustRightInd/>
              <w:snapToGrid/>
              <w:spacing w:before="129" w:line="300" w:lineRule="exact"/>
              <w:ind w:left="0" w:leftChars="0" w:firstLine="0" w:firstLineChars="0"/>
              <w:jc w:val="center"/>
              <w:textAlignment w:val="auto"/>
              <w:rPr>
                <w:rFonts w:hint="eastAsia" w:ascii="宋体" w:hAnsi="宋体" w:eastAsia="宋体" w:cs="宋体"/>
                <w:spacing w:val="-1"/>
                <w:sz w:val="21"/>
                <w:szCs w:val="21"/>
              </w:rPr>
            </w:pPr>
            <w:r>
              <w:rPr>
                <w:rFonts w:hint="eastAsia" w:ascii="宋体" w:hAnsi="宋体" w:eastAsia="宋体" w:cs="宋体"/>
                <w:spacing w:val="-2"/>
                <w:sz w:val="21"/>
                <w:szCs w:val="21"/>
              </w:rPr>
              <w:t>合格</w:t>
            </w:r>
          </w:p>
        </w:tc>
      </w:tr>
      <w:tr w14:paraId="421099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579" w:type="dxa"/>
            <w:vMerge w:val="continue"/>
            <w:tcBorders>
              <w:left w:val="single" w:color="auto" w:sz="4" w:space="0"/>
            </w:tcBorders>
            <w:vAlign w:val="top"/>
          </w:tcPr>
          <w:p w14:paraId="30181BB3">
            <w:pPr>
              <w:pStyle w:val="104"/>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rPr>
            </w:pPr>
          </w:p>
        </w:tc>
        <w:tc>
          <w:tcPr>
            <w:tcW w:w="928" w:type="dxa"/>
            <w:vMerge w:val="continue"/>
            <w:tcBorders>
              <w:right w:val="single" w:color="auto" w:sz="4" w:space="0"/>
            </w:tcBorders>
            <w:vAlign w:val="top"/>
          </w:tcPr>
          <w:p w14:paraId="5C4E15DA">
            <w:pPr>
              <w:pStyle w:val="104"/>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rPr>
            </w:pPr>
          </w:p>
        </w:tc>
        <w:tc>
          <w:tcPr>
            <w:tcW w:w="2804" w:type="dxa"/>
            <w:tcBorders>
              <w:left w:val="single" w:color="auto" w:sz="4" w:space="0"/>
            </w:tcBorders>
            <w:vAlign w:val="top"/>
          </w:tcPr>
          <w:p w14:paraId="126CDD06">
            <w:pPr>
              <w:keepNext w:val="0"/>
              <w:keepLines w:val="0"/>
              <w:pageBreakBefore w:val="0"/>
              <w:widowControl w:val="0"/>
              <w:kinsoku/>
              <w:wordWrap/>
              <w:overflowPunct/>
              <w:topLinePunct w:val="0"/>
              <w:autoSpaceDE/>
              <w:autoSpaceDN/>
              <w:bidi w:val="0"/>
              <w:adjustRightInd/>
              <w:snapToGrid/>
              <w:spacing w:before="129" w:line="300" w:lineRule="exact"/>
              <w:ind w:left="0" w:leftChars="0" w:firstLine="0" w:firstLineChars="0"/>
              <w:jc w:val="center"/>
              <w:textAlignment w:val="auto"/>
              <w:rPr>
                <w:rFonts w:ascii="宋体" w:hAnsi="宋体" w:eastAsia="宋体" w:cs="宋体"/>
                <w:spacing w:val="-4"/>
                <w:sz w:val="21"/>
                <w:szCs w:val="21"/>
              </w:rPr>
            </w:pPr>
            <w:r>
              <w:rPr>
                <w:rFonts w:ascii="宋体" w:hAnsi="宋体" w:eastAsia="宋体" w:cs="宋体"/>
                <w:spacing w:val="-4"/>
                <w:sz w:val="21"/>
                <w:szCs w:val="21"/>
              </w:rPr>
              <w:t>库房内温度、湿度、通风的控</w:t>
            </w:r>
            <w:r>
              <w:rPr>
                <w:rFonts w:ascii="宋体" w:hAnsi="宋体" w:eastAsia="宋体" w:cs="宋体"/>
                <w:sz w:val="21"/>
                <w:szCs w:val="21"/>
              </w:rPr>
              <w:t>制</w:t>
            </w:r>
          </w:p>
        </w:tc>
        <w:tc>
          <w:tcPr>
            <w:tcW w:w="4084" w:type="dxa"/>
            <w:vAlign w:val="top"/>
          </w:tcPr>
          <w:p w14:paraId="44015CF9">
            <w:pPr>
              <w:keepNext w:val="0"/>
              <w:keepLines w:val="0"/>
              <w:pageBreakBefore w:val="0"/>
              <w:widowControl w:val="0"/>
              <w:kinsoku/>
              <w:wordWrap/>
              <w:overflowPunct/>
              <w:topLinePunct w:val="0"/>
              <w:autoSpaceDE/>
              <w:autoSpaceDN/>
              <w:bidi w:val="0"/>
              <w:adjustRightInd/>
              <w:snapToGrid/>
              <w:spacing w:before="129" w:line="300" w:lineRule="exact"/>
              <w:ind w:left="0" w:leftChars="0" w:firstLine="0" w:firstLineChars="0"/>
              <w:jc w:val="center"/>
              <w:textAlignment w:val="auto"/>
              <w:rPr>
                <w:rFonts w:hint="eastAsia" w:ascii="宋体" w:hAnsi="宋体" w:eastAsia="宋体" w:cs="宋体"/>
                <w:spacing w:val="-1"/>
                <w:sz w:val="21"/>
                <w:szCs w:val="21"/>
              </w:rPr>
            </w:pPr>
            <w:r>
              <w:rPr>
                <w:rFonts w:ascii="宋体" w:hAnsi="宋体" w:eastAsia="宋体" w:cs="宋体"/>
                <w:spacing w:val="-1"/>
                <w:sz w:val="21"/>
                <w:szCs w:val="21"/>
              </w:rPr>
              <w:t>配备了湿度计并有记录，自然通风</w:t>
            </w:r>
          </w:p>
        </w:tc>
        <w:tc>
          <w:tcPr>
            <w:tcW w:w="693" w:type="dxa"/>
            <w:tcBorders>
              <w:right w:val="single" w:color="000000" w:sz="10" w:space="0"/>
            </w:tcBorders>
            <w:vAlign w:val="top"/>
          </w:tcPr>
          <w:p w14:paraId="6CCF0CB0">
            <w:pPr>
              <w:keepNext w:val="0"/>
              <w:keepLines w:val="0"/>
              <w:pageBreakBefore w:val="0"/>
              <w:widowControl w:val="0"/>
              <w:kinsoku/>
              <w:wordWrap/>
              <w:overflowPunct/>
              <w:topLinePunct w:val="0"/>
              <w:autoSpaceDE/>
              <w:autoSpaceDN/>
              <w:bidi w:val="0"/>
              <w:adjustRightInd/>
              <w:snapToGrid/>
              <w:spacing w:before="129" w:line="300" w:lineRule="exact"/>
              <w:ind w:left="0" w:leftChars="0" w:firstLine="0" w:firstLineChars="0"/>
              <w:jc w:val="center"/>
              <w:textAlignment w:val="auto"/>
              <w:rPr>
                <w:rFonts w:hint="eastAsia" w:ascii="宋体" w:hAnsi="宋体" w:eastAsia="宋体" w:cs="宋体"/>
                <w:spacing w:val="-1"/>
                <w:sz w:val="21"/>
                <w:szCs w:val="21"/>
              </w:rPr>
            </w:pPr>
            <w:r>
              <w:rPr>
                <w:rFonts w:hint="eastAsia" w:ascii="宋体" w:hAnsi="宋体" w:eastAsia="宋体" w:cs="宋体"/>
                <w:spacing w:val="-2"/>
                <w:sz w:val="21"/>
                <w:szCs w:val="21"/>
              </w:rPr>
              <w:t>合格</w:t>
            </w:r>
          </w:p>
        </w:tc>
      </w:tr>
      <w:tr w14:paraId="03E7A3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579" w:type="dxa"/>
            <w:vMerge w:val="continue"/>
            <w:tcBorders>
              <w:left w:val="single" w:color="auto" w:sz="4" w:space="0"/>
              <w:bottom w:val="single" w:color="auto" w:sz="4" w:space="0"/>
            </w:tcBorders>
            <w:vAlign w:val="top"/>
          </w:tcPr>
          <w:p w14:paraId="2E9D5309">
            <w:pPr>
              <w:pStyle w:val="104"/>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rPr>
            </w:pPr>
          </w:p>
        </w:tc>
        <w:tc>
          <w:tcPr>
            <w:tcW w:w="928" w:type="dxa"/>
            <w:vMerge w:val="continue"/>
            <w:tcBorders>
              <w:bottom w:val="single" w:color="auto" w:sz="4" w:space="0"/>
              <w:right w:val="single" w:color="auto" w:sz="4" w:space="0"/>
            </w:tcBorders>
            <w:vAlign w:val="top"/>
          </w:tcPr>
          <w:p w14:paraId="3290DE4F">
            <w:pPr>
              <w:pStyle w:val="104"/>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rPr>
            </w:pPr>
          </w:p>
        </w:tc>
        <w:tc>
          <w:tcPr>
            <w:tcW w:w="2804" w:type="dxa"/>
            <w:tcBorders>
              <w:left w:val="single" w:color="auto" w:sz="4" w:space="0"/>
            </w:tcBorders>
            <w:vAlign w:val="top"/>
          </w:tcPr>
          <w:p w14:paraId="62A0B501">
            <w:pPr>
              <w:keepNext w:val="0"/>
              <w:keepLines w:val="0"/>
              <w:pageBreakBefore w:val="0"/>
              <w:widowControl w:val="0"/>
              <w:kinsoku/>
              <w:wordWrap/>
              <w:overflowPunct/>
              <w:topLinePunct w:val="0"/>
              <w:autoSpaceDE/>
              <w:autoSpaceDN/>
              <w:bidi w:val="0"/>
              <w:adjustRightInd/>
              <w:snapToGrid/>
              <w:spacing w:before="129" w:line="300" w:lineRule="exact"/>
              <w:ind w:left="0" w:leftChars="0" w:firstLine="0" w:firstLineChars="0"/>
              <w:jc w:val="center"/>
              <w:textAlignment w:val="auto"/>
              <w:rPr>
                <w:rFonts w:ascii="宋体" w:hAnsi="宋体" w:eastAsia="宋体" w:cs="宋体"/>
                <w:spacing w:val="-4"/>
                <w:sz w:val="21"/>
                <w:szCs w:val="21"/>
              </w:rPr>
            </w:pPr>
            <w:r>
              <w:rPr>
                <w:rFonts w:ascii="宋体" w:hAnsi="宋体" w:eastAsia="宋体" w:cs="宋体"/>
                <w:spacing w:val="-1"/>
                <w:sz w:val="21"/>
                <w:szCs w:val="21"/>
              </w:rPr>
              <w:t>机动车库区行走路线和装卸</w:t>
            </w:r>
          </w:p>
        </w:tc>
        <w:tc>
          <w:tcPr>
            <w:tcW w:w="4084" w:type="dxa"/>
            <w:vAlign w:val="top"/>
          </w:tcPr>
          <w:p w14:paraId="7C30611D">
            <w:pPr>
              <w:keepNext w:val="0"/>
              <w:keepLines w:val="0"/>
              <w:pageBreakBefore w:val="0"/>
              <w:widowControl w:val="0"/>
              <w:kinsoku/>
              <w:wordWrap/>
              <w:overflowPunct/>
              <w:topLinePunct w:val="0"/>
              <w:autoSpaceDE/>
              <w:autoSpaceDN/>
              <w:bidi w:val="0"/>
              <w:adjustRightInd/>
              <w:snapToGrid/>
              <w:spacing w:before="129" w:line="300" w:lineRule="exact"/>
              <w:ind w:left="0" w:leftChars="0" w:firstLine="0" w:firstLineChars="0"/>
              <w:jc w:val="center"/>
              <w:textAlignment w:val="auto"/>
              <w:rPr>
                <w:rFonts w:hint="eastAsia" w:ascii="宋体" w:hAnsi="宋体" w:eastAsia="宋体" w:cs="宋体"/>
                <w:spacing w:val="-1"/>
                <w:sz w:val="21"/>
                <w:szCs w:val="21"/>
              </w:rPr>
            </w:pPr>
            <w:r>
              <w:rPr>
                <w:rFonts w:ascii="宋体" w:hAnsi="宋体" w:eastAsia="宋体" w:cs="宋体"/>
                <w:spacing w:val="-1"/>
                <w:sz w:val="21"/>
                <w:szCs w:val="21"/>
              </w:rPr>
              <w:t>库区内机动车行驶线路畅通，符合安全要求</w:t>
            </w:r>
          </w:p>
        </w:tc>
        <w:tc>
          <w:tcPr>
            <w:tcW w:w="693" w:type="dxa"/>
            <w:tcBorders>
              <w:right w:val="single" w:color="000000" w:sz="10" w:space="0"/>
            </w:tcBorders>
            <w:vAlign w:val="top"/>
          </w:tcPr>
          <w:p w14:paraId="13ED2C4B">
            <w:pPr>
              <w:keepNext w:val="0"/>
              <w:keepLines w:val="0"/>
              <w:pageBreakBefore w:val="0"/>
              <w:widowControl w:val="0"/>
              <w:kinsoku/>
              <w:wordWrap/>
              <w:overflowPunct/>
              <w:topLinePunct w:val="0"/>
              <w:autoSpaceDE/>
              <w:autoSpaceDN/>
              <w:bidi w:val="0"/>
              <w:adjustRightInd/>
              <w:snapToGrid/>
              <w:spacing w:before="129" w:line="300" w:lineRule="exact"/>
              <w:ind w:left="0" w:leftChars="0" w:firstLine="0" w:firstLineChars="0"/>
              <w:jc w:val="center"/>
              <w:textAlignment w:val="auto"/>
              <w:rPr>
                <w:rFonts w:hint="eastAsia" w:ascii="宋体" w:hAnsi="宋体" w:eastAsia="宋体" w:cs="宋体"/>
                <w:spacing w:val="-1"/>
                <w:sz w:val="21"/>
                <w:szCs w:val="21"/>
              </w:rPr>
            </w:pPr>
            <w:r>
              <w:rPr>
                <w:rFonts w:hint="eastAsia" w:ascii="宋体" w:hAnsi="宋体" w:eastAsia="宋体" w:cs="宋体"/>
                <w:spacing w:val="-2"/>
                <w:sz w:val="21"/>
                <w:szCs w:val="21"/>
              </w:rPr>
              <w:t>合格</w:t>
            </w:r>
          </w:p>
        </w:tc>
      </w:tr>
      <w:tr w14:paraId="5186A7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579" w:type="dxa"/>
            <w:vMerge w:val="restart"/>
            <w:tcBorders>
              <w:top w:val="single" w:color="auto" w:sz="4" w:space="0"/>
              <w:left w:val="single" w:color="auto" w:sz="4" w:space="0"/>
            </w:tcBorders>
            <w:vAlign w:val="top"/>
          </w:tcPr>
          <w:p w14:paraId="14E5F7EA">
            <w:pPr>
              <w:pStyle w:val="104"/>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w:t>
            </w:r>
          </w:p>
        </w:tc>
        <w:tc>
          <w:tcPr>
            <w:tcW w:w="928" w:type="dxa"/>
            <w:vMerge w:val="restart"/>
            <w:tcBorders>
              <w:top w:val="single" w:color="auto" w:sz="4" w:space="0"/>
              <w:right w:val="single" w:color="auto" w:sz="4" w:space="0"/>
            </w:tcBorders>
            <w:vAlign w:val="top"/>
          </w:tcPr>
          <w:p w14:paraId="79B0A2A0">
            <w:pPr>
              <w:pStyle w:val="104"/>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both"/>
              <w:textAlignment w:val="auto"/>
              <w:rPr>
                <w:rFonts w:ascii="宋体" w:hAnsi="宋体" w:eastAsia="宋体" w:cs="宋体"/>
                <w:spacing w:val="-4"/>
                <w:sz w:val="21"/>
                <w:szCs w:val="21"/>
              </w:rPr>
            </w:pPr>
            <w:r>
              <w:rPr>
                <w:rFonts w:ascii="宋体" w:hAnsi="宋体" w:eastAsia="宋体" w:cs="宋体"/>
                <w:spacing w:val="-4"/>
                <w:sz w:val="21"/>
                <w:szCs w:val="21"/>
              </w:rPr>
              <w:t>制度</w:t>
            </w:r>
          </w:p>
          <w:p w14:paraId="019FD572">
            <w:pPr>
              <w:pStyle w:val="104"/>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both"/>
              <w:textAlignment w:val="auto"/>
              <w:rPr>
                <w:rFonts w:hint="eastAsia" w:ascii="宋体" w:hAnsi="宋体" w:eastAsia="宋体" w:cs="宋体"/>
                <w:sz w:val="21"/>
                <w:szCs w:val="21"/>
              </w:rPr>
            </w:pPr>
            <w:r>
              <w:rPr>
                <w:rFonts w:ascii="宋体" w:hAnsi="宋体" w:eastAsia="宋体" w:cs="宋体"/>
                <w:spacing w:val="-4"/>
                <w:sz w:val="21"/>
                <w:szCs w:val="21"/>
              </w:rPr>
              <w:t>规程</w:t>
            </w:r>
          </w:p>
        </w:tc>
        <w:tc>
          <w:tcPr>
            <w:tcW w:w="2804" w:type="dxa"/>
            <w:tcBorders>
              <w:left w:val="single" w:color="auto" w:sz="4" w:space="0"/>
            </w:tcBorders>
            <w:vAlign w:val="top"/>
          </w:tcPr>
          <w:p w14:paraId="31B18206">
            <w:pPr>
              <w:keepNext w:val="0"/>
              <w:keepLines w:val="0"/>
              <w:pageBreakBefore w:val="0"/>
              <w:widowControl w:val="0"/>
              <w:kinsoku/>
              <w:wordWrap/>
              <w:overflowPunct/>
              <w:topLinePunct w:val="0"/>
              <w:autoSpaceDE/>
              <w:autoSpaceDN/>
              <w:bidi w:val="0"/>
              <w:adjustRightInd/>
              <w:snapToGrid/>
              <w:spacing w:before="129" w:line="300" w:lineRule="exact"/>
              <w:ind w:left="0" w:leftChars="0" w:firstLine="0" w:firstLineChars="0"/>
              <w:jc w:val="center"/>
              <w:textAlignment w:val="auto"/>
              <w:rPr>
                <w:rFonts w:ascii="宋体" w:hAnsi="宋体" w:eastAsia="宋体" w:cs="宋体"/>
                <w:spacing w:val="-4"/>
                <w:sz w:val="21"/>
                <w:szCs w:val="21"/>
              </w:rPr>
            </w:pPr>
            <w:r>
              <w:rPr>
                <w:rFonts w:ascii="宋体" w:hAnsi="宋体" w:eastAsia="宋体" w:cs="宋体"/>
                <w:spacing w:val="-4"/>
                <w:sz w:val="21"/>
                <w:szCs w:val="21"/>
              </w:rPr>
              <w:t>岗位安全管理制度</w:t>
            </w:r>
          </w:p>
        </w:tc>
        <w:tc>
          <w:tcPr>
            <w:tcW w:w="4084" w:type="dxa"/>
            <w:vAlign w:val="top"/>
          </w:tcPr>
          <w:p w14:paraId="54BEB542">
            <w:pPr>
              <w:keepNext w:val="0"/>
              <w:keepLines w:val="0"/>
              <w:pageBreakBefore w:val="0"/>
              <w:widowControl w:val="0"/>
              <w:kinsoku/>
              <w:wordWrap/>
              <w:overflowPunct/>
              <w:topLinePunct w:val="0"/>
              <w:autoSpaceDE/>
              <w:autoSpaceDN/>
              <w:bidi w:val="0"/>
              <w:adjustRightInd/>
              <w:snapToGrid/>
              <w:spacing w:before="129" w:line="300" w:lineRule="exact"/>
              <w:ind w:left="0" w:leftChars="0" w:firstLine="0" w:firstLineChars="0"/>
              <w:jc w:val="center"/>
              <w:textAlignment w:val="auto"/>
              <w:rPr>
                <w:rFonts w:hint="eastAsia" w:ascii="宋体" w:hAnsi="宋体" w:eastAsia="宋体" w:cs="宋体"/>
                <w:spacing w:val="-2"/>
                <w:sz w:val="21"/>
                <w:szCs w:val="21"/>
              </w:rPr>
            </w:pPr>
            <w:r>
              <w:rPr>
                <w:rFonts w:ascii="宋体" w:hAnsi="宋体" w:eastAsia="宋体" w:cs="宋体"/>
                <w:spacing w:val="-1"/>
                <w:sz w:val="21"/>
                <w:szCs w:val="21"/>
              </w:rPr>
              <w:t>有岗位安全管理制度。</w:t>
            </w:r>
          </w:p>
        </w:tc>
        <w:tc>
          <w:tcPr>
            <w:tcW w:w="693" w:type="dxa"/>
            <w:tcBorders>
              <w:right w:val="single" w:color="000000" w:sz="10" w:space="0"/>
            </w:tcBorders>
            <w:vAlign w:val="top"/>
          </w:tcPr>
          <w:p w14:paraId="395921E6">
            <w:pPr>
              <w:keepNext w:val="0"/>
              <w:keepLines w:val="0"/>
              <w:pageBreakBefore w:val="0"/>
              <w:widowControl w:val="0"/>
              <w:kinsoku/>
              <w:wordWrap/>
              <w:overflowPunct/>
              <w:topLinePunct w:val="0"/>
              <w:autoSpaceDE/>
              <w:autoSpaceDN/>
              <w:bidi w:val="0"/>
              <w:adjustRightInd/>
              <w:snapToGrid/>
              <w:spacing w:before="129" w:line="300" w:lineRule="exact"/>
              <w:ind w:left="0" w:leftChars="0" w:firstLine="0" w:firstLineChars="0"/>
              <w:jc w:val="both"/>
              <w:textAlignment w:val="auto"/>
              <w:rPr>
                <w:rFonts w:hint="eastAsia" w:ascii="宋体" w:hAnsi="宋体" w:eastAsia="宋体" w:cs="宋体"/>
                <w:spacing w:val="-2"/>
                <w:sz w:val="21"/>
                <w:szCs w:val="21"/>
              </w:rPr>
            </w:pPr>
            <w:r>
              <w:rPr>
                <w:rFonts w:hint="eastAsia" w:ascii="宋体" w:hAnsi="宋体" w:eastAsia="宋体" w:cs="宋体"/>
                <w:spacing w:val="-2"/>
                <w:sz w:val="21"/>
                <w:szCs w:val="21"/>
              </w:rPr>
              <w:t>合格</w:t>
            </w:r>
          </w:p>
        </w:tc>
      </w:tr>
      <w:tr w14:paraId="67A01A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579" w:type="dxa"/>
            <w:vMerge w:val="continue"/>
            <w:tcBorders>
              <w:left w:val="single" w:color="auto" w:sz="4" w:space="0"/>
              <w:bottom w:val="single" w:color="auto" w:sz="4" w:space="0"/>
            </w:tcBorders>
            <w:vAlign w:val="top"/>
          </w:tcPr>
          <w:p w14:paraId="42991EC2">
            <w:pPr>
              <w:pStyle w:val="104"/>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rPr>
            </w:pPr>
          </w:p>
        </w:tc>
        <w:tc>
          <w:tcPr>
            <w:tcW w:w="928" w:type="dxa"/>
            <w:vMerge w:val="continue"/>
            <w:tcBorders>
              <w:bottom w:val="single" w:color="auto" w:sz="4" w:space="0"/>
              <w:right w:val="single" w:color="auto" w:sz="4" w:space="0"/>
            </w:tcBorders>
            <w:vAlign w:val="top"/>
          </w:tcPr>
          <w:p w14:paraId="318B7A63">
            <w:pPr>
              <w:pStyle w:val="104"/>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rPr>
            </w:pPr>
          </w:p>
        </w:tc>
        <w:tc>
          <w:tcPr>
            <w:tcW w:w="2804" w:type="dxa"/>
            <w:tcBorders>
              <w:left w:val="single" w:color="auto" w:sz="4" w:space="0"/>
            </w:tcBorders>
            <w:vAlign w:val="top"/>
          </w:tcPr>
          <w:p w14:paraId="1F0F5694">
            <w:pPr>
              <w:keepNext w:val="0"/>
              <w:keepLines w:val="0"/>
              <w:pageBreakBefore w:val="0"/>
              <w:widowControl w:val="0"/>
              <w:kinsoku/>
              <w:wordWrap/>
              <w:overflowPunct/>
              <w:topLinePunct w:val="0"/>
              <w:autoSpaceDE/>
              <w:autoSpaceDN/>
              <w:bidi w:val="0"/>
              <w:adjustRightInd/>
              <w:snapToGrid/>
              <w:spacing w:before="129" w:line="300" w:lineRule="exact"/>
              <w:ind w:left="0" w:leftChars="0" w:firstLine="0" w:firstLineChars="0"/>
              <w:jc w:val="center"/>
              <w:textAlignment w:val="auto"/>
              <w:rPr>
                <w:rFonts w:ascii="宋体" w:hAnsi="宋体" w:eastAsia="宋体" w:cs="宋体"/>
                <w:spacing w:val="-4"/>
                <w:sz w:val="21"/>
                <w:szCs w:val="21"/>
              </w:rPr>
            </w:pPr>
            <w:r>
              <w:rPr>
                <w:rFonts w:ascii="宋体" w:hAnsi="宋体" w:eastAsia="宋体" w:cs="宋体"/>
                <w:spacing w:val="-4"/>
                <w:sz w:val="21"/>
                <w:szCs w:val="21"/>
              </w:rPr>
              <w:t>岗位安全操作规程</w:t>
            </w:r>
          </w:p>
        </w:tc>
        <w:tc>
          <w:tcPr>
            <w:tcW w:w="4084" w:type="dxa"/>
            <w:vAlign w:val="top"/>
          </w:tcPr>
          <w:p w14:paraId="57AD1365">
            <w:pPr>
              <w:keepNext w:val="0"/>
              <w:keepLines w:val="0"/>
              <w:pageBreakBefore w:val="0"/>
              <w:widowControl w:val="0"/>
              <w:kinsoku/>
              <w:wordWrap/>
              <w:overflowPunct/>
              <w:topLinePunct w:val="0"/>
              <w:autoSpaceDE/>
              <w:autoSpaceDN/>
              <w:bidi w:val="0"/>
              <w:adjustRightInd/>
              <w:snapToGrid/>
              <w:spacing w:before="129" w:line="300" w:lineRule="exact"/>
              <w:ind w:left="0" w:leftChars="0" w:firstLine="0" w:firstLineChars="0"/>
              <w:jc w:val="center"/>
              <w:textAlignment w:val="auto"/>
              <w:rPr>
                <w:rFonts w:hint="eastAsia" w:ascii="宋体" w:hAnsi="宋体" w:eastAsia="宋体" w:cs="宋体"/>
                <w:spacing w:val="-2"/>
                <w:sz w:val="21"/>
                <w:szCs w:val="21"/>
              </w:rPr>
            </w:pPr>
            <w:r>
              <w:rPr>
                <w:rFonts w:ascii="宋体" w:hAnsi="宋体" w:eastAsia="宋体" w:cs="宋体"/>
                <w:spacing w:val="-1"/>
                <w:sz w:val="21"/>
                <w:szCs w:val="21"/>
              </w:rPr>
              <w:t>有岗位安全操作规程。</w:t>
            </w:r>
          </w:p>
        </w:tc>
        <w:tc>
          <w:tcPr>
            <w:tcW w:w="693" w:type="dxa"/>
            <w:tcBorders>
              <w:right w:val="single" w:color="000000" w:sz="10" w:space="0"/>
            </w:tcBorders>
            <w:vAlign w:val="top"/>
          </w:tcPr>
          <w:p w14:paraId="4120CC73">
            <w:pPr>
              <w:keepNext w:val="0"/>
              <w:keepLines w:val="0"/>
              <w:pageBreakBefore w:val="0"/>
              <w:widowControl w:val="0"/>
              <w:kinsoku/>
              <w:wordWrap/>
              <w:overflowPunct/>
              <w:topLinePunct w:val="0"/>
              <w:autoSpaceDE/>
              <w:autoSpaceDN/>
              <w:bidi w:val="0"/>
              <w:adjustRightInd/>
              <w:snapToGrid/>
              <w:spacing w:before="129" w:line="300" w:lineRule="exact"/>
              <w:ind w:left="0" w:leftChars="0" w:firstLine="0" w:firstLineChars="0"/>
              <w:jc w:val="both"/>
              <w:textAlignment w:val="auto"/>
              <w:rPr>
                <w:rFonts w:hint="eastAsia" w:ascii="宋体" w:hAnsi="宋体" w:eastAsia="宋体" w:cs="宋体"/>
                <w:spacing w:val="-2"/>
                <w:sz w:val="21"/>
                <w:szCs w:val="21"/>
              </w:rPr>
            </w:pPr>
            <w:r>
              <w:rPr>
                <w:rFonts w:hint="eastAsia" w:ascii="宋体" w:hAnsi="宋体" w:eastAsia="宋体" w:cs="宋体"/>
                <w:spacing w:val="-2"/>
                <w:sz w:val="21"/>
                <w:szCs w:val="21"/>
              </w:rPr>
              <w:t>合格</w:t>
            </w:r>
          </w:p>
        </w:tc>
      </w:tr>
      <w:tr w14:paraId="498C91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1507" w:type="dxa"/>
            <w:gridSpan w:val="2"/>
            <w:tcBorders>
              <w:top w:val="single" w:color="auto" w:sz="4" w:space="0"/>
              <w:left w:val="single" w:color="auto" w:sz="4" w:space="0"/>
              <w:bottom w:val="single" w:color="auto" w:sz="4" w:space="0"/>
              <w:right w:val="single" w:color="auto" w:sz="4" w:space="0"/>
            </w:tcBorders>
            <w:vAlign w:val="top"/>
          </w:tcPr>
          <w:p w14:paraId="6A015AD9">
            <w:pPr>
              <w:pStyle w:val="104"/>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rPr>
            </w:pPr>
            <w:r>
              <w:rPr>
                <w:rFonts w:ascii="宋体" w:hAnsi="宋体" w:eastAsia="宋体" w:cs="宋体"/>
                <w:spacing w:val="-3"/>
                <w:sz w:val="21"/>
                <w:szCs w:val="21"/>
              </w:rPr>
              <w:t>结论意见</w:t>
            </w:r>
          </w:p>
        </w:tc>
        <w:tc>
          <w:tcPr>
            <w:tcW w:w="7581" w:type="dxa"/>
            <w:gridSpan w:val="3"/>
            <w:tcBorders>
              <w:left w:val="single" w:color="auto" w:sz="4" w:space="0"/>
              <w:bottom w:val="single" w:color="000000" w:sz="10" w:space="0"/>
              <w:right w:val="single" w:color="000000" w:sz="10" w:space="0"/>
            </w:tcBorders>
            <w:vAlign w:val="top"/>
          </w:tcPr>
          <w:p w14:paraId="5C0BF120">
            <w:pPr>
              <w:keepNext w:val="0"/>
              <w:keepLines w:val="0"/>
              <w:pageBreakBefore w:val="0"/>
              <w:widowControl w:val="0"/>
              <w:kinsoku/>
              <w:wordWrap/>
              <w:overflowPunct/>
              <w:topLinePunct w:val="0"/>
              <w:autoSpaceDE/>
              <w:autoSpaceDN/>
              <w:bidi w:val="0"/>
              <w:adjustRightInd/>
              <w:snapToGrid/>
              <w:spacing w:before="129" w:line="300" w:lineRule="exact"/>
              <w:ind w:left="0" w:leftChars="0" w:firstLine="0" w:firstLineChars="0"/>
              <w:jc w:val="both"/>
              <w:textAlignment w:val="auto"/>
              <w:rPr>
                <w:rFonts w:hint="eastAsia" w:ascii="宋体" w:hAnsi="宋体" w:eastAsia="宋体" w:cs="宋体"/>
                <w:spacing w:val="-2"/>
                <w:sz w:val="21"/>
                <w:szCs w:val="21"/>
                <w:lang w:eastAsia="zh-CN"/>
              </w:rPr>
            </w:pPr>
            <w:r>
              <w:rPr>
                <w:rFonts w:ascii="宋体" w:hAnsi="宋体" w:eastAsia="宋体" w:cs="宋体"/>
                <w:spacing w:val="-3"/>
                <w:kern w:val="2"/>
                <w:sz w:val="21"/>
                <w:szCs w:val="21"/>
                <w:lang w:val="en-US" w:eastAsia="en-US" w:bidi="ar-SA"/>
              </w:rPr>
              <w:t>有1项不符合，复查时企业已按照整改要求整改到位，整改措施有效，符合安全条件</w:t>
            </w:r>
            <w:r>
              <w:rPr>
                <w:rFonts w:hint="eastAsia" w:ascii="宋体" w:hAnsi="宋体" w:eastAsia="宋体" w:cs="宋体"/>
                <w:spacing w:val="-3"/>
                <w:kern w:val="2"/>
                <w:sz w:val="21"/>
                <w:szCs w:val="21"/>
                <w:lang w:val="en-US" w:eastAsia="zh-CN" w:bidi="ar-SA"/>
              </w:rPr>
              <w:t>。</w:t>
            </w:r>
          </w:p>
        </w:tc>
      </w:tr>
    </w:tbl>
    <w:p w14:paraId="4B8F7545">
      <w:pPr>
        <w:spacing w:before="137" w:line="220" w:lineRule="auto"/>
        <w:ind w:left="737"/>
        <w:rPr>
          <w:rFonts w:ascii="宋体" w:hAnsi="宋体" w:eastAsia="宋体" w:cs="宋体"/>
          <w:sz w:val="21"/>
          <w:szCs w:val="21"/>
        </w:rPr>
      </w:pPr>
      <w:r>
        <w:rPr>
          <w:rFonts w:ascii="宋体" w:hAnsi="宋体" w:eastAsia="宋体" w:cs="宋体"/>
          <w:sz w:val="21"/>
          <w:szCs w:val="21"/>
        </w:rPr>
        <w:t>注：1、本表所列的审核和检查项目，全部合格的，为符合</w:t>
      </w:r>
      <w:r>
        <w:rPr>
          <w:rFonts w:ascii="宋体" w:hAnsi="宋体" w:eastAsia="宋体" w:cs="宋体"/>
          <w:spacing w:val="-1"/>
          <w:sz w:val="21"/>
          <w:szCs w:val="21"/>
        </w:rPr>
        <w:t>安全条件；</w:t>
      </w:r>
    </w:p>
    <w:p w14:paraId="346D6842">
      <w:pPr>
        <w:spacing w:before="150" w:line="220" w:lineRule="auto"/>
        <w:ind w:left="1162"/>
        <w:rPr>
          <w:rFonts w:ascii="宋体" w:hAnsi="宋体" w:eastAsia="宋体" w:cs="宋体"/>
          <w:sz w:val="21"/>
          <w:szCs w:val="21"/>
        </w:rPr>
      </w:pPr>
      <w:r>
        <w:rPr>
          <w:rFonts w:ascii="宋体" w:hAnsi="宋体" w:eastAsia="宋体" w:cs="宋体"/>
          <w:spacing w:val="-1"/>
          <w:sz w:val="21"/>
          <w:szCs w:val="21"/>
        </w:rPr>
        <w:t>2、本表所列的审核和检查项目，有一项不合格的，为不符合安全条</w:t>
      </w:r>
      <w:r>
        <w:rPr>
          <w:rFonts w:ascii="宋体" w:hAnsi="宋体" w:eastAsia="宋体" w:cs="宋体"/>
          <w:spacing w:val="-2"/>
          <w:sz w:val="21"/>
          <w:szCs w:val="21"/>
        </w:rPr>
        <w:t>件；</w:t>
      </w:r>
    </w:p>
    <w:p w14:paraId="30621DD7">
      <w:pPr>
        <w:pStyle w:val="3"/>
        <w:bidi w:val="0"/>
        <w:rPr>
          <w:rFonts w:hint="eastAsia"/>
        </w:rPr>
      </w:pPr>
      <w:bookmarkStart w:id="132" w:name="_Toc4792"/>
      <w:bookmarkStart w:id="133" w:name="_Toc15124"/>
      <w:r>
        <w:rPr>
          <w:rFonts w:hint="eastAsia"/>
        </w:rPr>
        <w:t>5.4</w:t>
      </w:r>
      <w:r>
        <w:rPr>
          <w:rFonts w:hint="eastAsia"/>
          <w:lang w:val="en-US" w:eastAsia="zh-CN"/>
        </w:rPr>
        <w:t xml:space="preserve"> </w:t>
      </w:r>
      <w:r>
        <w:rPr>
          <w:rFonts w:hint="eastAsia"/>
        </w:rPr>
        <w:t>安全防护设施评价</w:t>
      </w:r>
      <w:bookmarkEnd w:id="132"/>
      <w:bookmarkEnd w:id="133"/>
    </w:p>
    <w:p w14:paraId="13A89E33">
      <w:pPr>
        <w:pStyle w:val="3"/>
        <w:bidi w:val="0"/>
        <w:rPr>
          <w:rFonts w:hint="eastAsia"/>
        </w:rPr>
      </w:pPr>
      <w:bookmarkStart w:id="134" w:name="_Toc8846"/>
      <w:bookmarkStart w:id="135" w:name="_Toc19827"/>
      <w:r>
        <w:rPr>
          <w:rFonts w:hint="eastAsia"/>
        </w:rPr>
        <w:t>5.4.1 防雷、防静电设施</w:t>
      </w:r>
      <w:bookmarkEnd w:id="134"/>
      <w:bookmarkEnd w:id="135"/>
    </w:p>
    <w:p w14:paraId="4B078542">
      <w:pPr>
        <w:bidi w:val="0"/>
      </w:pPr>
      <w:r>
        <w:rPr>
          <w:rFonts w:hint="eastAsia"/>
        </w:rPr>
        <w:t>根据《建筑物防雷设计规范》（GB50057-2010）、《烟花爆竹作业场所接地电阻测量方法》（AQ4106-2008）、《烟花爆竹作业场所接地电阻测量方法》 （AQ4106-2008）、《烟花爆竹工程设计安全标准》（GB50161-2022）要求对该项目危险性建筑的防雷、防静电设施进行评价：该项目各危险性建筑物均安装了防雷防静电装置，并经具备检测检验资质的检测检验部门检测合格，出具有检测合格报告，符合要求。详情见下表：</w:t>
      </w:r>
    </w:p>
    <w:p w14:paraId="0DD57CD2">
      <w:pPr>
        <w:bidi w:val="0"/>
        <w:jc w:val="center"/>
        <w:rPr>
          <w:rFonts w:hint="eastAsia" w:eastAsia="宋体"/>
        </w:rPr>
      </w:pPr>
      <w:r>
        <w:rPr>
          <w:rFonts w:hint="eastAsia"/>
        </w:rPr>
        <w:t>表</w:t>
      </w:r>
      <w:r>
        <w:rPr>
          <w:rFonts w:hint="eastAsia"/>
          <w:lang w:val="en-US" w:eastAsia="zh-CN"/>
        </w:rPr>
        <w:t>5.4</w:t>
      </w:r>
      <w:r>
        <w:rPr>
          <w:rFonts w:hint="eastAsia"/>
        </w:rPr>
        <w:t>-</w:t>
      </w:r>
      <w:r>
        <w:rPr>
          <w:rFonts w:hint="eastAsia"/>
          <w:lang w:val="en-US" w:eastAsia="zh-CN"/>
        </w:rPr>
        <w:t>1</w:t>
      </w:r>
      <w:r>
        <w:rPr>
          <w:rFonts w:hint="eastAsia"/>
        </w:rPr>
        <w:t xml:space="preserve"> </w:t>
      </w:r>
      <w:r>
        <w:t>防雷、防静电设施检查表</w:t>
      </w:r>
    </w:p>
    <w:tbl>
      <w:tblPr>
        <w:tblStyle w:val="105"/>
        <w:tblW w:w="8818" w:type="dxa"/>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84"/>
        <w:gridCol w:w="1216"/>
        <w:gridCol w:w="1461"/>
        <w:gridCol w:w="2182"/>
        <w:gridCol w:w="2193"/>
        <w:gridCol w:w="982"/>
      </w:tblGrid>
      <w:tr w14:paraId="3853F2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784" w:type="dxa"/>
            <w:tcBorders>
              <w:top w:val="single" w:color="000000" w:sz="2" w:space="0"/>
              <w:bottom w:val="single" w:color="000000" w:sz="2" w:space="0"/>
            </w:tcBorders>
            <w:vAlign w:val="center"/>
          </w:tcPr>
          <w:p w14:paraId="65D8A6BB">
            <w:pPr>
              <w:pStyle w:val="14"/>
              <w:bidi w:val="0"/>
              <w:jc w:val="center"/>
            </w:pPr>
            <w:r>
              <w:t>工房</w:t>
            </w:r>
          </w:p>
          <w:p w14:paraId="7D5AA36E">
            <w:pPr>
              <w:pStyle w:val="14"/>
              <w:bidi w:val="0"/>
              <w:jc w:val="center"/>
            </w:pPr>
            <w:r>
              <w:t>编号</w:t>
            </w:r>
          </w:p>
        </w:tc>
        <w:tc>
          <w:tcPr>
            <w:tcW w:w="1216" w:type="dxa"/>
            <w:tcBorders>
              <w:top w:val="single" w:color="000000" w:sz="2" w:space="0"/>
              <w:bottom w:val="single" w:color="000000" w:sz="2" w:space="0"/>
            </w:tcBorders>
            <w:vAlign w:val="center"/>
          </w:tcPr>
          <w:p w14:paraId="4B8F49DE">
            <w:pPr>
              <w:pStyle w:val="14"/>
              <w:bidi w:val="0"/>
              <w:jc w:val="center"/>
              <w:rPr>
                <w:rFonts w:ascii="宋体" w:hAnsi="宋体" w:eastAsia="宋体" w:cs="宋体"/>
                <w:spacing w:val="-2"/>
                <w:sz w:val="21"/>
                <w:szCs w:val="21"/>
              </w:rPr>
            </w:pPr>
            <w:r>
              <w:rPr>
                <w:rFonts w:ascii="宋体" w:hAnsi="宋体" w:eastAsia="宋体" w:cs="宋体"/>
                <w:spacing w:val="-3"/>
                <w:sz w:val="21"/>
                <w:szCs w:val="21"/>
              </w:rPr>
              <w:t>安全设</w:t>
            </w:r>
            <w:r>
              <w:rPr>
                <w:rFonts w:ascii="宋体" w:hAnsi="宋体" w:eastAsia="宋体" w:cs="宋体"/>
                <w:spacing w:val="-2"/>
                <w:sz w:val="21"/>
                <w:szCs w:val="21"/>
              </w:rPr>
              <w:t>施</w:t>
            </w:r>
          </w:p>
          <w:p w14:paraId="51B6B02E">
            <w:pPr>
              <w:pStyle w:val="14"/>
              <w:bidi w:val="0"/>
              <w:jc w:val="center"/>
            </w:pPr>
            <w:r>
              <w:rPr>
                <w:rFonts w:ascii="宋体" w:hAnsi="宋体" w:eastAsia="宋体" w:cs="宋体"/>
                <w:spacing w:val="-2"/>
                <w:sz w:val="21"/>
                <w:szCs w:val="21"/>
              </w:rPr>
              <w:t>类别</w:t>
            </w:r>
          </w:p>
        </w:tc>
        <w:tc>
          <w:tcPr>
            <w:tcW w:w="1461" w:type="dxa"/>
            <w:tcBorders>
              <w:top w:val="single" w:color="000000" w:sz="2" w:space="0"/>
              <w:bottom w:val="single" w:color="000000" w:sz="2" w:space="0"/>
            </w:tcBorders>
            <w:vAlign w:val="center"/>
          </w:tcPr>
          <w:p w14:paraId="135D70D5">
            <w:pPr>
              <w:pStyle w:val="14"/>
              <w:bidi w:val="0"/>
              <w:jc w:val="center"/>
            </w:pPr>
            <w:r>
              <w:rPr>
                <w:rFonts w:ascii="宋体" w:hAnsi="宋体" w:eastAsia="宋体" w:cs="宋体"/>
                <w:spacing w:val="-2"/>
                <w:sz w:val="21"/>
                <w:szCs w:val="21"/>
              </w:rPr>
              <w:t>检测单位</w:t>
            </w:r>
          </w:p>
        </w:tc>
        <w:tc>
          <w:tcPr>
            <w:tcW w:w="2182" w:type="dxa"/>
            <w:tcBorders>
              <w:top w:val="single" w:color="000000" w:sz="2" w:space="0"/>
              <w:bottom w:val="single" w:color="000000" w:sz="2" w:space="0"/>
            </w:tcBorders>
            <w:vAlign w:val="center"/>
          </w:tcPr>
          <w:p w14:paraId="044BB162">
            <w:pPr>
              <w:pStyle w:val="14"/>
              <w:bidi w:val="0"/>
              <w:jc w:val="center"/>
            </w:pPr>
            <w:r>
              <w:rPr>
                <w:rFonts w:ascii="宋体" w:hAnsi="宋体" w:eastAsia="宋体" w:cs="宋体"/>
                <w:spacing w:val="-1"/>
                <w:sz w:val="21"/>
                <w:szCs w:val="21"/>
              </w:rPr>
              <w:t>报告编号</w:t>
            </w:r>
          </w:p>
        </w:tc>
        <w:tc>
          <w:tcPr>
            <w:tcW w:w="2193" w:type="dxa"/>
            <w:tcBorders>
              <w:top w:val="single" w:color="000000" w:sz="2" w:space="0"/>
              <w:bottom w:val="single" w:color="000000" w:sz="2" w:space="0"/>
            </w:tcBorders>
            <w:vAlign w:val="center"/>
          </w:tcPr>
          <w:p w14:paraId="07160B5B">
            <w:pPr>
              <w:pStyle w:val="14"/>
              <w:bidi w:val="0"/>
              <w:jc w:val="center"/>
            </w:pPr>
            <w:r>
              <w:rPr>
                <w:rFonts w:ascii="宋体" w:hAnsi="宋体" w:eastAsia="宋体" w:cs="宋体"/>
                <w:spacing w:val="-2"/>
                <w:sz w:val="21"/>
                <w:szCs w:val="21"/>
              </w:rPr>
              <w:t>有效期至</w:t>
            </w:r>
          </w:p>
        </w:tc>
        <w:tc>
          <w:tcPr>
            <w:tcW w:w="982" w:type="dxa"/>
            <w:tcBorders>
              <w:top w:val="single" w:color="000000" w:sz="2" w:space="0"/>
              <w:bottom w:val="single" w:color="000000" w:sz="2" w:space="0"/>
            </w:tcBorders>
            <w:vAlign w:val="center"/>
          </w:tcPr>
          <w:p w14:paraId="7F025E02">
            <w:pPr>
              <w:pStyle w:val="14"/>
              <w:bidi w:val="0"/>
              <w:jc w:val="center"/>
            </w:pPr>
            <w:r>
              <w:t>备注</w:t>
            </w:r>
          </w:p>
        </w:tc>
      </w:tr>
      <w:tr w14:paraId="1AA9D7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84" w:type="dxa"/>
            <w:vMerge w:val="restart"/>
            <w:tcBorders>
              <w:top w:val="single" w:color="000000" w:sz="2" w:space="0"/>
            </w:tcBorders>
            <w:vAlign w:val="center"/>
          </w:tcPr>
          <w:p w14:paraId="4771FAA7">
            <w:pPr>
              <w:pStyle w:val="14"/>
              <w:bidi w:val="0"/>
              <w:jc w:val="center"/>
              <w:rPr>
                <w:rFonts w:hint="eastAsia" w:eastAsia="宋体"/>
                <w:lang w:eastAsia="zh-CN"/>
              </w:rPr>
            </w:pPr>
            <w:r>
              <w:t>540</w:t>
            </w:r>
            <w:r>
              <w:rPr>
                <w:rFonts w:hint="eastAsia"/>
                <w:color w:val="auto"/>
                <w:lang w:eastAsia="zh-CN"/>
              </w:rPr>
              <w:t>、</w:t>
            </w:r>
            <w:r>
              <w:t>542</w:t>
            </w:r>
            <w:r>
              <w:rPr>
                <w:rFonts w:hint="eastAsia"/>
                <w:color w:val="auto"/>
                <w:lang w:eastAsia="zh-CN"/>
              </w:rPr>
              <w:t>、</w:t>
            </w:r>
            <w:r>
              <w:t>545</w:t>
            </w:r>
            <w:r>
              <w:rPr>
                <w:color w:val="auto"/>
              </w:rPr>
              <w:t>成品库</w:t>
            </w:r>
          </w:p>
        </w:tc>
        <w:tc>
          <w:tcPr>
            <w:tcW w:w="1216" w:type="dxa"/>
            <w:tcBorders>
              <w:top w:val="single" w:color="000000" w:sz="2" w:space="0"/>
              <w:bottom w:val="single" w:color="000000" w:sz="2" w:space="0"/>
            </w:tcBorders>
            <w:vAlign w:val="center"/>
          </w:tcPr>
          <w:p w14:paraId="29AF2498">
            <w:pPr>
              <w:pStyle w:val="14"/>
              <w:bidi w:val="0"/>
              <w:jc w:val="center"/>
              <w:rPr>
                <w:rFonts w:ascii="宋体" w:hAnsi="宋体" w:eastAsia="宋体" w:cs="宋体"/>
                <w:spacing w:val="-3"/>
                <w:sz w:val="21"/>
                <w:szCs w:val="21"/>
              </w:rPr>
            </w:pPr>
            <w:r>
              <w:rPr>
                <w:rFonts w:ascii="宋体" w:hAnsi="宋体" w:eastAsia="宋体" w:cs="宋体"/>
                <w:spacing w:val="-5"/>
                <w:sz w:val="21"/>
                <w:szCs w:val="21"/>
              </w:rPr>
              <w:t>防雷</w:t>
            </w:r>
          </w:p>
        </w:tc>
        <w:tc>
          <w:tcPr>
            <w:tcW w:w="1461" w:type="dxa"/>
            <w:tcBorders>
              <w:top w:val="single" w:color="000000" w:sz="2" w:space="0"/>
              <w:bottom w:val="single" w:color="000000" w:sz="2" w:space="0"/>
            </w:tcBorders>
            <w:vAlign w:val="center"/>
          </w:tcPr>
          <w:p w14:paraId="5168658A">
            <w:pPr>
              <w:pStyle w:val="14"/>
              <w:bidi w:val="0"/>
              <w:jc w:val="center"/>
              <w:rPr>
                <w:rFonts w:ascii="宋体" w:hAnsi="宋体" w:eastAsia="宋体" w:cs="宋体"/>
                <w:spacing w:val="-2"/>
                <w:sz w:val="21"/>
                <w:szCs w:val="21"/>
              </w:rPr>
            </w:pPr>
            <w:r>
              <w:rPr>
                <w:rFonts w:hint="eastAsia"/>
                <w:color w:val="auto"/>
                <w:lang w:val="en-US" w:eastAsia="zh-CN"/>
              </w:rPr>
              <w:t>江西中天防雷技术</w:t>
            </w:r>
            <w:r>
              <w:rPr>
                <w:color w:val="auto"/>
              </w:rPr>
              <w:t>有限公司</w:t>
            </w:r>
          </w:p>
        </w:tc>
        <w:tc>
          <w:tcPr>
            <w:tcW w:w="2182" w:type="dxa"/>
            <w:tcBorders>
              <w:top w:val="single" w:color="000000" w:sz="2" w:space="0"/>
              <w:bottom w:val="single" w:color="000000" w:sz="2" w:space="0"/>
            </w:tcBorders>
            <w:vAlign w:val="center"/>
          </w:tcPr>
          <w:p w14:paraId="5D58F801">
            <w:pPr>
              <w:pStyle w:val="14"/>
              <w:bidi w:val="0"/>
              <w:jc w:val="center"/>
              <w:rPr>
                <w:rFonts w:ascii="宋体" w:hAnsi="宋体" w:eastAsia="宋体" w:cs="宋体"/>
                <w:spacing w:val="-1"/>
                <w:sz w:val="21"/>
                <w:szCs w:val="21"/>
              </w:rPr>
            </w:pPr>
            <w:r>
              <w:rPr>
                <w:color w:val="auto"/>
              </w:rPr>
              <w:t>11</w:t>
            </w:r>
            <w:r>
              <w:rPr>
                <w:rFonts w:hint="eastAsia"/>
                <w:color w:val="auto"/>
                <w:lang w:val="en-US" w:eastAsia="zh-CN"/>
              </w:rPr>
              <w:t>5</w:t>
            </w:r>
            <w:r>
              <w:rPr>
                <w:color w:val="auto"/>
              </w:rPr>
              <w:t>20</w:t>
            </w:r>
            <w:r>
              <w:rPr>
                <w:rFonts w:hint="eastAsia"/>
                <w:color w:val="auto"/>
                <w:lang w:val="en-US" w:eastAsia="zh-CN"/>
              </w:rPr>
              <w:t>2</w:t>
            </w:r>
            <w:r>
              <w:rPr>
                <w:color w:val="auto"/>
              </w:rPr>
              <w:t>1</w:t>
            </w:r>
            <w:r>
              <w:rPr>
                <w:rFonts w:hint="eastAsia"/>
                <w:color w:val="auto"/>
                <w:lang w:val="en-US" w:eastAsia="zh-CN"/>
              </w:rPr>
              <w:t>001</w:t>
            </w:r>
            <w:r>
              <w:rPr>
                <w:color w:val="auto"/>
              </w:rPr>
              <w:t xml:space="preserve"> 雷检字【202</w:t>
            </w:r>
            <w:r>
              <w:rPr>
                <w:rFonts w:hint="eastAsia"/>
                <w:color w:val="auto"/>
                <w:lang w:val="en-US" w:eastAsia="zh-CN"/>
              </w:rPr>
              <w:t>5</w:t>
            </w:r>
            <w:r>
              <w:rPr>
                <w:color w:val="auto"/>
              </w:rPr>
              <w:t>】</w:t>
            </w:r>
            <w:r>
              <w:rPr>
                <w:rFonts w:hint="eastAsia"/>
                <w:color w:val="auto"/>
                <w:lang w:val="en-US" w:eastAsia="zh-CN"/>
              </w:rPr>
              <w:t>PX</w:t>
            </w:r>
            <w:r>
              <w:rPr>
                <w:color w:val="auto"/>
              </w:rPr>
              <w:t>0025</w:t>
            </w:r>
            <w:r>
              <w:rPr>
                <w:rFonts w:hint="eastAsia"/>
                <w:color w:val="auto"/>
                <w:lang w:val="en-US" w:eastAsia="zh-CN"/>
              </w:rPr>
              <w:t>1</w:t>
            </w:r>
          </w:p>
        </w:tc>
        <w:tc>
          <w:tcPr>
            <w:tcW w:w="2193" w:type="dxa"/>
            <w:tcBorders>
              <w:top w:val="single" w:color="000000" w:sz="2" w:space="0"/>
              <w:bottom w:val="single" w:color="000000" w:sz="2" w:space="0"/>
            </w:tcBorders>
            <w:vAlign w:val="center"/>
          </w:tcPr>
          <w:p w14:paraId="5513BDCD">
            <w:pPr>
              <w:pStyle w:val="14"/>
              <w:bidi w:val="0"/>
              <w:jc w:val="center"/>
              <w:rPr>
                <w:rFonts w:ascii="宋体" w:hAnsi="宋体" w:eastAsia="宋体" w:cs="宋体"/>
                <w:spacing w:val="-2"/>
                <w:sz w:val="21"/>
                <w:szCs w:val="21"/>
              </w:rPr>
            </w:pPr>
            <w:r>
              <w:rPr>
                <w:color w:val="auto"/>
              </w:rPr>
              <w:t>202</w:t>
            </w:r>
            <w:r>
              <w:rPr>
                <w:rFonts w:hint="eastAsia"/>
                <w:color w:val="auto"/>
                <w:lang w:val="en-US" w:eastAsia="zh-CN"/>
              </w:rPr>
              <w:t>6年</w:t>
            </w:r>
            <w:r>
              <w:rPr>
                <w:color w:val="auto"/>
              </w:rPr>
              <w:t>2月</w:t>
            </w:r>
            <w:r>
              <w:rPr>
                <w:rFonts w:hint="eastAsia"/>
                <w:color w:val="auto"/>
                <w:lang w:val="en-US" w:eastAsia="zh-CN"/>
              </w:rPr>
              <w:t>20</w:t>
            </w:r>
            <w:r>
              <w:rPr>
                <w:color w:val="auto"/>
              </w:rPr>
              <w:t>日</w:t>
            </w:r>
          </w:p>
        </w:tc>
        <w:tc>
          <w:tcPr>
            <w:tcW w:w="982" w:type="dxa"/>
            <w:tcBorders>
              <w:top w:val="single" w:color="000000" w:sz="2" w:space="0"/>
              <w:bottom w:val="single" w:color="000000" w:sz="2" w:space="0"/>
            </w:tcBorders>
            <w:vAlign w:val="center"/>
          </w:tcPr>
          <w:p w14:paraId="5862AD04">
            <w:pPr>
              <w:pStyle w:val="14"/>
              <w:bidi w:val="0"/>
              <w:jc w:val="center"/>
            </w:pPr>
            <w:r>
              <w:rPr>
                <w:rFonts w:hint="eastAsia"/>
                <w:lang w:val="en-US" w:eastAsia="zh-CN"/>
              </w:rPr>
              <w:t>合格</w:t>
            </w:r>
          </w:p>
        </w:tc>
      </w:tr>
      <w:tr w14:paraId="6064B2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784" w:type="dxa"/>
            <w:vMerge w:val="continue"/>
            <w:tcBorders>
              <w:bottom w:val="single" w:color="000000" w:sz="2" w:space="0"/>
            </w:tcBorders>
            <w:vAlign w:val="center"/>
          </w:tcPr>
          <w:p w14:paraId="1264FED6">
            <w:pPr>
              <w:pStyle w:val="14"/>
              <w:bidi w:val="0"/>
              <w:jc w:val="center"/>
            </w:pPr>
          </w:p>
        </w:tc>
        <w:tc>
          <w:tcPr>
            <w:tcW w:w="1216" w:type="dxa"/>
            <w:tcBorders>
              <w:top w:val="single" w:color="000000" w:sz="2" w:space="0"/>
              <w:bottom w:val="single" w:color="000000" w:sz="2" w:space="0"/>
            </w:tcBorders>
            <w:vAlign w:val="center"/>
          </w:tcPr>
          <w:p w14:paraId="43489636">
            <w:pPr>
              <w:pStyle w:val="14"/>
              <w:bidi w:val="0"/>
              <w:jc w:val="center"/>
              <w:rPr>
                <w:rFonts w:ascii="宋体" w:hAnsi="宋体" w:eastAsia="宋体" w:cs="宋体"/>
                <w:spacing w:val="-3"/>
                <w:sz w:val="21"/>
                <w:szCs w:val="21"/>
              </w:rPr>
            </w:pPr>
            <w:r>
              <w:rPr>
                <w:rFonts w:ascii="宋体" w:hAnsi="宋体" w:eastAsia="宋体" w:cs="宋体"/>
                <w:spacing w:val="-4"/>
                <w:sz w:val="21"/>
                <w:szCs w:val="21"/>
              </w:rPr>
              <w:t>防静电</w:t>
            </w:r>
          </w:p>
        </w:tc>
        <w:tc>
          <w:tcPr>
            <w:tcW w:w="1461" w:type="dxa"/>
            <w:tcBorders>
              <w:top w:val="single" w:color="000000" w:sz="2" w:space="0"/>
              <w:bottom w:val="single" w:color="000000" w:sz="2" w:space="0"/>
            </w:tcBorders>
            <w:vAlign w:val="center"/>
          </w:tcPr>
          <w:p w14:paraId="664C59F8">
            <w:pPr>
              <w:pStyle w:val="14"/>
              <w:bidi w:val="0"/>
              <w:jc w:val="center"/>
              <w:rPr>
                <w:rFonts w:ascii="宋体" w:hAnsi="宋体" w:eastAsia="宋体" w:cs="宋体"/>
                <w:spacing w:val="-2"/>
                <w:sz w:val="21"/>
                <w:szCs w:val="21"/>
              </w:rPr>
            </w:pPr>
            <w:r>
              <w:rPr>
                <w:color w:val="auto"/>
              </w:rPr>
              <w:t>本溪普天防雷检测有限公司</w:t>
            </w:r>
          </w:p>
        </w:tc>
        <w:tc>
          <w:tcPr>
            <w:tcW w:w="2182" w:type="dxa"/>
            <w:tcBorders>
              <w:top w:val="single" w:color="000000" w:sz="2" w:space="0"/>
              <w:bottom w:val="single" w:color="000000" w:sz="2" w:space="0"/>
            </w:tcBorders>
            <w:vAlign w:val="center"/>
          </w:tcPr>
          <w:p w14:paraId="54EBFF00">
            <w:pPr>
              <w:pStyle w:val="14"/>
              <w:bidi w:val="0"/>
              <w:jc w:val="center"/>
              <w:rPr>
                <w:rFonts w:ascii="宋体" w:hAnsi="宋体" w:eastAsia="宋体" w:cs="宋体"/>
                <w:spacing w:val="-1"/>
                <w:sz w:val="21"/>
                <w:szCs w:val="21"/>
              </w:rPr>
            </w:pPr>
            <w:r>
              <w:rPr>
                <w:color w:val="auto"/>
              </w:rPr>
              <w:t>1062017002静检字</w:t>
            </w:r>
            <w:r>
              <w:rPr>
                <w:rFonts w:hint="eastAsia"/>
                <w:color w:val="auto"/>
                <w:lang w:eastAsia="zh-CN"/>
              </w:rPr>
              <w:t>【</w:t>
            </w:r>
            <w:r>
              <w:rPr>
                <w:color w:val="auto"/>
              </w:rPr>
              <w:t>202</w:t>
            </w:r>
            <w:r>
              <w:rPr>
                <w:rFonts w:hint="eastAsia"/>
                <w:color w:val="auto"/>
                <w:lang w:val="en-US" w:eastAsia="zh-CN"/>
              </w:rPr>
              <w:t>5】00636</w:t>
            </w:r>
          </w:p>
        </w:tc>
        <w:tc>
          <w:tcPr>
            <w:tcW w:w="2193" w:type="dxa"/>
            <w:tcBorders>
              <w:top w:val="single" w:color="000000" w:sz="2" w:space="0"/>
              <w:bottom w:val="single" w:color="000000" w:sz="2" w:space="0"/>
            </w:tcBorders>
            <w:vAlign w:val="center"/>
          </w:tcPr>
          <w:p w14:paraId="5C6F623C">
            <w:pPr>
              <w:pStyle w:val="14"/>
              <w:bidi w:val="0"/>
              <w:jc w:val="center"/>
              <w:rPr>
                <w:rFonts w:ascii="宋体" w:hAnsi="宋体" w:eastAsia="宋体" w:cs="宋体"/>
                <w:spacing w:val="-2"/>
                <w:sz w:val="21"/>
                <w:szCs w:val="21"/>
              </w:rPr>
            </w:pPr>
            <w:r>
              <w:rPr>
                <w:color w:val="auto"/>
              </w:rPr>
              <w:t>202</w:t>
            </w:r>
            <w:r>
              <w:rPr>
                <w:rFonts w:hint="eastAsia"/>
                <w:color w:val="auto"/>
                <w:lang w:val="en-US" w:eastAsia="zh-CN"/>
              </w:rPr>
              <w:t>6</w:t>
            </w:r>
            <w:r>
              <w:rPr>
                <w:color w:val="auto"/>
              </w:rPr>
              <w:t>年02月1</w:t>
            </w:r>
            <w:r>
              <w:rPr>
                <w:rFonts w:hint="eastAsia"/>
                <w:color w:val="auto"/>
                <w:lang w:val="en-US" w:eastAsia="zh-CN"/>
              </w:rPr>
              <w:t>7</w:t>
            </w:r>
            <w:r>
              <w:rPr>
                <w:color w:val="auto"/>
              </w:rPr>
              <w:t>日</w:t>
            </w:r>
          </w:p>
        </w:tc>
        <w:tc>
          <w:tcPr>
            <w:tcW w:w="982" w:type="dxa"/>
            <w:tcBorders>
              <w:top w:val="single" w:color="000000" w:sz="2" w:space="0"/>
              <w:bottom w:val="single" w:color="000000" w:sz="2" w:space="0"/>
            </w:tcBorders>
            <w:vAlign w:val="center"/>
          </w:tcPr>
          <w:p w14:paraId="76840754">
            <w:pPr>
              <w:pStyle w:val="14"/>
              <w:bidi w:val="0"/>
              <w:jc w:val="center"/>
              <w:rPr>
                <w:rFonts w:hint="eastAsia" w:eastAsia="宋体"/>
                <w:lang w:val="en-US" w:eastAsia="zh-CN"/>
              </w:rPr>
            </w:pPr>
            <w:r>
              <w:rPr>
                <w:rFonts w:hint="eastAsia"/>
                <w:lang w:val="en-US" w:eastAsia="zh-CN"/>
              </w:rPr>
              <w:t>合格</w:t>
            </w:r>
          </w:p>
        </w:tc>
      </w:tr>
    </w:tbl>
    <w:p w14:paraId="2A74B395">
      <w:pPr>
        <w:pStyle w:val="3"/>
        <w:bidi w:val="0"/>
        <w:rPr>
          <w:rFonts w:hint="eastAsia"/>
        </w:rPr>
      </w:pPr>
      <w:bookmarkStart w:id="136" w:name="_Toc26485"/>
      <w:bookmarkStart w:id="137" w:name="_Toc15891"/>
      <w:r>
        <w:rPr>
          <w:rFonts w:hint="eastAsia"/>
        </w:rPr>
        <w:t>5.4.2 其它安全设施评价汇总</w:t>
      </w:r>
      <w:bookmarkEnd w:id="136"/>
      <w:bookmarkEnd w:id="137"/>
    </w:p>
    <w:p w14:paraId="0E09A3B4">
      <w:pPr>
        <w:bidi w:val="0"/>
      </w:pPr>
      <w:r>
        <w:rPr>
          <w:rFonts w:hint="eastAsia"/>
        </w:rPr>
        <w:t>库区安全防护设施包括消防设施、视频监控设施、电气设备和电气线路、围墙、安全警示标志等，评价过程见下表。</w:t>
      </w:r>
    </w:p>
    <w:tbl>
      <w:tblPr>
        <w:tblStyle w:val="105"/>
        <w:tblW w:w="877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15"/>
        <w:gridCol w:w="2551"/>
        <w:gridCol w:w="5070"/>
        <w:gridCol w:w="636"/>
      </w:tblGrid>
      <w:tr w14:paraId="2335C1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jc w:val="center"/>
        </w:trPr>
        <w:tc>
          <w:tcPr>
            <w:tcW w:w="515" w:type="dxa"/>
            <w:tcBorders>
              <w:left w:val="single" w:color="000000" w:sz="10" w:space="0"/>
            </w:tcBorders>
            <w:vAlign w:val="top"/>
          </w:tcPr>
          <w:p w14:paraId="00B65667">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序号</w:t>
            </w:r>
          </w:p>
        </w:tc>
        <w:tc>
          <w:tcPr>
            <w:tcW w:w="2551" w:type="dxa"/>
            <w:shd w:val="clear" w:color="auto" w:fill="auto"/>
            <w:vAlign w:val="top"/>
          </w:tcPr>
          <w:p w14:paraId="572E9D98">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ascii="宋体" w:hAnsi="宋体" w:eastAsia="宋体" w:cs="宋体"/>
                <w:kern w:val="2"/>
                <w:sz w:val="21"/>
                <w:szCs w:val="21"/>
                <w:lang w:val="en-US" w:eastAsia="zh-CN" w:bidi="ar-SA"/>
              </w:rPr>
            </w:pPr>
            <w:r>
              <w:rPr>
                <w:rFonts w:ascii="宋体" w:hAnsi="宋体" w:eastAsia="宋体" w:cs="宋体"/>
                <w:spacing w:val="-2"/>
                <w:sz w:val="21"/>
                <w:szCs w:val="21"/>
              </w:rPr>
              <w:t>检查内容</w:t>
            </w:r>
          </w:p>
        </w:tc>
        <w:tc>
          <w:tcPr>
            <w:tcW w:w="5070" w:type="dxa"/>
            <w:shd w:val="clear" w:color="auto" w:fill="auto"/>
            <w:vAlign w:val="top"/>
          </w:tcPr>
          <w:p w14:paraId="25A42C35">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ascii="宋体" w:hAnsi="宋体" w:eastAsia="宋体" w:cs="宋体"/>
                <w:kern w:val="2"/>
                <w:sz w:val="21"/>
                <w:szCs w:val="21"/>
                <w:lang w:val="en-US" w:eastAsia="zh-CN" w:bidi="ar-SA"/>
              </w:rPr>
            </w:pPr>
            <w:r>
              <w:rPr>
                <w:rFonts w:ascii="宋体" w:hAnsi="宋体" w:eastAsia="宋体" w:cs="宋体"/>
                <w:spacing w:val="-2"/>
                <w:sz w:val="21"/>
                <w:szCs w:val="21"/>
              </w:rPr>
              <w:t>检查情况</w:t>
            </w:r>
          </w:p>
        </w:tc>
        <w:tc>
          <w:tcPr>
            <w:tcW w:w="636" w:type="dxa"/>
            <w:tcBorders>
              <w:right w:val="single" w:color="000000" w:sz="10" w:space="0"/>
            </w:tcBorders>
            <w:shd w:val="clear" w:color="auto" w:fill="auto"/>
            <w:vAlign w:val="top"/>
          </w:tcPr>
          <w:p w14:paraId="17101513">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ascii="宋体" w:hAnsi="宋体" w:eastAsia="宋体" w:cs="宋体"/>
                <w:kern w:val="2"/>
                <w:sz w:val="21"/>
                <w:szCs w:val="21"/>
                <w:lang w:val="en-US" w:eastAsia="zh-CN" w:bidi="ar-SA"/>
              </w:rPr>
            </w:pPr>
            <w:r>
              <w:rPr>
                <w:rFonts w:ascii="宋体" w:hAnsi="宋体" w:eastAsia="宋体" w:cs="宋体"/>
                <w:spacing w:val="-2"/>
                <w:sz w:val="21"/>
                <w:szCs w:val="21"/>
              </w:rPr>
              <w:t>检查结论</w:t>
            </w:r>
          </w:p>
        </w:tc>
      </w:tr>
      <w:tr w14:paraId="027691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5" w:hRule="atLeast"/>
          <w:jc w:val="center"/>
        </w:trPr>
        <w:tc>
          <w:tcPr>
            <w:tcW w:w="515" w:type="dxa"/>
            <w:tcBorders>
              <w:left w:val="single" w:color="000000" w:sz="10" w:space="0"/>
            </w:tcBorders>
            <w:vAlign w:val="top"/>
          </w:tcPr>
          <w:p w14:paraId="088DB96E">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ascii="宋体" w:hAnsi="宋体" w:eastAsia="宋体" w:cs="宋体"/>
                <w:sz w:val="21"/>
                <w:szCs w:val="21"/>
              </w:rPr>
            </w:pPr>
            <w:r>
              <w:rPr>
                <w:rFonts w:ascii="宋体" w:hAnsi="宋体" w:eastAsia="宋体" w:cs="宋体"/>
                <w:sz w:val="21"/>
                <w:szCs w:val="21"/>
              </w:rPr>
              <w:t>1</w:t>
            </w:r>
          </w:p>
        </w:tc>
        <w:tc>
          <w:tcPr>
            <w:tcW w:w="2551" w:type="dxa"/>
            <w:vAlign w:val="top"/>
          </w:tcPr>
          <w:p w14:paraId="5ABBAEEF">
            <w:pPr>
              <w:keepNext w:val="0"/>
              <w:keepLines w:val="0"/>
              <w:pageBreakBefore w:val="0"/>
              <w:widowControl w:val="0"/>
              <w:kinsoku/>
              <w:wordWrap/>
              <w:overflowPunct/>
              <w:topLinePunct w:val="0"/>
              <w:autoSpaceDE/>
              <w:autoSpaceDN/>
              <w:bidi w:val="0"/>
              <w:adjustRightInd/>
              <w:snapToGrid/>
              <w:spacing w:line="320" w:lineRule="exact"/>
              <w:ind w:left="0" w:leftChars="0" w:right="109" w:firstLine="0" w:firstLineChars="0"/>
              <w:textAlignment w:val="auto"/>
              <w:rPr>
                <w:rFonts w:ascii="宋体" w:hAnsi="宋体" w:eastAsia="宋体" w:cs="宋体"/>
                <w:sz w:val="21"/>
                <w:szCs w:val="21"/>
              </w:rPr>
            </w:pPr>
            <w:r>
              <w:rPr>
                <w:rFonts w:ascii="宋体" w:hAnsi="宋体" w:eastAsia="宋体" w:cs="宋体"/>
                <w:spacing w:val="-1"/>
                <w:sz w:val="21"/>
                <w:szCs w:val="21"/>
              </w:rPr>
              <w:t>库区消防设施设置是否符合国家相关标准规定</w:t>
            </w:r>
          </w:p>
        </w:tc>
        <w:tc>
          <w:tcPr>
            <w:tcW w:w="5070" w:type="dxa"/>
            <w:vAlign w:val="top"/>
          </w:tcPr>
          <w:p w14:paraId="1EF97177">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both"/>
              <w:textAlignment w:val="auto"/>
              <w:rPr>
                <w:rFonts w:ascii="宋体" w:hAnsi="宋体" w:eastAsia="宋体" w:cs="宋体"/>
                <w:sz w:val="21"/>
                <w:szCs w:val="21"/>
              </w:rPr>
            </w:pPr>
            <w:r>
              <w:rPr>
                <w:rFonts w:ascii="宋体" w:hAnsi="宋体" w:eastAsia="宋体" w:cs="宋体"/>
                <w:spacing w:val="-2"/>
                <w:sz w:val="21"/>
                <w:szCs w:val="21"/>
              </w:rPr>
              <w:t>库区消防设施设置符合国家相关标准规定。</w:t>
            </w:r>
          </w:p>
        </w:tc>
        <w:tc>
          <w:tcPr>
            <w:tcW w:w="636" w:type="dxa"/>
            <w:tcBorders>
              <w:right w:val="single" w:color="000000" w:sz="10" w:space="0"/>
            </w:tcBorders>
            <w:vAlign w:val="top"/>
          </w:tcPr>
          <w:p w14:paraId="1693C951">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ascii="宋体" w:hAnsi="宋体" w:eastAsia="宋体" w:cs="宋体"/>
                <w:sz w:val="21"/>
                <w:szCs w:val="21"/>
              </w:rPr>
            </w:pPr>
            <w:r>
              <w:rPr>
                <w:rFonts w:ascii="宋体" w:hAnsi="宋体" w:eastAsia="宋体" w:cs="宋体"/>
                <w:spacing w:val="-2"/>
                <w:sz w:val="21"/>
                <w:szCs w:val="21"/>
              </w:rPr>
              <w:t>合格</w:t>
            </w:r>
          </w:p>
        </w:tc>
      </w:tr>
      <w:tr w14:paraId="1DB10E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2" w:hRule="atLeast"/>
          <w:jc w:val="center"/>
        </w:trPr>
        <w:tc>
          <w:tcPr>
            <w:tcW w:w="515" w:type="dxa"/>
            <w:tcBorders>
              <w:left w:val="single" w:color="000000" w:sz="10" w:space="0"/>
            </w:tcBorders>
            <w:vAlign w:val="top"/>
          </w:tcPr>
          <w:p w14:paraId="43E47ECC">
            <w:pPr>
              <w:pStyle w:val="104"/>
              <w:keepNext w:val="0"/>
              <w:keepLines w:val="0"/>
              <w:pageBreakBefore w:val="0"/>
              <w:widowControl w:val="0"/>
              <w:kinsoku/>
              <w:wordWrap/>
              <w:overflowPunct/>
              <w:topLinePunct w:val="0"/>
              <w:autoSpaceDE/>
              <w:autoSpaceDN/>
              <w:bidi w:val="0"/>
              <w:adjustRightInd/>
              <w:snapToGrid/>
              <w:spacing w:line="320" w:lineRule="exact"/>
              <w:textAlignment w:val="auto"/>
            </w:pPr>
          </w:p>
          <w:p w14:paraId="0E04474F">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ascii="宋体" w:hAnsi="宋体" w:eastAsia="宋体" w:cs="宋体"/>
                <w:sz w:val="21"/>
                <w:szCs w:val="21"/>
              </w:rPr>
            </w:pPr>
            <w:r>
              <w:rPr>
                <w:rFonts w:ascii="宋体" w:hAnsi="宋体" w:eastAsia="宋体" w:cs="宋体"/>
                <w:sz w:val="21"/>
                <w:szCs w:val="21"/>
              </w:rPr>
              <w:t>2</w:t>
            </w:r>
          </w:p>
        </w:tc>
        <w:tc>
          <w:tcPr>
            <w:tcW w:w="2551" w:type="dxa"/>
            <w:vAlign w:val="top"/>
          </w:tcPr>
          <w:p w14:paraId="32065591">
            <w:pPr>
              <w:keepNext w:val="0"/>
              <w:keepLines w:val="0"/>
              <w:pageBreakBefore w:val="0"/>
              <w:widowControl w:val="0"/>
              <w:kinsoku/>
              <w:wordWrap/>
              <w:overflowPunct/>
              <w:topLinePunct w:val="0"/>
              <w:autoSpaceDE/>
              <w:autoSpaceDN/>
              <w:bidi w:val="0"/>
              <w:adjustRightInd/>
              <w:snapToGrid/>
              <w:spacing w:line="320" w:lineRule="exact"/>
              <w:ind w:left="0" w:leftChars="0" w:right="109" w:firstLine="0" w:firstLineChars="0"/>
              <w:textAlignment w:val="auto"/>
              <w:rPr>
                <w:rFonts w:ascii="宋体" w:hAnsi="宋体" w:eastAsia="宋体" w:cs="宋体"/>
                <w:sz w:val="21"/>
                <w:szCs w:val="21"/>
              </w:rPr>
            </w:pPr>
            <w:r>
              <w:rPr>
                <w:rFonts w:ascii="宋体" w:hAnsi="宋体" w:eastAsia="宋体" w:cs="宋体"/>
                <w:spacing w:val="-2"/>
                <w:sz w:val="21"/>
                <w:szCs w:val="21"/>
              </w:rPr>
              <w:t>防雷防静电设施是否符合国家</w:t>
            </w:r>
            <w:r>
              <w:rPr>
                <w:rFonts w:ascii="宋体" w:hAnsi="宋体" w:eastAsia="宋体" w:cs="宋体"/>
                <w:spacing w:val="-1"/>
                <w:sz w:val="21"/>
                <w:szCs w:val="21"/>
              </w:rPr>
              <w:t>有关标准规定</w:t>
            </w:r>
          </w:p>
        </w:tc>
        <w:tc>
          <w:tcPr>
            <w:tcW w:w="5070" w:type="dxa"/>
            <w:vAlign w:val="top"/>
          </w:tcPr>
          <w:p w14:paraId="54E3C659">
            <w:pPr>
              <w:keepNext w:val="0"/>
              <w:keepLines w:val="0"/>
              <w:pageBreakBefore w:val="0"/>
              <w:widowControl w:val="0"/>
              <w:kinsoku/>
              <w:wordWrap/>
              <w:overflowPunct/>
              <w:topLinePunct w:val="0"/>
              <w:autoSpaceDE/>
              <w:autoSpaceDN/>
              <w:bidi w:val="0"/>
              <w:adjustRightInd/>
              <w:snapToGrid/>
              <w:spacing w:line="320" w:lineRule="exact"/>
              <w:ind w:left="0" w:leftChars="0" w:right="91" w:firstLine="0" w:firstLineChars="0"/>
              <w:textAlignment w:val="auto"/>
              <w:rPr>
                <w:rFonts w:ascii="宋体" w:hAnsi="宋体" w:eastAsia="宋体" w:cs="宋体"/>
                <w:sz w:val="21"/>
                <w:szCs w:val="21"/>
              </w:rPr>
            </w:pPr>
            <w:r>
              <w:rPr>
                <w:rFonts w:ascii="宋体" w:hAnsi="宋体" w:eastAsia="宋体" w:cs="宋体"/>
                <w:spacing w:val="-6"/>
                <w:sz w:val="21"/>
                <w:szCs w:val="21"/>
              </w:rPr>
              <w:t>库区设有防雷防静电装置，并均由具有检测</w:t>
            </w:r>
            <w:r>
              <w:rPr>
                <w:rFonts w:ascii="宋体" w:hAnsi="宋体" w:eastAsia="宋体" w:cs="宋体"/>
                <w:spacing w:val="-1"/>
                <w:sz w:val="21"/>
                <w:szCs w:val="21"/>
              </w:rPr>
              <w:t>检验资质单位检测合格且出具检验检测合</w:t>
            </w:r>
            <w:r>
              <w:rPr>
                <w:rFonts w:ascii="宋体" w:hAnsi="宋体" w:eastAsia="宋体" w:cs="宋体"/>
                <w:spacing w:val="-2"/>
                <w:sz w:val="21"/>
                <w:szCs w:val="21"/>
              </w:rPr>
              <w:t>格报告。</w:t>
            </w:r>
          </w:p>
        </w:tc>
        <w:tc>
          <w:tcPr>
            <w:tcW w:w="636" w:type="dxa"/>
            <w:tcBorders>
              <w:right w:val="single" w:color="000000" w:sz="10" w:space="0"/>
            </w:tcBorders>
            <w:vAlign w:val="top"/>
          </w:tcPr>
          <w:p w14:paraId="143B77A6">
            <w:pPr>
              <w:pStyle w:val="104"/>
              <w:keepNext w:val="0"/>
              <w:keepLines w:val="0"/>
              <w:pageBreakBefore w:val="0"/>
              <w:widowControl w:val="0"/>
              <w:kinsoku/>
              <w:wordWrap/>
              <w:overflowPunct/>
              <w:topLinePunct w:val="0"/>
              <w:autoSpaceDE/>
              <w:autoSpaceDN/>
              <w:bidi w:val="0"/>
              <w:adjustRightInd/>
              <w:snapToGrid/>
              <w:spacing w:line="320" w:lineRule="exact"/>
              <w:textAlignment w:val="auto"/>
            </w:pPr>
          </w:p>
          <w:p w14:paraId="0911F90C">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ascii="宋体" w:hAnsi="宋体" w:eastAsia="宋体" w:cs="宋体"/>
                <w:sz w:val="21"/>
                <w:szCs w:val="21"/>
              </w:rPr>
            </w:pPr>
            <w:r>
              <w:rPr>
                <w:rFonts w:ascii="宋体" w:hAnsi="宋体" w:eastAsia="宋体" w:cs="宋体"/>
                <w:spacing w:val="-2"/>
                <w:sz w:val="21"/>
                <w:szCs w:val="21"/>
              </w:rPr>
              <w:t>合格</w:t>
            </w:r>
          </w:p>
        </w:tc>
      </w:tr>
      <w:tr w14:paraId="3C29BA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2" w:hRule="atLeast"/>
          <w:jc w:val="center"/>
        </w:trPr>
        <w:tc>
          <w:tcPr>
            <w:tcW w:w="515" w:type="dxa"/>
            <w:tcBorders>
              <w:left w:val="single" w:color="000000" w:sz="10" w:space="0"/>
            </w:tcBorders>
            <w:vAlign w:val="top"/>
          </w:tcPr>
          <w:p w14:paraId="4B5B55E9">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ascii="宋体" w:hAnsi="宋体" w:eastAsia="宋体" w:cs="宋体"/>
                <w:sz w:val="21"/>
                <w:szCs w:val="21"/>
              </w:rPr>
            </w:pPr>
            <w:r>
              <w:rPr>
                <w:rFonts w:ascii="宋体" w:hAnsi="宋体" w:eastAsia="宋体" w:cs="宋体"/>
                <w:sz w:val="21"/>
                <w:szCs w:val="21"/>
              </w:rPr>
              <w:t>3</w:t>
            </w:r>
          </w:p>
        </w:tc>
        <w:tc>
          <w:tcPr>
            <w:tcW w:w="2551" w:type="dxa"/>
            <w:vAlign w:val="top"/>
          </w:tcPr>
          <w:p w14:paraId="0BD90AF9">
            <w:pPr>
              <w:keepNext w:val="0"/>
              <w:keepLines w:val="0"/>
              <w:pageBreakBefore w:val="0"/>
              <w:widowControl w:val="0"/>
              <w:kinsoku/>
              <w:wordWrap/>
              <w:overflowPunct/>
              <w:topLinePunct w:val="0"/>
              <w:autoSpaceDE/>
              <w:autoSpaceDN/>
              <w:bidi w:val="0"/>
              <w:adjustRightInd/>
              <w:snapToGrid/>
              <w:spacing w:line="320" w:lineRule="exact"/>
              <w:ind w:left="0" w:leftChars="0" w:right="109" w:firstLine="0" w:firstLineChars="0"/>
              <w:textAlignment w:val="auto"/>
              <w:rPr>
                <w:rFonts w:ascii="宋体" w:hAnsi="宋体" w:eastAsia="宋体" w:cs="宋体"/>
                <w:sz w:val="21"/>
                <w:szCs w:val="21"/>
              </w:rPr>
            </w:pPr>
            <w:r>
              <w:rPr>
                <w:rFonts w:ascii="宋体" w:hAnsi="宋体" w:eastAsia="宋体" w:cs="宋体"/>
                <w:spacing w:val="-2"/>
                <w:sz w:val="21"/>
                <w:szCs w:val="21"/>
              </w:rPr>
              <w:t>防盗报警等监控设施、保卫设</w:t>
            </w:r>
            <w:r>
              <w:rPr>
                <w:rFonts w:ascii="宋体" w:hAnsi="宋体" w:eastAsia="宋体" w:cs="宋体"/>
                <w:spacing w:val="-1"/>
                <w:sz w:val="21"/>
                <w:szCs w:val="21"/>
              </w:rPr>
              <w:t>施是否符合国家有关规定</w:t>
            </w:r>
          </w:p>
        </w:tc>
        <w:tc>
          <w:tcPr>
            <w:tcW w:w="5070" w:type="dxa"/>
            <w:vAlign w:val="top"/>
          </w:tcPr>
          <w:p w14:paraId="27AE3BF2">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ascii="宋体" w:hAnsi="宋体" w:eastAsia="宋体" w:cs="宋体"/>
                <w:sz w:val="21"/>
                <w:szCs w:val="21"/>
              </w:rPr>
            </w:pPr>
            <w:r>
              <w:rPr>
                <w:rFonts w:ascii="宋体" w:hAnsi="宋体" w:eastAsia="宋体" w:cs="宋体"/>
                <w:spacing w:val="-1"/>
                <w:sz w:val="21"/>
                <w:szCs w:val="21"/>
              </w:rPr>
              <w:t>库区视频监控系统装置运行良好。</w:t>
            </w:r>
          </w:p>
        </w:tc>
        <w:tc>
          <w:tcPr>
            <w:tcW w:w="636" w:type="dxa"/>
            <w:tcBorders>
              <w:right w:val="single" w:color="000000" w:sz="10" w:space="0"/>
            </w:tcBorders>
            <w:vAlign w:val="top"/>
          </w:tcPr>
          <w:p w14:paraId="4760CCB5">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ascii="宋体" w:hAnsi="宋体" w:eastAsia="宋体" w:cs="宋体"/>
                <w:sz w:val="21"/>
                <w:szCs w:val="21"/>
              </w:rPr>
            </w:pPr>
            <w:r>
              <w:rPr>
                <w:rFonts w:ascii="宋体" w:hAnsi="宋体" w:eastAsia="宋体" w:cs="宋体"/>
                <w:spacing w:val="-2"/>
                <w:sz w:val="21"/>
                <w:szCs w:val="21"/>
              </w:rPr>
              <w:t>合格</w:t>
            </w:r>
          </w:p>
        </w:tc>
      </w:tr>
      <w:tr w14:paraId="03A0F1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1" w:hRule="atLeast"/>
          <w:jc w:val="center"/>
        </w:trPr>
        <w:tc>
          <w:tcPr>
            <w:tcW w:w="515" w:type="dxa"/>
            <w:tcBorders>
              <w:left w:val="single" w:color="000000" w:sz="10" w:space="0"/>
            </w:tcBorders>
            <w:vAlign w:val="top"/>
          </w:tcPr>
          <w:p w14:paraId="6EC54D1E">
            <w:pPr>
              <w:pStyle w:val="104"/>
              <w:keepNext w:val="0"/>
              <w:keepLines w:val="0"/>
              <w:pageBreakBefore w:val="0"/>
              <w:widowControl w:val="0"/>
              <w:kinsoku/>
              <w:wordWrap/>
              <w:overflowPunct/>
              <w:topLinePunct w:val="0"/>
              <w:autoSpaceDE/>
              <w:autoSpaceDN/>
              <w:bidi w:val="0"/>
              <w:adjustRightInd/>
              <w:snapToGrid/>
              <w:spacing w:line="320" w:lineRule="exact"/>
              <w:textAlignment w:val="auto"/>
            </w:pPr>
          </w:p>
          <w:p w14:paraId="0FCD7883">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ascii="宋体" w:hAnsi="宋体" w:eastAsia="宋体" w:cs="宋体"/>
                <w:sz w:val="21"/>
                <w:szCs w:val="21"/>
              </w:rPr>
            </w:pPr>
            <w:r>
              <w:rPr>
                <w:rFonts w:ascii="宋体" w:hAnsi="宋体" w:eastAsia="宋体" w:cs="宋体"/>
                <w:sz w:val="21"/>
                <w:szCs w:val="21"/>
              </w:rPr>
              <w:t>4</w:t>
            </w:r>
          </w:p>
        </w:tc>
        <w:tc>
          <w:tcPr>
            <w:tcW w:w="2551" w:type="dxa"/>
            <w:vAlign w:val="top"/>
          </w:tcPr>
          <w:p w14:paraId="7CCBF63B">
            <w:pPr>
              <w:keepNext w:val="0"/>
              <w:keepLines w:val="0"/>
              <w:pageBreakBefore w:val="0"/>
              <w:widowControl w:val="0"/>
              <w:kinsoku/>
              <w:wordWrap/>
              <w:overflowPunct/>
              <w:topLinePunct w:val="0"/>
              <w:autoSpaceDE/>
              <w:autoSpaceDN/>
              <w:bidi w:val="0"/>
              <w:adjustRightInd/>
              <w:snapToGrid/>
              <w:spacing w:line="320" w:lineRule="exact"/>
              <w:ind w:left="0" w:leftChars="0" w:right="109" w:firstLine="0" w:firstLineChars="0"/>
              <w:jc w:val="both"/>
              <w:textAlignment w:val="auto"/>
              <w:rPr>
                <w:rFonts w:ascii="宋体" w:hAnsi="宋体" w:eastAsia="宋体" w:cs="宋体"/>
                <w:sz w:val="21"/>
                <w:szCs w:val="21"/>
              </w:rPr>
            </w:pPr>
            <w:r>
              <w:rPr>
                <w:rFonts w:ascii="宋体" w:hAnsi="宋体" w:eastAsia="宋体" w:cs="宋体"/>
                <w:spacing w:val="-1"/>
                <w:sz w:val="21"/>
                <w:szCs w:val="21"/>
              </w:rPr>
              <w:t>库区电线、照明、电气设备等电气设施是否符合国家相关标</w:t>
            </w:r>
            <w:r>
              <w:rPr>
                <w:rFonts w:ascii="宋体" w:hAnsi="宋体" w:eastAsia="宋体" w:cs="宋体"/>
                <w:spacing w:val="-2"/>
                <w:sz w:val="21"/>
                <w:szCs w:val="21"/>
              </w:rPr>
              <w:t>准规定</w:t>
            </w:r>
          </w:p>
        </w:tc>
        <w:tc>
          <w:tcPr>
            <w:tcW w:w="5070" w:type="dxa"/>
            <w:vAlign w:val="top"/>
          </w:tcPr>
          <w:p w14:paraId="59ACD713">
            <w:pPr>
              <w:keepNext w:val="0"/>
              <w:keepLines w:val="0"/>
              <w:pageBreakBefore w:val="0"/>
              <w:widowControl w:val="0"/>
              <w:kinsoku/>
              <w:wordWrap/>
              <w:overflowPunct/>
              <w:topLinePunct w:val="0"/>
              <w:autoSpaceDE/>
              <w:autoSpaceDN/>
              <w:bidi w:val="0"/>
              <w:adjustRightInd/>
              <w:snapToGrid/>
              <w:spacing w:line="320" w:lineRule="exact"/>
              <w:ind w:left="0" w:leftChars="0" w:right="91" w:firstLine="0" w:firstLineChars="0"/>
              <w:textAlignment w:val="auto"/>
              <w:rPr>
                <w:rFonts w:hint="eastAsia" w:ascii="宋体" w:hAnsi="宋体" w:eastAsia="宋体" w:cs="宋体"/>
                <w:sz w:val="21"/>
                <w:szCs w:val="21"/>
                <w:lang w:eastAsia="zh-CN"/>
              </w:rPr>
            </w:pPr>
            <w:r>
              <w:rPr>
                <w:rFonts w:ascii="宋体" w:hAnsi="宋体" w:eastAsia="宋体" w:cs="宋体"/>
                <w:spacing w:val="-1"/>
                <w:sz w:val="21"/>
                <w:szCs w:val="21"/>
              </w:rPr>
              <w:t>成品库内未安装电气设施</w:t>
            </w:r>
            <w:r>
              <w:rPr>
                <w:rFonts w:hint="eastAsia" w:ascii="宋体" w:hAnsi="宋体" w:eastAsia="宋体" w:cs="宋体"/>
                <w:spacing w:val="-1"/>
                <w:sz w:val="21"/>
                <w:szCs w:val="21"/>
                <w:lang w:eastAsia="zh-CN"/>
              </w:rPr>
              <w:t>。</w:t>
            </w:r>
          </w:p>
        </w:tc>
        <w:tc>
          <w:tcPr>
            <w:tcW w:w="636" w:type="dxa"/>
            <w:tcBorders>
              <w:right w:val="single" w:color="000000" w:sz="10" w:space="0"/>
            </w:tcBorders>
            <w:vAlign w:val="top"/>
          </w:tcPr>
          <w:p w14:paraId="2BA2C666">
            <w:pPr>
              <w:pStyle w:val="104"/>
              <w:keepNext w:val="0"/>
              <w:keepLines w:val="0"/>
              <w:pageBreakBefore w:val="0"/>
              <w:widowControl w:val="0"/>
              <w:kinsoku/>
              <w:wordWrap/>
              <w:overflowPunct/>
              <w:topLinePunct w:val="0"/>
              <w:autoSpaceDE/>
              <w:autoSpaceDN/>
              <w:bidi w:val="0"/>
              <w:adjustRightInd/>
              <w:snapToGrid/>
              <w:spacing w:line="320" w:lineRule="exact"/>
              <w:textAlignment w:val="auto"/>
            </w:pPr>
          </w:p>
          <w:p w14:paraId="33DD459E">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ascii="宋体" w:hAnsi="宋体" w:eastAsia="宋体" w:cs="宋体"/>
                <w:sz w:val="21"/>
                <w:szCs w:val="21"/>
              </w:rPr>
            </w:pPr>
            <w:r>
              <w:rPr>
                <w:rFonts w:ascii="宋体" w:hAnsi="宋体" w:eastAsia="宋体" w:cs="宋体"/>
                <w:spacing w:val="-2"/>
                <w:sz w:val="21"/>
                <w:szCs w:val="21"/>
              </w:rPr>
              <w:t>合格</w:t>
            </w:r>
          </w:p>
        </w:tc>
      </w:tr>
      <w:tr w14:paraId="003DF6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4" w:hRule="atLeast"/>
          <w:jc w:val="center"/>
        </w:trPr>
        <w:tc>
          <w:tcPr>
            <w:tcW w:w="515" w:type="dxa"/>
            <w:tcBorders>
              <w:left w:val="single" w:color="000000" w:sz="10" w:space="0"/>
            </w:tcBorders>
            <w:vAlign w:val="top"/>
          </w:tcPr>
          <w:p w14:paraId="6B881106">
            <w:pPr>
              <w:pStyle w:val="104"/>
              <w:keepNext w:val="0"/>
              <w:keepLines w:val="0"/>
              <w:pageBreakBefore w:val="0"/>
              <w:widowControl w:val="0"/>
              <w:kinsoku/>
              <w:wordWrap/>
              <w:overflowPunct/>
              <w:topLinePunct w:val="0"/>
              <w:autoSpaceDE/>
              <w:autoSpaceDN/>
              <w:bidi w:val="0"/>
              <w:adjustRightInd/>
              <w:snapToGrid/>
              <w:spacing w:line="320" w:lineRule="exact"/>
              <w:textAlignment w:val="auto"/>
            </w:pPr>
          </w:p>
          <w:p w14:paraId="4C67F157">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ascii="宋体" w:hAnsi="宋体" w:eastAsia="宋体" w:cs="宋体"/>
                <w:sz w:val="21"/>
                <w:szCs w:val="21"/>
              </w:rPr>
            </w:pPr>
            <w:r>
              <w:rPr>
                <w:rFonts w:ascii="宋体" w:hAnsi="宋体" w:eastAsia="宋体" w:cs="宋体"/>
                <w:sz w:val="21"/>
                <w:szCs w:val="21"/>
              </w:rPr>
              <w:t>5</w:t>
            </w:r>
          </w:p>
        </w:tc>
        <w:tc>
          <w:tcPr>
            <w:tcW w:w="2551" w:type="dxa"/>
            <w:vAlign w:val="top"/>
          </w:tcPr>
          <w:p w14:paraId="0F8B8777">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ascii="宋体" w:hAnsi="宋体" w:eastAsia="宋体" w:cs="宋体"/>
                <w:sz w:val="21"/>
                <w:szCs w:val="21"/>
              </w:rPr>
            </w:pPr>
            <w:r>
              <w:rPr>
                <w:rFonts w:ascii="宋体" w:hAnsi="宋体" w:eastAsia="宋体" w:cs="宋体"/>
                <w:spacing w:val="-2"/>
                <w:sz w:val="21"/>
                <w:szCs w:val="21"/>
              </w:rPr>
              <w:t>防护屏障的形式及防护能力</w:t>
            </w:r>
          </w:p>
        </w:tc>
        <w:tc>
          <w:tcPr>
            <w:tcW w:w="5070" w:type="dxa"/>
            <w:vAlign w:val="top"/>
          </w:tcPr>
          <w:p w14:paraId="0E281C86">
            <w:pPr>
              <w:keepNext w:val="0"/>
              <w:keepLines w:val="0"/>
              <w:pageBreakBefore w:val="0"/>
              <w:widowControl w:val="0"/>
              <w:kinsoku/>
              <w:wordWrap/>
              <w:overflowPunct/>
              <w:topLinePunct w:val="0"/>
              <w:autoSpaceDE/>
              <w:autoSpaceDN/>
              <w:bidi w:val="0"/>
              <w:adjustRightInd/>
              <w:snapToGrid/>
              <w:spacing w:line="320" w:lineRule="exact"/>
              <w:ind w:left="0" w:leftChars="0" w:right="91" w:firstLine="0" w:firstLineChars="0"/>
              <w:jc w:val="both"/>
              <w:textAlignment w:val="auto"/>
              <w:rPr>
                <w:rFonts w:ascii="宋体" w:hAnsi="宋体" w:eastAsia="宋体" w:cs="宋体"/>
                <w:sz w:val="21"/>
                <w:szCs w:val="21"/>
              </w:rPr>
            </w:pPr>
            <w:r>
              <w:rPr>
                <w:rFonts w:hint="eastAsia" w:ascii="宋体" w:hAnsi="宋体" w:eastAsia="宋体" w:cs="宋体"/>
                <w:spacing w:val="-38"/>
                <w:sz w:val="21"/>
                <w:szCs w:val="21"/>
                <w:lang w:val="en-US" w:eastAsia="zh-CN"/>
              </w:rPr>
              <w:t>540</w:t>
            </w:r>
            <w:r>
              <w:rPr>
                <w:rFonts w:ascii="宋体" w:hAnsi="宋体" w:eastAsia="宋体" w:cs="宋体"/>
                <w:spacing w:val="-38"/>
                <w:sz w:val="21"/>
                <w:szCs w:val="21"/>
              </w:rPr>
              <w:t xml:space="preserve"> </w:t>
            </w:r>
            <w:r>
              <w:rPr>
                <w:rFonts w:ascii="宋体" w:hAnsi="宋体" w:eastAsia="宋体" w:cs="宋体"/>
                <w:spacing w:val="-8"/>
                <w:sz w:val="21"/>
                <w:szCs w:val="21"/>
              </w:rPr>
              <w:t>号</w:t>
            </w:r>
            <w:r>
              <w:rPr>
                <w:rFonts w:hint="eastAsia" w:ascii="宋体" w:hAnsi="宋体" w:eastAsia="宋体" w:cs="宋体"/>
                <w:spacing w:val="-8"/>
                <w:sz w:val="21"/>
                <w:szCs w:val="21"/>
                <w:lang w:val="en-US" w:eastAsia="zh-CN"/>
              </w:rPr>
              <w:t>和542号</w:t>
            </w:r>
            <w:r>
              <w:rPr>
                <w:rFonts w:ascii="宋体" w:hAnsi="宋体" w:eastAsia="宋体" w:cs="宋体"/>
                <w:spacing w:val="-8"/>
                <w:sz w:val="21"/>
                <w:szCs w:val="21"/>
              </w:rPr>
              <w:t>成品库为</w:t>
            </w:r>
            <w:r>
              <w:rPr>
                <w:rFonts w:ascii="宋体" w:hAnsi="宋体" w:eastAsia="宋体" w:cs="宋体"/>
                <w:spacing w:val="-29"/>
                <w:sz w:val="21"/>
                <w:szCs w:val="21"/>
              </w:rPr>
              <w:t xml:space="preserve"> </w:t>
            </w:r>
            <w:r>
              <w:rPr>
                <w:rFonts w:ascii="宋体" w:hAnsi="宋体" w:eastAsia="宋体" w:cs="宋体"/>
                <w:spacing w:val="-8"/>
                <w:sz w:val="21"/>
                <w:szCs w:val="21"/>
              </w:rPr>
              <w:t>1.3</w:t>
            </w:r>
            <w:r>
              <w:rPr>
                <w:rFonts w:ascii="宋体" w:hAnsi="宋体" w:eastAsia="宋体" w:cs="宋体"/>
                <w:spacing w:val="-43"/>
                <w:sz w:val="21"/>
                <w:szCs w:val="21"/>
              </w:rPr>
              <w:t xml:space="preserve"> </w:t>
            </w:r>
            <w:r>
              <w:rPr>
                <w:rFonts w:ascii="宋体" w:hAnsi="宋体" w:eastAsia="宋体" w:cs="宋体"/>
                <w:spacing w:val="-8"/>
                <w:sz w:val="21"/>
                <w:szCs w:val="21"/>
              </w:rPr>
              <w:t>级库房可不设防</w:t>
            </w:r>
            <w:r>
              <w:rPr>
                <w:rFonts w:ascii="宋体" w:hAnsi="宋体" w:eastAsia="宋体" w:cs="宋体"/>
                <w:spacing w:val="-3"/>
                <w:sz w:val="21"/>
                <w:szCs w:val="21"/>
              </w:rPr>
              <w:t>护屏障，</w:t>
            </w:r>
            <w:r>
              <w:rPr>
                <w:rFonts w:hint="eastAsia" w:ascii="宋体" w:hAnsi="宋体" w:eastAsia="宋体" w:cs="宋体"/>
                <w:spacing w:val="-3"/>
                <w:sz w:val="21"/>
                <w:szCs w:val="21"/>
                <w:lang w:val="en-US" w:eastAsia="zh-CN"/>
              </w:rPr>
              <w:t>545</w:t>
            </w:r>
            <w:r>
              <w:rPr>
                <w:rFonts w:ascii="宋体" w:hAnsi="宋体" w:eastAsia="宋体" w:cs="宋体"/>
                <w:spacing w:val="-3"/>
                <w:sz w:val="21"/>
                <w:szCs w:val="21"/>
              </w:rPr>
              <w:t>号成品库为</w:t>
            </w:r>
            <w:r>
              <w:rPr>
                <w:rFonts w:ascii="宋体" w:hAnsi="宋体" w:eastAsia="宋体" w:cs="宋体"/>
                <w:spacing w:val="-30"/>
                <w:sz w:val="21"/>
                <w:szCs w:val="21"/>
              </w:rPr>
              <w:t xml:space="preserve"> </w:t>
            </w:r>
            <w:r>
              <w:rPr>
                <w:rFonts w:ascii="宋体" w:hAnsi="宋体" w:eastAsia="宋体" w:cs="宋体"/>
                <w:spacing w:val="-3"/>
                <w:sz w:val="21"/>
                <w:szCs w:val="21"/>
              </w:rPr>
              <w:t>1.1</w:t>
            </w:r>
            <w:r>
              <w:rPr>
                <w:rFonts w:ascii="宋体" w:hAnsi="宋体" w:eastAsia="宋体" w:cs="宋体"/>
                <w:spacing w:val="-3"/>
                <w:position w:val="10"/>
                <w:sz w:val="11"/>
                <w:szCs w:val="11"/>
              </w:rPr>
              <w:t>-2</w:t>
            </w:r>
            <w:r>
              <w:rPr>
                <w:rFonts w:ascii="宋体" w:hAnsi="宋体" w:eastAsia="宋体" w:cs="宋体"/>
                <w:spacing w:val="-17"/>
                <w:position w:val="10"/>
                <w:sz w:val="11"/>
                <w:szCs w:val="11"/>
              </w:rPr>
              <w:t xml:space="preserve"> </w:t>
            </w:r>
            <w:r>
              <w:rPr>
                <w:rFonts w:ascii="宋体" w:hAnsi="宋体" w:eastAsia="宋体" w:cs="宋体"/>
                <w:spacing w:val="-3"/>
                <w:sz w:val="21"/>
                <w:szCs w:val="21"/>
              </w:rPr>
              <w:t>级库房设四</w:t>
            </w:r>
            <w:r>
              <w:rPr>
                <w:rFonts w:ascii="宋体" w:hAnsi="宋体" w:eastAsia="宋体" w:cs="宋体"/>
                <w:spacing w:val="-1"/>
                <w:sz w:val="21"/>
                <w:szCs w:val="21"/>
              </w:rPr>
              <w:t>面防护屏障。</w:t>
            </w:r>
          </w:p>
        </w:tc>
        <w:tc>
          <w:tcPr>
            <w:tcW w:w="636" w:type="dxa"/>
            <w:tcBorders>
              <w:right w:val="single" w:color="000000" w:sz="10" w:space="0"/>
            </w:tcBorders>
            <w:vAlign w:val="top"/>
          </w:tcPr>
          <w:p w14:paraId="575B0F0C">
            <w:pPr>
              <w:pStyle w:val="104"/>
              <w:keepNext w:val="0"/>
              <w:keepLines w:val="0"/>
              <w:pageBreakBefore w:val="0"/>
              <w:widowControl w:val="0"/>
              <w:kinsoku/>
              <w:wordWrap/>
              <w:overflowPunct/>
              <w:topLinePunct w:val="0"/>
              <w:autoSpaceDE/>
              <w:autoSpaceDN/>
              <w:bidi w:val="0"/>
              <w:adjustRightInd/>
              <w:snapToGrid/>
              <w:spacing w:line="320" w:lineRule="exact"/>
              <w:textAlignment w:val="auto"/>
            </w:pPr>
          </w:p>
          <w:p w14:paraId="23D2D296">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ascii="宋体" w:hAnsi="宋体" w:eastAsia="宋体" w:cs="宋体"/>
                <w:sz w:val="21"/>
                <w:szCs w:val="21"/>
              </w:rPr>
            </w:pPr>
            <w:r>
              <w:rPr>
                <w:rFonts w:ascii="宋体" w:hAnsi="宋体" w:eastAsia="宋体" w:cs="宋体"/>
                <w:spacing w:val="-2"/>
                <w:sz w:val="21"/>
                <w:szCs w:val="21"/>
              </w:rPr>
              <w:t>合格</w:t>
            </w:r>
          </w:p>
        </w:tc>
      </w:tr>
      <w:tr w14:paraId="35BB14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1" w:hRule="atLeast"/>
          <w:jc w:val="center"/>
        </w:trPr>
        <w:tc>
          <w:tcPr>
            <w:tcW w:w="515" w:type="dxa"/>
            <w:tcBorders>
              <w:left w:val="single" w:color="000000" w:sz="10" w:space="0"/>
            </w:tcBorders>
            <w:vAlign w:val="top"/>
          </w:tcPr>
          <w:p w14:paraId="744192E7">
            <w:pPr>
              <w:pStyle w:val="104"/>
              <w:keepNext w:val="0"/>
              <w:keepLines w:val="0"/>
              <w:pageBreakBefore w:val="0"/>
              <w:widowControl w:val="0"/>
              <w:kinsoku/>
              <w:wordWrap/>
              <w:overflowPunct/>
              <w:topLinePunct w:val="0"/>
              <w:autoSpaceDE/>
              <w:autoSpaceDN/>
              <w:bidi w:val="0"/>
              <w:adjustRightInd/>
              <w:snapToGrid/>
              <w:spacing w:line="320" w:lineRule="exact"/>
              <w:textAlignment w:val="auto"/>
            </w:pPr>
          </w:p>
          <w:p w14:paraId="770E6349">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ascii="宋体" w:hAnsi="宋体" w:eastAsia="宋体" w:cs="宋体"/>
                <w:sz w:val="21"/>
                <w:szCs w:val="21"/>
              </w:rPr>
            </w:pPr>
            <w:r>
              <w:rPr>
                <w:rFonts w:ascii="宋体" w:hAnsi="宋体" w:eastAsia="宋体" w:cs="宋体"/>
                <w:sz w:val="21"/>
                <w:szCs w:val="21"/>
              </w:rPr>
              <w:t>6</w:t>
            </w:r>
          </w:p>
        </w:tc>
        <w:tc>
          <w:tcPr>
            <w:tcW w:w="2551" w:type="dxa"/>
            <w:vAlign w:val="top"/>
          </w:tcPr>
          <w:p w14:paraId="2EEFF52E">
            <w:pPr>
              <w:pStyle w:val="104"/>
              <w:keepNext w:val="0"/>
              <w:keepLines w:val="0"/>
              <w:pageBreakBefore w:val="0"/>
              <w:widowControl w:val="0"/>
              <w:kinsoku/>
              <w:wordWrap/>
              <w:overflowPunct/>
              <w:topLinePunct w:val="0"/>
              <w:autoSpaceDE/>
              <w:autoSpaceDN/>
              <w:bidi w:val="0"/>
              <w:adjustRightInd/>
              <w:snapToGrid/>
              <w:spacing w:line="320" w:lineRule="exact"/>
              <w:textAlignment w:val="auto"/>
            </w:pPr>
          </w:p>
          <w:p w14:paraId="7EFF4A7E">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ascii="宋体" w:hAnsi="宋体" w:eastAsia="宋体" w:cs="宋体"/>
                <w:sz w:val="21"/>
                <w:szCs w:val="21"/>
              </w:rPr>
            </w:pPr>
            <w:r>
              <w:rPr>
                <w:rFonts w:ascii="宋体" w:hAnsi="宋体" w:eastAsia="宋体" w:cs="宋体"/>
                <w:spacing w:val="-7"/>
                <w:sz w:val="21"/>
                <w:szCs w:val="21"/>
              </w:rPr>
              <w:t>围墙</w:t>
            </w:r>
          </w:p>
        </w:tc>
        <w:tc>
          <w:tcPr>
            <w:tcW w:w="5070" w:type="dxa"/>
            <w:vAlign w:val="top"/>
          </w:tcPr>
          <w:p w14:paraId="6D2483CC">
            <w:pPr>
              <w:keepNext w:val="0"/>
              <w:keepLines w:val="0"/>
              <w:pageBreakBefore w:val="0"/>
              <w:widowControl w:val="0"/>
              <w:kinsoku/>
              <w:wordWrap/>
              <w:overflowPunct/>
              <w:topLinePunct w:val="0"/>
              <w:autoSpaceDE/>
              <w:autoSpaceDN/>
              <w:bidi w:val="0"/>
              <w:adjustRightInd/>
              <w:snapToGrid/>
              <w:spacing w:line="320" w:lineRule="exact"/>
              <w:ind w:left="0" w:leftChars="0" w:right="18" w:firstLine="0" w:firstLineChars="0"/>
              <w:textAlignment w:val="auto"/>
              <w:rPr>
                <w:rFonts w:ascii="宋体" w:hAnsi="宋体" w:eastAsia="宋体" w:cs="宋体"/>
                <w:sz w:val="21"/>
                <w:szCs w:val="21"/>
              </w:rPr>
            </w:pPr>
            <w:r>
              <w:rPr>
                <w:rFonts w:hint="eastAsia" w:ascii="宋体" w:hAnsi="宋体" w:eastAsia="宋体" w:cs="宋体"/>
                <w:spacing w:val="0"/>
                <w:sz w:val="21"/>
                <w:szCs w:val="21"/>
                <w:lang w:val="en-US" w:eastAsia="zh-CN"/>
              </w:rPr>
              <w:t>租赁仓库的库区设置在地势平缓处有 砌体围墙，部分陡峭地段利用高山及铁丝网作为围墙，能保证无外来人员出入。</w:t>
            </w:r>
          </w:p>
        </w:tc>
        <w:tc>
          <w:tcPr>
            <w:tcW w:w="636" w:type="dxa"/>
            <w:tcBorders>
              <w:right w:val="single" w:color="000000" w:sz="10" w:space="0"/>
            </w:tcBorders>
            <w:vAlign w:val="top"/>
          </w:tcPr>
          <w:p w14:paraId="1247D1DC">
            <w:pPr>
              <w:pStyle w:val="104"/>
              <w:keepNext w:val="0"/>
              <w:keepLines w:val="0"/>
              <w:pageBreakBefore w:val="0"/>
              <w:widowControl w:val="0"/>
              <w:kinsoku/>
              <w:wordWrap/>
              <w:overflowPunct/>
              <w:topLinePunct w:val="0"/>
              <w:autoSpaceDE/>
              <w:autoSpaceDN/>
              <w:bidi w:val="0"/>
              <w:adjustRightInd/>
              <w:snapToGrid/>
              <w:spacing w:line="320" w:lineRule="exact"/>
              <w:textAlignment w:val="auto"/>
            </w:pPr>
          </w:p>
          <w:p w14:paraId="36A11E20">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ascii="宋体" w:hAnsi="宋体" w:eastAsia="宋体" w:cs="宋体"/>
                <w:sz w:val="21"/>
                <w:szCs w:val="21"/>
              </w:rPr>
            </w:pPr>
            <w:r>
              <w:rPr>
                <w:rFonts w:ascii="宋体" w:hAnsi="宋体" w:eastAsia="宋体" w:cs="宋体"/>
                <w:spacing w:val="-2"/>
                <w:sz w:val="21"/>
                <w:szCs w:val="21"/>
              </w:rPr>
              <w:t>合格</w:t>
            </w:r>
          </w:p>
        </w:tc>
      </w:tr>
      <w:tr w14:paraId="23306C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jc w:val="center"/>
        </w:trPr>
        <w:tc>
          <w:tcPr>
            <w:tcW w:w="515" w:type="dxa"/>
            <w:tcBorders>
              <w:left w:val="single" w:color="000000" w:sz="10" w:space="0"/>
            </w:tcBorders>
            <w:vAlign w:val="top"/>
          </w:tcPr>
          <w:p w14:paraId="5B96021F">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ascii="宋体" w:hAnsi="宋体" w:eastAsia="宋体" w:cs="宋体"/>
                <w:sz w:val="21"/>
                <w:szCs w:val="21"/>
              </w:rPr>
            </w:pPr>
            <w:r>
              <w:rPr>
                <w:rFonts w:ascii="宋体" w:hAnsi="宋体" w:eastAsia="宋体" w:cs="宋体"/>
                <w:sz w:val="21"/>
                <w:szCs w:val="21"/>
              </w:rPr>
              <w:t>7</w:t>
            </w:r>
          </w:p>
        </w:tc>
        <w:tc>
          <w:tcPr>
            <w:tcW w:w="2551" w:type="dxa"/>
            <w:vAlign w:val="top"/>
          </w:tcPr>
          <w:p w14:paraId="2FB4BD40">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ascii="宋体" w:hAnsi="宋体" w:eastAsia="宋体" w:cs="宋体"/>
                <w:sz w:val="21"/>
                <w:szCs w:val="21"/>
              </w:rPr>
            </w:pPr>
            <w:r>
              <w:rPr>
                <w:rFonts w:ascii="宋体" w:hAnsi="宋体" w:eastAsia="宋体" w:cs="宋体"/>
                <w:spacing w:val="-3"/>
                <w:sz w:val="21"/>
                <w:szCs w:val="21"/>
              </w:rPr>
              <w:t>安全标识</w:t>
            </w:r>
          </w:p>
        </w:tc>
        <w:tc>
          <w:tcPr>
            <w:tcW w:w="5070" w:type="dxa"/>
            <w:vAlign w:val="top"/>
          </w:tcPr>
          <w:p w14:paraId="108CA0B4">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ascii="宋体" w:hAnsi="宋体" w:eastAsia="宋体" w:cs="宋体"/>
                <w:sz w:val="21"/>
                <w:szCs w:val="21"/>
              </w:rPr>
            </w:pPr>
            <w:r>
              <w:rPr>
                <w:rFonts w:hint="eastAsia" w:ascii="宋体" w:hAnsi="宋体" w:eastAsia="宋体" w:cs="宋体"/>
                <w:spacing w:val="0"/>
                <w:sz w:val="21"/>
                <w:szCs w:val="21"/>
                <w:lang w:val="en-US" w:eastAsia="zh-CN"/>
              </w:rPr>
              <w:t>检查时成品库门口墙上的安全标示牌未明确责任人，现已明确责任人，符合要求。</w:t>
            </w:r>
          </w:p>
        </w:tc>
        <w:tc>
          <w:tcPr>
            <w:tcW w:w="636" w:type="dxa"/>
            <w:tcBorders>
              <w:right w:val="single" w:color="000000" w:sz="10" w:space="0"/>
            </w:tcBorders>
            <w:vAlign w:val="top"/>
          </w:tcPr>
          <w:p w14:paraId="0A4F63BD">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ascii="宋体" w:hAnsi="宋体" w:eastAsia="宋体" w:cs="宋体"/>
                <w:sz w:val="21"/>
                <w:szCs w:val="21"/>
              </w:rPr>
            </w:pPr>
            <w:r>
              <w:rPr>
                <w:rFonts w:ascii="宋体" w:hAnsi="宋体" w:eastAsia="宋体" w:cs="宋体"/>
                <w:spacing w:val="-2"/>
                <w:sz w:val="21"/>
                <w:szCs w:val="21"/>
              </w:rPr>
              <w:t>合格</w:t>
            </w:r>
          </w:p>
        </w:tc>
      </w:tr>
      <w:tr w14:paraId="122A12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jc w:val="center"/>
        </w:trPr>
        <w:tc>
          <w:tcPr>
            <w:tcW w:w="515" w:type="dxa"/>
            <w:tcBorders>
              <w:left w:val="single" w:color="000000" w:sz="10" w:space="0"/>
            </w:tcBorders>
            <w:vAlign w:val="top"/>
          </w:tcPr>
          <w:p w14:paraId="674E59B7">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ascii="宋体" w:hAnsi="宋体" w:eastAsia="宋体" w:cs="宋体"/>
                <w:sz w:val="21"/>
                <w:szCs w:val="21"/>
              </w:rPr>
            </w:pPr>
            <w:r>
              <w:rPr>
                <w:rFonts w:ascii="宋体" w:hAnsi="宋体" w:eastAsia="宋体" w:cs="宋体"/>
                <w:sz w:val="21"/>
                <w:szCs w:val="21"/>
              </w:rPr>
              <w:t>8</w:t>
            </w:r>
          </w:p>
        </w:tc>
        <w:tc>
          <w:tcPr>
            <w:tcW w:w="2551" w:type="dxa"/>
            <w:vAlign w:val="top"/>
          </w:tcPr>
          <w:p w14:paraId="27927C97">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ascii="宋体" w:hAnsi="宋体" w:eastAsia="宋体" w:cs="宋体"/>
                <w:sz w:val="21"/>
                <w:szCs w:val="21"/>
              </w:rPr>
            </w:pPr>
            <w:r>
              <w:rPr>
                <w:rFonts w:ascii="宋体" w:hAnsi="宋体" w:eastAsia="宋体" w:cs="宋体"/>
                <w:spacing w:val="-1"/>
                <w:sz w:val="21"/>
                <w:szCs w:val="21"/>
              </w:rPr>
              <w:t>其它安全设施</w:t>
            </w:r>
          </w:p>
        </w:tc>
        <w:tc>
          <w:tcPr>
            <w:tcW w:w="5070" w:type="dxa"/>
            <w:vAlign w:val="top"/>
          </w:tcPr>
          <w:p w14:paraId="201B1182">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ascii="宋体" w:hAnsi="宋体" w:eastAsia="宋体" w:cs="宋体"/>
                <w:sz w:val="21"/>
                <w:szCs w:val="21"/>
              </w:rPr>
            </w:pPr>
            <w:r>
              <w:rPr>
                <w:rFonts w:hint="eastAsia" w:ascii="宋体" w:hAnsi="宋体" w:eastAsia="宋体" w:cs="宋体"/>
                <w:spacing w:val="0"/>
                <w:sz w:val="21"/>
                <w:szCs w:val="21"/>
                <w:lang w:val="en-US" w:eastAsia="zh-CN"/>
              </w:rPr>
              <w:t>库区值班人员均配备固定电话保持通 讯，应急救援组织配备有移动式电话。</w:t>
            </w:r>
          </w:p>
        </w:tc>
        <w:tc>
          <w:tcPr>
            <w:tcW w:w="636" w:type="dxa"/>
            <w:tcBorders>
              <w:right w:val="single" w:color="000000" w:sz="10" w:space="0"/>
            </w:tcBorders>
            <w:vAlign w:val="top"/>
          </w:tcPr>
          <w:p w14:paraId="72C37E94">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ascii="宋体" w:hAnsi="宋体" w:eastAsia="宋体" w:cs="宋体"/>
                <w:sz w:val="21"/>
                <w:szCs w:val="21"/>
              </w:rPr>
            </w:pPr>
            <w:r>
              <w:rPr>
                <w:rFonts w:ascii="宋体" w:hAnsi="宋体" w:eastAsia="宋体" w:cs="宋体"/>
                <w:spacing w:val="-2"/>
                <w:sz w:val="21"/>
                <w:szCs w:val="21"/>
              </w:rPr>
              <w:t>合格</w:t>
            </w:r>
          </w:p>
        </w:tc>
      </w:tr>
      <w:tr w14:paraId="0279D2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atLeast"/>
          <w:jc w:val="center"/>
        </w:trPr>
        <w:tc>
          <w:tcPr>
            <w:tcW w:w="3066" w:type="dxa"/>
            <w:gridSpan w:val="2"/>
            <w:tcBorders>
              <w:left w:val="single" w:color="000000" w:sz="10" w:space="0"/>
              <w:bottom w:val="single" w:color="000000" w:sz="10" w:space="0"/>
            </w:tcBorders>
            <w:vAlign w:val="top"/>
          </w:tcPr>
          <w:p w14:paraId="70424F36">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ascii="宋体" w:hAnsi="宋体" w:eastAsia="宋体" w:cs="宋体"/>
                <w:sz w:val="21"/>
                <w:szCs w:val="21"/>
              </w:rPr>
            </w:pPr>
            <w:r>
              <w:rPr>
                <w:rFonts w:ascii="宋体" w:hAnsi="宋体" w:eastAsia="宋体" w:cs="宋体"/>
                <w:spacing w:val="-1"/>
                <w:sz w:val="21"/>
                <w:szCs w:val="21"/>
              </w:rPr>
              <w:t>安全设施现场检查意见</w:t>
            </w:r>
          </w:p>
        </w:tc>
        <w:tc>
          <w:tcPr>
            <w:tcW w:w="5706" w:type="dxa"/>
            <w:gridSpan w:val="2"/>
            <w:tcBorders>
              <w:bottom w:val="single" w:color="000000" w:sz="10" w:space="0"/>
              <w:right w:val="single" w:color="000000" w:sz="10" w:space="0"/>
            </w:tcBorders>
            <w:vAlign w:val="top"/>
          </w:tcPr>
          <w:p w14:paraId="7717AFB9">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ascii="宋体" w:hAnsi="宋体" w:eastAsia="宋体" w:cs="宋体"/>
                <w:sz w:val="21"/>
                <w:szCs w:val="21"/>
              </w:rPr>
            </w:pPr>
            <w:r>
              <w:rPr>
                <w:rFonts w:ascii="宋体" w:hAnsi="宋体" w:eastAsia="宋体" w:cs="宋体"/>
                <w:spacing w:val="-3"/>
                <w:kern w:val="2"/>
                <w:sz w:val="21"/>
                <w:szCs w:val="21"/>
                <w:lang w:val="en-US" w:eastAsia="en-US" w:bidi="ar-SA"/>
              </w:rPr>
              <w:t>有1项不符合，复查时企业已按照整改要求整改到位，整改措施有效，符合安全条件</w:t>
            </w:r>
            <w:r>
              <w:rPr>
                <w:rFonts w:hint="eastAsia" w:ascii="宋体" w:hAnsi="宋体" w:eastAsia="宋体" w:cs="宋体"/>
                <w:spacing w:val="-3"/>
                <w:kern w:val="2"/>
                <w:sz w:val="21"/>
                <w:szCs w:val="21"/>
                <w:lang w:val="en-US" w:eastAsia="zh-CN" w:bidi="ar-SA"/>
              </w:rPr>
              <w:t>。</w:t>
            </w:r>
          </w:p>
        </w:tc>
      </w:tr>
    </w:tbl>
    <w:p w14:paraId="23125372">
      <w:pPr>
        <w:spacing w:before="140" w:line="220" w:lineRule="auto"/>
        <w:ind w:left="456"/>
        <w:rPr>
          <w:rFonts w:ascii="宋体" w:hAnsi="宋体" w:eastAsia="宋体" w:cs="宋体"/>
          <w:sz w:val="21"/>
          <w:szCs w:val="21"/>
        </w:rPr>
      </w:pPr>
      <w:r>
        <w:rPr>
          <w:rFonts w:ascii="宋体" w:hAnsi="宋体" w:eastAsia="宋体" w:cs="宋体"/>
          <w:sz w:val="21"/>
          <w:szCs w:val="21"/>
        </w:rPr>
        <w:t>注：1</w:t>
      </w:r>
      <w:r>
        <w:rPr>
          <w:rFonts w:hint="eastAsia" w:ascii="宋体" w:hAnsi="宋体" w:eastAsia="宋体" w:cs="宋体"/>
          <w:sz w:val="21"/>
          <w:szCs w:val="21"/>
          <w:lang w:val="en-US" w:eastAsia="zh-CN"/>
        </w:rPr>
        <w:t>.</w:t>
      </w:r>
      <w:r>
        <w:rPr>
          <w:rFonts w:ascii="宋体" w:hAnsi="宋体" w:eastAsia="宋体" w:cs="宋体"/>
          <w:sz w:val="21"/>
          <w:szCs w:val="21"/>
        </w:rPr>
        <w:t>本表所列的审核和检查项目，全部合格的，为符合</w:t>
      </w:r>
      <w:r>
        <w:rPr>
          <w:rFonts w:ascii="宋体" w:hAnsi="宋体" w:eastAsia="宋体" w:cs="宋体"/>
          <w:spacing w:val="-1"/>
          <w:sz w:val="21"/>
          <w:szCs w:val="21"/>
        </w:rPr>
        <w:t>安全条件；</w:t>
      </w:r>
    </w:p>
    <w:p w14:paraId="08126C21">
      <w:pPr>
        <w:spacing w:before="150" w:line="220" w:lineRule="auto"/>
        <w:ind w:left="459" w:firstLine="924" w:firstLineChars="400"/>
        <w:rPr>
          <w:rFonts w:hint="eastAsia" w:ascii="宋体" w:hAnsi="宋体" w:eastAsia="宋体" w:cs="宋体"/>
          <w:sz w:val="21"/>
          <w:szCs w:val="21"/>
          <w:lang w:eastAsia="zh-CN"/>
        </w:rPr>
      </w:pPr>
      <w:r>
        <w:rPr>
          <w:rFonts w:ascii="宋体" w:hAnsi="宋体" w:eastAsia="宋体" w:cs="宋体"/>
          <w:spacing w:val="-1"/>
          <w:sz w:val="21"/>
          <w:szCs w:val="21"/>
        </w:rPr>
        <w:t>2</w:t>
      </w:r>
      <w:r>
        <w:rPr>
          <w:rFonts w:hint="eastAsia" w:ascii="宋体" w:hAnsi="宋体" w:eastAsia="宋体" w:cs="宋体"/>
          <w:spacing w:val="-1"/>
          <w:sz w:val="21"/>
          <w:szCs w:val="21"/>
          <w:lang w:val="en-US" w:eastAsia="zh-CN"/>
        </w:rPr>
        <w:t>.</w:t>
      </w:r>
      <w:r>
        <w:rPr>
          <w:rFonts w:ascii="宋体" w:hAnsi="宋体" w:eastAsia="宋体" w:cs="宋体"/>
          <w:spacing w:val="-1"/>
          <w:sz w:val="21"/>
          <w:szCs w:val="21"/>
        </w:rPr>
        <w:t>本表所列的审核和检查项目，有一项不合格的，为不符合安全条件</w:t>
      </w:r>
      <w:r>
        <w:rPr>
          <w:rFonts w:hint="eastAsia" w:ascii="宋体" w:hAnsi="宋体" w:eastAsia="宋体" w:cs="宋体"/>
          <w:spacing w:val="-1"/>
          <w:sz w:val="21"/>
          <w:szCs w:val="21"/>
          <w:lang w:eastAsia="zh-CN"/>
        </w:rPr>
        <w:t>。</w:t>
      </w:r>
    </w:p>
    <w:p w14:paraId="301C9B11">
      <w:pPr>
        <w:pStyle w:val="3"/>
        <w:bidi w:val="0"/>
        <w:rPr>
          <w:rFonts w:hint="eastAsia"/>
        </w:rPr>
      </w:pPr>
      <w:bookmarkStart w:id="138" w:name="_Toc4461"/>
      <w:bookmarkStart w:id="139" w:name="_Toc9400"/>
      <w:r>
        <w:rPr>
          <w:rFonts w:hint="eastAsia"/>
        </w:rPr>
        <w:t>5.5 建筑结构与耐火等级</w:t>
      </w:r>
      <w:bookmarkEnd w:id="138"/>
      <w:bookmarkEnd w:id="139"/>
    </w:p>
    <w:p w14:paraId="42A1EDAC">
      <w:pPr>
        <w:spacing w:before="91" w:line="221" w:lineRule="auto"/>
        <w:ind w:left="517"/>
        <w:rPr>
          <w:rFonts w:ascii="宋体" w:hAnsi="宋体" w:eastAsia="宋体" w:cs="宋体"/>
          <w:sz w:val="28"/>
          <w:szCs w:val="28"/>
        </w:rPr>
      </w:pPr>
      <w:r>
        <w:rPr>
          <w:rFonts w:hint="eastAsia"/>
        </w:rPr>
        <w:t>根据《烟花爆竹工程设计安全标准》（GB50161-2022）中建筑结构及耐火等级要求，对该项目危险性建筑物的建筑结构与耐火等级</w:t>
      </w:r>
      <w:r>
        <w:rPr>
          <w:rFonts w:hint="eastAsia" w:eastAsia="宋体"/>
        </w:rPr>
        <w:t>进行评价，情况如下：</w:t>
      </w:r>
    </w:p>
    <w:p w14:paraId="218D2C50">
      <w:pPr>
        <w:bidi w:val="0"/>
        <w:rPr>
          <w:rFonts w:hint="eastAsia"/>
          <w:sz w:val="28"/>
          <w:szCs w:val="28"/>
        </w:rPr>
      </w:pPr>
      <w:r>
        <w:rPr>
          <w:sz w:val="28"/>
          <w:szCs w:val="28"/>
        </w:rPr>
        <w:t>表5.5-1</w:t>
      </w:r>
      <w:r>
        <w:rPr>
          <w:rFonts w:hint="eastAsia"/>
          <w:sz w:val="28"/>
          <w:szCs w:val="28"/>
          <w:lang w:val="en-US" w:eastAsia="zh-CN"/>
        </w:rPr>
        <w:t xml:space="preserve"> </w:t>
      </w:r>
      <w:r>
        <w:rPr>
          <w:sz w:val="28"/>
          <w:szCs w:val="28"/>
        </w:rPr>
        <w:t>危险性建筑物建筑结构与耐火等级符</w:t>
      </w:r>
      <w:r>
        <w:rPr>
          <w:spacing w:val="-1"/>
          <w:sz w:val="28"/>
          <w:szCs w:val="28"/>
        </w:rPr>
        <w:t>合性评价表</w:t>
      </w:r>
    </w:p>
    <w:tbl>
      <w:tblPr>
        <w:tblStyle w:val="42"/>
        <w:tblW w:w="0" w:type="auto"/>
        <w:tblInd w:w="1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1135"/>
        <w:gridCol w:w="1156"/>
        <w:gridCol w:w="731"/>
        <w:gridCol w:w="2553"/>
        <w:gridCol w:w="993"/>
        <w:gridCol w:w="938"/>
        <w:gridCol w:w="829"/>
      </w:tblGrid>
      <w:tr w14:paraId="153C5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Align w:val="center"/>
          </w:tcPr>
          <w:p w14:paraId="6AFB4BE0">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宋体" w:hAnsi="宋体" w:eastAsia="宋体" w:cs="宋体"/>
                <w:b/>
                <w:bCs/>
                <w:spacing w:val="-7"/>
                <w:sz w:val="21"/>
                <w:szCs w:val="21"/>
              </w:rPr>
            </w:pPr>
            <w:r>
              <w:rPr>
                <w:rFonts w:hint="eastAsia" w:ascii="宋体" w:hAnsi="宋体" w:eastAsia="宋体" w:cs="宋体"/>
                <w:b/>
                <w:bCs/>
                <w:spacing w:val="-7"/>
                <w:sz w:val="21"/>
                <w:szCs w:val="21"/>
              </w:rPr>
              <w:t>工房</w:t>
            </w:r>
          </w:p>
          <w:p w14:paraId="084F2CCB">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宋体" w:hAnsi="宋体" w:eastAsia="宋体" w:cs="宋体"/>
                <w:sz w:val="21"/>
                <w:szCs w:val="21"/>
                <w:vertAlign w:val="baseline"/>
              </w:rPr>
            </w:pPr>
            <w:r>
              <w:rPr>
                <w:rFonts w:hint="eastAsia" w:ascii="宋体" w:hAnsi="宋体" w:eastAsia="宋体" w:cs="宋体"/>
                <w:b/>
                <w:bCs/>
                <w:spacing w:val="-7"/>
                <w:sz w:val="21"/>
                <w:szCs w:val="21"/>
              </w:rPr>
              <w:t>编号</w:t>
            </w:r>
          </w:p>
        </w:tc>
        <w:tc>
          <w:tcPr>
            <w:tcW w:w="1135" w:type="dxa"/>
            <w:vAlign w:val="center"/>
          </w:tcPr>
          <w:p w14:paraId="02C644EE">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宋体" w:hAnsi="宋体" w:eastAsia="宋体" w:cs="宋体"/>
                <w:sz w:val="21"/>
                <w:szCs w:val="21"/>
                <w:vertAlign w:val="baseline"/>
              </w:rPr>
            </w:pPr>
            <w:r>
              <w:rPr>
                <w:rFonts w:hint="eastAsia" w:ascii="宋体" w:hAnsi="宋体" w:eastAsia="宋体" w:cs="宋体"/>
                <w:b/>
                <w:bCs/>
                <w:spacing w:val="-4"/>
                <w:sz w:val="21"/>
                <w:szCs w:val="21"/>
              </w:rPr>
              <w:t>工房用途</w:t>
            </w:r>
          </w:p>
        </w:tc>
        <w:tc>
          <w:tcPr>
            <w:tcW w:w="1156" w:type="dxa"/>
            <w:vAlign w:val="center"/>
          </w:tcPr>
          <w:p w14:paraId="21E1015B">
            <w:pPr>
              <w:pStyle w:val="104"/>
              <w:keepNext w:val="0"/>
              <w:keepLines w:val="0"/>
              <w:pageBreakBefore w:val="0"/>
              <w:widowControl w:val="0"/>
              <w:kinsoku/>
              <w:wordWrap/>
              <w:overflowPunct/>
              <w:topLinePunct w:val="0"/>
              <w:autoSpaceDE/>
              <w:autoSpaceDN/>
              <w:bidi w:val="0"/>
              <w:adjustRightInd/>
              <w:snapToGrid/>
              <w:spacing w:before="100" w:line="300" w:lineRule="exact"/>
              <w:ind w:left="0" w:leftChars="0" w:firstLine="0" w:firstLineChars="0"/>
              <w:jc w:val="left"/>
              <w:textAlignment w:val="auto"/>
              <w:rPr>
                <w:rFonts w:hint="eastAsia" w:ascii="宋体" w:hAnsi="宋体" w:eastAsia="宋体" w:cs="宋体"/>
                <w:sz w:val="21"/>
                <w:szCs w:val="21"/>
              </w:rPr>
            </w:pPr>
            <w:r>
              <w:rPr>
                <w:rFonts w:hint="eastAsia" w:ascii="宋体" w:hAnsi="宋体" w:eastAsia="宋体" w:cs="宋体"/>
                <w:b/>
                <w:bCs/>
                <w:spacing w:val="-4"/>
                <w:sz w:val="21"/>
                <w:szCs w:val="21"/>
              </w:rPr>
              <w:t>建筑面积</w:t>
            </w:r>
          </w:p>
          <w:p w14:paraId="4DB83AD3">
            <w:pPr>
              <w:keepNext w:val="0"/>
              <w:keepLines w:val="0"/>
              <w:pageBreakBefore w:val="0"/>
              <w:widowControl w:val="0"/>
              <w:kinsoku/>
              <w:wordWrap/>
              <w:overflowPunct/>
              <w:topLinePunct w:val="0"/>
              <w:autoSpaceDE/>
              <w:autoSpaceDN/>
              <w:bidi w:val="0"/>
              <w:adjustRightInd/>
              <w:snapToGrid/>
              <w:spacing w:line="300" w:lineRule="exact"/>
              <w:ind w:left="0" w:leftChars="0" w:firstLine="213" w:firstLineChars="100"/>
              <w:jc w:val="left"/>
              <w:textAlignment w:val="auto"/>
              <w:rPr>
                <w:rFonts w:hint="eastAsia" w:ascii="宋体" w:hAnsi="宋体" w:eastAsia="宋体" w:cs="宋体"/>
                <w:sz w:val="21"/>
                <w:szCs w:val="21"/>
                <w:vertAlign w:val="baseline"/>
              </w:rPr>
            </w:pPr>
            <w:r>
              <w:rPr>
                <w:rFonts w:hint="eastAsia" w:ascii="宋体" w:hAnsi="宋体" w:eastAsia="宋体" w:cs="宋体"/>
                <w:b/>
                <w:bCs/>
                <w:spacing w:val="-10"/>
                <w:sz w:val="21"/>
                <w:szCs w:val="21"/>
              </w:rPr>
              <w:t>(m²)</w:t>
            </w:r>
          </w:p>
        </w:tc>
        <w:tc>
          <w:tcPr>
            <w:tcW w:w="731" w:type="dxa"/>
            <w:vAlign w:val="center"/>
          </w:tcPr>
          <w:p w14:paraId="226A80FF">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宋体" w:hAnsi="宋体" w:eastAsia="宋体" w:cs="宋体"/>
                <w:b/>
                <w:bCs/>
                <w:spacing w:val="-7"/>
                <w:sz w:val="21"/>
                <w:szCs w:val="21"/>
              </w:rPr>
            </w:pPr>
            <w:r>
              <w:rPr>
                <w:rFonts w:hint="eastAsia" w:ascii="宋体" w:hAnsi="宋体" w:eastAsia="宋体" w:cs="宋体"/>
                <w:b/>
                <w:bCs/>
                <w:spacing w:val="-7"/>
                <w:sz w:val="21"/>
                <w:szCs w:val="21"/>
              </w:rPr>
              <w:t>危险</w:t>
            </w:r>
          </w:p>
          <w:p w14:paraId="01C56BA5">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宋体" w:hAnsi="宋体" w:eastAsia="宋体" w:cs="宋体"/>
                <w:sz w:val="21"/>
                <w:szCs w:val="21"/>
                <w:vertAlign w:val="baseline"/>
              </w:rPr>
            </w:pPr>
            <w:r>
              <w:rPr>
                <w:rFonts w:hint="eastAsia" w:ascii="宋体" w:hAnsi="宋体" w:eastAsia="宋体" w:cs="宋体"/>
                <w:b/>
                <w:bCs/>
                <w:spacing w:val="-7"/>
                <w:sz w:val="21"/>
                <w:szCs w:val="21"/>
              </w:rPr>
              <w:t>等级</w:t>
            </w:r>
          </w:p>
        </w:tc>
        <w:tc>
          <w:tcPr>
            <w:tcW w:w="2553" w:type="dxa"/>
            <w:vAlign w:val="center"/>
          </w:tcPr>
          <w:p w14:paraId="63DAC44C">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宋体" w:hAnsi="宋体" w:eastAsia="宋体" w:cs="宋体"/>
                <w:sz w:val="21"/>
                <w:szCs w:val="21"/>
                <w:vertAlign w:val="baseline"/>
              </w:rPr>
            </w:pPr>
            <w:r>
              <w:rPr>
                <w:rFonts w:hint="eastAsia" w:ascii="宋体" w:hAnsi="宋体" w:eastAsia="宋体" w:cs="宋体"/>
                <w:b/>
                <w:bCs/>
                <w:spacing w:val="-3"/>
                <w:sz w:val="21"/>
                <w:szCs w:val="21"/>
              </w:rPr>
              <w:t>建筑结构及屋盖形式</w:t>
            </w:r>
          </w:p>
        </w:tc>
        <w:tc>
          <w:tcPr>
            <w:tcW w:w="993" w:type="dxa"/>
            <w:vAlign w:val="center"/>
          </w:tcPr>
          <w:p w14:paraId="703D8D69">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宋体" w:hAnsi="宋体" w:eastAsia="宋体" w:cs="宋体"/>
                <w:sz w:val="21"/>
                <w:szCs w:val="21"/>
                <w:vertAlign w:val="baseline"/>
              </w:rPr>
            </w:pPr>
            <w:r>
              <w:rPr>
                <w:rFonts w:hint="eastAsia" w:ascii="宋体" w:hAnsi="宋体" w:eastAsia="宋体" w:cs="宋体"/>
                <w:b/>
                <w:bCs/>
                <w:spacing w:val="-7"/>
                <w:sz w:val="21"/>
                <w:szCs w:val="21"/>
              </w:rPr>
              <w:t>耐火等</w:t>
            </w:r>
            <w:r>
              <w:rPr>
                <w:rFonts w:hint="eastAsia" w:ascii="宋体" w:hAnsi="宋体" w:eastAsia="宋体" w:cs="宋体"/>
                <w:sz w:val="21"/>
                <w:szCs w:val="21"/>
              </w:rPr>
              <w:t xml:space="preserve"> </w:t>
            </w:r>
            <w:r>
              <w:rPr>
                <w:rFonts w:hint="eastAsia" w:ascii="宋体" w:hAnsi="宋体" w:eastAsia="宋体" w:cs="宋体"/>
                <w:b/>
                <w:bCs/>
                <w:spacing w:val="-8"/>
                <w:sz w:val="21"/>
                <w:szCs w:val="21"/>
              </w:rPr>
              <w:t>级要求</w:t>
            </w:r>
          </w:p>
        </w:tc>
        <w:tc>
          <w:tcPr>
            <w:tcW w:w="938" w:type="dxa"/>
            <w:vAlign w:val="center"/>
          </w:tcPr>
          <w:p w14:paraId="5BB79031">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宋体" w:hAnsi="宋体" w:eastAsia="宋体" w:cs="宋体"/>
                <w:b/>
                <w:bCs/>
                <w:spacing w:val="-7"/>
                <w:sz w:val="21"/>
                <w:szCs w:val="21"/>
              </w:rPr>
            </w:pPr>
            <w:r>
              <w:rPr>
                <w:rFonts w:hint="eastAsia" w:ascii="宋体" w:hAnsi="宋体" w:eastAsia="宋体" w:cs="宋体"/>
                <w:b/>
                <w:bCs/>
                <w:spacing w:val="-7"/>
                <w:sz w:val="21"/>
                <w:szCs w:val="21"/>
              </w:rPr>
              <w:t>耐火等</w:t>
            </w:r>
          </w:p>
          <w:p w14:paraId="194C13CD">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宋体" w:hAnsi="宋体" w:eastAsia="宋体" w:cs="宋体"/>
                <w:sz w:val="21"/>
                <w:szCs w:val="21"/>
                <w:vertAlign w:val="baseline"/>
              </w:rPr>
            </w:pPr>
            <w:r>
              <w:rPr>
                <w:rFonts w:hint="eastAsia" w:ascii="宋体" w:hAnsi="宋体" w:eastAsia="宋体" w:cs="宋体"/>
                <w:b/>
                <w:bCs/>
                <w:spacing w:val="-5"/>
                <w:sz w:val="21"/>
                <w:szCs w:val="21"/>
              </w:rPr>
              <w:t>级现状</w:t>
            </w:r>
          </w:p>
        </w:tc>
        <w:tc>
          <w:tcPr>
            <w:tcW w:w="829" w:type="dxa"/>
            <w:vAlign w:val="center"/>
          </w:tcPr>
          <w:p w14:paraId="1DA5A57E">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宋体" w:hAnsi="宋体" w:eastAsia="宋体" w:cs="宋体"/>
                <w:b/>
                <w:bCs/>
                <w:spacing w:val="-6"/>
                <w:sz w:val="21"/>
                <w:szCs w:val="21"/>
              </w:rPr>
            </w:pPr>
            <w:r>
              <w:rPr>
                <w:rFonts w:hint="eastAsia" w:ascii="宋体" w:hAnsi="宋体" w:eastAsia="宋体" w:cs="宋体"/>
                <w:b/>
                <w:bCs/>
                <w:spacing w:val="-6"/>
                <w:sz w:val="21"/>
                <w:szCs w:val="21"/>
              </w:rPr>
              <w:t>判定</w:t>
            </w:r>
          </w:p>
          <w:p w14:paraId="417976ED">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宋体" w:hAnsi="宋体" w:eastAsia="宋体" w:cs="宋体"/>
                <w:sz w:val="21"/>
                <w:szCs w:val="21"/>
                <w:vertAlign w:val="baseline"/>
              </w:rPr>
            </w:pPr>
            <w:r>
              <w:rPr>
                <w:rFonts w:hint="eastAsia" w:ascii="宋体" w:hAnsi="宋体" w:eastAsia="宋体" w:cs="宋体"/>
                <w:b/>
                <w:bCs/>
                <w:spacing w:val="-8"/>
                <w:sz w:val="21"/>
                <w:szCs w:val="21"/>
              </w:rPr>
              <w:t>结果</w:t>
            </w:r>
          </w:p>
        </w:tc>
      </w:tr>
      <w:tr w14:paraId="3FB4E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Align w:val="center"/>
          </w:tcPr>
          <w:p w14:paraId="77D11775">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宋体" w:hAnsi="宋体" w:eastAsia="宋体" w:cs="宋体"/>
                <w:sz w:val="21"/>
                <w:szCs w:val="21"/>
                <w:vertAlign w:val="baseline"/>
              </w:rPr>
            </w:pPr>
            <w:r>
              <w:rPr>
                <w:rFonts w:hint="eastAsia" w:ascii="宋体" w:hAnsi="宋体" w:eastAsia="宋体" w:cs="宋体"/>
                <w:spacing w:val="-3"/>
                <w:sz w:val="21"/>
                <w:szCs w:val="21"/>
              </w:rPr>
              <w:t>540</w:t>
            </w:r>
          </w:p>
        </w:tc>
        <w:tc>
          <w:tcPr>
            <w:tcW w:w="1135" w:type="dxa"/>
            <w:vAlign w:val="center"/>
          </w:tcPr>
          <w:p w14:paraId="475AA960">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宋体" w:hAnsi="宋体" w:eastAsia="宋体" w:cs="宋体"/>
                <w:sz w:val="21"/>
                <w:szCs w:val="21"/>
                <w:vertAlign w:val="baseline"/>
              </w:rPr>
            </w:pPr>
            <w:r>
              <w:rPr>
                <w:rFonts w:hint="eastAsia" w:ascii="宋体" w:hAnsi="宋体" w:eastAsia="宋体" w:cs="宋体"/>
                <w:spacing w:val="4"/>
                <w:sz w:val="21"/>
                <w:szCs w:val="21"/>
              </w:rPr>
              <w:t>成品库</w:t>
            </w:r>
          </w:p>
        </w:tc>
        <w:tc>
          <w:tcPr>
            <w:tcW w:w="1156" w:type="dxa"/>
            <w:vAlign w:val="center"/>
          </w:tcPr>
          <w:p w14:paraId="6AC74759">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宋体" w:hAnsi="宋体" w:eastAsia="宋体" w:cs="宋体"/>
                <w:sz w:val="21"/>
                <w:szCs w:val="21"/>
                <w:vertAlign w:val="baseline"/>
              </w:rPr>
            </w:pPr>
            <w:r>
              <w:rPr>
                <w:rFonts w:hint="eastAsia" w:ascii="宋体" w:hAnsi="宋体" w:eastAsia="宋体" w:cs="宋体"/>
                <w:spacing w:val="-2"/>
                <w:sz w:val="21"/>
                <w:szCs w:val="21"/>
              </w:rPr>
              <w:t>420</w:t>
            </w:r>
          </w:p>
        </w:tc>
        <w:tc>
          <w:tcPr>
            <w:tcW w:w="731" w:type="dxa"/>
            <w:vAlign w:val="center"/>
          </w:tcPr>
          <w:p w14:paraId="51BDBD11">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宋体" w:hAnsi="宋体" w:eastAsia="宋体" w:cs="宋体"/>
                <w:sz w:val="21"/>
                <w:szCs w:val="21"/>
                <w:vertAlign w:val="baseline"/>
              </w:rPr>
            </w:pPr>
            <w:r>
              <w:rPr>
                <w:rFonts w:hint="eastAsia" w:ascii="宋体" w:hAnsi="宋体" w:eastAsia="宋体" w:cs="宋体"/>
                <w:spacing w:val="-5"/>
                <w:sz w:val="21"/>
                <w:szCs w:val="21"/>
              </w:rPr>
              <w:t>1.3</w:t>
            </w:r>
          </w:p>
        </w:tc>
        <w:tc>
          <w:tcPr>
            <w:tcW w:w="2553" w:type="dxa"/>
            <w:vAlign w:val="center"/>
          </w:tcPr>
          <w:p w14:paraId="64140F14">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宋体" w:hAnsi="宋体" w:eastAsia="宋体" w:cs="宋体"/>
                <w:sz w:val="21"/>
                <w:szCs w:val="21"/>
                <w:vertAlign w:val="baseline"/>
              </w:rPr>
            </w:pPr>
            <w:r>
              <w:rPr>
                <w:rFonts w:hint="eastAsia" w:ascii="宋体" w:hAnsi="宋体" w:eastAsia="宋体" w:cs="宋体"/>
                <w:spacing w:val="-1"/>
                <w:sz w:val="21"/>
                <w:szCs w:val="21"/>
              </w:rPr>
              <w:t>钢筋混凝土框架结构、密实砌体墙、轻质泄压屋盖</w:t>
            </w:r>
          </w:p>
        </w:tc>
        <w:tc>
          <w:tcPr>
            <w:tcW w:w="993" w:type="dxa"/>
            <w:vAlign w:val="center"/>
          </w:tcPr>
          <w:p w14:paraId="0D65D3BF">
            <w:pPr>
              <w:keepNext w:val="0"/>
              <w:keepLines w:val="0"/>
              <w:pageBreakBefore w:val="0"/>
              <w:widowControl w:val="0"/>
              <w:kinsoku/>
              <w:wordWrap/>
              <w:overflowPunct/>
              <w:topLinePunct w:val="0"/>
              <w:autoSpaceDE/>
              <w:autoSpaceDN/>
              <w:bidi w:val="0"/>
              <w:adjustRightInd/>
              <w:snapToGrid/>
              <w:spacing w:line="300" w:lineRule="exact"/>
              <w:ind w:left="0" w:leftChars="0" w:firstLine="233" w:firstLineChars="10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二</w:t>
            </w:r>
          </w:p>
        </w:tc>
        <w:tc>
          <w:tcPr>
            <w:tcW w:w="938" w:type="dxa"/>
            <w:vAlign w:val="center"/>
          </w:tcPr>
          <w:p w14:paraId="561BD6A6">
            <w:pPr>
              <w:keepNext w:val="0"/>
              <w:keepLines w:val="0"/>
              <w:pageBreakBefore w:val="0"/>
              <w:widowControl w:val="0"/>
              <w:kinsoku/>
              <w:wordWrap/>
              <w:overflowPunct/>
              <w:topLinePunct w:val="0"/>
              <w:autoSpaceDE/>
              <w:autoSpaceDN/>
              <w:bidi w:val="0"/>
              <w:adjustRightInd/>
              <w:snapToGrid/>
              <w:spacing w:line="300" w:lineRule="exact"/>
              <w:ind w:left="0" w:leftChars="0" w:firstLine="233" w:firstLineChars="10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二</w:t>
            </w:r>
          </w:p>
        </w:tc>
        <w:tc>
          <w:tcPr>
            <w:tcW w:w="829" w:type="dxa"/>
            <w:vAlign w:val="center"/>
          </w:tcPr>
          <w:p w14:paraId="1D09F924">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合格</w:t>
            </w:r>
          </w:p>
        </w:tc>
      </w:tr>
      <w:tr w14:paraId="090D5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Align w:val="center"/>
          </w:tcPr>
          <w:p w14:paraId="5608C55F">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宋体" w:hAnsi="宋体" w:eastAsia="宋体" w:cs="宋体"/>
                <w:sz w:val="21"/>
                <w:szCs w:val="21"/>
                <w:vertAlign w:val="baseline"/>
              </w:rPr>
            </w:pPr>
            <w:r>
              <w:rPr>
                <w:rFonts w:hint="eastAsia" w:ascii="宋体" w:hAnsi="宋体" w:eastAsia="宋体" w:cs="宋体"/>
                <w:spacing w:val="-3"/>
                <w:sz w:val="21"/>
                <w:szCs w:val="21"/>
              </w:rPr>
              <w:t>542</w:t>
            </w:r>
          </w:p>
        </w:tc>
        <w:tc>
          <w:tcPr>
            <w:tcW w:w="1135" w:type="dxa"/>
            <w:vAlign w:val="center"/>
          </w:tcPr>
          <w:p w14:paraId="486A3BE6">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宋体" w:hAnsi="宋体" w:eastAsia="宋体" w:cs="宋体"/>
                <w:sz w:val="21"/>
                <w:szCs w:val="21"/>
                <w:vertAlign w:val="baseline"/>
              </w:rPr>
            </w:pPr>
            <w:r>
              <w:rPr>
                <w:rFonts w:hint="eastAsia" w:ascii="宋体" w:hAnsi="宋体" w:eastAsia="宋体" w:cs="宋体"/>
                <w:spacing w:val="4"/>
                <w:sz w:val="21"/>
                <w:szCs w:val="21"/>
              </w:rPr>
              <w:t>成品库</w:t>
            </w:r>
          </w:p>
        </w:tc>
        <w:tc>
          <w:tcPr>
            <w:tcW w:w="1156" w:type="dxa"/>
            <w:vAlign w:val="center"/>
          </w:tcPr>
          <w:p w14:paraId="4CE783F4">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宋体" w:hAnsi="宋体" w:eastAsia="宋体" w:cs="宋体"/>
                <w:sz w:val="21"/>
                <w:szCs w:val="21"/>
                <w:vertAlign w:val="baseline"/>
              </w:rPr>
            </w:pPr>
            <w:r>
              <w:rPr>
                <w:rFonts w:hint="eastAsia" w:ascii="宋体" w:hAnsi="宋体" w:eastAsia="宋体" w:cs="宋体"/>
                <w:spacing w:val="-3"/>
                <w:sz w:val="21"/>
                <w:szCs w:val="21"/>
              </w:rPr>
              <w:t>294</w:t>
            </w:r>
          </w:p>
        </w:tc>
        <w:tc>
          <w:tcPr>
            <w:tcW w:w="731" w:type="dxa"/>
            <w:vAlign w:val="center"/>
          </w:tcPr>
          <w:p w14:paraId="70F8E1DB">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宋体" w:hAnsi="宋体" w:eastAsia="宋体" w:cs="宋体"/>
                <w:sz w:val="21"/>
                <w:szCs w:val="21"/>
                <w:vertAlign w:val="baseline"/>
              </w:rPr>
            </w:pPr>
            <w:r>
              <w:rPr>
                <w:rFonts w:hint="eastAsia" w:ascii="宋体" w:hAnsi="宋体" w:eastAsia="宋体" w:cs="宋体"/>
                <w:spacing w:val="-5"/>
                <w:sz w:val="21"/>
                <w:szCs w:val="21"/>
              </w:rPr>
              <w:t>1.3</w:t>
            </w:r>
          </w:p>
        </w:tc>
        <w:tc>
          <w:tcPr>
            <w:tcW w:w="2553" w:type="dxa"/>
            <w:vAlign w:val="center"/>
          </w:tcPr>
          <w:p w14:paraId="63E647FF">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宋体" w:hAnsi="宋体" w:eastAsia="宋体" w:cs="宋体"/>
                <w:sz w:val="21"/>
                <w:szCs w:val="21"/>
                <w:vertAlign w:val="baseline"/>
              </w:rPr>
            </w:pPr>
            <w:r>
              <w:rPr>
                <w:rFonts w:hint="eastAsia" w:ascii="宋体" w:hAnsi="宋体" w:eastAsia="宋体" w:cs="宋体"/>
                <w:spacing w:val="-1"/>
                <w:sz w:val="21"/>
                <w:szCs w:val="21"/>
              </w:rPr>
              <w:t>钢筋混凝土框架结构、密实砌体墙、轻质泄压屋盖</w:t>
            </w:r>
          </w:p>
        </w:tc>
        <w:tc>
          <w:tcPr>
            <w:tcW w:w="993" w:type="dxa"/>
            <w:vAlign w:val="center"/>
          </w:tcPr>
          <w:p w14:paraId="0AD4192A">
            <w:pPr>
              <w:keepNext w:val="0"/>
              <w:keepLines w:val="0"/>
              <w:pageBreakBefore w:val="0"/>
              <w:widowControl w:val="0"/>
              <w:kinsoku/>
              <w:wordWrap/>
              <w:overflowPunct/>
              <w:topLinePunct w:val="0"/>
              <w:autoSpaceDE/>
              <w:autoSpaceDN/>
              <w:bidi w:val="0"/>
              <w:adjustRightInd/>
              <w:snapToGrid/>
              <w:spacing w:line="300" w:lineRule="exact"/>
              <w:ind w:left="0" w:leftChars="0" w:firstLine="233" w:firstLineChars="10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二</w:t>
            </w:r>
          </w:p>
        </w:tc>
        <w:tc>
          <w:tcPr>
            <w:tcW w:w="938" w:type="dxa"/>
            <w:vAlign w:val="center"/>
          </w:tcPr>
          <w:p w14:paraId="3472083D">
            <w:pPr>
              <w:keepNext w:val="0"/>
              <w:keepLines w:val="0"/>
              <w:pageBreakBefore w:val="0"/>
              <w:widowControl w:val="0"/>
              <w:kinsoku/>
              <w:wordWrap/>
              <w:overflowPunct/>
              <w:topLinePunct w:val="0"/>
              <w:autoSpaceDE/>
              <w:autoSpaceDN/>
              <w:bidi w:val="0"/>
              <w:adjustRightInd/>
              <w:snapToGrid/>
              <w:spacing w:line="300" w:lineRule="exact"/>
              <w:ind w:left="0" w:leftChars="0" w:firstLine="233" w:firstLineChars="10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二</w:t>
            </w:r>
          </w:p>
        </w:tc>
        <w:tc>
          <w:tcPr>
            <w:tcW w:w="829" w:type="dxa"/>
            <w:vAlign w:val="center"/>
          </w:tcPr>
          <w:p w14:paraId="5E8BCE88">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合格</w:t>
            </w:r>
          </w:p>
        </w:tc>
      </w:tr>
      <w:tr w14:paraId="2F7A8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Align w:val="center"/>
          </w:tcPr>
          <w:p w14:paraId="4FD17DDD">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宋体" w:hAnsi="宋体" w:eastAsia="宋体" w:cs="宋体"/>
                <w:sz w:val="21"/>
                <w:szCs w:val="21"/>
                <w:vertAlign w:val="baseline"/>
              </w:rPr>
            </w:pPr>
            <w:r>
              <w:rPr>
                <w:rFonts w:hint="eastAsia" w:ascii="宋体" w:hAnsi="宋体" w:eastAsia="宋体" w:cs="宋体"/>
                <w:spacing w:val="-3"/>
                <w:sz w:val="21"/>
                <w:szCs w:val="21"/>
              </w:rPr>
              <w:t>545</w:t>
            </w:r>
          </w:p>
        </w:tc>
        <w:tc>
          <w:tcPr>
            <w:tcW w:w="1135" w:type="dxa"/>
            <w:vAlign w:val="center"/>
          </w:tcPr>
          <w:p w14:paraId="25F80E87">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宋体" w:hAnsi="宋体" w:eastAsia="宋体" w:cs="宋体"/>
                <w:sz w:val="21"/>
                <w:szCs w:val="21"/>
                <w:vertAlign w:val="baseline"/>
              </w:rPr>
            </w:pPr>
            <w:r>
              <w:rPr>
                <w:rFonts w:hint="eastAsia" w:ascii="宋体" w:hAnsi="宋体" w:eastAsia="宋体" w:cs="宋体"/>
                <w:spacing w:val="4"/>
                <w:sz w:val="21"/>
                <w:szCs w:val="21"/>
              </w:rPr>
              <w:t>成品库</w:t>
            </w:r>
          </w:p>
        </w:tc>
        <w:tc>
          <w:tcPr>
            <w:tcW w:w="1156" w:type="dxa"/>
            <w:vAlign w:val="center"/>
          </w:tcPr>
          <w:p w14:paraId="281D5699">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宋体" w:hAnsi="宋体" w:eastAsia="宋体" w:cs="宋体"/>
                <w:sz w:val="21"/>
                <w:szCs w:val="21"/>
                <w:vertAlign w:val="baseline"/>
              </w:rPr>
            </w:pPr>
            <w:r>
              <w:rPr>
                <w:rFonts w:hint="eastAsia" w:ascii="宋体" w:hAnsi="宋体" w:eastAsia="宋体" w:cs="宋体"/>
                <w:spacing w:val="-3"/>
                <w:sz w:val="21"/>
                <w:szCs w:val="21"/>
              </w:rPr>
              <w:t>216</w:t>
            </w:r>
          </w:p>
        </w:tc>
        <w:tc>
          <w:tcPr>
            <w:tcW w:w="731" w:type="dxa"/>
            <w:vAlign w:val="center"/>
          </w:tcPr>
          <w:p w14:paraId="3CC7E2D0">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宋体" w:hAnsi="宋体" w:eastAsia="宋体" w:cs="宋体"/>
                <w:sz w:val="21"/>
                <w:szCs w:val="21"/>
                <w:vertAlign w:val="baseline"/>
                <w:lang w:val="en-US"/>
              </w:rPr>
            </w:pPr>
            <w:r>
              <w:rPr>
                <w:rFonts w:hint="eastAsia" w:ascii="宋体" w:hAnsi="宋体" w:eastAsia="宋体" w:cs="宋体"/>
                <w:spacing w:val="-5"/>
                <w:sz w:val="21"/>
                <w:szCs w:val="21"/>
              </w:rPr>
              <w:t>1.1</w:t>
            </w:r>
            <w:r>
              <w:rPr>
                <w:rFonts w:hint="eastAsia" w:ascii="宋体" w:hAnsi="宋体" w:eastAsia="宋体" w:cs="宋体"/>
                <w:spacing w:val="-5"/>
                <w:sz w:val="21"/>
                <w:szCs w:val="21"/>
                <w:vertAlign w:val="superscript"/>
                <w:lang w:val="en-US" w:eastAsia="zh-CN"/>
              </w:rPr>
              <w:t>-2</w:t>
            </w:r>
          </w:p>
        </w:tc>
        <w:tc>
          <w:tcPr>
            <w:tcW w:w="2553" w:type="dxa"/>
            <w:vAlign w:val="center"/>
          </w:tcPr>
          <w:p w14:paraId="072FEE6B">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宋体" w:hAnsi="宋体" w:eastAsia="宋体" w:cs="宋体"/>
                <w:sz w:val="21"/>
                <w:szCs w:val="21"/>
                <w:vertAlign w:val="baseline"/>
              </w:rPr>
            </w:pPr>
            <w:r>
              <w:rPr>
                <w:rFonts w:hint="eastAsia" w:ascii="宋体" w:hAnsi="宋体" w:eastAsia="宋体" w:cs="宋体"/>
                <w:spacing w:val="-1"/>
                <w:sz w:val="21"/>
                <w:szCs w:val="21"/>
              </w:rPr>
              <w:t>钢筋混凝土框架结构、密实砌体墙、轻质泄压屋盖</w:t>
            </w:r>
          </w:p>
        </w:tc>
        <w:tc>
          <w:tcPr>
            <w:tcW w:w="993" w:type="dxa"/>
            <w:vAlign w:val="center"/>
          </w:tcPr>
          <w:p w14:paraId="2FD0981E">
            <w:pPr>
              <w:keepNext w:val="0"/>
              <w:keepLines w:val="0"/>
              <w:pageBreakBefore w:val="0"/>
              <w:widowControl w:val="0"/>
              <w:kinsoku/>
              <w:wordWrap/>
              <w:overflowPunct/>
              <w:topLinePunct w:val="0"/>
              <w:autoSpaceDE/>
              <w:autoSpaceDN/>
              <w:bidi w:val="0"/>
              <w:adjustRightInd/>
              <w:snapToGrid/>
              <w:spacing w:line="300" w:lineRule="exact"/>
              <w:ind w:left="0" w:leftChars="0" w:firstLine="233" w:firstLineChars="10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二</w:t>
            </w:r>
          </w:p>
        </w:tc>
        <w:tc>
          <w:tcPr>
            <w:tcW w:w="938" w:type="dxa"/>
            <w:vAlign w:val="center"/>
          </w:tcPr>
          <w:p w14:paraId="6FA6CF5B">
            <w:pPr>
              <w:keepNext w:val="0"/>
              <w:keepLines w:val="0"/>
              <w:pageBreakBefore w:val="0"/>
              <w:widowControl w:val="0"/>
              <w:kinsoku/>
              <w:wordWrap/>
              <w:overflowPunct/>
              <w:topLinePunct w:val="0"/>
              <w:autoSpaceDE/>
              <w:autoSpaceDN/>
              <w:bidi w:val="0"/>
              <w:adjustRightInd/>
              <w:snapToGrid/>
              <w:spacing w:line="300" w:lineRule="exact"/>
              <w:ind w:left="0" w:leftChars="0" w:firstLine="233" w:firstLineChars="10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二</w:t>
            </w:r>
          </w:p>
        </w:tc>
        <w:tc>
          <w:tcPr>
            <w:tcW w:w="829" w:type="dxa"/>
            <w:vAlign w:val="center"/>
          </w:tcPr>
          <w:p w14:paraId="4327D167">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合格</w:t>
            </w:r>
          </w:p>
        </w:tc>
      </w:tr>
    </w:tbl>
    <w:p w14:paraId="34838EC3">
      <w:pPr>
        <w:spacing w:before="91" w:line="221" w:lineRule="auto"/>
        <w:ind w:left="0" w:leftChars="0" w:firstLine="602" w:firstLineChars="199"/>
        <w:rPr>
          <w:rFonts w:hint="eastAsia" w:eastAsia="宋体"/>
        </w:rPr>
      </w:pPr>
      <w:r>
        <w:rPr>
          <w:rFonts w:hint="eastAsia" w:eastAsia="宋体"/>
        </w:rPr>
        <w:t>结论：企业现有建筑的建筑结构与耐火等级安全性符合要求。</w:t>
      </w:r>
    </w:p>
    <w:p w14:paraId="490C531E">
      <w:pPr>
        <w:pStyle w:val="3"/>
        <w:bidi w:val="0"/>
        <w:ind w:left="0" w:leftChars="0" w:firstLine="0" w:firstLineChars="0"/>
        <w:rPr>
          <w:rFonts w:hint="eastAsia"/>
        </w:rPr>
      </w:pPr>
      <w:bookmarkStart w:id="140" w:name="_Toc19836"/>
      <w:bookmarkStart w:id="141" w:name="_Toc4703"/>
      <w:r>
        <w:rPr>
          <w:rFonts w:hint="eastAsia"/>
        </w:rPr>
        <w:t>5.6 危险性建筑物内外部距离</w:t>
      </w:r>
      <w:bookmarkEnd w:id="140"/>
      <w:bookmarkEnd w:id="141"/>
    </w:p>
    <w:p w14:paraId="19225684">
      <w:pPr>
        <w:pStyle w:val="4"/>
        <w:bidi w:val="0"/>
        <w:ind w:left="0" w:leftChars="0" w:firstLine="0" w:firstLineChars="0"/>
        <w:rPr>
          <w:rFonts w:hint="eastAsia"/>
        </w:rPr>
      </w:pPr>
      <w:bookmarkStart w:id="142" w:name="_Toc25657"/>
      <w:r>
        <w:rPr>
          <w:rFonts w:hint="eastAsia"/>
        </w:rPr>
        <w:t>5.6.1 内部距离</w:t>
      </w:r>
      <w:bookmarkEnd w:id="142"/>
    </w:p>
    <w:p w14:paraId="79F037EC">
      <w:pPr>
        <w:bidi w:val="0"/>
        <w:rPr>
          <w:rFonts w:hint="eastAsia" w:eastAsia="宋体"/>
          <w:lang w:eastAsia="zh-CN"/>
        </w:rPr>
      </w:pPr>
      <w:r>
        <w:rPr>
          <w:rFonts w:hint="eastAsia"/>
        </w:rPr>
        <w:t>根据《烟花爆竹工程设计安全标准》（GB50161-2022）内部最小允许距离对该项目危险性建筑物之间的内部距离进行评价，</w:t>
      </w:r>
      <w:r>
        <w:rPr>
          <w:rFonts w:hint="eastAsia"/>
          <w:lang w:val="en-US" w:eastAsia="zh-CN"/>
        </w:rPr>
        <w:t>见</w:t>
      </w:r>
      <w:r>
        <w:rPr>
          <w:rFonts w:hint="eastAsia"/>
        </w:rPr>
        <w:t>表</w:t>
      </w:r>
      <w:r>
        <w:rPr>
          <w:rFonts w:hint="eastAsia"/>
          <w:lang w:val="en-US" w:eastAsia="zh-CN"/>
        </w:rPr>
        <w:t>5</w:t>
      </w:r>
      <w:r>
        <w:rPr>
          <w:rFonts w:hint="eastAsia"/>
        </w:rPr>
        <w:t>.</w:t>
      </w:r>
      <w:r>
        <w:rPr>
          <w:rFonts w:hint="eastAsia"/>
          <w:lang w:val="en-US" w:eastAsia="zh-CN"/>
        </w:rPr>
        <w:t>6</w:t>
      </w:r>
      <w:r>
        <w:rPr>
          <w:rFonts w:hint="eastAsia"/>
        </w:rPr>
        <w:t>-1</w:t>
      </w:r>
      <w:r>
        <w:rPr>
          <w:rFonts w:hint="eastAsia"/>
          <w:lang w:eastAsia="zh-CN"/>
        </w:rPr>
        <w:t>。</w:t>
      </w:r>
    </w:p>
    <w:p w14:paraId="69B31038">
      <w:pPr>
        <w:bidi w:val="0"/>
        <w:rPr>
          <w:rFonts w:hint="eastAsia"/>
        </w:rPr>
      </w:pPr>
      <w:r>
        <w:rPr>
          <w:rFonts w:hint="eastAsia"/>
        </w:rPr>
        <w:t>表</w:t>
      </w:r>
      <w:r>
        <w:rPr>
          <w:rFonts w:hint="eastAsia"/>
          <w:lang w:val="en-US" w:eastAsia="zh-CN"/>
        </w:rPr>
        <w:t>5</w:t>
      </w:r>
      <w:r>
        <w:rPr>
          <w:rFonts w:hint="eastAsia"/>
        </w:rPr>
        <w:t>.</w:t>
      </w:r>
      <w:r>
        <w:rPr>
          <w:rFonts w:hint="eastAsia"/>
          <w:lang w:val="en-US" w:eastAsia="zh-CN"/>
        </w:rPr>
        <w:t>6</w:t>
      </w:r>
      <w:r>
        <w:rPr>
          <w:rFonts w:hint="eastAsia"/>
        </w:rPr>
        <w:t>-1</w:t>
      </w:r>
      <w:r>
        <w:rPr>
          <w:rFonts w:hint="eastAsia"/>
          <w:lang w:val="en-US" w:eastAsia="zh-CN"/>
        </w:rPr>
        <w:t xml:space="preserve"> </w:t>
      </w:r>
      <w:r>
        <w:rPr>
          <w:rFonts w:hint="eastAsia"/>
        </w:rPr>
        <w:t>该项目租赁的成品库与相邻仓库内部距离情况一览表</w:t>
      </w:r>
    </w:p>
    <w:tbl>
      <w:tblPr>
        <w:tblStyle w:val="105"/>
        <w:tblW w:w="8615" w:type="dxa"/>
        <w:tblInd w:w="1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48"/>
        <w:gridCol w:w="644"/>
        <w:gridCol w:w="1146"/>
        <w:gridCol w:w="1616"/>
        <w:gridCol w:w="655"/>
        <w:gridCol w:w="1179"/>
        <w:gridCol w:w="633"/>
        <w:gridCol w:w="665"/>
        <w:gridCol w:w="929"/>
      </w:tblGrid>
      <w:tr w14:paraId="08BE86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1" w:hRule="atLeast"/>
        </w:trPr>
        <w:tc>
          <w:tcPr>
            <w:tcW w:w="1148" w:type="dxa"/>
            <w:vAlign w:val="center"/>
          </w:tcPr>
          <w:p w14:paraId="10696F63">
            <w:pPr>
              <w:pStyle w:val="14"/>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eastAsia="宋体"/>
                <w:lang w:val="en-US" w:eastAsia="zh-CN"/>
              </w:rPr>
            </w:pPr>
            <w:r>
              <w:t>库房</w:t>
            </w:r>
            <w:r>
              <w:rPr>
                <w:rFonts w:hint="eastAsia"/>
                <w:lang w:val="en-US" w:eastAsia="zh-CN"/>
              </w:rPr>
              <w:t>名称</w:t>
            </w:r>
          </w:p>
        </w:tc>
        <w:tc>
          <w:tcPr>
            <w:tcW w:w="644" w:type="dxa"/>
            <w:vAlign w:val="center"/>
          </w:tcPr>
          <w:p w14:paraId="12DDCDE9">
            <w:pPr>
              <w:pStyle w:val="14"/>
              <w:keepNext w:val="0"/>
              <w:keepLines w:val="0"/>
              <w:pageBreakBefore w:val="0"/>
              <w:widowControl w:val="0"/>
              <w:kinsoku/>
              <w:wordWrap/>
              <w:overflowPunct/>
              <w:topLinePunct w:val="0"/>
              <w:autoSpaceDE/>
              <w:autoSpaceDN/>
              <w:bidi w:val="0"/>
              <w:adjustRightInd/>
              <w:snapToGrid/>
              <w:spacing w:line="280" w:lineRule="exact"/>
              <w:jc w:val="center"/>
              <w:textAlignment w:val="auto"/>
            </w:pPr>
            <w:r>
              <w:t>危险等级</w:t>
            </w:r>
          </w:p>
        </w:tc>
        <w:tc>
          <w:tcPr>
            <w:tcW w:w="1146" w:type="dxa"/>
            <w:vAlign w:val="center"/>
          </w:tcPr>
          <w:p w14:paraId="322F2DE5">
            <w:pPr>
              <w:pStyle w:val="14"/>
              <w:keepNext w:val="0"/>
              <w:keepLines w:val="0"/>
              <w:pageBreakBefore w:val="0"/>
              <w:widowControl w:val="0"/>
              <w:kinsoku/>
              <w:wordWrap/>
              <w:overflowPunct/>
              <w:topLinePunct w:val="0"/>
              <w:autoSpaceDE/>
              <w:autoSpaceDN/>
              <w:bidi w:val="0"/>
              <w:adjustRightInd/>
              <w:snapToGrid/>
              <w:spacing w:line="280" w:lineRule="exact"/>
              <w:jc w:val="center"/>
              <w:textAlignment w:val="auto"/>
            </w:pPr>
            <w:r>
              <w:t>药物限量</w:t>
            </w:r>
          </w:p>
          <w:p w14:paraId="2A14E5CE">
            <w:pPr>
              <w:pStyle w:val="14"/>
              <w:keepNext w:val="0"/>
              <w:keepLines w:val="0"/>
              <w:pageBreakBefore w:val="0"/>
              <w:widowControl w:val="0"/>
              <w:kinsoku/>
              <w:wordWrap/>
              <w:overflowPunct/>
              <w:topLinePunct w:val="0"/>
              <w:autoSpaceDE/>
              <w:autoSpaceDN/>
              <w:bidi w:val="0"/>
              <w:adjustRightInd/>
              <w:snapToGrid/>
              <w:spacing w:line="280" w:lineRule="exact"/>
              <w:jc w:val="center"/>
              <w:textAlignment w:val="auto"/>
            </w:pPr>
            <w:r>
              <w:t>(kg)</w:t>
            </w:r>
          </w:p>
        </w:tc>
        <w:tc>
          <w:tcPr>
            <w:tcW w:w="1616" w:type="dxa"/>
            <w:vAlign w:val="center"/>
          </w:tcPr>
          <w:p w14:paraId="1AD1FECA">
            <w:pPr>
              <w:pStyle w:val="14"/>
              <w:keepNext w:val="0"/>
              <w:keepLines w:val="0"/>
              <w:pageBreakBefore w:val="0"/>
              <w:widowControl w:val="0"/>
              <w:kinsoku/>
              <w:wordWrap/>
              <w:overflowPunct/>
              <w:topLinePunct w:val="0"/>
              <w:autoSpaceDE/>
              <w:autoSpaceDN/>
              <w:bidi w:val="0"/>
              <w:adjustRightInd/>
              <w:snapToGrid/>
              <w:spacing w:line="280" w:lineRule="exact"/>
              <w:jc w:val="center"/>
              <w:textAlignment w:val="auto"/>
            </w:pPr>
            <w:r>
              <w:t>相邻构筑物</w:t>
            </w:r>
          </w:p>
        </w:tc>
        <w:tc>
          <w:tcPr>
            <w:tcW w:w="655" w:type="dxa"/>
            <w:vAlign w:val="center"/>
          </w:tcPr>
          <w:p w14:paraId="386093AD">
            <w:pPr>
              <w:pStyle w:val="14"/>
              <w:keepNext w:val="0"/>
              <w:keepLines w:val="0"/>
              <w:pageBreakBefore w:val="0"/>
              <w:widowControl w:val="0"/>
              <w:kinsoku/>
              <w:wordWrap/>
              <w:overflowPunct/>
              <w:topLinePunct w:val="0"/>
              <w:autoSpaceDE/>
              <w:autoSpaceDN/>
              <w:bidi w:val="0"/>
              <w:adjustRightInd/>
              <w:snapToGrid/>
              <w:spacing w:line="280" w:lineRule="exact"/>
              <w:jc w:val="center"/>
              <w:textAlignment w:val="auto"/>
            </w:pPr>
            <w:r>
              <w:t>危险</w:t>
            </w:r>
          </w:p>
          <w:p w14:paraId="3BF35437">
            <w:pPr>
              <w:pStyle w:val="14"/>
              <w:keepNext w:val="0"/>
              <w:keepLines w:val="0"/>
              <w:pageBreakBefore w:val="0"/>
              <w:widowControl w:val="0"/>
              <w:kinsoku/>
              <w:wordWrap/>
              <w:overflowPunct/>
              <w:topLinePunct w:val="0"/>
              <w:autoSpaceDE/>
              <w:autoSpaceDN/>
              <w:bidi w:val="0"/>
              <w:adjustRightInd/>
              <w:snapToGrid/>
              <w:spacing w:line="280" w:lineRule="exact"/>
              <w:jc w:val="center"/>
              <w:textAlignment w:val="auto"/>
            </w:pPr>
            <w:r>
              <w:t>等级</w:t>
            </w:r>
          </w:p>
        </w:tc>
        <w:tc>
          <w:tcPr>
            <w:tcW w:w="1179" w:type="dxa"/>
            <w:vAlign w:val="center"/>
          </w:tcPr>
          <w:p w14:paraId="69FC1FAF">
            <w:pPr>
              <w:pStyle w:val="14"/>
              <w:keepNext w:val="0"/>
              <w:keepLines w:val="0"/>
              <w:pageBreakBefore w:val="0"/>
              <w:widowControl w:val="0"/>
              <w:kinsoku/>
              <w:wordWrap/>
              <w:overflowPunct/>
              <w:topLinePunct w:val="0"/>
              <w:autoSpaceDE/>
              <w:autoSpaceDN/>
              <w:bidi w:val="0"/>
              <w:adjustRightInd/>
              <w:snapToGrid/>
              <w:spacing w:line="280" w:lineRule="exact"/>
              <w:jc w:val="center"/>
              <w:textAlignment w:val="auto"/>
            </w:pPr>
            <w:r>
              <w:t>药物限量</w:t>
            </w:r>
          </w:p>
          <w:p w14:paraId="08CFEBC1">
            <w:pPr>
              <w:pStyle w:val="14"/>
              <w:keepNext w:val="0"/>
              <w:keepLines w:val="0"/>
              <w:pageBreakBefore w:val="0"/>
              <w:widowControl w:val="0"/>
              <w:kinsoku/>
              <w:wordWrap/>
              <w:overflowPunct/>
              <w:topLinePunct w:val="0"/>
              <w:autoSpaceDE/>
              <w:autoSpaceDN/>
              <w:bidi w:val="0"/>
              <w:adjustRightInd/>
              <w:snapToGrid/>
              <w:spacing w:line="280" w:lineRule="exact"/>
              <w:jc w:val="center"/>
              <w:textAlignment w:val="auto"/>
            </w:pPr>
            <w:r>
              <w:t>(kg)</w:t>
            </w:r>
          </w:p>
        </w:tc>
        <w:tc>
          <w:tcPr>
            <w:tcW w:w="633" w:type="dxa"/>
            <w:vAlign w:val="center"/>
          </w:tcPr>
          <w:p w14:paraId="491995CD">
            <w:pPr>
              <w:pStyle w:val="14"/>
              <w:keepNext w:val="0"/>
              <w:keepLines w:val="0"/>
              <w:pageBreakBefore w:val="0"/>
              <w:widowControl w:val="0"/>
              <w:kinsoku/>
              <w:wordWrap/>
              <w:overflowPunct/>
              <w:topLinePunct w:val="0"/>
              <w:autoSpaceDE/>
              <w:autoSpaceDN/>
              <w:bidi w:val="0"/>
              <w:adjustRightInd/>
              <w:snapToGrid/>
              <w:spacing w:line="280" w:lineRule="exact"/>
              <w:jc w:val="center"/>
              <w:textAlignment w:val="auto"/>
            </w:pPr>
            <w:r>
              <w:t>标准距离</w:t>
            </w:r>
          </w:p>
          <w:p w14:paraId="46FF85B2">
            <w:pPr>
              <w:pStyle w:val="14"/>
              <w:keepNext w:val="0"/>
              <w:keepLines w:val="0"/>
              <w:pageBreakBefore w:val="0"/>
              <w:widowControl w:val="0"/>
              <w:kinsoku/>
              <w:wordWrap/>
              <w:overflowPunct/>
              <w:topLinePunct w:val="0"/>
              <w:autoSpaceDE/>
              <w:autoSpaceDN/>
              <w:bidi w:val="0"/>
              <w:adjustRightInd/>
              <w:snapToGrid/>
              <w:spacing w:line="280" w:lineRule="exact"/>
              <w:jc w:val="center"/>
              <w:textAlignment w:val="auto"/>
            </w:pPr>
            <w:r>
              <w:t>(m)</w:t>
            </w:r>
          </w:p>
        </w:tc>
        <w:tc>
          <w:tcPr>
            <w:tcW w:w="665" w:type="dxa"/>
            <w:vAlign w:val="center"/>
          </w:tcPr>
          <w:p w14:paraId="16D23E9A">
            <w:pPr>
              <w:pStyle w:val="14"/>
              <w:keepNext w:val="0"/>
              <w:keepLines w:val="0"/>
              <w:pageBreakBefore w:val="0"/>
              <w:widowControl w:val="0"/>
              <w:kinsoku/>
              <w:wordWrap/>
              <w:overflowPunct/>
              <w:topLinePunct w:val="0"/>
              <w:autoSpaceDE/>
              <w:autoSpaceDN/>
              <w:bidi w:val="0"/>
              <w:adjustRightInd/>
              <w:snapToGrid/>
              <w:spacing w:line="280" w:lineRule="exact"/>
              <w:jc w:val="center"/>
              <w:textAlignment w:val="auto"/>
            </w:pPr>
            <w:r>
              <w:t>实际距离</w:t>
            </w:r>
          </w:p>
          <w:p w14:paraId="55D766B3">
            <w:pPr>
              <w:pStyle w:val="14"/>
              <w:keepNext w:val="0"/>
              <w:keepLines w:val="0"/>
              <w:pageBreakBefore w:val="0"/>
              <w:widowControl w:val="0"/>
              <w:kinsoku/>
              <w:wordWrap/>
              <w:overflowPunct/>
              <w:topLinePunct w:val="0"/>
              <w:autoSpaceDE/>
              <w:autoSpaceDN/>
              <w:bidi w:val="0"/>
              <w:adjustRightInd/>
              <w:snapToGrid/>
              <w:spacing w:line="280" w:lineRule="exact"/>
              <w:jc w:val="center"/>
              <w:textAlignment w:val="auto"/>
            </w:pPr>
            <w:r>
              <w:t>(m)</w:t>
            </w:r>
          </w:p>
        </w:tc>
        <w:tc>
          <w:tcPr>
            <w:tcW w:w="929" w:type="dxa"/>
            <w:vAlign w:val="center"/>
          </w:tcPr>
          <w:p w14:paraId="19863715">
            <w:pPr>
              <w:pStyle w:val="14"/>
              <w:keepNext w:val="0"/>
              <w:keepLines w:val="0"/>
              <w:pageBreakBefore w:val="0"/>
              <w:widowControl w:val="0"/>
              <w:kinsoku/>
              <w:wordWrap/>
              <w:overflowPunct/>
              <w:topLinePunct w:val="0"/>
              <w:autoSpaceDE/>
              <w:autoSpaceDN/>
              <w:bidi w:val="0"/>
              <w:adjustRightInd/>
              <w:snapToGrid/>
              <w:spacing w:line="280" w:lineRule="exact"/>
              <w:jc w:val="center"/>
              <w:textAlignment w:val="auto"/>
            </w:pPr>
            <w:r>
              <w:rPr>
                <w:rFonts w:ascii="宋体" w:hAnsi="宋体" w:eastAsia="宋体" w:cs="宋体"/>
                <w:spacing w:val="-2"/>
                <w:sz w:val="21"/>
                <w:szCs w:val="21"/>
              </w:rPr>
              <w:t>符合性</w:t>
            </w:r>
          </w:p>
        </w:tc>
      </w:tr>
      <w:tr w14:paraId="1A24F8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1148" w:type="dxa"/>
            <w:vMerge w:val="restart"/>
            <w:vAlign w:val="center"/>
          </w:tcPr>
          <w:p w14:paraId="60EDF268">
            <w:pPr>
              <w:pStyle w:val="14"/>
              <w:keepNext w:val="0"/>
              <w:keepLines w:val="0"/>
              <w:pageBreakBefore w:val="0"/>
              <w:widowControl w:val="0"/>
              <w:kinsoku/>
              <w:wordWrap/>
              <w:overflowPunct/>
              <w:topLinePunct w:val="0"/>
              <w:autoSpaceDE/>
              <w:autoSpaceDN/>
              <w:bidi w:val="0"/>
              <w:adjustRightInd/>
              <w:snapToGrid/>
              <w:spacing w:line="280" w:lineRule="exact"/>
              <w:jc w:val="center"/>
              <w:textAlignment w:val="auto"/>
            </w:pPr>
            <w:r>
              <w:t>540成品库</w:t>
            </w:r>
          </w:p>
        </w:tc>
        <w:tc>
          <w:tcPr>
            <w:tcW w:w="644" w:type="dxa"/>
            <w:vMerge w:val="restart"/>
            <w:vAlign w:val="center"/>
          </w:tcPr>
          <w:p w14:paraId="5783C09D">
            <w:pPr>
              <w:pStyle w:val="14"/>
              <w:keepNext w:val="0"/>
              <w:keepLines w:val="0"/>
              <w:pageBreakBefore w:val="0"/>
              <w:widowControl w:val="0"/>
              <w:kinsoku/>
              <w:wordWrap/>
              <w:overflowPunct/>
              <w:topLinePunct w:val="0"/>
              <w:autoSpaceDE/>
              <w:autoSpaceDN/>
              <w:bidi w:val="0"/>
              <w:adjustRightInd/>
              <w:snapToGrid/>
              <w:spacing w:line="280" w:lineRule="exact"/>
              <w:jc w:val="center"/>
              <w:textAlignment w:val="auto"/>
            </w:pPr>
            <w:r>
              <w:t>1.3</w:t>
            </w:r>
          </w:p>
        </w:tc>
        <w:tc>
          <w:tcPr>
            <w:tcW w:w="1146" w:type="dxa"/>
            <w:vAlign w:val="center"/>
          </w:tcPr>
          <w:p w14:paraId="733A9524">
            <w:pPr>
              <w:pStyle w:val="14"/>
              <w:keepNext w:val="0"/>
              <w:keepLines w:val="0"/>
              <w:pageBreakBefore w:val="0"/>
              <w:widowControl w:val="0"/>
              <w:kinsoku/>
              <w:wordWrap/>
              <w:overflowPunct/>
              <w:topLinePunct w:val="0"/>
              <w:autoSpaceDE/>
              <w:autoSpaceDN/>
              <w:bidi w:val="0"/>
              <w:adjustRightInd/>
              <w:snapToGrid/>
              <w:spacing w:line="280" w:lineRule="exact"/>
              <w:jc w:val="center"/>
              <w:textAlignment w:val="auto"/>
            </w:pPr>
            <w:r>
              <w:t>9000</w:t>
            </w:r>
          </w:p>
        </w:tc>
        <w:tc>
          <w:tcPr>
            <w:tcW w:w="1616" w:type="dxa"/>
            <w:vAlign w:val="center"/>
          </w:tcPr>
          <w:p w14:paraId="43982202">
            <w:pPr>
              <w:pStyle w:val="14"/>
              <w:keepNext w:val="0"/>
              <w:keepLines w:val="0"/>
              <w:pageBreakBefore w:val="0"/>
              <w:widowControl w:val="0"/>
              <w:kinsoku/>
              <w:wordWrap/>
              <w:overflowPunct/>
              <w:topLinePunct w:val="0"/>
              <w:autoSpaceDE/>
              <w:autoSpaceDN/>
              <w:bidi w:val="0"/>
              <w:adjustRightInd/>
              <w:snapToGrid/>
              <w:spacing w:line="280" w:lineRule="exact"/>
              <w:jc w:val="center"/>
              <w:textAlignment w:val="auto"/>
            </w:pPr>
            <w:r>
              <w:t>本库区537 号成品库</w:t>
            </w:r>
          </w:p>
        </w:tc>
        <w:tc>
          <w:tcPr>
            <w:tcW w:w="655" w:type="dxa"/>
            <w:vAlign w:val="center"/>
          </w:tcPr>
          <w:p w14:paraId="7664F153">
            <w:pPr>
              <w:pStyle w:val="14"/>
              <w:keepNext w:val="0"/>
              <w:keepLines w:val="0"/>
              <w:pageBreakBefore w:val="0"/>
              <w:widowControl w:val="0"/>
              <w:kinsoku/>
              <w:wordWrap/>
              <w:overflowPunct/>
              <w:topLinePunct w:val="0"/>
              <w:autoSpaceDE/>
              <w:autoSpaceDN/>
              <w:bidi w:val="0"/>
              <w:adjustRightInd/>
              <w:snapToGrid/>
              <w:spacing w:line="280" w:lineRule="exact"/>
              <w:jc w:val="center"/>
              <w:textAlignment w:val="auto"/>
            </w:pPr>
            <w:r>
              <w:t>1.3</w:t>
            </w:r>
          </w:p>
        </w:tc>
        <w:tc>
          <w:tcPr>
            <w:tcW w:w="1179" w:type="dxa"/>
            <w:vAlign w:val="center"/>
          </w:tcPr>
          <w:p w14:paraId="503CF134">
            <w:pPr>
              <w:pStyle w:val="14"/>
              <w:keepNext w:val="0"/>
              <w:keepLines w:val="0"/>
              <w:pageBreakBefore w:val="0"/>
              <w:widowControl w:val="0"/>
              <w:kinsoku/>
              <w:wordWrap/>
              <w:overflowPunct/>
              <w:topLinePunct w:val="0"/>
              <w:autoSpaceDE/>
              <w:autoSpaceDN/>
              <w:bidi w:val="0"/>
              <w:adjustRightInd/>
              <w:snapToGrid/>
              <w:spacing w:line="280" w:lineRule="exact"/>
              <w:jc w:val="center"/>
              <w:textAlignment w:val="auto"/>
            </w:pPr>
            <w:r>
              <w:t>9000</w:t>
            </w:r>
          </w:p>
        </w:tc>
        <w:tc>
          <w:tcPr>
            <w:tcW w:w="633" w:type="dxa"/>
            <w:vAlign w:val="center"/>
          </w:tcPr>
          <w:p w14:paraId="606CD2FD">
            <w:pPr>
              <w:pStyle w:val="14"/>
              <w:keepNext w:val="0"/>
              <w:keepLines w:val="0"/>
              <w:pageBreakBefore w:val="0"/>
              <w:widowControl w:val="0"/>
              <w:kinsoku/>
              <w:wordWrap/>
              <w:overflowPunct/>
              <w:topLinePunct w:val="0"/>
              <w:autoSpaceDE/>
              <w:autoSpaceDN/>
              <w:bidi w:val="0"/>
              <w:adjustRightInd/>
              <w:snapToGrid/>
              <w:spacing w:line="280" w:lineRule="exact"/>
              <w:jc w:val="center"/>
              <w:textAlignment w:val="auto"/>
            </w:pPr>
            <w:r>
              <w:t>30</w:t>
            </w:r>
          </w:p>
        </w:tc>
        <w:tc>
          <w:tcPr>
            <w:tcW w:w="665" w:type="dxa"/>
            <w:vAlign w:val="center"/>
          </w:tcPr>
          <w:p w14:paraId="63FB694E">
            <w:pPr>
              <w:pStyle w:val="14"/>
              <w:keepNext w:val="0"/>
              <w:keepLines w:val="0"/>
              <w:pageBreakBefore w:val="0"/>
              <w:widowControl w:val="0"/>
              <w:kinsoku/>
              <w:wordWrap/>
              <w:overflowPunct/>
              <w:topLinePunct w:val="0"/>
              <w:autoSpaceDE/>
              <w:autoSpaceDN/>
              <w:bidi w:val="0"/>
              <w:adjustRightInd/>
              <w:snapToGrid/>
              <w:spacing w:line="280" w:lineRule="exact"/>
              <w:jc w:val="center"/>
              <w:textAlignment w:val="auto"/>
            </w:pPr>
            <w:r>
              <w:t>45</w:t>
            </w:r>
          </w:p>
        </w:tc>
        <w:tc>
          <w:tcPr>
            <w:tcW w:w="929" w:type="dxa"/>
            <w:vAlign w:val="center"/>
          </w:tcPr>
          <w:p w14:paraId="723A8272">
            <w:pPr>
              <w:pStyle w:val="14"/>
              <w:keepNext w:val="0"/>
              <w:keepLines w:val="0"/>
              <w:pageBreakBefore w:val="0"/>
              <w:widowControl w:val="0"/>
              <w:kinsoku/>
              <w:wordWrap/>
              <w:overflowPunct/>
              <w:topLinePunct w:val="0"/>
              <w:autoSpaceDE/>
              <w:autoSpaceDN/>
              <w:bidi w:val="0"/>
              <w:adjustRightInd/>
              <w:snapToGrid/>
              <w:spacing w:line="280" w:lineRule="exact"/>
              <w:jc w:val="center"/>
              <w:textAlignment w:val="auto"/>
            </w:pPr>
            <w:r>
              <w:rPr>
                <w:rFonts w:ascii="宋体" w:hAnsi="宋体" w:eastAsia="宋体" w:cs="宋体"/>
                <w:spacing w:val="-2"/>
                <w:sz w:val="21"/>
                <w:szCs w:val="21"/>
              </w:rPr>
              <w:t>符合</w:t>
            </w:r>
          </w:p>
        </w:tc>
      </w:tr>
      <w:tr w14:paraId="68E1F8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1148" w:type="dxa"/>
            <w:vMerge w:val="continue"/>
            <w:vAlign w:val="center"/>
          </w:tcPr>
          <w:p w14:paraId="321C2885">
            <w:pPr>
              <w:pStyle w:val="14"/>
              <w:keepNext w:val="0"/>
              <w:keepLines w:val="0"/>
              <w:pageBreakBefore w:val="0"/>
              <w:widowControl w:val="0"/>
              <w:kinsoku/>
              <w:wordWrap/>
              <w:overflowPunct/>
              <w:topLinePunct w:val="0"/>
              <w:autoSpaceDE/>
              <w:autoSpaceDN/>
              <w:bidi w:val="0"/>
              <w:adjustRightInd/>
              <w:snapToGrid/>
              <w:spacing w:line="280" w:lineRule="exact"/>
              <w:jc w:val="center"/>
              <w:textAlignment w:val="auto"/>
            </w:pPr>
          </w:p>
        </w:tc>
        <w:tc>
          <w:tcPr>
            <w:tcW w:w="644" w:type="dxa"/>
            <w:vMerge w:val="continue"/>
            <w:vAlign w:val="center"/>
          </w:tcPr>
          <w:p w14:paraId="04ED7D2E">
            <w:pPr>
              <w:pStyle w:val="14"/>
              <w:keepNext w:val="0"/>
              <w:keepLines w:val="0"/>
              <w:pageBreakBefore w:val="0"/>
              <w:widowControl w:val="0"/>
              <w:kinsoku/>
              <w:wordWrap/>
              <w:overflowPunct/>
              <w:topLinePunct w:val="0"/>
              <w:autoSpaceDE/>
              <w:autoSpaceDN/>
              <w:bidi w:val="0"/>
              <w:adjustRightInd/>
              <w:snapToGrid/>
              <w:spacing w:line="280" w:lineRule="exact"/>
              <w:jc w:val="center"/>
              <w:textAlignment w:val="auto"/>
            </w:pPr>
          </w:p>
        </w:tc>
        <w:tc>
          <w:tcPr>
            <w:tcW w:w="1146" w:type="dxa"/>
            <w:vAlign w:val="center"/>
          </w:tcPr>
          <w:p w14:paraId="44DEAA1C">
            <w:pPr>
              <w:pStyle w:val="14"/>
              <w:keepNext w:val="0"/>
              <w:keepLines w:val="0"/>
              <w:pageBreakBefore w:val="0"/>
              <w:widowControl w:val="0"/>
              <w:kinsoku/>
              <w:wordWrap/>
              <w:overflowPunct/>
              <w:topLinePunct w:val="0"/>
              <w:autoSpaceDE/>
              <w:autoSpaceDN/>
              <w:bidi w:val="0"/>
              <w:adjustRightInd/>
              <w:snapToGrid/>
              <w:spacing w:line="280" w:lineRule="exact"/>
              <w:jc w:val="center"/>
              <w:textAlignment w:val="auto"/>
            </w:pPr>
            <w:r>
              <w:t>9000</w:t>
            </w:r>
          </w:p>
        </w:tc>
        <w:tc>
          <w:tcPr>
            <w:tcW w:w="1616" w:type="dxa"/>
            <w:vAlign w:val="center"/>
          </w:tcPr>
          <w:p w14:paraId="546375F2">
            <w:pPr>
              <w:pStyle w:val="14"/>
              <w:keepNext w:val="0"/>
              <w:keepLines w:val="0"/>
              <w:pageBreakBefore w:val="0"/>
              <w:widowControl w:val="0"/>
              <w:kinsoku/>
              <w:wordWrap/>
              <w:overflowPunct/>
              <w:topLinePunct w:val="0"/>
              <w:autoSpaceDE/>
              <w:autoSpaceDN/>
              <w:bidi w:val="0"/>
              <w:adjustRightInd/>
              <w:snapToGrid/>
              <w:spacing w:line="280" w:lineRule="exact"/>
              <w:jc w:val="center"/>
              <w:textAlignment w:val="auto"/>
            </w:pPr>
            <w:r>
              <w:t>本库区5</w:t>
            </w:r>
            <w:r>
              <w:rPr>
                <w:rFonts w:hint="eastAsia"/>
                <w:lang w:val="en-US" w:eastAsia="zh-CN"/>
              </w:rPr>
              <w:t>41</w:t>
            </w:r>
            <w:r>
              <w:t xml:space="preserve"> 号</w:t>
            </w:r>
            <w:r>
              <w:rPr>
                <w:rFonts w:hint="eastAsia"/>
                <w:lang w:val="en-US" w:eastAsia="zh-CN"/>
              </w:rPr>
              <w:t>纸箱</w:t>
            </w:r>
            <w:r>
              <w:t>库</w:t>
            </w:r>
          </w:p>
        </w:tc>
        <w:tc>
          <w:tcPr>
            <w:tcW w:w="655" w:type="dxa"/>
            <w:shd w:val="clear" w:color="auto" w:fill="auto"/>
            <w:vAlign w:val="center"/>
          </w:tcPr>
          <w:p w14:paraId="19D10879">
            <w:pPr>
              <w:pStyle w:val="14"/>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宋体" w:cs="Times New Roman"/>
                <w:kern w:val="2"/>
                <w:sz w:val="21"/>
                <w:szCs w:val="20"/>
                <w:lang w:val="en-US" w:eastAsia="en-US" w:bidi="ar-SA"/>
              </w:rPr>
            </w:pPr>
            <w:r>
              <w:rPr>
                <w:rFonts w:hint="eastAsia"/>
                <w:lang w:val="en-US" w:eastAsia="zh-CN"/>
              </w:rPr>
              <w:t>无药</w:t>
            </w:r>
          </w:p>
        </w:tc>
        <w:tc>
          <w:tcPr>
            <w:tcW w:w="1179" w:type="dxa"/>
            <w:shd w:val="clear" w:color="auto" w:fill="auto"/>
            <w:vAlign w:val="center"/>
          </w:tcPr>
          <w:p w14:paraId="167FC1A0">
            <w:pPr>
              <w:pStyle w:val="14"/>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ascii="Times New Roman" w:hAnsi="Times New Roman" w:eastAsia="宋体" w:cs="Times New Roman"/>
                <w:kern w:val="2"/>
                <w:sz w:val="21"/>
                <w:szCs w:val="20"/>
                <w:lang w:val="en-US" w:eastAsia="zh-CN" w:bidi="ar-SA"/>
              </w:rPr>
            </w:pPr>
            <w:r>
              <w:rPr>
                <w:rFonts w:hint="eastAsia"/>
                <w:lang w:val="en-US" w:eastAsia="zh-CN"/>
              </w:rPr>
              <w:t>/</w:t>
            </w:r>
          </w:p>
        </w:tc>
        <w:tc>
          <w:tcPr>
            <w:tcW w:w="633" w:type="dxa"/>
            <w:vAlign w:val="center"/>
          </w:tcPr>
          <w:p w14:paraId="58F0A641">
            <w:pPr>
              <w:pStyle w:val="14"/>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eastAsia="宋体"/>
                <w:lang w:val="en-US" w:eastAsia="zh-CN"/>
              </w:rPr>
            </w:pPr>
            <w:r>
              <w:rPr>
                <w:rFonts w:hint="eastAsia"/>
                <w:lang w:val="en-US" w:eastAsia="zh-CN"/>
              </w:rPr>
              <w:t>20</w:t>
            </w:r>
          </w:p>
        </w:tc>
        <w:tc>
          <w:tcPr>
            <w:tcW w:w="665" w:type="dxa"/>
            <w:vAlign w:val="center"/>
          </w:tcPr>
          <w:p w14:paraId="62785EDA">
            <w:pPr>
              <w:pStyle w:val="14"/>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eastAsia="宋体"/>
                <w:lang w:val="en-US" w:eastAsia="zh-CN"/>
              </w:rPr>
            </w:pPr>
            <w:r>
              <w:rPr>
                <w:rFonts w:hint="eastAsia"/>
                <w:lang w:val="en-US" w:eastAsia="zh-CN"/>
              </w:rPr>
              <w:t>24</w:t>
            </w:r>
          </w:p>
        </w:tc>
        <w:tc>
          <w:tcPr>
            <w:tcW w:w="929" w:type="dxa"/>
            <w:vAlign w:val="center"/>
          </w:tcPr>
          <w:p w14:paraId="2F5BEC63">
            <w:pPr>
              <w:pStyle w:val="14"/>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lang w:val="en-US" w:eastAsia="zh-CN"/>
              </w:rPr>
            </w:pPr>
            <w:r>
              <w:rPr>
                <w:rFonts w:ascii="宋体" w:hAnsi="宋体" w:eastAsia="宋体" w:cs="宋体"/>
                <w:spacing w:val="-2"/>
                <w:sz w:val="21"/>
                <w:szCs w:val="21"/>
              </w:rPr>
              <w:t>符合</w:t>
            </w:r>
          </w:p>
        </w:tc>
      </w:tr>
      <w:tr w14:paraId="018860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1148" w:type="dxa"/>
            <w:vMerge w:val="restart"/>
            <w:vAlign w:val="center"/>
          </w:tcPr>
          <w:p w14:paraId="598CE8CC">
            <w:pPr>
              <w:pStyle w:val="14"/>
              <w:keepNext w:val="0"/>
              <w:keepLines w:val="0"/>
              <w:pageBreakBefore w:val="0"/>
              <w:widowControl w:val="0"/>
              <w:kinsoku/>
              <w:wordWrap/>
              <w:overflowPunct/>
              <w:topLinePunct w:val="0"/>
              <w:autoSpaceDE/>
              <w:autoSpaceDN/>
              <w:bidi w:val="0"/>
              <w:adjustRightInd/>
              <w:snapToGrid/>
              <w:spacing w:line="280" w:lineRule="exact"/>
              <w:jc w:val="center"/>
              <w:textAlignment w:val="auto"/>
            </w:pPr>
            <w:r>
              <w:t>542成品库</w:t>
            </w:r>
          </w:p>
        </w:tc>
        <w:tc>
          <w:tcPr>
            <w:tcW w:w="644" w:type="dxa"/>
            <w:vMerge w:val="restart"/>
            <w:vAlign w:val="center"/>
          </w:tcPr>
          <w:p w14:paraId="1CA74F61">
            <w:pPr>
              <w:pStyle w:val="14"/>
              <w:keepNext w:val="0"/>
              <w:keepLines w:val="0"/>
              <w:pageBreakBefore w:val="0"/>
              <w:widowControl w:val="0"/>
              <w:kinsoku/>
              <w:wordWrap/>
              <w:overflowPunct/>
              <w:topLinePunct w:val="0"/>
              <w:autoSpaceDE/>
              <w:autoSpaceDN/>
              <w:bidi w:val="0"/>
              <w:adjustRightInd/>
              <w:snapToGrid/>
              <w:spacing w:line="280" w:lineRule="exact"/>
              <w:jc w:val="center"/>
              <w:textAlignment w:val="auto"/>
            </w:pPr>
            <w:r>
              <w:t>1.3</w:t>
            </w:r>
          </w:p>
        </w:tc>
        <w:tc>
          <w:tcPr>
            <w:tcW w:w="1146" w:type="dxa"/>
            <w:vMerge w:val="restart"/>
            <w:vAlign w:val="center"/>
          </w:tcPr>
          <w:p w14:paraId="2F0E6A2F">
            <w:pPr>
              <w:pStyle w:val="14"/>
              <w:keepNext w:val="0"/>
              <w:keepLines w:val="0"/>
              <w:pageBreakBefore w:val="0"/>
              <w:widowControl w:val="0"/>
              <w:kinsoku/>
              <w:wordWrap/>
              <w:overflowPunct/>
              <w:topLinePunct w:val="0"/>
              <w:autoSpaceDE/>
              <w:autoSpaceDN/>
              <w:bidi w:val="0"/>
              <w:adjustRightInd/>
              <w:snapToGrid/>
              <w:spacing w:line="280" w:lineRule="exact"/>
              <w:jc w:val="center"/>
              <w:textAlignment w:val="auto"/>
            </w:pPr>
            <w:r>
              <w:t>5000</w:t>
            </w:r>
          </w:p>
        </w:tc>
        <w:tc>
          <w:tcPr>
            <w:tcW w:w="1616" w:type="dxa"/>
            <w:vAlign w:val="center"/>
          </w:tcPr>
          <w:p w14:paraId="16888D51">
            <w:pPr>
              <w:pStyle w:val="14"/>
              <w:keepNext w:val="0"/>
              <w:keepLines w:val="0"/>
              <w:pageBreakBefore w:val="0"/>
              <w:widowControl w:val="0"/>
              <w:kinsoku/>
              <w:wordWrap/>
              <w:overflowPunct/>
              <w:topLinePunct w:val="0"/>
              <w:autoSpaceDE/>
              <w:autoSpaceDN/>
              <w:bidi w:val="0"/>
              <w:adjustRightInd/>
              <w:snapToGrid/>
              <w:spacing w:line="280" w:lineRule="exact"/>
              <w:jc w:val="center"/>
              <w:textAlignment w:val="auto"/>
            </w:pPr>
            <w:r>
              <w:t>本库区543 号成品库</w:t>
            </w:r>
          </w:p>
        </w:tc>
        <w:tc>
          <w:tcPr>
            <w:tcW w:w="655" w:type="dxa"/>
            <w:vAlign w:val="center"/>
          </w:tcPr>
          <w:p w14:paraId="20863AD3">
            <w:pPr>
              <w:pStyle w:val="14"/>
              <w:keepNext w:val="0"/>
              <w:keepLines w:val="0"/>
              <w:pageBreakBefore w:val="0"/>
              <w:widowControl w:val="0"/>
              <w:kinsoku/>
              <w:wordWrap/>
              <w:overflowPunct/>
              <w:topLinePunct w:val="0"/>
              <w:autoSpaceDE/>
              <w:autoSpaceDN/>
              <w:bidi w:val="0"/>
              <w:adjustRightInd/>
              <w:snapToGrid/>
              <w:spacing w:line="280" w:lineRule="exact"/>
              <w:jc w:val="center"/>
              <w:textAlignment w:val="auto"/>
            </w:pPr>
            <w:r>
              <w:t>1.3</w:t>
            </w:r>
          </w:p>
        </w:tc>
        <w:tc>
          <w:tcPr>
            <w:tcW w:w="1179" w:type="dxa"/>
            <w:vAlign w:val="center"/>
          </w:tcPr>
          <w:p w14:paraId="79D3B95E">
            <w:pPr>
              <w:pStyle w:val="14"/>
              <w:keepNext w:val="0"/>
              <w:keepLines w:val="0"/>
              <w:pageBreakBefore w:val="0"/>
              <w:widowControl w:val="0"/>
              <w:kinsoku/>
              <w:wordWrap/>
              <w:overflowPunct/>
              <w:topLinePunct w:val="0"/>
              <w:autoSpaceDE/>
              <w:autoSpaceDN/>
              <w:bidi w:val="0"/>
              <w:adjustRightInd/>
              <w:snapToGrid/>
              <w:spacing w:line="280" w:lineRule="exact"/>
              <w:jc w:val="center"/>
              <w:textAlignment w:val="auto"/>
            </w:pPr>
            <w:r>
              <w:t>1000</w:t>
            </w:r>
          </w:p>
        </w:tc>
        <w:tc>
          <w:tcPr>
            <w:tcW w:w="633" w:type="dxa"/>
            <w:vAlign w:val="center"/>
          </w:tcPr>
          <w:p w14:paraId="2B6737F3">
            <w:pPr>
              <w:pStyle w:val="14"/>
              <w:keepNext w:val="0"/>
              <w:keepLines w:val="0"/>
              <w:pageBreakBefore w:val="0"/>
              <w:widowControl w:val="0"/>
              <w:kinsoku/>
              <w:wordWrap/>
              <w:overflowPunct/>
              <w:topLinePunct w:val="0"/>
              <w:autoSpaceDE/>
              <w:autoSpaceDN/>
              <w:bidi w:val="0"/>
              <w:adjustRightInd/>
              <w:snapToGrid/>
              <w:spacing w:line="280" w:lineRule="exact"/>
              <w:jc w:val="center"/>
              <w:textAlignment w:val="auto"/>
            </w:pPr>
            <w:r>
              <w:t>25</w:t>
            </w:r>
          </w:p>
        </w:tc>
        <w:tc>
          <w:tcPr>
            <w:tcW w:w="665" w:type="dxa"/>
            <w:vAlign w:val="center"/>
          </w:tcPr>
          <w:p w14:paraId="14EB8876">
            <w:pPr>
              <w:pStyle w:val="14"/>
              <w:keepNext w:val="0"/>
              <w:keepLines w:val="0"/>
              <w:pageBreakBefore w:val="0"/>
              <w:widowControl w:val="0"/>
              <w:kinsoku/>
              <w:wordWrap/>
              <w:overflowPunct/>
              <w:topLinePunct w:val="0"/>
              <w:autoSpaceDE/>
              <w:autoSpaceDN/>
              <w:bidi w:val="0"/>
              <w:adjustRightInd/>
              <w:snapToGrid/>
              <w:spacing w:line="280" w:lineRule="exact"/>
              <w:jc w:val="center"/>
              <w:textAlignment w:val="auto"/>
            </w:pPr>
            <w:r>
              <w:t>25</w:t>
            </w:r>
          </w:p>
        </w:tc>
        <w:tc>
          <w:tcPr>
            <w:tcW w:w="929" w:type="dxa"/>
            <w:vAlign w:val="center"/>
          </w:tcPr>
          <w:p w14:paraId="2738BD4E">
            <w:pPr>
              <w:pStyle w:val="14"/>
              <w:keepNext w:val="0"/>
              <w:keepLines w:val="0"/>
              <w:pageBreakBefore w:val="0"/>
              <w:widowControl w:val="0"/>
              <w:kinsoku/>
              <w:wordWrap/>
              <w:overflowPunct/>
              <w:topLinePunct w:val="0"/>
              <w:autoSpaceDE/>
              <w:autoSpaceDN/>
              <w:bidi w:val="0"/>
              <w:adjustRightInd/>
              <w:snapToGrid/>
              <w:spacing w:line="280" w:lineRule="exact"/>
              <w:jc w:val="center"/>
              <w:textAlignment w:val="auto"/>
            </w:pPr>
            <w:r>
              <w:rPr>
                <w:rFonts w:ascii="宋体" w:hAnsi="宋体" w:eastAsia="宋体" w:cs="宋体"/>
                <w:spacing w:val="-2"/>
                <w:sz w:val="21"/>
                <w:szCs w:val="21"/>
              </w:rPr>
              <w:t>符合</w:t>
            </w:r>
          </w:p>
        </w:tc>
      </w:tr>
      <w:tr w14:paraId="169E6A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1148" w:type="dxa"/>
            <w:vMerge w:val="continue"/>
            <w:shd w:val="clear" w:color="auto" w:fill="auto"/>
            <w:vAlign w:val="center"/>
          </w:tcPr>
          <w:p w14:paraId="1AD9C808">
            <w:pPr>
              <w:pStyle w:val="14"/>
              <w:keepNext w:val="0"/>
              <w:keepLines w:val="0"/>
              <w:pageBreakBefore w:val="0"/>
              <w:widowControl w:val="0"/>
              <w:kinsoku/>
              <w:wordWrap/>
              <w:overflowPunct/>
              <w:topLinePunct w:val="0"/>
              <w:autoSpaceDE/>
              <w:autoSpaceDN/>
              <w:bidi w:val="0"/>
              <w:adjustRightInd/>
              <w:snapToGrid/>
              <w:spacing w:line="280" w:lineRule="exact"/>
              <w:jc w:val="center"/>
              <w:textAlignment w:val="auto"/>
              <w:rPr>
                <w:lang w:val="en-US" w:eastAsia="zh-CN"/>
              </w:rPr>
            </w:pPr>
          </w:p>
        </w:tc>
        <w:tc>
          <w:tcPr>
            <w:tcW w:w="644" w:type="dxa"/>
            <w:vMerge w:val="continue"/>
            <w:shd w:val="clear" w:color="auto" w:fill="auto"/>
            <w:vAlign w:val="center"/>
          </w:tcPr>
          <w:p w14:paraId="429C82C7">
            <w:pPr>
              <w:pStyle w:val="14"/>
              <w:keepNext w:val="0"/>
              <w:keepLines w:val="0"/>
              <w:pageBreakBefore w:val="0"/>
              <w:widowControl w:val="0"/>
              <w:kinsoku/>
              <w:wordWrap/>
              <w:overflowPunct/>
              <w:topLinePunct w:val="0"/>
              <w:autoSpaceDE/>
              <w:autoSpaceDN/>
              <w:bidi w:val="0"/>
              <w:adjustRightInd/>
              <w:snapToGrid/>
              <w:spacing w:line="280" w:lineRule="exact"/>
              <w:jc w:val="center"/>
              <w:textAlignment w:val="auto"/>
              <w:rPr>
                <w:lang w:val="en-US" w:eastAsia="zh-CN"/>
              </w:rPr>
            </w:pPr>
          </w:p>
        </w:tc>
        <w:tc>
          <w:tcPr>
            <w:tcW w:w="1146" w:type="dxa"/>
            <w:vMerge w:val="continue"/>
            <w:shd w:val="clear" w:color="auto" w:fill="auto"/>
            <w:vAlign w:val="center"/>
          </w:tcPr>
          <w:p w14:paraId="5F6519DB">
            <w:pPr>
              <w:pStyle w:val="14"/>
              <w:keepNext w:val="0"/>
              <w:keepLines w:val="0"/>
              <w:pageBreakBefore w:val="0"/>
              <w:widowControl w:val="0"/>
              <w:kinsoku/>
              <w:wordWrap/>
              <w:overflowPunct/>
              <w:topLinePunct w:val="0"/>
              <w:autoSpaceDE/>
              <w:autoSpaceDN/>
              <w:bidi w:val="0"/>
              <w:adjustRightInd/>
              <w:snapToGrid/>
              <w:spacing w:line="280" w:lineRule="exact"/>
              <w:jc w:val="center"/>
              <w:textAlignment w:val="auto"/>
              <w:rPr>
                <w:lang w:val="en-US" w:eastAsia="zh-CN"/>
              </w:rPr>
            </w:pPr>
          </w:p>
        </w:tc>
        <w:tc>
          <w:tcPr>
            <w:tcW w:w="1616" w:type="dxa"/>
            <w:shd w:val="clear" w:color="auto" w:fill="auto"/>
            <w:vAlign w:val="center"/>
          </w:tcPr>
          <w:p w14:paraId="23D8B4F6">
            <w:pPr>
              <w:pStyle w:val="14"/>
              <w:keepNext w:val="0"/>
              <w:keepLines w:val="0"/>
              <w:pageBreakBefore w:val="0"/>
              <w:widowControl w:val="0"/>
              <w:kinsoku/>
              <w:wordWrap/>
              <w:overflowPunct/>
              <w:topLinePunct w:val="0"/>
              <w:autoSpaceDE/>
              <w:autoSpaceDN/>
              <w:bidi w:val="0"/>
              <w:adjustRightInd/>
              <w:snapToGrid/>
              <w:spacing w:line="280" w:lineRule="exact"/>
              <w:jc w:val="center"/>
              <w:textAlignment w:val="auto"/>
              <w:rPr>
                <w:lang w:val="en-US" w:eastAsia="en-US"/>
              </w:rPr>
            </w:pPr>
            <w:r>
              <w:t>本库区53</w:t>
            </w:r>
            <w:r>
              <w:rPr>
                <w:rFonts w:hint="eastAsia"/>
                <w:lang w:val="en-US" w:eastAsia="zh-CN"/>
              </w:rPr>
              <w:t>8</w:t>
            </w:r>
            <w:r>
              <w:t xml:space="preserve"> 号</w:t>
            </w:r>
            <w:r>
              <w:rPr>
                <w:rFonts w:hint="eastAsia"/>
                <w:lang w:val="en-US" w:eastAsia="zh-CN"/>
              </w:rPr>
              <w:t>纸</w:t>
            </w:r>
            <w:r>
              <w:t>品库</w:t>
            </w:r>
          </w:p>
        </w:tc>
        <w:tc>
          <w:tcPr>
            <w:tcW w:w="655" w:type="dxa"/>
            <w:shd w:val="clear" w:color="auto" w:fill="auto"/>
            <w:vAlign w:val="center"/>
          </w:tcPr>
          <w:p w14:paraId="4E14EDDC">
            <w:pPr>
              <w:pStyle w:val="14"/>
              <w:keepNext w:val="0"/>
              <w:keepLines w:val="0"/>
              <w:pageBreakBefore w:val="0"/>
              <w:widowControl w:val="0"/>
              <w:kinsoku/>
              <w:wordWrap/>
              <w:overflowPunct/>
              <w:topLinePunct w:val="0"/>
              <w:autoSpaceDE/>
              <w:autoSpaceDN/>
              <w:bidi w:val="0"/>
              <w:adjustRightInd/>
              <w:snapToGrid/>
              <w:spacing w:line="280" w:lineRule="exact"/>
              <w:jc w:val="center"/>
              <w:textAlignment w:val="auto"/>
              <w:rPr>
                <w:lang w:val="en-US" w:eastAsia="en-US"/>
              </w:rPr>
            </w:pPr>
            <w:r>
              <w:rPr>
                <w:rFonts w:hint="eastAsia"/>
                <w:lang w:val="en-US" w:eastAsia="zh-CN"/>
              </w:rPr>
              <w:t>无药</w:t>
            </w:r>
          </w:p>
        </w:tc>
        <w:tc>
          <w:tcPr>
            <w:tcW w:w="1179" w:type="dxa"/>
            <w:shd w:val="clear" w:color="auto" w:fill="auto"/>
            <w:vAlign w:val="center"/>
          </w:tcPr>
          <w:p w14:paraId="76977166">
            <w:pPr>
              <w:pStyle w:val="14"/>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eastAsia="宋体"/>
                <w:lang w:val="en-US" w:eastAsia="zh-CN"/>
              </w:rPr>
            </w:pPr>
            <w:r>
              <w:rPr>
                <w:rFonts w:hint="eastAsia"/>
                <w:lang w:val="en-US" w:eastAsia="zh-CN"/>
              </w:rPr>
              <w:t>/</w:t>
            </w:r>
          </w:p>
        </w:tc>
        <w:tc>
          <w:tcPr>
            <w:tcW w:w="633" w:type="dxa"/>
            <w:shd w:val="clear" w:color="auto" w:fill="auto"/>
            <w:vAlign w:val="center"/>
          </w:tcPr>
          <w:p w14:paraId="188FA573">
            <w:pPr>
              <w:pStyle w:val="14"/>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eastAsia="宋体"/>
                <w:lang w:val="en-US" w:eastAsia="zh-CN"/>
              </w:rPr>
            </w:pPr>
            <w:r>
              <w:rPr>
                <w:rFonts w:hint="eastAsia"/>
                <w:lang w:val="en-US" w:eastAsia="zh-CN"/>
              </w:rPr>
              <w:t>20</w:t>
            </w:r>
          </w:p>
        </w:tc>
        <w:tc>
          <w:tcPr>
            <w:tcW w:w="665" w:type="dxa"/>
            <w:shd w:val="clear" w:color="auto" w:fill="auto"/>
            <w:vAlign w:val="center"/>
          </w:tcPr>
          <w:p w14:paraId="7EA54459">
            <w:pPr>
              <w:pStyle w:val="14"/>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eastAsia="宋体"/>
                <w:lang w:val="en-US" w:eastAsia="zh-CN"/>
              </w:rPr>
            </w:pPr>
            <w:r>
              <w:rPr>
                <w:rFonts w:hint="eastAsia"/>
                <w:lang w:val="en-US" w:eastAsia="zh-CN"/>
              </w:rPr>
              <w:t>37</w:t>
            </w:r>
          </w:p>
        </w:tc>
        <w:tc>
          <w:tcPr>
            <w:tcW w:w="929" w:type="dxa"/>
            <w:shd w:val="clear" w:color="auto" w:fill="auto"/>
            <w:vAlign w:val="center"/>
          </w:tcPr>
          <w:p w14:paraId="0DFD4EA2">
            <w:pPr>
              <w:pStyle w:val="14"/>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lang w:val="en-US" w:eastAsia="zh-CN"/>
              </w:rPr>
            </w:pPr>
            <w:r>
              <w:rPr>
                <w:rFonts w:ascii="宋体" w:hAnsi="宋体" w:eastAsia="宋体" w:cs="宋体"/>
                <w:spacing w:val="-2"/>
                <w:sz w:val="21"/>
                <w:szCs w:val="21"/>
              </w:rPr>
              <w:t>符合</w:t>
            </w:r>
          </w:p>
        </w:tc>
      </w:tr>
      <w:tr w14:paraId="4D2977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1148" w:type="dxa"/>
            <w:vMerge w:val="continue"/>
            <w:shd w:val="clear" w:color="auto" w:fill="auto"/>
            <w:vAlign w:val="center"/>
          </w:tcPr>
          <w:p w14:paraId="2CAC2B94">
            <w:pPr>
              <w:pStyle w:val="14"/>
              <w:keepNext w:val="0"/>
              <w:keepLines w:val="0"/>
              <w:pageBreakBefore w:val="0"/>
              <w:widowControl w:val="0"/>
              <w:kinsoku/>
              <w:wordWrap/>
              <w:overflowPunct/>
              <w:topLinePunct w:val="0"/>
              <w:autoSpaceDE/>
              <w:autoSpaceDN/>
              <w:bidi w:val="0"/>
              <w:adjustRightInd/>
              <w:snapToGrid/>
              <w:spacing w:line="280" w:lineRule="exact"/>
              <w:jc w:val="center"/>
              <w:textAlignment w:val="auto"/>
              <w:rPr>
                <w:lang w:val="en-US" w:eastAsia="zh-CN"/>
              </w:rPr>
            </w:pPr>
          </w:p>
        </w:tc>
        <w:tc>
          <w:tcPr>
            <w:tcW w:w="644" w:type="dxa"/>
            <w:vMerge w:val="continue"/>
            <w:shd w:val="clear" w:color="auto" w:fill="auto"/>
            <w:vAlign w:val="center"/>
          </w:tcPr>
          <w:p w14:paraId="7DDFA72C">
            <w:pPr>
              <w:pStyle w:val="14"/>
              <w:keepNext w:val="0"/>
              <w:keepLines w:val="0"/>
              <w:pageBreakBefore w:val="0"/>
              <w:widowControl w:val="0"/>
              <w:kinsoku/>
              <w:wordWrap/>
              <w:overflowPunct/>
              <w:topLinePunct w:val="0"/>
              <w:autoSpaceDE/>
              <w:autoSpaceDN/>
              <w:bidi w:val="0"/>
              <w:adjustRightInd/>
              <w:snapToGrid/>
              <w:spacing w:line="280" w:lineRule="exact"/>
              <w:jc w:val="center"/>
              <w:textAlignment w:val="auto"/>
              <w:rPr>
                <w:lang w:val="en-US" w:eastAsia="zh-CN"/>
              </w:rPr>
            </w:pPr>
          </w:p>
        </w:tc>
        <w:tc>
          <w:tcPr>
            <w:tcW w:w="1146" w:type="dxa"/>
            <w:vMerge w:val="continue"/>
            <w:shd w:val="clear" w:color="auto" w:fill="auto"/>
            <w:vAlign w:val="center"/>
          </w:tcPr>
          <w:p w14:paraId="72AE7ED9">
            <w:pPr>
              <w:pStyle w:val="14"/>
              <w:keepNext w:val="0"/>
              <w:keepLines w:val="0"/>
              <w:pageBreakBefore w:val="0"/>
              <w:widowControl w:val="0"/>
              <w:kinsoku/>
              <w:wordWrap/>
              <w:overflowPunct/>
              <w:topLinePunct w:val="0"/>
              <w:autoSpaceDE/>
              <w:autoSpaceDN/>
              <w:bidi w:val="0"/>
              <w:adjustRightInd/>
              <w:snapToGrid/>
              <w:spacing w:line="280" w:lineRule="exact"/>
              <w:jc w:val="center"/>
              <w:textAlignment w:val="auto"/>
              <w:rPr>
                <w:lang w:val="en-US" w:eastAsia="zh-CN"/>
              </w:rPr>
            </w:pPr>
          </w:p>
        </w:tc>
        <w:tc>
          <w:tcPr>
            <w:tcW w:w="1616" w:type="dxa"/>
            <w:shd w:val="clear" w:color="auto" w:fill="auto"/>
            <w:vAlign w:val="center"/>
          </w:tcPr>
          <w:p w14:paraId="4B4911B7">
            <w:pPr>
              <w:pStyle w:val="14"/>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宋体" w:cs="Times New Roman"/>
                <w:kern w:val="2"/>
                <w:sz w:val="21"/>
                <w:szCs w:val="20"/>
                <w:lang w:val="en-US" w:eastAsia="en-US" w:bidi="ar-SA"/>
              </w:rPr>
            </w:pPr>
            <w:r>
              <w:t>本库区539 号成品库</w:t>
            </w:r>
          </w:p>
        </w:tc>
        <w:tc>
          <w:tcPr>
            <w:tcW w:w="655" w:type="dxa"/>
            <w:shd w:val="clear" w:color="auto" w:fill="auto"/>
            <w:vAlign w:val="center"/>
          </w:tcPr>
          <w:p w14:paraId="353D69E6">
            <w:pPr>
              <w:pStyle w:val="14"/>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宋体" w:cs="Times New Roman"/>
                <w:kern w:val="2"/>
                <w:sz w:val="21"/>
                <w:szCs w:val="20"/>
                <w:lang w:val="en-US" w:eastAsia="en-US" w:bidi="ar-SA"/>
              </w:rPr>
            </w:pPr>
            <w:r>
              <w:t>1.3</w:t>
            </w:r>
          </w:p>
        </w:tc>
        <w:tc>
          <w:tcPr>
            <w:tcW w:w="1179" w:type="dxa"/>
            <w:shd w:val="clear" w:color="auto" w:fill="auto"/>
            <w:vAlign w:val="center"/>
          </w:tcPr>
          <w:p w14:paraId="228868A0">
            <w:pPr>
              <w:pStyle w:val="14"/>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宋体" w:cs="Times New Roman"/>
                <w:kern w:val="2"/>
                <w:sz w:val="21"/>
                <w:szCs w:val="20"/>
                <w:lang w:val="en-US" w:eastAsia="en-US" w:bidi="ar-SA"/>
              </w:rPr>
            </w:pPr>
            <w:r>
              <w:t>10000</w:t>
            </w:r>
          </w:p>
        </w:tc>
        <w:tc>
          <w:tcPr>
            <w:tcW w:w="633" w:type="dxa"/>
            <w:shd w:val="clear" w:color="auto" w:fill="auto"/>
            <w:vAlign w:val="center"/>
          </w:tcPr>
          <w:p w14:paraId="224050D4">
            <w:pPr>
              <w:pStyle w:val="14"/>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宋体" w:cs="Times New Roman"/>
                <w:kern w:val="2"/>
                <w:sz w:val="21"/>
                <w:szCs w:val="20"/>
                <w:lang w:val="en-US" w:eastAsia="en-US" w:bidi="ar-SA"/>
              </w:rPr>
            </w:pPr>
            <w:r>
              <w:t>30</w:t>
            </w:r>
          </w:p>
        </w:tc>
        <w:tc>
          <w:tcPr>
            <w:tcW w:w="665" w:type="dxa"/>
            <w:shd w:val="clear" w:color="auto" w:fill="auto"/>
            <w:vAlign w:val="center"/>
          </w:tcPr>
          <w:p w14:paraId="74492A1A">
            <w:pPr>
              <w:pStyle w:val="14"/>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ascii="Times New Roman" w:hAnsi="Times New Roman" w:eastAsia="宋体" w:cs="Times New Roman"/>
                <w:kern w:val="2"/>
                <w:sz w:val="21"/>
                <w:szCs w:val="20"/>
                <w:lang w:val="en-US" w:eastAsia="en-US" w:bidi="ar-SA"/>
              </w:rPr>
            </w:pPr>
            <w:r>
              <w:t>43</w:t>
            </w:r>
          </w:p>
        </w:tc>
        <w:tc>
          <w:tcPr>
            <w:tcW w:w="929" w:type="dxa"/>
            <w:shd w:val="clear" w:color="auto" w:fill="auto"/>
            <w:vAlign w:val="center"/>
          </w:tcPr>
          <w:p w14:paraId="12E9C07F">
            <w:pPr>
              <w:pStyle w:val="14"/>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pPr>
            <w:r>
              <w:rPr>
                <w:rFonts w:ascii="宋体" w:hAnsi="宋体" w:eastAsia="宋体" w:cs="宋体"/>
                <w:spacing w:val="-2"/>
                <w:sz w:val="21"/>
                <w:szCs w:val="21"/>
              </w:rPr>
              <w:t>符合</w:t>
            </w:r>
          </w:p>
        </w:tc>
      </w:tr>
      <w:tr w14:paraId="68277E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1148" w:type="dxa"/>
            <w:shd w:val="clear" w:color="auto" w:fill="auto"/>
            <w:vAlign w:val="center"/>
          </w:tcPr>
          <w:p w14:paraId="36D7FB92">
            <w:pPr>
              <w:pStyle w:val="14"/>
              <w:keepNext w:val="0"/>
              <w:keepLines w:val="0"/>
              <w:pageBreakBefore w:val="0"/>
              <w:widowControl w:val="0"/>
              <w:kinsoku/>
              <w:wordWrap/>
              <w:overflowPunct/>
              <w:topLinePunct w:val="0"/>
              <w:autoSpaceDE/>
              <w:autoSpaceDN/>
              <w:bidi w:val="0"/>
              <w:adjustRightInd/>
              <w:snapToGrid/>
              <w:spacing w:line="280" w:lineRule="exact"/>
              <w:jc w:val="center"/>
              <w:textAlignment w:val="auto"/>
              <w:rPr>
                <w:lang w:val="en-US" w:eastAsia="en-US"/>
              </w:rPr>
            </w:pPr>
            <w:r>
              <w:t>成品库</w:t>
            </w:r>
          </w:p>
        </w:tc>
        <w:tc>
          <w:tcPr>
            <w:tcW w:w="644" w:type="dxa"/>
            <w:shd w:val="clear" w:color="auto" w:fill="auto"/>
            <w:vAlign w:val="center"/>
          </w:tcPr>
          <w:p w14:paraId="3B9D2855">
            <w:pPr>
              <w:pStyle w:val="14"/>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lang w:val="en-US" w:eastAsia="en-US"/>
              </w:rPr>
            </w:pPr>
            <w:r>
              <w:t>1.1</w:t>
            </w:r>
            <w:r>
              <w:rPr>
                <w:rFonts w:hint="eastAsia"/>
                <w:vertAlign w:val="superscript"/>
                <w:lang w:val="en-US" w:eastAsia="zh-CN"/>
              </w:rPr>
              <w:t>-2</w:t>
            </w:r>
          </w:p>
        </w:tc>
        <w:tc>
          <w:tcPr>
            <w:tcW w:w="1146" w:type="dxa"/>
            <w:shd w:val="clear" w:color="auto" w:fill="auto"/>
            <w:vAlign w:val="center"/>
          </w:tcPr>
          <w:p w14:paraId="7C7EBA2C">
            <w:pPr>
              <w:pStyle w:val="14"/>
              <w:keepNext w:val="0"/>
              <w:keepLines w:val="0"/>
              <w:pageBreakBefore w:val="0"/>
              <w:widowControl w:val="0"/>
              <w:kinsoku/>
              <w:wordWrap/>
              <w:overflowPunct/>
              <w:topLinePunct w:val="0"/>
              <w:autoSpaceDE/>
              <w:autoSpaceDN/>
              <w:bidi w:val="0"/>
              <w:adjustRightInd/>
              <w:snapToGrid/>
              <w:spacing w:line="280" w:lineRule="exact"/>
              <w:jc w:val="center"/>
              <w:textAlignment w:val="auto"/>
              <w:rPr>
                <w:lang w:val="en-US" w:eastAsia="en-US"/>
              </w:rPr>
            </w:pPr>
            <w:r>
              <w:t>2000</w:t>
            </w:r>
          </w:p>
        </w:tc>
        <w:tc>
          <w:tcPr>
            <w:tcW w:w="1616" w:type="dxa"/>
            <w:shd w:val="clear" w:color="auto" w:fill="auto"/>
            <w:vAlign w:val="center"/>
          </w:tcPr>
          <w:p w14:paraId="5725E1DF">
            <w:pPr>
              <w:pStyle w:val="14"/>
              <w:keepNext w:val="0"/>
              <w:keepLines w:val="0"/>
              <w:pageBreakBefore w:val="0"/>
              <w:widowControl w:val="0"/>
              <w:kinsoku/>
              <w:wordWrap/>
              <w:overflowPunct/>
              <w:topLinePunct w:val="0"/>
              <w:autoSpaceDE/>
              <w:autoSpaceDN/>
              <w:bidi w:val="0"/>
              <w:adjustRightInd/>
              <w:snapToGrid/>
              <w:spacing w:line="280" w:lineRule="exact"/>
              <w:jc w:val="center"/>
              <w:textAlignment w:val="auto"/>
              <w:rPr>
                <w:lang w:val="en-US" w:eastAsia="en-US"/>
              </w:rPr>
            </w:pPr>
            <w:r>
              <w:t>本库区544 号成品库</w:t>
            </w:r>
          </w:p>
        </w:tc>
        <w:tc>
          <w:tcPr>
            <w:tcW w:w="655" w:type="dxa"/>
            <w:shd w:val="clear" w:color="auto" w:fill="auto"/>
            <w:vAlign w:val="center"/>
          </w:tcPr>
          <w:p w14:paraId="17203334">
            <w:pPr>
              <w:pStyle w:val="14"/>
              <w:keepNext w:val="0"/>
              <w:keepLines w:val="0"/>
              <w:pageBreakBefore w:val="0"/>
              <w:widowControl w:val="0"/>
              <w:kinsoku/>
              <w:wordWrap/>
              <w:overflowPunct/>
              <w:topLinePunct w:val="0"/>
              <w:autoSpaceDE/>
              <w:autoSpaceDN/>
              <w:bidi w:val="0"/>
              <w:adjustRightInd/>
              <w:snapToGrid/>
              <w:spacing w:line="280" w:lineRule="exact"/>
              <w:jc w:val="center"/>
              <w:textAlignment w:val="auto"/>
              <w:rPr>
                <w:lang w:val="en-US" w:eastAsia="en-US"/>
              </w:rPr>
            </w:pPr>
            <w:r>
              <w:t>1.1</w:t>
            </w:r>
            <w:r>
              <w:rPr>
                <w:rFonts w:hint="eastAsia"/>
                <w:vertAlign w:val="superscript"/>
                <w:lang w:val="en-US" w:eastAsia="zh-CN"/>
              </w:rPr>
              <w:t>-</w:t>
            </w:r>
            <w:r>
              <w:t>²</w:t>
            </w:r>
          </w:p>
        </w:tc>
        <w:tc>
          <w:tcPr>
            <w:tcW w:w="1179" w:type="dxa"/>
            <w:shd w:val="clear" w:color="auto" w:fill="auto"/>
            <w:vAlign w:val="center"/>
          </w:tcPr>
          <w:p w14:paraId="6BEAA746">
            <w:pPr>
              <w:pStyle w:val="14"/>
              <w:keepNext w:val="0"/>
              <w:keepLines w:val="0"/>
              <w:pageBreakBefore w:val="0"/>
              <w:widowControl w:val="0"/>
              <w:kinsoku/>
              <w:wordWrap/>
              <w:overflowPunct/>
              <w:topLinePunct w:val="0"/>
              <w:autoSpaceDE/>
              <w:autoSpaceDN/>
              <w:bidi w:val="0"/>
              <w:adjustRightInd/>
              <w:snapToGrid/>
              <w:spacing w:line="280" w:lineRule="exact"/>
              <w:jc w:val="center"/>
              <w:textAlignment w:val="auto"/>
              <w:rPr>
                <w:lang w:val="en-US" w:eastAsia="en-US"/>
              </w:rPr>
            </w:pPr>
            <w:r>
              <w:t>2000</w:t>
            </w:r>
          </w:p>
        </w:tc>
        <w:tc>
          <w:tcPr>
            <w:tcW w:w="633" w:type="dxa"/>
            <w:shd w:val="clear" w:color="auto" w:fill="auto"/>
            <w:vAlign w:val="center"/>
          </w:tcPr>
          <w:p w14:paraId="64449D9F">
            <w:pPr>
              <w:pStyle w:val="14"/>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eastAsia="宋体"/>
                <w:lang w:val="en-US" w:eastAsia="zh-CN"/>
              </w:rPr>
            </w:pPr>
            <w:r>
              <w:t>2</w:t>
            </w:r>
            <w:r>
              <w:rPr>
                <w:rFonts w:hint="eastAsia"/>
                <w:lang w:val="en-US" w:eastAsia="zh-CN"/>
              </w:rPr>
              <w:t>0</w:t>
            </w:r>
          </w:p>
        </w:tc>
        <w:tc>
          <w:tcPr>
            <w:tcW w:w="665" w:type="dxa"/>
            <w:shd w:val="clear" w:color="auto" w:fill="auto"/>
            <w:vAlign w:val="center"/>
          </w:tcPr>
          <w:p w14:paraId="24A08372">
            <w:pPr>
              <w:pStyle w:val="14"/>
              <w:keepNext w:val="0"/>
              <w:keepLines w:val="0"/>
              <w:pageBreakBefore w:val="0"/>
              <w:widowControl w:val="0"/>
              <w:kinsoku/>
              <w:wordWrap/>
              <w:overflowPunct/>
              <w:topLinePunct w:val="0"/>
              <w:autoSpaceDE/>
              <w:autoSpaceDN/>
              <w:bidi w:val="0"/>
              <w:adjustRightInd/>
              <w:snapToGrid/>
              <w:spacing w:line="280" w:lineRule="exact"/>
              <w:jc w:val="center"/>
              <w:textAlignment w:val="auto"/>
              <w:rPr>
                <w:lang w:val="en-US" w:eastAsia="en-US"/>
              </w:rPr>
            </w:pPr>
            <w:r>
              <w:t>30</w:t>
            </w:r>
          </w:p>
        </w:tc>
        <w:tc>
          <w:tcPr>
            <w:tcW w:w="929" w:type="dxa"/>
            <w:shd w:val="clear" w:color="auto" w:fill="auto"/>
            <w:vAlign w:val="center"/>
          </w:tcPr>
          <w:p w14:paraId="469CBD84">
            <w:pPr>
              <w:pStyle w:val="14"/>
              <w:keepNext w:val="0"/>
              <w:keepLines w:val="0"/>
              <w:pageBreakBefore w:val="0"/>
              <w:widowControl w:val="0"/>
              <w:kinsoku/>
              <w:wordWrap/>
              <w:overflowPunct/>
              <w:topLinePunct w:val="0"/>
              <w:autoSpaceDE/>
              <w:autoSpaceDN/>
              <w:bidi w:val="0"/>
              <w:adjustRightInd/>
              <w:snapToGrid/>
              <w:spacing w:line="280" w:lineRule="exact"/>
              <w:jc w:val="center"/>
              <w:textAlignment w:val="auto"/>
            </w:pPr>
            <w:r>
              <w:rPr>
                <w:rFonts w:ascii="宋体" w:hAnsi="宋体" w:eastAsia="宋体" w:cs="宋体"/>
                <w:spacing w:val="-2"/>
                <w:sz w:val="21"/>
                <w:szCs w:val="21"/>
              </w:rPr>
              <w:t>符合</w:t>
            </w:r>
          </w:p>
        </w:tc>
      </w:tr>
      <w:tr w14:paraId="19AD55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1" w:hRule="atLeast"/>
        </w:trPr>
        <w:tc>
          <w:tcPr>
            <w:tcW w:w="8615" w:type="dxa"/>
            <w:gridSpan w:val="9"/>
            <w:shd w:val="clear" w:color="auto" w:fill="auto"/>
            <w:vAlign w:val="center"/>
          </w:tcPr>
          <w:p w14:paraId="01E4A7E8">
            <w:pPr>
              <w:pStyle w:val="14"/>
              <w:keepNext w:val="0"/>
              <w:keepLines w:val="0"/>
              <w:pageBreakBefore w:val="0"/>
              <w:widowControl w:val="0"/>
              <w:kinsoku/>
              <w:wordWrap/>
              <w:overflowPunct/>
              <w:topLinePunct w:val="0"/>
              <w:autoSpaceDE/>
              <w:autoSpaceDN/>
              <w:bidi w:val="0"/>
              <w:adjustRightInd/>
              <w:snapToGrid/>
              <w:spacing w:line="280" w:lineRule="exact"/>
              <w:jc w:val="center"/>
              <w:textAlignment w:val="auto"/>
            </w:pPr>
            <w:r>
              <w:t>注：以上数据均</w:t>
            </w:r>
            <w:r>
              <w:rPr>
                <w:rFonts w:hint="eastAsia"/>
                <w:lang w:val="en-US" w:eastAsia="zh-CN"/>
              </w:rPr>
              <w:t>引自</w:t>
            </w:r>
            <w:r>
              <w:t>企业提供</w:t>
            </w:r>
            <w:r>
              <w:rPr>
                <w:rFonts w:hint="eastAsia"/>
                <w:lang w:val="en-US" w:eastAsia="zh-CN"/>
              </w:rPr>
              <w:t>的、</w:t>
            </w:r>
            <w:r>
              <w:t>由</w:t>
            </w:r>
            <w:r>
              <w:rPr>
                <w:rFonts w:hint="eastAsia"/>
                <w:lang w:val="en-US" w:eastAsia="zh-CN"/>
              </w:rPr>
              <w:t>黑龙江龙维化学工程设计有限公司2024年10月</w:t>
            </w:r>
            <w:r>
              <w:t>出具的总平面布置图中的对齐标注数据</w:t>
            </w:r>
          </w:p>
        </w:tc>
      </w:tr>
    </w:tbl>
    <w:p w14:paraId="27D1B1DF">
      <w:pPr>
        <w:spacing w:line="360" w:lineRule="auto"/>
        <w:ind w:firstLine="606" w:firstLineChars="200"/>
        <w:rPr>
          <w:rFonts w:ascii="宋体" w:hAnsi="宋体"/>
          <w:sz w:val="28"/>
          <w:szCs w:val="28"/>
        </w:rPr>
      </w:pPr>
      <w:r>
        <w:rPr>
          <w:rFonts w:hint="eastAsia" w:eastAsia="宋体"/>
        </w:rPr>
        <w:t>结论：</w:t>
      </w:r>
      <w:r>
        <w:rPr>
          <w:rFonts w:hint="eastAsia"/>
        </w:rPr>
        <w:t>根据以上表得知，该项目各危险性建筑物的内距离均符合《烟花爆竹工程设计安全标准》 GB50161-2022 内部最小允许距离要求，符合安全条件。</w:t>
      </w:r>
    </w:p>
    <w:p w14:paraId="524BC320">
      <w:pPr>
        <w:pStyle w:val="4"/>
        <w:bidi w:val="0"/>
        <w:ind w:left="0" w:leftChars="0" w:firstLine="0" w:firstLineChars="0"/>
        <w:rPr>
          <w:rFonts w:hint="eastAsia" w:ascii="Times New Roman" w:hAnsi="Times New Roman" w:eastAsia="宋体" w:cs="Times New Roman"/>
        </w:rPr>
      </w:pPr>
      <w:bookmarkStart w:id="143" w:name="_Toc5333"/>
      <w:r>
        <w:rPr>
          <w:rFonts w:hint="eastAsia" w:ascii="Times New Roman" w:hAnsi="Times New Roman" w:eastAsia="宋体" w:cs="Times New Roman"/>
        </w:rPr>
        <w:t>5.6.</w:t>
      </w:r>
      <w:r>
        <w:rPr>
          <w:rFonts w:hint="eastAsia" w:ascii="Times New Roman" w:hAnsi="Times New Roman" w:eastAsia="宋体" w:cs="Times New Roman"/>
          <w:lang w:val="en-US" w:eastAsia="zh-CN"/>
        </w:rPr>
        <w:t>2</w:t>
      </w:r>
      <w:r>
        <w:rPr>
          <w:rFonts w:hint="eastAsia" w:ascii="Times New Roman" w:hAnsi="Times New Roman" w:eastAsia="宋体" w:cs="Times New Roman"/>
        </w:rPr>
        <w:t xml:space="preserve"> 外部距离</w:t>
      </w:r>
      <w:bookmarkEnd w:id="143"/>
    </w:p>
    <w:p w14:paraId="3FCF4397">
      <w:pPr>
        <w:bidi w:val="0"/>
        <w:rPr>
          <w:rFonts w:hint="eastAsia" w:eastAsia="宋体"/>
          <w:lang w:eastAsia="zh-CN"/>
        </w:rPr>
      </w:pPr>
      <w:r>
        <w:rPr>
          <w:rFonts w:hint="eastAsia"/>
        </w:rPr>
        <w:t>该公司所租赁仓库地址位于萍乡市上栗县桐木镇马岭，项目选址符合城乡规划要求，并避开密集避民区、学校、工业区、旅游区、铁路运输线、高压输电线等。该项目与四周外部建、构筑物的外部距离情况</w:t>
      </w:r>
      <w:r>
        <w:rPr>
          <w:rFonts w:hint="eastAsia"/>
          <w:lang w:val="en-US" w:eastAsia="zh-CN"/>
        </w:rPr>
        <w:t>及评价</w:t>
      </w:r>
      <w:r>
        <w:rPr>
          <w:rFonts w:hint="eastAsia"/>
        </w:rPr>
        <w:t>见表</w:t>
      </w:r>
      <w:r>
        <w:rPr>
          <w:rFonts w:hint="eastAsia"/>
          <w:lang w:val="en-US" w:eastAsia="zh-CN"/>
        </w:rPr>
        <w:t>5</w:t>
      </w:r>
      <w:r>
        <w:rPr>
          <w:rFonts w:hint="eastAsia"/>
        </w:rPr>
        <w:t>.</w:t>
      </w:r>
      <w:r>
        <w:rPr>
          <w:rFonts w:hint="eastAsia"/>
          <w:lang w:val="en-US" w:eastAsia="zh-CN"/>
        </w:rPr>
        <w:t>6</w:t>
      </w:r>
      <w:r>
        <w:rPr>
          <w:rFonts w:hint="eastAsia"/>
        </w:rPr>
        <w:t>-</w:t>
      </w:r>
      <w:r>
        <w:rPr>
          <w:rFonts w:hint="eastAsia"/>
          <w:lang w:val="en-US" w:eastAsia="zh-CN"/>
        </w:rPr>
        <w:t>2、</w:t>
      </w:r>
      <w:r>
        <w:rPr>
          <w:rFonts w:hint="eastAsia"/>
        </w:rPr>
        <w:t>表</w:t>
      </w:r>
      <w:r>
        <w:rPr>
          <w:rFonts w:hint="eastAsia"/>
          <w:lang w:val="en-US" w:eastAsia="zh-CN"/>
        </w:rPr>
        <w:t>5</w:t>
      </w:r>
      <w:r>
        <w:rPr>
          <w:rFonts w:hint="eastAsia"/>
        </w:rPr>
        <w:t>.</w:t>
      </w:r>
      <w:r>
        <w:rPr>
          <w:rFonts w:hint="eastAsia"/>
          <w:lang w:val="en-US" w:eastAsia="zh-CN"/>
        </w:rPr>
        <w:t>6</w:t>
      </w:r>
      <w:r>
        <w:rPr>
          <w:rFonts w:hint="eastAsia"/>
        </w:rPr>
        <w:t>-</w:t>
      </w:r>
      <w:r>
        <w:rPr>
          <w:rFonts w:hint="eastAsia"/>
          <w:lang w:val="en-US" w:eastAsia="zh-CN"/>
        </w:rPr>
        <w:t>3、</w:t>
      </w:r>
      <w:r>
        <w:rPr>
          <w:rFonts w:hint="eastAsia"/>
        </w:rPr>
        <w:t>表</w:t>
      </w:r>
      <w:r>
        <w:rPr>
          <w:rFonts w:hint="eastAsia"/>
          <w:lang w:val="en-US" w:eastAsia="zh-CN"/>
        </w:rPr>
        <w:t>5</w:t>
      </w:r>
      <w:r>
        <w:rPr>
          <w:rFonts w:hint="eastAsia"/>
        </w:rPr>
        <w:t>.</w:t>
      </w:r>
      <w:r>
        <w:rPr>
          <w:rFonts w:hint="eastAsia"/>
          <w:lang w:val="en-US" w:eastAsia="zh-CN"/>
        </w:rPr>
        <w:t>6</w:t>
      </w:r>
      <w:r>
        <w:rPr>
          <w:rFonts w:hint="eastAsia"/>
        </w:rPr>
        <w:t>-</w:t>
      </w:r>
      <w:r>
        <w:rPr>
          <w:rFonts w:hint="eastAsia"/>
          <w:lang w:val="en-US" w:eastAsia="zh-CN"/>
        </w:rPr>
        <w:t>4</w:t>
      </w:r>
      <w:r>
        <w:rPr>
          <w:rFonts w:hint="eastAsia"/>
          <w:lang w:eastAsia="zh-CN"/>
        </w:rPr>
        <w:t>。</w:t>
      </w:r>
    </w:p>
    <w:p w14:paraId="36F8A1F5">
      <w:pPr>
        <w:bidi w:val="0"/>
      </w:pPr>
      <w:r>
        <w:t>表</w:t>
      </w:r>
      <w:r>
        <w:rPr>
          <w:rFonts w:hint="eastAsia"/>
          <w:lang w:val="en-US" w:eastAsia="zh-CN"/>
        </w:rPr>
        <w:t>5</w:t>
      </w:r>
      <w:r>
        <w:t>.</w:t>
      </w:r>
      <w:r>
        <w:rPr>
          <w:rFonts w:hint="eastAsia"/>
          <w:lang w:val="en-US" w:eastAsia="zh-CN"/>
        </w:rPr>
        <w:t>6</w:t>
      </w:r>
      <w:r>
        <w:t>-2</w:t>
      </w:r>
      <w:r>
        <w:rPr>
          <w:rFonts w:hint="eastAsia"/>
          <w:lang w:val="en-US" w:eastAsia="zh-CN"/>
        </w:rPr>
        <w:t xml:space="preserve"> </w:t>
      </w:r>
      <w:r>
        <w:t>该项目租赁的540号成品库与外部距离情况一览表</w:t>
      </w:r>
    </w:p>
    <w:tbl>
      <w:tblPr>
        <w:tblStyle w:val="105"/>
        <w:tblW w:w="8560" w:type="dxa"/>
        <w:tblInd w:w="26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5"/>
        <w:gridCol w:w="1187"/>
        <w:gridCol w:w="690"/>
        <w:gridCol w:w="1008"/>
        <w:gridCol w:w="2190"/>
        <w:gridCol w:w="960"/>
        <w:gridCol w:w="990"/>
        <w:gridCol w:w="710"/>
      </w:tblGrid>
      <w:tr w14:paraId="5AA204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3" w:hRule="atLeast"/>
        </w:trPr>
        <w:tc>
          <w:tcPr>
            <w:tcW w:w="825" w:type="dxa"/>
            <w:vAlign w:val="center"/>
          </w:tcPr>
          <w:p w14:paraId="23AD96FE">
            <w:pPr>
              <w:pStyle w:val="14"/>
              <w:bidi w:val="0"/>
              <w:jc w:val="center"/>
            </w:pPr>
            <w:r>
              <w:t>方位</w:t>
            </w:r>
          </w:p>
        </w:tc>
        <w:tc>
          <w:tcPr>
            <w:tcW w:w="1187" w:type="dxa"/>
            <w:vAlign w:val="center"/>
          </w:tcPr>
          <w:p w14:paraId="2071246F">
            <w:pPr>
              <w:pStyle w:val="14"/>
              <w:bidi w:val="0"/>
              <w:jc w:val="center"/>
              <w:rPr>
                <w:rFonts w:hint="eastAsia" w:eastAsia="宋体"/>
                <w:lang w:eastAsia="zh-CN"/>
              </w:rPr>
            </w:pPr>
            <w:r>
              <w:t>库房</w:t>
            </w:r>
            <w:r>
              <w:rPr>
                <w:rFonts w:hint="eastAsia"/>
                <w:lang w:val="en-US" w:eastAsia="zh-CN"/>
              </w:rPr>
              <w:t>名称</w:t>
            </w:r>
          </w:p>
        </w:tc>
        <w:tc>
          <w:tcPr>
            <w:tcW w:w="690" w:type="dxa"/>
            <w:vAlign w:val="center"/>
          </w:tcPr>
          <w:p w14:paraId="7C92DE96">
            <w:pPr>
              <w:pStyle w:val="14"/>
              <w:bidi w:val="0"/>
              <w:jc w:val="center"/>
            </w:pPr>
            <w:r>
              <w:t>危险等级</w:t>
            </w:r>
          </w:p>
        </w:tc>
        <w:tc>
          <w:tcPr>
            <w:tcW w:w="1008" w:type="dxa"/>
            <w:vAlign w:val="center"/>
          </w:tcPr>
          <w:p w14:paraId="0A7F132A">
            <w:pPr>
              <w:pStyle w:val="14"/>
              <w:bidi w:val="0"/>
              <w:jc w:val="center"/>
            </w:pPr>
            <w:r>
              <w:t>药物限量</w:t>
            </w:r>
          </w:p>
          <w:p w14:paraId="1802A14A">
            <w:pPr>
              <w:pStyle w:val="14"/>
              <w:bidi w:val="0"/>
              <w:jc w:val="center"/>
            </w:pPr>
            <w:r>
              <w:t>(kg)</w:t>
            </w:r>
          </w:p>
        </w:tc>
        <w:tc>
          <w:tcPr>
            <w:tcW w:w="2190" w:type="dxa"/>
            <w:vAlign w:val="center"/>
          </w:tcPr>
          <w:p w14:paraId="1B21B9E0">
            <w:pPr>
              <w:pStyle w:val="14"/>
              <w:bidi w:val="0"/>
              <w:jc w:val="center"/>
            </w:pPr>
            <w:r>
              <w:t>周边毗邻情况</w:t>
            </w:r>
          </w:p>
        </w:tc>
        <w:tc>
          <w:tcPr>
            <w:tcW w:w="960" w:type="dxa"/>
            <w:vAlign w:val="center"/>
          </w:tcPr>
          <w:p w14:paraId="7A8E2AA6">
            <w:pPr>
              <w:pStyle w:val="14"/>
              <w:bidi w:val="0"/>
              <w:jc w:val="center"/>
            </w:pPr>
            <w:r>
              <w:t>标准距离</w:t>
            </w:r>
          </w:p>
          <w:p w14:paraId="47DEBFDD">
            <w:pPr>
              <w:pStyle w:val="14"/>
              <w:bidi w:val="0"/>
              <w:jc w:val="center"/>
            </w:pPr>
            <w:r>
              <w:t>(m)</w:t>
            </w:r>
          </w:p>
        </w:tc>
        <w:tc>
          <w:tcPr>
            <w:tcW w:w="990" w:type="dxa"/>
            <w:vAlign w:val="center"/>
          </w:tcPr>
          <w:p w14:paraId="140618B6">
            <w:pPr>
              <w:pStyle w:val="14"/>
              <w:bidi w:val="0"/>
              <w:jc w:val="center"/>
            </w:pPr>
            <w:r>
              <w:t>实际距离</w:t>
            </w:r>
          </w:p>
          <w:p w14:paraId="6B7533F9">
            <w:pPr>
              <w:pStyle w:val="14"/>
              <w:bidi w:val="0"/>
              <w:jc w:val="center"/>
            </w:pPr>
            <w:r>
              <w:t>(m)</w:t>
            </w:r>
          </w:p>
        </w:tc>
        <w:tc>
          <w:tcPr>
            <w:tcW w:w="710" w:type="dxa"/>
            <w:vAlign w:val="center"/>
          </w:tcPr>
          <w:p w14:paraId="79442D4E">
            <w:pPr>
              <w:pStyle w:val="14"/>
              <w:bidi w:val="0"/>
              <w:jc w:val="center"/>
            </w:pPr>
            <w:r>
              <w:rPr>
                <w:rFonts w:ascii="宋体" w:hAnsi="宋体" w:eastAsia="宋体" w:cs="宋体"/>
                <w:spacing w:val="-2"/>
                <w:sz w:val="21"/>
                <w:szCs w:val="21"/>
              </w:rPr>
              <w:t>符合性</w:t>
            </w:r>
          </w:p>
        </w:tc>
      </w:tr>
      <w:tr w14:paraId="3E6DC0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825" w:type="dxa"/>
            <w:vAlign w:val="center"/>
          </w:tcPr>
          <w:p w14:paraId="2EC412CD">
            <w:pPr>
              <w:pStyle w:val="14"/>
              <w:bidi w:val="0"/>
              <w:jc w:val="center"/>
            </w:pPr>
            <w:r>
              <w:t>东</w:t>
            </w:r>
          </w:p>
        </w:tc>
        <w:tc>
          <w:tcPr>
            <w:tcW w:w="1187" w:type="dxa"/>
            <w:vAlign w:val="center"/>
          </w:tcPr>
          <w:p w14:paraId="75368D84">
            <w:pPr>
              <w:pStyle w:val="14"/>
              <w:bidi w:val="0"/>
              <w:jc w:val="center"/>
            </w:pPr>
            <w:r>
              <w:t>540成品库</w:t>
            </w:r>
          </w:p>
        </w:tc>
        <w:tc>
          <w:tcPr>
            <w:tcW w:w="690" w:type="dxa"/>
            <w:vAlign w:val="center"/>
          </w:tcPr>
          <w:p w14:paraId="0822E675">
            <w:pPr>
              <w:pStyle w:val="14"/>
              <w:bidi w:val="0"/>
              <w:jc w:val="center"/>
            </w:pPr>
            <w:r>
              <w:t>1.3</w:t>
            </w:r>
          </w:p>
        </w:tc>
        <w:tc>
          <w:tcPr>
            <w:tcW w:w="1008" w:type="dxa"/>
            <w:vAlign w:val="center"/>
          </w:tcPr>
          <w:p w14:paraId="41B65DCB">
            <w:pPr>
              <w:pStyle w:val="14"/>
              <w:bidi w:val="0"/>
              <w:jc w:val="center"/>
            </w:pPr>
            <w:r>
              <w:t>9000</w:t>
            </w:r>
          </w:p>
        </w:tc>
        <w:tc>
          <w:tcPr>
            <w:tcW w:w="2190" w:type="dxa"/>
            <w:vAlign w:val="center"/>
          </w:tcPr>
          <w:p w14:paraId="78CA45D4">
            <w:pPr>
              <w:pStyle w:val="14"/>
              <w:bidi w:val="0"/>
              <w:jc w:val="center"/>
            </w:pPr>
            <w:r>
              <w:t>山地</w:t>
            </w:r>
          </w:p>
        </w:tc>
        <w:tc>
          <w:tcPr>
            <w:tcW w:w="960" w:type="dxa"/>
            <w:vAlign w:val="center"/>
          </w:tcPr>
          <w:p w14:paraId="33C2FBFC">
            <w:pPr>
              <w:pStyle w:val="14"/>
              <w:bidi w:val="0"/>
              <w:jc w:val="center"/>
            </w:pPr>
            <w:r>
              <w:t>/</w:t>
            </w:r>
          </w:p>
        </w:tc>
        <w:tc>
          <w:tcPr>
            <w:tcW w:w="990" w:type="dxa"/>
            <w:vAlign w:val="center"/>
          </w:tcPr>
          <w:p w14:paraId="74DC082D">
            <w:pPr>
              <w:pStyle w:val="14"/>
              <w:bidi w:val="0"/>
              <w:jc w:val="center"/>
            </w:pPr>
            <w:r>
              <w:t>/</w:t>
            </w:r>
          </w:p>
        </w:tc>
        <w:tc>
          <w:tcPr>
            <w:tcW w:w="710" w:type="dxa"/>
            <w:vAlign w:val="center"/>
          </w:tcPr>
          <w:p w14:paraId="7160A45E">
            <w:pPr>
              <w:pStyle w:val="14"/>
              <w:bidi w:val="0"/>
              <w:jc w:val="center"/>
            </w:pPr>
            <w:r>
              <w:rPr>
                <w:rFonts w:ascii="宋体" w:hAnsi="宋体" w:eastAsia="宋体" w:cs="宋体"/>
                <w:spacing w:val="-2"/>
                <w:sz w:val="21"/>
                <w:szCs w:val="21"/>
              </w:rPr>
              <w:t>符合</w:t>
            </w:r>
          </w:p>
        </w:tc>
      </w:tr>
      <w:tr w14:paraId="3A5BEA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825" w:type="dxa"/>
            <w:vAlign w:val="center"/>
          </w:tcPr>
          <w:p w14:paraId="0E66EC4B">
            <w:pPr>
              <w:pStyle w:val="14"/>
              <w:bidi w:val="0"/>
              <w:jc w:val="center"/>
            </w:pPr>
            <w:r>
              <w:t>南</w:t>
            </w:r>
          </w:p>
        </w:tc>
        <w:tc>
          <w:tcPr>
            <w:tcW w:w="1187" w:type="dxa"/>
            <w:vAlign w:val="center"/>
          </w:tcPr>
          <w:p w14:paraId="444E5CF4">
            <w:pPr>
              <w:pStyle w:val="14"/>
              <w:bidi w:val="0"/>
              <w:jc w:val="center"/>
            </w:pPr>
            <w:r>
              <w:t>540成品库</w:t>
            </w:r>
          </w:p>
        </w:tc>
        <w:tc>
          <w:tcPr>
            <w:tcW w:w="690" w:type="dxa"/>
            <w:vAlign w:val="center"/>
          </w:tcPr>
          <w:p w14:paraId="799461EE">
            <w:pPr>
              <w:pStyle w:val="14"/>
              <w:bidi w:val="0"/>
              <w:jc w:val="center"/>
            </w:pPr>
            <w:r>
              <w:t>1.3</w:t>
            </w:r>
          </w:p>
        </w:tc>
        <w:tc>
          <w:tcPr>
            <w:tcW w:w="1008" w:type="dxa"/>
            <w:vAlign w:val="center"/>
          </w:tcPr>
          <w:p w14:paraId="564CD91D">
            <w:pPr>
              <w:pStyle w:val="14"/>
              <w:bidi w:val="0"/>
              <w:jc w:val="center"/>
            </w:pPr>
            <w:r>
              <w:t>9000</w:t>
            </w:r>
          </w:p>
        </w:tc>
        <w:tc>
          <w:tcPr>
            <w:tcW w:w="2190" w:type="dxa"/>
            <w:vAlign w:val="center"/>
          </w:tcPr>
          <w:p w14:paraId="0B4FA485">
            <w:pPr>
              <w:pStyle w:val="14"/>
              <w:bidi w:val="0"/>
              <w:jc w:val="center"/>
            </w:pPr>
            <w:r>
              <w:t>十户以下民房</w:t>
            </w:r>
          </w:p>
        </w:tc>
        <w:tc>
          <w:tcPr>
            <w:tcW w:w="960" w:type="dxa"/>
            <w:vAlign w:val="center"/>
          </w:tcPr>
          <w:p w14:paraId="423A7E6D">
            <w:pPr>
              <w:pStyle w:val="14"/>
              <w:bidi w:val="0"/>
              <w:jc w:val="center"/>
            </w:pPr>
            <w:r>
              <w:t>65</w:t>
            </w:r>
          </w:p>
        </w:tc>
        <w:tc>
          <w:tcPr>
            <w:tcW w:w="990" w:type="dxa"/>
            <w:vAlign w:val="center"/>
          </w:tcPr>
          <w:p w14:paraId="000C8F5F">
            <w:pPr>
              <w:pStyle w:val="14"/>
              <w:bidi w:val="0"/>
              <w:jc w:val="center"/>
            </w:pPr>
            <w:r>
              <w:t>156</w:t>
            </w:r>
          </w:p>
        </w:tc>
        <w:tc>
          <w:tcPr>
            <w:tcW w:w="710" w:type="dxa"/>
            <w:vAlign w:val="center"/>
          </w:tcPr>
          <w:p w14:paraId="4B9123C9">
            <w:pPr>
              <w:pStyle w:val="14"/>
              <w:bidi w:val="0"/>
              <w:jc w:val="center"/>
            </w:pPr>
            <w:r>
              <w:rPr>
                <w:rFonts w:ascii="宋体" w:hAnsi="宋体" w:eastAsia="宋体" w:cs="宋体"/>
                <w:spacing w:val="-2"/>
                <w:sz w:val="21"/>
                <w:szCs w:val="21"/>
              </w:rPr>
              <w:t>符合</w:t>
            </w:r>
          </w:p>
        </w:tc>
      </w:tr>
      <w:tr w14:paraId="6580F0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825" w:type="dxa"/>
            <w:vAlign w:val="center"/>
          </w:tcPr>
          <w:p w14:paraId="48EF56F5">
            <w:pPr>
              <w:pStyle w:val="14"/>
              <w:bidi w:val="0"/>
              <w:jc w:val="center"/>
            </w:pPr>
            <w:r>
              <w:t>西</w:t>
            </w:r>
          </w:p>
        </w:tc>
        <w:tc>
          <w:tcPr>
            <w:tcW w:w="1187" w:type="dxa"/>
            <w:vAlign w:val="center"/>
          </w:tcPr>
          <w:p w14:paraId="3444D6CC">
            <w:pPr>
              <w:pStyle w:val="14"/>
              <w:bidi w:val="0"/>
              <w:jc w:val="center"/>
            </w:pPr>
            <w:r>
              <w:t>540成品库</w:t>
            </w:r>
          </w:p>
        </w:tc>
        <w:tc>
          <w:tcPr>
            <w:tcW w:w="690" w:type="dxa"/>
            <w:vAlign w:val="center"/>
          </w:tcPr>
          <w:p w14:paraId="4950433D">
            <w:pPr>
              <w:pStyle w:val="14"/>
              <w:bidi w:val="0"/>
              <w:jc w:val="center"/>
            </w:pPr>
            <w:r>
              <w:t>1.3</w:t>
            </w:r>
          </w:p>
        </w:tc>
        <w:tc>
          <w:tcPr>
            <w:tcW w:w="1008" w:type="dxa"/>
            <w:vAlign w:val="center"/>
          </w:tcPr>
          <w:p w14:paraId="476147CE">
            <w:pPr>
              <w:pStyle w:val="14"/>
              <w:bidi w:val="0"/>
              <w:jc w:val="center"/>
            </w:pPr>
            <w:r>
              <w:t>9000</w:t>
            </w:r>
          </w:p>
        </w:tc>
        <w:tc>
          <w:tcPr>
            <w:tcW w:w="2190" w:type="dxa"/>
            <w:vAlign w:val="center"/>
          </w:tcPr>
          <w:p w14:paraId="762198E9">
            <w:pPr>
              <w:pStyle w:val="14"/>
              <w:bidi w:val="0"/>
              <w:jc w:val="center"/>
            </w:pPr>
            <w:r>
              <w:t>山地</w:t>
            </w:r>
          </w:p>
        </w:tc>
        <w:tc>
          <w:tcPr>
            <w:tcW w:w="960" w:type="dxa"/>
            <w:vAlign w:val="center"/>
          </w:tcPr>
          <w:p w14:paraId="333236E7">
            <w:pPr>
              <w:pStyle w:val="14"/>
              <w:bidi w:val="0"/>
              <w:jc w:val="center"/>
            </w:pPr>
            <w:r>
              <w:t>/</w:t>
            </w:r>
          </w:p>
        </w:tc>
        <w:tc>
          <w:tcPr>
            <w:tcW w:w="990" w:type="dxa"/>
            <w:vAlign w:val="center"/>
          </w:tcPr>
          <w:p w14:paraId="79440259">
            <w:pPr>
              <w:pStyle w:val="14"/>
              <w:bidi w:val="0"/>
              <w:jc w:val="center"/>
            </w:pPr>
            <w:r>
              <w:t>/</w:t>
            </w:r>
          </w:p>
        </w:tc>
        <w:tc>
          <w:tcPr>
            <w:tcW w:w="710" w:type="dxa"/>
            <w:vAlign w:val="center"/>
          </w:tcPr>
          <w:p w14:paraId="2F7B5F04">
            <w:pPr>
              <w:pStyle w:val="14"/>
              <w:bidi w:val="0"/>
              <w:jc w:val="center"/>
            </w:pPr>
            <w:r>
              <w:rPr>
                <w:rFonts w:ascii="宋体" w:hAnsi="宋体" w:eastAsia="宋体" w:cs="宋体"/>
                <w:spacing w:val="-2"/>
                <w:sz w:val="21"/>
                <w:szCs w:val="21"/>
              </w:rPr>
              <w:t>符合</w:t>
            </w:r>
          </w:p>
        </w:tc>
      </w:tr>
      <w:tr w14:paraId="190335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825" w:type="dxa"/>
            <w:vAlign w:val="center"/>
          </w:tcPr>
          <w:p w14:paraId="7E1FA8FD">
            <w:pPr>
              <w:pStyle w:val="14"/>
              <w:bidi w:val="0"/>
              <w:jc w:val="center"/>
            </w:pPr>
            <w:r>
              <w:t>北</w:t>
            </w:r>
          </w:p>
        </w:tc>
        <w:tc>
          <w:tcPr>
            <w:tcW w:w="1187" w:type="dxa"/>
            <w:vAlign w:val="center"/>
          </w:tcPr>
          <w:p w14:paraId="4DDA6274">
            <w:pPr>
              <w:pStyle w:val="14"/>
              <w:bidi w:val="0"/>
              <w:jc w:val="center"/>
            </w:pPr>
            <w:r>
              <w:t>540成品库</w:t>
            </w:r>
          </w:p>
        </w:tc>
        <w:tc>
          <w:tcPr>
            <w:tcW w:w="690" w:type="dxa"/>
            <w:vAlign w:val="center"/>
          </w:tcPr>
          <w:p w14:paraId="0FF547FF">
            <w:pPr>
              <w:pStyle w:val="14"/>
              <w:bidi w:val="0"/>
              <w:jc w:val="center"/>
            </w:pPr>
            <w:r>
              <w:t>1.3</w:t>
            </w:r>
          </w:p>
        </w:tc>
        <w:tc>
          <w:tcPr>
            <w:tcW w:w="1008" w:type="dxa"/>
            <w:vAlign w:val="center"/>
          </w:tcPr>
          <w:p w14:paraId="5B2E118F">
            <w:pPr>
              <w:pStyle w:val="14"/>
              <w:bidi w:val="0"/>
              <w:jc w:val="center"/>
            </w:pPr>
            <w:r>
              <w:t>9000</w:t>
            </w:r>
          </w:p>
        </w:tc>
        <w:tc>
          <w:tcPr>
            <w:tcW w:w="2190" w:type="dxa"/>
            <w:vAlign w:val="center"/>
          </w:tcPr>
          <w:p w14:paraId="3B9B29C6">
            <w:pPr>
              <w:pStyle w:val="14"/>
              <w:bidi w:val="0"/>
              <w:jc w:val="center"/>
            </w:pPr>
            <w:r>
              <w:t>外部花炮厂成品仓库</w:t>
            </w:r>
          </w:p>
        </w:tc>
        <w:tc>
          <w:tcPr>
            <w:tcW w:w="960" w:type="dxa"/>
            <w:vAlign w:val="center"/>
          </w:tcPr>
          <w:p w14:paraId="6C202D49">
            <w:pPr>
              <w:pStyle w:val="14"/>
              <w:bidi w:val="0"/>
              <w:jc w:val="center"/>
            </w:pPr>
            <w:r>
              <w:t>65</w:t>
            </w:r>
          </w:p>
        </w:tc>
        <w:tc>
          <w:tcPr>
            <w:tcW w:w="990" w:type="dxa"/>
            <w:vAlign w:val="center"/>
          </w:tcPr>
          <w:p w14:paraId="199DE5D5">
            <w:pPr>
              <w:pStyle w:val="14"/>
              <w:bidi w:val="0"/>
              <w:jc w:val="center"/>
            </w:pPr>
            <w:r>
              <w:t>143</w:t>
            </w:r>
          </w:p>
        </w:tc>
        <w:tc>
          <w:tcPr>
            <w:tcW w:w="710" w:type="dxa"/>
            <w:vAlign w:val="center"/>
          </w:tcPr>
          <w:p w14:paraId="0481D01F">
            <w:pPr>
              <w:pStyle w:val="14"/>
              <w:bidi w:val="0"/>
              <w:jc w:val="center"/>
            </w:pPr>
            <w:r>
              <w:rPr>
                <w:rFonts w:ascii="宋体" w:hAnsi="宋体" w:eastAsia="宋体" w:cs="宋体"/>
                <w:spacing w:val="-2"/>
                <w:sz w:val="21"/>
                <w:szCs w:val="21"/>
              </w:rPr>
              <w:t>符合</w:t>
            </w:r>
          </w:p>
        </w:tc>
      </w:tr>
      <w:tr w14:paraId="588F82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8560" w:type="dxa"/>
            <w:gridSpan w:val="8"/>
            <w:vAlign w:val="center"/>
          </w:tcPr>
          <w:p w14:paraId="14EACC2F">
            <w:pPr>
              <w:pStyle w:val="14"/>
              <w:bidi w:val="0"/>
              <w:jc w:val="center"/>
            </w:pPr>
            <w:r>
              <w:t>注：以上数据均</w:t>
            </w:r>
            <w:r>
              <w:rPr>
                <w:rFonts w:hint="eastAsia"/>
                <w:lang w:val="en-US" w:eastAsia="zh-CN"/>
              </w:rPr>
              <w:t>引自</w:t>
            </w:r>
            <w:r>
              <w:t>企业提供</w:t>
            </w:r>
            <w:r>
              <w:rPr>
                <w:rFonts w:hint="eastAsia"/>
                <w:lang w:val="en-US" w:eastAsia="zh-CN"/>
              </w:rPr>
              <w:t>的、</w:t>
            </w:r>
            <w:r>
              <w:t>由</w:t>
            </w:r>
            <w:r>
              <w:rPr>
                <w:rFonts w:hint="eastAsia"/>
                <w:lang w:val="en-US" w:eastAsia="zh-CN"/>
              </w:rPr>
              <w:t>黑龙江龙维化学工程设计有限公司2024年10月</w:t>
            </w:r>
            <w:r>
              <w:t>出具的总平面布置图中的对齐标注数据</w:t>
            </w:r>
          </w:p>
        </w:tc>
      </w:tr>
    </w:tbl>
    <w:p w14:paraId="647875A5">
      <w:pPr>
        <w:bidi w:val="0"/>
      </w:pPr>
      <w:r>
        <w:t>表</w:t>
      </w:r>
      <w:r>
        <w:rPr>
          <w:rFonts w:hint="eastAsia"/>
          <w:lang w:val="en-US" w:eastAsia="zh-CN"/>
        </w:rPr>
        <w:t>5</w:t>
      </w:r>
      <w:r>
        <w:t>.</w:t>
      </w:r>
      <w:r>
        <w:rPr>
          <w:rFonts w:hint="eastAsia"/>
          <w:lang w:val="en-US" w:eastAsia="zh-CN"/>
        </w:rPr>
        <w:t>6</w:t>
      </w:r>
      <w:r>
        <w:t>-3该项目租赁的542号成品库与外部距离情况一览表</w:t>
      </w:r>
    </w:p>
    <w:tbl>
      <w:tblPr>
        <w:tblStyle w:val="105"/>
        <w:tblW w:w="8510" w:type="dxa"/>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14"/>
        <w:gridCol w:w="1098"/>
        <w:gridCol w:w="694"/>
        <w:gridCol w:w="1044"/>
        <w:gridCol w:w="1530"/>
        <w:gridCol w:w="1020"/>
        <w:gridCol w:w="1032"/>
        <w:gridCol w:w="1178"/>
      </w:tblGrid>
      <w:tr w14:paraId="07C6F7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3" w:hRule="atLeast"/>
        </w:trPr>
        <w:tc>
          <w:tcPr>
            <w:tcW w:w="914" w:type="dxa"/>
            <w:vAlign w:val="center"/>
          </w:tcPr>
          <w:p w14:paraId="285C8B54">
            <w:pPr>
              <w:pStyle w:val="14"/>
              <w:bidi w:val="0"/>
              <w:jc w:val="center"/>
            </w:pPr>
            <w:r>
              <w:t>方位</w:t>
            </w:r>
          </w:p>
        </w:tc>
        <w:tc>
          <w:tcPr>
            <w:tcW w:w="1098" w:type="dxa"/>
            <w:vAlign w:val="center"/>
          </w:tcPr>
          <w:p w14:paraId="40715AB8">
            <w:pPr>
              <w:pStyle w:val="14"/>
              <w:bidi w:val="0"/>
              <w:jc w:val="center"/>
            </w:pPr>
            <w:r>
              <w:t>库房</w:t>
            </w:r>
            <w:r>
              <w:rPr>
                <w:rFonts w:hint="eastAsia"/>
                <w:lang w:val="en-US" w:eastAsia="zh-CN"/>
              </w:rPr>
              <w:t>名称</w:t>
            </w:r>
          </w:p>
        </w:tc>
        <w:tc>
          <w:tcPr>
            <w:tcW w:w="694" w:type="dxa"/>
            <w:vAlign w:val="center"/>
          </w:tcPr>
          <w:p w14:paraId="45548C1A">
            <w:pPr>
              <w:pStyle w:val="14"/>
              <w:bidi w:val="0"/>
              <w:jc w:val="center"/>
            </w:pPr>
            <w:r>
              <w:t>危险等级</w:t>
            </w:r>
          </w:p>
        </w:tc>
        <w:tc>
          <w:tcPr>
            <w:tcW w:w="1044" w:type="dxa"/>
            <w:vAlign w:val="center"/>
          </w:tcPr>
          <w:p w14:paraId="2C1FD7A1">
            <w:pPr>
              <w:pStyle w:val="14"/>
              <w:bidi w:val="0"/>
              <w:jc w:val="center"/>
            </w:pPr>
            <w:r>
              <w:t>药物限量</w:t>
            </w:r>
          </w:p>
          <w:p w14:paraId="1C85CE39">
            <w:pPr>
              <w:pStyle w:val="14"/>
              <w:bidi w:val="0"/>
              <w:jc w:val="center"/>
            </w:pPr>
            <w:r>
              <w:t>(kg)</w:t>
            </w:r>
          </w:p>
        </w:tc>
        <w:tc>
          <w:tcPr>
            <w:tcW w:w="1530" w:type="dxa"/>
            <w:vAlign w:val="center"/>
          </w:tcPr>
          <w:p w14:paraId="6CDD4FDD">
            <w:pPr>
              <w:pStyle w:val="14"/>
              <w:bidi w:val="0"/>
              <w:jc w:val="center"/>
            </w:pPr>
            <w:r>
              <w:t>周边毗邻情况</w:t>
            </w:r>
          </w:p>
        </w:tc>
        <w:tc>
          <w:tcPr>
            <w:tcW w:w="1020" w:type="dxa"/>
            <w:vAlign w:val="center"/>
          </w:tcPr>
          <w:p w14:paraId="542B2F17">
            <w:pPr>
              <w:pStyle w:val="14"/>
              <w:bidi w:val="0"/>
              <w:jc w:val="center"/>
            </w:pPr>
            <w:r>
              <w:t>标准距离</w:t>
            </w:r>
          </w:p>
          <w:p w14:paraId="449C5C27">
            <w:pPr>
              <w:pStyle w:val="14"/>
              <w:bidi w:val="0"/>
              <w:jc w:val="center"/>
            </w:pPr>
            <w:r>
              <w:t>(m)</w:t>
            </w:r>
          </w:p>
        </w:tc>
        <w:tc>
          <w:tcPr>
            <w:tcW w:w="1032" w:type="dxa"/>
            <w:vAlign w:val="center"/>
          </w:tcPr>
          <w:p w14:paraId="44EC1907">
            <w:pPr>
              <w:pStyle w:val="14"/>
              <w:bidi w:val="0"/>
              <w:jc w:val="center"/>
            </w:pPr>
            <w:r>
              <w:t>实际距离</w:t>
            </w:r>
          </w:p>
          <w:p w14:paraId="06795DBA">
            <w:pPr>
              <w:pStyle w:val="14"/>
              <w:bidi w:val="0"/>
              <w:jc w:val="center"/>
            </w:pPr>
            <w:r>
              <w:t>(m)</w:t>
            </w:r>
          </w:p>
        </w:tc>
        <w:tc>
          <w:tcPr>
            <w:tcW w:w="1178" w:type="dxa"/>
            <w:shd w:val="clear" w:color="auto" w:fill="auto"/>
            <w:vAlign w:val="center"/>
          </w:tcPr>
          <w:p w14:paraId="200D9009">
            <w:pPr>
              <w:pStyle w:val="14"/>
              <w:bidi w:val="0"/>
              <w:ind w:firstLine="0" w:firstLineChars="0"/>
              <w:jc w:val="center"/>
              <w:rPr>
                <w:rFonts w:ascii="Times New Roman" w:hAnsi="Times New Roman" w:eastAsia="宋体" w:cs="Times New Roman"/>
                <w:kern w:val="2"/>
                <w:sz w:val="21"/>
                <w:szCs w:val="20"/>
                <w:lang w:val="en-US" w:eastAsia="zh-CN" w:bidi="ar-SA"/>
              </w:rPr>
            </w:pPr>
            <w:r>
              <w:rPr>
                <w:rFonts w:ascii="宋体" w:hAnsi="宋体" w:eastAsia="宋体" w:cs="宋体"/>
                <w:spacing w:val="-2"/>
                <w:sz w:val="21"/>
                <w:szCs w:val="21"/>
              </w:rPr>
              <w:t>符合性</w:t>
            </w:r>
          </w:p>
        </w:tc>
      </w:tr>
      <w:tr w14:paraId="1E7AF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914" w:type="dxa"/>
            <w:vAlign w:val="center"/>
          </w:tcPr>
          <w:p w14:paraId="17A0727B">
            <w:pPr>
              <w:pStyle w:val="14"/>
              <w:bidi w:val="0"/>
              <w:jc w:val="center"/>
            </w:pPr>
            <w:r>
              <w:t>东</w:t>
            </w:r>
          </w:p>
        </w:tc>
        <w:tc>
          <w:tcPr>
            <w:tcW w:w="1098" w:type="dxa"/>
            <w:vAlign w:val="center"/>
          </w:tcPr>
          <w:p w14:paraId="2DD666E0">
            <w:pPr>
              <w:pStyle w:val="14"/>
              <w:bidi w:val="0"/>
              <w:jc w:val="center"/>
            </w:pPr>
            <w:r>
              <w:t>542成品库</w:t>
            </w:r>
          </w:p>
        </w:tc>
        <w:tc>
          <w:tcPr>
            <w:tcW w:w="694" w:type="dxa"/>
            <w:vAlign w:val="center"/>
          </w:tcPr>
          <w:p w14:paraId="1B1A27CF">
            <w:pPr>
              <w:pStyle w:val="14"/>
              <w:bidi w:val="0"/>
              <w:jc w:val="center"/>
            </w:pPr>
            <w:r>
              <w:t>1.3</w:t>
            </w:r>
          </w:p>
        </w:tc>
        <w:tc>
          <w:tcPr>
            <w:tcW w:w="1044" w:type="dxa"/>
            <w:vAlign w:val="center"/>
          </w:tcPr>
          <w:p w14:paraId="44FB6A4E">
            <w:pPr>
              <w:pStyle w:val="14"/>
              <w:bidi w:val="0"/>
              <w:jc w:val="center"/>
            </w:pPr>
            <w:r>
              <w:t>5000</w:t>
            </w:r>
          </w:p>
        </w:tc>
        <w:tc>
          <w:tcPr>
            <w:tcW w:w="1530" w:type="dxa"/>
            <w:vAlign w:val="center"/>
          </w:tcPr>
          <w:p w14:paraId="7AA61D88">
            <w:pPr>
              <w:pStyle w:val="14"/>
              <w:bidi w:val="0"/>
              <w:jc w:val="center"/>
            </w:pPr>
            <w:r>
              <w:t>山地</w:t>
            </w:r>
          </w:p>
        </w:tc>
        <w:tc>
          <w:tcPr>
            <w:tcW w:w="1020" w:type="dxa"/>
            <w:vAlign w:val="center"/>
          </w:tcPr>
          <w:p w14:paraId="7CD197C4">
            <w:pPr>
              <w:pStyle w:val="14"/>
              <w:bidi w:val="0"/>
              <w:jc w:val="center"/>
            </w:pPr>
            <w:r>
              <w:t>/</w:t>
            </w:r>
          </w:p>
        </w:tc>
        <w:tc>
          <w:tcPr>
            <w:tcW w:w="1032" w:type="dxa"/>
            <w:vAlign w:val="center"/>
          </w:tcPr>
          <w:p w14:paraId="67E37437">
            <w:pPr>
              <w:pStyle w:val="14"/>
              <w:bidi w:val="0"/>
              <w:jc w:val="center"/>
            </w:pPr>
            <w:r>
              <w:t>/</w:t>
            </w:r>
          </w:p>
        </w:tc>
        <w:tc>
          <w:tcPr>
            <w:tcW w:w="1178" w:type="dxa"/>
            <w:shd w:val="clear" w:color="auto" w:fill="auto"/>
            <w:vAlign w:val="center"/>
          </w:tcPr>
          <w:p w14:paraId="100874C5">
            <w:pPr>
              <w:pStyle w:val="14"/>
              <w:bidi w:val="0"/>
              <w:ind w:firstLine="0" w:firstLineChars="0"/>
              <w:jc w:val="center"/>
              <w:rPr>
                <w:rFonts w:ascii="Times New Roman" w:hAnsi="Times New Roman" w:eastAsia="宋体" w:cs="Times New Roman"/>
                <w:kern w:val="2"/>
                <w:sz w:val="21"/>
                <w:szCs w:val="20"/>
                <w:lang w:val="en-US" w:eastAsia="zh-CN" w:bidi="ar-SA"/>
              </w:rPr>
            </w:pPr>
            <w:r>
              <w:rPr>
                <w:rFonts w:ascii="宋体" w:hAnsi="宋体" w:eastAsia="宋体" w:cs="宋体"/>
                <w:spacing w:val="-2"/>
                <w:sz w:val="21"/>
                <w:szCs w:val="21"/>
              </w:rPr>
              <w:t>符合</w:t>
            </w:r>
          </w:p>
        </w:tc>
      </w:tr>
      <w:tr w14:paraId="74BBE3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914" w:type="dxa"/>
            <w:vAlign w:val="center"/>
          </w:tcPr>
          <w:p w14:paraId="4B014F36">
            <w:pPr>
              <w:pStyle w:val="14"/>
              <w:bidi w:val="0"/>
              <w:jc w:val="center"/>
            </w:pPr>
            <w:r>
              <w:t>南</w:t>
            </w:r>
          </w:p>
        </w:tc>
        <w:tc>
          <w:tcPr>
            <w:tcW w:w="1098" w:type="dxa"/>
            <w:vAlign w:val="center"/>
          </w:tcPr>
          <w:p w14:paraId="7F1A7CF4">
            <w:pPr>
              <w:pStyle w:val="14"/>
              <w:bidi w:val="0"/>
              <w:jc w:val="center"/>
            </w:pPr>
            <w:r>
              <w:t>542成品库</w:t>
            </w:r>
          </w:p>
        </w:tc>
        <w:tc>
          <w:tcPr>
            <w:tcW w:w="694" w:type="dxa"/>
            <w:vAlign w:val="center"/>
          </w:tcPr>
          <w:p w14:paraId="142F9F90">
            <w:pPr>
              <w:pStyle w:val="14"/>
              <w:bidi w:val="0"/>
              <w:jc w:val="center"/>
            </w:pPr>
            <w:r>
              <w:t>1.3</w:t>
            </w:r>
          </w:p>
        </w:tc>
        <w:tc>
          <w:tcPr>
            <w:tcW w:w="1044" w:type="dxa"/>
            <w:vAlign w:val="center"/>
          </w:tcPr>
          <w:p w14:paraId="6F1A95B8">
            <w:pPr>
              <w:pStyle w:val="14"/>
              <w:bidi w:val="0"/>
              <w:jc w:val="center"/>
            </w:pPr>
            <w:r>
              <w:t>5000</w:t>
            </w:r>
          </w:p>
        </w:tc>
        <w:tc>
          <w:tcPr>
            <w:tcW w:w="1530" w:type="dxa"/>
            <w:vAlign w:val="center"/>
          </w:tcPr>
          <w:p w14:paraId="20B83618">
            <w:pPr>
              <w:pStyle w:val="14"/>
              <w:bidi w:val="0"/>
              <w:jc w:val="center"/>
            </w:pPr>
            <w:r>
              <w:t>十户以下民房</w:t>
            </w:r>
          </w:p>
        </w:tc>
        <w:tc>
          <w:tcPr>
            <w:tcW w:w="1020" w:type="dxa"/>
            <w:vAlign w:val="center"/>
          </w:tcPr>
          <w:p w14:paraId="60D45EF9">
            <w:pPr>
              <w:pStyle w:val="14"/>
              <w:bidi w:val="0"/>
              <w:jc w:val="center"/>
            </w:pPr>
            <w:r>
              <w:t>50</w:t>
            </w:r>
          </w:p>
        </w:tc>
        <w:tc>
          <w:tcPr>
            <w:tcW w:w="1032" w:type="dxa"/>
            <w:vAlign w:val="center"/>
          </w:tcPr>
          <w:p w14:paraId="1A58772A">
            <w:pPr>
              <w:pStyle w:val="14"/>
              <w:bidi w:val="0"/>
              <w:jc w:val="center"/>
            </w:pPr>
            <w:r>
              <w:t>215</w:t>
            </w:r>
          </w:p>
        </w:tc>
        <w:tc>
          <w:tcPr>
            <w:tcW w:w="1178" w:type="dxa"/>
            <w:shd w:val="clear" w:color="auto" w:fill="auto"/>
            <w:vAlign w:val="center"/>
          </w:tcPr>
          <w:p w14:paraId="3B4DF3C8">
            <w:pPr>
              <w:pStyle w:val="14"/>
              <w:bidi w:val="0"/>
              <w:ind w:firstLine="0" w:firstLineChars="0"/>
              <w:jc w:val="center"/>
              <w:rPr>
                <w:rFonts w:ascii="Times New Roman" w:hAnsi="Times New Roman" w:eastAsia="宋体" w:cs="Times New Roman"/>
                <w:kern w:val="2"/>
                <w:sz w:val="21"/>
                <w:szCs w:val="20"/>
                <w:lang w:val="en-US" w:eastAsia="zh-CN" w:bidi="ar-SA"/>
              </w:rPr>
            </w:pPr>
            <w:r>
              <w:rPr>
                <w:rFonts w:ascii="宋体" w:hAnsi="宋体" w:eastAsia="宋体" w:cs="宋体"/>
                <w:spacing w:val="-2"/>
                <w:sz w:val="21"/>
                <w:szCs w:val="21"/>
              </w:rPr>
              <w:t>符合</w:t>
            </w:r>
          </w:p>
        </w:tc>
      </w:tr>
      <w:tr w14:paraId="2FE237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914" w:type="dxa"/>
            <w:vAlign w:val="center"/>
          </w:tcPr>
          <w:p w14:paraId="55B3A26F">
            <w:pPr>
              <w:pStyle w:val="14"/>
              <w:bidi w:val="0"/>
              <w:jc w:val="center"/>
            </w:pPr>
            <w:r>
              <w:t>西</w:t>
            </w:r>
          </w:p>
        </w:tc>
        <w:tc>
          <w:tcPr>
            <w:tcW w:w="1098" w:type="dxa"/>
            <w:vAlign w:val="center"/>
          </w:tcPr>
          <w:p w14:paraId="2320918C">
            <w:pPr>
              <w:pStyle w:val="14"/>
              <w:bidi w:val="0"/>
              <w:jc w:val="center"/>
            </w:pPr>
            <w:r>
              <w:t>542成品库</w:t>
            </w:r>
          </w:p>
        </w:tc>
        <w:tc>
          <w:tcPr>
            <w:tcW w:w="694" w:type="dxa"/>
            <w:vAlign w:val="center"/>
          </w:tcPr>
          <w:p w14:paraId="76E50D3E">
            <w:pPr>
              <w:pStyle w:val="14"/>
              <w:bidi w:val="0"/>
              <w:jc w:val="center"/>
            </w:pPr>
            <w:r>
              <w:t>1.3</w:t>
            </w:r>
          </w:p>
        </w:tc>
        <w:tc>
          <w:tcPr>
            <w:tcW w:w="1044" w:type="dxa"/>
            <w:vAlign w:val="center"/>
          </w:tcPr>
          <w:p w14:paraId="3F0937FC">
            <w:pPr>
              <w:pStyle w:val="14"/>
              <w:bidi w:val="0"/>
              <w:jc w:val="center"/>
            </w:pPr>
            <w:r>
              <w:t>5000</w:t>
            </w:r>
          </w:p>
        </w:tc>
        <w:tc>
          <w:tcPr>
            <w:tcW w:w="1530" w:type="dxa"/>
            <w:vAlign w:val="center"/>
          </w:tcPr>
          <w:p w14:paraId="2C08F30A">
            <w:pPr>
              <w:pStyle w:val="14"/>
              <w:bidi w:val="0"/>
              <w:jc w:val="center"/>
            </w:pPr>
            <w:r>
              <w:t>山地</w:t>
            </w:r>
          </w:p>
        </w:tc>
        <w:tc>
          <w:tcPr>
            <w:tcW w:w="1020" w:type="dxa"/>
            <w:vAlign w:val="center"/>
          </w:tcPr>
          <w:p w14:paraId="24942158">
            <w:pPr>
              <w:pStyle w:val="14"/>
              <w:bidi w:val="0"/>
              <w:jc w:val="center"/>
            </w:pPr>
            <w:r>
              <w:t>/</w:t>
            </w:r>
          </w:p>
        </w:tc>
        <w:tc>
          <w:tcPr>
            <w:tcW w:w="1032" w:type="dxa"/>
            <w:vAlign w:val="center"/>
          </w:tcPr>
          <w:p w14:paraId="367E49FC">
            <w:pPr>
              <w:pStyle w:val="14"/>
              <w:bidi w:val="0"/>
              <w:jc w:val="center"/>
            </w:pPr>
            <w:r>
              <w:t>/</w:t>
            </w:r>
          </w:p>
        </w:tc>
        <w:tc>
          <w:tcPr>
            <w:tcW w:w="1178" w:type="dxa"/>
            <w:shd w:val="clear" w:color="auto" w:fill="auto"/>
            <w:vAlign w:val="center"/>
          </w:tcPr>
          <w:p w14:paraId="1AEE765E">
            <w:pPr>
              <w:pStyle w:val="14"/>
              <w:bidi w:val="0"/>
              <w:ind w:firstLine="0" w:firstLineChars="0"/>
              <w:jc w:val="center"/>
              <w:rPr>
                <w:rFonts w:ascii="Times New Roman" w:hAnsi="Times New Roman" w:eastAsia="宋体" w:cs="Times New Roman"/>
                <w:kern w:val="2"/>
                <w:sz w:val="21"/>
                <w:szCs w:val="20"/>
                <w:lang w:val="en-US" w:eastAsia="zh-CN" w:bidi="ar-SA"/>
              </w:rPr>
            </w:pPr>
            <w:r>
              <w:rPr>
                <w:rFonts w:ascii="宋体" w:hAnsi="宋体" w:eastAsia="宋体" w:cs="宋体"/>
                <w:spacing w:val="-2"/>
                <w:sz w:val="21"/>
                <w:szCs w:val="21"/>
              </w:rPr>
              <w:t>符合</w:t>
            </w:r>
          </w:p>
        </w:tc>
      </w:tr>
      <w:tr w14:paraId="435007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914" w:type="dxa"/>
            <w:vAlign w:val="center"/>
          </w:tcPr>
          <w:p w14:paraId="55FC4F85">
            <w:pPr>
              <w:pStyle w:val="14"/>
              <w:bidi w:val="0"/>
              <w:jc w:val="center"/>
            </w:pPr>
            <w:r>
              <w:t>北</w:t>
            </w:r>
          </w:p>
        </w:tc>
        <w:tc>
          <w:tcPr>
            <w:tcW w:w="1098" w:type="dxa"/>
            <w:vAlign w:val="center"/>
          </w:tcPr>
          <w:p w14:paraId="148DFE53">
            <w:pPr>
              <w:pStyle w:val="14"/>
              <w:bidi w:val="0"/>
              <w:jc w:val="center"/>
            </w:pPr>
            <w:r>
              <w:t>542成品库</w:t>
            </w:r>
          </w:p>
        </w:tc>
        <w:tc>
          <w:tcPr>
            <w:tcW w:w="694" w:type="dxa"/>
            <w:vAlign w:val="center"/>
          </w:tcPr>
          <w:p w14:paraId="7B2A9BCC">
            <w:pPr>
              <w:pStyle w:val="14"/>
              <w:bidi w:val="0"/>
              <w:jc w:val="center"/>
            </w:pPr>
            <w:r>
              <w:t>1.3</w:t>
            </w:r>
          </w:p>
        </w:tc>
        <w:tc>
          <w:tcPr>
            <w:tcW w:w="1044" w:type="dxa"/>
            <w:vAlign w:val="center"/>
          </w:tcPr>
          <w:p w14:paraId="6ABC08E1">
            <w:pPr>
              <w:pStyle w:val="14"/>
              <w:bidi w:val="0"/>
              <w:jc w:val="center"/>
            </w:pPr>
            <w:r>
              <w:t>5000</w:t>
            </w:r>
          </w:p>
        </w:tc>
        <w:tc>
          <w:tcPr>
            <w:tcW w:w="1530" w:type="dxa"/>
            <w:vAlign w:val="center"/>
          </w:tcPr>
          <w:p w14:paraId="58A14D13">
            <w:pPr>
              <w:pStyle w:val="14"/>
              <w:bidi w:val="0"/>
              <w:jc w:val="center"/>
            </w:pPr>
            <w:r>
              <w:t>山地</w:t>
            </w:r>
          </w:p>
        </w:tc>
        <w:tc>
          <w:tcPr>
            <w:tcW w:w="1020" w:type="dxa"/>
            <w:vAlign w:val="center"/>
          </w:tcPr>
          <w:p w14:paraId="4DD2288D">
            <w:pPr>
              <w:pStyle w:val="14"/>
              <w:bidi w:val="0"/>
              <w:jc w:val="center"/>
            </w:pPr>
            <w:r>
              <w:t>/</w:t>
            </w:r>
          </w:p>
        </w:tc>
        <w:tc>
          <w:tcPr>
            <w:tcW w:w="1032" w:type="dxa"/>
            <w:vAlign w:val="center"/>
          </w:tcPr>
          <w:p w14:paraId="75C03E2C">
            <w:pPr>
              <w:pStyle w:val="14"/>
              <w:bidi w:val="0"/>
              <w:jc w:val="center"/>
            </w:pPr>
            <w:r>
              <w:t>/</w:t>
            </w:r>
          </w:p>
        </w:tc>
        <w:tc>
          <w:tcPr>
            <w:tcW w:w="1178" w:type="dxa"/>
            <w:shd w:val="clear" w:color="auto" w:fill="auto"/>
            <w:vAlign w:val="center"/>
          </w:tcPr>
          <w:p w14:paraId="44F1F25A">
            <w:pPr>
              <w:pStyle w:val="14"/>
              <w:bidi w:val="0"/>
              <w:ind w:firstLine="0" w:firstLineChars="0"/>
              <w:jc w:val="center"/>
              <w:rPr>
                <w:rFonts w:ascii="Times New Roman" w:hAnsi="Times New Roman" w:eastAsia="宋体" w:cs="Times New Roman"/>
                <w:kern w:val="2"/>
                <w:sz w:val="21"/>
                <w:szCs w:val="20"/>
                <w:lang w:val="en-US" w:eastAsia="zh-CN" w:bidi="ar-SA"/>
              </w:rPr>
            </w:pPr>
            <w:r>
              <w:rPr>
                <w:rFonts w:ascii="宋体" w:hAnsi="宋体" w:eastAsia="宋体" w:cs="宋体"/>
                <w:spacing w:val="-2"/>
                <w:sz w:val="21"/>
                <w:szCs w:val="21"/>
              </w:rPr>
              <w:t>符合</w:t>
            </w:r>
          </w:p>
        </w:tc>
      </w:tr>
      <w:tr w14:paraId="0959A1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8510" w:type="dxa"/>
            <w:gridSpan w:val="8"/>
            <w:vAlign w:val="center"/>
          </w:tcPr>
          <w:p w14:paraId="23707E12">
            <w:pPr>
              <w:pStyle w:val="14"/>
              <w:bidi w:val="0"/>
              <w:jc w:val="center"/>
            </w:pPr>
            <w:r>
              <w:t>注：以上数据均</w:t>
            </w:r>
            <w:r>
              <w:rPr>
                <w:rFonts w:hint="eastAsia"/>
                <w:lang w:val="en-US" w:eastAsia="zh-CN"/>
              </w:rPr>
              <w:t>引自</w:t>
            </w:r>
            <w:r>
              <w:t>企业提供</w:t>
            </w:r>
            <w:r>
              <w:rPr>
                <w:rFonts w:hint="eastAsia"/>
                <w:lang w:val="en-US" w:eastAsia="zh-CN"/>
              </w:rPr>
              <w:t>的、</w:t>
            </w:r>
            <w:r>
              <w:t>由</w:t>
            </w:r>
            <w:r>
              <w:rPr>
                <w:rFonts w:hint="eastAsia"/>
                <w:lang w:val="en-US" w:eastAsia="zh-CN"/>
              </w:rPr>
              <w:t>黑龙江龙维化学工程设计有限公司2024年10月</w:t>
            </w:r>
            <w:r>
              <w:t>出具的总平面布置图中的对齐标注数据</w:t>
            </w:r>
          </w:p>
        </w:tc>
      </w:tr>
    </w:tbl>
    <w:p w14:paraId="3DBB94BD">
      <w:pPr>
        <w:bidi w:val="0"/>
      </w:pPr>
      <w:r>
        <w:t>表</w:t>
      </w:r>
      <w:r>
        <w:rPr>
          <w:rFonts w:hint="eastAsia"/>
          <w:lang w:val="en-US" w:eastAsia="zh-CN"/>
        </w:rPr>
        <w:t>5</w:t>
      </w:r>
      <w:r>
        <w:t>.</w:t>
      </w:r>
      <w:r>
        <w:rPr>
          <w:rFonts w:hint="eastAsia"/>
          <w:lang w:val="en-US" w:eastAsia="zh-CN"/>
        </w:rPr>
        <w:t>6</w:t>
      </w:r>
      <w:r>
        <w:t>-4</w:t>
      </w:r>
      <w:r>
        <w:rPr>
          <w:rFonts w:hint="eastAsia"/>
          <w:lang w:val="en-US" w:eastAsia="zh-CN"/>
        </w:rPr>
        <w:t xml:space="preserve"> </w:t>
      </w:r>
      <w:r>
        <w:t>该项目租赁的545号成品库与外部距离情况一览表</w:t>
      </w:r>
    </w:p>
    <w:tbl>
      <w:tblPr>
        <w:tblStyle w:val="105"/>
        <w:tblW w:w="8710" w:type="dxa"/>
        <w:tblInd w:w="35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24"/>
        <w:gridCol w:w="1098"/>
        <w:gridCol w:w="655"/>
        <w:gridCol w:w="1003"/>
        <w:gridCol w:w="1920"/>
        <w:gridCol w:w="1020"/>
        <w:gridCol w:w="1064"/>
        <w:gridCol w:w="1026"/>
      </w:tblGrid>
      <w:tr w14:paraId="703D4D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924" w:type="dxa"/>
            <w:vAlign w:val="center"/>
          </w:tcPr>
          <w:p w14:paraId="620D1DCB">
            <w:pPr>
              <w:pStyle w:val="14"/>
              <w:bidi w:val="0"/>
              <w:jc w:val="center"/>
            </w:pPr>
            <w:r>
              <w:t>方位</w:t>
            </w:r>
          </w:p>
        </w:tc>
        <w:tc>
          <w:tcPr>
            <w:tcW w:w="1098" w:type="dxa"/>
            <w:vAlign w:val="center"/>
          </w:tcPr>
          <w:p w14:paraId="1F09EBC5">
            <w:pPr>
              <w:pStyle w:val="14"/>
              <w:bidi w:val="0"/>
              <w:jc w:val="center"/>
            </w:pPr>
            <w:r>
              <w:t>库房</w:t>
            </w:r>
            <w:r>
              <w:rPr>
                <w:rFonts w:hint="eastAsia"/>
                <w:lang w:val="en-US" w:eastAsia="zh-CN"/>
              </w:rPr>
              <w:t>名称</w:t>
            </w:r>
          </w:p>
        </w:tc>
        <w:tc>
          <w:tcPr>
            <w:tcW w:w="655" w:type="dxa"/>
            <w:vAlign w:val="center"/>
          </w:tcPr>
          <w:p w14:paraId="451C2031">
            <w:pPr>
              <w:pStyle w:val="14"/>
              <w:bidi w:val="0"/>
              <w:jc w:val="center"/>
            </w:pPr>
            <w:r>
              <w:t>危险等级</w:t>
            </w:r>
          </w:p>
        </w:tc>
        <w:tc>
          <w:tcPr>
            <w:tcW w:w="1003" w:type="dxa"/>
            <w:vAlign w:val="center"/>
          </w:tcPr>
          <w:p w14:paraId="75FB2140">
            <w:pPr>
              <w:pStyle w:val="14"/>
              <w:bidi w:val="0"/>
              <w:jc w:val="center"/>
            </w:pPr>
            <w:r>
              <w:t>药物限量</w:t>
            </w:r>
          </w:p>
          <w:p w14:paraId="1636B06F">
            <w:pPr>
              <w:pStyle w:val="14"/>
              <w:bidi w:val="0"/>
              <w:jc w:val="center"/>
            </w:pPr>
            <w:r>
              <w:t>(kg)</w:t>
            </w:r>
          </w:p>
        </w:tc>
        <w:tc>
          <w:tcPr>
            <w:tcW w:w="1920" w:type="dxa"/>
            <w:vAlign w:val="center"/>
          </w:tcPr>
          <w:p w14:paraId="0735C1FA">
            <w:pPr>
              <w:pStyle w:val="14"/>
              <w:bidi w:val="0"/>
              <w:jc w:val="center"/>
            </w:pPr>
            <w:r>
              <w:t>周边毗邻情况</w:t>
            </w:r>
          </w:p>
        </w:tc>
        <w:tc>
          <w:tcPr>
            <w:tcW w:w="1020" w:type="dxa"/>
            <w:vAlign w:val="center"/>
          </w:tcPr>
          <w:p w14:paraId="6F2D325F">
            <w:pPr>
              <w:pStyle w:val="14"/>
              <w:bidi w:val="0"/>
              <w:jc w:val="center"/>
            </w:pPr>
            <w:r>
              <w:t>标准距离</w:t>
            </w:r>
          </w:p>
          <w:p w14:paraId="1817AB82">
            <w:pPr>
              <w:pStyle w:val="14"/>
              <w:bidi w:val="0"/>
              <w:jc w:val="center"/>
            </w:pPr>
            <w:r>
              <w:t>(m)</w:t>
            </w:r>
          </w:p>
        </w:tc>
        <w:tc>
          <w:tcPr>
            <w:tcW w:w="1064" w:type="dxa"/>
            <w:vAlign w:val="center"/>
          </w:tcPr>
          <w:p w14:paraId="2A700FFD">
            <w:pPr>
              <w:pStyle w:val="14"/>
              <w:bidi w:val="0"/>
              <w:jc w:val="center"/>
            </w:pPr>
            <w:r>
              <w:t>实际距离</w:t>
            </w:r>
          </w:p>
          <w:p w14:paraId="0B1D0F52">
            <w:pPr>
              <w:pStyle w:val="14"/>
              <w:bidi w:val="0"/>
              <w:jc w:val="center"/>
            </w:pPr>
            <w:r>
              <w:t>(m)</w:t>
            </w:r>
          </w:p>
        </w:tc>
        <w:tc>
          <w:tcPr>
            <w:tcW w:w="1026" w:type="dxa"/>
            <w:shd w:val="clear" w:color="auto" w:fill="auto"/>
            <w:vAlign w:val="center"/>
          </w:tcPr>
          <w:p w14:paraId="6A1149FA">
            <w:pPr>
              <w:pStyle w:val="14"/>
              <w:bidi w:val="0"/>
              <w:ind w:firstLine="0" w:firstLineChars="0"/>
              <w:jc w:val="center"/>
              <w:rPr>
                <w:rFonts w:ascii="Times New Roman" w:hAnsi="Times New Roman" w:eastAsia="宋体" w:cs="Times New Roman"/>
                <w:kern w:val="2"/>
                <w:sz w:val="21"/>
                <w:szCs w:val="20"/>
                <w:lang w:val="en-US" w:eastAsia="zh-CN" w:bidi="ar-SA"/>
              </w:rPr>
            </w:pPr>
            <w:r>
              <w:rPr>
                <w:rFonts w:ascii="宋体" w:hAnsi="宋体" w:eastAsia="宋体" w:cs="宋体"/>
                <w:spacing w:val="-2"/>
                <w:sz w:val="21"/>
                <w:szCs w:val="21"/>
              </w:rPr>
              <w:t>符合性</w:t>
            </w:r>
          </w:p>
        </w:tc>
      </w:tr>
      <w:tr w14:paraId="0ECCAA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924" w:type="dxa"/>
            <w:vAlign w:val="center"/>
          </w:tcPr>
          <w:p w14:paraId="17A885D4">
            <w:pPr>
              <w:pStyle w:val="14"/>
              <w:bidi w:val="0"/>
              <w:jc w:val="center"/>
            </w:pPr>
            <w:r>
              <w:t>东</w:t>
            </w:r>
          </w:p>
        </w:tc>
        <w:tc>
          <w:tcPr>
            <w:tcW w:w="1098" w:type="dxa"/>
            <w:vAlign w:val="center"/>
          </w:tcPr>
          <w:p w14:paraId="3A21691A">
            <w:pPr>
              <w:pStyle w:val="14"/>
              <w:bidi w:val="0"/>
              <w:jc w:val="center"/>
            </w:pPr>
            <w:r>
              <w:t>545成品库</w:t>
            </w:r>
          </w:p>
        </w:tc>
        <w:tc>
          <w:tcPr>
            <w:tcW w:w="655" w:type="dxa"/>
            <w:vAlign w:val="center"/>
          </w:tcPr>
          <w:p w14:paraId="72B7FBF9">
            <w:pPr>
              <w:pStyle w:val="14"/>
              <w:bidi w:val="0"/>
              <w:jc w:val="center"/>
            </w:pPr>
            <w:r>
              <w:t>1.1</w:t>
            </w:r>
            <w:r>
              <w:rPr>
                <w:vertAlign w:val="superscript"/>
              </w:rPr>
              <w:t>-</w:t>
            </w:r>
            <w:r>
              <w:t>²</w:t>
            </w:r>
          </w:p>
        </w:tc>
        <w:tc>
          <w:tcPr>
            <w:tcW w:w="1003" w:type="dxa"/>
            <w:vAlign w:val="center"/>
          </w:tcPr>
          <w:p w14:paraId="3723DB8C">
            <w:pPr>
              <w:pStyle w:val="14"/>
              <w:bidi w:val="0"/>
              <w:jc w:val="center"/>
            </w:pPr>
            <w:r>
              <w:t>2000</w:t>
            </w:r>
          </w:p>
        </w:tc>
        <w:tc>
          <w:tcPr>
            <w:tcW w:w="1920" w:type="dxa"/>
            <w:vAlign w:val="center"/>
          </w:tcPr>
          <w:p w14:paraId="086D7143">
            <w:pPr>
              <w:pStyle w:val="14"/>
              <w:bidi w:val="0"/>
              <w:jc w:val="center"/>
            </w:pPr>
            <w:r>
              <w:t>山地</w:t>
            </w:r>
          </w:p>
        </w:tc>
        <w:tc>
          <w:tcPr>
            <w:tcW w:w="1020" w:type="dxa"/>
            <w:vAlign w:val="center"/>
          </w:tcPr>
          <w:p w14:paraId="4EB6EE13">
            <w:pPr>
              <w:pStyle w:val="14"/>
              <w:bidi w:val="0"/>
              <w:jc w:val="center"/>
            </w:pPr>
            <w:r>
              <w:t>/</w:t>
            </w:r>
          </w:p>
        </w:tc>
        <w:tc>
          <w:tcPr>
            <w:tcW w:w="1064" w:type="dxa"/>
            <w:vAlign w:val="center"/>
          </w:tcPr>
          <w:p w14:paraId="7B2FC79B">
            <w:pPr>
              <w:pStyle w:val="14"/>
              <w:bidi w:val="0"/>
              <w:jc w:val="center"/>
            </w:pPr>
            <w:r>
              <w:t>/</w:t>
            </w:r>
          </w:p>
        </w:tc>
        <w:tc>
          <w:tcPr>
            <w:tcW w:w="1026" w:type="dxa"/>
            <w:shd w:val="clear" w:color="auto" w:fill="auto"/>
            <w:vAlign w:val="center"/>
          </w:tcPr>
          <w:p w14:paraId="2D2BA8FB">
            <w:pPr>
              <w:pStyle w:val="14"/>
              <w:bidi w:val="0"/>
              <w:ind w:firstLine="0" w:firstLineChars="0"/>
              <w:jc w:val="center"/>
              <w:rPr>
                <w:rFonts w:ascii="Times New Roman" w:hAnsi="Times New Roman" w:eastAsia="宋体" w:cs="Times New Roman"/>
                <w:kern w:val="2"/>
                <w:sz w:val="21"/>
                <w:szCs w:val="20"/>
                <w:lang w:val="en-US" w:eastAsia="zh-CN" w:bidi="ar-SA"/>
              </w:rPr>
            </w:pPr>
            <w:r>
              <w:rPr>
                <w:rFonts w:ascii="宋体" w:hAnsi="宋体" w:eastAsia="宋体" w:cs="宋体"/>
                <w:spacing w:val="-2"/>
                <w:sz w:val="21"/>
                <w:szCs w:val="21"/>
              </w:rPr>
              <w:t>符合</w:t>
            </w:r>
          </w:p>
        </w:tc>
      </w:tr>
      <w:tr w14:paraId="095D1C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924" w:type="dxa"/>
            <w:shd w:val="clear" w:color="auto" w:fill="auto"/>
            <w:vAlign w:val="center"/>
          </w:tcPr>
          <w:p w14:paraId="133A1627">
            <w:pPr>
              <w:pStyle w:val="14"/>
              <w:bidi w:val="0"/>
              <w:jc w:val="center"/>
              <w:rPr>
                <w:lang w:val="en-US" w:eastAsia="en-US"/>
              </w:rPr>
            </w:pPr>
            <w:r>
              <w:t>南</w:t>
            </w:r>
          </w:p>
        </w:tc>
        <w:tc>
          <w:tcPr>
            <w:tcW w:w="1098" w:type="dxa"/>
            <w:shd w:val="clear" w:color="auto" w:fill="auto"/>
            <w:vAlign w:val="center"/>
          </w:tcPr>
          <w:p w14:paraId="01F59453">
            <w:pPr>
              <w:pStyle w:val="14"/>
              <w:bidi w:val="0"/>
              <w:jc w:val="center"/>
              <w:rPr>
                <w:lang w:val="en-US" w:eastAsia="en-US"/>
              </w:rPr>
            </w:pPr>
            <w:r>
              <w:t>545成品库</w:t>
            </w:r>
          </w:p>
        </w:tc>
        <w:tc>
          <w:tcPr>
            <w:tcW w:w="655" w:type="dxa"/>
            <w:shd w:val="clear" w:color="auto" w:fill="auto"/>
            <w:vAlign w:val="center"/>
          </w:tcPr>
          <w:p w14:paraId="519F28AB">
            <w:pPr>
              <w:pStyle w:val="14"/>
              <w:bidi w:val="0"/>
              <w:jc w:val="center"/>
              <w:rPr>
                <w:lang w:val="en-US" w:eastAsia="en-US"/>
              </w:rPr>
            </w:pPr>
            <w:r>
              <w:t>1.1</w:t>
            </w:r>
            <w:r>
              <w:rPr>
                <w:vertAlign w:val="superscript"/>
              </w:rPr>
              <w:t>-2</w:t>
            </w:r>
          </w:p>
        </w:tc>
        <w:tc>
          <w:tcPr>
            <w:tcW w:w="1003" w:type="dxa"/>
            <w:shd w:val="clear" w:color="auto" w:fill="auto"/>
            <w:vAlign w:val="center"/>
          </w:tcPr>
          <w:p w14:paraId="4C73EE18">
            <w:pPr>
              <w:pStyle w:val="14"/>
              <w:bidi w:val="0"/>
              <w:jc w:val="center"/>
              <w:rPr>
                <w:lang w:val="en-US" w:eastAsia="en-US"/>
              </w:rPr>
            </w:pPr>
            <w:r>
              <w:t>2000</w:t>
            </w:r>
          </w:p>
        </w:tc>
        <w:tc>
          <w:tcPr>
            <w:tcW w:w="1920" w:type="dxa"/>
            <w:shd w:val="clear" w:color="auto" w:fill="auto"/>
            <w:vAlign w:val="center"/>
          </w:tcPr>
          <w:p w14:paraId="6A1F28A8">
            <w:pPr>
              <w:pStyle w:val="14"/>
              <w:bidi w:val="0"/>
              <w:jc w:val="center"/>
              <w:rPr>
                <w:lang w:val="en-US" w:eastAsia="en-US"/>
              </w:rPr>
            </w:pPr>
            <w:r>
              <w:t>外部花炮厂引线库</w:t>
            </w:r>
          </w:p>
        </w:tc>
        <w:tc>
          <w:tcPr>
            <w:tcW w:w="1020" w:type="dxa"/>
            <w:shd w:val="clear" w:color="auto" w:fill="auto"/>
            <w:vAlign w:val="center"/>
          </w:tcPr>
          <w:p w14:paraId="57D42509">
            <w:pPr>
              <w:pStyle w:val="14"/>
              <w:bidi w:val="0"/>
              <w:jc w:val="center"/>
              <w:rPr>
                <w:lang w:val="en-US" w:eastAsia="en-US"/>
              </w:rPr>
            </w:pPr>
            <w:r>
              <w:t>185</w:t>
            </w:r>
          </w:p>
        </w:tc>
        <w:tc>
          <w:tcPr>
            <w:tcW w:w="1064" w:type="dxa"/>
            <w:shd w:val="clear" w:color="auto" w:fill="auto"/>
            <w:vAlign w:val="center"/>
          </w:tcPr>
          <w:p w14:paraId="088C9219">
            <w:pPr>
              <w:pStyle w:val="14"/>
              <w:bidi w:val="0"/>
              <w:jc w:val="center"/>
              <w:rPr>
                <w:lang w:val="en-US" w:eastAsia="en-US"/>
              </w:rPr>
            </w:pPr>
            <w:r>
              <w:t>191</w:t>
            </w:r>
          </w:p>
        </w:tc>
        <w:tc>
          <w:tcPr>
            <w:tcW w:w="1026" w:type="dxa"/>
            <w:shd w:val="clear" w:color="auto" w:fill="auto"/>
            <w:vAlign w:val="center"/>
          </w:tcPr>
          <w:p w14:paraId="24704B02">
            <w:pPr>
              <w:pStyle w:val="14"/>
              <w:bidi w:val="0"/>
              <w:ind w:firstLine="0" w:firstLineChars="0"/>
              <w:jc w:val="center"/>
              <w:rPr>
                <w:rFonts w:ascii="Times New Roman" w:hAnsi="Times New Roman" w:eastAsia="宋体" w:cs="Times New Roman"/>
                <w:kern w:val="2"/>
                <w:sz w:val="21"/>
                <w:szCs w:val="20"/>
                <w:lang w:val="en-US" w:eastAsia="zh-CN" w:bidi="ar-SA"/>
              </w:rPr>
            </w:pPr>
            <w:r>
              <w:rPr>
                <w:rFonts w:ascii="宋体" w:hAnsi="宋体" w:eastAsia="宋体" w:cs="宋体"/>
                <w:spacing w:val="-2"/>
                <w:sz w:val="21"/>
                <w:szCs w:val="21"/>
              </w:rPr>
              <w:t>符合</w:t>
            </w:r>
          </w:p>
        </w:tc>
      </w:tr>
      <w:tr w14:paraId="32A558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924" w:type="dxa"/>
            <w:shd w:val="clear" w:color="auto" w:fill="auto"/>
            <w:vAlign w:val="center"/>
          </w:tcPr>
          <w:p w14:paraId="01391107">
            <w:pPr>
              <w:pStyle w:val="14"/>
              <w:bidi w:val="0"/>
              <w:jc w:val="center"/>
              <w:rPr>
                <w:lang w:val="en-US" w:eastAsia="en-US"/>
              </w:rPr>
            </w:pPr>
            <w:r>
              <w:t>西</w:t>
            </w:r>
          </w:p>
        </w:tc>
        <w:tc>
          <w:tcPr>
            <w:tcW w:w="1098" w:type="dxa"/>
            <w:shd w:val="clear" w:color="auto" w:fill="auto"/>
            <w:vAlign w:val="center"/>
          </w:tcPr>
          <w:p w14:paraId="7755FA4D">
            <w:pPr>
              <w:pStyle w:val="14"/>
              <w:bidi w:val="0"/>
              <w:jc w:val="center"/>
              <w:rPr>
                <w:lang w:val="en-US" w:eastAsia="en-US"/>
              </w:rPr>
            </w:pPr>
            <w:r>
              <w:t>545成品库</w:t>
            </w:r>
          </w:p>
        </w:tc>
        <w:tc>
          <w:tcPr>
            <w:tcW w:w="655" w:type="dxa"/>
            <w:shd w:val="clear" w:color="auto" w:fill="auto"/>
            <w:vAlign w:val="center"/>
          </w:tcPr>
          <w:p w14:paraId="0C03CEC2">
            <w:pPr>
              <w:pStyle w:val="14"/>
              <w:bidi w:val="0"/>
              <w:jc w:val="center"/>
              <w:rPr>
                <w:lang w:val="en-US" w:eastAsia="en-US"/>
              </w:rPr>
            </w:pPr>
            <w:r>
              <w:t>1.1</w:t>
            </w:r>
            <w:r>
              <w:rPr>
                <w:vertAlign w:val="superscript"/>
              </w:rPr>
              <w:t>-</w:t>
            </w:r>
            <w:r>
              <w:t>²</w:t>
            </w:r>
          </w:p>
        </w:tc>
        <w:tc>
          <w:tcPr>
            <w:tcW w:w="1003" w:type="dxa"/>
            <w:shd w:val="clear" w:color="auto" w:fill="auto"/>
            <w:vAlign w:val="center"/>
          </w:tcPr>
          <w:p w14:paraId="55069C83">
            <w:pPr>
              <w:pStyle w:val="14"/>
              <w:bidi w:val="0"/>
              <w:jc w:val="center"/>
              <w:rPr>
                <w:lang w:val="en-US" w:eastAsia="en-US"/>
              </w:rPr>
            </w:pPr>
            <w:r>
              <w:t>2000</w:t>
            </w:r>
          </w:p>
        </w:tc>
        <w:tc>
          <w:tcPr>
            <w:tcW w:w="1920" w:type="dxa"/>
            <w:shd w:val="clear" w:color="auto" w:fill="auto"/>
            <w:vAlign w:val="center"/>
          </w:tcPr>
          <w:p w14:paraId="1075E34E">
            <w:pPr>
              <w:pStyle w:val="14"/>
              <w:bidi w:val="0"/>
              <w:jc w:val="center"/>
              <w:rPr>
                <w:lang w:val="en-US" w:eastAsia="en-US"/>
              </w:rPr>
            </w:pPr>
            <w:r>
              <w:t>十户以下民房</w:t>
            </w:r>
          </w:p>
        </w:tc>
        <w:tc>
          <w:tcPr>
            <w:tcW w:w="1020" w:type="dxa"/>
            <w:shd w:val="clear" w:color="auto" w:fill="auto"/>
            <w:vAlign w:val="center"/>
          </w:tcPr>
          <w:p w14:paraId="350BC713">
            <w:pPr>
              <w:pStyle w:val="14"/>
              <w:bidi w:val="0"/>
              <w:jc w:val="center"/>
              <w:rPr>
                <w:rFonts w:hint="default" w:eastAsia="宋体"/>
                <w:lang w:val="en-US" w:eastAsia="zh-CN"/>
              </w:rPr>
            </w:pPr>
            <w:r>
              <w:rPr>
                <w:rFonts w:hint="eastAsia"/>
                <w:lang w:val="en-US" w:eastAsia="zh-CN"/>
              </w:rPr>
              <w:t>185</w:t>
            </w:r>
          </w:p>
        </w:tc>
        <w:tc>
          <w:tcPr>
            <w:tcW w:w="1064" w:type="dxa"/>
            <w:shd w:val="clear" w:color="auto" w:fill="auto"/>
            <w:vAlign w:val="center"/>
          </w:tcPr>
          <w:p w14:paraId="49FF27C6">
            <w:pPr>
              <w:pStyle w:val="14"/>
              <w:bidi w:val="0"/>
              <w:jc w:val="center"/>
              <w:rPr>
                <w:rFonts w:hint="default" w:eastAsia="宋体"/>
                <w:lang w:val="en-US" w:eastAsia="zh-CN"/>
              </w:rPr>
            </w:pPr>
            <w:r>
              <w:rPr>
                <w:rFonts w:hint="eastAsia"/>
                <w:lang w:val="en-US" w:eastAsia="zh-CN"/>
              </w:rPr>
              <w:t>245</w:t>
            </w:r>
          </w:p>
        </w:tc>
        <w:tc>
          <w:tcPr>
            <w:tcW w:w="1026" w:type="dxa"/>
            <w:shd w:val="clear" w:color="auto" w:fill="auto"/>
            <w:vAlign w:val="center"/>
          </w:tcPr>
          <w:p w14:paraId="285E3E9B">
            <w:pPr>
              <w:pStyle w:val="14"/>
              <w:bidi w:val="0"/>
              <w:ind w:firstLine="0" w:firstLineChars="0"/>
              <w:jc w:val="center"/>
              <w:rPr>
                <w:rFonts w:hint="eastAsia" w:ascii="Times New Roman" w:hAnsi="Times New Roman" w:eastAsia="宋体" w:cs="Times New Roman"/>
                <w:kern w:val="2"/>
                <w:sz w:val="21"/>
                <w:szCs w:val="20"/>
                <w:lang w:val="en-US" w:eastAsia="zh-CN" w:bidi="ar-SA"/>
              </w:rPr>
            </w:pPr>
            <w:r>
              <w:rPr>
                <w:rFonts w:ascii="宋体" w:hAnsi="宋体" w:eastAsia="宋体" w:cs="宋体"/>
                <w:spacing w:val="-2"/>
                <w:sz w:val="21"/>
                <w:szCs w:val="21"/>
              </w:rPr>
              <w:t>符合</w:t>
            </w:r>
          </w:p>
        </w:tc>
      </w:tr>
      <w:tr w14:paraId="4531BD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924" w:type="dxa"/>
            <w:shd w:val="clear" w:color="auto" w:fill="auto"/>
            <w:vAlign w:val="center"/>
          </w:tcPr>
          <w:p w14:paraId="4A177DEB">
            <w:pPr>
              <w:pStyle w:val="14"/>
              <w:bidi w:val="0"/>
              <w:jc w:val="center"/>
              <w:rPr>
                <w:lang w:val="en-US" w:eastAsia="en-US"/>
              </w:rPr>
            </w:pPr>
            <w:r>
              <w:t>北</w:t>
            </w:r>
          </w:p>
        </w:tc>
        <w:tc>
          <w:tcPr>
            <w:tcW w:w="1098" w:type="dxa"/>
            <w:shd w:val="clear" w:color="auto" w:fill="auto"/>
            <w:vAlign w:val="center"/>
          </w:tcPr>
          <w:p w14:paraId="2AFBDCDE">
            <w:pPr>
              <w:pStyle w:val="14"/>
              <w:bidi w:val="0"/>
              <w:jc w:val="center"/>
              <w:rPr>
                <w:lang w:val="en-US" w:eastAsia="en-US"/>
              </w:rPr>
            </w:pPr>
            <w:r>
              <w:t>545成品库</w:t>
            </w:r>
          </w:p>
        </w:tc>
        <w:tc>
          <w:tcPr>
            <w:tcW w:w="655" w:type="dxa"/>
            <w:shd w:val="clear" w:color="auto" w:fill="auto"/>
            <w:vAlign w:val="center"/>
          </w:tcPr>
          <w:p w14:paraId="3D9C8015">
            <w:pPr>
              <w:pStyle w:val="14"/>
              <w:bidi w:val="0"/>
              <w:jc w:val="center"/>
              <w:rPr>
                <w:lang w:val="en-US" w:eastAsia="en-US"/>
              </w:rPr>
            </w:pPr>
            <w:r>
              <w:t>1.1</w:t>
            </w:r>
            <w:r>
              <w:rPr>
                <w:vertAlign w:val="superscript"/>
              </w:rPr>
              <w:t>-</w:t>
            </w:r>
            <w:r>
              <w:t>²</w:t>
            </w:r>
          </w:p>
        </w:tc>
        <w:tc>
          <w:tcPr>
            <w:tcW w:w="1003" w:type="dxa"/>
            <w:shd w:val="clear" w:color="auto" w:fill="auto"/>
            <w:vAlign w:val="center"/>
          </w:tcPr>
          <w:p w14:paraId="03186F3F">
            <w:pPr>
              <w:pStyle w:val="14"/>
              <w:bidi w:val="0"/>
              <w:jc w:val="center"/>
              <w:rPr>
                <w:lang w:val="en-US" w:eastAsia="en-US"/>
              </w:rPr>
            </w:pPr>
            <w:r>
              <w:t>2000</w:t>
            </w:r>
          </w:p>
        </w:tc>
        <w:tc>
          <w:tcPr>
            <w:tcW w:w="1920" w:type="dxa"/>
            <w:shd w:val="clear" w:color="auto" w:fill="auto"/>
            <w:vAlign w:val="center"/>
          </w:tcPr>
          <w:p w14:paraId="36C3CBEB">
            <w:pPr>
              <w:pStyle w:val="14"/>
              <w:bidi w:val="0"/>
              <w:jc w:val="center"/>
              <w:rPr>
                <w:lang w:val="en-US" w:eastAsia="en-US"/>
              </w:rPr>
            </w:pPr>
            <w:r>
              <w:t>山地</w:t>
            </w:r>
          </w:p>
        </w:tc>
        <w:tc>
          <w:tcPr>
            <w:tcW w:w="1020" w:type="dxa"/>
            <w:shd w:val="clear" w:color="auto" w:fill="auto"/>
            <w:vAlign w:val="center"/>
          </w:tcPr>
          <w:p w14:paraId="4D4533D6">
            <w:pPr>
              <w:pStyle w:val="14"/>
              <w:bidi w:val="0"/>
              <w:jc w:val="center"/>
              <w:rPr>
                <w:lang w:val="en-US" w:eastAsia="en-US"/>
              </w:rPr>
            </w:pPr>
            <w:r>
              <w:t>/</w:t>
            </w:r>
          </w:p>
        </w:tc>
        <w:tc>
          <w:tcPr>
            <w:tcW w:w="1064" w:type="dxa"/>
            <w:shd w:val="clear" w:color="auto" w:fill="auto"/>
            <w:vAlign w:val="center"/>
          </w:tcPr>
          <w:p w14:paraId="5B65C2DD">
            <w:pPr>
              <w:pStyle w:val="14"/>
              <w:bidi w:val="0"/>
              <w:jc w:val="center"/>
              <w:rPr>
                <w:lang w:val="en-US" w:eastAsia="en-US"/>
              </w:rPr>
            </w:pPr>
            <w:r>
              <w:t>/</w:t>
            </w:r>
          </w:p>
        </w:tc>
        <w:tc>
          <w:tcPr>
            <w:tcW w:w="1026" w:type="dxa"/>
            <w:shd w:val="clear" w:color="auto" w:fill="auto"/>
            <w:vAlign w:val="center"/>
          </w:tcPr>
          <w:p w14:paraId="73B9E09B">
            <w:pPr>
              <w:pStyle w:val="14"/>
              <w:bidi w:val="0"/>
              <w:ind w:firstLine="0" w:firstLineChars="0"/>
              <w:jc w:val="center"/>
              <w:rPr>
                <w:rFonts w:ascii="Times New Roman" w:hAnsi="Times New Roman" w:eastAsia="宋体" w:cs="Times New Roman"/>
                <w:kern w:val="2"/>
                <w:sz w:val="21"/>
                <w:szCs w:val="20"/>
                <w:lang w:val="en-US" w:eastAsia="zh-CN" w:bidi="ar-SA"/>
              </w:rPr>
            </w:pPr>
            <w:r>
              <w:rPr>
                <w:rFonts w:ascii="宋体" w:hAnsi="宋体" w:eastAsia="宋体" w:cs="宋体"/>
                <w:spacing w:val="-2"/>
                <w:sz w:val="21"/>
                <w:szCs w:val="21"/>
              </w:rPr>
              <w:t>符合</w:t>
            </w:r>
          </w:p>
        </w:tc>
      </w:tr>
      <w:tr w14:paraId="5BCF31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8710" w:type="dxa"/>
            <w:gridSpan w:val="8"/>
            <w:shd w:val="clear" w:color="auto" w:fill="auto"/>
            <w:vAlign w:val="center"/>
          </w:tcPr>
          <w:p w14:paraId="4A0C2B8D">
            <w:pPr>
              <w:pStyle w:val="14"/>
              <w:bidi w:val="0"/>
              <w:jc w:val="center"/>
            </w:pPr>
            <w:r>
              <w:t>注：以上数据均</w:t>
            </w:r>
            <w:r>
              <w:rPr>
                <w:rFonts w:hint="eastAsia"/>
                <w:lang w:val="en-US" w:eastAsia="zh-CN"/>
              </w:rPr>
              <w:t>引自</w:t>
            </w:r>
            <w:r>
              <w:t>企业提供</w:t>
            </w:r>
            <w:r>
              <w:rPr>
                <w:rFonts w:hint="eastAsia"/>
                <w:lang w:val="en-US" w:eastAsia="zh-CN"/>
              </w:rPr>
              <w:t>的、</w:t>
            </w:r>
            <w:r>
              <w:t>由</w:t>
            </w:r>
            <w:r>
              <w:rPr>
                <w:rFonts w:hint="eastAsia"/>
                <w:lang w:val="en-US" w:eastAsia="zh-CN"/>
              </w:rPr>
              <w:t>黑龙江龙维化学工程设计有限公司2024年10月</w:t>
            </w:r>
            <w:r>
              <w:t>出具的总平面布置图中的对齐标注数据</w:t>
            </w:r>
          </w:p>
        </w:tc>
      </w:tr>
    </w:tbl>
    <w:p w14:paraId="77D13BF1">
      <w:pPr>
        <w:bidi w:val="0"/>
        <w:rPr>
          <w:rFonts w:hint="eastAsia"/>
        </w:rPr>
      </w:pPr>
      <w:r>
        <w:rPr>
          <w:rFonts w:hint="eastAsia"/>
        </w:rPr>
        <w:t>结论：根据以上表得知，该项目各危险性建筑物的外距离均符合《烟花爆竹工程设计安全标准》 GB50161-2022 外部最小允许距离要求，符合安全条件。</w:t>
      </w:r>
    </w:p>
    <w:p w14:paraId="1C0FEC6D">
      <w:pPr>
        <w:pStyle w:val="3"/>
        <w:bidi w:val="0"/>
        <w:ind w:left="0" w:leftChars="0" w:firstLine="0" w:firstLineChars="0"/>
        <w:rPr>
          <w:rFonts w:hint="eastAsia"/>
        </w:rPr>
      </w:pPr>
      <w:bookmarkStart w:id="144" w:name="_Toc27830"/>
      <w:bookmarkStart w:id="145" w:name="_Toc7804"/>
      <w:r>
        <w:rPr>
          <w:rFonts w:hint="eastAsia"/>
        </w:rPr>
        <w:t>5.7周边环境危险性评价</w:t>
      </w:r>
      <w:bookmarkEnd w:id="144"/>
      <w:bookmarkEnd w:id="145"/>
    </w:p>
    <w:p w14:paraId="6FE7CBBD">
      <w:pPr>
        <w:pStyle w:val="4"/>
        <w:bidi w:val="0"/>
        <w:ind w:left="0" w:leftChars="0" w:firstLine="0" w:firstLineChars="0"/>
        <w:rPr>
          <w:rFonts w:hint="eastAsia"/>
        </w:rPr>
      </w:pPr>
      <w:bookmarkStart w:id="146" w:name="_Toc3944"/>
      <w:r>
        <w:rPr>
          <w:rFonts w:hint="eastAsia"/>
        </w:rPr>
        <w:t>5.7.1 库区内在的危险、有害因素对周边单位生产、经营活动或者居民生活的影响</w:t>
      </w:r>
      <w:bookmarkEnd w:id="146"/>
    </w:p>
    <w:p w14:paraId="07FBD230">
      <w:pPr>
        <w:bidi w:val="0"/>
        <w:rPr>
          <w:rFonts w:hint="eastAsia"/>
        </w:rPr>
      </w:pPr>
      <w:r>
        <w:rPr>
          <w:rFonts w:hint="eastAsia"/>
        </w:rPr>
        <w:t>根据第三章项目主要危险有害因素分析结果可知，库区烟花爆竹仓库储存的烟花爆竹全部为易燃、易爆物质，其运行过程中存在的主要危险因素是发生火灾、爆炸事故。因库区外表距离均符合规范要求，故库区发生的火灾、爆炸事故对周边人员活动影响较小。</w:t>
      </w:r>
    </w:p>
    <w:p w14:paraId="5459B337">
      <w:pPr>
        <w:bidi w:val="0"/>
        <w:rPr>
          <w:rFonts w:hint="eastAsia"/>
        </w:rPr>
      </w:pPr>
      <w:r>
        <w:rPr>
          <w:rFonts w:hint="eastAsia"/>
        </w:rPr>
        <w:t>但库区发生火灾、爆炸事故时产生的烟尘、气味会对周边环境如环境空气等造成一定程度的污染。</w:t>
      </w:r>
    </w:p>
    <w:p w14:paraId="1DF687EB">
      <w:pPr>
        <w:pStyle w:val="4"/>
        <w:bidi w:val="0"/>
        <w:ind w:left="0" w:leftChars="0" w:firstLine="0" w:firstLineChars="0"/>
        <w:rPr>
          <w:rFonts w:hint="eastAsia"/>
        </w:rPr>
      </w:pPr>
      <w:bookmarkStart w:id="147" w:name="_Toc12797"/>
      <w:r>
        <w:rPr>
          <w:rFonts w:hint="eastAsia"/>
        </w:rPr>
        <w:t>5.7.2周边单位生产、经营活动或居民生活对库区的影响</w:t>
      </w:r>
      <w:bookmarkEnd w:id="147"/>
    </w:p>
    <w:p w14:paraId="5CC1046F">
      <w:pPr>
        <w:bidi w:val="0"/>
        <w:rPr>
          <w:rFonts w:hint="eastAsia"/>
        </w:rPr>
      </w:pPr>
      <w:r>
        <w:rPr>
          <w:rFonts w:hint="eastAsia"/>
        </w:rPr>
        <w:t>该项目周边外部距离均符合要求，周边单位生产经营活动或居民生活对仓库造成危害较小。</w:t>
      </w:r>
    </w:p>
    <w:p w14:paraId="5192387E">
      <w:pPr>
        <w:pStyle w:val="4"/>
        <w:bidi w:val="0"/>
        <w:ind w:left="0" w:leftChars="0" w:firstLine="0" w:firstLineChars="0"/>
        <w:rPr>
          <w:rFonts w:hint="eastAsia"/>
        </w:rPr>
      </w:pPr>
      <w:bookmarkStart w:id="148" w:name="_Toc19755"/>
      <w:r>
        <w:rPr>
          <w:rFonts w:hint="eastAsia"/>
        </w:rPr>
        <w:t>5.7.3自然环境对库区可能产生的影响</w:t>
      </w:r>
      <w:bookmarkEnd w:id="148"/>
    </w:p>
    <w:p w14:paraId="64289C05">
      <w:pPr>
        <w:bidi w:val="0"/>
      </w:pPr>
      <w:r>
        <w:rPr>
          <w:rFonts w:hint="eastAsia"/>
        </w:rPr>
        <w:t>根据当地自然条件分析，项目烟花爆竹仓库选址所处地域不存在洪涝灾害影响，其自然条件、地质、水文等，对项目建设基本无影响。</w:t>
      </w:r>
    </w:p>
    <w:p w14:paraId="03212413">
      <w:pPr>
        <w:bidi w:val="0"/>
      </w:pPr>
      <w:r>
        <w:rPr>
          <w:rFonts w:hint="eastAsia"/>
        </w:rPr>
        <w:t>当地自然条件对建设项目存在的主要影响的是雷电影响，如防雷设施接地失灵，在雷雨季节遭到雷击会发生爆炸燃烧。因此，该项目仓库所提供的防雷防静电装置检测检验报告为符合要求。只要采取了相应的安全措施，自然条件的不利影响是可以避免的。</w:t>
      </w:r>
    </w:p>
    <w:p w14:paraId="72AC2369">
      <w:pPr>
        <w:pStyle w:val="3"/>
        <w:bidi w:val="0"/>
        <w:ind w:left="0" w:leftChars="0" w:firstLine="0" w:firstLineChars="0"/>
        <w:rPr>
          <w:rFonts w:hint="eastAsia"/>
        </w:rPr>
      </w:pPr>
      <w:bookmarkStart w:id="149" w:name="_Toc18958"/>
      <w:bookmarkStart w:id="150" w:name="_Toc3453"/>
      <w:r>
        <w:rPr>
          <w:rFonts w:hint="eastAsia"/>
        </w:rPr>
        <w:t>5.8安全经营条件评价</w:t>
      </w:r>
      <w:bookmarkEnd w:id="149"/>
      <w:bookmarkEnd w:id="150"/>
    </w:p>
    <w:p w14:paraId="5BB521AB">
      <w:pPr>
        <w:bidi w:val="0"/>
      </w:pPr>
      <w:r>
        <w:rPr>
          <w:rFonts w:hint="eastAsia"/>
        </w:rPr>
        <w:t>本节根据有关法律法规要求，检查南昌布莱特进出口有限责任公司安全经营条件是否符合</w:t>
      </w:r>
      <w:r>
        <w:rPr>
          <w:rFonts w:hint="eastAsia"/>
          <w:lang w:val="en-US" w:eastAsia="zh-CN"/>
        </w:rPr>
        <w:t>下</w:t>
      </w:r>
      <w:r>
        <w:rPr>
          <w:rFonts w:hint="eastAsia"/>
        </w:rPr>
        <w:t>述法规要求，检查过程见表</w:t>
      </w:r>
      <w:r>
        <w:rPr>
          <w:rFonts w:hint="eastAsia"/>
          <w:lang w:val="en-US" w:eastAsia="zh-CN"/>
        </w:rPr>
        <w:t>5.8-1</w:t>
      </w:r>
      <w:r>
        <w:rPr>
          <w:rFonts w:hint="eastAsia"/>
        </w:rPr>
        <w:t>。</w:t>
      </w:r>
    </w:p>
    <w:tbl>
      <w:tblPr>
        <w:tblStyle w:val="105"/>
        <w:tblpPr w:leftFromText="180" w:rightFromText="180" w:vertAnchor="text" w:horzAnchor="page" w:tblpX="1718" w:tblpY="303"/>
        <w:tblOverlap w:val="never"/>
        <w:tblW w:w="899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1"/>
        <w:gridCol w:w="4193"/>
        <w:gridCol w:w="3473"/>
        <w:gridCol w:w="692"/>
      </w:tblGrid>
      <w:tr w14:paraId="59DF66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trPr>
        <w:tc>
          <w:tcPr>
            <w:tcW w:w="641" w:type="dxa"/>
            <w:tcBorders>
              <w:top w:val="single" w:color="000000" w:sz="10" w:space="0"/>
              <w:left w:val="single" w:color="000000" w:sz="10" w:space="0"/>
            </w:tcBorders>
            <w:vAlign w:val="top"/>
          </w:tcPr>
          <w:p w14:paraId="5B9B0D41">
            <w:pPr>
              <w:keepNext w:val="0"/>
              <w:keepLines w:val="0"/>
              <w:pageBreakBefore w:val="0"/>
              <w:widowControl w:val="0"/>
              <w:kinsoku/>
              <w:wordWrap/>
              <w:overflowPunct/>
              <w:topLinePunct w:val="0"/>
              <w:autoSpaceDE/>
              <w:autoSpaceDN/>
              <w:bidi w:val="0"/>
              <w:adjustRightInd/>
              <w:snapToGrid/>
              <w:spacing w:line="280" w:lineRule="exact"/>
              <w:ind w:left="0" w:leftChars="0" w:right="91" w:firstLine="0" w:firstLineChars="0"/>
              <w:jc w:val="center"/>
              <w:textAlignment w:val="auto"/>
              <w:rPr>
                <w:rFonts w:ascii="宋体" w:hAnsi="宋体" w:eastAsia="宋体" w:cs="宋体"/>
                <w:spacing w:val="-2"/>
                <w:sz w:val="21"/>
                <w:szCs w:val="21"/>
              </w:rPr>
            </w:pPr>
            <w:r>
              <w:rPr>
                <w:rFonts w:ascii="宋体" w:hAnsi="宋体" w:eastAsia="宋体" w:cs="宋体"/>
                <w:spacing w:val="-2"/>
                <w:sz w:val="21"/>
                <w:szCs w:val="21"/>
              </w:rPr>
              <w:t>序号</w:t>
            </w:r>
          </w:p>
        </w:tc>
        <w:tc>
          <w:tcPr>
            <w:tcW w:w="4193" w:type="dxa"/>
            <w:tcBorders>
              <w:top w:val="single" w:color="000000" w:sz="10" w:space="0"/>
            </w:tcBorders>
            <w:vAlign w:val="top"/>
          </w:tcPr>
          <w:p w14:paraId="65617C1C">
            <w:pPr>
              <w:keepNext w:val="0"/>
              <w:keepLines w:val="0"/>
              <w:pageBreakBefore w:val="0"/>
              <w:widowControl w:val="0"/>
              <w:kinsoku/>
              <w:wordWrap/>
              <w:overflowPunct/>
              <w:topLinePunct w:val="0"/>
              <w:autoSpaceDE/>
              <w:autoSpaceDN/>
              <w:bidi w:val="0"/>
              <w:adjustRightInd/>
              <w:snapToGrid/>
              <w:spacing w:line="280" w:lineRule="exact"/>
              <w:ind w:left="0" w:leftChars="0" w:right="91" w:firstLine="0" w:firstLineChars="0"/>
              <w:jc w:val="center"/>
              <w:textAlignment w:val="auto"/>
              <w:rPr>
                <w:rFonts w:ascii="宋体" w:hAnsi="宋体" w:eastAsia="宋体" w:cs="宋体"/>
                <w:spacing w:val="-2"/>
                <w:sz w:val="21"/>
                <w:szCs w:val="21"/>
              </w:rPr>
            </w:pPr>
            <w:r>
              <w:rPr>
                <w:rFonts w:ascii="宋体" w:hAnsi="宋体" w:eastAsia="宋体" w:cs="宋体"/>
                <w:spacing w:val="-2"/>
                <w:sz w:val="21"/>
                <w:szCs w:val="21"/>
              </w:rPr>
              <w:t>检查内容</w:t>
            </w:r>
          </w:p>
        </w:tc>
        <w:tc>
          <w:tcPr>
            <w:tcW w:w="3473" w:type="dxa"/>
            <w:tcBorders>
              <w:top w:val="single" w:color="000000" w:sz="10" w:space="0"/>
            </w:tcBorders>
            <w:vAlign w:val="top"/>
          </w:tcPr>
          <w:p w14:paraId="46F1F032">
            <w:pPr>
              <w:keepNext w:val="0"/>
              <w:keepLines w:val="0"/>
              <w:pageBreakBefore w:val="0"/>
              <w:widowControl w:val="0"/>
              <w:kinsoku/>
              <w:wordWrap/>
              <w:overflowPunct/>
              <w:topLinePunct w:val="0"/>
              <w:autoSpaceDE/>
              <w:autoSpaceDN/>
              <w:bidi w:val="0"/>
              <w:adjustRightInd/>
              <w:snapToGrid/>
              <w:spacing w:line="280" w:lineRule="exact"/>
              <w:ind w:left="0" w:leftChars="0" w:right="91" w:firstLine="0" w:firstLineChars="0"/>
              <w:jc w:val="center"/>
              <w:textAlignment w:val="auto"/>
              <w:rPr>
                <w:rFonts w:ascii="宋体" w:hAnsi="宋体" w:eastAsia="宋体" w:cs="宋体"/>
                <w:spacing w:val="-2"/>
                <w:sz w:val="21"/>
                <w:szCs w:val="21"/>
              </w:rPr>
            </w:pPr>
            <w:r>
              <w:rPr>
                <w:rFonts w:ascii="宋体" w:hAnsi="宋体" w:eastAsia="宋体" w:cs="宋体"/>
                <w:spacing w:val="-2"/>
                <w:sz w:val="21"/>
                <w:szCs w:val="21"/>
              </w:rPr>
              <w:t>实际情况</w:t>
            </w:r>
          </w:p>
        </w:tc>
        <w:tc>
          <w:tcPr>
            <w:tcW w:w="692" w:type="dxa"/>
            <w:tcBorders>
              <w:top w:val="single" w:color="000000" w:sz="10" w:space="0"/>
              <w:right w:val="single" w:color="000000" w:sz="10" w:space="0"/>
            </w:tcBorders>
            <w:vAlign w:val="top"/>
          </w:tcPr>
          <w:p w14:paraId="5011096A">
            <w:pPr>
              <w:keepNext w:val="0"/>
              <w:keepLines w:val="0"/>
              <w:pageBreakBefore w:val="0"/>
              <w:widowControl w:val="0"/>
              <w:kinsoku/>
              <w:wordWrap/>
              <w:overflowPunct/>
              <w:topLinePunct w:val="0"/>
              <w:autoSpaceDE/>
              <w:autoSpaceDN/>
              <w:bidi w:val="0"/>
              <w:adjustRightInd/>
              <w:snapToGrid w:val="0"/>
              <w:spacing w:line="280" w:lineRule="exact"/>
              <w:ind w:left="0" w:leftChars="0" w:right="91" w:firstLine="0" w:firstLineChars="0"/>
              <w:jc w:val="center"/>
              <w:textAlignment w:val="auto"/>
              <w:rPr>
                <w:rFonts w:ascii="宋体" w:hAnsi="宋体" w:eastAsia="宋体" w:cs="宋体"/>
                <w:spacing w:val="-2"/>
                <w:sz w:val="21"/>
                <w:szCs w:val="21"/>
              </w:rPr>
            </w:pPr>
            <w:r>
              <w:rPr>
                <w:rFonts w:ascii="宋体" w:hAnsi="宋体" w:eastAsia="宋体" w:cs="宋体"/>
                <w:spacing w:val="-2"/>
                <w:sz w:val="21"/>
                <w:szCs w:val="21"/>
              </w:rPr>
              <w:t>检查</w:t>
            </w:r>
          </w:p>
          <w:p w14:paraId="6BDF5DA2">
            <w:pPr>
              <w:keepNext w:val="0"/>
              <w:keepLines w:val="0"/>
              <w:pageBreakBefore w:val="0"/>
              <w:widowControl w:val="0"/>
              <w:kinsoku/>
              <w:wordWrap/>
              <w:overflowPunct/>
              <w:topLinePunct w:val="0"/>
              <w:autoSpaceDE/>
              <w:autoSpaceDN/>
              <w:bidi w:val="0"/>
              <w:adjustRightInd/>
              <w:snapToGrid w:val="0"/>
              <w:spacing w:line="280" w:lineRule="exact"/>
              <w:ind w:left="0" w:leftChars="0" w:right="91" w:firstLine="0" w:firstLineChars="0"/>
              <w:jc w:val="center"/>
              <w:textAlignment w:val="auto"/>
              <w:rPr>
                <w:rFonts w:ascii="宋体" w:hAnsi="宋体" w:eastAsia="宋体" w:cs="宋体"/>
                <w:spacing w:val="-2"/>
                <w:sz w:val="21"/>
                <w:szCs w:val="21"/>
              </w:rPr>
            </w:pPr>
            <w:r>
              <w:rPr>
                <w:rFonts w:ascii="宋体" w:hAnsi="宋体" w:eastAsia="宋体" w:cs="宋体"/>
                <w:spacing w:val="-2"/>
                <w:sz w:val="21"/>
                <w:szCs w:val="21"/>
              </w:rPr>
              <w:t>结论</w:t>
            </w:r>
          </w:p>
        </w:tc>
      </w:tr>
      <w:tr w14:paraId="51FB38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8" w:hRule="atLeast"/>
        </w:trPr>
        <w:tc>
          <w:tcPr>
            <w:tcW w:w="641" w:type="dxa"/>
            <w:tcBorders>
              <w:left w:val="single" w:color="000000" w:sz="10" w:space="0"/>
            </w:tcBorders>
            <w:vAlign w:val="top"/>
          </w:tcPr>
          <w:p w14:paraId="65EEABC6">
            <w:pPr>
              <w:keepNext w:val="0"/>
              <w:keepLines w:val="0"/>
              <w:pageBreakBefore w:val="0"/>
              <w:widowControl w:val="0"/>
              <w:kinsoku/>
              <w:wordWrap/>
              <w:overflowPunct/>
              <w:topLinePunct w:val="0"/>
              <w:autoSpaceDE/>
              <w:autoSpaceDN/>
              <w:bidi w:val="0"/>
              <w:adjustRightInd/>
              <w:snapToGrid/>
              <w:spacing w:line="280" w:lineRule="exact"/>
              <w:ind w:left="103" w:right="91"/>
              <w:jc w:val="both"/>
              <w:textAlignment w:val="auto"/>
              <w:rPr>
                <w:rFonts w:ascii="宋体" w:hAnsi="宋体" w:eastAsia="宋体" w:cs="宋体"/>
                <w:spacing w:val="-2"/>
                <w:sz w:val="21"/>
                <w:szCs w:val="21"/>
              </w:rPr>
            </w:pPr>
          </w:p>
          <w:p w14:paraId="62D5469D">
            <w:pPr>
              <w:keepNext w:val="0"/>
              <w:keepLines w:val="0"/>
              <w:pageBreakBefore w:val="0"/>
              <w:widowControl w:val="0"/>
              <w:kinsoku/>
              <w:wordWrap/>
              <w:overflowPunct/>
              <w:topLinePunct w:val="0"/>
              <w:autoSpaceDE/>
              <w:autoSpaceDN/>
              <w:bidi w:val="0"/>
              <w:adjustRightInd/>
              <w:snapToGrid/>
              <w:spacing w:line="280" w:lineRule="exact"/>
              <w:ind w:left="0" w:leftChars="0" w:right="91" w:firstLine="0" w:firstLineChars="0"/>
              <w:jc w:val="both"/>
              <w:textAlignment w:val="auto"/>
              <w:rPr>
                <w:rFonts w:ascii="宋体" w:hAnsi="宋体" w:eastAsia="宋体" w:cs="宋体"/>
                <w:spacing w:val="-2"/>
                <w:sz w:val="21"/>
                <w:szCs w:val="21"/>
              </w:rPr>
            </w:pPr>
            <w:r>
              <w:rPr>
                <w:rFonts w:ascii="宋体" w:hAnsi="宋体" w:eastAsia="宋体" w:cs="宋体"/>
                <w:spacing w:val="-2"/>
                <w:sz w:val="21"/>
                <w:szCs w:val="21"/>
              </w:rPr>
              <w:t>1</w:t>
            </w:r>
          </w:p>
        </w:tc>
        <w:tc>
          <w:tcPr>
            <w:tcW w:w="4193" w:type="dxa"/>
            <w:vAlign w:val="top"/>
          </w:tcPr>
          <w:p w14:paraId="6BF59BB8">
            <w:pPr>
              <w:keepNext w:val="0"/>
              <w:keepLines w:val="0"/>
              <w:pageBreakBefore w:val="0"/>
              <w:widowControl w:val="0"/>
              <w:kinsoku/>
              <w:wordWrap/>
              <w:overflowPunct/>
              <w:topLinePunct w:val="0"/>
              <w:autoSpaceDE/>
              <w:autoSpaceDN/>
              <w:bidi w:val="0"/>
              <w:adjustRightInd/>
              <w:snapToGrid/>
              <w:spacing w:line="280" w:lineRule="exact"/>
              <w:ind w:left="0" w:leftChars="0" w:right="91" w:firstLine="0" w:firstLineChars="0"/>
              <w:jc w:val="both"/>
              <w:textAlignment w:val="auto"/>
              <w:rPr>
                <w:rFonts w:hint="eastAsia" w:ascii="宋体" w:hAnsi="宋体" w:eastAsia="宋体" w:cs="宋体"/>
                <w:sz w:val="21"/>
                <w:szCs w:val="21"/>
                <w:lang w:eastAsia="zh-CN"/>
              </w:rPr>
            </w:pPr>
            <w:r>
              <w:rPr>
                <w:rFonts w:ascii="宋体" w:hAnsi="宋体" w:eastAsia="宋体" w:cs="宋体"/>
                <w:spacing w:val="-2"/>
                <w:sz w:val="21"/>
                <w:szCs w:val="21"/>
              </w:rPr>
              <w:t>严格执行烟花爆竹建设项目安全许可审查制度。</w:t>
            </w:r>
            <w:r>
              <w:rPr>
                <w:rFonts w:ascii="宋体" w:hAnsi="宋体" w:eastAsia="宋体" w:cs="宋体"/>
                <w:spacing w:val="-3"/>
                <w:sz w:val="21"/>
                <w:szCs w:val="21"/>
              </w:rPr>
              <w:t>安全评价机构应按照安全生产行业标准《烟花爆</w:t>
            </w:r>
            <w:r>
              <w:rPr>
                <w:rFonts w:ascii="宋体" w:hAnsi="宋体" w:eastAsia="宋体" w:cs="宋体"/>
                <w:spacing w:val="-6"/>
                <w:sz w:val="21"/>
                <w:szCs w:val="21"/>
              </w:rPr>
              <w:t>竹企业安全评价规范》（AQ4113-2008）对烟花爆</w:t>
            </w:r>
            <w:r>
              <w:rPr>
                <w:rFonts w:ascii="宋体" w:hAnsi="宋体" w:eastAsia="宋体" w:cs="宋体"/>
                <w:spacing w:val="-1"/>
                <w:sz w:val="21"/>
                <w:szCs w:val="21"/>
              </w:rPr>
              <w:t>竹建设项目进行安全评价</w:t>
            </w:r>
            <w:r>
              <w:rPr>
                <w:rFonts w:hint="eastAsia" w:ascii="宋体" w:hAnsi="宋体" w:cs="宋体"/>
                <w:spacing w:val="-1"/>
                <w:sz w:val="21"/>
                <w:szCs w:val="21"/>
                <w:lang w:eastAsia="zh-CN"/>
              </w:rPr>
              <w:t>。</w:t>
            </w:r>
          </w:p>
        </w:tc>
        <w:tc>
          <w:tcPr>
            <w:tcW w:w="3473" w:type="dxa"/>
            <w:vAlign w:val="top"/>
          </w:tcPr>
          <w:p w14:paraId="3350DDD0">
            <w:pPr>
              <w:keepNext w:val="0"/>
              <w:keepLines w:val="0"/>
              <w:pageBreakBefore w:val="0"/>
              <w:widowControl w:val="0"/>
              <w:kinsoku/>
              <w:wordWrap/>
              <w:overflowPunct/>
              <w:topLinePunct w:val="0"/>
              <w:autoSpaceDE/>
              <w:autoSpaceDN/>
              <w:bidi w:val="0"/>
              <w:adjustRightInd/>
              <w:snapToGrid/>
              <w:spacing w:line="280" w:lineRule="exact"/>
              <w:ind w:left="0" w:leftChars="0" w:right="10" w:firstLine="0" w:firstLineChars="0"/>
              <w:textAlignment w:val="auto"/>
              <w:rPr>
                <w:rFonts w:ascii="宋体" w:hAnsi="宋体" w:eastAsia="宋体" w:cs="宋体"/>
                <w:sz w:val="21"/>
                <w:szCs w:val="21"/>
              </w:rPr>
            </w:pPr>
            <w:r>
              <w:rPr>
                <w:rFonts w:ascii="宋体" w:hAnsi="宋体" w:eastAsia="宋体" w:cs="宋体"/>
                <w:spacing w:val="-7"/>
                <w:sz w:val="21"/>
                <w:szCs w:val="21"/>
              </w:rPr>
              <w:t>本评价报告严格按照《烟花爆竹企</w:t>
            </w:r>
            <w:r>
              <w:rPr>
                <w:rFonts w:ascii="宋体" w:hAnsi="宋体" w:eastAsia="宋体" w:cs="宋体"/>
                <w:spacing w:val="2"/>
                <w:sz w:val="21"/>
                <w:szCs w:val="21"/>
              </w:rPr>
              <w:t xml:space="preserve"> </w:t>
            </w:r>
            <w:r>
              <w:rPr>
                <w:rFonts w:ascii="宋体" w:hAnsi="宋体" w:eastAsia="宋体" w:cs="宋体"/>
                <w:spacing w:val="-6"/>
                <w:sz w:val="21"/>
                <w:szCs w:val="21"/>
              </w:rPr>
              <w:t>业安全评价规范》（AQ4113-2008）</w:t>
            </w:r>
            <w:r>
              <w:rPr>
                <w:rFonts w:ascii="宋体" w:hAnsi="宋体" w:eastAsia="宋体" w:cs="宋体"/>
                <w:spacing w:val="2"/>
                <w:sz w:val="21"/>
                <w:szCs w:val="21"/>
              </w:rPr>
              <w:t xml:space="preserve"> </w:t>
            </w:r>
            <w:r>
              <w:rPr>
                <w:rFonts w:ascii="宋体" w:hAnsi="宋体" w:eastAsia="宋体" w:cs="宋体"/>
                <w:spacing w:val="-1"/>
                <w:sz w:val="21"/>
                <w:szCs w:val="21"/>
              </w:rPr>
              <w:t>要求对公司烟花爆竹经营条件进</w:t>
            </w:r>
            <w:r>
              <w:rPr>
                <w:rFonts w:ascii="宋体" w:hAnsi="宋体" w:eastAsia="宋体" w:cs="宋体"/>
                <w:spacing w:val="3"/>
                <w:sz w:val="21"/>
                <w:szCs w:val="21"/>
              </w:rPr>
              <w:t xml:space="preserve">   </w:t>
            </w:r>
            <w:r>
              <w:rPr>
                <w:rFonts w:ascii="宋体" w:hAnsi="宋体" w:eastAsia="宋体" w:cs="宋体"/>
                <w:spacing w:val="-1"/>
                <w:sz w:val="21"/>
                <w:szCs w:val="21"/>
              </w:rPr>
              <w:t>行安全评价。</w:t>
            </w:r>
          </w:p>
        </w:tc>
        <w:tc>
          <w:tcPr>
            <w:tcW w:w="692" w:type="dxa"/>
            <w:tcBorders>
              <w:right w:val="single" w:color="000000" w:sz="10" w:space="0"/>
            </w:tcBorders>
            <w:vAlign w:val="top"/>
          </w:tcPr>
          <w:p w14:paraId="7EC290F8">
            <w:pPr>
              <w:pStyle w:val="104"/>
              <w:keepNext w:val="0"/>
              <w:keepLines w:val="0"/>
              <w:pageBreakBefore w:val="0"/>
              <w:widowControl w:val="0"/>
              <w:kinsoku/>
              <w:wordWrap/>
              <w:overflowPunct/>
              <w:topLinePunct w:val="0"/>
              <w:autoSpaceDE/>
              <w:autoSpaceDN/>
              <w:bidi w:val="0"/>
              <w:adjustRightInd/>
              <w:snapToGrid/>
              <w:spacing w:line="280" w:lineRule="exact"/>
              <w:textAlignment w:val="auto"/>
            </w:pPr>
          </w:p>
          <w:p w14:paraId="72BE3871">
            <w:pPr>
              <w:pStyle w:val="104"/>
              <w:keepNext w:val="0"/>
              <w:keepLines w:val="0"/>
              <w:pageBreakBefore w:val="0"/>
              <w:widowControl w:val="0"/>
              <w:kinsoku/>
              <w:wordWrap/>
              <w:overflowPunct/>
              <w:topLinePunct w:val="0"/>
              <w:autoSpaceDE/>
              <w:autoSpaceDN/>
              <w:bidi w:val="0"/>
              <w:adjustRightInd/>
              <w:snapToGrid/>
              <w:spacing w:line="280" w:lineRule="exact"/>
              <w:textAlignment w:val="auto"/>
            </w:pPr>
          </w:p>
          <w:p w14:paraId="684C79FC">
            <w:pPr>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textAlignment w:val="auto"/>
              <w:rPr>
                <w:rFonts w:ascii="宋体" w:hAnsi="宋体" w:eastAsia="宋体" w:cs="宋体"/>
                <w:sz w:val="21"/>
                <w:szCs w:val="21"/>
              </w:rPr>
            </w:pPr>
            <w:r>
              <w:rPr>
                <w:rFonts w:ascii="宋体" w:hAnsi="宋体" w:eastAsia="宋体" w:cs="宋体"/>
                <w:spacing w:val="-2"/>
                <w:sz w:val="21"/>
                <w:szCs w:val="21"/>
              </w:rPr>
              <w:t>合格</w:t>
            </w:r>
          </w:p>
        </w:tc>
      </w:tr>
      <w:tr w14:paraId="794341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3" w:hRule="atLeast"/>
        </w:trPr>
        <w:tc>
          <w:tcPr>
            <w:tcW w:w="641" w:type="dxa"/>
            <w:tcBorders>
              <w:left w:val="single" w:color="000000" w:sz="10" w:space="0"/>
            </w:tcBorders>
            <w:vAlign w:val="top"/>
          </w:tcPr>
          <w:p w14:paraId="093E43F9">
            <w:pPr>
              <w:pStyle w:val="104"/>
              <w:keepNext w:val="0"/>
              <w:keepLines w:val="0"/>
              <w:pageBreakBefore w:val="0"/>
              <w:widowControl w:val="0"/>
              <w:kinsoku/>
              <w:wordWrap/>
              <w:overflowPunct/>
              <w:topLinePunct w:val="0"/>
              <w:autoSpaceDE/>
              <w:autoSpaceDN/>
              <w:bidi w:val="0"/>
              <w:adjustRightInd/>
              <w:snapToGrid/>
              <w:spacing w:line="280" w:lineRule="exact"/>
              <w:textAlignment w:val="auto"/>
            </w:pPr>
          </w:p>
          <w:p w14:paraId="6001B2D4">
            <w:pPr>
              <w:pStyle w:val="104"/>
              <w:keepNext w:val="0"/>
              <w:keepLines w:val="0"/>
              <w:pageBreakBefore w:val="0"/>
              <w:widowControl w:val="0"/>
              <w:kinsoku/>
              <w:wordWrap/>
              <w:overflowPunct/>
              <w:topLinePunct w:val="0"/>
              <w:autoSpaceDE/>
              <w:autoSpaceDN/>
              <w:bidi w:val="0"/>
              <w:adjustRightInd/>
              <w:snapToGrid/>
              <w:spacing w:line="280" w:lineRule="exact"/>
              <w:textAlignment w:val="auto"/>
            </w:pPr>
          </w:p>
          <w:p w14:paraId="4972FD96">
            <w:pPr>
              <w:pStyle w:val="104"/>
              <w:keepNext w:val="0"/>
              <w:keepLines w:val="0"/>
              <w:pageBreakBefore w:val="0"/>
              <w:widowControl w:val="0"/>
              <w:kinsoku/>
              <w:wordWrap/>
              <w:overflowPunct/>
              <w:topLinePunct w:val="0"/>
              <w:autoSpaceDE/>
              <w:autoSpaceDN/>
              <w:bidi w:val="0"/>
              <w:adjustRightInd/>
              <w:snapToGrid/>
              <w:spacing w:line="280" w:lineRule="exact"/>
              <w:textAlignment w:val="auto"/>
            </w:pPr>
          </w:p>
          <w:p w14:paraId="26EB89C0">
            <w:pPr>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textAlignment w:val="auto"/>
              <w:rPr>
                <w:rFonts w:ascii="宋体" w:hAnsi="宋体" w:eastAsia="宋体" w:cs="宋体"/>
                <w:sz w:val="21"/>
                <w:szCs w:val="21"/>
              </w:rPr>
            </w:pPr>
            <w:r>
              <w:rPr>
                <w:rFonts w:ascii="宋体" w:hAnsi="宋体" w:eastAsia="宋体" w:cs="宋体"/>
                <w:sz w:val="21"/>
                <w:szCs w:val="21"/>
              </w:rPr>
              <w:t>2</w:t>
            </w:r>
          </w:p>
        </w:tc>
        <w:tc>
          <w:tcPr>
            <w:tcW w:w="4193" w:type="dxa"/>
            <w:vAlign w:val="top"/>
          </w:tcPr>
          <w:p w14:paraId="068F14DB">
            <w:pPr>
              <w:keepNext w:val="0"/>
              <w:keepLines w:val="0"/>
              <w:pageBreakBefore w:val="0"/>
              <w:widowControl w:val="0"/>
              <w:kinsoku/>
              <w:wordWrap/>
              <w:overflowPunct/>
              <w:topLinePunct w:val="0"/>
              <w:autoSpaceDE/>
              <w:autoSpaceDN/>
              <w:bidi w:val="0"/>
              <w:adjustRightInd/>
              <w:snapToGrid/>
              <w:spacing w:line="280" w:lineRule="exact"/>
              <w:ind w:left="0" w:leftChars="0" w:right="269" w:firstLine="0" w:firstLineChars="0"/>
              <w:textAlignment w:val="auto"/>
              <w:rPr>
                <w:rFonts w:hint="eastAsia" w:ascii="宋体" w:hAnsi="宋体" w:eastAsia="宋体" w:cs="宋体"/>
                <w:sz w:val="21"/>
                <w:szCs w:val="21"/>
                <w:lang w:eastAsia="zh-CN"/>
              </w:rPr>
            </w:pPr>
            <w:r>
              <w:rPr>
                <w:rFonts w:ascii="宋体" w:hAnsi="宋体" w:eastAsia="宋体" w:cs="宋体"/>
                <w:spacing w:val="-1"/>
                <w:sz w:val="21"/>
                <w:szCs w:val="21"/>
              </w:rPr>
              <w:t>各烟花爆竹批发经营公司所属储存仓库的仓库面积和危险等级必须与其经营规模和产品等级相匹配，烟花爆竹产品应按国家标准规定以</w:t>
            </w:r>
            <w:r>
              <w:rPr>
                <w:rFonts w:ascii="宋体" w:hAnsi="宋体" w:eastAsia="宋体" w:cs="宋体"/>
                <w:spacing w:val="-8"/>
                <w:sz w:val="21"/>
                <w:szCs w:val="21"/>
              </w:rPr>
              <w:t>1.1</w:t>
            </w:r>
            <w:r>
              <w:rPr>
                <w:rFonts w:ascii="宋体" w:hAnsi="宋体" w:eastAsia="宋体" w:cs="宋体"/>
                <w:spacing w:val="-3"/>
                <w:position w:val="10"/>
                <w:sz w:val="11"/>
                <w:szCs w:val="11"/>
              </w:rPr>
              <w:t>-2</w:t>
            </w:r>
            <w:r>
              <w:rPr>
                <w:rFonts w:ascii="宋体" w:hAnsi="宋体" w:eastAsia="宋体" w:cs="宋体"/>
                <w:spacing w:val="-24"/>
                <w:position w:val="10"/>
                <w:sz w:val="11"/>
                <w:szCs w:val="11"/>
              </w:rPr>
              <w:t xml:space="preserve"> </w:t>
            </w:r>
            <w:r>
              <w:rPr>
                <w:rFonts w:ascii="宋体" w:hAnsi="宋体" w:eastAsia="宋体" w:cs="宋体"/>
                <w:spacing w:val="-3"/>
                <w:sz w:val="21"/>
                <w:szCs w:val="21"/>
              </w:rPr>
              <w:t>、1.3</w:t>
            </w:r>
            <w:r>
              <w:rPr>
                <w:rFonts w:ascii="宋体" w:hAnsi="宋体" w:eastAsia="宋体" w:cs="宋体"/>
                <w:spacing w:val="-43"/>
                <w:sz w:val="21"/>
                <w:szCs w:val="21"/>
              </w:rPr>
              <w:t xml:space="preserve"> </w:t>
            </w:r>
            <w:r>
              <w:rPr>
                <w:rFonts w:ascii="宋体" w:hAnsi="宋体" w:eastAsia="宋体" w:cs="宋体"/>
                <w:spacing w:val="-3"/>
                <w:sz w:val="21"/>
                <w:szCs w:val="21"/>
              </w:rPr>
              <w:t>级分级分库储存</w:t>
            </w:r>
            <w:r>
              <w:rPr>
                <w:rFonts w:hint="eastAsia" w:ascii="宋体" w:hAnsi="宋体" w:cs="宋体"/>
                <w:spacing w:val="-3"/>
                <w:sz w:val="21"/>
                <w:szCs w:val="21"/>
                <w:lang w:eastAsia="zh-CN"/>
              </w:rPr>
              <w:t>。</w:t>
            </w:r>
          </w:p>
        </w:tc>
        <w:tc>
          <w:tcPr>
            <w:tcW w:w="3473" w:type="dxa"/>
            <w:vAlign w:val="top"/>
          </w:tcPr>
          <w:p w14:paraId="60AF9074">
            <w:pPr>
              <w:keepNext w:val="0"/>
              <w:keepLines w:val="0"/>
              <w:pageBreakBefore w:val="0"/>
              <w:widowControl w:val="0"/>
              <w:kinsoku/>
              <w:wordWrap/>
              <w:overflowPunct/>
              <w:topLinePunct w:val="0"/>
              <w:autoSpaceDE/>
              <w:autoSpaceDN/>
              <w:bidi w:val="0"/>
              <w:adjustRightInd/>
              <w:snapToGrid/>
              <w:spacing w:line="280" w:lineRule="exact"/>
              <w:ind w:left="0" w:leftChars="0" w:right="269" w:firstLine="0" w:firstLineChars="0"/>
              <w:textAlignment w:val="auto"/>
              <w:rPr>
                <w:rFonts w:ascii="宋体" w:hAnsi="宋体" w:eastAsia="宋体" w:cs="宋体"/>
                <w:sz w:val="21"/>
                <w:szCs w:val="21"/>
              </w:rPr>
            </w:pPr>
            <w:r>
              <w:rPr>
                <w:rFonts w:hint="eastAsia" w:ascii="宋体" w:hAnsi="宋体" w:eastAsia="宋体" w:cs="宋体"/>
                <w:spacing w:val="-1"/>
                <w:sz w:val="21"/>
                <w:szCs w:val="21"/>
              </w:rPr>
              <w:t>公司租赁烟花爆竹仓库储存烟花类A、B、C、D级和爆竹类C产品，1.1</w:t>
            </w:r>
            <w:r>
              <w:rPr>
                <w:rFonts w:hint="eastAsia" w:ascii="宋体" w:hAnsi="宋体" w:eastAsia="宋体" w:cs="宋体"/>
                <w:spacing w:val="-1"/>
                <w:sz w:val="21"/>
                <w:szCs w:val="21"/>
                <w:vertAlign w:val="superscript"/>
              </w:rPr>
              <w:t>-²</w:t>
            </w:r>
            <w:r>
              <w:rPr>
                <w:rFonts w:hint="eastAsia" w:ascii="宋体" w:hAnsi="宋体" w:eastAsia="宋体" w:cs="宋体"/>
                <w:spacing w:val="-1"/>
                <w:sz w:val="21"/>
                <w:szCs w:val="21"/>
              </w:rPr>
              <w:t>、1.3级分级分库储存。</w:t>
            </w:r>
          </w:p>
        </w:tc>
        <w:tc>
          <w:tcPr>
            <w:tcW w:w="692" w:type="dxa"/>
            <w:tcBorders>
              <w:right w:val="single" w:color="000000" w:sz="10" w:space="0"/>
            </w:tcBorders>
            <w:vAlign w:val="top"/>
          </w:tcPr>
          <w:p w14:paraId="5644761D">
            <w:pPr>
              <w:pStyle w:val="104"/>
              <w:keepNext w:val="0"/>
              <w:keepLines w:val="0"/>
              <w:pageBreakBefore w:val="0"/>
              <w:widowControl w:val="0"/>
              <w:kinsoku/>
              <w:wordWrap/>
              <w:overflowPunct/>
              <w:topLinePunct w:val="0"/>
              <w:autoSpaceDE/>
              <w:autoSpaceDN/>
              <w:bidi w:val="0"/>
              <w:adjustRightInd/>
              <w:snapToGrid/>
              <w:spacing w:line="280" w:lineRule="exact"/>
              <w:textAlignment w:val="auto"/>
            </w:pPr>
          </w:p>
          <w:p w14:paraId="66AC54B0">
            <w:pPr>
              <w:pStyle w:val="104"/>
              <w:keepNext w:val="0"/>
              <w:keepLines w:val="0"/>
              <w:pageBreakBefore w:val="0"/>
              <w:widowControl w:val="0"/>
              <w:kinsoku/>
              <w:wordWrap/>
              <w:overflowPunct/>
              <w:topLinePunct w:val="0"/>
              <w:autoSpaceDE/>
              <w:autoSpaceDN/>
              <w:bidi w:val="0"/>
              <w:adjustRightInd/>
              <w:snapToGrid/>
              <w:spacing w:line="280" w:lineRule="exact"/>
              <w:textAlignment w:val="auto"/>
            </w:pPr>
          </w:p>
          <w:p w14:paraId="0F4BF793">
            <w:pPr>
              <w:pStyle w:val="104"/>
              <w:keepNext w:val="0"/>
              <w:keepLines w:val="0"/>
              <w:pageBreakBefore w:val="0"/>
              <w:widowControl w:val="0"/>
              <w:kinsoku/>
              <w:wordWrap/>
              <w:overflowPunct/>
              <w:topLinePunct w:val="0"/>
              <w:autoSpaceDE/>
              <w:autoSpaceDN/>
              <w:bidi w:val="0"/>
              <w:adjustRightInd/>
              <w:snapToGrid/>
              <w:spacing w:line="280" w:lineRule="exact"/>
              <w:textAlignment w:val="auto"/>
            </w:pPr>
          </w:p>
          <w:p w14:paraId="24A7F4F4">
            <w:pPr>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textAlignment w:val="auto"/>
              <w:rPr>
                <w:rFonts w:ascii="宋体" w:hAnsi="宋体" w:eastAsia="宋体" w:cs="宋体"/>
                <w:sz w:val="21"/>
                <w:szCs w:val="21"/>
              </w:rPr>
            </w:pPr>
            <w:r>
              <w:rPr>
                <w:rFonts w:ascii="宋体" w:hAnsi="宋体" w:eastAsia="宋体" w:cs="宋体"/>
                <w:spacing w:val="-2"/>
                <w:sz w:val="21"/>
                <w:szCs w:val="21"/>
              </w:rPr>
              <w:t>合格</w:t>
            </w:r>
          </w:p>
        </w:tc>
      </w:tr>
      <w:tr w14:paraId="0B1A5D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54" w:hRule="atLeast"/>
        </w:trPr>
        <w:tc>
          <w:tcPr>
            <w:tcW w:w="641" w:type="dxa"/>
            <w:tcBorders>
              <w:left w:val="single" w:color="000000" w:sz="10" w:space="0"/>
            </w:tcBorders>
            <w:vAlign w:val="top"/>
          </w:tcPr>
          <w:p w14:paraId="0577C323">
            <w:pPr>
              <w:pStyle w:val="104"/>
              <w:keepNext w:val="0"/>
              <w:keepLines w:val="0"/>
              <w:pageBreakBefore w:val="0"/>
              <w:widowControl w:val="0"/>
              <w:kinsoku/>
              <w:wordWrap/>
              <w:overflowPunct/>
              <w:topLinePunct w:val="0"/>
              <w:autoSpaceDE/>
              <w:autoSpaceDN/>
              <w:bidi w:val="0"/>
              <w:adjustRightInd/>
              <w:snapToGrid/>
              <w:spacing w:line="280" w:lineRule="exact"/>
              <w:textAlignment w:val="auto"/>
            </w:pPr>
          </w:p>
          <w:p w14:paraId="2A68305B">
            <w:pPr>
              <w:pStyle w:val="104"/>
              <w:keepNext w:val="0"/>
              <w:keepLines w:val="0"/>
              <w:pageBreakBefore w:val="0"/>
              <w:widowControl w:val="0"/>
              <w:kinsoku/>
              <w:wordWrap/>
              <w:overflowPunct/>
              <w:topLinePunct w:val="0"/>
              <w:autoSpaceDE/>
              <w:autoSpaceDN/>
              <w:bidi w:val="0"/>
              <w:adjustRightInd/>
              <w:snapToGrid/>
              <w:spacing w:line="280" w:lineRule="exact"/>
              <w:textAlignment w:val="auto"/>
            </w:pPr>
          </w:p>
          <w:p w14:paraId="4F78664E">
            <w:pPr>
              <w:pStyle w:val="104"/>
              <w:keepNext w:val="0"/>
              <w:keepLines w:val="0"/>
              <w:pageBreakBefore w:val="0"/>
              <w:widowControl w:val="0"/>
              <w:kinsoku/>
              <w:wordWrap/>
              <w:overflowPunct/>
              <w:topLinePunct w:val="0"/>
              <w:autoSpaceDE/>
              <w:autoSpaceDN/>
              <w:bidi w:val="0"/>
              <w:adjustRightInd/>
              <w:snapToGrid/>
              <w:spacing w:line="280" w:lineRule="exact"/>
              <w:textAlignment w:val="auto"/>
            </w:pPr>
          </w:p>
          <w:p w14:paraId="427B0412">
            <w:pPr>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textAlignment w:val="auto"/>
              <w:rPr>
                <w:rFonts w:ascii="宋体" w:hAnsi="宋体" w:eastAsia="宋体" w:cs="宋体"/>
                <w:sz w:val="21"/>
                <w:szCs w:val="21"/>
              </w:rPr>
            </w:pPr>
            <w:r>
              <w:rPr>
                <w:rFonts w:ascii="宋体" w:hAnsi="宋体" w:eastAsia="宋体" w:cs="宋体"/>
                <w:sz w:val="21"/>
                <w:szCs w:val="21"/>
              </w:rPr>
              <w:t>3</w:t>
            </w:r>
          </w:p>
        </w:tc>
        <w:tc>
          <w:tcPr>
            <w:tcW w:w="4193" w:type="dxa"/>
            <w:vAlign w:val="top"/>
          </w:tcPr>
          <w:p w14:paraId="552809F9">
            <w:pPr>
              <w:keepNext w:val="0"/>
              <w:keepLines w:val="0"/>
              <w:pageBreakBefore w:val="0"/>
              <w:widowControl w:val="0"/>
              <w:kinsoku/>
              <w:wordWrap/>
              <w:overflowPunct/>
              <w:topLinePunct w:val="0"/>
              <w:autoSpaceDE/>
              <w:autoSpaceDN/>
              <w:bidi w:val="0"/>
              <w:adjustRightInd/>
              <w:snapToGrid w:val="0"/>
              <w:spacing w:line="280" w:lineRule="exact"/>
              <w:ind w:left="0" w:leftChars="0" w:firstLine="0" w:firstLineChars="0"/>
              <w:textAlignment w:val="auto"/>
              <w:rPr>
                <w:rFonts w:ascii="宋体" w:hAnsi="宋体" w:eastAsia="宋体" w:cs="宋体"/>
                <w:sz w:val="21"/>
                <w:szCs w:val="21"/>
              </w:rPr>
            </w:pPr>
            <w:r>
              <w:rPr>
                <w:rFonts w:ascii="宋体" w:hAnsi="宋体" w:eastAsia="宋体" w:cs="宋体"/>
                <w:spacing w:val="-1"/>
                <w:sz w:val="21"/>
                <w:szCs w:val="21"/>
              </w:rPr>
              <w:t>依据《烟花爆竹工程设计安全标准》</w:t>
            </w:r>
          </w:p>
          <w:p w14:paraId="33B1A7F1">
            <w:pPr>
              <w:keepNext w:val="0"/>
              <w:keepLines w:val="0"/>
              <w:pageBreakBefore w:val="0"/>
              <w:widowControl w:val="0"/>
              <w:kinsoku/>
              <w:wordWrap/>
              <w:overflowPunct/>
              <w:topLinePunct w:val="0"/>
              <w:autoSpaceDE/>
              <w:autoSpaceDN/>
              <w:bidi w:val="0"/>
              <w:adjustRightInd/>
              <w:snapToGrid w:val="0"/>
              <w:spacing w:line="280" w:lineRule="exact"/>
              <w:ind w:left="0" w:leftChars="0" w:right="101" w:firstLine="0" w:firstLineChars="0"/>
              <w:textAlignment w:val="auto"/>
              <w:rPr>
                <w:rFonts w:hint="eastAsia" w:ascii="宋体" w:hAnsi="宋体" w:eastAsia="宋体" w:cs="宋体"/>
                <w:sz w:val="21"/>
                <w:szCs w:val="21"/>
                <w:lang w:eastAsia="zh-CN"/>
              </w:rPr>
            </w:pPr>
            <w:r>
              <w:rPr>
                <w:rFonts w:ascii="宋体" w:hAnsi="宋体" w:eastAsia="宋体" w:cs="宋体"/>
                <w:spacing w:val="-2"/>
                <w:sz w:val="21"/>
                <w:szCs w:val="21"/>
              </w:rPr>
              <w:t>（50161-2022）的规定设置烟花爆竹仓储设施的</w:t>
            </w:r>
            <w:r>
              <w:rPr>
                <w:rFonts w:ascii="宋体" w:hAnsi="宋体" w:eastAsia="宋体" w:cs="宋体"/>
                <w:spacing w:val="-3"/>
                <w:sz w:val="21"/>
                <w:szCs w:val="21"/>
              </w:rPr>
              <w:t>内外部安全距离、库房建筑结构、安全疏散条件以及消防、防爆、防雷、防静电等安全设施；库</w:t>
            </w:r>
            <w:r>
              <w:rPr>
                <w:rFonts w:ascii="宋体" w:hAnsi="宋体" w:eastAsia="宋体" w:cs="宋体"/>
                <w:spacing w:val="-1"/>
                <w:sz w:val="21"/>
                <w:szCs w:val="21"/>
              </w:rPr>
              <w:t>区设置符合安全生产行业标准的安全监控系统</w:t>
            </w:r>
            <w:r>
              <w:rPr>
                <w:rFonts w:hint="eastAsia" w:ascii="宋体" w:hAnsi="宋体" w:cs="宋体"/>
                <w:spacing w:val="-1"/>
                <w:sz w:val="21"/>
                <w:szCs w:val="21"/>
                <w:lang w:eastAsia="zh-CN"/>
              </w:rPr>
              <w:t>。</w:t>
            </w:r>
          </w:p>
        </w:tc>
        <w:tc>
          <w:tcPr>
            <w:tcW w:w="3473" w:type="dxa"/>
            <w:vAlign w:val="top"/>
          </w:tcPr>
          <w:p w14:paraId="2A6932D8">
            <w:pPr>
              <w:keepNext w:val="0"/>
              <w:keepLines w:val="0"/>
              <w:pageBreakBefore w:val="0"/>
              <w:widowControl w:val="0"/>
              <w:kinsoku/>
              <w:wordWrap/>
              <w:overflowPunct/>
              <w:topLinePunct w:val="0"/>
              <w:autoSpaceDE/>
              <w:autoSpaceDN/>
              <w:bidi w:val="0"/>
              <w:adjustRightInd/>
              <w:snapToGrid/>
              <w:spacing w:line="280" w:lineRule="exact"/>
              <w:ind w:left="0" w:leftChars="0" w:right="92" w:firstLine="0" w:firstLineChars="0"/>
              <w:jc w:val="both"/>
              <w:textAlignment w:val="auto"/>
              <w:rPr>
                <w:rFonts w:ascii="宋体" w:hAnsi="宋体" w:eastAsia="宋体" w:cs="宋体"/>
                <w:sz w:val="21"/>
                <w:szCs w:val="21"/>
              </w:rPr>
            </w:pPr>
            <w:r>
              <w:rPr>
                <w:rFonts w:ascii="宋体" w:hAnsi="宋体" w:eastAsia="宋体" w:cs="宋体"/>
                <w:spacing w:val="-7"/>
                <w:sz w:val="21"/>
                <w:szCs w:val="21"/>
              </w:rPr>
              <w:t>仓库内外部安全距离、库房建筑结构、安全疏散条件均符合相关标准要求，按要求设置消防、防爆、防雷、防静电等安全设施。有设置安</w:t>
            </w:r>
            <w:r>
              <w:rPr>
                <w:rFonts w:ascii="宋体" w:hAnsi="宋体" w:eastAsia="宋体" w:cs="宋体"/>
                <w:spacing w:val="-1"/>
                <w:sz w:val="21"/>
                <w:szCs w:val="21"/>
              </w:rPr>
              <w:t>全监控系统。</w:t>
            </w:r>
          </w:p>
        </w:tc>
        <w:tc>
          <w:tcPr>
            <w:tcW w:w="692" w:type="dxa"/>
            <w:tcBorders>
              <w:right w:val="single" w:color="000000" w:sz="10" w:space="0"/>
            </w:tcBorders>
            <w:vAlign w:val="top"/>
          </w:tcPr>
          <w:p w14:paraId="3D244090">
            <w:pPr>
              <w:pStyle w:val="104"/>
              <w:keepNext w:val="0"/>
              <w:keepLines w:val="0"/>
              <w:pageBreakBefore w:val="0"/>
              <w:widowControl w:val="0"/>
              <w:kinsoku/>
              <w:wordWrap/>
              <w:overflowPunct/>
              <w:topLinePunct w:val="0"/>
              <w:autoSpaceDE/>
              <w:autoSpaceDN/>
              <w:bidi w:val="0"/>
              <w:adjustRightInd/>
              <w:snapToGrid/>
              <w:spacing w:line="280" w:lineRule="exact"/>
              <w:textAlignment w:val="auto"/>
            </w:pPr>
          </w:p>
          <w:p w14:paraId="2092DB4D">
            <w:pPr>
              <w:pStyle w:val="104"/>
              <w:keepNext w:val="0"/>
              <w:keepLines w:val="0"/>
              <w:pageBreakBefore w:val="0"/>
              <w:widowControl w:val="0"/>
              <w:kinsoku/>
              <w:wordWrap/>
              <w:overflowPunct/>
              <w:topLinePunct w:val="0"/>
              <w:autoSpaceDE/>
              <w:autoSpaceDN/>
              <w:bidi w:val="0"/>
              <w:adjustRightInd/>
              <w:snapToGrid/>
              <w:spacing w:line="280" w:lineRule="exact"/>
              <w:textAlignment w:val="auto"/>
            </w:pPr>
          </w:p>
          <w:p w14:paraId="2FC3765E">
            <w:pPr>
              <w:pStyle w:val="104"/>
              <w:keepNext w:val="0"/>
              <w:keepLines w:val="0"/>
              <w:pageBreakBefore w:val="0"/>
              <w:widowControl w:val="0"/>
              <w:kinsoku/>
              <w:wordWrap/>
              <w:overflowPunct/>
              <w:topLinePunct w:val="0"/>
              <w:autoSpaceDE/>
              <w:autoSpaceDN/>
              <w:bidi w:val="0"/>
              <w:adjustRightInd/>
              <w:snapToGrid/>
              <w:spacing w:line="280" w:lineRule="exact"/>
              <w:textAlignment w:val="auto"/>
            </w:pPr>
          </w:p>
          <w:p w14:paraId="3BF1D442">
            <w:pPr>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textAlignment w:val="auto"/>
              <w:rPr>
                <w:rFonts w:ascii="宋体" w:hAnsi="宋体" w:eastAsia="宋体" w:cs="宋体"/>
                <w:sz w:val="21"/>
                <w:szCs w:val="21"/>
              </w:rPr>
            </w:pPr>
            <w:r>
              <w:rPr>
                <w:rFonts w:ascii="宋体" w:hAnsi="宋体" w:eastAsia="宋体" w:cs="宋体"/>
                <w:spacing w:val="-2"/>
                <w:sz w:val="21"/>
                <w:szCs w:val="21"/>
              </w:rPr>
              <w:t>合格</w:t>
            </w:r>
          </w:p>
        </w:tc>
      </w:tr>
      <w:tr w14:paraId="2E42FB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2" w:hRule="atLeast"/>
        </w:trPr>
        <w:tc>
          <w:tcPr>
            <w:tcW w:w="641" w:type="dxa"/>
            <w:tcBorders>
              <w:left w:val="single" w:color="000000" w:sz="10" w:space="0"/>
            </w:tcBorders>
            <w:vAlign w:val="top"/>
          </w:tcPr>
          <w:p w14:paraId="0772DE63">
            <w:pPr>
              <w:pStyle w:val="104"/>
              <w:keepNext w:val="0"/>
              <w:keepLines w:val="0"/>
              <w:pageBreakBefore w:val="0"/>
              <w:widowControl w:val="0"/>
              <w:kinsoku/>
              <w:wordWrap/>
              <w:overflowPunct/>
              <w:topLinePunct w:val="0"/>
              <w:autoSpaceDE/>
              <w:autoSpaceDN/>
              <w:bidi w:val="0"/>
              <w:adjustRightInd/>
              <w:snapToGrid/>
              <w:spacing w:line="280" w:lineRule="exact"/>
              <w:textAlignment w:val="auto"/>
            </w:pPr>
          </w:p>
          <w:p w14:paraId="691C7F63">
            <w:pPr>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textAlignment w:val="auto"/>
              <w:rPr>
                <w:rFonts w:ascii="宋体" w:hAnsi="宋体" w:eastAsia="宋体" w:cs="宋体"/>
                <w:sz w:val="21"/>
                <w:szCs w:val="21"/>
              </w:rPr>
            </w:pPr>
            <w:r>
              <w:rPr>
                <w:rFonts w:ascii="宋体" w:hAnsi="宋体" w:eastAsia="宋体" w:cs="宋体"/>
                <w:sz w:val="21"/>
                <w:szCs w:val="21"/>
              </w:rPr>
              <w:t>4</w:t>
            </w:r>
          </w:p>
        </w:tc>
        <w:tc>
          <w:tcPr>
            <w:tcW w:w="4193" w:type="dxa"/>
            <w:vAlign w:val="top"/>
          </w:tcPr>
          <w:p w14:paraId="7E404918">
            <w:pPr>
              <w:keepNext w:val="0"/>
              <w:keepLines w:val="0"/>
              <w:pageBreakBefore w:val="0"/>
              <w:widowControl w:val="0"/>
              <w:kinsoku/>
              <w:wordWrap/>
              <w:overflowPunct/>
              <w:topLinePunct w:val="0"/>
              <w:autoSpaceDE/>
              <w:autoSpaceDN/>
              <w:bidi w:val="0"/>
              <w:adjustRightInd/>
              <w:snapToGrid/>
              <w:spacing w:line="280" w:lineRule="exact"/>
              <w:ind w:left="0" w:leftChars="0" w:right="101" w:firstLine="0" w:firstLineChars="0"/>
              <w:textAlignment w:val="auto"/>
              <w:rPr>
                <w:rFonts w:hint="eastAsia" w:ascii="宋体" w:hAnsi="宋体" w:eastAsia="宋体" w:cs="宋体"/>
                <w:sz w:val="21"/>
                <w:szCs w:val="21"/>
                <w:lang w:eastAsia="zh-CN"/>
              </w:rPr>
            </w:pPr>
            <w:r>
              <w:rPr>
                <w:rFonts w:ascii="宋体" w:hAnsi="宋体" w:eastAsia="宋体" w:cs="宋体"/>
                <w:spacing w:val="-1"/>
                <w:sz w:val="21"/>
                <w:szCs w:val="21"/>
              </w:rPr>
              <w:t>各批发公司应配备烟花爆竹中氯酸钾定性分析</w:t>
            </w:r>
            <w:r>
              <w:rPr>
                <w:rFonts w:ascii="宋体" w:hAnsi="宋体" w:eastAsia="宋体" w:cs="宋体"/>
                <w:spacing w:val="-3"/>
                <w:sz w:val="21"/>
                <w:szCs w:val="21"/>
              </w:rPr>
              <w:t>快速检测试剂，对每一批省内外购进的烟花爆竹产品进行严格检验，发现问题及时上报相关部门</w:t>
            </w:r>
            <w:r>
              <w:rPr>
                <w:rFonts w:hint="eastAsia" w:ascii="宋体" w:hAnsi="宋体" w:cs="宋体"/>
                <w:spacing w:val="-3"/>
                <w:sz w:val="21"/>
                <w:szCs w:val="21"/>
                <w:lang w:eastAsia="zh-CN"/>
              </w:rPr>
              <w:t>。</w:t>
            </w:r>
          </w:p>
        </w:tc>
        <w:tc>
          <w:tcPr>
            <w:tcW w:w="3473" w:type="dxa"/>
            <w:vAlign w:val="top"/>
          </w:tcPr>
          <w:p w14:paraId="4C27B4F8">
            <w:pPr>
              <w:keepNext w:val="0"/>
              <w:keepLines w:val="0"/>
              <w:pageBreakBefore w:val="0"/>
              <w:widowControl w:val="0"/>
              <w:kinsoku/>
              <w:wordWrap/>
              <w:overflowPunct/>
              <w:topLinePunct w:val="0"/>
              <w:autoSpaceDE/>
              <w:autoSpaceDN/>
              <w:bidi w:val="0"/>
              <w:adjustRightInd/>
              <w:snapToGrid/>
              <w:spacing w:line="280" w:lineRule="exact"/>
              <w:ind w:left="0" w:leftChars="0" w:right="92" w:firstLine="0" w:firstLineChars="0"/>
              <w:textAlignment w:val="auto"/>
              <w:rPr>
                <w:rFonts w:ascii="宋体" w:hAnsi="宋体" w:eastAsia="宋体" w:cs="宋体"/>
                <w:sz w:val="21"/>
                <w:szCs w:val="21"/>
              </w:rPr>
            </w:pPr>
            <w:r>
              <w:rPr>
                <w:rFonts w:ascii="宋体" w:hAnsi="宋体" w:eastAsia="宋体" w:cs="宋体"/>
                <w:spacing w:val="-1"/>
                <w:sz w:val="21"/>
                <w:szCs w:val="21"/>
              </w:rPr>
              <w:t>公司购进的烟花爆竹产品均要求</w:t>
            </w:r>
            <w:r>
              <w:rPr>
                <w:rFonts w:ascii="宋体" w:hAnsi="宋体" w:eastAsia="宋体" w:cs="宋体"/>
                <w:spacing w:val="-7"/>
                <w:sz w:val="21"/>
                <w:szCs w:val="21"/>
              </w:rPr>
              <w:t>供货方提供产品合格证，可保证每</w:t>
            </w:r>
            <w:r>
              <w:rPr>
                <w:rFonts w:ascii="宋体" w:hAnsi="宋体" w:eastAsia="宋体" w:cs="宋体"/>
                <w:spacing w:val="-1"/>
                <w:sz w:val="21"/>
                <w:szCs w:val="21"/>
              </w:rPr>
              <w:t>一批产品的质量合格。</w:t>
            </w:r>
          </w:p>
        </w:tc>
        <w:tc>
          <w:tcPr>
            <w:tcW w:w="692" w:type="dxa"/>
            <w:tcBorders>
              <w:right w:val="single" w:color="000000" w:sz="10" w:space="0"/>
            </w:tcBorders>
            <w:vAlign w:val="top"/>
          </w:tcPr>
          <w:p w14:paraId="197C43F0">
            <w:pPr>
              <w:pStyle w:val="104"/>
              <w:keepNext w:val="0"/>
              <w:keepLines w:val="0"/>
              <w:pageBreakBefore w:val="0"/>
              <w:widowControl w:val="0"/>
              <w:kinsoku/>
              <w:wordWrap/>
              <w:overflowPunct/>
              <w:topLinePunct w:val="0"/>
              <w:autoSpaceDE/>
              <w:autoSpaceDN/>
              <w:bidi w:val="0"/>
              <w:adjustRightInd/>
              <w:snapToGrid/>
              <w:spacing w:line="280" w:lineRule="exact"/>
              <w:textAlignment w:val="auto"/>
            </w:pPr>
          </w:p>
          <w:p w14:paraId="5AFEE6A7">
            <w:pPr>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textAlignment w:val="auto"/>
              <w:rPr>
                <w:rFonts w:ascii="宋体" w:hAnsi="宋体" w:eastAsia="宋体" w:cs="宋体"/>
                <w:sz w:val="21"/>
                <w:szCs w:val="21"/>
              </w:rPr>
            </w:pPr>
            <w:r>
              <w:rPr>
                <w:rFonts w:ascii="宋体" w:hAnsi="宋体" w:eastAsia="宋体" w:cs="宋体"/>
                <w:spacing w:val="-2"/>
                <w:sz w:val="21"/>
                <w:szCs w:val="21"/>
              </w:rPr>
              <w:t>合格</w:t>
            </w:r>
          </w:p>
        </w:tc>
      </w:tr>
      <w:tr w14:paraId="43CD25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41" w:hRule="atLeast"/>
        </w:trPr>
        <w:tc>
          <w:tcPr>
            <w:tcW w:w="641" w:type="dxa"/>
            <w:tcBorders>
              <w:left w:val="single" w:color="000000" w:sz="10" w:space="0"/>
            </w:tcBorders>
            <w:vAlign w:val="top"/>
          </w:tcPr>
          <w:p w14:paraId="0DED0B94">
            <w:pPr>
              <w:pStyle w:val="104"/>
              <w:keepNext w:val="0"/>
              <w:keepLines w:val="0"/>
              <w:pageBreakBefore w:val="0"/>
              <w:widowControl w:val="0"/>
              <w:kinsoku/>
              <w:wordWrap/>
              <w:overflowPunct/>
              <w:topLinePunct w:val="0"/>
              <w:autoSpaceDE/>
              <w:autoSpaceDN/>
              <w:bidi w:val="0"/>
              <w:adjustRightInd/>
              <w:snapToGrid/>
              <w:spacing w:line="280" w:lineRule="exact"/>
              <w:textAlignment w:val="auto"/>
            </w:pPr>
          </w:p>
          <w:p w14:paraId="50F36103">
            <w:pPr>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textAlignment w:val="auto"/>
              <w:rPr>
                <w:rFonts w:ascii="宋体" w:hAnsi="宋体" w:eastAsia="宋体" w:cs="宋体"/>
                <w:sz w:val="21"/>
                <w:szCs w:val="21"/>
              </w:rPr>
            </w:pPr>
            <w:r>
              <w:rPr>
                <w:rFonts w:ascii="宋体" w:hAnsi="宋体" w:eastAsia="宋体" w:cs="宋体"/>
                <w:sz w:val="21"/>
                <w:szCs w:val="21"/>
              </w:rPr>
              <w:t>5</w:t>
            </w:r>
          </w:p>
        </w:tc>
        <w:tc>
          <w:tcPr>
            <w:tcW w:w="4193" w:type="dxa"/>
            <w:vAlign w:val="top"/>
          </w:tcPr>
          <w:p w14:paraId="367806AD">
            <w:pPr>
              <w:keepNext w:val="0"/>
              <w:keepLines w:val="0"/>
              <w:pageBreakBefore w:val="0"/>
              <w:widowControl w:val="0"/>
              <w:kinsoku/>
              <w:wordWrap/>
              <w:overflowPunct/>
              <w:topLinePunct w:val="0"/>
              <w:autoSpaceDE/>
              <w:autoSpaceDN/>
              <w:bidi w:val="0"/>
              <w:adjustRightInd/>
              <w:snapToGrid/>
              <w:spacing w:line="280" w:lineRule="exact"/>
              <w:ind w:left="0" w:leftChars="0" w:right="101" w:firstLine="0" w:firstLineChars="0"/>
              <w:jc w:val="both"/>
              <w:textAlignment w:val="auto"/>
              <w:rPr>
                <w:rFonts w:hint="eastAsia" w:ascii="宋体" w:hAnsi="宋体" w:eastAsia="宋体" w:cs="宋体"/>
                <w:spacing w:val="-3"/>
                <w:sz w:val="21"/>
                <w:szCs w:val="21"/>
                <w:lang w:eastAsia="zh-CN"/>
              </w:rPr>
            </w:pPr>
            <w:r>
              <w:rPr>
                <w:rFonts w:hint="eastAsia" w:ascii="宋体" w:hAnsi="宋体" w:eastAsia="宋体" w:cs="宋体"/>
                <w:spacing w:val="-3"/>
                <w:sz w:val="21"/>
                <w:szCs w:val="21"/>
              </w:rPr>
              <w:t>按照《烟花爆竹流向登记通用规范》（</w:t>
            </w:r>
            <w:r>
              <w:rPr>
                <w:rFonts w:ascii="宋体" w:hAnsi="宋体" w:eastAsia="宋体" w:cs="宋体"/>
                <w:spacing w:val="-3"/>
                <w:sz w:val="21"/>
                <w:szCs w:val="21"/>
              </w:rPr>
              <w:t>AQ4102</w:t>
            </w:r>
            <w:r>
              <w:rPr>
                <w:rFonts w:hint="eastAsia" w:ascii="宋体" w:hAnsi="宋体" w:eastAsia="宋体" w:cs="宋体"/>
                <w:spacing w:val="-3"/>
                <w:sz w:val="21"/>
                <w:szCs w:val="21"/>
              </w:rPr>
              <w:t>）和烟花爆竹流向信息化管理的有关规定，建立并应用烟花爆竹流向信息化管理系统</w:t>
            </w:r>
            <w:r>
              <w:rPr>
                <w:rFonts w:hint="eastAsia" w:ascii="宋体" w:hAnsi="宋体" w:cs="宋体"/>
                <w:spacing w:val="-3"/>
                <w:sz w:val="21"/>
                <w:szCs w:val="21"/>
                <w:lang w:eastAsia="zh-CN"/>
              </w:rPr>
              <w:t>。</w:t>
            </w:r>
          </w:p>
          <w:p w14:paraId="28669D52">
            <w:pPr>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textAlignment w:val="auto"/>
              <w:rPr>
                <w:rFonts w:hint="eastAsia" w:ascii="宋体" w:hAnsi="宋体" w:eastAsia="宋体" w:cs="宋体"/>
                <w:spacing w:val="-3"/>
                <w:sz w:val="21"/>
                <w:szCs w:val="21"/>
                <w:lang w:eastAsia="zh-CN"/>
              </w:rPr>
            </w:pPr>
          </w:p>
        </w:tc>
        <w:tc>
          <w:tcPr>
            <w:tcW w:w="3473" w:type="dxa"/>
            <w:vAlign w:val="top"/>
          </w:tcPr>
          <w:p w14:paraId="330995F3">
            <w:pPr>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textAlignment w:val="auto"/>
              <w:rPr>
                <w:rFonts w:hint="eastAsia" w:ascii="宋体" w:hAnsi="宋体" w:eastAsia="宋体" w:cs="宋体"/>
                <w:spacing w:val="-3"/>
                <w:sz w:val="21"/>
                <w:szCs w:val="21"/>
              </w:rPr>
            </w:pPr>
            <w:r>
              <w:rPr>
                <w:rFonts w:hint="eastAsia" w:ascii="宋体" w:hAnsi="宋体" w:eastAsia="宋体" w:cs="宋体"/>
                <w:spacing w:val="-3"/>
                <w:sz w:val="21"/>
                <w:szCs w:val="21"/>
              </w:rPr>
              <w:t>该企业制定了严格的产品购销合同管理制度，并按照《烟花爆竹流向登记通用规范》（AQ4102）和烟花爆竹流向信息化管理的有关规定，购买了烟花爆竹流向信息化管理系统、建立有产品流向登记台帐及信息库，并严格执行采购、销售流向登记制度。</w:t>
            </w:r>
          </w:p>
        </w:tc>
        <w:tc>
          <w:tcPr>
            <w:tcW w:w="692" w:type="dxa"/>
            <w:tcBorders>
              <w:right w:val="single" w:color="000000" w:sz="10" w:space="0"/>
            </w:tcBorders>
            <w:vAlign w:val="center"/>
          </w:tcPr>
          <w:p w14:paraId="7FACC4D3">
            <w:pPr>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jc w:val="center"/>
              <w:textAlignment w:val="auto"/>
              <w:rPr>
                <w:rFonts w:ascii="宋体" w:hAnsi="宋体" w:eastAsia="宋体" w:cs="宋体"/>
                <w:sz w:val="21"/>
                <w:szCs w:val="21"/>
              </w:rPr>
            </w:pPr>
            <w:r>
              <w:rPr>
                <w:rFonts w:ascii="宋体" w:hAnsi="宋体" w:eastAsia="宋体" w:cs="宋体"/>
                <w:spacing w:val="-2"/>
                <w:sz w:val="21"/>
                <w:szCs w:val="21"/>
              </w:rPr>
              <w:t>合格</w:t>
            </w:r>
          </w:p>
        </w:tc>
      </w:tr>
      <w:tr w14:paraId="289842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7" w:hRule="atLeast"/>
        </w:trPr>
        <w:tc>
          <w:tcPr>
            <w:tcW w:w="641" w:type="dxa"/>
            <w:tcBorders>
              <w:left w:val="single" w:color="000000" w:sz="10" w:space="0"/>
            </w:tcBorders>
            <w:vAlign w:val="top"/>
          </w:tcPr>
          <w:p w14:paraId="429F24C0">
            <w:pPr>
              <w:pStyle w:val="104"/>
              <w:keepNext w:val="0"/>
              <w:keepLines w:val="0"/>
              <w:pageBreakBefore w:val="0"/>
              <w:widowControl w:val="0"/>
              <w:kinsoku/>
              <w:wordWrap/>
              <w:overflowPunct/>
              <w:topLinePunct w:val="0"/>
              <w:autoSpaceDE/>
              <w:autoSpaceDN/>
              <w:bidi w:val="0"/>
              <w:adjustRightInd/>
              <w:snapToGrid/>
              <w:spacing w:line="280" w:lineRule="exact"/>
              <w:textAlignment w:val="auto"/>
            </w:pPr>
          </w:p>
          <w:p w14:paraId="42A0F552">
            <w:pPr>
              <w:pStyle w:val="104"/>
              <w:keepNext w:val="0"/>
              <w:keepLines w:val="0"/>
              <w:pageBreakBefore w:val="0"/>
              <w:widowControl w:val="0"/>
              <w:kinsoku/>
              <w:wordWrap/>
              <w:overflowPunct/>
              <w:topLinePunct w:val="0"/>
              <w:autoSpaceDE/>
              <w:autoSpaceDN/>
              <w:bidi w:val="0"/>
              <w:adjustRightInd/>
              <w:snapToGrid/>
              <w:spacing w:line="280" w:lineRule="exact"/>
              <w:textAlignment w:val="auto"/>
            </w:pPr>
          </w:p>
          <w:p w14:paraId="558F0748">
            <w:pPr>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textAlignment w:val="auto"/>
              <w:rPr>
                <w:rFonts w:ascii="宋体" w:hAnsi="宋体" w:eastAsia="宋体" w:cs="宋体"/>
                <w:sz w:val="21"/>
                <w:szCs w:val="21"/>
              </w:rPr>
            </w:pPr>
            <w:r>
              <w:rPr>
                <w:rFonts w:ascii="宋体" w:hAnsi="宋体" w:eastAsia="宋体" w:cs="宋体"/>
                <w:sz w:val="21"/>
                <w:szCs w:val="21"/>
              </w:rPr>
              <w:t>6</w:t>
            </w:r>
          </w:p>
        </w:tc>
        <w:tc>
          <w:tcPr>
            <w:tcW w:w="4193" w:type="dxa"/>
            <w:vAlign w:val="top"/>
          </w:tcPr>
          <w:p w14:paraId="78FC9783">
            <w:pPr>
              <w:keepNext w:val="0"/>
              <w:keepLines w:val="0"/>
              <w:pageBreakBefore w:val="0"/>
              <w:widowControl w:val="0"/>
              <w:kinsoku/>
              <w:wordWrap/>
              <w:overflowPunct/>
              <w:topLinePunct w:val="0"/>
              <w:autoSpaceDE/>
              <w:autoSpaceDN/>
              <w:bidi w:val="0"/>
              <w:adjustRightInd/>
              <w:snapToGrid/>
              <w:spacing w:line="280" w:lineRule="exact"/>
              <w:ind w:left="0" w:leftChars="0" w:right="101" w:firstLine="0" w:firstLineChars="0"/>
              <w:jc w:val="both"/>
              <w:textAlignment w:val="auto"/>
              <w:rPr>
                <w:rFonts w:hint="eastAsia" w:ascii="宋体" w:hAnsi="宋体" w:eastAsia="宋体" w:cs="宋体"/>
                <w:sz w:val="21"/>
                <w:szCs w:val="21"/>
                <w:lang w:eastAsia="zh-CN"/>
              </w:rPr>
            </w:pPr>
            <w:r>
              <w:rPr>
                <w:rFonts w:ascii="宋体" w:hAnsi="宋体" w:eastAsia="宋体" w:cs="宋体"/>
                <w:spacing w:val="-3"/>
                <w:sz w:val="21"/>
                <w:szCs w:val="21"/>
              </w:rPr>
              <w:t>建立健全安全生产责任制、各项安全管理制度和安全操作规程；设置安全管理机构或者配备安全管理人员</w:t>
            </w:r>
            <w:r>
              <w:rPr>
                <w:rFonts w:hint="eastAsia" w:ascii="宋体" w:hAnsi="宋体" w:cs="宋体"/>
                <w:spacing w:val="-3"/>
                <w:sz w:val="21"/>
                <w:szCs w:val="21"/>
                <w:lang w:eastAsia="zh-CN"/>
              </w:rPr>
              <w:t>。</w:t>
            </w:r>
          </w:p>
        </w:tc>
        <w:tc>
          <w:tcPr>
            <w:tcW w:w="3473" w:type="dxa"/>
            <w:vAlign w:val="top"/>
          </w:tcPr>
          <w:p w14:paraId="501A2E14">
            <w:pPr>
              <w:keepNext w:val="0"/>
              <w:keepLines w:val="0"/>
              <w:pageBreakBefore w:val="0"/>
              <w:widowControl w:val="0"/>
              <w:kinsoku/>
              <w:wordWrap/>
              <w:overflowPunct/>
              <w:topLinePunct w:val="0"/>
              <w:autoSpaceDE/>
              <w:autoSpaceDN/>
              <w:bidi w:val="0"/>
              <w:adjustRightInd/>
              <w:snapToGrid/>
              <w:spacing w:line="280" w:lineRule="exact"/>
              <w:ind w:left="0" w:leftChars="0" w:right="92" w:firstLine="0" w:firstLineChars="0"/>
              <w:textAlignment w:val="auto"/>
              <w:rPr>
                <w:rFonts w:ascii="宋体" w:hAnsi="宋体" w:eastAsia="宋体" w:cs="宋体"/>
                <w:sz w:val="21"/>
                <w:szCs w:val="21"/>
              </w:rPr>
            </w:pPr>
            <w:r>
              <w:rPr>
                <w:rFonts w:ascii="宋体" w:hAnsi="宋体" w:eastAsia="宋体" w:cs="宋体"/>
                <w:spacing w:val="-8"/>
                <w:sz w:val="21"/>
                <w:szCs w:val="21"/>
              </w:rPr>
              <w:t>公司已制定安全生产责任制、各项</w:t>
            </w:r>
            <w:r>
              <w:rPr>
                <w:rFonts w:ascii="宋体" w:hAnsi="宋体" w:eastAsia="宋体" w:cs="宋体"/>
                <w:spacing w:val="12"/>
                <w:sz w:val="21"/>
                <w:szCs w:val="21"/>
              </w:rPr>
              <w:t xml:space="preserve"> </w:t>
            </w:r>
            <w:r>
              <w:rPr>
                <w:rFonts w:ascii="宋体" w:hAnsi="宋体" w:eastAsia="宋体" w:cs="宋体"/>
                <w:spacing w:val="-7"/>
                <w:sz w:val="21"/>
                <w:szCs w:val="21"/>
              </w:rPr>
              <w:t>安全管理制度和安全操作规程，设</w:t>
            </w:r>
            <w:r>
              <w:rPr>
                <w:rFonts w:ascii="宋体" w:hAnsi="宋体" w:eastAsia="宋体" w:cs="宋体"/>
                <w:spacing w:val="-1"/>
                <w:sz w:val="21"/>
                <w:szCs w:val="21"/>
              </w:rPr>
              <w:t>置安全管理机构并配备专职安全</w:t>
            </w:r>
            <w:r>
              <w:rPr>
                <w:rFonts w:ascii="宋体" w:hAnsi="宋体" w:eastAsia="宋体" w:cs="宋体"/>
                <w:spacing w:val="-4"/>
                <w:sz w:val="21"/>
                <w:szCs w:val="21"/>
              </w:rPr>
              <w:t>管理人员。</w:t>
            </w:r>
          </w:p>
        </w:tc>
        <w:tc>
          <w:tcPr>
            <w:tcW w:w="692" w:type="dxa"/>
            <w:tcBorders>
              <w:right w:val="single" w:color="000000" w:sz="10" w:space="0"/>
            </w:tcBorders>
            <w:vAlign w:val="top"/>
          </w:tcPr>
          <w:p w14:paraId="08E9A6A7">
            <w:pPr>
              <w:pStyle w:val="104"/>
              <w:keepNext w:val="0"/>
              <w:keepLines w:val="0"/>
              <w:pageBreakBefore w:val="0"/>
              <w:widowControl w:val="0"/>
              <w:kinsoku/>
              <w:wordWrap/>
              <w:overflowPunct/>
              <w:topLinePunct w:val="0"/>
              <w:autoSpaceDE/>
              <w:autoSpaceDN/>
              <w:bidi w:val="0"/>
              <w:adjustRightInd/>
              <w:snapToGrid/>
              <w:spacing w:line="280" w:lineRule="exact"/>
              <w:textAlignment w:val="auto"/>
            </w:pPr>
          </w:p>
          <w:p w14:paraId="42A38F0E">
            <w:pPr>
              <w:pStyle w:val="104"/>
              <w:keepNext w:val="0"/>
              <w:keepLines w:val="0"/>
              <w:pageBreakBefore w:val="0"/>
              <w:widowControl w:val="0"/>
              <w:kinsoku/>
              <w:wordWrap/>
              <w:overflowPunct/>
              <w:topLinePunct w:val="0"/>
              <w:autoSpaceDE/>
              <w:autoSpaceDN/>
              <w:bidi w:val="0"/>
              <w:adjustRightInd/>
              <w:snapToGrid/>
              <w:spacing w:line="280" w:lineRule="exact"/>
              <w:textAlignment w:val="auto"/>
            </w:pPr>
          </w:p>
          <w:p w14:paraId="2A3A9DD0">
            <w:pPr>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textAlignment w:val="auto"/>
              <w:rPr>
                <w:rFonts w:ascii="宋体" w:hAnsi="宋体" w:eastAsia="宋体" w:cs="宋体"/>
                <w:sz w:val="21"/>
                <w:szCs w:val="21"/>
              </w:rPr>
            </w:pPr>
            <w:r>
              <w:rPr>
                <w:rFonts w:ascii="宋体" w:hAnsi="宋体" w:eastAsia="宋体" w:cs="宋体"/>
                <w:spacing w:val="-2"/>
                <w:sz w:val="21"/>
                <w:szCs w:val="21"/>
              </w:rPr>
              <w:t>合格</w:t>
            </w:r>
          </w:p>
        </w:tc>
      </w:tr>
      <w:tr w14:paraId="15BE2C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1" w:hRule="atLeast"/>
        </w:trPr>
        <w:tc>
          <w:tcPr>
            <w:tcW w:w="641" w:type="dxa"/>
            <w:tcBorders>
              <w:left w:val="single" w:color="000000" w:sz="10" w:space="0"/>
            </w:tcBorders>
            <w:vAlign w:val="top"/>
          </w:tcPr>
          <w:p w14:paraId="19144395">
            <w:pPr>
              <w:pStyle w:val="104"/>
              <w:keepNext w:val="0"/>
              <w:keepLines w:val="0"/>
              <w:pageBreakBefore w:val="0"/>
              <w:widowControl w:val="0"/>
              <w:kinsoku/>
              <w:wordWrap/>
              <w:overflowPunct/>
              <w:topLinePunct w:val="0"/>
              <w:autoSpaceDE/>
              <w:autoSpaceDN/>
              <w:bidi w:val="0"/>
              <w:adjustRightInd/>
              <w:snapToGrid/>
              <w:spacing w:line="280" w:lineRule="exact"/>
              <w:textAlignment w:val="auto"/>
            </w:pPr>
          </w:p>
          <w:p w14:paraId="5923347D">
            <w:pPr>
              <w:pStyle w:val="104"/>
              <w:keepNext w:val="0"/>
              <w:keepLines w:val="0"/>
              <w:pageBreakBefore w:val="0"/>
              <w:widowControl w:val="0"/>
              <w:kinsoku/>
              <w:wordWrap/>
              <w:overflowPunct/>
              <w:topLinePunct w:val="0"/>
              <w:autoSpaceDE/>
              <w:autoSpaceDN/>
              <w:bidi w:val="0"/>
              <w:adjustRightInd/>
              <w:snapToGrid/>
              <w:spacing w:line="280" w:lineRule="exact"/>
              <w:textAlignment w:val="auto"/>
            </w:pPr>
          </w:p>
          <w:p w14:paraId="6D8A5A40">
            <w:pPr>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textAlignment w:val="auto"/>
              <w:rPr>
                <w:rFonts w:ascii="宋体" w:hAnsi="宋体" w:eastAsia="宋体" w:cs="宋体"/>
                <w:sz w:val="21"/>
                <w:szCs w:val="21"/>
              </w:rPr>
            </w:pPr>
            <w:r>
              <w:rPr>
                <w:rFonts w:ascii="宋体" w:hAnsi="宋体" w:eastAsia="宋体" w:cs="宋体"/>
                <w:sz w:val="21"/>
                <w:szCs w:val="21"/>
              </w:rPr>
              <w:t>7</w:t>
            </w:r>
          </w:p>
        </w:tc>
        <w:tc>
          <w:tcPr>
            <w:tcW w:w="4193" w:type="dxa"/>
            <w:vAlign w:val="top"/>
          </w:tcPr>
          <w:p w14:paraId="5865355A">
            <w:pPr>
              <w:keepNext w:val="0"/>
              <w:keepLines w:val="0"/>
              <w:pageBreakBefore w:val="0"/>
              <w:widowControl w:val="0"/>
              <w:kinsoku/>
              <w:wordWrap/>
              <w:overflowPunct/>
              <w:topLinePunct w:val="0"/>
              <w:autoSpaceDE/>
              <w:autoSpaceDN/>
              <w:bidi w:val="0"/>
              <w:adjustRightInd/>
              <w:snapToGrid/>
              <w:spacing w:line="280" w:lineRule="exact"/>
              <w:ind w:left="0" w:leftChars="0" w:right="101" w:firstLine="0" w:firstLineChars="0"/>
              <w:textAlignment w:val="auto"/>
              <w:rPr>
                <w:rFonts w:ascii="宋体" w:hAnsi="宋体" w:eastAsia="宋体" w:cs="宋体"/>
                <w:sz w:val="21"/>
                <w:szCs w:val="21"/>
              </w:rPr>
            </w:pPr>
            <w:r>
              <w:rPr>
                <w:rFonts w:ascii="宋体" w:hAnsi="宋体" w:eastAsia="宋体" w:cs="宋体"/>
                <w:spacing w:val="-1"/>
                <w:sz w:val="21"/>
                <w:szCs w:val="21"/>
              </w:rPr>
              <w:t>主要负责人或安全管理人员应当具备烟花爆竹</w:t>
            </w:r>
            <w:r>
              <w:rPr>
                <w:rFonts w:ascii="宋体" w:hAnsi="宋体" w:eastAsia="宋体" w:cs="宋体"/>
                <w:spacing w:val="-3"/>
                <w:sz w:val="21"/>
                <w:szCs w:val="21"/>
              </w:rPr>
              <w:t>经营方面的安全知识和管理能力，并经安全生产监督管理部门考核合格；仓库保管员、守护员应</w:t>
            </w:r>
            <w:r>
              <w:rPr>
                <w:rFonts w:ascii="宋体" w:hAnsi="宋体" w:eastAsia="宋体" w:cs="宋体"/>
                <w:spacing w:val="-4"/>
                <w:sz w:val="21"/>
                <w:szCs w:val="21"/>
              </w:rPr>
              <w:t>当接受烟花爆竹专业知识培训，并经考核合格；</w:t>
            </w:r>
            <w:r>
              <w:rPr>
                <w:rFonts w:ascii="宋体" w:hAnsi="宋体" w:eastAsia="宋体" w:cs="宋体"/>
                <w:spacing w:val="-1"/>
                <w:sz w:val="21"/>
                <w:szCs w:val="21"/>
              </w:rPr>
              <w:t>其他从业人员应当经过本单位的安全知识教育</w:t>
            </w:r>
            <w:r>
              <w:rPr>
                <w:rFonts w:ascii="宋体" w:hAnsi="宋体" w:eastAsia="宋体" w:cs="宋体"/>
                <w:spacing w:val="-2"/>
                <w:sz w:val="21"/>
                <w:szCs w:val="21"/>
              </w:rPr>
              <w:t>和培训</w:t>
            </w:r>
          </w:p>
        </w:tc>
        <w:tc>
          <w:tcPr>
            <w:tcW w:w="3473" w:type="dxa"/>
            <w:vAlign w:val="top"/>
          </w:tcPr>
          <w:p w14:paraId="18580F21">
            <w:pPr>
              <w:keepNext w:val="0"/>
              <w:keepLines w:val="0"/>
              <w:pageBreakBefore w:val="0"/>
              <w:widowControl w:val="0"/>
              <w:kinsoku/>
              <w:wordWrap/>
              <w:overflowPunct/>
              <w:topLinePunct w:val="0"/>
              <w:autoSpaceDE/>
              <w:autoSpaceDN/>
              <w:bidi w:val="0"/>
              <w:adjustRightInd/>
              <w:snapToGrid/>
              <w:spacing w:line="280" w:lineRule="exact"/>
              <w:ind w:left="0" w:leftChars="0" w:right="27" w:firstLine="0" w:firstLineChars="0"/>
              <w:textAlignment w:val="auto"/>
              <w:rPr>
                <w:rFonts w:ascii="宋体" w:hAnsi="宋体" w:eastAsia="宋体" w:cs="宋体"/>
                <w:sz w:val="21"/>
                <w:szCs w:val="21"/>
              </w:rPr>
            </w:pPr>
            <w:r>
              <w:rPr>
                <w:rFonts w:ascii="宋体" w:hAnsi="宋体" w:eastAsia="宋体" w:cs="宋体"/>
                <w:spacing w:val="-1"/>
                <w:sz w:val="21"/>
                <w:szCs w:val="21"/>
              </w:rPr>
              <w:t>主要负责人和安全管理人员已获</w:t>
            </w:r>
            <w:r>
              <w:rPr>
                <w:rFonts w:ascii="宋体" w:hAnsi="宋体" w:eastAsia="宋体" w:cs="宋体"/>
                <w:spacing w:val="-3"/>
                <w:sz w:val="21"/>
                <w:szCs w:val="21"/>
              </w:rPr>
              <w:t>得相关证书，符合要求。守护员、</w:t>
            </w:r>
            <w:r>
              <w:rPr>
                <w:rFonts w:ascii="宋体" w:hAnsi="宋体" w:eastAsia="宋体" w:cs="宋体"/>
                <w:spacing w:val="-7"/>
                <w:sz w:val="21"/>
                <w:szCs w:val="21"/>
              </w:rPr>
              <w:t>保管员均经资质培训合格，持证上岗，详见附件。</w:t>
            </w:r>
          </w:p>
        </w:tc>
        <w:tc>
          <w:tcPr>
            <w:tcW w:w="692" w:type="dxa"/>
            <w:tcBorders>
              <w:right w:val="single" w:color="000000" w:sz="10" w:space="0"/>
            </w:tcBorders>
            <w:vAlign w:val="top"/>
          </w:tcPr>
          <w:p w14:paraId="74A3917E">
            <w:pPr>
              <w:pStyle w:val="104"/>
              <w:keepNext w:val="0"/>
              <w:keepLines w:val="0"/>
              <w:pageBreakBefore w:val="0"/>
              <w:widowControl w:val="0"/>
              <w:kinsoku/>
              <w:wordWrap/>
              <w:overflowPunct/>
              <w:topLinePunct w:val="0"/>
              <w:autoSpaceDE/>
              <w:autoSpaceDN/>
              <w:bidi w:val="0"/>
              <w:adjustRightInd/>
              <w:snapToGrid/>
              <w:spacing w:line="280" w:lineRule="exact"/>
              <w:textAlignment w:val="auto"/>
            </w:pPr>
          </w:p>
          <w:p w14:paraId="3E8D9BE4">
            <w:pPr>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textAlignment w:val="auto"/>
              <w:rPr>
                <w:rFonts w:ascii="宋体" w:hAnsi="宋体" w:eastAsia="宋体" w:cs="宋体"/>
                <w:sz w:val="21"/>
                <w:szCs w:val="21"/>
              </w:rPr>
            </w:pPr>
            <w:r>
              <w:rPr>
                <w:rFonts w:ascii="宋体" w:hAnsi="宋体" w:eastAsia="宋体" w:cs="宋体"/>
                <w:spacing w:val="-2"/>
                <w:sz w:val="21"/>
                <w:szCs w:val="21"/>
              </w:rPr>
              <w:t>合格</w:t>
            </w:r>
          </w:p>
        </w:tc>
      </w:tr>
      <w:tr w14:paraId="701358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1" w:hRule="atLeast"/>
        </w:trPr>
        <w:tc>
          <w:tcPr>
            <w:tcW w:w="641" w:type="dxa"/>
            <w:tcBorders>
              <w:left w:val="single" w:color="000000" w:sz="10" w:space="0"/>
            </w:tcBorders>
            <w:vAlign w:val="top"/>
          </w:tcPr>
          <w:p w14:paraId="456E7244">
            <w:pPr>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8</w:t>
            </w:r>
          </w:p>
        </w:tc>
        <w:tc>
          <w:tcPr>
            <w:tcW w:w="4193" w:type="dxa"/>
            <w:vAlign w:val="top"/>
          </w:tcPr>
          <w:p w14:paraId="3C4CBA8C">
            <w:pPr>
              <w:keepNext w:val="0"/>
              <w:keepLines w:val="0"/>
              <w:pageBreakBefore w:val="0"/>
              <w:widowControl w:val="0"/>
              <w:kinsoku/>
              <w:wordWrap/>
              <w:overflowPunct/>
              <w:topLinePunct w:val="0"/>
              <w:autoSpaceDE/>
              <w:autoSpaceDN/>
              <w:bidi w:val="0"/>
              <w:adjustRightInd/>
              <w:snapToGrid/>
              <w:spacing w:line="280" w:lineRule="exact"/>
              <w:ind w:left="0" w:leftChars="0" w:right="101" w:firstLine="0" w:firstLineChars="0"/>
              <w:textAlignment w:val="auto"/>
              <w:rPr>
                <w:rFonts w:ascii="宋体" w:hAnsi="宋体" w:eastAsia="宋体" w:cs="宋体"/>
                <w:spacing w:val="-1"/>
                <w:sz w:val="21"/>
                <w:szCs w:val="21"/>
              </w:rPr>
            </w:pPr>
            <w:r>
              <w:rPr>
                <w:rFonts w:ascii="宋体" w:hAnsi="宋体" w:eastAsia="宋体" w:cs="宋体"/>
                <w:spacing w:val="-3"/>
                <w:sz w:val="21"/>
                <w:szCs w:val="21"/>
              </w:rPr>
              <w:t>具备专业烟花爆竹批量配送服务能力，其运输车</w:t>
            </w:r>
            <w:r>
              <w:rPr>
                <w:rFonts w:ascii="宋体" w:hAnsi="宋体" w:eastAsia="宋体" w:cs="宋体"/>
                <w:spacing w:val="-1"/>
                <w:sz w:val="21"/>
                <w:szCs w:val="21"/>
              </w:rPr>
              <w:t>辆符合国家标准并取得相应资质</w:t>
            </w:r>
          </w:p>
        </w:tc>
        <w:tc>
          <w:tcPr>
            <w:tcW w:w="3473" w:type="dxa"/>
            <w:vAlign w:val="top"/>
          </w:tcPr>
          <w:p w14:paraId="57C0F214">
            <w:pPr>
              <w:keepNext w:val="0"/>
              <w:keepLines w:val="0"/>
              <w:pageBreakBefore w:val="0"/>
              <w:widowControl w:val="0"/>
              <w:kinsoku/>
              <w:wordWrap/>
              <w:overflowPunct/>
              <w:topLinePunct w:val="0"/>
              <w:autoSpaceDE/>
              <w:autoSpaceDN/>
              <w:bidi w:val="0"/>
              <w:adjustRightInd/>
              <w:snapToGrid/>
              <w:spacing w:line="280" w:lineRule="exact"/>
              <w:ind w:left="0" w:leftChars="0" w:right="27" w:firstLine="0" w:firstLineChars="0"/>
              <w:textAlignment w:val="auto"/>
              <w:rPr>
                <w:rFonts w:ascii="宋体" w:hAnsi="宋体" w:eastAsia="宋体" w:cs="宋体"/>
                <w:spacing w:val="-1"/>
                <w:sz w:val="21"/>
                <w:szCs w:val="21"/>
              </w:rPr>
            </w:pPr>
            <w:r>
              <w:rPr>
                <w:rFonts w:ascii="宋体" w:hAnsi="宋体" w:eastAsia="宋体" w:cs="宋体"/>
                <w:spacing w:val="-4"/>
                <w:sz w:val="21"/>
                <w:szCs w:val="21"/>
              </w:rPr>
              <w:t>委托具备烟花爆竹配送服务能力，</w:t>
            </w:r>
            <w:r>
              <w:rPr>
                <w:rFonts w:ascii="宋体" w:hAnsi="宋体" w:eastAsia="宋体" w:cs="宋体"/>
                <w:spacing w:val="-1"/>
                <w:sz w:val="21"/>
                <w:szCs w:val="21"/>
              </w:rPr>
              <w:t>持有道路运输经营许可证。</w:t>
            </w:r>
          </w:p>
        </w:tc>
        <w:tc>
          <w:tcPr>
            <w:tcW w:w="692" w:type="dxa"/>
            <w:tcBorders>
              <w:right w:val="single" w:color="000000" w:sz="10" w:space="0"/>
            </w:tcBorders>
            <w:vAlign w:val="top"/>
          </w:tcPr>
          <w:p w14:paraId="4A2361E5">
            <w:pPr>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textAlignment w:val="auto"/>
              <w:rPr>
                <w:rFonts w:ascii="宋体" w:hAnsi="宋体" w:eastAsia="宋体" w:cs="宋体"/>
                <w:spacing w:val="-2"/>
                <w:sz w:val="21"/>
                <w:szCs w:val="21"/>
              </w:rPr>
            </w:pPr>
            <w:r>
              <w:rPr>
                <w:rFonts w:ascii="宋体" w:hAnsi="宋体" w:eastAsia="宋体" w:cs="宋体"/>
                <w:spacing w:val="-2"/>
                <w:sz w:val="21"/>
                <w:szCs w:val="21"/>
              </w:rPr>
              <w:t>合格</w:t>
            </w:r>
          </w:p>
        </w:tc>
      </w:tr>
      <w:tr w14:paraId="2FBC52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4834" w:type="dxa"/>
            <w:gridSpan w:val="2"/>
            <w:tcBorders>
              <w:left w:val="single" w:color="000000" w:sz="10" w:space="0"/>
              <w:bottom w:val="single" w:color="000000" w:sz="10" w:space="0"/>
            </w:tcBorders>
            <w:vAlign w:val="top"/>
          </w:tcPr>
          <w:p w14:paraId="58B1B483">
            <w:pPr>
              <w:keepNext w:val="0"/>
              <w:keepLines w:val="0"/>
              <w:pageBreakBefore w:val="0"/>
              <w:widowControl w:val="0"/>
              <w:kinsoku/>
              <w:wordWrap/>
              <w:overflowPunct/>
              <w:topLinePunct w:val="0"/>
              <w:autoSpaceDE/>
              <w:autoSpaceDN/>
              <w:bidi w:val="0"/>
              <w:adjustRightInd/>
              <w:snapToGrid/>
              <w:spacing w:line="280" w:lineRule="exact"/>
              <w:ind w:left="0" w:leftChars="0" w:right="101" w:firstLine="0" w:firstLineChars="0"/>
              <w:jc w:val="center"/>
              <w:textAlignment w:val="auto"/>
              <w:rPr>
                <w:rFonts w:ascii="宋体" w:hAnsi="宋体" w:eastAsia="宋体" w:cs="宋体"/>
                <w:spacing w:val="-3"/>
                <w:sz w:val="21"/>
                <w:szCs w:val="21"/>
              </w:rPr>
            </w:pPr>
            <w:r>
              <w:rPr>
                <w:rFonts w:ascii="宋体" w:hAnsi="宋体" w:eastAsia="宋体" w:cs="宋体"/>
                <w:spacing w:val="-2"/>
                <w:sz w:val="21"/>
                <w:szCs w:val="21"/>
              </w:rPr>
              <w:t>综合结论</w:t>
            </w:r>
          </w:p>
        </w:tc>
        <w:tc>
          <w:tcPr>
            <w:tcW w:w="4165" w:type="dxa"/>
            <w:gridSpan w:val="2"/>
            <w:tcBorders>
              <w:bottom w:val="single" w:color="000000" w:sz="10" w:space="0"/>
              <w:right w:val="single" w:color="000000" w:sz="10" w:space="0"/>
            </w:tcBorders>
            <w:vAlign w:val="top"/>
          </w:tcPr>
          <w:p w14:paraId="1E1ED973">
            <w:pPr>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jc w:val="center"/>
              <w:textAlignment w:val="auto"/>
              <w:rPr>
                <w:rFonts w:ascii="宋体" w:hAnsi="宋体" w:eastAsia="宋体" w:cs="宋体"/>
                <w:spacing w:val="-2"/>
                <w:sz w:val="21"/>
                <w:szCs w:val="21"/>
              </w:rPr>
            </w:pPr>
            <w:r>
              <w:rPr>
                <w:rFonts w:ascii="宋体" w:hAnsi="宋体" w:eastAsia="宋体" w:cs="宋体"/>
                <w:spacing w:val="-2"/>
                <w:sz w:val="21"/>
                <w:szCs w:val="21"/>
              </w:rPr>
              <w:t>符合安全条件</w:t>
            </w:r>
          </w:p>
        </w:tc>
      </w:tr>
    </w:tbl>
    <w:p w14:paraId="1AB6C53C">
      <w:pPr>
        <w:spacing w:before="137" w:line="220" w:lineRule="auto"/>
        <w:ind w:left="473"/>
        <w:rPr>
          <w:rFonts w:ascii="宋体" w:hAnsi="宋体" w:eastAsia="宋体" w:cs="宋体"/>
          <w:sz w:val="21"/>
          <w:szCs w:val="21"/>
        </w:rPr>
      </w:pPr>
      <w:r>
        <w:rPr>
          <w:rFonts w:ascii="宋体" w:hAnsi="宋体" w:eastAsia="宋体" w:cs="宋体"/>
          <w:sz w:val="21"/>
          <w:szCs w:val="21"/>
        </w:rPr>
        <w:t>注：1、本表所列的审核和检查项目，全部合格的，为符合安</w:t>
      </w:r>
      <w:r>
        <w:rPr>
          <w:rFonts w:ascii="宋体" w:hAnsi="宋体" w:eastAsia="宋体" w:cs="宋体"/>
          <w:spacing w:val="-1"/>
          <w:sz w:val="21"/>
          <w:szCs w:val="21"/>
        </w:rPr>
        <w:t>全条件；</w:t>
      </w:r>
    </w:p>
    <w:p w14:paraId="321CB0BD">
      <w:pPr>
        <w:spacing w:before="151" w:line="220" w:lineRule="auto"/>
        <w:ind w:left="476" w:firstLine="924" w:firstLineChars="400"/>
        <w:rPr>
          <w:rFonts w:ascii="宋体" w:hAnsi="宋体" w:eastAsia="宋体" w:cs="宋体"/>
          <w:sz w:val="21"/>
          <w:szCs w:val="21"/>
        </w:rPr>
      </w:pPr>
      <w:r>
        <w:rPr>
          <w:rFonts w:ascii="宋体" w:hAnsi="宋体" w:eastAsia="宋体" w:cs="宋体"/>
          <w:spacing w:val="-1"/>
          <w:sz w:val="21"/>
          <w:szCs w:val="21"/>
        </w:rPr>
        <w:t>2、本表所列的审核和检查项目，有一项不合格的，为不符合安全条件。</w:t>
      </w:r>
    </w:p>
    <w:p w14:paraId="4A397D8A">
      <w:pPr>
        <w:pStyle w:val="3"/>
        <w:bidi w:val="0"/>
        <w:ind w:left="0" w:leftChars="0" w:firstLine="0" w:firstLineChars="0"/>
      </w:pPr>
      <w:bookmarkStart w:id="151" w:name="_Toc1503"/>
      <w:bookmarkStart w:id="152" w:name="_Toc8849"/>
      <w:r>
        <w:t>5.9 重大安全事故隐患检查判定</w:t>
      </w:r>
      <w:bookmarkEnd w:id="151"/>
      <w:bookmarkEnd w:id="152"/>
    </w:p>
    <w:p w14:paraId="06E79262">
      <w:pPr>
        <w:spacing w:before="78" w:line="220" w:lineRule="auto"/>
        <w:ind w:left="2696"/>
        <w:rPr>
          <w:rFonts w:ascii="宋体" w:hAnsi="宋体" w:eastAsia="宋体" w:cs="宋体"/>
          <w:sz w:val="24"/>
          <w:szCs w:val="24"/>
        </w:rPr>
      </w:pPr>
      <w:r>
        <w:rPr>
          <w:rFonts w:ascii="宋体" w:hAnsi="宋体" w:eastAsia="宋体" w:cs="宋体"/>
          <w:spacing w:val="-2"/>
          <w:sz w:val="24"/>
          <w:szCs w:val="24"/>
        </w:rPr>
        <w:t>表</w:t>
      </w:r>
      <w:r>
        <w:rPr>
          <w:rFonts w:ascii="宋体" w:hAnsi="宋体" w:eastAsia="宋体" w:cs="宋体"/>
          <w:spacing w:val="-31"/>
          <w:sz w:val="24"/>
          <w:szCs w:val="24"/>
        </w:rPr>
        <w:t xml:space="preserve"> </w:t>
      </w:r>
      <w:r>
        <w:rPr>
          <w:rFonts w:ascii="宋体" w:hAnsi="宋体" w:eastAsia="宋体" w:cs="宋体"/>
          <w:spacing w:val="-2"/>
          <w:sz w:val="24"/>
          <w:szCs w:val="24"/>
        </w:rPr>
        <w:t>5.9-1 重大安全事故隐患检查判定</w:t>
      </w:r>
    </w:p>
    <w:tbl>
      <w:tblPr>
        <w:tblStyle w:val="105"/>
        <w:tblW w:w="9279"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4"/>
        <w:gridCol w:w="3731"/>
        <w:gridCol w:w="3707"/>
        <w:gridCol w:w="1147"/>
      </w:tblGrid>
      <w:tr w14:paraId="780FB5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694" w:type="dxa"/>
            <w:tcBorders>
              <w:top w:val="single" w:color="000000" w:sz="10" w:space="0"/>
              <w:left w:val="single" w:color="000000" w:sz="10" w:space="0"/>
            </w:tcBorders>
            <w:vAlign w:val="top"/>
          </w:tcPr>
          <w:p w14:paraId="74213EF4">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textAlignment w:val="auto"/>
              <w:rPr>
                <w:rFonts w:ascii="宋体" w:hAnsi="宋体" w:eastAsia="宋体" w:cs="宋体"/>
                <w:sz w:val="21"/>
                <w:szCs w:val="21"/>
              </w:rPr>
            </w:pPr>
            <w:r>
              <w:rPr>
                <w:rFonts w:ascii="宋体" w:hAnsi="宋体" w:eastAsia="宋体" w:cs="宋体"/>
                <w:spacing w:val="-2"/>
                <w:sz w:val="21"/>
                <w:szCs w:val="21"/>
              </w:rPr>
              <w:t>序号</w:t>
            </w:r>
          </w:p>
        </w:tc>
        <w:tc>
          <w:tcPr>
            <w:tcW w:w="3731" w:type="dxa"/>
            <w:tcBorders>
              <w:top w:val="single" w:color="000000" w:sz="10" w:space="0"/>
            </w:tcBorders>
            <w:vAlign w:val="top"/>
          </w:tcPr>
          <w:p w14:paraId="07023F10">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textAlignment w:val="auto"/>
              <w:rPr>
                <w:rFonts w:ascii="宋体" w:hAnsi="宋体" w:eastAsia="宋体" w:cs="宋体"/>
                <w:sz w:val="21"/>
                <w:szCs w:val="21"/>
              </w:rPr>
            </w:pPr>
            <w:r>
              <w:rPr>
                <w:rFonts w:ascii="宋体" w:hAnsi="宋体" w:eastAsia="宋体" w:cs="宋体"/>
                <w:spacing w:val="-2"/>
                <w:sz w:val="21"/>
                <w:szCs w:val="21"/>
              </w:rPr>
              <w:t>检查项目</w:t>
            </w:r>
          </w:p>
        </w:tc>
        <w:tc>
          <w:tcPr>
            <w:tcW w:w="3707" w:type="dxa"/>
            <w:tcBorders>
              <w:top w:val="single" w:color="000000" w:sz="10" w:space="0"/>
            </w:tcBorders>
            <w:vAlign w:val="top"/>
          </w:tcPr>
          <w:p w14:paraId="11C39265">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textAlignment w:val="auto"/>
              <w:rPr>
                <w:rFonts w:ascii="宋体" w:hAnsi="宋体" w:eastAsia="宋体" w:cs="宋体"/>
                <w:sz w:val="21"/>
                <w:szCs w:val="21"/>
              </w:rPr>
            </w:pPr>
            <w:r>
              <w:rPr>
                <w:rFonts w:ascii="宋体" w:hAnsi="宋体" w:eastAsia="宋体" w:cs="宋体"/>
                <w:spacing w:val="-3"/>
                <w:sz w:val="21"/>
                <w:szCs w:val="21"/>
              </w:rPr>
              <w:t>实际情况</w:t>
            </w:r>
          </w:p>
        </w:tc>
        <w:tc>
          <w:tcPr>
            <w:tcW w:w="1147" w:type="dxa"/>
            <w:tcBorders>
              <w:top w:val="single" w:color="000000" w:sz="10" w:space="0"/>
              <w:right w:val="single" w:color="000000" w:sz="10" w:space="0"/>
            </w:tcBorders>
            <w:vAlign w:val="top"/>
          </w:tcPr>
          <w:p w14:paraId="18638DE2">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textAlignment w:val="auto"/>
              <w:rPr>
                <w:rFonts w:ascii="宋体" w:hAnsi="宋体" w:eastAsia="宋体" w:cs="宋体"/>
                <w:sz w:val="21"/>
                <w:szCs w:val="21"/>
              </w:rPr>
            </w:pPr>
            <w:r>
              <w:rPr>
                <w:rFonts w:ascii="宋体" w:hAnsi="宋体" w:eastAsia="宋体" w:cs="宋体"/>
                <w:spacing w:val="-2"/>
                <w:sz w:val="21"/>
                <w:szCs w:val="21"/>
              </w:rPr>
              <w:t>检查结果</w:t>
            </w:r>
          </w:p>
        </w:tc>
      </w:tr>
      <w:tr w14:paraId="6BB2E6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trPr>
        <w:tc>
          <w:tcPr>
            <w:tcW w:w="694" w:type="dxa"/>
            <w:tcBorders>
              <w:left w:val="single" w:color="000000" w:sz="10" w:space="0"/>
            </w:tcBorders>
            <w:vAlign w:val="top"/>
          </w:tcPr>
          <w:p w14:paraId="53E6550A">
            <w:pPr>
              <w:pStyle w:val="104"/>
              <w:keepNext w:val="0"/>
              <w:keepLines w:val="0"/>
              <w:pageBreakBefore w:val="0"/>
              <w:widowControl w:val="0"/>
              <w:kinsoku/>
              <w:wordWrap/>
              <w:overflowPunct/>
              <w:topLinePunct w:val="0"/>
              <w:autoSpaceDE/>
              <w:autoSpaceDN/>
              <w:bidi w:val="0"/>
              <w:adjustRightInd/>
              <w:snapToGrid/>
              <w:spacing w:line="260" w:lineRule="exact"/>
              <w:textAlignment w:val="auto"/>
            </w:pPr>
          </w:p>
          <w:p w14:paraId="0B9BCC8D">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textAlignment w:val="auto"/>
              <w:rPr>
                <w:rFonts w:ascii="宋体" w:hAnsi="宋体" w:eastAsia="宋体" w:cs="宋体"/>
                <w:sz w:val="21"/>
                <w:szCs w:val="21"/>
              </w:rPr>
            </w:pPr>
            <w:r>
              <w:rPr>
                <w:rFonts w:ascii="宋体" w:hAnsi="宋体" w:eastAsia="宋体" w:cs="宋体"/>
                <w:sz w:val="21"/>
                <w:szCs w:val="21"/>
              </w:rPr>
              <w:t>1</w:t>
            </w:r>
          </w:p>
        </w:tc>
        <w:tc>
          <w:tcPr>
            <w:tcW w:w="3731" w:type="dxa"/>
            <w:vAlign w:val="top"/>
          </w:tcPr>
          <w:p w14:paraId="784A1A10">
            <w:pPr>
              <w:keepNext w:val="0"/>
              <w:keepLines w:val="0"/>
              <w:pageBreakBefore w:val="0"/>
              <w:widowControl w:val="0"/>
              <w:kinsoku/>
              <w:wordWrap/>
              <w:overflowPunct/>
              <w:topLinePunct w:val="0"/>
              <w:autoSpaceDE/>
              <w:autoSpaceDN/>
              <w:bidi w:val="0"/>
              <w:adjustRightInd/>
              <w:snapToGrid/>
              <w:spacing w:line="260" w:lineRule="exact"/>
              <w:ind w:left="0" w:leftChars="0" w:right="131" w:firstLine="0" w:firstLineChars="0"/>
              <w:textAlignment w:val="auto"/>
              <w:rPr>
                <w:rFonts w:ascii="宋体" w:hAnsi="宋体" w:eastAsia="宋体" w:cs="宋体"/>
                <w:sz w:val="21"/>
                <w:szCs w:val="21"/>
              </w:rPr>
            </w:pPr>
            <w:r>
              <w:rPr>
                <w:rFonts w:ascii="宋体" w:hAnsi="宋体" w:eastAsia="宋体" w:cs="宋体"/>
                <w:spacing w:val="-1"/>
                <w:sz w:val="21"/>
                <w:szCs w:val="21"/>
              </w:rPr>
              <w:t>主要负责人、安全生产管理人员未依法经</w:t>
            </w:r>
            <w:r>
              <w:rPr>
                <w:rFonts w:ascii="宋体" w:hAnsi="宋体" w:eastAsia="宋体" w:cs="宋体"/>
                <w:spacing w:val="-5"/>
                <w:sz w:val="21"/>
                <w:szCs w:val="21"/>
              </w:rPr>
              <w:t>考核合格。</w:t>
            </w:r>
          </w:p>
        </w:tc>
        <w:tc>
          <w:tcPr>
            <w:tcW w:w="3707" w:type="dxa"/>
            <w:vAlign w:val="top"/>
          </w:tcPr>
          <w:p w14:paraId="16B7769C">
            <w:pPr>
              <w:keepNext w:val="0"/>
              <w:keepLines w:val="0"/>
              <w:pageBreakBefore w:val="0"/>
              <w:widowControl w:val="0"/>
              <w:kinsoku/>
              <w:wordWrap/>
              <w:overflowPunct/>
              <w:topLinePunct w:val="0"/>
              <w:autoSpaceDE/>
              <w:autoSpaceDN/>
              <w:bidi w:val="0"/>
              <w:adjustRightInd/>
              <w:snapToGrid/>
              <w:spacing w:line="260" w:lineRule="exact"/>
              <w:ind w:left="0" w:leftChars="0" w:right="127" w:firstLine="0" w:firstLineChars="0"/>
              <w:textAlignment w:val="auto"/>
              <w:rPr>
                <w:rFonts w:ascii="宋体" w:hAnsi="宋体" w:eastAsia="宋体" w:cs="宋体"/>
                <w:sz w:val="21"/>
                <w:szCs w:val="21"/>
              </w:rPr>
            </w:pPr>
            <w:r>
              <w:rPr>
                <w:rFonts w:ascii="宋体" w:hAnsi="宋体" w:eastAsia="宋体" w:cs="宋体"/>
                <w:spacing w:val="-1"/>
                <w:sz w:val="21"/>
                <w:szCs w:val="21"/>
              </w:rPr>
              <w:t>主要负责人、安全管理人员均经安</w:t>
            </w:r>
            <w:r>
              <w:rPr>
                <w:rFonts w:ascii="宋体" w:hAnsi="宋体" w:eastAsia="宋体" w:cs="宋体"/>
                <w:spacing w:val="-3"/>
                <w:sz w:val="21"/>
                <w:szCs w:val="21"/>
              </w:rPr>
              <w:t>全生产培训考核合格，持证上岗。</w:t>
            </w:r>
          </w:p>
        </w:tc>
        <w:tc>
          <w:tcPr>
            <w:tcW w:w="1147" w:type="dxa"/>
            <w:tcBorders>
              <w:right w:val="single" w:color="000000" w:sz="10" w:space="0"/>
            </w:tcBorders>
            <w:vAlign w:val="top"/>
          </w:tcPr>
          <w:p w14:paraId="0E84B20E">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textAlignment w:val="auto"/>
              <w:rPr>
                <w:rFonts w:ascii="宋体" w:hAnsi="宋体" w:eastAsia="宋体" w:cs="宋体"/>
                <w:sz w:val="21"/>
                <w:szCs w:val="21"/>
              </w:rPr>
            </w:pPr>
            <w:r>
              <w:rPr>
                <w:rFonts w:ascii="宋体" w:hAnsi="宋体" w:eastAsia="宋体" w:cs="宋体"/>
                <w:spacing w:val="-2"/>
                <w:sz w:val="21"/>
                <w:szCs w:val="21"/>
              </w:rPr>
              <w:t>符合要求</w:t>
            </w:r>
          </w:p>
        </w:tc>
      </w:tr>
      <w:tr w14:paraId="28B358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atLeast"/>
        </w:trPr>
        <w:tc>
          <w:tcPr>
            <w:tcW w:w="694" w:type="dxa"/>
            <w:tcBorders>
              <w:left w:val="single" w:color="000000" w:sz="10" w:space="0"/>
            </w:tcBorders>
            <w:vAlign w:val="top"/>
          </w:tcPr>
          <w:p w14:paraId="47FD1329">
            <w:pPr>
              <w:pStyle w:val="104"/>
              <w:keepNext w:val="0"/>
              <w:keepLines w:val="0"/>
              <w:pageBreakBefore w:val="0"/>
              <w:widowControl w:val="0"/>
              <w:kinsoku/>
              <w:wordWrap/>
              <w:overflowPunct/>
              <w:topLinePunct w:val="0"/>
              <w:autoSpaceDE/>
              <w:autoSpaceDN/>
              <w:bidi w:val="0"/>
              <w:adjustRightInd/>
              <w:snapToGrid/>
              <w:spacing w:line="260" w:lineRule="exact"/>
              <w:textAlignment w:val="auto"/>
            </w:pPr>
          </w:p>
          <w:p w14:paraId="55AB49AA">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textAlignment w:val="auto"/>
              <w:rPr>
                <w:rFonts w:ascii="宋体" w:hAnsi="宋体" w:eastAsia="宋体" w:cs="宋体"/>
                <w:sz w:val="21"/>
                <w:szCs w:val="21"/>
              </w:rPr>
            </w:pPr>
            <w:r>
              <w:rPr>
                <w:rFonts w:ascii="宋体" w:hAnsi="宋体" w:eastAsia="宋体" w:cs="宋体"/>
                <w:sz w:val="21"/>
                <w:szCs w:val="21"/>
              </w:rPr>
              <w:t>2</w:t>
            </w:r>
          </w:p>
        </w:tc>
        <w:tc>
          <w:tcPr>
            <w:tcW w:w="3731" w:type="dxa"/>
            <w:vAlign w:val="top"/>
          </w:tcPr>
          <w:p w14:paraId="7FDFF38A">
            <w:pPr>
              <w:keepNext w:val="0"/>
              <w:keepLines w:val="0"/>
              <w:pageBreakBefore w:val="0"/>
              <w:widowControl w:val="0"/>
              <w:kinsoku/>
              <w:wordWrap/>
              <w:overflowPunct/>
              <w:topLinePunct w:val="0"/>
              <w:autoSpaceDE/>
              <w:autoSpaceDN/>
              <w:bidi w:val="0"/>
              <w:adjustRightInd/>
              <w:snapToGrid/>
              <w:spacing w:line="260" w:lineRule="exact"/>
              <w:ind w:left="0" w:leftChars="0" w:right="131" w:firstLine="0" w:firstLineChars="0"/>
              <w:textAlignment w:val="auto"/>
              <w:rPr>
                <w:rFonts w:ascii="宋体" w:hAnsi="宋体" w:eastAsia="宋体" w:cs="宋体"/>
                <w:sz w:val="21"/>
                <w:szCs w:val="21"/>
              </w:rPr>
            </w:pPr>
            <w:r>
              <w:rPr>
                <w:rFonts w:ascii="宋体" w:hAnsi="宋体" w:eastAsia="宋体" w:cs="宋体"/>
                <w:spacing w:val="-1"/>
                <w:sz w:val="21"/>
                <w:szCs w:val="21"/>
              </w:rPr>
              <w:t>特种作业人员未持证上岗，作业人员带药检维修设备设施。</w:t>
            </w:r>
          </w:p>
        </w:tc>
        <w:tc>
          <w:tcPr>
            <w:tcW w:w="3707" w:type="dxa"/>
            <w:vAlign w:val="top"/>
          </w:tcPr>
          <w:p w14:paraId="01556100">
            <w:pPr>
              <w:keepNext w:val="0"/>
              <w:keepLines w:val="0"/>
              <w:pageBreakBefore w:val="0"/>
              <w:widowControl w:val="0"/>
              <w:kinsoku/>
              <w:wordWrap/>
              <w:overflowPunct/>
              <w:topLinePunct w:val="0"/>
              <w:autoSpaceDE/>
              <w:autoSpaceDN/>
              <w:bidi w:val="0"/>
              <w:adjustRightInd/>
              <w:snapToGrid/>
              <w:spacing w:line="260" w:lineRule="exact"/>
              <w:ind w:left="0" w:leftChars="0" w:right="127" w:firstLine="0" w:firstLineChars="0"/>
              <w:textAlignment w:val="auto"/>
              <w:rPr>
                <w:rFonts w:ascii="宋体" w:hAnsi="宋体" w:eastAsia="宋体" w:cs="宋体"/>
                <w:sz w:val="21"/>
                <w:szCs w:val="21"/>
              </w:rPr>
            </w:pPr>
            <w:r>
              <w:rPr>
                <w:rFonts w:ascii="宋体" w:hAnsi="宋体" w:eastAsia="宋体" w:cs="宋体"/>
                <w:spacing w:val="-1"/>
                <w:sz w:val="21"/>
                <w:szCs w:val="21"/>
              </w:rPr>
              <w:t>特种作业人员持证上岗，作业人员</w:t>
            </w:r>
            <w:r>
              <w:rPr>
                <w:rFonts w:ascii="宋体" w:hAnsi="宋体" w:eastAsia="宋体" w:cs="宋体"/>
                <w:spacing w:val="-3"/>
                <w:sz w:val="21"/>
                <w:szCs w:val="21"/>
              </w:rPr>
              <w:t>未带药检维修设备设施。</w:t>
            </w:r>
          </w:p>
        </w:tc>
        <w:tc>
          <w:tcPr>
            <w:tcW w:w="1147" w:type="dxa"/>
            <w:tcBorders>
              <w:right w:val="single" w:color="000000" w:sz="10" w:space="0"/>
            </w:tcBorders>
            <w:vAlign w:val="top"/>
          </w:tcPr>
          <w:p w14:paraId="50C80D21">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textAlignment w:val="auto"/>
              <w:rPr>
                <w:rFonts w:ascii="宋体" w:hAnsi="宋体" w:eastAsia="宋体" w:cs="宋体"/>
                <w:sz w:val="21"/>
                <w:szCs w:val="21"/>
              </w:rPr>
            </w:pPr>
            <w:r>
              <w:rPr>
                <w:rFonts w:ascii="宋体" w:hAnsi="宋体" w:eastAsia="宋体" w:cs="宋体"/>
                <w:spacing w:val="-2"/>
                <w:sz w:val="21"/>
                <w:szCs w:val="21"/>
              </w:rPr>
              <w:t>符合要求</w:t>
            </w:r>
          </w:p>
        </w:tc>
      </w:tr>
      <w:tr w14:paraId="610435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trPr>
        <w:tc>
          <w:tcPr>
            <w:tcW w:w="694" w:type="dxa"/>
            <w:tcBorders>
              <w:left w:val="single" w:color="000000" w:sz="10" w:space="0"/>
            </w:tcBorders>
            <w:vAlign w:val="top"/>
          </w:tcPr>
          <w:p w14:paraId="7DA8F4B8">
            <w:pPr>
              <w:pStyle w:val="104"/>
              <w:keepNext w:val="0"/>
              <w:keepLines w:val="0"/>
              <w:pageBreakBefore w:val="0"/>
              <w:widowControl w:val="0"/>
              <w:kinsoku/>
              <w:wordWrap/>
              <w:overflowPunct/>
              <w:topLinePunct w:val="0"/>
              <w:autoSpaceDE/>
              <w:autoSpaceDN/>
              <w:bidi w:val="0"/>
              <w:adjustRightInd/>
              <w:snapToGrid/>
              <w:spacing w:line="260" w:lineRule="exact"/>
              <w:textAlignment w:val="auto"/>
            </w:pPr>
          </w:p>
          <w:p w14:paraId="7EEC1F74">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textAlignment w:val="auto"/>
              <w:rPr>
                <w:rFonts w:ascii="宋体" w:hAnsi="宋体" w:eastAsia="宋体" w:cs="宋体"/>
                <w:sz w:val="21"/>
                <w:szCs w:val="21"/>
              </w:rPr>
            </w:pPr>
            <w:r>
              <w:rPr>
                <w:rFonts w:ascii="宋体" w:hAnsi="宋体" w:eastAsia="宋体" w:cs="宋体"/>
                <w:sz w:val="21"/>
                <w:szCs w:val="21"/>
              </w:rPr>
              <w:t>3</w:t>
            </w:r>
          </w:p>
        </w:tc>
        <w:tc>
          <w:tcPr>
            <w:tcW w:w="3731" w:type="dxa"/>
            <w:vAlign w:val="top"/>
          </w:tcPr>
          <w:p w14:paraId="566DEF3E">
            <w:pPr>
              <w:keepNext w:val="0"/>
              <w:keepLines w:val="0"/>
              <w:pageBreakBefore w:val="0"/>
              <w:widowControl w:val="0"/>
              <w:kinsoku/>
              <w:wordWrap/>
              <w:overflowPunct/>
              <w:topLinePunct w:val="0"/>
              <w:autoSpaceDE/>
              <w:autoSpaceDN/>
              <w:bidi w:val="0"/>
              <w:adjustRightInd/>
              <w:snapToGrid/>
              <w:spacing w:line="260" w:lineRule="exact"/>
              <w:ind w:left="0" w:leftChars="0" w:right="131" w:firstLine="0" w:firstLineChars="0"/>
              <w:textAlignment w:val="auto"/>
              <w:rPr>
                <w:rFonts w:ascii="宋体" w:hAnsi="宋体" w:eastAsia="宋体" w:cs="宋体"/>
                <w:sz w:val="21"/>
                <w:szCs w:val="21"/>
              </w:rPr>
            </w:pPr>
            <w:r>
              <w:rPr>
                <w:rFonts w:ascii="宋体" w:hAnsi="宋体" w:eastAsia="宋体" w:cs="宋体"/>
                <w:spacing w:val="-1"/>
                <w:sz w:val="21"/>
                <w:szCs w:val="21"/>
              </w:rPr>
              <w:t>职工自行携带工器具、机器设备进厂进行</w:t>
            </w:r>
            <w:r>
              <w:rPr>
                <w:rFonts w:ascii="宋体" w:hAnsi="宋体" w:eastAsia="宋体" w:cs="宋体"/>
                <w:spacing w:val="-5"/>
                <w:sz w:val="21"/>
                <w:szCs w:val="21"/>
              </w:rPr>
              <w:t>涉药作业。</w:t>
            </w:r>
          </w:p>
        </w:tc>
        <w:tc>
          <w:tcPr>
            <w:tcW w:w="3707" w:type="dxa"/>
            <w:vAlign w:val="top"/>
          </w:tcPr>
          <w:p w14:paraId="549388E7">
            <w:pPr>
              <w:keepNext w:val="0"/>
              <w:keepLines w:val="0"/>
              <w:pageBreakBefore w:val="0"/>
              <w:widowControl w:val="0"/>
              <w:kinsoku/>
              <w:wordWrap/>
              <w:overflowPunct/>
              <w:topLinePunct w:val="0"/>
              <w:autoSpaceDE/>
              <w:autoSpaceDN/>
              <w:bidi w:val="0"/>
              <w:adjustRightInd/>
              <w:snapToGrid/>
              <w:spacing w:line="260" w:lineRule="exact"/>
              <w:ind w:left="0" w:leftChars="0" w:right="127" w:firstLine="0" w:firstLineChars="0"/>
              <w:textAlignment w:val="auto"/>
              <w:rPr>
                <w:rFonts w:ascii="宋体" w:hAnsi="宋体" w:eastAsia="宋体" w:cs="宋体"/>
                <w:sz w:val="21"/>
                <w:szCs w:val="21"/>
              </w:rPr>
            </w:pPr>
            <w:r>
              <w:rPr>
                <w:rFonts w:ascii="宋体" w:hAnsi="宋体" w:eastAsia="宋体" w:cs="宋体"/>
                <w:spacing w:val="-1"/>
                <w:sz w:val="21"/>
                <w:szCs w:val="21"/>
              </w:rPr>
              <w:t>职工未自行携带工器具、机器设备进厂进行涉药作业。</w:t>
            </w:r>
          </w:p>
        </w:tc>
        <w:tc>
          <w:tcPr>
            <w:tcW w:w="1147" w:type="dxa"/>
            <w:tcBorders>
              <w:right w:val="single" w:color="000000" w:sz="10" w:space="0"/>
            </w:tcBorders>
            <w:vAlign w:val="top"/>
          </w:tcPr>
          <w:p w14:paraId="2E34979F">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textAlignment w:val="auto"/>
              <w:rPr>
                <w:rFonts w:ascii="宋体" w:hAnsi="宋体" w:eastAsia="宋体" w:cs="宋体"/>
                <w:sz w:val="21"/>
                <w:szCs w:val="21"/>
              </w:rPr>
            </w:pPr>
            <w:r>
              <w:rPr>
                <w:rFonts w:ascii="宋体" w:hAnsi="宋体" w:eastAsia="宋体" w:cs="宋体"/>
                <w:spacing w:val="-2"/>
                <w:sz w:val="21"/>
                <w:szCs w:val="21"/>
              </w:rPr>
              <w:t>符合要求</w:t>
            </w:r>
          </w:p>
        </w:tc>
      </w:tr>
      <w:tr w14:paraId="3623E5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atLeast"/>
        </w:trPr>
        <w:tc>
          <w:tcPr>
            <w:tcW w:w="694" w:type="dxa"/>
            <w:tcBorders>
              <w:left w:val="single" w:color="000000" w:sz="10" w:space="0"/>
            </w:tcBorders>
            <w:vAlign w:val="top"/>
          </w:tcPr>
          <w:p w14:paraId="419D8130">
            <w:pPr>
              <w:pStyle w:val="104"/>
              <w:keepNext w:val="0"/>
              <w:keepLines w:val="0"/>
              <w:pageBreakBefore w:val="0"/>
              <w:widowControl w:val="0"/>
              <w:kinsoku/>
              <w:wordWrap/>
              <w:overflowPunct/>
              <w:topLinePunct w:val="0"/>
              <w:autoSpaceDE/>
              <w:autoSpaceDN/>
              <w:bidi w:val="0"/>
              <w:adjustRightInd/>
              <w:snapToGrid/>
              <w:spacing w:line="260" w:lineRule="exact"/>
              <w:textAlignment w:val="auto"/>
            </w:pPr>
          </w:p>
          <w:p w14:paraId="3967B214">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textAlignment w:val="auto"/>
              <w:rPr>
                <w:rFonts w:ascii="宋体" w:hAnsi="宋体" w:eastAsia="宋体" w:cs="宋体"/>
                <w:sz w:val="21"/>
                <w:szCs w:val="21"/>
              </w:rPr>
            </w:pPr>
            <w:r>
              <w:rPr>
                <w:rFonts w:ascii="宋体" w:hAnsi="宋体" w:eastAsia="宋体" w:cs="宋体"/>
                <w:sz w:val="21"/>
                <w:szCs w:val="21"/>
              </w:rPr>
              <w:t>4</w:t>
            </w:r>
          </w:p>
        </w:tc>
        <w:tc>
          <w:tcPr>
            <w:tcW w:w="3731" w:type="dxa"/>
            <w:vAlign w:val="top"/>
          </w:tcPr>
          <w:p w14:paraId="5E96CD1D">
            <w:pPr>
              <w:keepNext w:val="0"/>
              <w:keepLines w:val="0"/>
              <w:pageBreakBefore w:val="0"/>
              <w:widowControl w:val="0"/>
              <w:kinsoku/>
              <w:wordWrap/>
              <w:overflowPunct/>
              <w:topLinePunct w:val="0"/>
              <w:autoSpaceDE/>
              <w:autoSpaceDN/>
              <w:bidi w:val="0"/>
              <w:adjustRightInd/>
              <w:snapToGrid/>
              <w:spacing w:line="260" w:lineRule="exact"/>
              <w:ind w:left="0" w:leftChars="0" w:right="131" w:firstLine="0" w:firstLineChars="0"/>
              <w:textAlignment w:val="auto"/>
              <w:rPr>
                <w:rFonts w:ascii="宋体" w:hAnsi="宋体" w:eastAsia="宋体" w:cs="宋体"/>
                <w:sz w:val="21"/>
                <w:szCs w:val="21"/>
              </w:rPr>
            </w:pPr>
            <w:r>
              <w:rPr>
                <w:rFonts w:ascii="宋体" w:hAnsi="宋体" w:eastAsia="宋体" w:cs="宋体"/>
                <w:spacing w:val="-1"/>
                <w:sz w:val="21"/>
                <w:szCs w:val="21"/>
              </w:rPr>
              <w:t>工（库）房实际作业人员数量超过核定人</w:t>
            </w:r>
            <w:r>
              <w:rPr>
                <w:rFonts w:ascii="宋体" w:hAnsi="宋体" w:eastAsia="宋体" w:cs="宋体"/>
                <w:spacing w:val="-10"/>
                <w:sz w:val="21"/>
                <w:szCs w:val="21"/>
              </w:rPr>
              <w:t>数。</w:t>
            </w:r>
          </w:p>
        </w:tc>
        <w:tc>
          <w:tcPr>
            <w:tcW w:w="3707" w:type="dxa"/>
            <w:vAlign w:val="top"/>
          </w:tcPr>
          <w:p w14:paraId="6646D592">
            <w:pPr>
              <w:keepNext w:val="0"/>
              <w:keepLines w:val="0"/>
              <w:pageBreakBefore w:val="0"/>
              <w:widowControl w:val="0"/>
              <w:kinsoku/>
              <w:wordWrap/>
              <w:overflowPunct/>
              <w:topLinePunct w:val="0"/>
              <w:autoSpaceDE/>
              <w:autoSpaceDN/>
              <w:bidi w:val="0"/>
              <w:adjustRightInd/>
              <w:snapToGrid/>
              <w:spacing w:line="260" w:lineRule="exact"/>
              <w:ind w:left="0" w:leftChars="0" w:right="127" w:firstLine="0" w:firstLineChars="0"/>
              <w:textAlignment w:val="auto"/>
              <w:rPr>
                <w:rFonts w:ascii="宋体" w:hAnsi="宋体" w:eastAsia="宋体" w:cs="宋体"/>
                <w:sz w:val="21"/>
                <w:szCs w:val="21"/>
              </w:rPr>
            </w:pPr>
            <w:r>
              <w:rPr>
                <w:rFonts w:ascii="宋体" w:hAnsi="宋体" w:eastAsia="宋体" w:cs="宋体"/>
                <w:spacing w:val="-1"/>
                <w:sz w:val="21"/>
                <w:szCs w:val="21"/>
              </w:rPr>
              <w:t>库房作业人员数量已按核定人数定</w:t>
            </w:r>
            <w:r>
              <w:rPr>
                <w:rFonts w:ascii="宋体" w:hAnsi="宋体" w:eastAsia="宋体" w:cs="宋体"/>
                <w:spacing w:val="-12"/>
                <w:sz w:val="21"/>
                <w:szCs w:val="21"/>
              </w:rPr>
              <w:t>员。</w:t>
            </w:r>
          </w:p>
        </w:tc>
        <w:tc>
          <w:tcPr>
            <w:tcW w:w="1147" w:type="dxa"/>
            <w:tcBorders>
              <w:right w:val="single" w:color="000000" w:sz="10" w:space="0"/>
            </w:tcBorders>
            <w:vAlign w:val="top"/>
          </w:tcPr>
          <w:p w14:paraId="323D2ABD">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textAlignment w:val="auto"/>
              <w:rPr>
                <w:rFonts w:ascii="宋体" w:hAnsi="宋体" w:eastAsia="宋体" w:cs="宋体"/>
                <w:sz w:val="21"/>
                <w:szCs w:val="21"/>
              </w:rPr>
            </w:pPr>
            <w:r>
              <w:rPr>
                <w:rFonts w:ascii="宋体" w:hAnsi="宋体" w:eastAsia="宋体" w:cs="宋体"/>
                <w:spacing w:val="-2"/>
                <w:sz w:val="21"/>
                <w:szCs w:val="21"/>
              </w:rPr>
              <w:t>符合要求</w:t>
            </w:r>
          </w:p>
        </w:tc>
      </w:tr>
      <w:tr w14:paraId="1D70D3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atLeast"/>
        </w:trPr>
        <w:tc>
          <w:tcPr>
            <w:tcW w:w="694" w:type="dxa"/>
            <w:tcBorders>
              <w:left w:val="single" w:color="000000" w:sz="10" w:space="0"/>
            </w:tcBorders>
            <w:vAlign w:val="top"/>
          </w:tcPr>
          <w:p w14:paraId="5F3E54AE">
            <w:pPr>
              <w:pStyle w:val="104"/>
              <w:keepNext w:val="0"/>
              <w:keepLines w:val="0"/>
              <w:pageBreakBefore w:val="0"/>
              <w:widowControl w:val="0"/>
              <w:kinsoku/>
              <w:wordWrap/>
              <w:overflowPunct/>
              <w:topLinePunct w:val="0"/>
              <w:autoSpaceDE/>
              <w:autoSpaceDN/>
              <w:bidi w:val="0"/>
              <w:adjustRightInd/>
              <w:snapToGrid/>
              <w:spacing w:line="260" w:lineRule="exact"/>
              <w:textAlignment w:val="auto"/>
            </w:pPr>
          </w:p>
          <w:p w14:paraId="558BF562">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textAlignment w:val="auto"/>
              <w:rPr>
                <w:rFonts w:ascii="宋体" w:hAnsi="宋体" w:eastAsia="宋体" w:cs="宋体"/>
                <w:sz w:val="21"/>
                <w:szCs w:val="21"/>
              </w:rPr>
            </w:pPr>
            <w:r>
              <w:rPr>
                <w:rFonts w:ascii="宋体" w:hAnsi="宋体" w:eastAsia="宋体" w:cs="宋体"/>
                <w:sz w:val="21"/>
                <w:szCs w:val="21"/>
              </w:rPr>
              <w:t>5</w:t>
            </w:r>
          </w:p>
        </w:tc>
        <w:tc>
          <w:tcPr>
            <w:tcW w:w="3731" w:type="dxa"/>
            <w:vAlign w:val="top"/>
          </w:tcPr>
          <w:p w14:paraId="49FE255B">
            <w:pPr>
              <w:keepNext w:val="0"/>
              <w:keepLines w:val="0"/>
              <w:pageBreakBefore w:val="0"/>
              <w:widowControl w:val="0"/>
              <w:kinsoku/>
              <w:wordWrap/>
              <w:overflowPunct/>
              <w:topLinePunct w:val="0"/>
              <w:autoSpaceDE/>
              <w:autoSpaceDN/>
              <w:bidi w:val="0"/>
              <w:adjustRightInd/>
              <w:snapToGrid/>
              <w:spacing w:line="260" w:lineRule="exact"/>
              <w:ind w:left="0" w:leftChars="0" w:right="131" w:firstLine="0" w:firstLineChars="0"/>
              <w:textAlignment w:val="auto"/>
              <w:rPr>
                <w:rFonts w:ascii="宋体" w:hAnsi="宋体" w:eastAsia="宋体" w:cs="宋体"/>
                <w:sz w:val="21"/>
                <w:szCs w:val="21"/>
              </w:rPr>
            </w:pPr>
            <w:r>
              <w:rPr>
                <w:rFonts w:ascii="宋体" w:hAnsi="宋体" w:eastAsia="宋体" w:cs="宋体"/>
                <w:spacing w:val="-1"/>
                <w:sz w:val="21"/>
                <w:szCs w:val="21"/>
              </w:rPr>
              <w:t>工（库）房实际滞留、存储药量超过核定</w:t>
            </w:r>
            <w:r>
              <w:rPr>
                <w:rFonts w:ascii="宋体" w:hAnsi="宋体" w:eastAsia="宋体" w:cs="宋体"/>
                <w:spacing w:val="-9"/>
                <w:sz w:val="21"/>
                <w:szCs w:val="21"/>
              </w:rPr>
              <w:t>药量。</w:t>
            </w:r>
          </w:p>
        </w:tc>
        <w:tc>
          <w:tcPr>
            <w:tcW w:w="3707" w:type="dxa"/>
            <w:vAlign w:val="top"/>
          </w:tcPr>
          <w:p w14:paraId="55E151EB">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textAlignment w:val="auto"/>
              <w:rPr>
                <w:rFonts w:ascii="宋体" w:hAnsi="宋体" w:eastAsia="宋体" w:cs="宋体"/>
                <w:sz w:val="21"/>
                <w:szCs w:val="21"/>
              </w:rPr>
            </w:pPr>
            <w:r>
              <w:rPr>
                <w:rFonts w:ascii="宋体" w:hAnsi="宋体" w:eastAsia="宋体" w:cs="宋体"/>
                <w:spacing w:val="-2"/>
                <w:sz w:val="21"/>
                <w:szCs w:val="21"/>
              </w:rPr>
              <w:t>库房存储药量按核定药量存放。</w:t>
            </w:r>
          </w:p>
        </w:tc>
        <w:tc>
          <w:tcPr>
            <w:tcW w:w="1147" w:type="dxa"/>
            <w:tcBorders>
              <w:right w:val="single" w:color="000000" w:sz="10" w:space="0"/>
            </w:tcBorders>
            <w:vAlign w:val="top"/>
          </w:tcPr>
          <w:p w14:paraId="78E234B8">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textAlignment w:val="auto"/>
              <w:rPr>
                <w:rFonts w:ascii="宋体" w:hAnsi="宋体" w:eastAsia="宋体" w:cs="宋体"/>
                <w:sz w:val="21"/>
                <w:szCs w:val="21"/>
              </w:rPr>
            </w:pPr>
            <w:r>
              <w:rPr>
                <w:rFonts w:ascii="宋体" w:hAnsi="宋体" w:eastAsia="宋体" w:cs="宋体"/>
                <w:spacing w:val="-2"/>
                <w:sz w:val="21"/>
                <w:szCs w:val="21"/>
              </w:rPr>
              <w:t>符合要求</w:t>
            </w:r>
          </w:p>
        </w:tc>
      </w:tr>
      <w:tr w14:paraId="0902F8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4" w:hRule="atLeast"/>
        </w:trPr>
        <w:tc>
          <w:tcPr>
            <w:tcW w:w="694" w:type="dxa"/>
            <w:tcBorders>
              <w:left w:val="single" w:color="000000" w:sz="10" w:space="0"/>
            </w:tcBorders>
            <w:vAlign w:val="top"/>
          </w:tcPr>
          <w:p w14:paraId="7865D080">
            <w:pPr>
              <w:pStyle w:val="104"/>
              <w:keepNext w:val="0"/>
              <w:keepLines w:val="0"/>
              <w:pageBreakBefore w:val="0"/>
              <w:widowControl w:val="0"/>
              <w:kinsoku/>
              <w:wordWrap/>
              <w:overflowPunct/>
              <w:topLinePunct w:val="0"/>
              <w:autoSpaceDE/>
              <w:autoSpaceDN/>
              <w:bidi w:val="0"/>
              <w:adjustRightInd/>
              <w:snapToGrid/>
              <w:spacing w:line="260" w:lineRule="exact"/>
              <w:textAlignment w:val="auto"/>
            </w:pPr>
          </w:p>
          <w:p w14:paraId="0D91E4A6">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textAlignment w:val="auto"/>
              <w:rPr>
                <w:rFonts w:ascii="宋体" w:hAnsi="宋体" w:eastAsia="宋体" w:cs="宋体"/>
                <w:sz w:val="21"/>
                <w:szCs w:val="21"/>
              </w:rPr>
            </w:pPr>
            <w:r>
              <w:rPr>
                <w:rFonts w:ascii="宋体" w:hAnsi="宋体" w:eastAsia="宋体" w:cs="宋体"/>
                <w:sz w:val="21"/>
                <w:szCs w:val="21"/>
              </w:rPr>
              <w:t>6</w:t>
            </w:r>
          </w:p>
        </w:tc>
        <w:tc>
          <w:tcPr>
            <w:tcW w:w="3731" w:type="dxa"/>
            <w:vAlign w:val="top"/>
          </w:tcPr>
          <w:p w14:paraId="7A8CE946">
            <w:pPr>
              <w:keepNext w:val="0"/>
              <w:keepLines w:val="0"/>
              <w:pageBreakBefore w:val="0"/>
              <w:widowControl w:val="0"/>
              <w:kinsoku/>
              <w:wordWrap/>
              <w:overflowPunct/>
              <w:topLinePunct w:val="0"/>
              <w:autoSpaceDE/>
              <w:autoSpaceDN/>
              <w:bidi w:val="0"/>
              <w:adjustRightInd/>
              <w:snapToGrid/>
              <w:spacing w:line="260" w:lineRule="exact"/>
              <w:ind w:left="0" w:leftChars="0" w:right="131" w:firstLine="0" w:firstLineChars="0"/>
              <w:textAlignment w:val="auto"/>
              <w:rPr>
                <w:rFonts w:ascii="宋体" w:hAnsi="宋体" w:eastAsia="宋体" w:cs="宋体"/>
                <w:sz w:val="21"/>
                <w:szCs w:val="21"/>
              </w:rPr>
            </w:pPr>
            <w:r>
              <w:rPr>
                <w:rFonts w:ascii="宋体" w:hAnsi="宋体" w:eastAsia="宋体" w:cs="宋体"/>
                <w:spacing w:val="-1"/>
                <w:sz w:val="21"/>
                <w:szCs w:val="21"/>
              </w:rPr>
              <w:t>工（库）房内、外部安全距离不足，防护屏障缺失或者不符合要求。</w:t>
            </w:r>
          </w:p>
        </w:tc>
        <w:tc>
          <w:tcPr>
            <w:tcW w:w="3707" w:type="dxa"/>
            <w:vAlign w:val="top"/>
          </w:tcPr>
          <w:p w14:paraId="4AA6E8D2">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textAlignment w:val="auto"/>
              <w:rPr>
                <w:rFonts w:ascii="宋体" w:hAnsi="宋体" w:eastAsia="宋体" w:cs="宋体"/>
                <w:sz w:val="21"/>
                <w:szCs w:val="21"/>
              </w:rPr>
            </w:pPr>
            <w:r>
              <w:rPr>
                <w:rFonts w:ascii="宋体" w:hAnsi="宋体" w:eastAsia="宋体" w:cs="宋体"/>
                <w:spacing w:val="-1"/>
                <w:sz w:val="21"/>
                <w:szCs w:val="21"/>
              </w:rPr>
              <w:t>库房内、外部安全距离符合要求，</w:t>
            </w:r>
          </w:p>
          <w:p w14:paraId="097DCEFE">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textAlignment w:val="auto"/>
              <w:rPr>
                <w:rFonts w:ascii="宋体" w:hAnsi="宋体" w:eastAsia="宋体" w:cs="宋体"/>
                <w:sz w:val="21"/>
                <w:szCs w:val="21"/>
              </w:rPr>
            </w:pPr>
            <w:r>
              <w:rPr>
                <w:rFonts w:ascii="宋体" w:hAnsi="宋体" w:eastAsia="宋体" w:cs="宋体"/>
                <w:spacing w:val="-4"/>
                <w:sz w:val="21"/>
                <w:szCs w:val="21"/>
              </w:rPr>
              <w:t>1.1</w:t>
            </w:r>
            <w:r>
              <w:rPr>
                <w:rFonts w:ascii="宋体" w:hAnsi="宋体" w:eastAsia="宋体" w:cs="宋体"/>
                <w:spacing w:val="-34"/>
                <w:sz w:val="21"/>
                <w:szCs w:val="21"/>
              </w:rPr>
              <w:t xml:space="preserve"> </w:t>
            </w:r>
            <w:r>
              <w:rPr>
                <w:rFonts w:ascii="宋体" w:hAnsi="宋体" w:eastAsia="宋体" w:cs="宋体"/>
                <w:spacing w:val="-4"/>
                <w:sz w:val="21"/>
                <w:szCs w:val="21"/>
              </w:rPr>
              <w:t>级库房设四面防护屏障。</w:t>
            </w:r>
          </w:p>
        </w:tc>
        <w:tc>
          <w:tcPr>
            <w:tcW w:w="1147" w:type="dxa"/>
            <w:tcBorders>
              <w:right w:val="single" w:color="000000" w:sz="10" w:space="0"/>
            </w:tcBorders>
            <w:vAlign w:val="top"/>
          </w:tcPr>
          <w:p w14:paraId="6042554B">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textAlignment w:val="auto"/>
              <w:rPr>
                <w:rFonts w:ascii="宋体" w:hAnsi="宋体" w:eastAsia="宋体" w:cs="宋体"/>
                <w:sz w:val="21"/>
                <w:szCs w:val="21"/>
              </w:rPr>
            </w:pPr>
            <w:r>
              <w:rPr>
                <w:rFonts w:ascii="宋体" w:hAnsi="宋体" w:eastAsia="宋体" w:cs="宋体"/>
                <w:spacing w:val="-2"/>
                <w:sz w:val="21"/>
                <w:szCs w:val="21"/>
              </w:rPr>
              <w:t>符合要求</w:t>
            </w:r>
          </w:p>
        </w:tc>
      </w:tr>
      <w:tr w14:paraId="23DD17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2" w:hRule="atLeast"/>
        </w:trPr>
        <w:tc>
          <w:tcPr>
            <w:tcW w:w="694" w:type="dxa"/>
            <w:tcBorders>
              <w:left w:val="single" w:color="000000" w:sz="10" w:space="0"/>
            </w:tcBorders>
            <w:vAlign w:val="top"/>
          </w:tcPr>
          <w:p w14:paraId="113315C5">
            <w:pPr>
              <w:pStyle w:val="104"/>
              <w:keepNext w:val="0"/>
              <w:keepLines w:val="0"/>
              <w:pageBreakBefore w:val="0"/>
              <w:widowControl w:val="0"/>
              <w:kinsoku/>
              <w:wordWrap/>
              <w:overflowPunct/>
              <w:topLinePunct w:val="0"/>
              <w:autoSpaceDE/>
              <w:autoSpaceDN/>
              <w:bidi w:val="0"/>
              <w:adjustRightInd/>
              <w:snapToGrid/>
              <w:spacing w:line="260" w:lineRule="exact"/>
              <w:textAlignment w:val="auto"/>
            </w:pPr>
          </w:p>
          <w:p w14:paraId="2010B3DD">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textAlignment w:val="auto"/>
              <w:rPr>
                <w:rFonts w:ascii="宋体" w:hAnsi="宋体" w:eastAsia="宋体" w:cs="宋体"/>
                <w:sz w:val="21"/>
                <w:szCs w:val="21"/>
              </w:rPr>
            </w:pPr>
            <w:r>
              <w:rPr>
                <w:rFonts w:ascii="宋体" w:hAnsi="宋体" w:eastAsia="宋体" w:cs="宋体"/>
                <w:sz w:val="21"/>
                <w:szCs w:val="21"/>
              </w:rPr>
              <w:t>7</w:t>
            </w:r>
          </w:p>
        </w:tc>
        <w:tc>
          <w:tcPr>
            <w:tcW w:w="3731" w:type="dxa"/>
            <w:vAlign w:val="top"/>
          </w:tcPr>
          <w:p w14:paraId="54CE7EEB">
            <w:pPr>
              <w:keepNext w:val="0"/>
              <w:keepLines w:val="0"/>
              <w:pageBreakBefore w:val="0"/>
              <w:widowControl w:val="0"/>
              <w:kinsoku/>
              <w:wordWrap/>
              <w:overflowPunct/>
              <w:topLinePunct w:val="0"/>
              <w:autoSpaceDE/>
              <w:autoSpaceDN/>
              <w:bidi w:val="0"/>
              <w:adjustRightInd/>
              <w:snapToGrid/>
              <w:spacing w:line="260" w:lineRule="exact"/>
              <w:ind w:left="0" w:leftChars="0" w:right="131" w:firstLine="0" w:firstLineChars="0"/>
              <w:textAlignment w:val="auto"/>
              <w:rPr>
                <w:rFonts w:ascii="宋体" w:hAnsi="宋体" w:eastAsia="宋体" w:cs="宋体"/>
                <w:sz w:val="21"/>
                <w:szCs w:val="21"/>
              </w:rPr>
            </w:pPr>
            <w:r>
              <w:rPr>
                <w:rFonts w:ascii="宋体" w:hAnsi="宋体" w:eastAsia="宋体" w:cs="宋体"/>
                <w:spacing w:val="-1"/>
                <w:sz w:val="21"/>
                <w:szCs w:val="21"/>
              </w:rPr>
              <w:t>防静电、防火、防雷设备设施缺失或者失</w:t>
            </w:r>
            <w:r>
              <w:rPr>
                <w:rFonts w:ascii="宋体" w:hAnsi="宋体" w:eastAsia="宋体" w:cs="宋体"/>
                <w:spacing w:val="-11"/>
                <w:sz w:val="21"/>
                <w:szCs w:val="21"/>
              </w:rPr>
              <w:t>效。</w:t>
            </w:r>
          </w:p>
        </w:tc>
        <w:tc>
          <w:tcPr>
            <w:tcW w:w="3707" w:type="dxa"/>
            <w:vAlign w:val="top"/>
          </w:tcPr>
          <w:p w14:paraId="192A035D">
            <w:pPr>
              <w:keepNext w:val="0"/>
              <w:keepLines w:val="0"/>
              <w:pageBreakBefore w:val="0"/>
              <w:widowControl w:val="0"/>
              <w:kinsoku/>
              <w:wordWrap/>
              <w:overflowPunct/>
              <w:topLinePunct w:val="0"/>
              <w:autoSpaceDE/>
              <w:autoSpaceDN/>
              <w:bidi w:val="0"/>
              <w:adjustRightInd/>
              <w:snapToGrid/>
              <w:spacing w:line="260" w:lineRule="exact"/>
              <w:ind w:left="0" w:leftChars="0" w:right="127" w:firstLine="0" w:firstLineChars="0"/>
              <w:jc w:val="both"/>
              <w:textAlignment w:val="auto"/>
              <w:rPr>
                <w:rFonts w:ascii="宋体" w:hAnsi="宋体" w:eastAsia="宋体" w:cs="宋体"/>
                <w:sz w:val="21"/>
                <w:szCs w:val="21"/>
              </w:rPr>
            </w:pPr>
            <w:r>
              <w:rPr>
                <w:rFonts w:ascii="宋体" w:hAnsi="宋体" w:eastAsia="宋体" w:cs="宋体"/>
                <w:spacing w:val="-2"/>
                <w:sz w:val="21"/>
                <w:szCs w:val="21"/>
              </w:rPr>
              <w:t>防静电、防雷设备设施已安装检测</w:t>
            </w:r>
            <w:r>
              <w:rPr>
                <w:rFonts w:ascii="宋体" w:hAnsi="宋体" w:eastAsia="宋体" w:cs="宋体"/>
                <w:spacing w:val="-1"/>
                <w:sz w:val="21"/>
                <w:szCs w:val="21"/>
              </w:rPr>
              <w:t>合格。灭火器、消火栓等防火设备设施已到位。</w:t>
            </w:r>
          </w:p>
        </w:tc>
        <w:tc>
          <w:tcPr>
            <w:tcW w:w="1147" w:type="dxa"/>
            <w:tcBorders>
              <w:right w:val="single" w:color="000000" w:sz="10" w:space="0"/>
            </w:tcBorders>
            <w:vAlign w:val="top"/>
          </w:tcPr>
          <w:p w14:paraId="7175DEF2">
            <w:pPr>
              <w:pStyle w:val="104"/>
              <w:keepNext w:val="0"/>
              <w:keepLines w:val="0"/>
              <w:pageBreakBefore w:val="0"/>
              <w:widowControl w:val="0"/>
              <w:kinsoku/>
              <w:wordWrap/>
              <w:overflowPunct/>
              <w:topLinePunct w:val="0"/>
              <w:autoSpaceDE/>
              <w:autoSpaceDN/>
              <w:bidi w:val="0"/>
              <w:adjustRightInd/>
              <w:snapToGrid/>
              <w:spacing w:line="260" w:lineRule="exact"/>
              <w:textAlignment w:val="auto"/>
            </w:pPr>
          </w:p>
          <w:p w14:paraId="398CF9AD">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textAlignment w:val="auto"/>
              <w:rPr>
                <w:rFonts w:ascii="宋体" w:hAnsi="宋体" w:eastAsia="宋体" w:cs="宋体"/>
                <w:sz w:val="21"/>
                <w:szCs w:val="21"/>
              </w:rPr>
            </w:pPr>
            <w:r>
              <w:rPr>
                <w:rFonts w:ascii="宋体" w:hAnsi="宋体" w:eastAsia="宋体" w:cs="宋体"/>
                <w:spacing w:val="-2"/>
                <w:sz w:val="21"/>
                <w:szCs w:val="21"/>
              </w:rPr>
              <w:t>符合要求</w:t>
            </w:r>
          </w:p>
        </w:tc>
      </w:tr>
      <w:tr w14:paraId="4698C6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atLeast"/>
        </w:trPr>
        <w:tc>
          <w:tcPr>
            <w:tcW w:w="694" w:type="dxa"/>
            <w:tcBorders>
              <w:left w:val="single" w:color="000000" w:sz="10" w:space="0"/>
            </w:tcBorders>
            <w:vAlign w:val="top"/>
          </w:tcPr>
          <w:p w14:paraId="29630968">
            <w:pPr>
              <w:pStyle w:val="104"/>
              <w:keepNext w:val="0"/>
              <w:keepLines w:val="0"/>
              <w:pageBreakBefore w:val="0"/>
              <w:widowControl w:val="0"/>
              <w:kinsoku/>
              <w:wordWrap/>
              <w:overflowPunct/>
              <w:topLinePunct w:val="0"/>
              <w:autoSpaceDE/>
              <w:autoSpaceDN/>
              <w:bidi w:val="0"/>
              <w:adjustRightInd/>
              <w:snapToGrid/>
              <w:spacing w:line="260" w:lineRule="exact"/>
              <w:textAlignment w:val="auto"/>
            </w:pPr>
          </w:p>
          <w:p w14:paraId="5E0BB53A">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textAlignment w:val="auto"/>
              <w:rPr>
                <w:rFonts w:ascii="宋体" w:hAnsi="宋体" w:eastAsia="宋体" w:cs="宋体"/>
                <w:sz w:val="21"/>
                <w:szCs w:val="21"/>
              </w:rPr>
            </w:pPr>
            <w:r>
              <w:rPr>
                <w:rFonts w:ascii="宋体" w:hAnsi="宋体" w:eastAsia="宋体" w:cs="宋体"/>
                <w:sz w:val="21"/>
                <w:szCs w:val="21"/>
              </w:rPr>
              <w:t>8</w:t>
            </w:r>
          </w:p>
        </w:tc>
        <w:tc>
          <w:tcPr>
            <w:tcW w:w="3731" w:type="dxa"/>
            <w:vAlign w:val="top"/>
          </w:tcPr>
          <w:p w14:paraId="04A9CDB9">
            <w:pPr>
              <w:keepNext w:val="0"/>
              <w:keepLines w:val="0"/>
              <w:pageBreakBefore w:val="0"/>
              <w:widowControl w:val="0"/>
              <w:kinsoku/>
              <w:wordWrap/>
              <w:overflowPunct/>
              <w:topLinePunct w:val="0"/>
              <w:autoSpaceDE/>
              <w:autoSpaceDN/>
              <w:bidi w:val="0"/>
              <w:adjustRightInd/>
              <w:snapToGrid/>
              <w:spacing w:line="260" w:lineRule="exact"/>
              <w:ind w:left="0" w:leftChars="0" w:right="131" w:firstLine="0" w:firstLineChars="0"/>
              <w:textAlignment w:val="auto"/>
              <w:rPr>
                <w:rFonts w:ascii="宋体" w:hAnsi="宋体" w:eastAsia="宋体" w:cs="宋体"/>
                <w:sz w:val="21"/>
                <w:szCs w:val="21"/>
              </w:rPr>
            </w:pPr>
            <w:r>
              <w:rPr>
                <w:rFonts w:ascii="宋体" w:hAnsi="宋体" w:eastAsia="宋体" w:cs="宋体"/>
                <w:spacing w:val="-1"/>
                <w:sz w:val="21"/>
                <w:szCs w:val="21"/>
              </w:rPr>
              <w:t>擅自改变工（库）房用途或者违规私搭乱</w:t>
            </w:r>
            <w:r>
              <w:rPr>
                <w:rFonts w:ascii="宋体" w:hAnsi="宋体" w:eastAsia="宋体" w:cs="宋体"/>
                <w:sz w:val="21"/>
                <w:szCs w:val="21"/>
              </w:rPr>
              <w:t>建</w:t>
            </w:r>
          </w:p>
        </w:tc>
        <w:tc>
          <w:tcPr>
            <w:tcW w:w="3707" w:type="dxa"/>
            <w:vAlign w:val="top"/>
          </w:tcPr>
          <w:p w14:paraId="1EEA1A25">
            <w:pPr>
              <w:keepNext w:val="0"/>
              <w:keepLines w:val="0"/>
              <w:pageBreakBefore w:val="0"/>
              <w:widowControl w:val="0"/>
              <w:kinsoku/>
              <w:wordWrap/>
              <w:overflowPunct/>
              <w:topLinePunct w:val="0"/>
              <w:autoSpaceDE/>
              <w:autoSpaceDN/>
              <w:bidi w:val="0"/>
              <w:adjustRightInd/>
              <w:snapToGrid/>
              <w:spacing w:line="260" w:lineRule="exact"/>
              <w:ind w:left="0" w:leftChars="0" w:right="127" w:firstLine="0" w:firstLineChars="0"/>
              <w:textAlignment w:val="auto"/>
              <w:rPr>
                <w:rFonts w:ascii="宋体" w:hAnsi="宋体" w:eastAsia="宋体" w:cs="宋体"/>
                <w:sz w:val="21"/>
                <w:szCs w:val="21"/>
              </w:rPr>
            </w:pPr>
            <w:r>
              <w:rPr>
                <w:rFonts w:ascii="宋体" w:hAnsi="宋体" w:eastAsia="宋体" w:cs="宋体"/>
                <w:spacing w:val="-1"/>
                <w:sz w:val="21"/>
                <w:szCs w:val="21"/>
              </w:rPr>
              <w:t>未擅自改变库房用途或者违规私搭</w:t>
            </w:r>
            <w:r>
              <w:rPr>
                <w:rFonts w:ascii="宋体" w:hAnsi="宋体" w:eastAsia="宋体" w:cs="宋体"/>
                <w:spacing w:val="-9"/>
                <w:sz w:val="21"/>
                <w:szCs w:val="21"/>
              </w:rPr>
              <w:t>乱建。</w:t>
            </w:r>
          </w:p>
        </w:tc>
        <w:tc>
          <w:tcPr>
            <w:tcW w:w="1147" w:type="dxa"/>
            <w:tcBorders>
              <w:right w:val="single" w:color="000000" w:sz="10" w:space="0"/>
            </w:tcBorders>
            <w:vAlign w:val="top"/>
          </w:tcPr>
          <w:p w14:paraId="1BFE1BA0">
            <w:pPr>
              <w:pStyle w:val="104"/>
              <w:keepNext w:val="0"/>
              <w:keepLines w:val="0"/>
              <w:pageBreakBefore w:val="0"/>
              <w:widowControl w:val="0"/>
              <w:kinsoku/>
              <w:wordWrap/>
              <w:overflowPunct/>
              <w:topLinePunct w:val="0"/>
              <w:autoSpaceDE/>
              <w:autoSpaceDN/>
              <w:bidi w:val="0"/>
              <w:adjustRightInd/>
              <w:snapToGrid/>
              <w:spacing w:line="260" w:lineRule="exact"/>
              <w:textAlignment w:val="auto"/>
            </w:pPr>
          </w:p>
          <w:p w14:paraId="5540BD3E">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textAlignment w:val="auto"/>
              <w:rPr>
                <w:rFonts w:ascii="宋体" w:hAnsi="宋体" w:eastAsia="宋体" w:cs="宋体"/>
                <w:sz w:val="21"/>
                <w:szCs w:val="21"/>
              </w:rPr>
            </w:pPr>
            <w:r>
              <w:rPr>
                <w:rFonts w:ascii="宋体" w:hAnsi="宋体" w:eastAsia="宋体" w:cs="宋体"/>
                <w:spacing w:val="-2"/>
                <w:sz w:val="21"/>
                <w:szCs w:val="21"/>
              </w:rPr>
              <w:t>符合要求</w:t>
            </w:r>
          </w:p>
        </w:tc>
      </w:tr>
      <w:tr w14:paraId="17754E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3" w:hRule="atLeast"/>
        </w:trPr>
        <w:tc>
          <w:tcPr>
            <w:tcW w:w="694" w:type="dxa"/>
            <w:tcBorders>
              <w:left w:val="single" w:color="000000" w:sz="10" w:space="0"/>
            </w:tcBorders>
            <w:vAlign w:val="top"/>
          </w:tcPr>
          <w:p w14:paraId="204EEBB9">
            <w:pPr>
              <w:pStyle w:val="104"/>
              <w:keepNext w:val="0"/>
              <w:keepLines w:val="0"/>
              <w:pageBreakBefore w:val="0"/>
              <w:widowControl w:val="0"/>
              <w:kinsoku/>
              <w:wordWrap/>
              <w:overflowPunct/>
              <w:topLinePunct w:val="0"/>
              <w:autoSpaceDE/>
              <w:autoSpaceDN/>
              <w:bidi w:val="0"/>
              <w:adjustRightInd/>
              <w:snapToGrid/>
              <w:spacing w:line="260" w:lineRule="exact"/>
              <w:textAlignment w:val="auto"/>
            </w:pPr>
          </w:p>
          <w:p w14:paraId="350D1493">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textAlignment w:val="auto"/>
              <w:rPr>
                <w:rFonts w:ascii="宋体" w:hAnsi="宋体" w:eastAsia="宋体" w:cs="宋体"/>
                <w:sz w:val="21"/>
                <w:szCs w:val="21"/>
              </w:rPr>
            </w:pPr>
            <w:r>
              <w:rPr>
                <w:rFonts w:ascii="宋体" w:hAnsi="宋体" w:eastAsia="宋体" w:cs="宋体"/>
                <w:sz w:val="21"/>
                <w:szCs w:val="21"/>
              </w:rPr>
              <w:t>9</w:t>
            </w:r>
          </w:p>
        </w:tc>
        <w:tc>
          <w:tcPr>
            <w:tcW w:w="3731" w:type="dxa"/>
            <w:vAlign w:val="top"/>
          </w:tcPr>
          <w:p w14:paraId="0BDA1320">
            <w:pPr>
              <w:keepNext w:val="0"/>
              <w:keepLines w:val="0"/>
              <w:pageBreakBefore w:val="0"/>
              <w:widowControl w:val="0"/>
              <w:kinsoku/>
              <w:wordWrap/>
              <w:overflowPunct/>
              <w:topLinePunct w:val="0"/>
              <w:autoSpaceDE/>
              <w:autoSpaceDN/>
              <w:bidi w:val="0"/>
              <w:adjustRightInd/>
              <w:snapToGrid/>
              <w:spacing w:line="260" w:lineRule="exact"/>
              <w:ind w:left="0" w:leftChars="0" w:right="131" w:firstLine="0" w:firstLineChars="0"/>
              <w:textAlignment w:val="auto"/>
              <w:rPr>
                <w:rFonts w:ascii="宋体" w:hAnsi="宋体" w:eastAsia="宋体" w:cs="宋体"/>
                <w:sz w:val="21"/>
                <w:szCs w:val="21"/>
              </w:rPr>
            </w:pPr>
            <w:r>
              <w:rPr>
                <w:rFonts w:ascii="宋体" w:hAnsi="宋体" w:eastAsia="宋体" w:cs="宋体"/>
                <w:spacing w:val="-1"/>
                <w:sz w:val="21"/>
                <w:szCs w:val="21"/>
              </w:rPr>
              <w:t>工厂围墙缺失或者分区设置不符合国家标</w:t>
            </w:r>
            <w:r>
              <w:rPr>
                <w:rFonts w:ascii="宋体" w:hAnsi="宋体" w:eastAsia="宋体" w:cs="宋体"/>
                <w:sz w:val="21"/>
                <w:szCs w:val="21"/>
              </w:rPr>
              <w:t>准</w:t>
            </w:r>
          </w:p>
        </w:tc>
        <w:tc>
          <w:tcPr>
            <w:tcW w:w="3707" w:type="dxa"/>
            <w:vAlign w:val="top"/>
          </w:tcPr>
          <w:p w14:paraId="11550C71">
            <w:pPr>
              <w:keepNext w:val="0"/>
              <w:keepLines w:val="0"/>
              <w:pageBreakBefore w:val="0"/>
              <w:widowControl w:val="0"/>
              <w:kinsoku/>
              <w:wordWrap/>
              <w:overflowPunct/>
              <w:topLinePunct w:val="0"/>
              <w:autoSpaceDE/>
              <w:autoSpaceDN/>
              <w:bidi w:val="0"/>
              <w:adjustRightInd/>
              <w:snapToGrid/>
              <w:spacing w:line="260" w:lineRule="exact"/>
              <w:ind w:left="0" w:leftChars="0" w:right="127" w:firstLine="0" w:firstLineChars="0"/>
              <w:textAlignment w:val="auto"/>
              <w:rPr>
                <w:rFonts w:ascii="宋体" w:hAnsi="宋体" w:eastAsia="宋体" w:cs="宋体"/>
                <w:sz w:val="21"/>
                <w:szCs w:val="21"/>
              </w:rPr>
            </w:pPr>
            <w:r>
              <w:rPr>
                <w:rFonts w:hint="eastAsia" w:ascii="宋体" w:hAnsi="宋体" w:eastAsia="宋体" w:cs="宋体"/>
                <w:spacing w:val="-1"/>
                <w:sz w:val="21"/>
                <w:szCs w:val="21"/>
              </w:rPr>
              <w:t>该公司租赁仓库的库区设置在地势平缓</w:t>
            </w:r>
            <w:r>
              <w:rPr>
                <w:rFonts w:ascii="宋体" w:hAnsi="宋体" w:eastAsia="宋体" w:cs="宋体"/>
                <w:spacing w:val="-1"/>
                <w:sz w:val="21"/>
                <w:szCs w:val="21"/>
              </w:rPr>
              <w:t>处有砌体围墙，部分陡峭地段利用高山及铁丝网作为围墙，能保证无外来人员出入。</w:t>
            </w:r>
          </w:p>
        </w:tc>
        <w:tc>
          <w:tcPr>
            <w:tcW w:w="1147" w:type="dxa"/>
            <w:tcBorders>
              <w:right w:val="single" w:color="000000" w:sz="10" w:space="0"/>
            </w:tcBorders>
            <w:vAlign w:val="top"/>
          </w:tcPr>
          <w:p w14:paraId="1E3F4876">
            <w:pPr>
              <w:pStyle w:val="104"/>
              <w:keepNext w:val="0"/>
              <w:keepLines w:val="0"/>
              <w:pageBreakBefore w:val="0"/>
              <w:widowControl w:val="0"/>
              <w:kinsoku/>
              <w:wordWrap/>
              <w:overflowPunct/>
              <w:topLinePunct w:val="0"/>
              <w:autoSpaceDE/>
              <w:autoSpaceDN/>
              <w:bidi w:val="0"/>
              <w:adjustRightInd/>
              <w:snapToGrid/>
              <w:spacing w:line="260" w:lineRule="exact"/>
              <w:textAlignment w:val="auto"/>
            </w:pPr>
          </w:p>
          <w:p w14:paraId="670EB546">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textAlignment w:val="auto"/>
              <w:rPr>
                <w:rFonts w:ascii="宋体" w:hAnsi="宋体" w:eastAsia="宋体" w:cs="宋体"/>
                <w:sz w:val="21"/>
                <w:szCs w:val="21"/>
              </w:rPr>
            </w:pPr>
            <w:r>
              <w:rPr>
                <w:rFonts w:ascii="宋体" w:hAnsi="宋体" w:eastAsia="宋体" w:cs="宋体"/>
                <w:spacing w:val="-2"/>
                <w:sz w:val="21"/>
                <w:szCs w:val="21"/>
              </w:rPr>
              <w:t>符合要求</w:t>
            </w:r>
          </w:p>
        </w:tc>
      </w:tr>
      <w:tr w14:paraId="79148E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7" w:hRule="atLeast"/>
        </w:trPr>
        <w:tc>
          <w:tcPr>
            <w:tcW w:w="694" w:type="dxa"/>
            <w:tcBorders>
              <w:left w:val="single" w:color="000000" w:sz="10" w:space="0"/>
            </w:tcBorders>
            <w:shd w:val="clear" w:color="auto" w:fill="auto"/>
            <w:vAlign w:val="top"/>
          </w:tcPr>
          <w:p w14:paraId="0BE7E220">
            <w:pPr>
              <w:pStyle w:val="104"/>
              <w:keepNext w:val="0"/>
              <w:keepLines w:val="0"/>
              <w:pageBreakBefore w:val="0"/>
              <w:widowControl w:val="0"/>
              <w:kinsoku/>
              <w:wordWrap/>
              <w:overflowPunct/>
              <w:topLinePunct w:val="0"/>
              <w:autoSpaceDE/>
              <w:autoSpaceDN/>
              <w:bidi w:val="0"/>
              <w:adjustRightInd/>
              <w:snapToGrid/>
              <w:spacing w:line="260" w:lineRule="exact"/>
              <w:textAlignment w:val="auto"/>
            </w:pPr>
          </w:p>
          <w:p w14:paraId="1EE2B1A5">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textAlignment w:val="auto"/>
              <w:rPr>
                <w:rFonts w:ascii="宋体" w:hAnsi="宋体" w:eastAsia="宋体" w:cs="宋体"/>
                <w:kern w:val="2"/>
                <w:sz w:val="21"/>
                <w:szCs w:val="21"/>
                <w:lang w:val="en-US" w:eastAsia="zh-CN" w:bidi="ar-SA"/>
              </w:rPr>
            </w:pPr>
            <w:r>
              <w:rPr>
                <w:rFonts w:ascii="宋体" w:hAnsi="宋体" w:eastAsia="宋体" w:cs="宋体"/>
                <w:spacing w:val="-6"/>
                <w:sz w:val="21"/>
                <w:szCs w:val="21"/>
              </w:rPr>
              <w:t>10</w:t>
            </w:r>
          </w:p>
        </w:tc>
        <w:tc>
          <w:tcPr>
            <w:tcW w:w="3731" w:type="dxa"/>
            <w:shd w:val="clear" w:color="auto" w:fill="auto"/>
            <w:vAlign w:val="top"/>
          </w:tcPr>
          <w:p w14:paraId="67712A1E">
            <w:pPr>
              <w:keepNext w:val="0"/>
              <w:keepLines w:val="0"/>
              <w:pageBreakBefore w:val="0"/>
              <w:widowControl w:val="0"/>
              <w:kinsoku/>
              <w:wordWrap/>
              <w:overflowPunct/>
              <w:topLinePunct w:val="0"/>
              <w:autoSpaceDE/>
              <w:autoSpaceDN/>
              <w:bidi w:val="0"/>
              <w:adjustRightInd/>
              <w:snapToGrid/>
              <w:spacing w:line="260" w:lineRule="exact"/>
              <w:ind w:left="0" w:leftChars="0" w:right="131" w:rightChars="0" w:firstLine="0" w:firstLineChars="0"/>
              <w:textAlignment w:val="auto"/>
              <w:rPr>
                <w:rFonts w:ascii="宋体" w:hAnsi="宋体" w:eastAsia="宋体" w:cs="宋体"/>
                <w:kern w:val="2"/>
                <w:sz w:val="21"/>
                <w:szCs w:val="21"/>
                <w:lang w:val="en-US" w:eastAsia="zh-CN" w:bidi="ar-SA"/>
              </w:rPr>
            </w:pPr>
            <w:r>
              <w:rPr>
                <w:rFonts w:ascii="宋体" w:hAnsi="宋体" w:eastAsia="宋体" w:cs="宋体"/>
                <w:spacing w:val="-1"/>
                <w:sz w:val="21"/>
                <w:szCs w:val="21"/>
              </w:rPr>
              <w:t>将氧化剂、还原剂同库储存、违规预混或</w:t>
            </w:r>
            <w:r>
              <w:rPr>
                <w:rFonts w:ascii="宋体" w:hAnsi="宋体" w:eastAsia="宋体" w:cs="宋体"/>
                <w:spacing w:val="-3"/>
                <w:sz w:val="21"/>
                <w:szCs w:val="21"/>
              </w:rPr>
              <w:t>者在同一工房内粉碎、称量。</w:t>
            </w:r>
          </w:p>
        </w:tc>
        <w:tc>
          <w:tcPr>
            <w:tcW w:w="3707" w:type="dxa"/>
            <w:shd w:val="clear" w:color="auto" w:fill="auto"/>
            <w:vAlign w:val="top"/>
          </w:tcPr>
          <w:p w14:paraId="7EF1AEFA">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textAlignment w:val="auto"/>
              <w:rPr>
                <w:rFonts w:ascii="宋体" w:hAnsi="宋体" w:eastAsia="宋体" w:cs="宋体"/>
                <w:kern w:val="2"/>
                <w:sz w:val="21"/>
                <w:szCs w:val="21"/>
                <w:lang w:val="en-US" w:eastAsia="zh-CN" w:bidi="ar-SA"/>
              </w:rPr>
            </w:pPr>
            <w:r>
              <w:rPr>
                <w:rFonts w:ascii="宋体" w:hAnsi="宋体" w:eastAsia="宋体" w:cs="宋体"/>
                <w:spacing w:val="-2"/>
                <w:sz w:val="21"/>
                <w:szCs w:val="21"/>
              </w:rPr>
              <w:t>无此项。</w:t>
            </w:r>
          </w:p>
        </w:tc>
        <w:tc>
          <w:tcPr>
            <w:tcW w:w="1147" w:type="dxa"/>
            <w:tcBorders>
              <w:right w:val="single" w:color="000000" w:sz="10" w:space="0"/>
            </w:tcBorders>
            <w:shd w:val="clear" w:color="auto" w:fill="auto"/>
            <w:vAlign w:val="top"/>
          </w:tcPr>
          <w:p w14:paraId="3AF43EE2">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textAlignment w:val="auto"/>
              <w:rPr>
                <w:rFonts w:ascii="宋体" w:hAnsi="宋体" w:eastAsia="宋体" w:cs="宋体"/>
                <w:kern w:val="2"/>
                <w:sz w:val="21"/>
                <w:szCs w:val="21"/>
                <w:lang w:val="en-US" w:eastAsia="zh-CN" w:bidi="ar-SA"/>
              </w:rPr>
            </w:pPr>
            <w:r>
              <w:rPr>
                <w:rFonts w:ascii="宋体" w:hAnsi="宋体" w:eastAsia="宋体" w:cs="宋体"/>
                <w:spacing w:val="-2"/>
                <w:sz w:val="21"/>
                <w:szCs w:val="21"/>
              </w:rPr>
              <w:t>无此项</w:t>
            </w:r>
          </w:p>
        </w:tc>
      </w:tr>
      <w:tr w14:paraId="3AA4DE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7" w:hRule="atLeast"/>
        </w:trPr>
        <w:tc>
          <w:tcPr>
            <w:tcW w:w="694" w:type="dxa"/>
            <w:tcBorders>
              <w:left w:val="single" w:color="000000" w:sz="10" w:space="0"/>
            </w:tcBorders>
            <w:shd w:val="clear" w:color="auto" w:fill="auto"/>
            <w:vAlign w:val="top"/>
          </w:tcPr>
          <w:p w14:paraId="0BC3C28A">
            <w:pPr>
              <w:pStyle w:val="104"/>
              <w:keepNext w:val="0"/>
              <w:keepLines w:val="0"/>
              <w:pageBreakBefore w:val="0"/>
              <w:widowControl w:val="0"/>
              <w:kinsoku/>
              <w:wordWrap/>
              <w:overflowPunct/>
              <w:topLinePunct w:val="0"/>
              <w:autoSpaceDE/>
              <w:autoSpaceDN/>
              <w:bidi w:val="0"/>
              <w:adjustRightInd/>
              <w:snapToGrid/>
              <w:spacing w:line="260" w:lineRule="exact"/>
              <w:textAlignment w:val="auto"/>
            </w:pPr>
          </w:p>
          <w:p w14:paraId="0566A2A4">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textAlignment w:val="auto"/>
              <w:rPr>
                <w:rFonts w:ascii="宋体" w:hAnsi="宋体" w:eastAsia="宋体" w:cs="宋体"/>
                <w:kern w:val="2"/>
                <w:sz w:val="21"/>
                <w:szCs w:val="21"/>
                <w:lang w:val="en-US" w:eastAsia="zh-CN" w:bidi="ar-SA"/>
              </w:rPr>
            </w:pPr>
            <w:r>
              <w:rPr>
                <w:rFonts w:ascii="宋体" w:hAnsi="宋体" w:eastAsia="宋体" w:cs="宋体"/>
                <w:spacing w:val="-6"/>
                <w:sz w:val="21"/>
                <w:szCs w:val="21"/>
              </w:rPr>
              <w:t>12</w:t>
            </w:r>
          </w:p>
        </w:tc>
        <w:tc>
          <w:tcPr>
            <w:tcW w:w="3731" w:type="dxa"/>
            <w:shd w:val="clear" w:color="auto" w:fill="auto"/>
            <w:vAlign w:val="top"/>
          </w:tcPr>
          <w:p w14:paraId="218B065E">
            <w:pPr>
              <w:keepNext w:val="0"/>
              <w:keepLines w:val="0"/>
              <w:pageBreakBefore w:val="0"/>
              <w:widowControl w:val="0"/>
              <w:kinsoku/>
              <w:wordWrap/>
              <w:overflowPunct/>
              <w:topLinePunct w:val="0"/>
              <w:autoSpaceDE/>
              <w:autoSpaceDN/>
              <w:bidi w:val="0"/>
              <w:adjustRightInd/>
              <w:snapToGrid/>
              <w:spacing w:line="260" w:lineRule="exact"/>
              <w:ind w:left="0" w:leftChars="0" w:right="131" w:rightChars="0" w:firstLine="0" w:firstLineChars="0"/>
              <w:textAlignment w:val="auto"/>
              <w:rPr>
                <w:rFonts w:ascii="宋体" w:hAnsi="宋体" w:eastAsia="宋体" w:cs="宋体"/>
                <w:kern w:val="2"/>
                <w:sz w:val="21"/>
                <w:szCs w:val="21"/>
                <w:lang w:val="en-US" w:eastAsia="zh-CN" w:bidi="ar-SA"/>
              </w:rPr>
            </w:pPr>
            <w:r>
              <w:rPr>
                <w:rFonts w:ascii="宋体" w:hAnsi="宋体" w:eastAsia="宋体" w:cs="宋体"/>
                <w:spacing w:val="-2"/>
                <w:sz w:val="21"/>
                <w:szCs w:val="21"/>
              </w:rPr>
              <w:t>中转库、药物总库和成品总库的存储能力</w:t>
            </w:r>
            <w:r>
              <w:rPr>
                <w:rFonts w:ascii="宋体" w:hAnsi="宋体" w:eastAsia="宋体" w:cs="宋体"/>
                <w:spacing w:val="-3"/>
                <w:sz w:val="21"/>
                <w:szCs w:val="21"/>
              </w:rPr>
              <w:t>与设计产能不匹配。</w:t>
            </w:r>
          </w:p>
        </w:tc>
        <w:tc>
          <w:tcPr>
            <w:tcW w:w="3707" w:type="dxa"/>
            <w:shd w:val="clear" w:color="auto" w:fill="auto"/>
            <w:vAlign w:val="top"/>
          </w:tcPr>
          <w:p w14:paraId="34331B90">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textAlignment w:val="auto"/>
              <w:rPr>
                <w:rFonts w:ascii="宋体" w:hAnsi="宋体" w:eastAsia="宋体" w:cs="宋体"/>
                <w:kern w:val="2"/>
                <w:sz w:val="21"/>
                <w:szCs w:val="21"/>
                <w:lang w:val="en-US" w:eastAsia="zh-CN" w:bidi="ar-SA"/>
              </w:rPr>
            </w:pPr>
            <w:r>
              <w:rPr>
                <w:rFonts w:ascii="宋体" w:hAnsi="宋体" w:eastAsia="宋体" w:cs="宋体"/>
                <w:spacing w:val="-2"/>
                <w:sz w:val="21"/>
                <w:szCs w:val="21"/>
              </w:rPr>
              <w:t>无此项。</w:t>
            </w:r>
          </w:p>
        </w:tc>
        <w:tc>
          <w:tcPr>
            <w:tcW w:w="1147" w:type="dxa"/>
            <w:tcBorders>
              <w:right w:val="single" w:color="000000" w:sz="10" w:space="0"/>
            </w:tcBorders>
            <w:shd w:val="clear" w:color="auto" w:fill="auto"/>
            <w:vAlign w:val="top"/>
          </w:tcPr>
          <w:p w14:paraId="26E2D50B">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textAlignment w:val="auto"/>
              <w:rPr>
                <w:rFonts w:ascii="宋体" w:hAnsi="宋体" w:eastAsia="宋体" w:cs="宋体"/>
                <w:kern w:val="2"/>
                <w:sz w:val="21"/>
                <w:szCs w:val="21"/>
                <w:lang w:val="en-US" w:eastAsia="zh-CN" w:bidi="ar-SA"/>
              </w:rPr>
            </w:pPr>
            <w:r>
              <w:rPr>
                <w:rFonts w:ascii="宋体" w:hAnsi="宋体" w:eastAsia="宋体" w:cs="宋体"/>
                <w:spacing w:val="-2"/>
                <w:sz w:val="21"/>
                <w:szCs w:val="21"/>
              </w:rPr>
              <w:t>无此项</w:t>
            </w:r>
          </w:p>
        </w:tc>
      </w:tr>
      <w:tr w14:paraId="505CF7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94" w:type="dxa"/>
            <w:tcBorders>
              <w:left w:val="single" w:color="000000" w:sz="10" w:space="0"/>
            </w:tcBorders>
            <w:shd w:val="clear" w:color="auto" w:fill="auto"/>
            <w:vAlign w:val="top"/>
          </w:tcPr>
          <w:p w14:paraId="065D6266">
            <w:pPr>
              <w:pStyle w:val="104"/>
              <w:keepNext w:val="0"/>
              <w:keepLines w:val="0"/>
              <w:pageBreakBefore w:val="0"/>
              <w:widowControl w:val="0"/>
              <w:kinsoku/>
              <w:wordWrap/>
              <w:overflowPunct/>
              <w:topLinePunct w:val="0"/>
              <w:autoSpaceDE/>
              <w:autoSpaceDN/>
              <w:bidi w:val="0"/>
              <w:adjustRightInd/>
              <w:snapToGrid/>
              <w:spacing w:line="260" w:lineRule="exact"/>
              <w:textAlignment w:val="auto"/>
            </w:pPr>
          </w:p>
          <w:p w14:paraId="3F3C2481">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textAlignment w:val="auto"/>
              <w:rPr>
                <w:rFonts w:ascii="宋体" w:hAnsi="宋体" w:eastAsia="宋体" w:cs="宋体"/>
                <w:kern w:val="2"/>
                <w:sz w:val="21"/>
                <w:szCs w:val="21"/>
                <w:lang w:val="en-US" w:eastAsia="zh-CN" w:bidi="ar-SA"/>
              </w:rPr>
            </w:pPr>
            <w:r>
              <w:rPr>
                <w:rFonts w:ascii="宋体" w:hAnsi="宋体" w:eastAsia="宋体" w:cs="宋体"/>
                <w:spacing w:val="-6"/>
                <w:sz w:val="21"/>
                <w:szCs w:val="21"/>
              </w:rPr>
              <w:t>13</w:t>
            </w:r>
          </w:p>
        </w:tc>
        <w:tc>
          <w:tcPr>
            <w:tcW w:w="3731" w:type="dxa"/>
            <w:shd w:val="clear" w:color="auto" w:fill="auto"/>
            <w:vAlign w:val="top"/>
          </w:tcPr>
          <w:p w14:paraId="3196FABD">
            <w:pPr>
              <w:keepNext w:val="0"/>
              <w:keepLines w:val="0"/>
              <w:pageBreakBefore w:val="0"/>
              <w:widowControl w:val="0"/>
              <w:kinsoku/>
              <w:wordWrap/>
              <w:overflowPunct/>
              <w:topLinePunct w:val="0"/>
              <w:autoSpaceDE/>
              <w:autoSpaceDN/>
              <w:bidi w:val="0"/>
              <w:adjustRightInd/>
              <w:snapToGrid/>
              <w:spacing w:line="260" w:lineRule="exact"/>
              <w:ind w:left="0" w:leftChars="0" w:right="131" w:rightChars="0" w:firstLine="0" w:firstLineChars="0"/>
              <w:jc w:val="both"/>
              <w:textAlignment w:val="auto"/>
              <w:rPr>
                <w:rFonts w:ascii="宋体" w:hAnsi="宋体" w:eastAsia="宋体" w:cs="宋体"/>
                <w:kern w:val="2"/>
                <w:sz w:val="21"/>
                <w:szCs w:val="21"/>
                <w:lang w:val="en-US" w:eastAsia="zh-CN" w:bidi="ar-SA"/>
              </w:rPr>
            </w:pPr>
            <w:r>
              <w:rPr>
                <w:rFonts w:ascii="宋体" w:hAnsi="宋体" w:eastAsia="宋体" w:cs="宋体"/>
                <w:spacing w:val="-1"/>
                <w:sz w:val="21"/>
                <w:szCs w:val="21"/>
              </w:rPr>
              <w:t>未建立与岗位相匹配的全员安全生产责任制或者未制定实施生产安全事故隐患排查</w:t>
            </w:r>
            <w:r>
              <w:rPr>
                <w:rFonts w:ascii="宋体" w:hAnsi="宋体" w:eastAsia="宋体" w:cs="宋体"/>
                <w:spacing w:val="-5"/>
                <w:sz w:val="21"/>
                <w:szCs w:val="21"/>
              </w:rPr>
              <w:t>治理制度。</w:t>
            </w:r>
          </w:p>
        </w:tc>
        <w:tc>
          <w:tcPr>
            <w:tcW w:w="3707" w:type="dxa"/>
            <w:shd w:val="clear" w:color="auto" w:fill="auto"/>
            <w:vAlign w:val="top"/>
          </w:tcPr>
          <w:p w14:paraId="2A3E4352">
            <w:pPr>
              <w:keepNext w:val="0"/>
              <w:keepLines w:val="0"/>
              <w:pageBreakBefore w:val="0"/>
              <w:widowControl w:val="0"/>
              <w:kinsoku/>
              <w:wordWrap/>
              <w:overflowPunct/>
              <w:topLinePunct w:val="0"/>
              <w:autoSpaceDE/>
              <w:autoSpaceDN/>
              <w:bidi w:val="0"/>
              <w:adjustRightInd/>
              <w:snapToGrid/>
              <w:spacing w:line="260" w:lineRule="exact"/>
              <w:ind w:left="0" w:leftChars="0" w:right="127" w:rightChars="0" w:firstLine="0" w:firstLineChars="0"/>
              <w:jc w:val="both"/>
              <w:textAlignment w:val="auto"/>
              <w:rPr>
                <w:rFonts w:ascii="宋体" w:hAnsi="宋体" w:eastAsia="宋体" w:cs="宋体"/>
                <w:kern w:val="2"/>
                <w:sz w:val="21"/>
                <w:szCs w:val="21"/>
                <w:lang w:val="en-US" w:eastAsia="zh-CN" w:bidi="ar-SA"/>
              </w:rPr>
            </w:pPr>
            <w:r>
              <w:rPr>
                <w:rFonts w:ascii="宋体" w:hAnsi="宋体" w:eastAsia="宋体" w:cs="宋体"/>
                <w:spacing w:val="-1"/>
                <w:sz w:val="21"/>
                <w:szCs w:val="21"/>
              </w:rPr>
              <w:t>建立了与岗位相匹配的全员安全生产责任制，已制定实施生产安全事故隐患排查治理制度。</w:t>
            </w:r>
          </w:p>
        </w:tc>
        <w:tc>
          <w:tcPr>
            <w:tcW w:w="1147" w:type="dxa"/>
            <w:tcBorders>
              <w:right w:val="single" w:color="000000" w:sz="10" w:space="0"/>
            </w:tcBorders>
            <w:shd w:val="clear" w:color="auto" w:fill="auto"/>
            <w:vAlign w:val="top"/>
          </w:tcPr>
          <w:p w14:paraId="092AACA9">
            <w:pPr>
              <w:pStyle w:val="104"/>
              <w:keepNext w:val="0"/>
              <w:keepLines w:val="0"/>
              <w:pageBreakBefore w:val="0"/>
              <w:widowControl w:val="0"/>
              <w:kinsoku/>
              <w:wordWrap/>
              <w:overflowPunct/>
              <w:topLinePunct w:val="0"/>
              <w:autoSpaceDE/>
              <w:autoSpaceDN/>
              <w:bidi w:val="0"/>
              <w:adjustRightInd/>
              <w:snapToGrid/>
              <w:spacing w:line="260" w:lineRule="exact"/>
              <w:textAlignment w:val="auto"/>
            </w:pPr>
          </w:p>
          <w:p w14:paraId="2A95BD1B">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textAlignment w:val="auto"/>
              <w:rPr>
                <w:rFonts w:ascii="宋体" w:hAnsi="宋体" w:eastAsia="宋体" w:cs="宋体"/>
                <w:kern w:val="2"/>
                <w:sz w:val="21"/>
                <w:szCs w:val="21"/>
                <w:lang w:val="en-US" w:eastAsia="zh-CN" w:bidi="ar-SA"/>
              </w:rPr>
            </w:pPr>
            <w:r>
              <w:rPr>
                <w:rFonts w:ascii="宋体" w:hAnsi="宋体" w:eastAsia="宋体" w:cs="宋体"/>
                <w:spacing w:val="-2"/>
                <w:sz w:val="21"/>
                <w:szCs w:val="21"/>
              </w:rPr>
              <w:t>符合要求</w:t>
            </w:r>
          </w:p>
        </w:tc>
      </w:tr>
      <w:tr w14:paraId="48D913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7" w:hRule="atLeast"/>
        </w:trPr>
        <w:tc>
          <w:tcPr>
            <w:tcW w:w="694" w:type="dxa"/>
            <w:tcBorders>
              <w:left w:val="single" w:color="000000" w:sz="10" w:space="0"/>
            </w:tcBorders>
            <w:shd w:val="clear" w:color="auto" w:fill="auto"/>
            <w:vAlign w:val="top"/>
          </w:tcPr>
          <w:p w14:paraId="2825E683">
            <w:pPr>
              <w:pStyle w:val="104"/>
              <w:keepNext w:val="0"/>
              <w:keepLines w:val="0"/>
              <w:pageBreakBefore w:val="0"/>
              <w:widowControl w:val="0"/>
              <w:kinsoku/>
              <w:wordWrap/>
              <w:overflowPunct/>
              <w:topLinePunct w:val="0"/>
              <w:autoSpaceDE/>
              <w:autoSpaceDN/>
              <w:bidi w:val="0"/>
              <w:adjustRightInd/>
              <w:snapToGrid/>
              <w:spacing w:line="260" w:lineRule="exact"/>
              <w:textAlignment w:val="auto"/>
            </w:pPr>
          </w:p>
          <w:p w14:paraId="277CBD31">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textAlignment w:val="auto"/>
              <w:rPr>
                <w:rFonts w:ascii="宋体" w:hAnsi="宋体" w:eastAsia="宋体" w:cs="宋体"/>
                <w:kern w:val="2"/>
                <w:sz w:val="21"/>
                <w:szCs w:val="21"/>
                <w:lang w:val="en-US" w:eastAsia="zh-CN" w:bidi="ar-SA"/>
              </w:rPr>
            </w:pPr>
            <w:r>
              <w:rPr>
                <w:rFonts w:ascii="宋体" w:hAnsi="宋体" w:eastAsia="宋体" w:cs="宋体"/>
                <w:spacing w:val="-6"/>
                <w:sz w:val="21"/>
                <w:szCs w:val="21"/>
              </w:rPr>
              <w:t>14</w:t>
            </w:r>
          </w:p>
        </w:tc>
        <w:tc>
          <w:tcPr>
            <w:tcW w:w="3731" w:type="dxa"/>
            <w:shd w:val="clear" w:color="auto" w:fill="auto"/>
            <w:vAlign w:val="top"/>
          </w:tcPr>
          <w:p w14:paraId="55502219">
            <w:pPr>
              <w:keepNext w:val="0"/>
              <w:keepLines w:val="0"/>
              <w:pageBreakBefore w:val="0"/>
              <w:widowControl w:val="0"/>
              <w:kinsoku/>
              <w:wordWrap/>
              <w:overflowPunct/>
              <w:topLinePunct w:val="0"/>
              <w:autoSpaceDE/>
              <w:autoSpaceDN/>
              <w:bidi w:val="0"/>
              <w:adjustRightInd/>
              <w:snapToGrid/>
              <w:spacing w:line="260" w:lineRule="exact"/>
              <w:ind w:left="0" w:leftChars="0" w:right="131" w:rightChars="0" w:firstLine="0" w:firstLineChars="0"/>
              <w:textAlignment w:val="auto"/>
              <w:rPr>
                <w:rFonts w:ascii="宋体" w:hAnsi="宋体" w:eastAsia="宋体" w:cs="宋体"/>
                <w:kern w:val="2"/>
                <w:sz w:val="21"/>
                <w:szCs w:val="21"/>
                <w:lang w:val="en-US" w:eastAsia="zh-CN" w:bidi="ar-SA"/>
              </w:rPr>
            </w:pPr>
            <w:r>
              <w:rPr>
                <w:rFonts w:ascii="宋体" w:hAnsi="宋体" w:eastAsia="宋体" w:cs="宋体"/>
                <w:spacing w:val="-2"/>
                <w:sz w:val="21"/>
                <w:szCs w:val="21"/>
              </w:rPr>
              <w:t>出租、出借、转让、买卖、冒用或者伪造许可证。</w:t>
            </w:r>
          </w:p>
        </w:tc>
        <w:tc>
          <w:tcPr>
            <w:tcW w:w="3707" w:type="dxa"/>
            <w:shd w:val="clear" w:color="auto" w:fill="auto"/>
            <w:vAlign w:val="top"/>
          </w:tcPr>
          <w:p w14:paraId="628B7F0F">
            <w:pPr>
              <w:keepNext w:val="0"/>
              <w:keepLines w:val="0"/>
              <w:pageBreakBefore w:val="0"/>
              <w:widowControl w:val="0"/>
              <w:kinsoku/>
              <w:wordWrap/>
              <w:overflowPunct/>
              <w:topLinePunct w:val="0"/>
              <w:autoSpaceDE/>
              <w:autoSpaceDN/>
              <w:bidi w:val="0"/>
              <w:adjustRightInd/>
              <w:snapToGrid/>
              <w:spacing w:line="260" w:lineRule="exact"/>
              <w:ind w:left="0" w:leftChars="0" w:right="127" w:rightChars="0" w:firstLine="0" w:firstLineChars="0"/>
              <w:textAlignment w:val="auto"/>
              <w:rPr>
                <w:rFonts w:ascii="宋体" w:hAnsi="宋体" w:eastAsia="宋体" w:cs="宋体"/>
                <w:kern w:val="2"/>
                <w:sz w:val="21"/>
                <w:szCs w:val="21"/>
                <w:lang w:val="en-US" w:eastAsia="zh-CN" w:bidi="ar-SA"/>
              </w:rPr>
            </w:pPr>
            <w:r>
              <w:rPr>
                <w:rFonts w:ascii="宋体" w:hAnsi="宋体" w:eastAsia="宋体" w:cs="宋体"/>
                <w:spacing w:val="-1"/>
                <w:sz w:val="21"/>
                <w:szCs w:val="21"/>
              </w:rPr>
              <w:t>未出租、出借、转让、买卖、冒用或者伪造许可证。</w:t>
            </w:r>
          </w:p>
        </w:tc>
        <w:tc>
          <w:tcPr>
            <w:tcW w:w="1147" w:type="dxa"/>
            <w:tcBorders>
              <w:right w:val="single" w:color="000000" w:sz="10" w:space="0"/>
            </w:tcBorders>
            <w:shd w:val="clear" w:color="auto" w:fill="auto"/>
            <w:vAlign w:val="top"/>
          </w:tcPr>
          <w:p w14:paraId="7DDD6DDC">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textAlignment w:val="auto"/>
              <w:rPr>
                <w:rFonts w:ascii="宋体" w:hAnsi="宋体" w:eastAsia="宋体" w:cs="宋体"/>
                <w:kern w:val="2"/>
                <w:sz w:val="21"/>
                <w:szCs w:val="21"/>
                <w:lang w:val="en-US" w:eastAsia="zh-CN" w:bidi="ar-SA"/>
              </w:rPr>
            </w:pPr>
            <w:r>
              <w:rPr>
                <w:rFonts w:ascii="宋体" w:hAnsi="宋体" w:eastAsia="宋体" w:cs="宋体"/>
                <w:spacing w:val="-2"/>
                <w:sz w:val="21"/>
                <w:szCs w:val="21"/>
              </w:rPr>
              <w:t>符合要求</w:t>
            </w:r>
          </w:p>
        </w:tc>
      </w:tr>
      <w:tr w14:paraId="18D627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7" w:hRule="atLeast"/>
        </w:trPr>
        <w:tc>
          <w:tcPr>
            <w:tcW w:w="694" w:type="dxa"/>
            <w:tcBorders>
              <w:left w:val="single" w:color="000000" w:sz="10" w:space="0"/>
            </w:tcBorders>
            <w:shd w:val="clear" w:color="auto" w:fill="auto"/>
            <w:vAlign w:val="top"/>
          </w:tcPr>
          <w:p w14:paraId="6FEEEDB6">
            <w:pPr>
              <w:pStyle w:val="104"/>
              <w:keepNext w:val="0"/>
              <w:keepLines w:val="0"/>
              <w:pageBreakBefore w:val="0"/>
              <w:widowControl w:val="0"/>
              <w:kinsoku/>
              <w:wordWrap/>
              <w:overflowPunct/>
              <w:topLinePunct w:val="0"/>
              <w:autoSpaceDE/>
              <w:autoSpaceDN/>
              <w:bidi w:val="0"/>
              <w:adjustRightInd/>
              <w:snapToGrid/>
              <w:spacing w:line="260" w:lineRule="exact"/>
              <w:textAlignment w:val="auto"/>
            </w:pPr>
          </w:p>
          <w:p w14:paraId="46F941EB">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textAlignment w:val="auto"/>
              <w:rPr>
                <w:rFonts w:ascii="宋体" w:hAnsi="宋体" w:eastAsia="宋体" w:cs="宋体"/>
                <w:kern w:val="2"/>
                <w:sz w:val="21"/>
                <w:szCs w:val="21"/>
                <w:lang w:val="en-US" w:eastAsia="zh-CN" w:bidi="ar-SA"/>
              </w:rPr>
            </w:pPr>
            <w:r>
              <w:rPr>
                <w:rFonts w:ascii="宋体" w:hAnsi="宋体" w:eastAsia="宋体" w:cs="宋体"/>
                <w:spacing w:val="-6"/>
                <w:sz w:val="21"/>
                <w:szCs w:val="21"/>
              </w:rPr>
              <w:t>15</w:t>
            </w:r>
          </w:p>
        </w:tc>
        <w:tc>
          <w:tcPr>
            <w:tcW w:w="3731" w:type="dxa"/>
            <w:shd w:val="clear" w:color="auto" w:fill="auto"/>
            <w:vAlign w:val="top"/>
          </w:tcPr>
          <w:p w14:paraId="15A98D92">
            <w:pPr>
              <w:keepNext w:val="0"/>
              <w:keepLines w:val="0"/>
              <w:pageBreakBefore w:val="0"/>
              <w:widowControl w:val="0"/>
              <w:kinsoku/>
              <w:wordWrap/>
              <w:overflowPunct/>
              <w:topLinePunct w:val="0"/>
              <w:autoSpaceDE/>
              <w:autoSpaceDN/>
              <w:bidi w:val="0"/>
              <w:adjustRightInd/>
              <w:snapToGrid/>
              <w:spacing w:line="260" w:lineRule="exact"/>
              <w:ind w:left="0" w:leftChars="0" w:right="131" w:rightChars="0" w:firstLine="0" w:firstLineChars="0"/>
              <w:textAlignment w:val="auto"/>
              <w:rPr>
                <w:rFonts w:ascii="宋体" w:hAnsi="宋体" w:eastAsia="宋体" w:cs="宋体"/>
                <w:kern w:val="2"/>
                <w:sz w:val="21"/>
                <w:szCs w:val="21"/>
                <w:lang w:val="en-US" w:eastAsia="zh-CN" w:bidi="ar-SA"/>
              </w:rPr>
            </w:pPr>
            <w:r>
              <w:rPr>
                <w:rFonts w:ascii="宋体" w:hAnsi="宋体" w:eastAsia="宋体" w:cs="宋体"/>
                <w:spacing w:val="-1"/>
                <w:sz w:val="21"/>
                <w:szCs w:val="21"/>
              </w:rPr>
              <w:t>生产经营的产品种类、危险等级超许可范</w:t>
            </w:r>
            <w:r>
              <w:rPr>
                <w:rFonts w:ascii="宋体" w:hAnsi="宋体" w:eastAsia="宋体" w:cs="宋体"/>
                <w:spacing w:val="-2"/>
                <w:sz w:val="21"/>
                <w:szCs w:val="21"/>
              </w:rPr>
              <w:t>围或者生产使用违禁药物。</w:t>
            </w:r>
          </w:p>
        </w:tc>
        <w:tc>
          <w:tcPr>
            <w:tcW w:w="3707" w:type="dxa"/>
            <w:shd w:val="clear" w:color="auto" w:fill="auto"/>
            <w:vAlign w:val="top"/>
          </w:tcPr>
          <w:p w14:paraId="44558FF5">
            <w:pPr>
              <w:keepNext w:val="0"/>
              <w:keepLines w:val="0"/>
              <w:pageBreakBefore w:val="0"/>
              <w:widowControl w:val="0"/>
              <w:kinsoku/>
              <w:wordWrap/>
              <w:overflowPunct/>
              <w:topLinePunct w:val="0"/>
              <w:autoSpaceDE/>
              <w:autoSpaceDN/>
              <w:bidi w:val="0"/>
              <w:adjustRightInd/>
              <w:snapToGrid/>
              <w:spacing w:line="260" w:lineRule="exact"/>
              <w:ind w:left="0" w:leftChars="0" w:right="127" w:rightChars="0" w:firstLine="0" w:firstLineChars="0"/>
              <w:textAlignment w:val="auto"/>
              <w:rPr>
                <w:rFonts w:ascii="宋体" w:hAnsi="宋体" w:eastAsia="宋体" w:cs="宋体"/>
                <w:kern w:val="2"/>
                <w:sz w:val="21"/>
                <w:szCs w:val="21"/>
                <w:lang w:val="en-US" w:eastAsia="zh-CN" w:bidi="ar-SA"/>
              </w:rPr>
            </w:pPr>
            <w:r>
              <w:rPr>
                <w:rFonts w:ascii="宋体" w:hAnsi="宋体" w:eastAsia="宋体" w:cs="宋体"/>
                <w:spacing w:val="-1"/>
                <w:sz w:val="21"/>
                <w:szCs w:val="21"/>
              </w:rPr>
              <w:t>生产经营的产品种类、危险等级按</w:t>
            </w:r>
            <w:r>
              <w:rPr>
                <w:rFonts w:ascii="宋体" w:hAnsi="宋体" w:eastAsia="宋体" w:cs="宋体"/>
                <w:spacing w:val="-2"/>
                <w:sz w:val="21"/>
                <w:szCs w:val="21"/>
              </w:rPr>
              <w:t>许可范围生产使用药物。</w:t>
            </w:r>
          </w:p>
        </w:tc>
        <w:tc>
          <w:tcPr>
            <w:tcW w:w="1147" w:type="dxa"/>
            <w:tcBorders>
              <w:right w:val="single" w:color="000000" w:sz="10" w:space="0"/>
            </w:tcBorders>
            <w:shd w:val="clear" w:color="auto" w:fill="auto"/>
            <w:vAlign w:val="top"/>
          </w:tcPr>
          <w:p w14:paraId="586FF38C">
            <w:pPr>
              <w:pStyle w:val="104"/>
              <w:keepNext w:val="0"/>
              <w:keepLines w:val="0"/>
              <w:pageBreakBefore w:val="0"/>
              <w:widowControl w:val="0"/>
              <w:kinsoku/>
              <w:wordWrap/>
              <w:overflowPunct/>
              <w:topLinePunct w:val="0"/>
              <w:autoSpaceDE/>
              <w:autoSpaceDN/>
              <w:bidi w:val="0"/>
              <w:adjustRightInd/>
              <w:snapToGrid/>
              <w:spacing w:line="260" w:lineRule="exact"/>
              <w:textAlignment w:val="auto"/>
            </w:pPr>
          </w:p>
          <w:p w14:paraId="17FE1223">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textAlignment w:val="auto"/>
              <w:rPr>
                <w:rFonts w:ascii="宋体" w:hAnsi="宋体" w:eastAsia="宋体" w:cs="宋体"/>
                <w:kern w:val="2"/>
                <w:sz w:val="21"/>
                <w:szCs w:val="21"/>
                <w:lang w:val="en-US" w:eastAsia="zh-CN" w:bidi="ar-SA"/>
              </w:rPr>
            </w:pPr>
            <w:r>
              <w:rPr>
                <w:rFonts w:ascii="宋体" w:hAnsi="宋体" w:eastAsia="宋体" w:cs="宋体"/>
                <w:spacing w:val="-2"/>
                <w:sz w:val="21"/>
                <w:szCs w:val="21"/>
              </w:rPr>
              <w:t>符合要求</w:t>
            </w:r>
          </w:p>
        </w:tc>
      </w:tr>
      <w:tr w14:paraId="17FDF5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7" w:hRule="atLeast"/>
        </w:trPr>
        <w:tc>
          <w:tcPr>
            <w:tcW w:w="694" w:type="dxa"/>
            <w:tcBorders>
              <w:left w:val="single" w:color="000000" w:sz="10" w:space="0"/>
            </w:tcBorders>
            <w:shd w:val="clear" w:color="auto" w:fill="auto"/>
            <w:vAlign w:val="top"/>
          </w:tcPr>
          <w:p w14:paraId="09E5C0A8">
            <w:pPr>
              <w:pStyle w:val="104"/>
              <w:keepNext w:val="0"/>
              <w:keepLines w:val="0"/>
              <w:pageBreakBefore w:val="0"/>
              <w:widowControl w:val="0"/>
              <w:kinsoku/>
              <w:wordWrap/>
              <w:overflowPunct/>
              <w:topLinePunct w:val="0"/>
              <w:autoSpaceDE/>
              <w:autoSpaceDN/>
              <w:bidi w:val="0"/>
              <w:adjustRightInd/>
              <w:snapToGrid/>
              <w:spacing w:line="260" w:lineRule="exact"/>
              <w:textAlignment w:val="auto"/>
            </w:pPr>
          </w:p>
          <w:p w14:paraId="715169B3">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textAlignment w:val="auto"/>
              <w:rPr>
                <w:rFonts w:ascii="宋体" w:hAnsi="宋体" w:eastAsia="宋体" w:cs="宋体"/>
                <w:kern w:val="2"/>
                <w:sz w:val="21"/>
                <w:szCs w:val="21"/>
                <w:lang w:val="en-US" w:eastAsia="zh-CN" w:bidi="ar-SA"/>
              </w:rPr>
            </w:pPr>
            <w:r>
              <w:rPr>
                <w:rFonts w:ascii="宋体" w:hAnsi="宋体" w:eastAsia="宋体" w:cs="宋体"/>
                <w:spacing w:val="-6"/>
                <w:sz w:val="21"/>
                <w:szCs w:val="21"/>
              </w:rPr>
              <w:t>16</w:t>
            </w:r>
          </w:p>
        </w:tc>
        <w:tc>
          <w:tcPr>
            <w:tcW w:w="3731" w:type="dxa"/>
            <w:shd w:val="clear" w:color="auto" w:fill="auto"/>
            <w:vAlign w:val="top"/>
          </w:tcPr>
          <w:p w14:paraId="140A5FA4">
            <w:pPr>
              <w:keepNext w:val="0"/>
              <w:keepLines w:val="0"/>
              <w:pageBreakBefore w:val="0"/>
              <w:widowControl w:val="0"/>
              <w:kinsoku/>
              <w:wordWrap/>
              <w:overflowPunct/>
              <w:topLinePunct w:val="0"/>
              <w:autoSpaceDE/>
              <w:autoSpaceDN/>
              <w:bidi w:val="0"/>
              <w:adjustRightInd/>
              <w:snapToGrid/>
              <w:spacing w:line="260" w:lineRule="exact"/>
              <w:ind w:left="0" w:leftChars="0" w:right="131" w:rightChars="0" w:firstLine="0" w:firstLineChars="0"/>
              <w:textAlignment w:val="auto"/>
              <w:rPr>
                <w:rFonts w:ascii="宋体" w:hAnsi="宋体" w:eastAsia="宋体" w:cs="宋体"/>
                <w:kern w:val="2"/>
                <w:sz w:val="21"/>
                <w:szCs w:val="21"/>
                <w:lang w:val="en-US" w:eastAsia="zh-CN" w:bidi="ar-SA"/>
              </w:rPr>
            </w:pPr>
            <w:r>
              <w:rPr>
                <w:rFonts w:ascii="宋体" w:hAnsi="宋体" w:eastAsia="宋体" w:cs="宋体"/>
                <w:spacing w:val="-1"/>
                <w:sz w:val="21"/>
                <w:szCs w:val="21"/>
              </w:rPr>
              <w:t>分包转包生产线、工房、库房组织生产经</w:t>
            </w:r>
            <w:r>
              <w:rPr>
                <w:rFonts w:ascii="宋体" w:hAnsi="宋体" w:eastAsia="宋体" w:cs="宋体"/>
                <w:spacing w:val="-11"/>
                <w:sz w:val="21"/>
                <w:szCs w:val="21"/>
              </w:rPr>
              <w:t>营。</w:t>
            </w:r>
          </w:p>
        </w:tc>
        <w:tc>
          <w:tcPr>
            <w:tcW w:w="3707" w:type="dxa"/>
            <w:shd w:val="clear" w:color="auto" w:fill="auto"/>
            <w:vAlign w:val="top"/>
          </w:tcPr>
          <w:p w14:paraId="54B3C698">
            <w:pPr>
              <w:keepNext w:val="0"/>
              <w:keepLines w:val="0"/>
              <w:pageBreakBefore w:val="0"/>
              <w:widowControl w:val="0"/>
              <w:kinsoku/>
              <w:wordWrap/>
              <w:overflowPunct/>
              <w:topLinePunct w:val="0"/>
              <w:autoSpaceDE/>
              <w:autoSpaceDN/>
              <w:bidi w:val="0"/>
              <w:adjustRightInd/>
              <w:snapToGrid/>
              <w:spacing w:line="260" w:lineRule="exact"/>
              <w:ind w:left="0" w:leftChars="0" w:right="127" w:rightChars="0" w:firstLine="0" w:firstLineChars="0"/>
              <w:textAlignment w:val="auto"/>
              <w:rPr>
                <w:rFonts w:ascii="宋体" w:hAnsi="宋体" w:eastAsia="宋体" w:cs="宋体"/>
                <w:kern w:val="2"/>
                <w:sz w:val="21"/>
                <w:szCs w:val="21"/>
                <w:lang w:val="en-US" w:eastAsia="zh-CN" w:bidi="ar-SA"/>
              </w:rPr>
            </w:pPr>
            <w:r>
              <w:rPr>
                <w:rFonts w:ascii="宋体" w:hAnsi="宋体" w:eastAsia="宋体" w:cs="宋体"/>
                <w:spacing w:val="-1"/>
                <w:sz w:val="21"/>
                <w:szCs w:val="21"/>
              </w:rPr>
              <w:t>未分包转包生产线、工房、库房组</w:t>
            </w:r>
            <w:r>
              <w:rPr>
                <w:rFonts w:ascii="宋体" w:hAnsi="宋体" w:eastAsia="宋体" w:cs="宋体"/>
                <w:spacing w:val="-2"/>
                <w:sz w:val="21"/>
                <w:szCs w:val="21"/>
              </w:rPr>
              <w:t>织生产经营。</w:t>
            </w:r>
          </w:p>
        </w:tc>
        <w:tc>
          <w:tcPr>
            <w:tcW w:w="1147" w:type="dxa"/>
            <w:tcBorders>
              <w:right w:val="single" w:color="000000" w:sz="10" w:space="0"/>
            </w:tcBorders>
            <w:shd w:val="clear" w:color="auto" w:fill="auto"/>
            <w:vAlign w:val="top"/>
          </w:tcPr>
          <w:p w14:paraId="1D1A4DD6">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textAlignment w:val="auto"/>
              <w:rPr>
                <w:rFonts w:ascii="宋体" w:hAnsi="宋体" w:eastAsia="宋体" w:cs="宋体"/>
                <w:kern w:val="2"/>
                <w:sz w:val="21"/>
                <w:szCs w:val="21"/>
                <w:lang w:val="en-US" w:eastAsia="zh-CN" w:bidi="ar-SA"/>
              </w:rPr>
            </w:pPr>
            <w:r>
              <w:rPr>
                <w:rFonts w:ascii="宋体" w:hAnsi="宋体" w:eastAsia="宋体" w:cs="宋体"/>
                <w:spacing w:val="-2"/>
                <w:sz w:val="21"/>
                <w:szCs w:val="21"/>
              </w:rPr>
              <w:t>符合要求</w:t>
            </w:r>
          </w:p>
        </w:tc>
      </w:tr>
      <w:tr w14:paraId="1D6836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7" w:hRule="atLeast"/>
        </w:trPr>
        <w:tc>
          <w:tcPr>
            <w:tcW w:w="694" w:type="dxa"/>
            <w:tcBorders>
              <w:left w:val="single" w:color="000000" w:sz="10" w:space="0"/>
            </w:tcBorders>
            <w:shd w:val="clear" w:color="auto" w:fill="auto"/>
            <w:vAlign w:val="top"/>
          </w:tcPr>
          <w:p w14:paraId="546A1D19">
            <w:pPr>
              <w:pStyle w:val="104"/>
              <w:keepNext w:val="0"/>
              <w:keepLines w:val="0"/>
              <w:pageBreakBefore w:val="0"/>
              <w:widowControl w:val="0"/>
              <w:kinsoku/>
              <w:wordWrap/>
              <w:overflowPunct/>
              <w:topLinePunct w:val="0"/>
              <w:autoSpaceDE/>
              <w:autoSpaceDN/>
              <w:bidi w:val="0"/>
              <w:adjustRightInd/>
              <w:snapToGrid/>
              <w:spacing w:line="260" w:lineRule="exact"/>
              <w:textAlignment w:val="auto"/>
            </w:pPr>
          </w:p>
          <w:p w14:paraId="02D707DD">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textAlignment w:val="auto"/>
              <w:rPr>
                <w:rFonts w:ascii="宋体" w:hAnsi="宋体" w:eastAsia="宋体" w:cs="宋体"/>
                <w:kern w:val="2"/>
                <w:sz w:val="21"/>
                <w:szCs w:val="21"/>
                <w:lang w:val="en-US" w:eastAsia="zh-CN" w:bidi="ar-SA"/>
              </w:rPr>
            </w:pPr>
            <w:r>
              <w:rPr>
                <w:rFonts w:ascii="宋体" w:hAnsi="宋体" w:eastAsia="宋体" w:cs="宋体"/>
                <w:spacing w:val="-6"/>
                <w:sz w:val="21"/>
                <w:szCs w:val="21"/>
              </w:rPr>
              <w:t>17</w:t>
            </w:r>
          </w:p>
        </w:tc>
        <w:tc>
          <w:tcPr>
            <w:tcW w:w="3731" w:type="dxa"/>
            <w:shd w:val="clear" w:color="auto" w:fill="auto"/>
            <w:vAlign w:val="top"/>
          </w:tcPr>
          <w:p w14:paraId="1434BBA3">
            <w:pPr>
              <w:keepNext w:val="0"/>
              <w:keepLines w:val="0"/>
              <w:pageBreakBefore w:val="0"/>
              <w:widowControl w:val="0"/>
              <w:kinsoku/>
              <w:wordWrap/>
              <w:overflowPunct/>
              <w:topLinePunct w:val="0"/>
              <w:autoSpaceDE/>
              <w:autoSpaceDN/>
              <w:bidi w:val="0"/>
              <w:adjustRightInd/>
              <w:snapToGrid/>
              <w:spacing w:line="260" w:lineRule="exact"/>
              <w:ind w:left="0" w:leftChars="0" w:right="131" w:rightChars="0" w:firstLine="0" w:firstLineChars="0"/>
              <w:textAlignment w:val="auto"/>
              <w:rPr>
                <w:rFonts w:ascii="宋体" w:hAnsi="宋体" w:eastAsia="宋体" w:cs="宋体"/>
                <w:kern w:val="2"/>
                <w:sz w:val="21"/>
                <w:szCs w:val="21"/>
                <w:lang w:val="en-US" w:eastAsia="zh-CN" w:bidi="ar-SA"/>
              </w:rPr>
            </w:pPr>
            <w:r>
              <w:rPr>
                <w:rFonts w:ascii="宋体" w:hAnsi="宋体" w:eastAsia="宋体" w:cs="宋体"/>
                <w:spacing w:val="-1"/>
                <w:sz w:val="21"/>
                <w:szCs w:val="21"/>
              </w:rPr>
              <w:t>一证多厂或者多股东各自独立组织生产经</w:t>
            </w:r>
            <w:r>
              <w:rPr>
                <w:rFonts w:ascii="宋体" w:hAnsi="宋体" w:eastAsia="宋体" w:cs="宋体"/>
                <w:spacing w:val="-11"/>
                <w:sz w:val="21"/>
                <w:szCs w:val="21"/>
              </w:rPr>
              <w:t>营。</w:t>
            </w:r>
          </w:p>
        </w:tc>
        <w:tc>
          <w:tcPr>
            <w:tcW w:w="3707" w:type="dxa"/>
            <w:shd w:val="clear" w:color="auto" w:fill="auto"/>
            <w:vAlign w:val="top"/>
          </w:tcPr>
          <w:p w14:paraId="3761F142">
            <w:pPr>
              <w:keepNext w:val="0"/>
              <w:keepLines w:val="0"/>
              <w:pageBreakBefore w:val="0"/>
              <w:widowControl w:val="0"/>
              <w:kinsoku/>
              <w:wordWrap/>
              <w:overflowPunct/>
              <w:topLinePunct w:val="0"/>
              <w:autoSpaceDE/>
              <w:autoSpaceDN/>
              <w:bidi w:val="0"/>
              <w:adjustRightInd/>
              <w:snapToGrid/>
              <w:spacing w:line="260" w:lineRule="exact"/>
              <w:ind w:left="0" w:leftChars="0" w:right="127" w:rightChars="0" w:firstLine="0" w:firstLineChars="0"/>
              <w:textAlignment w:val="auto"/>
              <w:rPr>
                <w:rFonts w:ascii="宋体" w:hAnsi="宋体" w:eastAsia="宋体" w:cs="宋体"/>
                <w:kern w:val="2"/>
                <w:sz w:val="21"/>
                <w:szCs w:val="21"/>
                <w:lang w:val="en-US" w:eastAsia="zh-CN" w:bidi="ar-SA"/>
              </w:rPr>
            </w:pPr>
            <w:r>
              <w:rPr>
                <w:rFonts w:ascii="宋体" w:hAnsi="宋体" w:eastAsia="宋体" w:cs="宋体"/>
                <w:spacing w:val="-1"/>
                <w:sz w:val="21"/>
                <w:szCs w:val="21"/>
              </w:rPr>
              <w:t>未发生一证多厂或者多股东各自独立组织生产经营。</w:t>
            </w:r>
          </w:p>
        </w:tc>
        <w:tc>
          <w:tcPr>
            <w:tcW w:w="1147" w:type="dxa"/>
            <w:tcBorders>
              <w:right w:val="single" w:color="000000" w:sz="10" w:space="0"/>
            </w:tcBorders>
            <w:shd w:val="clear" w:color="auto" w:fill="auto"/>
            <w:vAlign w:val="top"/>
          </w:tcPr>
          <w:p w14:paraId="6FE2A6D5">
            <w:pPr>
              <w:pStyle w:val="104"/>
              <w:keepNext w:val="0"/>
              <w:keepLines w:val="0"/>
              <w:pageBreakBefore w:val="0"/>
              <w:widowControl w:val="0"/>
              <w:kinsoku/>
              <w:wordWrap/>
              <w:overflowPunct/>
              <w:topLinePunct w:val="0"/>
              <w:autoSpaceDE/>
              <w:autoSpaceDN/>
              <w:bidi w:val="0"/>
              <w:adjustRightInd/>
              <w:snapToGrid/>
              <w:spacing w:line="260" w:lineRule="exact"/>
              <w:textAlignment w:val="auto"/>
            </w:pPr>
          </w:p>
          <w:p w14:paraId="264F4919">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textAlignment w:val="auto"/>
              <w:rPr>
                <w:rFonts w:ascii="宋体" w:hAnsi="宋体" w:eastAsia="宋体" w:cs="宋体"/>
                <w:kern w:val="2"/>
                <w:sz w:val="21"/>
                <w:szCs w:val="21"/>
                <w:lang w:val="en-US" w:eastAsia="zh-CN" w:bidi="ar-SA"/>
              </w:rPr>
            </w:pPr>
            <w:r>
              <w:rPr>
                <w:rFonts w:ascii="宋体" w:hAnsi="宋体" w:eastAsia="宋体" w:cs="宋体"/>
                <w:spacing w:val="-2"/>
                <w:sz w:val="21"/>
                <w:szCs w:val="21"/>
              </w:rPr>
              <w:t>符合要求</w:t>
            </w:r>
          </w:p>
        </w:tc>
      </w:tr>
      <w:tr w14:paraId="205FF9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94" w:type="dxa"/>
            <w:tcBorders>
              <w:left w:val="single" w:color="000000" w:sz="10" w:space="0"/>
            </w:tcBorders>
            <w:shd w:val="clear" w:color="auto" w:fill="auto"/>
            <w:vAlign w:val="top"/>
          </w:tcPr>
          <w:p w14:paraId="4048742B">
            <w:pPr>
              <w:pStyle w:val="104"/>
              <w:keepNext w:val="0"/>
              <w:keepLines w:val="0"/>
              <w:pageBreakBefore w:val="0"/>
              <w:widowControl w:val="0"/>
              <w:kinsoku/>
              <w:wordWrap/>
              <w:overflowPunct/>
              <w:topLinePunct w:val="0"/>
              <w:autoSpaceDE/>
              <w:autoSpaceDN/>
              <w:bidi w:val="0"/>
              <w:adjustRightInd/>
              <w:snapToGrid/>
              <w:spacing w:line="260" w:lineRule="exact"/>
              <w:textAlignment w:val="auto"/>
            </w:pPr>
          </w:p>
          <w:p w14:paraId="28262EE8">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textAlignment w:val="auto"/>
              <w:rPr>
                <w:rFonts w:ascii="宋体" w:hAnsi="宋体" w:eastAsia="宋体" w:cs="宋体"/>
                <w:kern w:val="2"/>
                <w:sz w:val="21"/>
                <w:szCs w:val="21"/>
                <w:lang w:val="en-US" w:eastAsia="zh-CN" w:bidi="ar-SA"/>
              </w:rPr>
            </w:pPr>
            <w:r>
              <w:rPr>
                <w:rFonts w:ascii="宋体" w:hAnsi="宋体" w:eastAsia="宋体" w:cs="宋体"/>
                <w:spacing w:val="-6"/>
                <w:sz w:val="21"/>
                <w:szCs w:val="21"/>
              </w:rPr>
              <w:t>18</w:t>
            </w:r>
          </w:p>
        </w:tc>
        <w:tc>
          <w:tcPr>
            <w:tcW w:w="3731" w:type="dxa"/>
            <w:shd w:val="clear" w:color="auto" w:fill="auto"/>
            <w:vAlign w:val="top"/>
          </w:tcPr>
          <w:p w14:paraId="15BE98ED">
            <w:pPr>
              <w:pStyle w:val="104"/>
              <w:keepNext w:val="0"/>
              <w:keepLines w:val="0"/>
              <w:pageBreakBefore w:val="0"/>
              <w:widowControl w:val="0"/>
              <w:kinsoku/>
              <w:wordWrap/>
              <w:overflowPunct/>
              <w:topLinePunct w:val="0"/>
              <w:autoSpaceDE/>
              <w:autoSpaceDN/>
              <w:bidi w:val="0"/>
              <w:adjustRightInd/>
              <w:snapToGrid/>
              <w:spacing w:line="260" w:lineRule="exact"/>
              <w:textAlignment w:val="auto"/>
            </w:pPr>
          </w:p>
          <w:p w14:paraId="4C962D57">
            <w:pPr>
              <w:keepNext w:val="0"/>
              <w:keepLines w:val="0"/>
              <w:pageBreakBefore w:val="0"/>
              <w:widowControl w:val="0"/>
              <w:kinsoku/>
              <w:wordWrap/>
              <w:overflowPunct/>
              <w:topLinePunct w:val="0"/>
              <w:autoSpaceDE/>
              <w:autoSpaceDN/>
              <w:bidi w:val="0"/>
              <w:adjustRightInd/>
              <w:snapToGrid/>
              <w:spacing w:line="260" w:lineRule="exact"/>
              <w:ind w:left="0" w:leftChars="0" w:right="131" w:rightChars="0" w:firstLine="0" w:firstLineChars="0"/>
              <w:textAlignment w:val="auto"/>
              <w:rPr>
                <w:rFonts w:ascii="宋体" w:hAnsi="宋体" w:eastAsia="宋体" w:cs="宋体"/>
                <w:kern w:val="2"/>
                <w:sz w:val="21"/>
                <w:szCs w:val="21"/>
                <w:lang w:val="en-US" w:eastAsia="zh-CN" w:bidi="ar-SA"/>
              </w:rPr>
            </w:pPr>
            <w:r>
              <w:rPr>
                <w:rFonts w:ascii="宋体" w:hAnsi="宋体" w:eastAsia="宋体" w:cs="宋体"/>
                <w:spacing w:val="-1"/>
                <w:sz w:val="21"/>
                <w:szCs w:val="21"/>
              </w:rPr>
              <w:t>许可证过期、整顿改造、恶劣天气等停产</w:t>
            </w:r>
            <w:r>
              <w:rPr>
                <w:rFonts w:ascii="宋体" w:hAnsi="宋体" w:eastAsia="宋体" w:cs="宋体"/>
                <w:spacing w:val="-2"/>
                <w:sz w:val="21"/>
                <w:szCs w:val="21"/>
              </w:rPr>
              <w:t>停业期间组织生产经营。</w:t>
            </w:r>
          </w:p>
        </w:tc>
        <w:tc>
          <w:tcPr>
            <w:tcW w:w="3707" w:type="dxa"/>
            <w:shd w:val="clear" w:color="auto" w:fill="auto"/>
            <w:vAlign w:val="top"/>
          </w:tcPr>
          <w:p w14:paraId="2D2E3AB1">
            <w:pPr>
              <w:keepNext w:val="0"/>
              <w:keepLines w:val="0"/>
              <w:pageBreakBefore w:val="0"/>
              <w:widowControl w:val="0"/>
              <w:kinsoku/>
              <w:wordWrap/>
              <w:overflowPunct/>
              <w:topLinePunct w:val="0"/>
              <w:autoSpaceDE/>
              <w:autoSpaceDN/>
              <w:bidi w:val="0"/>
              <w:adjustRightInd/>
              <w:snapToGrid/>
              <w:spacing w:line="260" w:lineRule="exact"/>
              <w:ind w:left="0" w:leftChars="0" w:right="127" w:rightChars="0" w:firstLine="0" w:firstLineChars="0"/>
              <w:jc w:val="both"/>
              <w:textAlignment w:val="auto"/>
              <w:rPr>
                <w:rFonts w:ascii="宋体" w:hAnsi="宋体" w:eastAsia="宋体" w:cs="宋体"/>
                <w:kern w:val="2"/>
                <w:sz w:val="21"/>
                <w:szCs w:val="21"/>
                <w:lang w:val="en-US" w:eastAsia="zh-CN" w:bidi="ar-SA"/>
              </w:rPr>
            </w:pPr>
            <w:r>
              <w:rPr>
                <w:rFonts w:ascii="宋体" w:hAnsi="宋体" w:eastAsia="宋体" w:cs="宋体"/>
                <w:spacing w:val="-1"/>
                <w:sz w:val="21"/>
                <w:szCs w:val="21"/>
              </w:rPr>
              <w:t>未发生许可证过期、整顿改造、恶劣天气等停产停业期间组织生产经</w:t>
            </w:r>
            <w:r>
              <w:rPr>
                <w:rFonts w:ascii="宋体" w:hAnsi="宋体" w:eastAsia="宋体" w:cs="宋体"/>
                <w:spacing w:val="-11"/>
                <w:sz w:val="21"/>
                <w:szCs w:val="21"/>
              </w:rPr>
              <w:t>营。</w:t>
            </w:r>
          </w:p>
        </w:tc>
        <w:tc>
          <w:tcPr>
            <w:tcW w:w="1147" w:type="dxa"/>
            <w:tcBorders>
              <w:right w:val="single" w:color="000000" w:sz="10" w:space="0"/>
            </w:tcBorders>
            <w:shd w:val="clear" w:color="auto" w:fill="auto"/>
            <w:vAlign w:val="top"/>
          </w:tcPr>
          <w:p w14:paraId="6776E66B">
            <w:pPr>
              <w:pStyle w:val="104"/>
              <w:keepNext w:val="0"/>
              <w:keepLines w:val="0"/>
              <w:pageBreakBefore w:val="0"/>
              <w:widowControl w:val="0"/>
              <w:kinsoku/>
              <w:wordWrap/>
              <w:overflowPunct/>
              <w:topLinePunct w:val="0"/>
              <w:autoSpaceDE/>
              <w:autoSpaceDN/>
              <w:bidi w:val="0"/>
              <w:adjustRightInd/>
              <w:snapToGrid/>
              <w:spacing w:line="260" w:lineRule="exact"/>
              <w:textAlignment w:val="auto"/>
            </w:pPr>
          </w:p>
          <w:p w14:paraId="3D4EE3A1">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textAlignment w:val="auto"/>
              <w:rPr>
                <w:rFonts w:ascii="宋体" w:hAnsi="宋体" w:eastAsia="宋体" w:cs="宋体"/>
                <w:kern w:val="2"/>
                <w:sz w:val="21"/>
                <w:szCs w:val="21"/>
                <w:lang w:val="en-US" w:eastAsia="zh-CN" w:bidi="ar-SA"/>
              </w:rPr>
            </w:pPr>
            <w:r>
              <w:rPr>
                <w:rFonts w:ascii="宋体" w:hAnsi="宋体" w:eastAsia="宋体" w:cs="宋体"/>
                <w:spacing w:val="-2"/>
                <w:sz w:val="21"/>
                <w:szCs w:val="21"/>
              </w:rPr>
              <w:t>符合要求</w:t>
            </w:r>
          </w:p>
        </w:tc>
      </w:tr>
      <w:tr w14:paraId="68D4B3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694" w:type="dxa"/>
            <w:tcBorders>
              <w:left w:val="single" w:color="000000" w:sz="10" w:space="0"/>
            </w:tcBorders>
            <w:shd w:val="clear" w:color="auto" w:fill="auto"/>
            <w:vAlign w:val="top"/>
          </w:tcPr>
          <w:p w14:paraId="26171E29">
            <w:pPr>
              <w:pStyle w:val="104"/>
              <w:keepNext w:val="0"/>
              <w:keepLines w:val="0"/>
              <w:pageBreakBefore w:val="0"/>
              <w:widowControl w:val="0"/>
              <w:kinsoku/>
              <w:wordWrap/>
              <w:overflowPunct/>
              <w:topLinePunct w:val="0"/>
              <w:autoSpaceDE/>
              <w:autoSpaceDN/>
              <w:bidi w:val="0"/>
              <w:adjustRightInd/>
              <w:snapToGrid/>
              <w:spacing w:line="260" w:lineRule="exact"/>
              <w:textAlignment w:val="auto"/>
            </w:pPr>
          </w:p>
          <w:p w14:paraId="17A0CA14">
            <w:pPr>
              <w:pStyle w:val="104"/>
              <w:keepNext w:val="0"/>
              <w:keepLines w:val="0"/>
              <w:pageBreakBefore w:val="0"/>
              <w:widowControl w:val="0"/>
              <w:kinsoku/>
              <w:wordWrap/>
              <w:overflowPunct/>
              <w:topLinePunct w:val="0"/>
              <w:autoSpaceDE/>
              <w:autoSpaceDN/>
              <w:bidi w:val="0"/>
              <w:adjustRightInd/>
              <w:snapToGrid/>
              <w:spacing w:line="260" w:lineRule="exact"/>
              <w:textAlignment w:val="auto"/>
            </w:pPr>
          </w:p>
          <w:p w14:paraId="02C8F320">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textAlignment w:val="auto"/>
              <w:rPr>
                <w:rFonts w:ascii="宋体" w:hAnsi="宋体" w:eastAsia="宋体" w:cs="宋体"/>
                <w:kern w:val="2"/>
                <w:sz w:val="21"/>
                <w:szCs w:val="21"/>
                <w:lang w:val="en-US" w:eastAsia="zh-CN" w:bidi="ar-SA"/>
              </w:rPr>
            </w:pPr>
            <w:r>
              <w:rPr>
                <w:rFonts w:ascii="宋体" w:hAnsi="宋体" w:eastAsia="宋体" w:cs="宋体"/>
                <w:spacing w:val="-6"/>
                <w:sz w:val="21"/>
                <w:szCs w:val="21"/>
              </w:rPr>
              <w:t>19</w:t>
            </w:r>
          </w:p>
        </w:tc>
        <w:tc>
          <w:tcPr>
            <w:tcW w:w="3731" w:type="dxa"/>
            <w:shd w:val="clear" w:color="auto" w:fill="auto"/>
            <w:vAlign w:val="top"/>
          </w:tcPr>
          <w:p w14:paraId="3823680F">
            <w:pPr>
              <w:pStyle w:val="104"/>
              <w:keepNext w:val="0"/>
              <w:keepLines w:val="0"/>
              <w:pageBreakBefore w:val="0"/>
              <w:widowControl w:val="0"/>
              <w:kinsoku/>
              <w:wordWrap/>
              <w:overflowPunct/>
              <w:topLinePunct w:val="0"/>
              <w:autoSpaceDE/>
              <w:autoSpaceDN/>
              <w:bidi w:val="0"/>
              <w:adjustRightInd/>
              <w:snapToGrid/>
              <w:spacing w:line="260" w:lineRule="exact"/>
              <w:textAlignment w:val="auto"/>
            </w:pPr>
          </w:p>
          <w:p w14:paraId="2D2002BC">
            <w:pPr>
              <w:keepNext w:val="0"/>
              <w:keepLines w:val="0"/>
              <w:pageBreakBefore w:val="0"/>
              <w:widowControl w:val="0"/>
              <w:kinsoku/>
              <w:wordWrap/>
              <w:overflowPunct/>
              <w:topLinePunct w:val="0"/>
              <w:autoSpaceDE/>
              <w:autoSpaceDN/>
              <w:bidi w:val="0"/>
              <w:adjustRightInd/>
              <w:snapToGrid/>
              <w:spacing w:line="260" w:lineRule="exact"/>
              <w:ind w:left="0" w:leftChars="0" w:right="131" w:rightChars="0" w:firstLine="0" w:firstLineChars="0"/>
              <w:textAlignment w:val="auto"/>
              <w:rPr>
                <w:rFonts w:ascii="宋体" w:hAnsi="宋体" w:eastAsia="宋体" w:cs="宋体"/>
                <w:kern w:val="2"/>
                <w:sz w:val="21"/>
                <w:szCs w:val="21"/>
                <w:lang w:val="en-US" w:eastAsia="zh-CN" w:bidi="ar-SA"/>
              </w:rPr>
            </w:pPr>
            <w:r>
              <w:rPr>
                <w:rFonts w:ascii="宋体" w:hAnsi="宋体" w:eastAsia="宋体" w:cs="宋体"/>
                <w:spacing w:val="-1"/>
                <w:sz w:val="21"/>
                <w:szCs w:val="21"/>
              </w:rPr>
              <w:t>烟花爆竹仓库存放其它爆炸物等危险物品</w:t>
            </w:r>
            <w:r>
              <w:rPr>
                <w:rFonts w:ascii="宋体" w:hAnsi="宋体" w:eastAsia="宋体" w:cs="宋体"/>
                <w:spacing w:val="-2"/>
                <w:sz w:val="21"/>
                <w:szCs w:val="21"/>
              </w:rPr>
              <w:t>或者生产经营违禁超标产品。</w:t>
            </w:r>
          </w:p>
        </w:tc>
        <w:tc>
          <w:tcPr>
            <w:tcW w:w="3707" w:type="dxa"/>
            <w:shd w:val="clear" w:color="auto" w:fill="auto"/>
            <w:vAlign w:val="top"/>
          </w:tcPr>
          <w:p w14:paraId="294DA37A">
            <w:pPr>
              <w:keepNext w:val="0"/>
              <w:keepLines w:val="0"/>
              <w:pageBreakBefore w:val="0"/>
              <w:widowControl w:val="0"/>
              <w:kinsoku/>
              <w:wordWrap/>
              <w:overflowPunct/>
              <w:topLinePunct w:val="0"/>
              <w:autoSpaceDE/>
              <w:autoSpaceDN/>
              <w:bidi w:val="0"/>
              <w:adjustRightInd/>
              <w:snapToGrid/>
              <w:spacing w:line="260" w:lineRule="exact"/>
              <w:ind w:left="0" w:leftChars="0" w:right="127" w:rightChars="0" w:firstLine="0" w:firstLineChars="0"/>
              <w:jc w:val="both"/>
              <w:textAlignment w:val="auto"/>
              <w:rPr>
                <w:rFonts w:ascii="宋体" w:hAnsi="宋体" w:eastAsia="宋体" w:cs="宋体"/>
                <w:kern w:val="2"/>
                <w:sz w:val="21"/>
                <w:szCs w:val="21"/>
                <w:lang w:val="en-US" w:eastAsia="zh-CN" w:bidi="ar-SA"/>
              </w:rPr>
            </w:pPr>
            <w:r>
              <w:rPr>
                <w:rFonts w:ascii="宋体" w:hAnsi="宋体" w:eastAsia="宋体" w:cs="宋体"/>
                <w:spacing w:val="-1"/>
                <w:sz w:val="21"/>
                <w:szCs w:val="21"/>
              </w:rPr>
              <w:t>烟花爆竹仓库未存放其它爆炸物等危险物品或者生产经营违禁超标产</w:t>
            </w:r>
            <w:r>
              <w:rPr>
                <w:rFonts w:ascii="宋体" w:hAnsi="宋体" w:eastAsia="宋体" w:cs="宋体"/>
                <w:spacing w:val="-10"/>
                <w:sz w:val="21"/>
                <w:szCs w:val="21"/>
              </w:rPr>
              <w:t>品。</w:t>
            </w:r>
          </w:p>
        </w:tc>
        <w:tc>
          <w:tcPr>
            <w:tcW w:w="1147" w:type="dxa"/>
            <w:tcBorders>
              <w:right w:val="single" w:color="000000" w:sz="10" w:space="0"/>
            </w:tcBorders>
            <w:shd w:val="clear" w:color="auto" w:fill="auto"/>
            <w:vAlign w:val="top"/>
          </w:tcPr>
          <w:p w14:paraId="66E560A4">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textAlignment w:val="auto"/>
              <w:rPr>
                <w:rFonts w:ascii="宋体" w:hAnsi="宋体" w:eastAsia="宋体" w:cs="宋体"/>
                <w:kern w:val="2"/>
                <w:sz w:val="21"/>
                <w:szCs w:val="21"/>
                <w:lang w:val="en-US" w:eastAsia="zh-CN" w:bidi="ar-SA"/>
              </w:rPr>
            </w:pPr>
            <w:r>
              <w:rPr>
                <w:rFonts w:ascii="宋体" w:hAnsi="宋体" w:eastAsia="宋体" w:cs="宋体"/>
                <w:spacing w:val="-2"/>
                <w:sz w:val="21"/>
                <w:szCs w:val="21"/>
              </w:rPr>
              <w:t>符合要求</w:t>
            </w:r>
          </w:p>
        </w:tc>
      </w:tr>
      <w:tr w14:paraId="1A2F48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694" w:type="dxa"/>
            <w:tcBorders>
              <w:left w:val="single" w:color="000000" w:sz="10" w:space="0"/>
            </w:tcBorders>
            <w:shd w:val="clear" w:color="auto" w:fill="auto"/>
            <w:vAlign w:val="top"/>
          </w:tcPr>
          <w:p w14:paraId="623777AD">
            <w:pPr>
              <w:pStyle w:val="104"/>
              <w:keepNext w:val="0"/>
              <w:keepLines w:val="0"/>
              <w:pageBreakBefore w:val="0"/>
              <w:widowControl w:val="0"/>
              <w:kinsoku/>
              <w:wordWrap/>
              <w:overflowPunct/>
              <w:topLinePunct w:val="0"/>
              <w:autoSpaceDE/>
              <w:autoSpaceDN/>
              <w:bidi w:val="0"/>
              <w:adjustRightInd/>
              <w:snapToGrid/>
              <w:spacing w:line="260" w:lineRule="exact"/>
              <w:textAlignment w:val="auto"/>
            </w:pPr>
          </w:p>
          <w:p w14:paraId="77E92747">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textAlignment w:val="auto"/>
              <w:rPr>
                <w:rFonts w:ascii="宋体" w:hAnsi="宋体" w:eastAsia="宋体" w:cs="宋体"/>
                <w:kern w:val="2"/>
                <w:sz w:val="21"/>
                <w:szCs w:val="21"/>
                <w:lang w:val="en-US" w:eastAsia="zh-CN" w:bidi="ar-SA"/>
              </w:rPr>
            </w:pPr>
            <w:r>
              <w:rPr>
                <w:rFonts w:ascii="宋体" w:hAnsi="宋体" w:eastAsia="宋体" w:cs="宋体"/>
                <w:spacing w:val="-5"/>
                <w:sz w:val="21"/>
                <w:szCs w:val="21"/>
              </w:rPr>
              <w:t>20</w:t>
            </w:r>
          </w:p>
        </w:tc>
        <w:tc>
          <w:tcPr>
            <w:tcW w:w="3731" w:type="dxa"/>
            <w:shd w:val="clear" w:color="auto" w:fill="auto"/>
            <w:vAlign w:val="top"/>
          </w:tcPr>
          <w:p w14:paraId="161140E3">
            <w:pPr>
              <w:keepNext w:val="0"/>
              <w:keepLines w:val="0"/>
              <w:pageBreakBefore w:val="0"/>
              <w:widowControl w:val="0"/>
              <w:kinsoku/>
              <w:wordWrap/>
              <w:overflowPunct/>
              <w:topLinePunct w:val="0"/>
              <w:autoSpaceDE/>
              <w:autoSpaceDN/>
              <w:bidi w:val="0"/>
              <w:adjustRightInd/>
              <w:snapToGrid/>
              <w:spacing w:line="260" w:lineRule="exact"/>
              <w:ind w:left="0" w:leftChars="0" w:right="131" w:rightChars="0" w:firstLine="0" w:firstLineChars="0"/>
              <w:textAlignment w:val="auto"/>
              <w:rPr>
                <w:rFonts w:ascii="宋体" w:hAnsi="宋体" w:eastAsia="宋体" w:cs="宋体"/>
                <w:kern w:val="2"/>
                <w:sz w:val="21"/>
                <w:szCs w:val="21"/>
                <w:lang w:val="en-US" w:eastAsia="zh-CN" w:bidi="ar-SA"/>
              </w:rPr>
            </w:pPr>
            <w:r>
              <w:rPr>
                <w:rFonts w:ascii="宋体" w:hAnsi="宋体" w:eastAsia="宋体" w:cs="宋体"/>
                <w:spacing w:val="-1"/>
                <w:sz w:val="21"/>
                <w:szCs w:val="21"/>
              </w:rPr>
              <w:t>零售点与居民居住场所设置在同一建筑物</w:t>
            </w:r>
            <w:r>
              <w:rPr>
                <w:rFonts w:ascii="宋体" w:hAnsi="宋体" w:eastAsia="宋体" w:cs="宋体"/>
                <w:spacing w:val="-4"/>
                <w:sz w:val="21"/>
                <w:szCs w:val="21"/>
              </w:rPr>
              <w:t>内或者在零售场所使用明火。</w:t>
            </w:r>
          </w:p>
        </w:tc>
        <w:tc>
          <w:tcPr>
            <w:tcW w:w="3707" w:type="dxa"/>
            <w:shd w:val="clear" w:color="auto" w:fill="auto"/>
            <w:vAlign w:val="top"/>
          </w:tcPr>
          <w:p w14:paraId="66AA9EF1">
            <w:pPr>
              <w:pStyle w:val="104"/>
              <w:keepNext w:val="0"/>
              <w:keepLines w:val="0"/>
              <w:pageBreakBefore w:val="0"/>
              <w:widowControl w:val="0"/>
              <w:kinsoku/>
              <w:wordWrap/>
              <w:overflowPunct/>
              <w:topLinePunct w:val="0"/>
              <w:autoSpaceDE/>
              <w:autoSpaceDN/>
              <w:bidi w:val="0"/>
              <w:adjustRightInd/>
              <w:snapToGrid/>
              <w:spacing w:line="260" w:lineRule="exact"/>
              <w:textAlignment w:val="auto"/>
            </w:pPr>
          </w:p>
          <w:p w14:paraId="56046B78">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textAlignment w:val="auto"/>
              <w:rPr>
                <w:rFonts w:ascii="宋体" w:hAnsi="宋体" w:eastAsia="宋体" w:cs="宋体"/>
                <w:kern w:val="2"/>
                <w:sz w:val="21"/>
                <w:szCs w:val="21"/>
                <w:lang w:val="en-US" w:eastAsia="zh-CN" w:bidi="ar-SA"/>
              </w:rPr>
            </w:pPr>
            <w:r>
              <w:rPr>
                <w:rFonts w:ascii="宋体" w:hAnsi="宋体" w:eastAsia="宋体" w:cs="宋体"/>
                <w:spacing w:val="-2"/>
                <w:sz w:val="21"/>
                <w:szCs w:val="21"/>
              </w:rPr>
              <w:t>无此项。</w:t>
            </w:r>
          </w:p>
        </w:tc>
        <w:tc>
          <w:tcPr>
            <w:tcW w:w="1147" w:type="dxa"/>
            <w:tcBorders>
              <w:right w:val="single" w:color="000000" w:sz="10" w:space="0"/>
            </w:tcBorders>
            <w:shd w:val="clear" w:color="auto" w:fill="auto"/>
            <w:vAlign w:val="top"/>
          </w:tcPr>
          <w:p w14:paraId="1DCAF960">
            <w:pPr>
              <w:pStyle w:val="104"/>
              <w:keepNext w:val="0"/>
              <w:keepLines w:val="0"/>
              <w:pageBreakBefore w:val="0"/>
              <w:widowControl w:val="0"/>
              <w:kinsoku/>
              <w:wordWrap/>
              <w:overflowPunct/>
              <w:topLinePunct w:val="0"/>
              <w:autoSpaceDE/>
              <w:autoSpaceDN/>
              <w:bidi w:val="0"/>
              <w:adjustRightInd/>
              <w:snapToGrid/>
              <w:spacing w:line="260" w:lineRule="exact"/>
              <w:textAlignment w:val="auto"/>
            </w:pPr>
          </w:p>
          <w:p w14:paraId="7E134403">
            <w:pPr>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textAlignment w:val="auto"/>
              <w:rPr>
                <w:rFonts w:ascii="宋体" w:hAnsi="宋体" w:eastAsia="宋体" w:cs="宋体"/>
                <w:kern w:val="2"/>
                <w:sz w:val="21"/>
                <w:szCs w:val="21"/>
                <w:lang w:val="en-US" w:eastAsia="zh-CN" w:bidi="ar-SA"/>
              </w:rPr>
            </w:pPr>
            <w:r>
              <w:rPr>
                <w:rFonts w:ascii="宋体" w:hAnsi="宋体" w:eastAsia="宋体" w:cs="宋体"/>
                <w:spacing w:val="-2"/>
                <w:sz w:val="21"/>
                <w:szCs w:val="21"/>
              </w:rPr>
              <w:t>无此项</w:t>
            </w:r>
          </w:p>
        </w:tc>
      </w:tr>
    </w:tbl>
    <w:p w14:paraId="31385111">
      <w:pPr>
        <w:pStyle w:val="3"/>
        <w:bidi w:val="0"/>
        <w:ind w:left="0" w:leftChars="0" w:firstLine="0" w:firstLineChars="0"/>
        <w:rPr>
          <w:rFonts w:hint="eastAsia"/>
        </w:rPr>
      </w:pPr>
      <w:bookmarkStart w:id="153" w:name="_Toc3643"/>
      <w:bookmarkStart w:id="154" w:name="_Toc15411"/>
      <w:r>
        <w:rPr>
          <w:rFonts w:hint="eastAsia"/>
        </w:rPr>
        <w:t>5.10 综合评价结果</w:t>
      </w:r>
      <w:bookmarkEnd w:id="153"/>
      <w:bookmarkEnd w:id="154"/>
    </w:p>
    <w:p w14:paraId="7CDD39BC">
      <w:pPr>
        <w:bidi w:val="0"/>
        <w:rPr>
          <w:rFonts w:hint="eastAsia"/>
        </w:rPr>
      </w:pPr>
      <w:r>
        <w:rPr>
          <w:rFonts w:hint="eastAsia"/>
        </w:rPr>
        <w:t>1、资料审核情况</w:t>
      </w:r>
    </w:p>
    <w:p w14:paraId="7DF83DA3">
      <w:pPr>
        <w:bidi w:val="0"/>
        <w:rPr>
          <w:rFonts w:hint="eastAsia"/>
        </w:rPr>
      </w:pPr>
      <w:r>
        <w:rPr>
          <w:rFonts w:hint="eastAsia"/>
        </w:rPr>
        <w:t>通过评价组现场检查、资料收集审核，该项目的资料审核基本符合《烟花爆竹企业安全评价规范》（AQ4113-2008）的相关要求。</w:t>
      </w:r>
    </w:p>
    <w:p w14:paraId="464CD761">
      <w:pPr>
        <w:bidi w:val="0"/>
        <w:rPr>
          <w:rFonts w:hint="eastAsia"/>
        </w:rPr>
      </w:pPr>
      <w:r>
        <w:rPr>
          <w:rFonts w:hint="eastAsia"/>
        </w:rPr>
        <w:t>2、总体布局和条件设施评价</w:t>
      </w:r>
    </w:p>
    <w:p w14:paraId="07416727">
      <w:pPr>
        <w:bidi w:val="0"/>
        <w:rPr>
          <w:rFonts w:hint="eastAsia"/>
        </w:rPr>
      </w:pPr>
      <w:r>
        <w:rPr>
          <w:rFonts w:hint="eastAsia"/>
        </w:rPr>
        <w:t>从报告《总体布局和条件设施单元现场检查表》检查结果可以看出，库区总体布局和条件设施符合安全条件。</w:t>
      </w:r>
    </w:p>
    <w:p w14:paraId="6DF4EA10">
      <w:pPr>
        <w:bidi w:val="0"/>
        <w:rPr>
          <w:rFonts w:hint="eastAsia"/>
        </w:rPr>
      </w:pPr>
      <w:r>
        <w:rPr>
          <w:rFonts w:hint="eastAsia"/>
        </w:rPr>
        <w:t>3、现场安全检查评价</w:t>
      </w:r>
    </w:p>
    <w:p w14:paraId="13CA7865">
      <w:pPr>
        <w:bidi w:val="0"/>
        <w:rPr>
          <w:rFonts w:hint="eastAsia"/>
        </w:rPr>
      </w:pPr>
      <w:r>
        <w:rPr>
          <w:rFonts w:hint="eastAsia"/>
        </w:rPr>
        <w:t>根据现场检查表可知，该单位烟花爆竹仓库现场情况符合安全条件。</w:t>
      </w:r>
    </w:p>
    <w:p w14:paraId="16D8548E">
      <w:pPr>
        <w:bidi w:val="0"/>
        <w:rPr>
          <w:rFonts w:hint="eastAsia"/>
        </w:rPr>
      </w:pPr>
      <w:r>
        <w:rPr>
          <w:rFonts w:hint="eastAsia"/>
        </w:rPr>
        <w:t>4、安全防护设施评价</w:t>
      </w:r>
    </w:p>
    <w:p w14:paraId="58461A2B">
      <w:pPr>
        <w:bidi w:val="0"/>
        <w:rPr>
          <w:rFonts w:hint="eastAsia"/>
        </w:rPr>
      </w:pPr>
      <w:r>
        <w:rPr>
          <w:rFonts w:hint="eastAsia"/>
        </w:rPr>
        <w:t>从《安全防护设施检查表》结果中可以看出，库区安全防护设施设置符合安全条件。</w:t>
      </w:r>
    </w:p>
    <w:p w14:paraId="0ACE1D73">
      <w:pPr>
        <w:bidi w:val="0"/>
        <w:rPr>
          <w:rFonts w:hint="eastAsia"/>
        </w:rPr>
      </w:pPr>
      <w:r>
        <w:rPr>
          <w:rFonts w:hint="eastAsia"/>
        </w:rPr>
        <w:t>5、周边环境危险性评价</w:t>
      </w:r>
    </w:p>
    <w:p w14:paraId="7B0BACBE">
      <w:pPr>
        <w:bidi w:val="0"/>
        <w:rPr>
          <w:rFonts w:hint="eastAsia"/>
        </w:rPr>
      </w:pPr>
      <w:r>
        <w:rPr>
          <w:rFonts w:hint="eastAsia"/>
        </w:rPr>
        <w:t>该项目储存库区选址符合烟花爆竹储存需要，库区定期清理防火隔离带，符合安全条件。</w:t>
      </w:r>
    </w:p>
    <w:p w14:paraId="4B7164CC">
      <w:pPr>
        <w:bidi w:val="0"/>
        <w:rPr>
          <w:rFonts w:hint="eastAsia"/>
        </w:rPr>
      </w:pPr>
      <w:r>
        <w:rPr>
          <w:rFonts w:hint="eastAsia"/>
        </w:rPr>
        <w:t>6、安全经营条件评价结果</w:t>
      </w:r>
    </w:p>
    <w:p w14:paraId="186D680A">
      <w:pPr>
        <w:bidi w:val="0"/>
        <w:rPr>
          <w:rFonts w:hint="eastAsia"/>
        </w:rPr>
      </w:pPr>
      <w:r>
        <w:rPr>
          <w:rFonts w:hint="eastAsia"/>
        </w:rPr>
        <w:t>从评价结果来看，该项目安全经营条件符合安全要求。</w:t>
      </w:r>
    </w:p>
    <w:p w14:paraId="49853749">
      <w:pPr>
        <w:bidi w:val="0"/>
        <w:rPr>
          <w:rFonts w:hint="eastAsia"/>
        </w:rPr>
      </w:pPr>
      <w:r>
        <w:rPr>
          <w:rFonts w:hint="eastAsia"/>
        </w:rPr>
        <w:t>7、重大安全事故隐患检查判定结果</w:t>
      </w:r>
    </w:p>
    <w:p w14:paraId="686D6ADA">
      <w:pPr>
        <w:bidi w:val="0"/>
      </w:pPr>
      <w:r>
        <w:rPr>
          <w:rFonts w:hint="eastAsia"/>
        </w:rPr>
        <w:t>从评价结果来看，公司无重大安全事故隐患。</w:t>
      </w:r>
    </w:p>
    <w:p w14:paraId="19BAE8D0">
      <w:pPr>
        <w:rPr>
          <w:rFonts w:ascii="宋体" w:hAnsi="宋体"/>
          <w:sz w:val="28"/>
          <w:szCs w:val="28"/>
        </w:rPr>
      </w:pPr>
      <w:r>
        <w:rPr>
          <w:rFonts w:ascii="宋体" w:hAnsi="宋体"/>
          <w:sz w:val="28"/>
          <w:szCs w:val="28"/>
        </w:rPr>
        <w:br w:type="page"/>
      </w:r>
    </w:p>
    <w:p w14:paraId="1DC31E2D">
      <w:pPr>
        <w:pStyle w:val="2"/>
        <w:bidi w:val="0"/>
        <w:jc w:val="center"/>
        <w:rPr>
          <w:rFonts w:hint="eastAsia"/>
        </w:rPr>
      </w:pPr>
      <w:bookmarkStart w:id="155" w:name="_Toc7058"/>
      <w:bookmarkStart w:id="156" w:name="_Toc5053"/>
      <w:r>
        <w:rPr>
          <w:rFonts w:hint="eastAsia"/>
        </w:rPr>
        <w:t>6</w:t>
      </w:r>
      <w:r>
        <w:rPr>
          <w:rFonts w:hint="eastAsia"/>
          <w:lang w:val="en-US" w:eastAsia="zh-CN"/>
        </w:rPr>
        <w:t xml:space="preserve"> </w:t>
      </w:r>
      <w:r>
        <w:rPr>
          <w:rFonts w:hint="eastAsia"/>
        </w:rPr>
        <w:t>安全对策和整改</w:t>
      </w:r>
      <w:bookmarkEnd w:id="155"/>
      <w:bookmarkEnd w:id="156"/>
    </w:p>
    <w:p w14:paraId="7CDAF216">
      <w:pPr>
        <w:spacing w:line="360" w:lineRule="auto"/>
        <w:ind w:firstLine="606" w:firstLineChars="200"/>
        <w:rPr>
          <w:rFonts w:hint="eastAsia" w:ascii="宋体" w:hAnsi="宋体"/>
          <w:sz w:val="28"/>
          <w:szCs w:val="28"/>
        </w:rPr>
      </w:pPr>
    </w:p>
    <w:p w14:paraId="09CF1889">
      <w:pPr>
        <w:spacing w:line="360" w:lineRule="auto"/>
        <w:ind w:firstLine="606" w:firstLineChars="200"/>
        <w:rPr>
          <w:rFonts w:hint="eastAsia" w:ascii="宋体" w:hAnsi="宋体"/>
          <w:sz w:val="28"/>
          <w:szCs w:val="28"/>
        </w:rPr>
      </w:pPr>
      <w:r>
        <w:rPr>
          <w:rFonts w:hint="eastAsia" w:ascii="宋体" w:hAnsi="宋体"/>
          <w:sz w:val="28"/>
          <w:szCs w:val="28"/>
        </w:rPr>
        <w:t>南昌布莱特进出口有限责任公司根据《安全生产法》和《烟花爆竹经营许可实施办法》的有关要求，建立了较完善的安全管理组织，明确了各级人员安全生产责任制，制定了各项安全管理制度和安全操作规程。本报告针对该公司经营过程提出以下安全对策措施。</w:t>
      </w:r>
    </w:p>
    <w:p w14:paraId="030F665F">
      <w:pPr>
        <w:pStyle w:val="4"/>
        <w:bidi w:val="0"/>
        <w:ind w:left="0" w:leftChars="0" w:firstLine="0" w:firstLineChars="0"/>
        <w:rPr>
          <w:rFonts w:hint="eastAsia"/>
        </w:rPr>
      </w:pPr>
      <w:bookmarkStart w:id="157" w:name="_Toc13823"/>
      <w:r>
        <w:rPr>
          <w:rFonts w:hint="eastAsia"/>
        </w:rPr>
        <w:t>6.1 安全对策措施、建议的依据及原则</w:t>
      </w:r>
      <w:bookmarkEnd w:id="157"/>
    </w:p>
    <w:p w14:paraId="6EE07931">
      <w:pPr>
        <w:pStyle w:val="4"/>
        <w:bidi w:val="0"/>
        <w:ind w:left="0" w:leftChars="0" w:firstLine="0" w:firstLineChars="0"/>
        <w:rPr>
          <w:rFonts w:hint="eastAsia"/>
        </w:rPr>
      </w:pPr>
      <w:bookmarkStart w:id="158" w:name="_Toc20999"/>
      <w:r>
        <w:rPr>
          <w:rFonts w:hint="eastAsia"/>
          <w:lang w:val="en-US" w:eastAsia="zh-CN"/>
        </w:rPr>
        <w:t>6.1.1</w:t>
      </w:r>
      <w:r>
        <w:rPr>
          <w:rFonts w:hint="eastAsia"/>
        </w:rPr>
        <w:t>安全对策措施的依据</w:t>
      </w:r>
      <w:bookmarkEnd w:id="158"/>
    </w:p>
    <w:p w14:paraId="4BB6BA5D">
      <w:pPr>
        <w:spacing w:line="360" w:lineRule="auto"/>
        <w:ind w:firstLine="606" w:firstLineChars="200"/>
        <w:rPr>
          <w:rFonts w:hint="eastAsia" w:ascii="宋体" w:hAnsi="宋体"/>
          <w:sz w:val="28"/>
          <w:szCs w:val="28"/>
        </w:rPr>
      </w:pPr>
      <w:r>
        <w:rPr>
          <w:rFonts w:hint="eastAsia" w:ascii="宋体" w:hAnsi="宋体"/>
          <w:sz w:val="28"/>
          <w:szCs w:val="28"/>
        </w:rPr>
        <w:t>1)物料危险、有害因素的辨识分析；</w:t>
      </w:r>
    </w:p>
    <w:p w14:paraId="59BF1E56">
      <w:pPr>
        <w:spacing w:line="360" w:lineRule="auto"/>
        <w:ind w:firstLine="606" w:firstLineChars="200"/>
        <w:rPr>
          <w:rFonts w:hint="eastAsia" w:ascii="宋体" w:hAnsi="宋体"/>
          <w:sz w:val="28"/>
          <w:szCs w:val="28"/>
        </w:rPr>
      </w:pPr>
      <w:r>
        <w:rPr>
          <w:rFonts w:hint="eastAsia" w:ascii="宋体" w:hAnsi="宋体"/>
          <w:sz w:val="28"/>
          <w:szCs w:val="28"/>
        </w:rPr>
        <w:t>2)符合性评价的结果；</w:t>
      </w:r>
    </w:p>
    <w:p w14:paraId="41747F2C">
      <w:pPr>
        <w:spacing w:line="360" w:lineRule="auto"/>
        <w:ind w:firstLine="606" w:firstLineChars="200"/>
        <w:rPr>
          <w:rFonts w:hint="eastAsia" w:ascii="宋体" w:hAnsi="宋体"/>
          <w:sz w:val="28"/>
          <w:szCs w:val="28"/>
        </w:rPr>
      </w:pPr>
      <w:r>
        <w:rPr>
          <w:rFonts w:hint="eastAsia" w:ascii="宋体" w:hAnsi="宋体"/>
          <w:sz w:val="28"/>
          <w:szCs w:val="28"/>
        </w:rPr>
        <w:t>3)国家有关安全生产法律、法规、规章、标准、规范。</w:t>
      </w:r>
    </w:p>
    <w:p w14:paraId="65BCEEEE">
      <w:pPr>
        <w:pStyle w:val="4"/>
        <w:bidi w:val="0"/>
        <w:ind w:left="0" w:leftChars="0" w:firstLine="0" w:firstLineChars="0"/>
        <w:rPr>
          <w:rFonts w:hint="eastAsia"/>
          <w:lang w:val="en-US" w:eastAsia="zh-CN"/>
        </w:rPr>
      </w:pPr>
      <w:bookmarkStart w:id="159" w:name="_Toc15669"/>
      <w:r>
        <w:rPr>
          <w:rFonts w:hint="eastAsia"/>
          <w:lang w:val="en-US" w:eastAsia="zh-CN"/>
        </w:rPr>
        <w:t>6.1.2安全对策措施建议的原则</w:t>
      </w:r>
      <w:bookmarkEnd w:id="159"/>
    </w:p>
    <w:p w14:paraId="7420AD15">
      <w:pPr>
        <w:spacing w:line="360" w:lineRule="auto"/>
        <w:ind w:firstLine="606" w:firstLineChars="200"/>
        <w:rPr>
          <w:rFonts w:hint="eastAsia" w:ascii="宋体" w:hAnsi="宋体"/>
          <w:sz w:val="28"/>
          <w:szCs w:val="28"/>
        </w:rPr>
      </w:pPr>
      <w:r>
        <w:rPr>
          <w:rFonts w:hint="eastAsia" w:ascii="宋体" w:hAnsi="宋体"/>
          <w:sz w:val="28"/>
          <w:szCs w:val="28"/>
        </w:rPr>
        <w:t>1)安全技术措施等级顺序：</w:t>
      </w:r>
    </w:p>
    <w:p w14:paraId="77C152A9">
      <w:pPr>
        <w:spacing w:line="360" w:lineRule="auto"/>
        <w:ind w:firstLine="606" w:firstLineChars="200"/>
        <w:rPr>
          <w:rFonts w:hint="eastAsia" w:ascii="宋体" w:hAnsi="宋体"/>
          <w:sz w:val="28"/>
          <w:szCs w:val="28"/>
        </w:rPr>
      </w:pPr>
      <w:r>
        <w:rPr>
          <w:rFonts w:hint="eastAsia" w:ascii="宋体" w:hAnsi="宋体"/>
          <w:sz w:val="28"/>
          <w:szCs w:val="28"/>
        </w:rPr>
        <w:t>(1)直接安全技术措施；</w:t>
      </w:r>
    </w:p>
    <w:p w14:paraId="03B21A45">
      <w:pPr>
        <w:spacing w:line="360" w:lineRule="auto"/>
        <w:ind w:firstLine="606" w:firstLineChars="200"/>
        <w:rPr>
          <w:rFonts w:hint="eastAsia" w:ascii="宋体" w:hAnsi="宋体"/>
          <w:sz w:val="28"/>
          <w:szCs w:val="28"/>
        </w:rPr>
      </w:pPr>
      <w:r>
        <w:rPr>
          <w:rFonts w:hint="eastAsia" w:ascii="宋体" w:hAnsi="宋体"/>
          <w:sz w:val="28"/>
          <w:szCs w:val="28"/>
        </w:rPr>
        <w:t>(2)间接安全技术措施；</w:t>
      </w:r>
    </w:p>
    <w:p w14:paraId="1F377AD6">
      <w:pPr>
        <w:spacing w:line="360" w:lineRule="auto"/>
        <w:ind w:firstLine="606" w:firstLineChars="200"/>
        <w:rPr>
          <w:rFonts w:hint="eastAsia" w:ascii="宋体" w:hAnsi="宋体"/>
          <w:sz w:val="28"/>
          <w:szCs w:val="28"/>
        </w:rPr>
      </w:pPr>
      <w:r>
        <w:rPr>
          <w:rFonts w:hint="eastAsia" w:ascii="宋体" w:hAnsi="宋体"/>
          <w:sz w:val="28"/>
          <w:szCs w:val="28"/>
        </w:rPr>
        <w:t>(3)指示性安全技术措施；</w:t>
      </w:r>
    </w:p>
    <w:p w14:paraId="2E6A5C07">
      <w:pPr>
        <w:spacing w:line="360" w:lineRule="auto"/>
        <w:ind w:firstLine="606" w:firstLineChars="200"/>
        <w:rPr>
          <w:rFonts w:hint="eastAsia" w:ascii="宋体" w:hAnsi="宋体"/>
          <w:sz w:val="28"/>
          <w:szCs w:val="28"/>
        </w:rPr>
      </w:pPr>
      <w:r>
        <w:rPr>
          <w:rFonts w:hint="eastAsia" w:ascii="宋体" w:hAnsi="宋体"/>
          <w:sz w:val="28"/>
          <w:szCs w:val="28"/>
        </w:rPr>
        <w:t>(4)若间接、指示性安全技术措施仍然不能避免事故，则应采取安全操作规程、安全教育、安全培训和个体防护等措施来预防、减弱系统的危险、危害程度。</w:t>
      </w:r>
    </w:p>
    <w:p w14:paraId="5C69AA25">
      <w:pPr>
        <w:spacing w:line="360" w:lineRule="auto"/>
        <w:ind w:firstLine="606" w:firstLineChars="200"/>
        <w:rPr>
          <w:rFonts w:hint="eastAsia" w:ascii="宋体" w:hAnsi="宋体"/>
          <w:sz w:val="28"/>
          <w:szCs w:val="28"/>
        </w:rPr>
      </w:pPr>
      <w:r>
        <w:rPr>
          <w:rFonts w:hint="eastAsia" w:ascii="宋体" w:hAnsi="宋体"/>
          <w:sz w:val="28"/>
          <w:szCs w:val="28"/>
        </w:rPr>
        <w:t>2)根据安全技术措施等级顺序的要求应遵循的具体原则：消除；预防；减弱；隔离；连锁；警告。</w:t>
      </w:r>
    </w:p>
    <w:p w14:paraId="1B920AA3">
      <w:pPr>
        <w:spacing w:line="360" w:lineRule="auto"/>
        <w:ind w:firstLine="606" w:firstLineChars="200"/>
        <w:rPr>
          <w:rFonts w:hint="eastAsia" w:ascii="宋体" w:hAnsi="宋体"/>
          <w:sz w:val="28"/>
          <w:szCs w:val="28"/>
        </w:rPr>
      </w:pPr>
      <w:r>
        <w:rPr>
          <w:rFonts w:hint="eastAsia" w:ascii="宋体" w:hAnsi="宋体"/>
          <w:sz w:val="28"/>
          <w:szCs w:val="28"/>
        </w:rPr>
        <w:t>3)安全对策措施建议具有针对性、可操作性和经济合理性。</w:t>
      </w:r>
    </w:p>
    <w:p w14:paraId="31E69AA2">
      <w:pPr>
        <w:spacing w:line="360" w:lineRule="auto"/>
        <w:ind w:firstLine="606" w:firstLineChars="200"/>
        <w:rPr>
          <w:rFonts w:hint="eastAsia" w:ascii="宋体" w:hAnsi="宋体"/>
          <w:sz w:val="28"/>
          <w:szCs w:val="28"/>
        </w:rPr>
      </w:pPr>
      <w:r>
        <w:rPr>
          <w:rFonts w:hint="eastAsia" w:ascii="宋体" w:hAnsi="宋体"/>
          <w:sz w:val="28"/>
          <w:szCs w:val="28"/>
        </w:rPr>
        <w:t>4)对策措施符合国家有关法规、标准及规范的规定。</w:t>
      </w:r>
    </w:p>
    <w:p w14:paraId="5895E8C0">
      <w:pPr>
        <w:spacing w:line="360" w:lineRule="auto"/>
        <w:ind w:firstLine="606" w:firstLineChars="200"/>
        <w:rPr>
          <w:rFonts w:hint="eastAsia" w:ascii="宋体" w:hAnsi="宋体"/>
          <w:sz w:val="28"/>
          <w:szCs w:val="28"/>
        </w:rPr>
      </w:pPr>
      <w:r>
        <w:rPr>
          <w:rFonts w:hint="eastAsia" w:ascii="宋体" w:hAnsi="宋体"/>
          <w:sz w:val="28"/>
          <w:szCs w:val="28"/>
        </w:rPr>
        <w:t>5)在满足基本安全要求的基础上，对项目重大危险源或重大风险控制提出保障安全运行的对策建议。</w:t>
      </w:r>
    </w:p>
    <w:p w14:paraId="7D35C9C6">
      <w:pPr>
        <w:pStyle w:val="4"/>
        <w:bidi w:val="0"/>
        <w:ind w:left="0" w:leftChars="0" w:firstLine="0" w:firstLineChars="0"/>
        <w:rPr>
          <w:rFonts w:hint="eastAsia"/>
        </w:rPr>
      </w:pPr>
      <w:bookmarkStart w:id="160" w:name="_Toc9930"/>
      <w:r>
        <w:rPr>
          <w:rFonts w:hint="eastAsia"/>
        </w:rPr>
        <w:t>6.2.2 整改复查情况</w:t>
      </w:r>
      <w:bookmarkEnd w:id="160"/>
    </w:p>
    <w:p w14:paraId="08D1B16B">
      <w:pPr>
        <w:pStyle w:val="4"/>
        <w:bidi w:val="0"/>
        <w:ind w:left="0" w:leftChars="0" w:firstLine="0" w:firstLineChars="0"/>
        <w:rPr>
          <w:rFonts w:hint="eastAsia"/>
          <w:lang w:val="en-US" w:eastAsia="zh-CN"/>
        </w:rPr>
      </w:pPr>
      <w:bookmarkStart w:id="161" w:name="_Toc28125"/>
      <w:r>
        <w:rPr>
          <w:rFonts w:hint="eastAsia"/>
          <w:lang w:val="en-US" w:eastAsia="zh-CN"/>
        </w:rPr>
        <w:t>6.2.1 整改建议</w:t>
      </w:r>
      <w:bookmarkEnd w:id="161"/>
    </w:p>
    <w:p w14:paraId="682C83AC">
      <w:pPr>
        <w:bidi w:val="0"/>
        <w:rPr>
          <w:rFonts w:hint="eastAsia"/>
          <w:lang w:val="en-US" w:eastAsia="zh-CN"/>
        </w:rPr>
      </w:pPr>
      <w:r>
        <w:rPr>
          <w:rFonts w:hint="eastAsia"/>
        </w:rPr>
        <w:t>该公司评价人员于202</w:t>
      </w:r>
      <w:r>
        <w:rPr>
          <w:rFonts w:hint="eastAsia"/>
          <w:lang w:val="en-US" w:eastAsia="zh-CN"/>
        </w:rPr>
        <w:t>5</w:t>
      </w:r>
      <w:r>
        <w:rPr>
          <w:rFonts w:hint="eastAsia"/>
        </w:rPr>
        <w:t>年12月对南昌布莱特进出口有限责任公司的烟花爆竹储存仓库进行现场检查，对库房存在的</w:t>
      </w:r>
      <w:r>
        <w:rPr>
          <w:rFonts w:hint="eastAsia"/>
          <w:lang w:val="en-US" w:eastAsia="zh-CN"/>
        </w:rPr>
        <w:t>问题</w:t>
      </w:r>
      <w:r>
        <w:rPr>
          <w:rFonts w:hint="eastAsia"/>
        </w:rPr>
        <w:t>提出整改</w:t>
      </w:r>
      <w:r>
        <w:rPr>
          <w:rFonts w:hint="eastAsia"/>
          <w:lang w:val="en-US" w:eastAsia="zh-CN"/>
        </w:rPr>
        <w:t>建议</w:t>
      </w:r>
      <w:r>
        <w:rPr>
          <w:rFonts w:hint="eastAsia"/>
          <w:lang w:eastAsia="zh-CN"/>
        </w:rPr>
        <w:t>，</w:t>
      </w:r>
      <w:r>
        <w:rPr>
          <w:rFonts w:hint="eastAsia"/>
          <w:lang w:val="en-US" w:eastAsia="zh-CN"/>
        </w:rPr>
        <w:t>见表6.2-1。</w:t>
      </w:r>
    </w:p>
    <w:p w14:paraId="7095C037">
      <w:pPr>
        <w:bidi w:val="0"/>
        <w:jc w:val="center"/>
        <w:rPr>
          <w:rFonts w:hint="default"/>
          <w:lang w:val="en-US" w:eastAsia="zh-CN"/>
        </w:rPr>
      </w:pPr>
      <w:r>
        <w:rPr>
          <w:rFonts w:hint="eastAsia"/>
          <w:lang w:val="en-US" w:eastAsia="zh-CN"/>
        </w:rPr>
        <w:t xml:space="preserve">表6.2-1 </w:t>
      </w:r>
      <w:r>
        <w:rPr>
          <w:rFonts w:hint="eastAsia"/>
        </w:rPr>
        <w:t>库房存在</w:t>
      </w:r>
      <w:r>
        <w:rPr>
          <w:rFonts w:hint="eastAsia"/>
          <w:lang w:val="en-US" w:eastAsia="zh-CN"/>
        </w:rPr>
        <w:t>问题及</w:t>
      </w:r>
      <w:r>
        <w:rPr>
          <w:rFonts w:hint="eastAsia"/>
        </w:rPr>
        <w:t>整改</w:t>
      </w:r>
      <w:r>
        <w:rPr>
          <w:rFonts w:hint="eastAsia"/>
          <w:lang w:val="en-US" w:eastAsia="zh-CN"/>
        </w:rPr>
        <w:t>建议</w:t>
      </w:r>
    </w:p>
    <w:tbl>
      <w:tblPr>
        <w:tblStyle w:val="41"/>
        <w:tblW w:w="456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3248"/>
        <w:gridCol w:w="3137"/>
        <w:gridCol w:w="1321"/>
      </w:tblGrid>
      <w:tr w14:paraId="0179A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blHeader/>
        </w:trPr>
        <w:tc>
          <w:tcPr>
            <w:tcW w:w="454" w:type="pct"/>
            <w:noWrap w:val="0"/>
            <w:vAlign w:val="center"/>
          </w:tcPr>
          <w:p w14:paraId="67CD232A">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both"/>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序号</w:t>
            </w:r>
          </w:p>
        </w:tc>
        <w:tc>
          <w:tcPr>
            <w:tcW w:w="1916" w:type="pct"/>
            <w:noWrap w:val="0"/>
            <w:vAlign w:val="center"/>
          </w:tcPr>
          <w:p w14:paraId="38797E0A">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both"/>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存在的主要问题</w:t>
            </w:r>
          </w:p>
        </w:tc>
        <w:tc>
          <w:tcPr>
            <w:tcW w:w="1850" w:type="pct"/>
            <w:noWrap w:val="0"/>
            <w:vAlign w:val="center"/>
          </w:tcPr>
          <w:p w14:paraId="7219085F">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both"/>
              <w:textAlignment w:val="auto"/>
              <w:rPr>
                <w:rFonts w:hint="eastAsia" w:ascii="宋体" w:hAnsi="宋体" w:eastAsia="宋体" w:cs="宋体"/>
                <w:b/>
                <w:sz w:val="21"/>
                <w:szCs w:val="21"/>
              </w:rPr>
            </w:pPr>
            <w:r>
              <w:rPr>
                <w:rFonts w:hint="eastAsia" w:ascii="宋体" w:hAnsi="宋体" w:eastAsia="宋体" w:cs="宋体"/>
                <w:b/>
                <w:sz w:val="21"/>
                <w:szCs w:val="21"/>
              </w:rPr>
              <w:t>整改建议</w:t>
            </w:r>
          </w:p>
        </w:tc>
        <w:tc>
          <w:tcPr>
            <w:tcW w:w="779" w:type="pct"/>
            <w:noWrap w:val="0"/>
            <w:vAlign w:val="center"/>
          </w:tcPr>
          <w:p w14:paraId="2546B432">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both"/>
              <w:textAlignment w:val="auto"/>
              <w:rPr>
                <w:rFonts w:hint="eastAsia" w:ascii="宋体" w:hAnsi="宋体" w:eastAsia="宋体" w:cs="宋体"/>
                <w:b/>
                <w:bCs/>
                <w:kern w:val="0"/>
                <w:sz w:val="21"/>
                <w:szCs w:val="21"/>
              </w:rPr>
            </w:pPr>
            <w:r>
              <w:rPr>
                <w:rFonts w:hint="eastAsia" w:ascii="宋体" w:hAnsi="宋体" w:eastAsia="宋体" w:cs="宋体"/>
                <w:b/>
                <w:sz w:val="21"/>
                <w:szCs w:val="21"/>
                <w:lang w:val="en-US" w:eastAsia="zh-CN"/>
              </w:rPr>
              <w:t>紧迫程度</w:t>
            </w:r>
          </w:p>
        </w:tc>
      </w:tr>
      <w:tr w14:paraId="66365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454" w:type="pct"/>
            <w:noWrap w:val="0"/>
            <w:vAlign w:val="center"/>
          </w:tcPr>
          <w:p w14:paraId="1A3FB82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highlight w:val="yellow"/>
              </w:rPr>
            </w:pPr>
            <w:bookmarkStart w:id="162" w:name="OLE_LINK29" w:colFirst="1" w:colLast="4"/>
            <w:r>
              <w:rPr>
                <w:rFonts w:hint="eastAsia" w:ascii="宋体" w:hAnsi="宋体" w:eastAsia="宋体" w:cs="宋体"/>
                <w:sz w:val="21"/>
                <w:szCs w:val="21"/>
              </w:rPr>
              <w:t>1</w:t>
            </w:r>
          </w:p>
        </w:tc>
        <w:tc>
          <w:tcPr>
            <w:tcW w:w="1916" w:type="pct"/>
            <w:noWrap w:val="0"/>
            <w:vAlign w:val="center"/>
          </w:tcPr>
          <w:p w14:paraId="1DF23243">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both"/>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540、542、545号成品库旁周边局部杂草未割除</w:t>
            </w:r>
          </w:p>
        </w:tc>
        <w:tc>
          <w:tcPr>
            <w:tcW w:w="1850" w:type="pct"/>
            <w:noWrap w:val="0"/>
            <w:vAlign w:val="center"/>
          </w:tcPr>
          <w:p w14:paraId="0F5A7E8D">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both"/>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割除540、542、545号成品库旁周边杂草</w:t>
            </w:r>
          </w:p>
        </w:tc>
        <w:tc>
          <w:tcPr>
            <w:tcW w:w="779" w:type="pct"/>
            <w:noWrap w:val="0"/>
            <w:vAlign w:val="center"/>
          </w:tcPr>
          <w:p w14:paraId="2D019D5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中</w:t>
            </w:r>
          </w:p>
        </w:tc>
      </w:tr>
      <w:tr w14:paraId="59B88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trPr>
        <w:tc>
          <w:tcPr>
            <w:tcW w:w="454" w:type="pct"/>
            <w:noWrap w:val="0"/>
            <w:vAlign w:val="center"/>
          </w:tcPr>
          <w:p w14:paraId="7B56CEF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1916" w:type="pct"/>
            <w:noWrap w:val="0"/>
            <w:vAlign w:val="center"/>
          </w:tcPr>
          <w:p w14:paraId="25C17BEB">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540、542、545号成品库门口墙上的安全标示牌未明确责任人</w:t>
            </w:r>
          </w:p>
        </w:tc>
        <w:tc>
          <w:tcPr>
            <w:tcW w:w="1850" w:type="pct"/>
            <w:noWrap w:val="0"/>
            <w:vAlign w:val="center"/>
          </w:tcPr>
          <w:p w14:paraId="1AABC577">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540、542、545号成品库门口墙上的安全标示牌明确责任人</w:t>
            </w:r>
          </w:p>
        </w:tc>
        <w:tc>
          <w:tcPr>
            <w:tcW w:w="779" w:type="pct"/>
            <w:noWrap w:val="0"/>
            <w:vAlign w:val="center"/>
          </w:tcPr>
          <w:p w14:paraId="166ADED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中</w:t>
            </w:r>
          </w:p>
        </w:tc>
      </w:tr>
      <w:bookmarkEnd w:id="162"/>
    </w:tbl>
    <w:p w14:paraId="567892E0">
      <w:pPr>
        <w:pStyle w:val="4"/>
        <w:bidi w:val="0"/>
        <w:ind w:left="0" w:leftChars="0" w:firstLine="0" w:firstLineChars="0"/>
        <w:rPr>
          <w:rFonts w:hint="eastAsia" w:ascii="Times New Roman" w:hAnsi="Times New Roman" w:eastAsia="宋体" w:cs="Times New Roman"/>
          <w:lang w:val="en-US" w:eastAsia="zh-CN"/>
        </w:rPr>
      </w:pPr>
      <w:bookmarkStart w:id="163" w:name="_Toc15775"/>
      <w:r>
        <w:rPr>
          <w:rFonts w:hint="eastAsia" w:ascii="Times New Roman" w:hAnsi="Times New Roman" w:eastAsia="宋体" w:cs="Times New Roman"/>
          <w:lang w:val="en-US" w:eastAsia="zh-CN"/>
        </w:rPr>
        <w:t>6.2.2 整改复查情况</w:t>
      </w:r>
      <w:bookmarkEnd w:id="163"/>
    </w:p>
    <w:p w14:paraId="514E364F">
      <w:pPr>
        <w:bidi w:val="0"/>
        <w:rPr>
          <w:rFonts w:hint="eastAsia" w:eastAsia="宋体"/>
          <w:lang w:eastAsia="zh-CN"/>
        </w:rPr>
      </w:pPr>
      <w:r>
        <w:rPr>
          <w:rFonts w:hint="eastAsia"/>
        </w:rPr>
        <w:t>应南昌布莱特进出口有限责任公司委托，对该公司贮存烟花爆竹安全条件评价所提出的整改意见进行了现场复查，</w:t>
      </w:r>
      <w:r>
        <w:rPr>
          <w:rFonts w:hint="eastAsia" w:ascii="宋体" w:hAnsi="宋体"/>
          <w:sz w:val="28"/>
          <w:szCs w:val="28"/>
        </w:rPr>
        <w:t>企业整改落实情况</w:t>
      </w:r>
      <w:r>
        <w:rPr>
          <w:rFonts w:hint="eastAsia" w:ascii="宋体" w:hAnsi="宋体"/>
          <w:sz w:val="28"/>
          <w:szCs w:val="28"/>
          <w:lang w:val="en-US" w:eastAsia="zh-CN"/>
        </w:rPr>
        <w:t>见</w:t>
      </w:r>
      <w:r>
        <w:rPr>
          <w:rFonts w:hint="eastAsia" w:ascii="宋体" w:hAnsi="宋体"/>
          <w:sz w:val="28"/>
          <w:szCs w:val="28"/>
        </w:rPr>
        <w:t>表</w:t>
      </w:r>
      <w:r>
        <w:rPr>
          <w:rFonts w:hint="eastAsia" w:ascii="宋体" w:hAnsi="宋体"/>
          <w:sz w:val="28"/>
          <w:szCs w:val="28"/>
          <w:lang w:val="en-US" w:eastAsia="zh-CN"/>
        </w:rPr>
        <w:t>6.2-2</w:t>
      </w:r>
      <w:r>
        <w:rPr>
          <w:rFonts w:hint="eastAsia"/>
          <w:lang w:val="en-US" w:eastAsia="zh-CN"/>
        </w:rPr>
        <w:t>.</w:t>
      </w:r>
    </w:p>
    <w:p w14:paraId="3C817AA2">
      <w:pPr>
        <w:spacing w:line="360" w:lineRule="auto"/>
        <w:ind w:firstLine="606" w:firstLineChars="200"/>
        <w:rPr>
          <w:rFonts w:hint="eastAsia" w:ascii="宋体" w:hAnsi="宋体"/>
          <w:sz w:val="28"/>
          <w:szCs w:val="28"/>
        </w:rPr>
      </w:pPr>
      <w:r>
        <w:rPr>
          <w:rFonts w:hint="eastAsia" w:ascii="宋体" w:hAnsi="宋体"/>
          <w:sz w:val="28"/>
          <w:szCs w:val="28"/>
        </w:rPr>
        <w:t>表6.2-2企业整改落实情况表</w:t>
      </w:r>
    </w:p>
    <w:tbl>
      <w:tblPr>
        <w:tblStyle w:val="41"/>
        <w:tblW w:w="456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3248"/>
        <w:gridCol w:w="3137"/>
        <w:gridCol w:w="1321"/>
      </w:tblGrid>
      <w:tr w14:paraId="42779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blHeader/>
        </w:trPr>
        <w:tc>
          <w:tcPr>
            <w:tcW w:w="454" w:type="pct"/>
            <w:noWrap w:val="0"/>
            <w:vAlign w:val="center"/>
          </w:tcPr>
          <w:p w14:paraId="5A91F5CF">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both"/>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序号</w:t>
            </w:r>
          </w:p>
        </w:tc>
        <w:tc>
          <w:tcPr>
            <w:tcW w:w="1916" w:type="pct"/>
            <w:noWrap w:val="0"/>
            <w:vAlign w:val="center"/>
          </w:tcPr>
          <w:p w14:paraId="757BE7EA">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both"/>
              <w:textAlignment w:val="auto"/>
              <w:rPr>
                <w:rFonts w:hint="eastAsia" w:ascii="宋体" w:hAnsi="宋体" w:eastAsia="宋体" w:cs="宋体"/>
                <w:b/>
                <w:bCs/>
                <w:kern w:val="0"/>
                <w:sz w:val="21"/>
                <w:szCs w:val="21"/>
              </w:rPr>
            </w:pPr>
            <w:r>
              <w:rPr>
                <w:rFonts w:hint="eastAsia" w:ascii="宋体" w:hAnsi="宋体" w:eastAsia="宋体" w:cs="宋体"/>
                <w:b/>
                <w:bCs/>
                <w:kern w:val="0"/>
                <w:sz w:val="21"/>
                <w:szCs w:val="21"/>
              </w:rPr>
              <w:t>存在的主要问题</w:t>
            </w:r>
          </w:p>
        </w:tc>
        <w:tc>
          <w:tcPr>
            <w:tcW w:w="1850" w:type="pct"/>
            <w:noWrap w:val="0"/>
            <w:vAlign w:val="center"/>
          </w:tcPr>
          <w:p w14:paraId="41E1DE3F">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both"/>
              <w:textAlignment w:val="auto"/>
              <w:rPr>
                <w:rFonts w:hint="eastAsia" w:ascii="宋体" w:hAnsi="宋体" w:eastAsia="宋体" w:cs="宋体"/>
                <w:b/>
                <w:sz w:val="21"/>
                <w:szCs w:val="21"/>
                <w:lang w:eastAsia="zh-CN"/>
              </w:rPr>
            </w:pPr>
            <w:r>
              <w:rPr>
                <w:rFonts w:hint="eastAsia" w:ascii="宋体" w:hAnsi="宋体" w:eastAsia="宋体" w:cs="宋体"/>
                <w:b/>
                <w:sz w:val="21"/>
                <w:szCs w:val="21"/>
              </w:rPr>
              <w:t>整改</w:t>
            </w:r>
            <w:r>
              <w:rPr>
                <w:rFonts w:hint="eastAsia" w:ascii="宋体" w:hAnsi="宋体" w:eastAsia="宋体" w:cs="宋体"/>
                <w:b/>
                <w:sz w:val="21"/>
                <w:szCs w:val="21"/>
                <w:lang w:val="en-US" w:eastAsia="zh-CN"/>
              </w:rPr>
              <w:t>情况</w:t>
            </w:r>
          </w:p>
        </w:tc>
        <w:tc>
          <w:tcPr>
            <w:tcW w:w="779" w:type="pct"/>
            <w:noWrap w:val="0"/>
            <w:vAlign w:val="center"/>
          </w:tcPr>
          <w:p w14:paraId="3CFE2D2B">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both"/>
              <w:textAlignment w:val="auto"/>
              <w:rPr>
                <w:rFonts w:hint="default" w:ascii="宋体" w:hAnsi="宋体" w:eastAsia="宋体" w:cs="宋体"/>
                <w:b/>
                <w:bCs/>
                <w:kern w:val="0"/>
                <w:sz w:val="21"/>
                <w:szCs w:val="21"/>
                <w:lang w:val="en-US"/>
              </w:rPr>
            </w:pPr>
            <w:r>
              <w:rPr>
                <w:rFonts w:hint="eastAsia" w:ascii="宋体" w:hAnsi="宋体" w:eastAsia="宋体" w:cs="宋体"/>
                <w:b/>
                <w:sz w:val="21"/>
                <w:szCs w:val="21"/>
                <w:lang w:val="en-US" w:eastAsia="zh-CN"/>
              </w:rPr>
              <w:t>检查情况</w:t>
            </w:r>
          </w:p>
        </w:tc>
      </w:tr>
      <w:tr w14:paraId="1A6CB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454" w:type="pct"/>
            <w:noWrap w:val="0"/>
            <w:vAlign w:val="center"/>
          </w:tcPr>
          <w:p w14:paraId="1977CE6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highlight w:val="yellow"/>
              </w:rPr>
            </w:pPr>
            <w:r>
              <w:rPr>
                <w:rFonts w:hint="eastAsia" w:ascii="宋体" w:hAnsi="宋体" w:eastAsia="宋体" w:cs="宋体"/>
                <w:sz w:val="21"/>
                <w:szCs w:val="21"/>
              </w:rPr>
              <w:t>1</w:t>
            </w:r>
          </w:p>
        </w:tc>
        <w:tc>
          <w:tcPr>
            <w:tcW w:w="1916" w:type="pct"/>
            <w:noWrap w:val="0"/>
            <w:vAlign w:val="center"/>
          </w:tcPr>
          <w:p w14:paraId="32C9625B">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both"/>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540、542、545号成品库旁周边局部杂草未割除</w:t>
            </w:r>
          </w:p>
        </w:tc>
        <w:tc>
          <w:tcPr>
            <w:tcW w:w="1850" w:type="pct"/>
            <w:noWrap w:val="0"/>
            <w:vAlign w:val="center"/>
          </w:tcPr>
          <w:p w14:paraId="3D98E880">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both"/>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割除了540、542、545号成品库旁周边杂草</w:t>
            </w:r>
          </w:p>
        </w:tc>
        <w:tc>
          <w:tcPr>
            <w:tcW w:w="779" w:type="pct"/>
            <w:noWrap w:val="0"/>
            <w:vAlign w:val="center"/>
          </w:tcPr>
          <w:p w14:paraId="3C25C303">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both"/>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符合要求</w:t>
            </w:r>
          </w:p>
        </w:tc>
      </w:tr>
      <w:tr w14:paraId="6F76A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454" w:type="pct"/>
            <w:noWrap w:val="0"/>
            <w:vAlign w:val="center"/>
          </w:tcPr>
          <w:p w14:paraId="5E96663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1916" w:type="pct"/>
            <w:noWrap w:val="0"/>
            <w:vAlign w:val="center"/>
          </w:tcPr>
          <w:p w14:paraId="6EA0F3BD">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540、542、545号成品库门口墙上的安全标示牌未明确责任人</w:t>
            </w:r>
          </w:p>
        </w:tc>
        <w:tc>
          <w:tcPr>
            <w:tcW w:w="1850" w:type="pct"/>
            <w:noWrap w:val="0"/>
            <w:vAlign w:val="center"/>
          </w:tcPr>
          <w:p w14:paraId="75A65492">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540、542、545号成品库门口墙上的安全标示牌明确了责任人</w:t>
            </w:r>
          </w:p>
        </w:tc>
        <w:tc>
          <w:tcPr>
            <w:tcW w:w="779" w:type="pct"/>
            <w:noWrap w:val="0"/>
            <w:vAlign w:val="center"/>
          </w:tcPr>
          <w:p w14:paraId="66EEDADC">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符合要求</w:t>
            </w:r>
          </w:p>
        </w:tc>
      </w:tr>
    </w:tbl>
    <w:p w14:paraId="0535893A">
      <w:pPr>
        <w:pStyle w:val="4"/>
        <w:bidi w:val="0"/>
        <w:ind w:left="0" w:leftChars="0" w:firstLine="0" w:firstLineChars="0"/>
        <w:rPr>
          <w:rFonts w:hint="eastAsia" w:ascii="Times New Roman" w:hAnsi="Times New Roman" w:eastAsia="宋体" w:cs="Times New Roman"/>
        </w:rPr>
      </w:pPr>
      <w:bookmarkStart w:id="164" w:name="_Toc3606"/>
      <w:r>
        <w:rPr>
          <w:rFonts w:hint="eastAsia" w:ascii="Times New Roman" w:hAnsi="Times New Roman" w:eastAsia="宋体" w:cs="Times New Roman"/>
        </w:rPr>
        <w:t>6.3 补充的安全对策措施建议</w:t>
      </w:r>
      <w:bookmarkEnd w:id="164"/>
    </w:p>
    <w:p w14:paraId="04555215">
      <w:pPr>
        <w:bidi w:val="0"/>
        <w:rPr>
          <w:rFonts w:hint="eastAsia"/>
        </w:rPr>
      </w:pPr>
      <w:r>
        <w:rPr>
          <w:rFonts w:hint="eastAsia"/>
        </w:rPr>
        <w:t>1</w:t>
      </w:r>
      <w:r>
        <w:rPr>
          <w:rFonts w:hint="eastAsia"/>
          <w:lang w:eastAsia="zh-CN"/>
        </w:rPr>
        <w:t>）</w:t>
      </w:r>
      <w:r>
        <w:rPr>
          <w:rFonts w:hint="eastAsia"/>
        </w:rPr>
        <w:t>完善库区内疏散标志；</w:t>
      </w:r>
    </w:p>
    <w:p w14:paraId="503D95B0">
      <w:pPr>
        <w:bidi w:val="0"/>
        <w:rPr>
          <w:rFonts w:hint="eastAsia"/>
        </w:rPr>
      </w:pPr>
      <w:r>
        <w:rPr>
          <w:rFonts w:hint="eastAsia"/>
        </w:rPr>
        <w:t>2</w:t>
      </w:r>
      <w:r>
        <w:rPr>
          <w:rFonts w:hint="eastAsia"/>
          <w:lang w:eastAsia="zh-CN"/>
        </w:rPr>
        <w:t>）</w:t>
      </w:r>
      <w:r>
        <w:rPr>
          <w:rFonts w:hint="eastAsia"/>
        </w:rPr>
        <w:t>应定期维护库区内安全警示牌及标语；</w:t>
      </w:r>
    </w:p>
    <w:p w14:paraId="2D29CDCB">
      <w:pPr>
        <w:bidi w:val="0"/>
        <w:rPr>
          <w:rFonts w:hint="eastAsia"/>
        </w:rPr>
      </w:pPr>
      <w:r>
        <w:rPr>
          <w:rFonts w:hint="eastAsia"/>
        </w:rPr>
        <w:t>3</w:t>
      </w:r>
      <w:r>
        <w:rPr>
          <w:rFonts w:hint="eastAsia"/>
          <w:lang w:eastAsia="zh-CN"/>
        </w:rPr>
        <w:t>）</w:t>
      </w:r>
      <w:r>
        <w:rPr>
          <w:rFonts w:hint="eastAsia"/>
        </w:rPr>
        <w:t>将《安全设施设备管理制度》落实到位，定期检查、维养安全设施设备；</w:t>
      </w:r>
    </w:p>
    <w:p w14:paraId="0F2B599D">
      <w:pPr>
        <w:bidi w:val="0"/>
        <w:rPr>
          <w:rFonts w:hint="eastAsia"/>
        </w:rPr>
      </w:pPr>
      <w:r>
        <w:rPr>
          <w:rFonts w:hint="eastAsia"/>
          <w:spacing w:val="-6"/>
          <w:sz w:val="28"/>
        </w:rPr>
        <w:t>4</w:t>
      </w:r>
      <w:r>
        <w:rPr>
          <w:rFonts w:hint="eastAsia"/>
          <w:spacing w:val="-6"/>
          <w:sz w:val="28"/>
          <w:lang w:eastAsia="zh-CN"/>
        </w:rPr>
        <w:t>）</w:t>
      </w:r>
      <w:r>
        <w:rPr>
          <w:rFonts w:hint="eastAsia"/>
          <w:spacing w:val="-6"/>
          <w:sz w:val="28"/>
        </w:rPr>
        <w:t>每半年进行一次应急演练，并根据演练情况完善应急救援预案；</w:t>
      </w:r>
    </w:p>
    <w:p w14:paraId="514C7F58">
      <w:pPr>
        <w:bidi w:val="0"/>
        <w:rPr>
          <w:rFonts w:hint="eastAsia"/>
        </w:rPr>
      </w:pPr>
      <w:r>
        <w:rPr>
          <w:rFonts w:hint="eastAsia"/>
          <w:lang w:val="en-US" w:eastAsia="zh-CN"/>
        </w:rPr>
        <w:t>5</w:t>
      </w:r>
      <w:r>
        <w:rPr>
          <w:rFonts w:hint="eastAsia"/>
          <w:lang w:eastAsia="zh-CN"/>
        </w:rPr>
        <w:t>）</w:t>
      </w:r>
      <w:r>
        <w:rPr>
          <w:rFonts w:hint="eastAsia"/>
        </w:rPr>
        <w:t>企业应密切注意，使仓库外部安全距离范围内不得有影响建筑物存在。如存在有建筑迹象，应立即向管理部门报告；一旦有影响建筑物存在，应立即停止使用该仓库；</w:t>
      </w:r>
    </w:p>
    <w:p w14:paraId="1E26CB72">
      <w:pPr>
        <w:bidi w:val="0"/>
        <w:rPr>
          <w:rFonts w:hint="eastAsia"/>
        </w:rPr>
      </w:pPr>
      <w:r>
        <w:rPr>
          <w:rFonts w:hint="eastAsia"/>
          <w:lang w:val="en-US" w:eastAsia="zh-CN"/>
        </w:rPr>
        <w:t>6</w:t>
      </w:r>
      <w:r>
        <w:rPr>
          <w:rFonts w:hint="eastAsia"/>
          <w:lang w:eastAsia="zh-CN"/>
        </w:rPr>
        <w:t>）</w:t>
      </w:r>
      <w:r>
        <w:rPr>
          <w:rFonts w:hint="eastAsia"/>
        </w:rPr>
        <w:t>仓库一旦发生火灾，在无爆炸和迸射危险的情况下，用消防水进行吊射，当整个库房灭火后，应继续将烟花爆竹成品淋湿淋透，以防化学能产生二次火灾；如果整个房间的火势控制有困难，要求将相邻库房的产品用水淋湿淋透，火势控制后，对淋湿的成品进行检查，将淋湿的成品用水浸泡，湿透后请相关专家将药剂与壳体分离后烧毁；</w:t>
      </w:r>
    </w:p>
    <w:p w14:paraId="57D10DC2">
      <w:pPr>
        <w:bidi w:val="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7）1.3 级库房严禁存放 A、B 级产品，且烟花、爆竹产品严禁混放。</w:t>
      </w:r>
    </w:p>
    <w:p w14:paraId="024B957D">
      <w:r>
        <w:br w:type="page"/>
      </w:r>
    </w:p>
    <w:p w14:paraId="683D0130">
      <w:pPr>
        <w:pStyle w:val="2"/>
        <w:bidi w:val="0"/>
        <w:jc w:val="center"/>
        <w:rPr>
          <w:rFonts w:hint="eastAsia"/>
        </w:rPr>
      </w:pPr>
      <w:bookmarkStart w:id="165" w:name="_Toc20350"/>
      <w:bookmarkStart w:id="166" w:name="_Toc19812"/>
      <w:r>
        <w:rPr>
          <w:rFonts w:hint="eastAsia"/>
        </w:rPr>
        <w:t>7 安全评价结论</w:t>
      </w:r>
      <w:bookmarkEnd w:id="165"/>
      <w:bookmarkEnd w:id="166"/>
    </w:p>
    <w:p w14:paraId="26D4C460">
      <w:pPr>
        <w:keepLines w:val="0"/>
        <w:pageBreakBefore w:val="0"/>
        <w:kinsoku/>
        <w:wordWrap/>
        <w:overflowPunct/>
        <w:topLinePunct w:val="0"/>
        <w:autoSpaceDE/>
        <w:autoSpaceDN/>
        <w:bidi w:val="0"/>
        <w:adjustRightInd/>
        <w:snapToGrid/>
        <w:spacing w:line="580" w:lineRule="exact"/>
        <w:textAlignment w:val="auto"/>
        <w:rPr>
          <w:rFonts w:hint="eastAsia" w:ascii="宋体" w:hAnsi="宋体"/>
          <w:szCs w:val="28"/>
        </w:rPr>
      </w:pPr>
      <w:r>
        <w:rPr>
          <w:rFonts w:hint="eastAsia"/>
        </w:rPr>
        <w:t>本次安全现状评价通过南昌布莱特进出口有限责任公司烟花爆竹仓库安全现状的危险有害因素分析、资料审核、总体布局、现场检查以及事故后果模拟分析，对于项目运行过程中可能发送的安全事故进行了系统分析与评价，得出如下结论：</w:t>
      </w:r>
    </w:p>
    <w:p w14:paraId="36A58FB0">
      <w:pPr>
        <w:pStyle w:val="3"/>
        <w:keepLines w:val="0"/>
        <w:pageBreakBefore w:val="0"/>
        <w:kinsoku/>
        <w:wordWrap/>
        <w:overflowPunct/>
        <w:topLinePunct w:val="0"/>
        <w:autoSpaceDE/>
        <w:autoSpaceDN/>
        <w:bidi w:val="0"/>
        <w:adjustRightInd/>
        <w:snapToGrid/>
        <w:spacing w:line="580" w:lineRule="exact"/>
        <w:ind w:left="0" w:leftChars="0" w:firstLine="0" w:firstLineChars="0"/>
        <w:textAlignment w:val="auto"/>
        <w:rPr>
          <w:rFonts w:hint="eastAsia"/>
        </w:rPr>
      </w:pPr>
      <w:bookmarkStart w:id="167" w:name="_Toc29268"/>
      <w:bookmarkStart w:id="168" w:name="_Toc6902"/>
      <w:r>
        <w:rPr>
          <w:rFonts w:hint="eastAsia"/>
        </w:rPr>
        <w:t>7.1项目主要危险、有害因素及事故种类、重大危险源</w:t>
      </w:r>
      <w:bookmarkEnd w:id="167"/>
      <w:bookmarkEnd w:id="168"/>
    </w:p>
    <w:p w14:paraId="7BF7AD40">
      <w:pPr>
        <w:keepLines w:val="0"/>
        <w:pageBreakBefore w:val="0"/>
        <w:kinsoku/>
        <w:wordWrap/>
        <w:overflowPunct/>
        <w:topLinePunct w:val="0"/>
        <w:autoSpaceDE/>
        <w:autoSpaceDN/>
        <w:bidi w:val="0"/>
        <w:adjustRightInd/>
        <w:snapToGrid/>
        <w:spacing w:line="580" w:lineRule="exact"/>
        <w:textAlignment w:val="auto"/>
        <w:rPr>
          <w:rFonts w:hint="eastAsia" w:ascii="Times New Roman" w:hAnsi="Times New Roman" w:eastAsia="宋体" w:cs="Times New Roman"/>
        </w:rPr>
      </w:pPr>
      <w:r>
        <w:rPr>
          <w:rFonts w:hint="eastAsia" w:ascii="Times New Roman" w:hAnsi="Times New Roman" w:eastAsia="宋体" w:cs="Times New Roman"/>
        </w:rPr>
        <w:t>1</w:t>
      </w:r>
      <w:r>
        <w:rPr>
          <w:rFonts w:hint="eastAsia" w:ascii="Times New Roman" w:hAnsi="Times New Roman" w:eastAsia="宋体" w:cs="Times New Roman"/>
          <w:lang w:eastAsia="zh-CN"/>
        </w:rPr>
        <w:t>）</w:t>
      </w:r>
      <w:r>
        <w:rPr>
          <w:rFonts w:hint="eastAsia" w:ascii="Times New Roman" w:hAnsi="Times New Roman" w:eastAsia="宋体" w:cs="Times New Roman"/>
        </w:rPr>
        <w:t>本项目可能存在的危险、有害因素是：火灾、爆炸及物体打击、高处坠落</w:t>
      </w: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车辆伤害</w:t>
      </w:r>
      <w:r>
        <w:rPr>
          <w:rFonts w:hint="eastAsia" w:ascii="Times New Roman" w:hAnsi="Times New Roman" w:eastAsia="宋体" w:cs="Times New Roman"/>
        </w:rPr>
        <w:t>等危险、有害因素，其中火灾、爆炸最容易发生，且危险性最大。导致火灾爆竹事故发生的主要原因为明火、雷电、摩擦、静电、受潮分解爆炸等，此外，产品质量不合格或使用违禁药物在运输和燃放时也容易发生安全事故。</w:t>
      </w:r>
    </w:p>
    <w:p w14:paraId="0B03E4D5">
      <w:pPr>
        <w:keepLines w:val="0"/>
        <w:pageBreakBefore w:val="0"/>
        <w:kinsoku/>
        <w:wordWrap/>
        <w:overflowPunct/>
        <w:topLinePunct w:val="0"/>
        <w:autoSpaceDE/>
        <w:autoSpaceDN/>
        <w:bidi w:val="0"/>
        <w:adjustRightInd/>
        <w:snapToGrid/>
        <w:spacing w:line="580" w:lineRule="exact"/>
        <w:textAlignment w:val="auto"/>
        <w:rPr>
          <w:rFonts w:hint="eastAsia" w:ascii="Times New Roman" w:hAnsi="Times New Roman" w:eastAsia="宋体" w:cs="Times New Roman"/>
        </w:rPr>
      </w:pPr>
      <w:r>
        <w:rPr>
          <w:rFonts w:hint="eastAsia" w:ascii="Times New Roman" w:hAnsi="Times New Roman" w:eastAsia="宋体" w:cs="Times New Roman"/>
        </w:rPr>
        <w:t>2</w:t>
      </w:r>
      <w:r>
        <w:rPr>
          <w:rFonts w:hint="eastAsia" w:ascii="Times New Roman" w:hAnsi="Times New Roman" w:eastAsia="宋体" w:cs="Times New Roman"/>
          <w:lang w:eastAsia="zh-CN"/>
        </w:rPr>
        <w:t>）</w:t>
      </w:r>
      <w:r>
        <w:rPr>
          <w:rFonts w:hint="eastAsia" w:ascii="Times New Roman" w:hAnsi="Times New Roman" w:eastAsia="宋体" w:cs="Times New Roman"/>
        </w:rPr>
        <w:t>主要事故种类：火灾、爆炸。</w:t>
      </w:r>
    </w:p>
    <w:p w14:paraId="4499FE1A">
      <w:pPr>
        <w:keepLines w:val="0"/>
        <w:pageBreakBefore w:val="0"/>
        <w:kinsoku/>
        <w:wordWrap/>
        <w:overflowPunct/>
        <w:topLinePunct w:val="0"/>
        <w:autoSpaceDE/>
        <w:autoSpaceDN/>
        <w:bidi w:val="0"/>
        <w:adjustRightInd/>
        <w:snapToGrid/>
        <w:spacing w:line="580" w:lineRule="exact"/>
        <w:textAlignment w:val="auto"/>
        <w:rPr>
          <w:rFonts w:hint="eastAsia" w:ascii="Times New Roman" w:hAnsi="Times New Roman" w:eastAsia="宋体" w:cs="Times New Roman"/>
        </w:rPr>
      </w:pPr>
      <w:r>
        <w:rPr>
          <w:rFonts w:hint="eastAsia" w:ascii="Times New Roman" w:hAnsi="Times New Roman" w:eastAsia="宋体" w:cs="Times New Roman"/>
        </w:rPr>
        <w:t>3</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烟花爆竹重大危险源：该项目 </w:t>
      </w:r>
      <w:r>
        <w:rPr>
          <w:rFonts w:hint="eastAsia" w:ascii="Times New Roman" w:hAnsi="Times New Roman" w:eastAsia="宋体" w:cs="Times New Roman"/>
          <w:lang w:val="en-US" w:eastAsia="zh-CN"/>
        </w:rPr>
        <w:t>545</w:t>
      </w:r>
      <w:r>
        <w:rPr>
          <w:rFonts w:hint="eastAsia" w:ascii="Times New Roman" w:hAnsi="Times New Roman" w:eastAsia="宋体" w:cs="Times New Roman"/>
        </w:rPr>
        <w:t xml:space="preserve"> 号成品库构成烟花爆竹重大危险源。</w:t>
      </w:r>
    </w:p>
    <w:p w14:paraId="7DC1FA4D">
      <w:pPr>
        <w:pStyle w:val="3"/>
        <w:keepLines w:val="0"/>
        <w:pageBreakBefore w:val="0"/>
        <w:kinsoku/>
        <w:wordWrap/>
        <w:overflowPunct/>
        <w:topLinePunct w:val="0"/>
        <w:autoSpaceDE/>
        <w:autoSpaceDN/>
        <w:bidi w:val="0"/>
        <w:adjustRightInd/>
        <w:snapToGrid/>
        <w:spacing w:line="580" w:lineRule="exact"/>
        <w:ind w:left="0" w:leftChars="0" w:firstLine="0" w:firstLineChars="0"/>
        <w:textAlignment w:val="auto"/>
        <w:rPr>
          <w:rFonts w:hint="eastAsia"/>
        </w:rPr>
      </w:pPr>
      <w:bookmarkStart w:id="169" w:name="_Toc29584"/>
      <w:bookmarkStart w:id="170" w:name="_Toc5811"/>
      <w:r>
        <w:rPr>
          <w:rFonts w:hint="eastAsia"/>
        </w:rPr>
        <w:t>7.2 安全评价结果</w:t>
      </w:r>
      <w:bookmarkEnd w:id="169"/>
      <w:bookmarkEnd w:id="170"/>
    </w:p>
    <w:p w14:paraId="2C58AC8C">
      <w:pPr>
        <w:bidi w:val="0"/>
        <w:rPr>
          <w:rFonts w:hint="eastAsia"/>
        </w:rPr>
      </w:pPr>
      <w:r>
        <w:rPr>
          <w:rFonts w:hint="eastAsia"/>
        </w:rPr>
        <w:t>1</w:t>
      </w:r>
      <w:r>
        <w:rPr>
          <w:rFonts w:hint="eastAsia"/>
          <w:lang w:eastAsia="zh-CN"/>
        </w:rPr>
        <w:t>）</w:t>
      </w:r>
      <w:r>
        <w:rPr>
          <w:rFonts w:hint="eastAsia"/>
        </w:rPr>
        <w:t>南昌布莱特进出口有限责任公司经营的烟花爆竹易燃易爆，其主要危险成份为黑火药和烟火药等，在储存、运输和日常经营过程中存在火灾、爆炸及物体打击、高处坠落、</w:t>
      </w:r>
      <w:r>
        <w:rPr>
          <w:rFonts w:hint="eastAsia"/>
          <w:lang w:val="en-US" w:eastAsia="zh-CN"/>
        </w:rPr>
        <w:t>车辆伤害</w:t>
      </w:r>
      <w:r>
        <w:rPr>
          <w:rFonts w:hint="eastAsia"/>
        </w:rPr>
        <w:t>等危险、有害因素，其中火灾、爆炸最容易发生，且危险性最大。导致火灾爆竹事故发生的主要原因为明火、雷电、摩擦、静电、受潮分解爆炸，此外，产品质量不合格或使用违禁药物在运输和燃放时也容易发生安全事故。</w:t>
      </w:r>
    </w:p>
    <w:p w14:paraId="230BE526">
      <w:pPr>
        <w:keepLines w:val="0"/>
        <w:pageBreakBefore w:val="0"/>
        <w:kinsoku/>
        <w:wordWrap/>
        <w:overflowPunct/>
        <w:topLinePunct w:val="0"/>
        <w:autoSpaceDE/>
        <w:autoSpaceDN/>
        <w:bidi w:val="0"/>
        <w:adjustRightInd/>
        <w:snapToGrid/>
        <w:spacing w:line="580" w:lineRule="exact"/>
        <w:textAlignment w:val="auto"/>
        <w:rPr>
          <w:rFonts w:hint="eastAsia"/>
        </w:rPr>
      </w:pPr>
    </w:p>
    <w:p w14:paraId="4F01F8CB">
      <w:pPr>
        <w:keepLines w:val="0"/>
        <w:pageBreakBefore w:val="0"/>
        <w:kinsoku/>
        <w:wordWrap/>
        <w:overflowPunct/>
        <w:topLinePunct w:val="0"/>
        <w:autoSpaceDE/>
        <w:autoSpaceDN/>
        <w:bidi w:val="0"/>
        <w:adjustRightInd/>
        <w:snapToGrid/>
        <w:spacing w:line="580" w:lineRule="exact"/>
        <w:textAlignment w:val="auto"/>
        <w:rPr>
          <w:rFonts w:hint="eastAsia"/>
        </w:rPr>
      </w:pPr>
      <w:r>
        <w:rPr>
          <w:rFonts w:hint="eastAsia"/>
        </w:rPr>
        <w:t>2</w:t>
      </w:r>
      <w:r>
        <w:rPr>
          <w:rFonts w:hint="eastAsia"/>
          <w:lang w:eastAsia="zh-CN"/>
        </w:rPr>
        <w:t>）</w:t>
      </w:r>
      <w:r>
        <w:rPr>
          <w:rFonts w:hint="eastAsia"/>
        </w:rPr>
        <w:t xml:space="preserve">该项目租赁 </w:t>
      </w:r>
      <w:r>
        <w:rPr>
          <w:rFonts w:hint="eastAsia"/>
          <w:lang w:val="en-US" w:eastAsia="zh-CN"/>
        </w:rPr>
        <w:t>545</w:t>
      </w:r>
      <w:r>
        <w:rPr>
          <w:rFonts w:hint="eastAsia"/>
        </w:rPr>
        <w:t xml:space="preserve"> 号成品库储存量达到《烟花爆竹重大危险源辨识》 （AQ4131-2023）规定的烟花爆竹重大危险源临界量，构成烟花爆竹重大危险源。</w:t>
      </w:r>
    </w:p>
    <w:p w14:paraId="6174369D">
      <w:pPr>
        <w:keepLines w:val="0"/>
        <w:pageBreakBefore w:val="0"/>
        <w:kinsoku/>
        <w:wordWrap/>
        <w:overflowPunct/>
        <w:topLinePunct w:val="0"/>
        <w:autoSpaceDE/>
        <w:autoSpaceDN/>
        <w:bidi w:val="0"/>
        <w:adjustRightInd/>
        <w:snapToGrid/>
        <w:spacing w:line="580" w:lineRule="exact"/>
        <w:textAlignment w:val="auto"/>
        <w:rPr>
          <w:rFonts w:hint="eastAsia"/>
        </w:rPr>
      </w:pPr>
      <w:r>
        <w:rPr>
          <w:rFonts w:hint="eastAsia"/>
        </w:rPr>
        <w:t>3</w:t>
      </w:r>
      <w:r>
        <w:rPr>
          <w:rFonts w:hint="eastAsia"/>
          <w:lang w:eastAsia="zh-CN"/>
        </w:rPr>
        <w:t>）</w:t>
      </w:r>
      <w:r>
        <w:rPr>
          <w:rFonts w:hint="eastAsia"/>
        </w:rPr>
        <w:t>对南昌布莱特进出口有限责任公司分为安全管理</w:t>
      </w:r>
      <w:r>
        <w:rPr>
          <w:rFonts w:hint="eastAsia"/>
          <w:lang w:eastAsia="zh-CN"/>
        </w:rPr>
        <w:t>（</w:t>
      </w:r>
      <w:r>
        <w:rPr>
          <w:rFonts w:hint="eastAsia"/>
        </w:rPr>
        <w:t>资料审核</w:t>
      </w:r>
      <w:r>
        <w:rPr>
          <w:rFonts w:hint="eastAsia"/>
          <w:lang w:eastAsia="zh-CN"/>
        </w:rPr>
        <w:t>）</w:t>
      </w:r>
      <w:r>
        <w:rPr>
          <w:rFonts w:hint="eastAsia"/>
        </w:rPr>
        <w:t>和仓储场所</w:t>
      </w:r>
      <w:r>
        <w:rPr>
          <w:rFonts w:hint="eastAsia"/>
          <w:lang w:eastAsia="zh-CN"/>
        </w:rPr>
        <w:t>（</w:t>
      </w:r>
      <w:r>
        <w:rPr>
          <w:rFonts w:hint="eastAsia"/>
        </w:rPr>
        <w:t>现场检查</w:t>
      </w:r>
      <w:r>
        <w:rPr>
          <w:rFonts w:hint="eastAsia"/>
          <w:lang w:eastAsia="zh-CN"/>
        </w:rPr>
        <w:t>）</w:t>
      </w:r>
      <w:r>
        <w:rPr>
          <w:rFonts w:hint="eastAsia"/>
        </w:rPr>
        <w:t>等单元进行安全评价。在资料审核方面分6个部分进行评价，该公司提供的资料均符合要求。在现场评价检查方面，分为仓库建筑、安全间距、总体布局、消防电气；安全管理组织机构、安全管理制度和安全操作规程；经营流程；人员培训；事故应急救援预案；安全警示标志和标识牌；其他方面六个部分进行检查评价，查出</w:t>
      </w:r>
      <w:r>
        <w:rPr>
          <w:rFonts w:hint="eastAsia"/>
          <w:lang w:val="en-US" w:eastAsia="zh-CN"/>
        </w:rPr>
        <w:t>2</w:t>
      </w:r>
      <w:r>
        <w:rPr>
          <w:rFonts w:hint="eastAsia"/>
        </w:rPr>
        <w:t>个安全隐患，企业已整改到位。</w:t>
      </w:r>
    </w:p>
    <w:p w14:paraId="7317C1F3">
      <w:pPr>
        <w:keepLines w:val="0"/>
        <w:pageBreakBefore w:val="0"/>
        <w:kinsoku/>
        <w:wordWrap/>
        <w:overflowPunct/>
        <w:topLinePunct w:val="0"/>
        <w:autoSpaceDE/>
        <w:autoSpaceDN/>
        <w:bidi w:val="0"/>
        <w:adjustRightInd/>
        <w:snapToGrid/>
        <w:spacing w:line="580" w:lineRule="exact"/>
        <w:textAlignment w:val="auto"/>
        <w:rPr>
          <w:rFonts w:hint="eastAsia"/>
        </w:rPr>
      </w:pPr>
      <w:r>
        <w:rPr>
          <w:rFonts w:hint="eastAsia"/>
        </w:rPr>
        <w:t>4</w:t>
      </w:r>
      <w:r>
        <w:rPr>
          <w:rFonts w:hint="eastAsia"/>
          <w:lang w:eastAsia="zh-CN"/>
        </w:rPr>
        <w:t>）</w:t>
      </w:r>
      <w:r>
        <w:rPr>
          <w:rFonts w:hint="eastAsia"/>
        </w:rPr>
        <w:t>为防止安全事故发生，进一步提高企业的安全管理水平，本报告对南昌布莱特进出口有限责任公司在安全管理制度、事故应急救援预案、从业人员、经营过程等方面提出了相应的要求和安全对策措施，企业应按照本报告提出的建议加强烟花爆竹的经营管理，确保各项工作符合《安全生产法》、《烟花爆竹安全管理条例》等法律法规及相关技术标准要求。</w:t>
      </w:r>
    </w:p>
    <w:p w14:paraId="3B50DEFD">
      <w:pPr>
        <w:pStyle w:val="3"/>
        <w:keepLines w:val="0"/>
        <w:pageBreakBefore w:val="0"/>
        <w:kinsoku/>
        <w:wordWrap/>
        <w:overflowPunct/>
        <w:topLinePunct w:val="0"/>
        <w:autoSpaceDE/>
        <w:autoSpaceDN/>
        <w:bidi w:val="0"/>
        <w:adjustRightInd/>
        <w:snapToGrid/>
        <w:spacing w:line="580" w:lineRule="exact"/>
        <w:ind w:left="0" w:leftChars="0" w:firstLine="0" w:firstLineChars="0"/>
        <w:jc w:val="both"/>
        <w:textAlignment w:val="auto"/>
        <w:rPr>
          <w:rFonts w:hint="eastAsia"/>
        </w:rPr>
      </w:pPr>
      <w:bookmarkStart w:id="171" w:name="_Toc26852"/>
      <w:bookmarkStart w:id="172" w:name="_Toc5317"/>
      <w:r>
        <w:rPr>
          <w:rFonts w:hint="eastAsia"/>
        </w:rPr>
        <w:t>7.3 评价结论</w:t>
      </w:r>
      <w:bookmarkEnd w:id="171"/>
      <w:bookmarkEnd w:id="172"/>
    </w:p>
    <w:p w14:paraId="10AFB367">
      <w:pPr>
        <w:keepLines w:val="0"/>
        <w:pageBreakBefore w:val="0"/>
        <w:kinsoku/>
        <w:wordWrap/>
        <w:overflowPunct/>
        <w:topLinePunct w:val="0"/>
        <w:autoSpaceDE/>
        <w:autoSpaceDN/>
        <w:bidi w:val="0"/>
        <w:adjustRightInd/>
        <w:snapToGrid/>
        <w:spacing w:line="580" w:lineRule="exact"/>
        <w:ind w:firstLine="582" w:firstLineChars="200"/>
        <w:textAlignment w:val="auto"/>
        <w:rPr>
          <w:rFonts w:hint="eastAsia" w:ascii="宋体" w:hAnsi="宋体"/>
          <w:spacing w:val="-6"/>
          <w:sz w:val="28"/>
          <w:szCs w:val="28"/>
        </w:rPr>
      </w:pPr>
      <w:r>
        <w:rPr>
          <w:rFonts w:hint="eastAsia" w:ascii="宋体" w:hAnsi="宋体"/>
          <w:spacing w:val="-6"/>
          <w:sz w:val="28"/>
          <w:szCs w:val="28"/>
        </w:rPr>
        <w:t>经过对南昌布莱特进出口有限责任公司烟花爆竹经营(批发)项目进行安全现状评价，评价组确认：南昌布莱特进出口有限责任公司烟花爆竹经营(批发)项目的外部环境状况、内部平面布置、储存条件、运输、仓库建筑结构、安全设施及仓库的安全管理，符合《烟花爆竹安全管理条例》、《烟花爆竹经营许可实施办法》、《烟花爆竹工程设计安全标准》等国家有关安全生产的法律法规标准的要求。</w:t>
      </w:r>
    </w:p>
    <w:p w14:paraId="08AF2DED">
      <w:pPr>
        <w:keepLines w:val="0"/>
        <w:pageBreakBefore w:val="0"/>
        <w:kinsoku/>
        <w:wordWrap/>
        <w:overflowPunct/>
        <w:topLinePunct w:val="0"/>
        <w:autoSpaceDE/>
        <w:autoSpaceDN/>
        <w:bidi w:val="0"/>
        <w:adjustRightInd/>
        <w:snapToGrid/>
        <w:spacing w:line="580" w:lineRule="exact"/>
        <w:ind w:firstLine="606" w:firstLineChars="200"/>
        <w:textAlignment w:val="auto"/>
        <w:rPr>
          <w:rFonts w:hint="eastAsia" w:ascii="宋体" w:hAnsi="宋体"/>
          <w:b/>
          <w:bCs/>
          <w:sz w:val="28"/>
          <w:szCs w:val="28"/>
        </w:rPr>
      </w:pPr>
    </w:p>
    <w:p w14:paraId="22EB3077">
      <w:pPr>
        <w:keepLines w:val="0"/>
        <w:pageBreakBefore w:val="0"/>
        <w:kinsoku/>
        <w:wordWrap/>
        <w:overflowPunct/>
        <w:topLinePunct w:val="0"/>
        <w:autoSpaceDE/>
        <w:autoSpaceDN/>
        <w:bidi w:val="0"/>
        <w:adjustRightInd/>
        <w:snapToGrid/>
        <w:spacing w:line="580" w:lineRule="exact"/>
        <w:ind w:firstLine="606" w:firstLineChars="200"/>
        <w:textAlignment w:val="auto"/>
        <w:rPr>
          <w:rFonts w:ascii="宋体" w:hAnsi="宋体"/>
          <w:b/>
          <w:bCs/>
          <w:sz w:val="28"/>
          <w:szCs w:val="28"/>
        </w:rPr>
      </w:pPr>
      <w:r>
        <w:rPr>
          <w:rFonts w:hint="eastAsia" w:ascii="宋体" w:hAnsi="宋体"/>
          <w:b/>
          <w:bCs/>
          <w:sz w:val="28"/>
          <w:szCs w:val="28"/>
        </w:rPr>
        <w:t>本安全现状评价总结论为：南昌布莱特进出口有限责任公司烟花爆竹经营(批发)项目的储存经营现状符合储存和经营喷花类</w:t>
      </w:r>
      <w:r>
        <w:rPr>
          <w:rFonts w:hint="eastAsia" w:ascii="宋体" w:hAnsi="宋体"/>
          <w:b/>
          <w:bCs/>
          <w:sz w:val="28"/>
          <w:szCs w:val="28"/>
          <w:lang w:eastAsia="zh-CN"/>
        </w:rPr>
        <w:t>（</w:t>
      </w:r>
      <w:r>
        <w:rPr>
          <w:rFonts w:hint="eastAsia" w:ascii="宋体" w:hAnsi="宋体"/>
          <w:b/>
          <w:bCs/>
          <w:sz w:val="28"/>
          <w:szCs w:val="28"/>
        </w:rPr>
        <w:t>A、B、C、D</w:t>
      </w:r>
      <w:r>
        <w:rPr>
          <w:rFonts w:hint="eastAsia" w:ascii="宋体" w:hAnsi="宋体"/>
          <w:b/>
          <w:bCs/>
          <w:sz w:val="28"/>
          <w:szCs w:val="28"/>
          <w:lang w:eastAsia="zh-CN"/>
        </w:rPr>
        <w:t>）</w:t>
      </w:r>
      <w:r>
        <w:rPr>
          <w:rFonts w:hint="eastAsia" w:ascii="宋体" w:hAnsi="宋体"/>
          <w:b/>
          <w:bCs/>
          <w:sz w:val="28"/>
          <w:szCs w:val="28"/>
        </w:rPr>
        <w:t>级、旋转类</w:t>
      </w:r>
      <w:r>
        <w:rPr>
          <w:rFonts w:hint="eastAsia" w:ascii="宋体" w:hAnsi="宋体"/>
          <w:b/>
          <w:bCs/>
          <w:sz w:val="28"/>
          <w:szCs w:val="28"/>
          <w:lang w:eastAsia="zh-CN"/>
        </w:rPr>
        <w:t>（</w:t>
      </w:r>
      <w:r>
        <w:rPr>
          <w:rFonts w:hint="eastAsia" w:ascii="宋体" w:hAnsi="宋体"/>
          <w:b/>
          <w:bCs/>
          <w:sz w:val="28"/>
          <w:szCs w:val="28"/>
        </w:rPr>
        <w:t>A、B、C、D</w:t>
      </w:r>
      <w:r>
        <w:rPr>
          <w:rFonts w:hint="eastAsia" w:ascii="宋体" w:hAnsi="宋体"/>
          <w:b/>
          <w:bCs/>
          <w:sz w:val="28"/>
          <w:szCs w:val="28"/>
          <w:lang w:eastAsia="zh-CN"/>
        </w:rPr>
        <w:t>）</w:t>
      </w:r>
      <w:r>
        <w:rPr>
          <w:rFonts w:hint="eastAsia" w:ascii="宋体" w:hAnsi="宋体"/>
          <w:b/>
          <w:bCs/>
          <w:sz w:val="28"/>
          <w:szCs w:val="28"/>
        </w:rPr>
        <w:t>级、升空类</w:t>
      </w:r>
      <w:r>
        <w:rPr>
          <w:rFonts w:hint="eastAsia" w:ascii="宋体" w:hAnsi="宋体"/>
          <w:b/>
          <w:bCs/>
          <w:sz w:val="28"/>
          <w:szCs w:val="28"/>
          <w:lang w:eastAsia="zh-CN"/>
        </w:rPr>
        <w:t>（</w:t>
      </w:r>
      <w:r>
        <w:rPr>
          <w:rFonts w:hint="eastAsia" w:ascii="宋体" w:hAnsi="宋体"/>
          <w:b/>
          <w:bCs/>
          <w:sz w:val="28"/>
          <w:szCs w:val="28"/>
        </w:rPr>
        <w:t>A、B、C</w:t>
      </w:r>
      <w:r>
        <w:rPr>
          <w:rFonts w:hint="eastAsia" w:ascii="宋体" w:hAnsi="宋体"/>
          <w:b/>
          <w:bCs/>
          <w:sz w:val="28"/>
          <w:szCs w:val="28"/>
          <w:lang w:eastAsia="zh-CN"/>
        </w:rPr>
        <w:t>）</w:t>
      </w:r>
      <w:r>
        <w:rPr>
          <w:rFonts w:hint="eastAsia" w:ascii="宋体" w:hAnsi="宋体"/>
          <w:b/>
          <w:bCs/>
          <w:sz w:val="28"/>
          <w:szCs w:val="28"/>
        </w:rPr>
        <w:t>级、吐珠类</w:t>
      </w:r>
      <w:r>
        <w:rPr>
          <w:rFonts w:hint="eastAsia" w:ascii="宋体" w:hAnsi="宋体"/>
          <w:b/>
          <w:bCs/>
          <w:sz w:val="28"/>
          <w:szCs w:val="28"/>
          <w:lang w:eastAsia="zh-CN"/>
        </w:rPr>
        <w:t>（</w:t>
      </w:r>
      <w:r>
        <w:rPr>
          <w:rFonts w:hint="eastAsia" w:ascii="宋体" w:hAnsi="宋体"/>
          <w:b/>
          <w:bCs/>
          <w:sz w:val="28"/>
          <w:szCs w:val="28"/>
        </w:rPr>
        <w:t>A、B、C</w:t>
      </w:r>
      <w:r>
        <w:rPr>
          <w:rFonts w:hint="eastAsia" w:ascii="宋体" w:hAnsi="宋体"/>
          <w:b/>
          <w:bCs/>
          <w:sz w:val="28"/>
          <w:szCs w:val="28"/>
          <w:lang w:eastAsia="zh-CN"/>
        </w:rPr>
        <w:t>）</w:t>
      </w:r>
      <w:r>
        <w:rPr>
          <w:rFonts w:hint="eastAsia" w:ascii="宋体" w:hAnsi="宋体"/>
          <w:b/>
          <w:bCs/>
          <w:sz w:val="28"/>
          <w:szCs w:val="28"/>
        </w:rPr>
        <w:t>级、玩具类</w:t>
      </w:r>
      <w:r>
        <w:rPr>
          <w:rFonts w:hint="eastAsia" w:ascii="宋体" w:hAnsi="宋体"/>
          <w:b/>
          <w:bCs/>
          <w:sz w:val="28"/>
          <w:szCs w:val="28"/>
          <w:lang w:eastAsia="zh-CN"/>
        </w:rPr>
        <w:t>（</w:t>
      </w:r>
      <w:r>
        <w:rPr>
          <w:rFonts w:hint="eastAsia" w:ascii="宋体" w:hAnsi="宋体"/>
          <w:b/>
          <w:bCs/>
          <w:sz w:val="28"/>
          <w:szCs w:val="28"/>
        </w:rPr>
        <w:t>C</w:t>
      </w:r>
      <w:r>
        <w:rPr>
          <w:rFonts w:hint="eastAsia" w:ascii="宋体" w:hAnsi="宋体"/>
          <w:b/>
          <w:bCs/>
          <w:sz w:val="28"/>
          <w:szCs w:val="28"/>
          <w:lang w:eastAsia="zh-CN"/>
        </w:rPr>
        <w:t>、</w:t>
      </w:r>
      <w:r>
        <w:rPr>
          <w:rFonts w:hint="eastAsia" w:ascii="宋体" w:hAnsi="宋体"/>
          <w:b/>
          <w:bCs/>
          <w:sz w:val="28"/>
          <w:szCs w:val="28"/>
        </w:rPr>
        <w:t>D</w:t>
      </w:r>
      <w:r>
        <w:rPr>
          <w:rFonts w:hint="eastAsia" w:ascii="宋体" w:hAnsi="宋体"/>
          <w:b/>
          <w:bCs/>
          <w:sz w:val="28"/>
          <w:szCs w:val="28"/>
          <w:lang w:eastAsia="zh-CN"/>
        </w:rPr>
        <w:t>）</w:t>
      </w:r>
      <w:r>
        <w:rPr>
          <w:rFonts w:hint="eastAsia" w:ascii="宋体" w:hAnsi="宋体"/>
          <w:b/>
          <w:bCs/>
          <w:sz w:val="28"/>
          <w:szCs w:val="28"/>
        </w:rPr>
        <w:t>级、礼花类</w:t>
      </w:r>
      <w:r>
        <w:rPr>
          <w:rFonts w:hint="eastAsia" w:ascii="宋体" w:hAnsi="宋体"/>
          <w:b/>
          <w:bCs/>
          <w:sz w:val="28"/>
          <w:szCs w:val="28"/>
          <w:lang w:eastAsia="zh-CN"/>
        </w:rPr>
        <w:t>（</w:t>
      </w:r>
      <w:r>
        <w:rPr>
          <w:rFonts w:hint="eastAsia" w:ascii="宋体" w:hAnsi="宋体"/>
          <w:b/>
          <w:bCs/>
          <w:sz w:val="28"/>
          <w:szCs w:val="28"/>
        </w:rPr>
        <w:t>A、B</w:t>
      </w:r>
      <w:r>
        <w:rPr>
          <w:rFonts w:hint="eastAsia" w:ascii="宋体" w:hAnsi="宋体"/>
          <w:b/>
          <w:bCs/>
          <w:sz w:val="28"/>
          <w:szCs w:val="28"/>
          <w:lang w:eastAsia="zh-CN"/>
        </w:rPr>
        <w:t>）</w:t>
      </w:r>
      <w:r>
        <w:rPr>
          <w:rFonts w:hint="eastAsia" w:ascii="宋体" w:hAnsi="宋体"/>
          <w:b/>
          <w:bCs/>
          <w:sz w:val="28"/>
          <w:szCs w:val="28"/>
        </w:rPr>
        <w:t>级、架子烟花类</w:t>
      </w:r>
      <w:r>
        <w:rPr>
          <w:rFonts w:hint="eastAsia" w:ascii="宋体" w:hAnsi="宋体"/>
          <w:b/>
          <w:bCs/>
          <w:sz w:val="28"/>
          <w:szCs w:val="28"/>
          <w:lang w:eastAsia="zh-CN"/>
        </w:rPr>
        <w:t>（</w:t>
      </w:r>
      <w:r>
        <w:rPr>
          <w:rFonts w:hint="eastAsia" w:ascii="宋体" w:hAnsi="宋体"/>
          <w:b/>
          <w:bCs/>
          <w:sz w:val="28"/>
          <w:szCs w:val="28"/>
        </w:rPr>
        <w:t>B、C</w:t>
      </w:r>
      <w:r>
        <w:rPr>
          <w:rFonts w:hint="eastAsia" w:ascii="宋体" w:hAnsi="宋体"/>
          <w:b/>
          <w:bCs/>
          <w:sz w:val="28"/>
          <w:szCs w:val="28"/>
          <w:lang w:eastAsia="zh-CN"/>
        </w:rPr>
        <w:t>）</w:t>
      </w:r>
      <w:r>
        <w:rPr>
          <w:rFonts w:hint="eastAsia" w:ascii="宋体" w:hAnsi="宋体"/>
          <w:b/>
          <w:bCs/>
          <w:sz w:val="28"/>
          <w:szCs w:val="28"/>
        </w:rPr>
        <w:t>级、组合烟花类</w:t>
      </w:r>
      <w:r>
        <w:rPr>
          <w:rFonts w:hint="eastAsia" w:ascii="宋体" w:hAnsi="宋体"/>
          <w:b/>
          <w:bCs/>
          <w:sz w:val="28"/>
          <w:szCs w:val="28"/>
          <w:lang w:eastAsia="zh-CN"/>
        </w:rPr>
        <w:t>（</w:t>
      </w:r>
      <w:r>
        <w:rPr>
          <w:rFonts w:hint="eastAsia" w:ascii="宋体" w:hAnsi="宋体"/>
          <w:b/>
          <w:bCs/>
          <w:sz w:val="28"/>
          <w:szCs w:val="28"/>
        </w:rPr>
        <w:t>A、B、C、D</w:t>
      </w:r>
      <w:r>
        <w:rPr>
          <w:rFonts w:hint="eastAsia" w:ascii="宋体" w:hAnsi="宋体"/>
          <w:b/>
          <w:bCs/>
          <w:sz w:val="28"/>
          <w:szCs w:val="28"/>
          <w:lang w:eastAsia="zh-CN"/>
        </w:rPr>
        <w:t>）</w:t>
      </w:r>
      <w:r>
        <w:rPr>
          <w:rFonts w:hint="eastAsia" w:ascii="宋体" w:hAnsi="宋体"/>
          <w:b/>
          <w:bCs/>
          <w:sz w:val="28"/>
          <w:szCs w:val="28"/>
        </w:rPr>
        <w:t>级和爆竹类</w:t>
      </w:r>
      <w:r>
        <w:rPr>
          <w:rFonts w:hint="eastAsia" w:ascii="宋体" w:hAnsi="宋体"/>
          <w:b/>
          <w:bCs/>
          <w:sz w:val="28"/>
          <w:szCs w:val="28"/>
          <w:lang w:eastAsia="zh-CN"/>
        </w:rPr>
        <w:t>（</w:t>
      </w:r>
      <w:r>
        <w:rPr>
          <w:rFonts w:hint="eastAsia" w:ascii="宋体" w:hAnsi="宋体"/>
          <w:b/>
          <w:bCs/>
          <w:sz w:val="28"/>
          <w:szCs w:val="28"/>
        </w:rPr>
        <w:t>C</w:t>
      </w:r>
      <w:r>
        <w:rPr>
          <w:rFonts w:hint="eastAsia" w:ascii="宋体" w:hAnsi="宋体"/>
          <w:b/>
          <w:bCs/>
          <w:sz w:val="28"/>
          <w:szCs w:val="28"/>
          <w:lang w:eastAsia="zh-CN"/>
        </w:rPr>
        <w:t>）</w:t>
      </w:r>
      <w:r>
        <w:rPr>
          <w:rFonts w:hint="eastAsia" w:ascii="宋体" w:hAnsi="宋体"/>
          <w:b/>
          <w:bCs/>
          <w:sz w:val="28"/>
          <w:szCs w:val="28"/>
        </w:rPr>
        <w:t>级产品的安全条件。</w:t>
      </w:r>
    </w:p>
    <w:p w14:paraId="0AF10B63">
      <w:pPr>
        <w:rPr>
          <w:rFonts w:ascii="宋体" w:hAnsi="宋体"/>
          <w:sz w:val="28"/>
          <w:szCs w:val="28"/>
        </w:rPr>
      </w:pPr>
      <w:r>
        <w:rPr>
          <w:rFonts w:ascii="宋体" w:hAnsi="宋体"/>
          <w:sz w:val="28"/>
          <w:szCs w:val="28"/>
        </w:rPr>
        <w:br w:type="page"/>
      </w:r>
    </w:p>
    <w:bookmarkEnd w:id="124"/>
    <w:bookmarkEnd w:id="125"/>
    <w:p w14:paraId="3B5BE205">
      <w:pPr>
        <w:pStyle w:val="2"/>
        <w:bidi w:val="0"/>
        <w:jc w:val="center"/>
        <w:rPr>
          <w:rFonts w:hint="eastAsia"/>
        </w:rPr>
      </w:pPr>
      <w:bookmarkStart w:id="173" w:name="_Toc17048"/>
      <w:bookmarkStart w:id="174" w:name="_Toc9036"/>
      <w:r>
        <w:rPr>
          <w:rFonts w:hint="eastAsia"/>
          <w:lang w:val="en-US" w:eastAsia="zh-CN"/>
        </w:rPr>
        <w:t xml:space="preserve">8 </w:t>
      </w:r>
      <w:r>
        <w:rPr>
          <w:rFonts w:hint="eastAsia"/>
        </w:rPr>
        <w:t>附件目录</w:t>
      </w:r>
      <w:bookmarkEnd w:id="173"/>
      <w:bookmarkEnd w:id="174"/>
    </w:p>
    <w:p w14:paraId="6E656B24">
      <w:pPr>
        <w:bidi w:val="0"/>
        <w:rPr>
          <w:rFonts w:hint="eastAsia"/>
          <w:lang w:val="en-US" w:eastAsia="zh-CN"/>
        </w:rPr>
      </w:pPr>
      <w:r>
        <w:rPr>
          <w:rFonts w:hint="eastAsia"/>
          <w:lang w:val="en-US" w:eastAsia="zh-CN"/>
        </w:rPr>
        <w:t>1.评价人员现场照片</w:t>
      </w:r>
    </w:p>
    <w:p w14:paraId="48BBA3BD">
      <w:pPr>
        <w:bidi w:val="0"/>
        <w:rPr>
          <w:rFonts w:hint="default"/>
          <w:lang w:val="en-US" w:eastAsia="zh-CN"/>
        </w:rPr>
      </w:pPr>
      <w:r>
        <w:rPr>
          <w:rFonts w:hint="eastAsia"/>
          <w:lang w:val="en-US" w:eastAsia="zh-CN"/>
        </w:rPr>
        <w:t>2.整改回复</w:t>
      </w:r>
    </w:p>
    <w:p w14:paraId="05145E89">
      <w:pPr>
        <w:bidi w:val="0"/>
        <w:rPr>
          <w:rFonts w:hint="eastAsia"/>
        </w:rPr>
      </w:pPr>
      <w:r>
        <w:rPr>
          <w:rFonts w:hint="eastAsia"/>
          <w:lang w:val="en-US" w:eastAsia="zh-CN"/>
        </w:rPr>
        <w:t>3.</w:t>
      </w:r>
      <w:r>
        <w:rPr>
          <w:rFonts w:hint="eastAsia"/>
        </w:rPr>
        <w:t>安全评价委托书</w:t>
      </w:r>
    </w:p>
    <w:p w14:paraId="14AF482F">
      <w:pPr>
        <w:bidi w:val="0"/>
        <w:rPr>
          <w:rFonts w:hint="default"/>
          <w:lang w:val="en-US" w:eastAsia="zh-CN"/>
        </w:rPr>
      </w:pPr>
      <w:r>
        <w:rPr>
          <w:rFonts w:hint="eastAsia"/>
          <w:lang w:val="en-US" w:eastAsia="zh-CN"/>
        </w:rPr>
        <w:t>4.上栗县应急管理局出具的仓库租赁证明</w:t>
      </w:r>
    </w:p>
    <w:p w14:paraId="5E03E06C">
      <w:pPr>
        <w:bidi w:val="0"/>
        <w:rPr>
          <w:rFonts w:hint="eastAsia"/>
        </w:rPr>
      </w:pPr>
      <w:r>
        <w:rPr>
          <w:rFonts w:hint="eastAsia"/>
          <w:lang w:val="en-US" w:eastAsia="zh-CN"/>
        </w:rPr>
        <w:t>5.</w:t>
      </w:r>
      <w:r>
        <w:rPr>
          <w:rFonts w:hint="eastAsia"/>
        </w:rPr>
        <w:t>企业营业执照</w:t>
      </w:r>
    </w:p>
    <w:p w14:paraId="5FB3DC73">
      <w:pPr>
        <w:bidi w:val="0"/>
        <w:rPr>
          <w:rFonts w:hint="eastAsia"/>
        </w:rPr>
      </w:pPr>
      <w:r>
        <w:rPr>
          <w:rFonts w:hint="eastAsia"/>
          <w:lang w:val="en-US" w:eastAsia="zh-CN"/>
        </w:rPr>
        <w:t>6.</w:t>
      </w:r>
      <w:r>
        <w:rPr>
          <w:rFonts w:hint="eastAsia"/>
        </w:rPr>
        <w:t>原烟花爆竹经营(批发)许可证</w:t>
      </w:r>
    </w:p>
    <w:p w14:paraId="6C8AC298">
      <w:pPr>
        <w:bidi w:val="0"/>
        <w:rPr>
          <w:rFonts w:hint="default"/>
          <w:lang w:val="en-US" w:eastAsia="zh-CN"/>
        </w:rPr>
      </w:pPr>
      <w:r>
        <w:rPr>
          <w:rFonts w:hint="eastAsia"/>
          <w:lang w:val="en-US" w:eastAsia="zh-CN"/>
        </w:rPr>
        <w:t>7.</w:t>
      </w:r>
      <w:r>
        <w:rPr>
          <w:rFonts w:hint="eastAsia"/>
        </w:rPr>
        <w:t>安全生产组织机构、应急救援组织</w:t>
      </w:r>
      <w:r>
        <w:rPr>
          <w:rFonts w:hint="eastAsia"/>
          <w:lang w:eastAsia="zh-CN"/>
        </w:rPr>
        <w:t>、</w:t>
      </w:r>
      <w:r>
        <w:rPr>
          <w:rFonts w:hint="eastAsia"/>
          <w:lang w:val="en-US" w:eastAsia="zh-CN"/>
        </w:rPr>
        <w:t>质量检测机构、安全保卫机构文件</w:t>
      </w:r>
    </w:p>
    <w:p w14:paraId="6039CEF8">
      <w:pPr>
        <w:bidi w:val="0"/>
        <w:rPr>
          <w:rFonts w:hint="eastAsia"/>
        </w:rPr>
      </w:pPr>
      <w:r>
        <w:rPr>
          <w:rFonts w:hint="eastAsia"/>
          <w:lang w:val="en-US" w:eastAsia="zh-CN"/>
        </w:rPr>
        <w:t>8.</w:t>
      </w:r>
      <w:r>
        <w:rPr>
          <w:rFonts w:hint="eastAsia"/>
        </w:rPr>
        <w:t>主要负责人、安全管理人员培训考核合格证</w:t>
      </w:r>
    </w:p>
    <w:p w14:paraId="680865D8">
      <w:pPr>
        <w:bidi w:val="0"/>
        <w:rPr>
          <w:rFonts w:hint="eastAsia"/>
        </w:rPr>
      </w:pPr>
      <w:r>
        <w:rPr>
          <w:rFonts w:hint="eastAsia"/>
          <w:lang w:val="en-US" w:eastAsia="zh-CN"/>
        </w:rPr>
        <w:t>9.</w:t>
      </w:r>
      <w:r>
        <w:rPr>
          <w:rFonts w:hint="eastAsia"/>
        </w:rPr>
        <w:t>特种作业人员培训考核上岗资格证</w:t>
      </w:r>
    </w:p>
    <w:p w14:paraId="433B6B13">
      <w:pPr>
        <w:bidi w:val="0"/>
        <w:rPr>
          <w:rFonts w:hint="eastAsia"/>
        </w:rPr>
      </w:pPr>
      <w:r>
        <w:rPr>
          <w:rFonts w:hint="eastAsia"/>
          <w:lang w:val="en-US" w:eastAsia="zh-CN"/>
        </w:rPr>
        <w:t>10.</w:t>
      </w:r>
      <w:r>
        <w:rPr>
          <w:rFonts w:hint="eastAsia"/>
        </w:rPr>
        <w:t>工伤保险、安全责任保险的相关证明材料</w:t>
      </w:r>
    </w:p>
    <w:p w14:paraId="06CA1C5E">
      <w:pPr>
        <w:bidi w:val="0"/>
        <w:rPr>
          <w:rFonts w:hint="eastAsia"/>
          <w:lang w:val="en-US" w:eastAsia="zh-CN"/>
        </w:rPr>
      </w:pPr>
      <w:r>
        <w:rPr>
          <w:rFonts w:hint="eastAsia"/>
          <w:lang w:val="en-US" w:eastAsia="zh-CN"/>
        </w:rPr>
        <w:t>11.</w:t>
      </w:r>
      <w:r>
        <w:rPr>
          <w:rFonts w:hint="eastAsia"/>
        </w:rPr>
        <w:t>仓库租赁证明</w:t>
      </w:r>
      <w:r>
        <w:rPr>
          <w:rFonts w:hint="eastAsia"/>
          <w:lang w:val="en-US" w:eastAsia="zh-CN"/>
        </w:rPr>
        <w:t>及管理协议</w:t>
      </w:r>
    </w:p>
    <w:p w14:paraId="788CE174">
      <w:pPr>
        <w:bidi w:val="0"/>
        <w:rPr>
          <w:rFonts w:hint="default"/>
          <w:lang w:val="en-US" w:eastAsia="zh-CN"/>
        </w:rPr>
      </w:pPr>
      <w:r>
        <w:rPr>
          <w:rFonts w:hint="eastAsia"/>
          <w:lang w:val="en-US" w:eastAsia="zh-CN"/>
        </w:rPr>
        <w:t>12.货物运输合同等及配送运输车辆情况</w:t>
      </w:r>
    </w:p>
    <w:p w14:paraId="3F2AC468">
      <w:pPr>
        <w:bidi w:val="0"/>
        <w:rPr>
          <w:rFonts w:hint="eastAsia"/>
        </w:rPr>
      </w:pPr>
      <w:r>
        <w:rPr>
          <w:rFonts w:hint="eastAsia"/>
          <w:lang w:val="en-US" w:eastAsia="zh-CN"/>
        </w:rPr>
        <w:t>13.</w:t>
      </w:r>
      <w:r>
        <w:rPr>
          <w:rFonts w:hint="eastAsia"/>
        </w:rPr>
        <w:t>事故应急救援预案备案证明</w:t>
      </w:r>
    </w:p>
    <w:p w14:paraId="3BBF73B1">
      <w:pPr>
        <w:bidi w:val="0"/>
        <w:rPr>
          <w:rFonts w:hint="eastAsia"/>
        </w:rPr>
      </w:pPr>
      <w:r>
        <w:rPr>
          <w:rFonts w:hint="eastAsia"/>
        </w:rPr>
        <w:t>1</w:t>
      </w:r>
      <w:r>
        <w:rPr>
          <w:rFonts w:hint="eastAsia"/>
          <w:lang w:val="en-US" w:eastAsia="zh-CN"/>
        </w:rPr>
        <w:t>4.</w:t>
      </w:r>
      <w:r>
        <w:rPr>
          <w:rFonts w:hint="eastAsia"/>
        </w:rPr>
        <w:t>防雷</w:t>
      </w:r>
      <w:r>
        <w:rPr>
          <w:rFonts w:hint="eastAsia"/>
          <w:lang w:eastAsia="zh-CN"/>
        </w:rPr>
        <w:t>、</w:t>
      </w:r>
      <w:r>
        <w:rPr>
          <w:rFonts w:hint="eastAsia"/>
          <w:lang w:val="en-US" w:eastAsia="zh-CN"/>
        </w:rPr>
        <w:t>防静电装置</w:t>
      </w:r>
      <w:r>
        <w:rPr>
          <w:rFonts w:hint="eastAsia"/>
        </w:rPr>
        <w:t>检测合格证明</w:t>
      </w:r>
    </w:p>
    <w:p w14:paraId="461B1C7D">
      <w:pPr>
        <w:bidi w:val="0"/>
        <w:rPr>
          <w:rFonts w:hint="eastAsia"/>
          <w:lang w:val="en-US" w:eastAsia="zh-CN"/>
        </w:rPr>
      </w:pPr>
      <w:r>
        <w:rPr>
          <w:rFonts w:hint="eastAsia"/>
          <w:lang w:val="en-US" w:eastAsia="zh-CN"/>
        </w:rPr>
        <w:t>15.视频监控系统安装验收单</w:t>
      </w:r>
    </w:p>
    <w:p w14:paraId="700B448B">
      <w:pPr>
        <w:bidi w:val="0"/>
        <w:rPr>
          <w:rFonts w:hint="default"/>
          <w:lang w:val="en-US" w:eastAsia="zh-CN"/>
        </w:rPr>
      </w:pPr>
      <w:r>
        <w:rPr>
          <w:rFonts w:hint="eastAsia"/>
          <w:lang w:val="en-US" w:eastAsia="zh-CN"/>
        </w:rPr>
        <w:t>16.企业应用全国烟花爆竹流向管理信息系统截图</w:t>
      </w:r>
    </w:p>
    <w:p w14:paraId="086E2A0F">
      <w:pPr>
        <w:bidi w:val="0"/>
        <w:rPr>
          <w:rFonts w:hint="default"/>
          <w:lang w:val="en-US" w:eastAsia="zh-CN"/>
        </w:rPr>
      </w:pPr>
      <w:r>
        <w:rPr>
          <w:rFonts w:hint="eastAsia"/>
        </w:rPr>
        <w:t>1</w:t>
      </w:r>
      <w:r>
        <w:rPr>
          <w:rFonts w:hint="eastAsia"/>
          <w:lang w:val="en-US" w:eastAsia="zh-CN"/>
        </w:rPr>
        <w:t>7.</w:t>
      </w:r>
      <w:r>
        <w:rPr>
          <w:rFonts w:hint="eastAsia"/>
        </w:rPr>
        <w:t>储存区平面布置图</w:t>
      </w:r>
      <w:r>
        <w:rPr>
          <w:rFonts w:hint="eastAsia"/>
          <w:lang w:eastAsia="zh-CN"/>
        </w:rPr>
        <w:t>（</w:t>
      </w:r>
      <w:r>
        <w:rPr>
          <w:rFonts w:hint="eastAsia"/>
          <w:lang w:val="en-US" w:eastAsia="zh-CN"/>
        </w:rPr>
        <w:t>另附</w:t>
      </w:r>
      <w:r>
        <w:rPr>
          <w:rFonts w:hint="eastAsia"/>
          <w:lang w:eastAsia="zh-CN"/>
        </w:rPr>
        <w:t>）</w:t>
      </w:r>
    </w:p>
    <w:p w14:paraId="21BA885C">
      <w:pPr>
        <w:widowControl/>
        <w:jc w:val="left"/>
        <w:rPr>
          <w:b/>
          <w:sz w:val="30"/>
          <w:szCs w:val="30"/>
        </w:rPr>
      </w:pPr>
    </w:p>
    <w:p w14:paraId="3F8AD12C">
      <w:pPr>
        <w:widowControl/>
        <w:jc w:val="left"/>
        <w:rPr>
          <w:b/>
          <w:sz w:val="30"/>
          <w:szCs w:val="30"/>
        </w:rPr>
      </w:pPr>
    </w:p>
    <w:p w14:paraId="21E7EEF6">
      <w:pPr>
        <w:widowControl/>
        <w:jc w:val="left"/>
        <w:rPr>
          <w:b/>
          <w:sz w:val="30"/>
          <w:szCs w:val="30"/>
        </w:rPr>
      </w:pPr>
    </w:p>
    <w:p w14:paraId="1BD56490">
      <w:pPr>
        <w:widowControl/>
        <w:ind w:left="0" w:leftChars="0" w:firstLine="0" w:firstLineChars="0"/>
        <w:jc w:val="center"/>
        <w:rPr>
          <w:rFonts w:hint="eastAsia"/>
          <w:b/>
          <w:sz w:val="30"/>
          <w:szCs w:val="30"/>
        </w:rPr>
      </w:pPr>
    </w:p>
    <w:p w14:paraId="45224D7B">
      <w:pPr>
        <w:widowControl/>
        <w:ind w:left="0" w:leftChars="0" w:firstLine="0" w:firstLineChars="0"/>
        <w:jc w:val="center"/>
        <w:rPr>
          <w:rFonts w:hint="eastAsia"/>
          <w:b/>
          <w:sz w:val="30"/>
          <w:szCs w:val="30"/>
        </w:rPr>
      </w:pPr>
    </w:p>
    <w:p w14:paraId="218D93C9">
      <w:pPr>
        <w:widowControl/>
        <w:ind w:left="0" w:leftChars="0" w:firstLine="0" w:firstLineChars="0"/>
        <w:jc w:val="center"/>
        <w:rPr>
          <w:rFonts w:hint="eastAsia"/>
          <w:b/>
          <w:sz w:val="30"/>
          <w:szCs w:val="30"/>
        </w:rPr>
      </w:pPr>
      <w:r>
        <w:rPr>
          <w:rFonts w:hint="eastAsia"/>
          <w:b/>
          <w:sz w:val="30"/>
          <w:szCs w:val="30"/>
        </w:rPr>
        <w:t>评价组现场检查照片：</w:t>
      </w:r>
    </w:p>
    <w:p w14:paraId="1453CF00">
      <w:pPr>
        <w:widowControl/>
        <w:ind w:left="0" w:leftChars="0" w:firstLine="0" w:firstLineChars="0"/>
        <w:jc w:val="center"/>
        <w:rPr>
          <w:rFonts w:hint="eastAsia"/>
          <w:b/>
          <w:sz w:val="30"/>
          <w:szCs w:val="30"/>
        </w:rPr>
      </w:pPr>
    </w:p>
    <w:p w14:paraId="4F6B463C">
      <w:pPr>
        <w:widowControl/>
        <w:ind w:left="0" w:leftChars="0" w:firstLine="0" w:firstLineChars="0"/>
        <w:jc w:val="both"/>
        <w:rPr>
          <w:rFonts w:hint="eastAsia" w:eastAsia="宋体"/>
          <w:b/>
          <w:sz w:val="30"/>
          <w:szCs w:val="30"/>
          <w:lang w:eastAsia="zh-CN"/>
        </w:rPr>
      </w:pPr>
      <w:r>
        <w:rPr>
          <w:rFonts w:hint="eastAsia" w:eastAsia="宋体"/>
          <w:b/>
          <w:sz w:val="30"/>
          <w:szCs w:val="30"/>
          <w:lang w:eastAsia="zh-CN"/>
        </w:rPr>
        <w:drawing>
          <wp:anchor distT="0" distB="0" distL="114300" distR="114300" simplePos="0" relativeHeight="251663360" behindDoc="0" locked="0" layoutInCell="1" allowOverlap="1">
            <wp:simplePos x="0" y="0"/>
            <wp:positionH relativeFrom="column">
              <wp:posOffset>2959100</wp:posOffset>
            </wp:positionH>
            <wp:positionV relativeFrom="paragraph">
              <wp:posOffset>49530</wp:posOffset>
            </wp:positionV>
            <wp:extent cx="2895600" cy="4023360"/>
            <wp:effectExtent l="0" t="0" r="0" b="15240"/>
            <wp:wrapTopAndBottom/>
            <wp:docPr id="4" name="图片 4" descr="IMG_20251119_112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0251119_112236"/>
                    <pic:cNvPicPr>
                      <a:picLocks noChangeAspect="1"/>
                    </pic:cNvPicPr>
                  </pic:nvPicPr>
                  <pic:blipFill>
                    <a:blip r:embed="rId18"/>
                    <a:stretch>
                      <a:fillRect/>
                    </a:stretch>
                  </pic:blipFill>
                  <pic:spPr>
                    <a:xfrm>
                      <a:off x="0" y="0"/>
                      <a:ext cx="2895600" cy="4023360"/>
                    </a:xfrm>
                    <a:prstGeom prst="rect">
                      <a:avLst/>
                    </a:prstGeom>
                  </pic:spPr>
                </pic:pic>
              </a:graphicData>
            </a:graphic>
          </wp:anchor>
        </w:drawing>
      </w:r>
      <w:r>
        <w:rPr>
          <w:rFonts w:hint="eastAsia" w:eastAsia="宋体"/>
          <w:b/>
          <w:sz w:val="30"/>
          <w:szCs w:val="30"/>
          <w:lang w:eastAsia="zh-CN"/>
        </w:rPr>
        <w:drawing>
          <wp:anchor distT="0" distB="0" distL="114300" distR="114300" simplePos="0" relativeHeight="251662336" behindDoc="0" locked="0" layoutInCell="1" allowOverlap="1">
            <wp:simplePos x="0" y="0"/>
            <wp:positionH relativeFrom="column">
              <wp:posOffset>-63500</wp:posOffset>
            </wp:positionH>
            <wp:positionV relativeFrom="paragraph">
              <wp:posOffset>40005</wp:posOffset>
            </wp:positionV>
            <wp:extent cx="3009900" cy="4013200"/>
            <wp:effectExtent l="0" t="0" r="0" b="6350"/>
            <wp:wrapTopAndBottom/>
            <wp:docPr id="3" name="图片 3" descr="IMG_20251119_110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0251119_110246"/>
                    <pic:cNvPicPr>
                      <a:picLocks noChangeAspect="1"/>
                    </pic:cNvPicPr>
                  </pic:nvPicPr>
                  <pic:blipFill>
                    <a:blip r:embed="rId19"/>
                    <a:stretch>
                      <a:fillRect/>
                    </a:stretch>
                  </pic:blipFill>
                  <pic:spPr>
                    <a:xfrm>
                      <a:off x="0" y="0"/>
                      <a:ext cx="3009900" cy="4013200"/>
                    </a:xfrm>
                    <a:prstGeom prst="rect">
                      <a:avLst/>
                    </a:prstGeom>
                  </pic:spPr>
                </pic:pic>
              </a:graphicData>
            </a:graphic>
          </wp:anchor>
        </w:drawing>
      </w:r>
    </w:p>
    <w:p w14:paraId="617238D2">
      <w:pPr>
        <w:widowControl/>
        <w:jc w:val="center"/>
        <w:rPr>
          <w:b/>
          <w:sz w:val="30"/>
          <w:szCs w:val="30"/>
        </w:rPr>
      </w:pPr>
    </w:p>
    <w:sectPr>
      <w:footerReference r:id="rId14" w:type="default"/>
      <w:pgSz w:w="11906" w:h="16838"/>
      <w:pgMar w:top="1417" w:right="1417" w:bottom="1417" w:left="1417" w:header="851" w:footer="992" w:gutter="0"/>
      <w:pgBorders>
        <w:top w:val="none" w:sz="0" w:space="0"/>
        <w:left w:val="none" w:sz="0" w:space="0"/>
        <w:bottom w:val="none" w:sz="0" w:space="0"/>
        <w:right w:val="none" w:sz="0" w:space="0"/>
      </w:pgBorders>
      <w:pgNumType w:fmt="decimal" w:start="1"/>
      <w:cols w:space="425" w:num="1"/>
      <w:docGrid w:type="linesAndChars" w:linePitch="312" w:charSpace="488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Swis721 BT">
    <w:altName w:val="Yu Gothic UI"/>
    <w:panose1 w:val="020B0504020202020204"/>
    <w:charset w:val="00"/>
    <w:family w:val="swiss"/>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隶书">
    <w:panose1 w:val="02010509060101010101"/>
    <w:charset w:val="86"/>
    <w:family w:val="modern"/>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方正小标宋简体">
    <w:altName w:val="方正舒体"/>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874B">
    <w:pPr>
      <w:pStyle w:val="25"/>
      <w:pBdr>
        <w:top w:val="single" w:color="auto" w:sz="4" w:space="1"/>
      </w:pBdr>
      <w:ind w:right="210"/>
      <w:rPr>
        <w:rFonts w:ascii="宋体" w:hAnsi="宋体"/>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9B704F">
                          <w:pPr>
                            <w:pStyle w:val="25"/>
                            <w:pBdr>
                              <w:top w:val="single" w:color="auto" w:sz="4" w:space="1"/>
                            </w:pBdr>
                            <w:ind w:right="210"/>
                          </w:pPr>
                          <w:sdt>
                            <w:sdtPr>
                              <w:rPr>
                                <w:rFonts w:ascii="宋体" w:hAnsi="宋体"/>
                              </w:rPr>
                              <w:id w:val="147483190"/>
                            </w:sdtPr>
                            <w:sdtEndPr>
                              <w:rPr>
                                <w:rFonts w:ascii="宋体" w:hAnsi="宋体"/>
                              </w:rPr>
                            </w:sdtEndPr>
                            <w:sdtContent>
                              <w:r>
                                <w:rPr>
                                  <w:rFonts w:hint="eastAsia" w:ascii="宋体" w:hAnsi="宋体"/>
                                </w:rPr>
                                <w:t xml:space="preserve">江西赣安安全生产科学技术咨询服务中心                   </w:t>
                              </w: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rPr>
                                <w:t>IV</w:t>
                              </w:r>
                              <w:r>
                                <w:rPr>
                                  <w:rFonts w:ascii="宋体" w:hAnsi="宋体"/>
                                </w:rPr>
                                <w:fldChar w:fldCharType="end"/>
                              </w:r>
                            </w:sdtContent>
                          </w:sdt>
                          <w:r>
                            <w:rPr>
                              <w:rFonts w:hint="eastAsia" w:ascii="宋体" w:hAnsi="宋体"/>
                            </w:rPr>
                            <w:t xml:space="preserve">                     APJ﹣（赣）﹣002</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C9B704F">
                    <w:pPr>
                      <w:pStyle w:val="25"/>
                      <w:pBdr>
                        <w:top w:val="single" w:color="auto" w:sz="4" w:space="1"/>
                      </w:pBdr>
                      <w:ind w:right="210"/>
                    </w:pPr>
                    <w:sdt>
                      <w:sdtPr>
                        <w:rPr>
                          <w:rFonts w:ascii="宋体" w:hAnsi="宋体"/>
                        </w:rPr>
                        <w:id w:val="147483190"/>
                      </w:sdtPr>
                      <w:sdtEndPr>
                        <w:rPr>
                          <w:rFonts w:ascii="宋体" w:hAnsi="宋体"/>
                        </w:rPr>
                      </w:sdtEndPr>
                      <w:sdtContent>
                        <w:r>
                          <w:rPr>
                            <w:rFonts w:hint="eastAsia" w:ascii="宋体" w:hAnsi="宋体"/>
                          </w:rPr>
                          <w:t xml:space="preserve">江西赣安安全生产科学技术咨询服务中心                   </w:t>
                        </w: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rPr>
                          <w:t>IV</w:t>
                        </w:r>
                        <w:r>
                          <w:rPr>
                            <w:rFonts w:ascii="宋体" w:hAnsi="宋体"/>
                          </w:rPr>
                          <w:fldChar w:fldCharType="end"/>
                        </w:r>
                      </w:sdtContent>
                    </w:sdt>
                    <w:r>
                      <w:rPr>
                        <w:rFonts w:hint="eastAsia" w:ascii="宋体" w:hAnsi="宋体"/>
                      </w:rPr>
                      <w:t xml:space="preserve">                     APJ﹣（赣）﹣002</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25E419">
    <w:pPr>
      <w:pStyle w:val="25"/>
      <w:rPr>
        <w:rStyle w:val="46"/>
      </w:rPr>
    </w:pPr>
    <w:r>
      <w:fldChar w:fldCharType="begin"/>
    </w:r>
    <w:r>
      <w:rPr>
        <w:rStyle w:val="46"/>
      </w:rPr>
      <w:instrText xml:space="preserve">PAGE  </w:instrText>
    </w:r>
    <w:r>
      <w:fldChar w:fldCharType="end"/>
    </w:r>
  </w:p>
  <w:p w14:paraId="74AC655A">
    <w:pPr>
      <w:pStyle w:val="2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0D4BF8">
    <w:pPr>
      <w:pStyle w:val="25"/>
      <w:keepNext w:val="0"/>
      <w:keepLines w:val="0"/>
      <w:pageBreakBefore w:val="0"/>
      <w:widowControl w:val="0"/>
      <w:pBdr>
        <w:top w:val="single" w:color="auto" w:sz="4" w:space="1"/>
        <w:left w:val="none" w:color="auto" w:sz="0" w:space="4"/>
        <w:bottom w:val="none" w:color="auto" w:sz="0" w:space="1"/>
        <w:right w:val="none" w:color="auto" w:sz="0" w:space="4"/>
        <w:between w:val="none" w:color="auto" w:sz="0" w:space="0"/>
      </w:pBdr>
      <w:kinsoku/>
      <w:wordWrap/>
      <w:overflowPunct/>
      <w:topLinePunct w:val="0"/>
      <w:bidi w:val="0"/>
      <w:adjustRightInd/>
      <w:snapToGrid w:val="0"/>
      <w:spacing w:line="240" w:lineRule="exact"/>
      <w:ind w:left="0" w:leftChars="0" w:firstLine="0" w:firstLineChars="0"/>
      <w:jc w:val="left"/>
      <w:textAlignment w:val="auto"/>
      <w:rPr>
        <w:rFonts w:hint="default" w:eastAsia="宋体"/>
        <w:lang w:val="en-US"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763905"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76390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E54E98">
                          <w:pPr>
                            <w:pStyle w:val="25"/>
                            <w:keepNext w:val="0"/>
                            <w:keepLines w:val="0"/>
                            <w:pageBreakBefore w:val="0"/>
                            <w:widowControl w:val="0"/>
                            <w:kinsoku/>
                            <w:wordWrap/>
                            <w:overflowPunct/>
                            <w:topLinePunct w:val="0"/>
                            <w:bidi w:val="0"/>
                            <w:adjustRightInd/>
                            <w:snapToGrid w:val="0"/>
                            <w:spacing w:line="240" w:lineRule="exact"/>
                            <w:textAlignment w:val="auto"/>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60.15pt;mso-position-horizontal:center;mso-position-horizontal-relative:margin;z-index:251661312;mso-width-relative:page;mso-height-relative:page;" filled="f" stroked="f" coordsize="21600,21600" o:gfxdata="UEsDBAoAAAAAAIdO4kAAAAAAAAAAAAAAAAAEAAAAZHJzL1BLAwQUAAAACACHTuJA6D0hlNQAAAAF&#10;AQAADwAAAGRycy9kb3ducmV2LnhtbE2PMU/DMBCFdyT+g3VIbNRukFAU4nSooANMpAgxXuNLHBqf&#10;o9hNC78el4UuJz29u/e+K1cnN4iZptB71rBcKBDEjTc9dxret893OYgQkQ0OnknDNwVYVddXJRbG&#10;H/mN5jp2IoVwKFCDjXEspAyNJYdh4Ufi5LV+chiTnDppJjymcDfITKkH6bDn1GBxpLWlZl8fXML4&#10;eFVu89PaT/eCbajtdt48fWl9e7NUjyAineL/Mpzx0w1UiWnnD2yCGDSkR+LfPHuZugex05DluQJZ&#10;lfKSvvoFUEsDBBQAAAAIAIdO4kA1MZmOOAIAAGIEAAAOAAAAZHJzL2Uyb0RvYy54bWytVMtuEzEU&#10;3SPxD5b3ZCatGkKUSRUaFSFVtFJBrB2PJzOSX9hOZsIHwB+w6oY935Xv4NiTSVFh0QUb5859n3Pv&#10;zfyyU5LshPON0QUdj3JKhOambPSmoJ8+Xr+aUuID0yWTRouC7oWnl4uXL+atnYkzUxtZCkeQRPtZ&#10;awtah2BnWeZ5LRTzI2OFhrEyTrGAT7fJSsdaZFcyO8vzSdYaV1pnuPAe2lVvpMeM7jkJTVU1XKwM&#10;3yqhQ5/VCckCIPm6sZ4uUrdVJXi4rSovApEFBdKQXhSBvI5vtpiz2cYxWzf82AJ7TgtPMCnWaBQ9&#10;pVqxwMjWNX+lUg13xpsqjLhRWQ8kMQIU4/wJN/c1syJhAdXenkj3/y8t/7C7c6QpC3pBiWYKAz/8&#10;+H54+HX4+Y1cRHpa62fwurfwC91b02FpBr2HMqLuKqfiL/AQ2EHu/kSu6ALhUL6enL/JUYTDNJ6e&#10;Tad5Yj97jLbOh3fCKBKFgjoML3HKdjc+oBO4Di6xmDbXjZRpgFKTtqCT84s8BZwsiJAagRFD32uU&#10;QrfujsDWptwDlzP9YnjLrxsUv2E+3DGHTQAU3Eq4xVNJgyLmKFFSG/f1X/rojwHBSkmLzSqo/7Jl&#10;TlAi32uMLq7hILhBWA+C3qorg2Ud4wotTyICXJCDWDmjPuOElrEKTExz1CpoGMSr0O83TpCL5TI5&#10;ba1rNnUfgMWzLNzoe8tjmUilt8ttAJ2J5UhRz8uROaxeIv94JnG3//xOXo9/DY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6D0hlNQAAAAFAQAADwAAAAAAAAABACAAAAAiAAAAZHJzL2Rvd25yZXYu&#10;eG1sUEsBAhQAFAAAAAgAh07iQDUxmY44AgAAYgQAAA4AAAAAAAAAAQAgAAAAIwEAAGRycy9lMm9E&#10;b2MueG1sUEsFBgAAAAAGAAYAWQEAAM0FAAAAAA==&#10;">
              <v:fill on="f" focussize="0,0"/>
              <v:stroke on="f" weight="0.5pt"/>
              <v:imagedata o:title=""/>
              <o:lock v:ext="edit" aspectratio="f"/>
              <v:textbox inset="0mm,0mm,0mm,0mm" style="mso-fit-shape-to-text:t;">
                <w:txbxContent>
                  <w:p w14:paraId="34E54E98">
                    <w:pPr>
                      <w:pStyle w:val="25"/>
                      <w:keepNext w:val="0"/>
                      <w:keepLines w:val="0"/>
                      <w:pageBreakBefore w:val="0"/>
                      <w:widowControl w:val="0"/>
                      <w:kinsoku/>
                      <w:wordWrap/>
                      <w:overflowPunct/>
                      <w:topLinePunct w:val="0"/>
                      <w:bidi w:val="0"/>
                      <w:adjustRightInd/>
                      <w:snapToGrid w:val="0"/>
                      <w:spacing w:line="240" w:lineRule="exact"/>
                      <w:textAlignment w:val="auto"/>
                    </w:pPr>
                    <w:r>
                      <w:fldChar w:fldCharType="begin"/>
                    </w:r>
                    <w:r>
                      <w:instrText xml:space="preserve"> PAGE  \* MERGEFORMAT </w:instrText>
                    </w:r>
                    <w:r>
                      <w:fldChar w:fldCharType="separate"/>
                    </w:r>
                    <w:r>
                      <w:t>I</w:t>
                    </w:r>
                    <w:r>
                      <w:fldChar w:fldCharType="end"/>
                    </w:r>
                  </w:p>
                </w:txbxContent>
              </v:textbox>
            </v:shape>
          </w:pict>
        </mc:Fallback>
      </mc:AlternateContent>
    </w:r>
    <w:r>
      <w:rPr>
        <w:rFonts w:hint="eastAsia"/>
        <w:lang w:val="en-US" w:eastAsia="zh-CN"/>
      </w:rPr>
      <w:t>江西赣安安全生产科学技术咨询服务中心                                                  APJ-（赣）002</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EC295F">
    <w:pPr>
      <w:pStyle w:val="25"/>
      <w:keepNext w:val="0"/>
      <w:keepLines w:val="0"/>
      <w:pageBreakBefore w:val="0"/>
      <w:widowControl w:val="0"/>
      <w:pBdr>
        <w:top w:val="single" w:color="auto" w:sz="4" w:space="1"/>
        <w:left w:val="none" w:color="auto" w:sz="0" w:space="4"/>
        <w:bottom w:val="none" w:color="auto" w:sz="0" w:space="1"/>
        <w:right w:val="none" w:color="auto" w:sz="0" w:space="4"/>
        <w:between w:val="none" w:color="auto" w:sz="0" w:space="0"/>
      </w:pBdr>
      <w:kinsoku/>
      <w:wordWrap/>
      <w:overflowPunct/>
      <w:topLinePunct w:val="0"/>
      <w:bidi w:val="0"/>
      <w:adjustRightInd/>
      <w:snapToGrid w:val="0"/>
      <w:spacing w:line="240" w:lineRule="exact"/>
      <w:ind w:left="0" w:leftChars="0" w:right="112" w:rightChars="0" w:firstLine="0" w:firstLineChars="0"/>
      <w:jc w:val="left"/>
      <w:textAlignment w:val="auto"/>
      <w:rPr>
        <w:rFonts w:hint="default" w:ascii="宋体" w:hAnsi="宋体" w:eastAsia="宋体"/>
        <w:lang w:val="en-US" w:eastAsia="zh-CN"/>
      </w:rPr>
    </w:pPr>
    <w:r>
      <w:rPr>
        <w:rFonts w:hint="eastAsia" w:ascii="宋体" w:hAnsi="宋体"/>
      </w:rPr>
      <w:t xml:space="preserve">江西赣安安全生产科学技术咨询服务中心            </w:t>
    </w:r>
    <w:r>
      <w:rPr>
        <w:rFonts w:hint="eastAsia" w:ascii="宋体" w:hAnsi="宋体"/>
        <w:lang w:val="en-US" w:eastAsia="zh-CN"/>
      </w:rPr>
      <w:t xml:space="preserve"> </w:t>
    </w:r>
    <w:r>
      <w:rPr>
        <w:rFonts w:hint="eastAsia" w:ascii="宋体" w:hAnsi="宋体"/>
      </w:rPr>
      <w:t xml:space="preserve">  </w:t>
    </w: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rPr>
      <w:t>I</w:t>
    </w:r>
    <w:r>
      <w:rPr>
        <w:rFonts w:ascii="宋体" w:hAnsi="宋体"/>
      </w:rPr>
      <w:fldChar w:fldCharType="end"/>
    </w:r>
    <w:r>
      <w:rPr>
        <w:rFonts w:hint="eastAsia" w:ascii="宋体" w:hAnsi="宋体"/>
      </w:rPr>
      <w:t xml:space="preserve">                </w:t>
    </w:r>
    <w:r>
      <w:rPr>
        <w:rFonts w:hint="eastAsia" w:ascii="宋体" w:hAnsi="宋体"/>
        <w:lang w:val="en-US" w:eastAsia="zh-CN"/>
      </w:rPr>
      <w:t xml:space="preserve"> </w:t>
    </w:r>
    <w:r>
      <w:rPr>
        <w:rFonts w:hint="eastAsia" w:ascii="宋体" w:hAnsi="宋体"/>
      </w:rPr>
      <w:t xml:space="preserve">             APJ﹣（赣）﹣0</w:t>
    </w:r>
    <w:r>
      <w:rPr>
        <w:rFonts w:hint="eastAsia" w:ascii="宋体" w:hAnsi="宋体"/>
        <w:lang w:val="en-US" w:eastAsia="zh-CN"/>
      </w:rPr>
      <w:t>02</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32F0FB">
    <w:pPr>
      <w:pStyle w:val="25"/>
      <w:keepNext w:val="0"/>
      <w:keepLines w:val="0"/>
      <w:pageBreakBefore w:val="0"/>
      <w:widowControl w:val="0"/>
      <w:pBdr>
        <w:top w:val="single" w:color="auto" w:sz="4" w:space="1"/>
        <w:left w:val="none" w:color="auto" w:sz="0" w:space="4"/>
        <w:bottom w:val="none" w:color="auto" w:sz="0" w:space="1"/>
        <w:right w:val="none" w:color="auto" w:sz="0" w:space="4"/>
        <w:between w:val="none" w:color="auto" w:sz="0" w:space="0"/>
      </w:pBdr>
      <w:kinsoku/>
      <w:wordWrap/>
      <w:overflowPunct/>
      <w:topLinePunct w:val="0"/>
      <w:bidi w:val="0"/>
      <w:adjustRightInd/>
      <w:snapToGrid w:val="0"/>
      <w:spacing w:line="240" w:lineRule="exact"/>
      <w:ind w:left="0" w:leftChars="0" w:firstLine="0" w:firstLineChars="0"/>
      <w:jc w:val="left"/>
      <w:textAlignment w:val="auto"/>
      <w:rPr>
        <w:rFonts w:hint="default" w:eastAsia="宋体"/>
        <w:lang w:val="en-US" w:eastAsia="zh-CN"/>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422910" cy="183515"/>
              <wp:effectExtent l="0" t="0" r="0" b="0"/>
              <wp:wrapNone/>
              <wp:docPr id="9" name="文本框 9"/>
              <wp:cNvGraphicFramePr/>
              <a:graphic xmlns:a="http://schemas.openxmlformats.org/drawingml/2006/main">
                <a:graphicData uri="http://schemas.microsoft.com/office/word/2010/wordprocessingShape">
                  <wps:wsp>
                    <wps:cNvSpPr txBox="1"/>
                    <wps:spPr>
                      <a:xfrm>
                        <a:off x="0" y="0"/>
                        <a:ext cx="422910" cy="1835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AC5B15">
                          <w:pPr>
                            <w:pStyle w:val="25"/>
                            <w:keepNext w:val="0"/>
                            <w:keepLines w:val="0"/>
                            <w:pageBreakBefore w:val="0"/>
                            <w:widowControl w:val="0"/>
                            <w:kinsoku/>
                            <w:wordWrap/>
                            <w:overflowPunct/>
                            <w:topLinePunct w:val="0"/>
                            <w:bidi w:val="0"/>
                            <w:adjustRightInd/>
                            <w:snapToGrid w:val="0"/>
                            <w:spacing w:line="240" w:lineRule="exact"/>
                            <w:textAlignment w:val="auto"/>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14.45pt;width:33.3pt;mso-position-horizontal:center;mso-position-horizontal-relative:margin;z-index:251664384;mso-width-relative:page;mso-height-relative:page;" filled="f" stroked="f" coordsize="21600,21600" o:gfxdata="UEsDBAoAAAAAAIdO4kAAAAAAAAAAAAAAAAAEAAAAZHJzL1BLAwQUAAAACACHTuJAm0Yb1tIAAAAD&#10;AQAADwAAAGRycy9kb3ducmV2LnhtbE2PO0/EMBCEeyT+g7VIdJydK6IjxLmCR8fzAAk6J16SCHsd&#10;2Zvc8e8xNNCsNJrRzLf19uCdWDCmMZCGYqVAIHXBjtRreHm+OduASGzIGhcINXxhgm1zfFSbyoY9&#10;PeGy417kEkqV0TAwT5WUqRvQm7QKE1L2PkL0hrOMvbTR7HO5d3KtVCm9GSkvDGbCywG7z93sNbi3&#10;FG9bxe/LVX/Hjw9yfr0u7rU+PSnUBQjGA/+F4Qc/o0OTmdowk03CaciP8O/NXlmWIFoN6805yKaW&#10;/9mbb1BLAwQUAAAACACHTuJAtmTgXDgCAABhBAAADgAAAGRycy9lMm9Eb2MueG1srVTNjtMwEL4j&#10;8Q6W7zRNl662VdNV2aoIqWJXKoiz6ziNJdtjbKdJeQB4A05cuPNcfQ7G+emihcMeuLgTz/ib+b6Z&#10;6eK20YochfMSTEbT0ZgSYTjk0hwy+vHD5tUNJT4wkzMFRmT0JDy9Xb58sajtXEygBJULRxDE+Hlt&#10;M1qGYOdJ4nkpNPMjsMKgswCnWcBPd0hyx2pE1yqZjMfXSQ0utw648B5v152T9ojuOYBQFJKLNfBK&#10;CxM6VCcUC0jJl9J6umyrLQrBw31ReBGIyigyDe2JSdDexzNZLtj84JgtJe9LYM8p4QknzaTBpBeo&#10;NQuMVE7+BaUld+ChCCMOOumItIogi3T8RJtdyaxouaDU3l5E9/8Plr8/Pjgi84zOKDFMY8PP37+d&#10;f/w6//xKZlGe2vo5Ru0sxoXmDTQ4NMO9x8vIuimcjr/Ih6AfxT1dxBVNIBwvX08msxQ9HF3pzdU0&#10;nUaU5PGxdT68FaBJNDLqsHetpOy49aELHUJiLgMbqVTbP2VIndHrq+m4fXDxILgymCNS6EqNVmj2&#10;Tc9rD/kJaTno5sJbvpGYfMt8eGAOBwHrxVUJ93gUCjAJ9BYlJbgv/7qP8dgf9FJS42Bl1H+umBOU&#10;qHcGO4eQYTDcYOwHw1T6DnBWU1xCy1sTH7igBrNwoD/hBq1iFnQxwzFXRsNg3oVuvHEDuVit2qDK&#10;Onkouwc4d5aFrdlZHtN0Uq6qAIVsVY4Sdbr0yuHktX3qtySO9p/fbdTjP8Py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JtGG9bSAAAAAwEAAA8AAAAAAAAAAQAgAAAAIgAAAGRycy9kb3ducmV2Lnht&#10;bFBLAQIUABQAAAAIAIdO4kC2ZOBcOAIAAGEEAAAOAAAAAAAAAAEAIAAAACEBAABkcnMvZTJvRG9j&#10;LnhtbFBLBQYAAAAABgAGAFkBAADLBQAAAAA=&#10;">
              <v:fill on="f" focussize="0,0"/>
              <v:stroke on="f" weight="0.5pt"/>
              <v:imagedata o:title=""/>
              <o:lock v:ext="edit" aspectratio="f"/>
              <v:textbox inset="0mm,0mm,0mm,0mm">
                <w:txbxContent>
                  <w:p w14:paraId="36AC5B15">
                    <w:pPr>
                      <w:pStyle w:val="25"/>
                      <w:keepNext w:val="0"/>
                      <w:keepLines w:val="0"/>
                      <w:pageBreakBefore w:val="0"/>
                      <w:widowControl w:val="0"/>
                      <w:kinsoku/>
                      <w:wordWrap/>
                      <w:overflowPunct/>
                      <w:topLinePunct w:val="0"/>
                      <w:bidi w:val="0"/>
                      <w:adjustRightInd/>
                      <w:snapToGrid w:val="0"/>
                      <w:spacing w:line="240" w:lineRule="exact"/>
                      <w:textAlignment w:val="auto"/>
                    </w:pPr>
                    <w:r>
                      <w:fldChar w:fldCharType="begin"/>
                    </w:r>
                    <w:r>
                      <w:instrText xml:space="preserve"> PAGE  \* MERGEFORMAT </w:instrText>
                    </w:r>
                    <w:r>
                      <w:fldChar w:fldCharType="separate"/>
                    </w:r>
                    <w:r>
                      <w:t>I</w:t>
                    </w:r>
                    <w:r>
                      <w:fldChar w:fldCharType="end"/>
                    </w:r>
                  </w:p>
                </w:txbxContent>
              </v:textbox>
            </v:shape>
          </w:pict>
        </mc:Fallback>
      </mc:AlternateContent>
    </w:r>
    <w:r>
      <w:rPr>
        <w:rFonts w:hint="eastAsia"/>
        <w:lang w:val="en-US" w:eastAsia="zh-CN"/>
      </w:rPr>
      <w:t>江西赣安安全生产科学技术咨询服务中心                                                  APJ-（赣）002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A49CE2">
    <w:pPr>
      <w:pStyle w:val="26"/>
      <w:ind w:left="0" w:leftChars="0" w:firstLine="0" w:firstLineChars="0"/>
      <w:jc w:val="both"/>
    </w:pPr>
    <w:r>
      <w:rPr>
        <w:rFonts w:hint="eastAsia" w:ascii="宋体" w:hAnsi="宋体" w:eastAsia="宋体" w:cs="宋体"/>
        <w:b w:val="0"/>
        <w:bCs/>
        <w:color w:val="000000" w:themeColor="text1"/>
        <w:kern w:val="0"/>
        <w:sz w:val="18"/>
        <w:szCs w:val="18"/>
        <w:lang w:val="en-US" w:eastAsia="zh-CN"/>
        <w14:textFill>
          <w14:solidFill>
            <w14:schemeClr w14:val="tx1"/>
          </w14:solidFill>
        </w14:textFill>
      </w:rPr>
      <w:t>南</w:t>
    </w:r>
    <w:r>
      <w:rPr>
        <w:rFonts w:hint="eastAsia" w:ascii="宋体" w:hAnsi="宋体" w:eastAsia="宋体" w:cs="宋体"/>
        <w:b w:val="0"/>
        <w:bCs/>
        <w:color w:val="000000" w:themeColor="text1"/>
        <w:kern w:val="0"/>
        <w:sz w:val="18"/>
        <w:szCs w:val="18"/>
        <w14:textFill>
          <w14:solidFill>
            <w14:schemeClr w14:val="tx1"/>
          </w14:solidFill>
        </w14:textFill>
      </w:rPr>
      <w:t>昌</w:t>
    </w:r>
    <w:r>
      <w:rPr>
        <w:rFonts w:hint="eastAsia" w:ascii="宋体" w:hAnsi="宋体" w:eastAsia="宋体" w:cs="宋体"/>
        <w:b w:val="0"/>
        <w:bCs/>
        <w:color w:val="000000" w:themeColor="text1"/>
        <w:kern w:val="0"/>
        <w:sz w:val="18"/>
        <w:szCs w:val="18"/>
        <w:lang w:val="en-US" w:eastAsia="zh-CN"/>
        <w14:textFill>
          <w14:solidFill>
            <w14:schemeClr w14:val="tx1"/>
          </w14:solidFill>
        </w14:textFill>
      </w:rPr>
      <w:t>布莱特进出口有限责任公司</w:t>
    </w:r>
    <w:r>
      <w:rPr>
        <w:rFonts w:hint="eastAsia" w:ascii="宋体" w:hAnsi="宋体" w:eastAsia="宋体" w:cs="宋体"/>
        <w:b w:val="0"/>
        <w:bCs/>
        <w:color w:val="000000" w:themeColor="text1"/>
        <w:sz w:val="18"/>
        <w:szCs w:val="18"/>
        <w14:textFill>
          <w14:solidFill>
            <w14:schemeClr w14:val="tx1"/>
          </w14:solidFill>
        </w14:textFill>
      </w:rPr>
      <w:t>烟花爆竹经营（批发）</w:t>
    </w:r>
    <w:r>
      <w:rPr>
        <w:rFonts w:hint="eastAsia" w:ascii="宋体" w:hAnsi="宋体" w:eastAsia="宋体" w:cs="宋体"/>
        <w:b w:val="0"/>
        <w:bCs/>
        <w:color w:val="000000" w:themeColor="text1"/>
        <w:sz w:val="18"/>
        <w:szCs w:val="18"/>
        <w:lang w:val="en-US" w:eastAsia="zh-CN"/>
        <w14:textFill>
          <w14:solidFill>
            <w14:schemeClr w14:val="tx1"/>
          </w14:solidFill>
        </w14:textFill>
      </w:rPr>
      <w:t>项目</w:t>
    </w:r>
    <w:r>
      <w:rPr>
        <w:rFonts w:hint="eastAsia" w:ascii="宋体" w:hAnsi="宋体" w:eastAsia="宋体" w:cs="宋体"/>
        <w:b w:val="0"/>
        <w:bCs/>
        <w:color w:val="000000" w:themeColor="text1"/>
        <w:kern w:val="0"/>
        <w:sz w:val="18"/>
        <w:szCs w:val="18"/>
        <w14:textFill>
          <w14:solidFill>
            <w14:schemeClr w14:val="tx1"/>
          </w14:solidFill>
        </w14:textFill>
      </w:rPr>
      <w:t>安全现状价报告</w:t>
    </w:r>
    <w:r>
      <w:rPr>
        <w:rFonts w:hint="eastAsia" w:ascii="宋体" w:hAnsi="宋体"/>
        <w:bCs/>
        <w:lang w:val="en-US"/>
      </w:rPr>
      <w:t xml:space="preserve">                 GAAP[2025]0</w:t>
    </w:r>
    <w:r>
      <w:rPr>
        <w:rFonts w:hint="eastAsia" w:ascii="宋体" w:hAnsi="宋体"/>
        <w:bCs/>
        <w:lang w:val="en-US" w:eastAsia="zh-CN"/>
      </w:rPr>
      <w:t>000</w:t>
    </w:r>
    <w:r>
      <w:rPr>
        <w:rFonts w:hint="eastAsia" w:ascii="宋体" w:hAnsi="宋体"/>
        <w:bCs/>
        <w:lang w:val="en-US"/>
      </w:rPr>
      <w:t>号</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BF69D8">
    <w:pPr>
      <w:pStyle w:val="2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FBEB02">
    <w:pPr>
      <w:pStyle w:val="26"/>
      <w:widowControl w:val="0"/>
      <w:pBdr>
        <w:top w:val="none" w:color="auto" w:sz="0" w:space="1"/>
        <w:left w:val="none" w:color="auto" w:sz="0" w:space="4"/>
        <w:bottom w:val="none" w:color="auto" w:sz="0" w:space="1"/>
        <w:right w:val="none" w:color="auto" w:sz="0" w:space="4"/>
        <w:between w:val="none" w:color="auto" w:sz="0" w:space="0"/>
      </w:pBdr>
      <w:snapToGrid w:val="0"/>
      <w:spacing w:line="600" w:lineRule="exact"/>
      <w:ind w:firstLine="360" w:firstLineChars="200"/>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239B63">
    <w:pPr>
      <w:pStyle w:val="26"/>
      <w:keepNext w:val="0"/>
      <w:keepLines w:val="0"/>
      <w:pageBreakBefore w:val="0"/>
      <w:widowControl w:val="0"/>
      <w:kinsoku/>
      <w:wordWrap/>
      <w:overflowPunct/>
      <w:topLinePunct w:val="0"/>
      <w:bidi w:val="0"/>
      <w:adjustRightInd/>
      <w:snapToGrid w:val="0"/>
      <w:spacing w:line="240" w:lineRule="exact"/>
      <w:ind w:left="0" w:leftChars="0" w:firstLine="0" w:firstLineChars="0"/>
      <w:jc w:val="both"/>
      <w:textAlignment w:val="auto"/>
    </w:pPr>
    <w:r>
      <w:rPr>
        <w:rFonts w:hint="eastAsia" w:ascii="宋体" w:hAnsi="宋体" w:eastAsia="宋体" w:cs="宋体"/>
        <w:b w:val="0"/>
        <w:bCs/>
        <w:color w:val="000000" w:themeColor="text1"/>
        <w:kern w:val="0"/>
        <w:sz w:val="18"/>
        <w:szCs w:val="18"/>
        <w:lang w:val="en-US" w:eastAsia="zh-CN"/>
        <w14:textFill>
          <w14:solidFill>
            <w14:schemeClr w14:val="tx1"/>
          </w14:solidFill>
        </w14:textFill>
      </w:rPr>
      <w:t>南</w:t>
    </w:r>
    <w:r>
      <w:rPr>
        <w:rFonts w:hint="eastAsia" w:ascii="宋体" w:hAnsi="宋体" w:eastAsia="宋体" w:cs="宋体"/>
        <w:b w:val="0"/>
        <w:bCs/>
        <w:color w:val="000000" w:themeColor="text1"/>
        <w:kern w:val="0"/>
        <w:sz w:val="18"/>
        <w:szCs w:val="18"/>
        <w14:textFill>
          <w14:solidFill>
            <w14:schemeClr w14:val="tx1"/>
          </w14:solidFill>
        </w14:textFill>
      </w:rPr>
      <w:t>昌</w:t>
    </w:r>
    <w:r>
      <w:rPr>
        <w:rFonts w:hint="eastAsia" w:ascii="宋体" w:hAnsi="宋体" w:eastAsia="宋体" w:cs="宋体"/>
        <w:b w:val="0"/>
        <w:bCs/>
        <w:color w:val="000000" w:themeColor="text1"/>
        <w:kern w:val="0"/>
        <w:sz w:val="18"/>
        <w:szCs w:val="18"/>
        <w:lang w:val="en-US" w:eastAsia="zh-CN"/>
        <w14:textFill>
          <w14:solidFill>
            <w14:schemeClr w14:val="tx1"/>
          </w14:solidFill>
        </w14:textFill>
      </w:rPr>
      <w:t>布莱特进出口有限责任公司</w:t>
    </w:r>
    <w:r>
      <w:rPr>
        <w:rFonts w:hint="eastAsia" w:ascii="宋体" w:hAnsi="宋体" w:eastAsia="宋体" w:cs="宋体"/>
        <w:b w:val="0"/>
        <w:bCs/>
        <w:color w:val="000000" w:themeColor="text1"/>
        <w:sz w:val="18"/>
        <w:szCs w:val="18"/>
        <w14:textFill>
          <w14:solidFill>
            <w14:schemeClr w14:val="tx1"/>
          </w14:solidFill>
        </w14:textFill>
      </w:rPr>
      <w:t>烟花爆竹经营（批发）</w:t>
    </w:r>
    <w:r>
      <w:rPr>
        <w:rFonts w:hint="eastAsia" w:ascii="宋体" w:hAnsi="宋体" w:eastAsia="宋体" w:cs="宋体"/>
        <w:b w:val="0"/>
        <w:bCs/>
        <w:color w:val="000000" w:themeColor="text1"/>
        <w:sz w:val="18"/>
        <w:szCs w:val="18"/>
        <w:lang w:val="en-US" w:eastAsia="zh-CN"/>
        <w14:textFill>
          <w14:solidFill>
            <w14:schemeClr w14:val="tx1"/>
          </w14:solidFill>
        </w14:textFill>
      </w:rPr>
      <w:t>项目</w:t>
    </w:r>
    <w:r>
      <w:rPr>
        <w:rFonts w:hint="eastAsia" w:ascii="宋体" w:hAnsi="宋体" w:eastAsia="宋体" w:cs="宋体"/>
        <w:b w:val="0"/>
        <w:bCs/>
        <w:color w:val="000000" w:themeColor="text1"/>
        <w:kern w:val="0"/>
        <w:sz w:val="18"/>
        <w:szCs w:val="18"/>
        <w14:textFill>
          <w14:solidFill>
            <w14:schemeClr w14:val="tx1"/>
          </w14:solidFill>
        </w14:textFill>
      </w:rPr>
      <w:t>安全现状价报告</w:t>
    </w:r>
    <w:r>
      <w:rPr>
        <w:rFonts w:hint="eastAsia" w:ascii="宋体" w:hAnsi="宋体"/>
        <w:bCs/>
        <w:lang w:val="en-US"/>
      </w:rPr>
      <w:t xml:space="preserve">                 GAAP[2025]0</w:t>
    </w:r>
    <w:r>
      <w:rPr>
        <w:rFonts w:hint="eastAsia" w:ascii="宋体" w:hAnsi="宋体"/>
        <w:bCs/>
        <w:lang w:val="en-US" w:eastAsia="zh-CN"/>
      </w:rPr>
      <w:t>717</w:t>
    </w:r>
    <w:r>
      <w:rPr>
        <w:rFonts w:hint="eastAsia" w:ascii="宋体" w:hAnsi="宋体"/>
        <w:bCs/>
        <w:lang w:val="en-US"/>
      </w:rPr>
      <w:t>号</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3DA0FE">
    <w:pPr>
      <w:keepNext w:val="0"/>
      <w:keepLines w:val="0"/>
      <w:pageBreakBefore w:val="0"/>
      <w:widowControl/>
      <w:pBdr>
        <w:top w:val="none" w:color="auto" w:sz="0" w:space="1"/>
        <w:left w:val="none" w:color="auto" w:sz="0" w:space="4"/>
        <w:bottom w:val="single" w:color="auto" w:sz="4" w:space="1"/>
        <w:right w:val="none" w:color="auto" w:sz="0" w:space="4"/>
        <w:between w:val="none" w:color="auto" w:sz="0" w:space="0"/>
      </w:pBdr>
      <w:kinsoku/>
      <w:wordWrap/>
      <w:overflowPunct/>
      <w:topLinePunct w:val="0"/>
      <w:bidi w:val="0"/>
      <w:adjustRightInd/>
      <w:snapToGrid/>
      <w:spacing w:line="240" w:lineRule="exact"/>
      <w:ind w:left="0" w:leftChars="0" w:firstLine="0" w:firstLineChars="0"/>
      <w:jc w:val="both"/>
      <w:textAlignment w:val="auto"/>
      <w:rPr>
        <w:sz w:val="18"/>
        <w:szCs w:val="18"/>
      </w:rPr>
    </w:pPr>
    <w:r>
      <w:rPr>
        <w:rFonts w:hint="eastAsia" w:ascii="宋体" w:hAnsi="宋体" w:eastAsia="宋体" w:cs="宋体"/>
        <w:b w:val="0"/>
        <w:bCs/>
        <w:color w:val="000000" w:themeColor="text1"/>
        <w:kern w:val="0"/>
        <w:sz w:val="18"/>
        <w:szCs w:val="18"/>
        <w:lang w:val="en-US" w:eastAsia="zh-CN"/>
        <w14:textFill>
          <w14:solidFill>
            <w14:schemeClr w14:val="tx1"/>
          </w14:solidFill>
        </w14:textFill>
      </w:rPr>
      <w:t>南</w:t>
    </w:r>
    <w:r>
      <w:rPr>
        <w:rFonts w:hint="eastAsia" w:ascii="宋体" w:hAnsi="宋体" w:eastAsia="宋体" w:cs="宋体"/>
        <w:b w:val="0"/>
        <w:bCs/>
        <w:color w:val="000000" w:themeColor="text1"/>
        <w:kern w:val="0"/>
        <w:sz w:val="18"/>
        <w:szCs w:val="18"/>
        <w14:textFill>
          <w14:solidFill>
            <w14:schemeClr w14:val="tx1"/>
          </w14:solidFill>
        </w14:textFill>
      </w:rPr>
      <w:t>昌</w:t>
    </w:r>
    <w:r>
      <w:rPr>
        <w:rFonts w:hint="eastAsia" w:ascii="宋体" w:hAnsi="宋体" w:eastAsia="宋体" w:cs="宋体"/>
        <w:b w:val="0"/>
        <w:bCs/>
        <w:color w:val="000000" w:themeColor="text1"/>
        <w:kern w:val="0"/>
        <w:sz w:val="18"/>
        <w:szCs w:val="18"/>
        <w:lang w:val="en-US" w:eastAsia="zh-CN"/>
        <w14:textFill>
          <w14:solidFill>
            <w14:schemeClr w14:val="tx1"/>
          </w14:solidFill>
        </w14:textFill>
      </w:rPr>
      <w:t>布莱特进出口有限责任公司</w:t>
    </w:r>
    <w:r>
      <w:rPr>
        <w:rFonts w:hint="eastAsia" w:ascii="宋体" w:hAnsi="宋体" w:eastAsia="宋体" w:cs="宋体"/>
        <w:b w:val="0"/>
        <w:bCs/>
        <w:color w:val="000000" w:themeColor="text1"/>
        <w:sz w:val="18"/>
        <w:szCs w:val="18"/>
        <w14:textFill>
          <w14:solidFill>
            <w14:schemeClr w14:val="tx1"/>
          </w14:solidFill>
        </w14:textFill>
      </w:rPr>
      <w:t>烟花爆竹经营（批发）</w:t>
    </w:r>
    <w:r>
      <w:rPr>
        <w:rFonts w:hint="eastAsia" w:ascii="宋体" w:hAnsi="宋体" w:eastAsia="宋体" w:cs="宋体"/>
        <w:b w:val="0"/>
        <w:bCs/>
        <w:color w:val="000000" w:themeColor="text1"/>
        <w:sz w:val="18"/>
        <w:szCs w:val="18"/>
        <w:lang w:val="en-US" w:eastAsia="zh-CN"/>
        <w14:textFill>
          <w14:solidFill>
            <w14:schemeClr w14:val="tx1"/>
          </w14:solidFill>
        </w14:textFill>
      </w:rPr>
      <w:t>项目</w:t>
    </w:r>
    <w:r>
      <w:rPr>
        <w:rFonts w:hint="eastAsia" w:ascii="宋体" w:hAnsi="宋体" w:eastAsia="宋体" w:cs="宋体"/>
        <w:b w:val="0"/>
        <w:bCs/>
        <w:color w:val="000000" w:themeColor="text1"/>
        <w:kern w:val="0"/>
        <w:sz w:val="18"/>
        <w:szCs w:val="18"/>
        <w14:textFill>
          <w14:solidFill>
            <w14:schemeClr w14:val="tx1"/>
          </w14:solidFill>
        </w14:textFill>
      </w:rPr>
      <w:t>安全现状评价报告</w:t>
    </w:r>
    <w:r>
      <w:rPr>
        <w:rFonts w:hint="eastAsia" w:ascii="宋体" w:hAnsi="宋体"/>
        <w:b w:val="0"/>
        <w:bCs/>
        <w:sz w:val="18"/>
        <w:szCs w:val="18"/>
        <w:lang w:val="en-US"/>
      </w:rPr>
      <w:t xml:space="preserve">  </w:t>
    </w:r>
    <w:r>
      <w:rPr>
        <w:rFonts w:hint="eastAsia" w:ascii="宋体" w:hAnsi="宋体"/>
        <w:b w:val="0"/>
        <w:bCs/>
        <w:sz w:val="18"/>
        <w:szCs w:val="18"/>
        <w:lang w:val="en-US" w:eastAsia="zh-CN"/>
      </w:rPr>
      <w:t xml:space="preserve">             </w:t>
    </w:r>
    <w:r>
      <w:rPr>
        <w:rFonts w:hint="eastAsia" w:ascii="宋体" w:hAnsi="宋体"/>
        <w:b w:val="0"/>
        <w:bCs/>
        <w:sz w:val="18"/>
        <w:szCs w:val="18"/>
        <w:lang w:val="en-US"/>
      </w:rPr>
      <w:t>GAAP[202</w:t>
    </w:r>
    <w:r>
      <w:rPr>
        <w:rFonts w:ascii="宋体" w:hAnsi="宋体"/>
        <w:b w:val="0"/>
        <w:bCs/>
        <w:sz w:val="18"/>
        <w:szCs w:val="18"/>
        <w:lang w:val="en-US"/>
      </w:rPr>
      <w:t>5</w:t>
    </w:r>
    <w:r>
      <w:rPr>
        <w:rFonts w:hint="eastAsia" w:ascii="宋体" w:hAnsi="宋体"/>
        <w:b w:val="0"/>
        <w:bCs/>
        <w:sz w:val="18"/>
        <w:szCs w:val="18"/>
        <w:lang w:val="en-US"/>
      </w:rPr>
      <w:t>]</w:t>
    </w:r>
    <w:r>
      <w:rPr>
        <w:rFonts w:hint="eastAsia" w:ascii="宋体" w:hAnsi="宋体"/>
        <w:b w:val="0"/>
        <w:bCs/>
        <w:sz w:val="18"/>
        <w:szCs w:val="18"/>
        <w:lang w:val="en-US" w:eastAsia="zh-CN"/>
      </w:rPr>
      <w:t>0717</w:t>
    </w:r>
    <w:r>
      <w:rPr>
        <w:rFonts w:hint="eastAsia" w:ascii="宋体" w:hAnsi="宋体"/>
        <w:b w:val="0"/>
        <w:bCs/>
        <w:sz w:val="18"/>
        <w:szCs w:val="18"/>
        <w:lang w:val="en-US"/>
      </w:rPr>
      <w:t>号</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944DAB"/>
    <w:multiLevelType w:val="multilevel"/>
    <w:tmpl w:val="0C944DAB"/>
    <w:lvl w:ilvl="0" w:tentative="0">
      <w:start w:val="2"/>
      <w:numFmt w:val="decimal"/>
      <w:pStyle w:val="54"/>
      <w:lvlText w:val="%1"/>
      <w:lvlJc w:val="left"/>
      <w:pPr>
        <w:tabs>
          <w:tab w:val="left" w:pos="360"/>
        </w:tabs>
        <w:ind w:left="0" w:firstLine="0"/>
      </w:pPr>
      <w:rPr>
        <w:rFonts w:hint="eastAsia"/>
      </w:rPr>
    </w:lvl>
    <w:lvl w:ilvl="1" w:tentative="0">
      <w:start w:val="1"/>
      <w:numFmt w:val="decimal"/>
      <w:lvlText w:val="%1.%2"/>
      <w:lvlJc w:val="left"/>
      <w:pPr>
        <w:tabs>
          <w:tab w:val="left" w:pos="360"/>
        </w:tabs>
        <w:ind w:left="0" w:firstLine="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
    <w:nsid w:val="4D7B2B0F"/>
    <w:multiLevelType w:val="multilevel"/>
    <w:tmpl w:val="4D7B2B0F"/>
    <w:lvl w:ilvl="0" w:tentative="0">
      <w:start w:val="1"/>
      <w:numFmt w:val="decimal"/>
      <w:pStyle w:val="102"/>
      <w:lvlText w:val="%1)"/>
      <w:lvlJc w:val="left"/>
      <w:pPr>
        <w:ind w:left="950" w:hanging="420"/>
      </w:pPr>
      <w:rPr>
        <w:rFonts w:hint="default"/>
      </w:rPr>
    </w:lvl>
    <w:lvl w:ilvl="1" w:tentative="0">
      <w:start w:val="1"/>
      <w:numFmt w:val="lowerLetter"/>
      <w:lvlText w:val="%2)"/>
      <w:lvlJc w:val="left"/>
      <w:pPr>
        <w:ind w:left="1370" w:hanging="420"/>
      </w:pPr>
    </w:lvl>
    <w:lvl w:ilvl="2" w:tentative="0">
      <w:start w:val="1"/>
      <w:numFmt w:val="lowerRoman"/>
      <w:lvlText w:val="%3."/>
      <w:lvlJc w:val="right"/>
      <w:pPr>
        <w:ind w:left="1790" w:hanging="420"/>
      </w:pPr>
    </w:lvl>
    <w:lvl w:ilvl="3" w:tentative="0">
      <w:start w:val="1"/>
      <w:numFmt w:val="decimal"/>
      <w:lvlText w:val="%4."/>
      <w:lvlJc w:val="left"/>
      <w:pPr>
        <w:ind w:left="2210" w:hanging="420"/>
      </w:pPr>
    </w:lvl>
    <w:lvl w:ilvl="4" w:tentative="0">
      <w:start w:val="1"/>
      <w:numFmt w:val="lowerLetter"/>
      <w:lvlText w:val="%5)"/>
      <w:lvlJc w:val="left"/>
      <w:pPr>
        <w:ind w:left="2630" w:hanging="420"/>
      </w:pPr>
    </w:lvl>
    <w:lvl w:ilvl="5" w:tentative="0">
      <w:start w:val="1"/>
      <w:numFmt w:val="lowerRoman"/>
      <w:lvlText w:val="%6."/>
      <w:lvlJc w:val="right"/>
      <w:pPr>
        <w:ind w:left="3050" w:hanging="420"/>
      </w:pPr>
    </w:lvl>
    <w:lvl w:ilvl="6" w:tentative="0">
      <w:start w:val="1"/>
      <w:numFmt w:val="decimal"/>
      <w:lvlText w:val="%7."/>
      <w:lvlJc w:val="left"/>
      <w:pPr>
        <w:ind w:left="3470" w:hanging="420"/>
      </w:pPr>
    </w:lvl>
    <w:lvl w:ilvl="7" w:tentative="0">
      <w:start w:val="1"/>
      <w:numFmt w:val="lowerLetter"/>
      <w:lvlText w:val="%8)"/>
      <w:lvlJc w:val="left"/>
      <w:pPr>
        <w:ind w:left="3890" w:hanging="420"/>
      </w:pPr>
    </w:lvl>
    <w:lvl w:ilvl="8" w:tentative="0">
      <w:start w:val="1"/>
      <w:numFmt w:val="lowerRoman"/>
      <w:lvlText w:val="%9."/>
      <w:lvlJc w:val="right"/>
      <w:pPr>
        <w:ind w:left="431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2"/>
  <w:drawingGridVerticalSpacing w:val="3"/>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5MjRmNTYxNTcxNzBmMjYzNjUyMzg3M2QwOTZiMTkifQ=="/>
    <w:docVar w:name="KSO_WPS_MARK_KEY" w:val="2861f4db-b520-4ec8-ad2e-091d4f57ff2a"/>
  </w:docVars>
  <w:rsids>
    <w:rsidRoot w:val="0035565B"/>
    <w:rsid w:val="0000030A"/>
    <w:rsid w:val="00000977"/>
    <w:rsid w:val="00000AB3"/>
    <w:rsid w:val="00000C8C"/>
    <w:rsid w:val="00000CD1"/>
    <w:rsid w:val="00001CBD"/>
    <w:rsid w:val="0000294F"/>
    <w:rsid w:val="00002A5B"/>
    <w:rsid w:val="00002A95"/>
    <w:rsid w:val="00002AE7"/>
    <w:rsid w:val="00003453"/>
    <w:rsid w:val="00004061"/>
    <w:rsid w:val="000042F0"/>
    <w:rsid w:val="000044B6"/>
    <w:rsid w:val="0000454F"/>
    <w:rsid w:val="000047E5"/>
    <w:rsid w:val="000047F8"/>
    <w:rsid w:val="000047FD"/>
    <w:rsid w:val="00004815"/>
    <w:rsid w:val="00004D7D"/>
    <w:rsid w:val="00004DC6"/>
    <w:rsid w:val="000051CE"/>
    <w:rsid w:val="00005781"/>
    <w:rsid w:val="0000581C"/>
    <w:rsid w:val="00005D39"/>
    <w:rsid w:val="0000615B"/>
    <w:rsid w:val="000061B4"/>
    <w:rsid w:val="00006282"/>
    <w:rsid w:val="00006879"/>
    <w:rsid w:val="00006E3C"/>
    <w:rsid w:val="00006EC9"/>
    <w:rsid w:val="0000704B"/>
    <w:rsid w:val="0000715B"/>
    <w:rsid w:val="0000757D"/>
    <w:rsid w:val="00007B1D"/>
    <w:rsid w:val="00007D0F"/>
    <w:rsid w:val="00007EB2"/>
    <w:rsid w:val="00007FBA"/>
    <w:rsid w:val="000100EE"/>
    <w:rsid w:val="0001016A"/>
    <w:rsid w:val="00010536"/>
    <w:rsid w:val="000107CA"/>
    <w:rsid w:val="00010C0C"/>
    <w:rsid w:val="000119A6"/>
    <w:rsid w:val="00011A35"/>
    <w:rsid w:val="00011AE5"/>
    <w:rsid w:val="00011BAD"/>
    <w:rsid w:val="0001220E"/>
    <w:rsid w:val="00012283"/>
    <w:rsid w:val="000125F1"/>
    <w:rsid w:val="00012860"/>
    <w:rsid w:val="00012B01"/>
    <w:rsid w:val="00012BCC"/>
    <w:rsid w:val="00012E3C"/>
    <w:rsid w:val="00012FD5"/>
    <w:rsid w:val="00013735"/>
    <w:rsid w:val="00013B42"/>
    <w:rsid w:val="00013DAD"/>
    <w:rsid w:val="0001409D"/>
    <w:rsid w:val="00014B0F"/>
    <w:rsid w:val="00014D6A"/>
    <w:rsid w:val="0001519B"/>
    <w:rsid w:val="000151EF"/>
    <w:rsid w:val="000152BC"/>
    <w:rsid w:val="0001534C"/>
    <w:rsid w:val="000154A2"/>
    <w:rsid w:val="00015810"/>
    <w:rsid w:val="00015C1D"/>
    <w:rsid w:val="00015E4E"/>
    <w:rsid w:val="00015FFE"/>
    <w:rsid w:val="0001609E"/>
    <w:rsid w:val="00016253"/>
    <w:rsid w:val="00016400"/>
    <w:rsid w:val="000165F5"/>
    <w:rsid w:val="00017017"/>
    <w:rsid w:val="00017192"/>
    <w:rsid w:val="00017819"/>
    <w:rsid w:val="00017B0D"/>
    <w:rsid w:val="00017B13"/>
    <w:rsid w:val="00020886"/>
    <w:rsid w:val="00020C19"/>
    <w:rsid w:val="00021221"/>
    <w:rsid w:val="00021286"/>
    <w:rsid w:val="000214F9"/>
    <w:rsid w:val="00021809"/>
    <w:rsid w:val="00021BB9"/>
    <w:rsid w:val="00021DB9"/>
    <w:rsid w:val="000220D3"/>
    <w:rsid w:val="0002255D"/>
    <w:rsid w:val="00022611"/>
    <w:rsid w:val="0002261F"/>
    <w:rsid w:val="000229AA"/>
    <w:rsid w:val="00022E2E"/>
    <w:rsid w:val="00022F9B"/>
    <w:rsid w:val="000230E7"/>
    <w:rsid w:val="00023CDD"/>
    <w:rsid w:val="00023E21"/>
    <w:rsid w:val="00023EDD"/>
    <w:rsid w:val="000241E6"/>
    <w:rsid w:val="00024507"/>
    <w:rsid w:val="0002492D"/>
    <w:rsid w:val="00024AAE"/>
    <w:rsid w:val="00024B3A"/>
    <w:rsid w:val="00024D71"/>
    <w:rsid w:val="000256AB"/>
    <w:rsid w:val="00025EAE"/>
    <w:rsid w:val="00026199"/>
    <w:rsid w:val="00026937"/>
    <w:rsid w:val="00026A2F"/>
    <w:rsid w:val="00026E00"/>
    <w:rsid w:val="00026E5B"/>
    <w:rsid w:val="00026F8F"/>
    <w:rsid w:val="00026FE6"/>
    <w:rsid w:val="000272A3"/>
    <w:rsid w:val="000276E8"/>
    <w:rsid w:val="00027849"/>
    <w:rsid w:val="00030493"/>
    <w:rsid w:val="00030721"/>
    <w:rsid w:val="0003099E"/>
    <w:rsid w:val="0003146F"/>
    <w:rsid w:val="00031959"/>
    <w:rsid w:val="00031E97"/>
    <w:rsid w:val="000325A3"/>
    <w:rsid w:val="00032AE0"/>
    <w:rsid w:val="00032C1E"/>
    <w:rsid w:val="00032C6A"/>
    <w:rsid w:val="0003337C"/>
    <w:rsid w:val="00033719"/>
    <w:rsid w:val="00033987"/>
    <w:rsid w:val="00033B2B"/>
    <w:rsid w:val="00033C2C"/>
    <w:rsid w:val="000342A1"/>
    <w:rsid w:val="000343C7"/>
    <w:rsid w:val="0003455C"/>
    <w:rsid w:val="000346B9"/>
    <w:rsid w:val="00035359"/>
    <w:rsid w:val="0003550D"/>
    <w:rsid w:val="000355A8"/>
    <w:rsid w:val="00035A11"/>
    <w:rsid w:val="00035D93"/>
    <w:rsid w:val="00035E06"/>
    <w:rsid w:val="0003626F"/>
    <w:rsid w:val="0003643E"/>
    <w:rsid w:val="0003673E"/>
    <w:rsid w:val="00036E68"/>
    <w:rsid w:val="0003702E"/>
    <w:rsid w:val="000374D9"/>
    <w:rsid w:val="00037791"/>
    <w:rsid w:val="00037A8A"/>
    <w:rsid w:val="00037B2C"/>
    <w:rsid w:val="00040A76"/>
    <w:rsid w:val="00041185"/>
    <w:rsid w:val="000412A4"/>
    <w:rsid w:val="000416FE"/>
    <w:rsid w:val="000417BD"/>
    <w:rsid w:val="00041868"/>
    <w:rsid w:val="000418E6"/>
    <w:rsid w:val="00041D27"/>
    <w:rsid w:val="0004206B"/>
    <w:rsid w:val="000424D1"/>
    <w:rsid w:val="00042685"/>
    <w:rsid w:val="00042D02"/>
    <w:rsid w:val="00042ECC"/>
    <w:rsid w:val="00042F26"/>
    <w:rsid w:val="00043007"/>
    <w:rsid w:val="0004324A"/>
    <w:rsid w:val="0004346C"/>
    <w:rsid w:val="000439A3"/>
    <w:rsid w:val="00043C41"/>
    <w:rsid w:val="00043F3B"/>
    <w:rsid w:val="00043FF1"/>
    <w:rsid w:val="00044282"/>
    <w:rsid w:val="00044A1B"/>
    <w:rsid w:val="00044E44"/>
    <w:rsid w:val="00044ECC"/>
    <w:rsid w:val="00044FB7"/>
    <w:rsid w:val="00045551"/>
    <w:rsid w:val="000456CB"/>
    <w:rsid w:val="00045C7E"/>
    <w:rsid w:val="000460BB"/>
    <w:rsid w:val="0004619F"/>
    <w:rsid w:val="000465DB"/>
    <w:rsid w:val="000466B5"/>
    <w:rsid w:val="000470ED"/>
    <w:rsid w:val="0004747F"/>
    <w:rsid w:val="00047517"/>
    <w:rsid w:val="00047C31"/>
    <w:rsid w:val="00047DDC"/>
    <w:rsid w:val="00050440"/>
    <w:rsid w:val="00050661"/>
    <w:rsid w:val="00050816"/>
    <w:rsid w:val="00050B41"/>
    <w:rsid w:val="00050C46"/>
    <w:rsid w:val="00050F51"/>
    <w:rsid w:val="00050F87"/>
    <w:rsid w:val="000513CC"/>
    <w:rsid w:val="00051865"/>
    <w:rsid w:val="000518EA"/>
    <w:rsid w:val="00052053"/>
    <w:rsid w:val="00052477"/>
    <w:rsid w:val="00052501"/>
    <w:rsid w:val="00052615"/>
    <w:rsid w:val="00052B54"/>
    <w:rsid w:val="00052B92"/>
    <w:rsid w:val="00052CB1"/>
    <w:rsid w:val="00053035"/>
    <w:rsid w:val="000533DE"/>
    <w:rsid w:val="000539F8"/>
    <w:rsid w:val="00053EDD"/>
    <w:rsid w:val="00054056"/>
    <w:rsid w:val="00054C09"/>
    <w:rsid w:val="00054CF2"/>
    <w:rsid w:val="0005517D"/>
    <w:rsid w:val="00055367"/>
    <w:rsid w:val="000554A4"/>
    <w:rsid w:val="00055A79"/>
    <w:rsid w:val="00055D0C"/>
    <w:rsid w:val="00055FE2"/>
    <w:rsid w:val="0005616B"/>
    <w:rsid w:val="000566A4"/>
    <w:rsid w:val="0005686E"/>
    <w:rsid w:val="00056C54"/>
    <w:rsid w:val="00056D44"/>
    <w:rsid w:val="000572EB"/>
    <w:rsid w:val="0005731A"/>
    <w:rsid w:val="00057888"/>
    <w:rsid w:val="00057AB4"/>
    <w:rsid w:val="00057E75"/>
    <w:rsid w:val="00060281"/>
    <w:rsid w:val="000604E5"/>
    <w:rsid w:val="00060648"/>
    <w:rsid w:val="00060B8E"/>
    <w:rsid w:val="00060CEB"/>
    <w:rsid w:val="00060DAF"/>
    <w:rsid w:val="00061107"/>
    <w:rsid w:val="0006139D"/>
    <w:rsid w:val="000616F8"/>
    <w:rsid w:val="00061727"/>
    <w:rsid w:val="00061908"/>
    <w:rsid w:val="00061B07"/>
    <w:rsid w:val="00061BCC"/>
    <w:rsid w:val="00062107"/>
    <w:rsid w:val="000625B8"/>
    <w:rsid w:val="0006261D"/>
    <w:rsid w:val="00062675"/>
    <w:rsid w:val="00062734"/>
    <w:rsid w:val="00062F35"/>
    <w:rsid w:val="000636F0"/>
    <w:rsid w:val="00063A8E"/>
    <w:rsid w:val="00063C75"/>
    <w:rsid w:val="00063DB9"/>
    <w:rsid w:val="00063FC2"/>
    <w:rsid w:val="00064107"/>
    <w:rsid w:val="000649BB"/>
    <w:rsid w:val="00064E1D"/>
    <w:rsid w:val="000656D9"/>
    <w:rsid w:val="0006575B"/>
    <w:rsid w:val="00065B1A"/>
    <w:rsid w:val="00065B72"/>
    <w:rsid w:val="00065CD4"/>
    <w:rsid w:val="00065D9B"/>
    <w:rsid w:val="00065E1A"/>
    <w:rsid w:val="00065E7D"/>
    <w:rsid w:val="0006610A"/>
    <w:rsid w:val="000661A0"/>
    <w:rsid w:val="000661D5"/>
    <w:rsid w:val="000661DF"/>
    <w:rsid w:val="0006628D"/>
    <w:rsid w:val="000662E2"/>
    <w:rsid w:val="000663A8"/>
    <w:rsid w:val="00066412"/>
    <w:rsid w:val="00066825"/>
    <w:rsid w:val="00066AD7"/>
    <w:rsid w:val="00066B2C"/>
    <w:rsid w:val="00066C4F"/>
    <w:rsid w:val="00067521"/>
    <w:rsid w:val="000676CD"/>
    <w:rsid w:val="00067C68"/>
    <w:rsid w:val="00067D25"/>
    <w:rsid w:val="000703E1"/>
    <w:rsid w:val="00070503"/>
    <w:rsid w:val="000705E6"/>
    <w:rsid w:val="00070739"/>
    <w:rsid w:val="0007126C"/>
    <w:rsid w:val="000712A4"/>
    <w:rsid w:val="00071C9D"/>
    <w:rsid w:val="00071E6B"/>
    <w:rsid w:val="00071F73"/>
    <w:rsid w:val="000733F5"/>
    <w:rsid w:val="00073481"/>
    <w:rsid w:val="00073594"/>
    <w:rsid w:val="00073C1B"/>
    <w:rsid w:val="0007402A"/>
    <w:rsid w:val="00074111"/>
    <w:rsid w:val="000747D1"/>
    <w:rsid w:val="00074D48"/>
    <w:rsid w:val="000751D0"/>
    <w:rsid w:val="0007579C"/>
    <w:rsid w:val="000759B7"/>
    <w:rsid w:val="00075DBF"/>
    <w:rsid w:val="0007614C"/>
    <w:rsid w:val="0007629F"/>
    <w:rsid w:val="00076631"/>
    <w:rsid w:val="00076B7F"/>
    <w:rsid w:val="000772A4"/>
    <w:rsid w:val="000772DA"/>
    <w:rsid w:val="00077BE0"/>
    <w:rsid w:val="00077DE2"/>
    <w:rsid w:val="0008026D"/>
    <w:rsid w:val="0008095A"/>
    <w:rsid w:val="000809BF"/>
    <w:rsid w:val="00080A2D"/>
    <w:rsid w:val="00081802"/>
    <w:rsid w:val="000818F7"/>
    <w:rsid w:val="0008195C"/>
    <w:rsid w:val="00081D3D"/>
    <w:rsid w:val="00081D5C"/>
    <w:rsid w:val="000820F1"/>
    <w:rsid w:val="000822D9"/>
    <w:rsid w:val="0008251C"/>
    <w:rsid w:val="0008252D"/>
    <w:rsid w:val="00083A91"/>
    <w:rsid w:val="00083D04"/>
    <w:rsid w:val="00083EF2"/>
    <w:rsid w:val="000846CF"/>
    <w:rsid w:val="000848A7"/>
    <w:rsid w:val="00084B29"/>
    <w:rsid w:val="00084B89"/>
    <w:rsid w:val="000852BF"/>
    <w:rsid w:val="0008547D"/>
    <w:rsid w:val="0008556F"/>
    <w:rsid w:val="00085717"/>
    <w:rsid w:val="00085DF3"/>
    <w:rsid w:val="00086188"/>
    <w:rsid w:val="000862CB"/>
    <w:rsid w:val="00086557"/>
    <w:rsid w:val="000865FD"/>
    <w:rsid w:val="0008691A"/>
    <w:rsid w:val="00086EFD"/>
    <w:rsid w:val="000870FB"/>
    <w:rsid w:val="000873C5"/>
    <w:rsid w:val="00087503"/>
    <w:rsid w:val="000875C3"/>
    <w:rsid w:val="00087AEE"/>
    <w:rsid w:val="00087E87"/>
    <w:rsid w:val="00087F9D"/>
    <w:rsid w:val="0009016E"/>
    <w:rsid w:val="00090397"/>
    <w:rsid w:val="0009077A"/>
    <w:rsid w:val="00090B81"/>
    <w:rsid w:val="00090BC1"/>
    <w:rsid w:val="00090BF7"/>
    <w:rsid w:val="00090DCB"/>
    <w:rsid w:val="00090F23"/>
    <w:rsid w:val="000911EA"/>
    <w:rsid w:val="0009163F"/>
    <w:rsid w:val="00091812"/>
    <w:rsid w:val="000918AA"/>
    <w:rsid w:val="00091A25"/>
    <w:rsid w:val="00091A7C"/>
    <w:rsid w:val="00091E14"/>
    <w:rsid w:val="00091F90"/>
    <w:rsid w:val="00091FEC"/>
    <w:rsid w:val="0009276C"/>
    <w:rsid w:val="00092887"/>
    <w:rsid w:val="000932FD"/>
    <w:rsid w:val="0009331B"/>
    <w:rsid w:val="00093A2E"/>
    <w:rsid w:val="00093A69"/>
    <w:rsid w:val="000947C2"/>
    <w:rsid w:val="00094A6A"/>
    <w:rsid w:val="00094BA3"/>
    <w:rsid w:val="0009518C"/>
    <w:rsid w:val="000951F7"/>
    <w:rsid w:val="00095242"/>
    <w:rsid w:val="000952EA"/>
    <w:rsid w:val="0009579E"/>
    <w:rsid w:val="00095AE1"/>
    <w:rsid w:val="00095D20"/>
    <w:rsid w:val="00095E9B"/>
    <w:rsid w:val="00095EB4"/>
    <w:rsid w:val="000963A0"/>
    <w:rsid w:val="0009660E"/>
    <w:rsid w:val="000967B7"/>
    <w:rsid w:val="00096AD2"/>
    <w:rsid w:val="00096C41"/>
    <w:rsid w:val="000975B0"/>
    <w:rsid w:val="000977BC"/>
    <w:rsid w:val="000978EA"/>
    <w:rsid w:val="00097A7D"/>
    <w:rsid w:val="000A0238"/>
    <w:rsid w:val="000A0352"/>
    <w:rsid w:val="000A049F"/>
    <w:rsid w:val="000A04AF"/>
    <w:rsid w:val="000A04D5"/>
    <w:rsid w:val="000A08B9"/>
    <w:rsid w:val="000A106B"/>
    <w:rsid w:val="000A111B"/>
    <w:rsid w:val="000A1301"/>
    <w:rsid w:val="000A14B0"/>
    <w:rsid w:val="000A1592"/>
    <w:rsid w:val="000A1668"/>
    <w:rsid w:val="000A16B9"/>
    <w:rsid w:val="000A19AC"/>
    <w:rsid w:val="000A1A0C"/>
    <w:rsid w:val="000A1C45"/>
    <w:rsid w:val="000A2304"/>
    <w:rsid w:val="000A234C"/>
    <w:rsid w:val="000A2946"/>
    <w:rsid w:val="000A2BC6"/>
    <w:rsid w:val="000A2C13"/>
    <w:rsid w:val="000A2F83"/>
    <w:rsid w:val="000A313F"/>
    <w:rsid w:val="000A32B2"/>
    <w:rsid w:val="000A3546"/>
    <w:rsid w:val="000A3CEE"/>
    <w:rsid w:val="000A3F05"/>
    <w:rsid w:val="000A46BA"/>
    <w:rsid w:val="000A470F"/>
    <w:rsid w:val="000A486C"/>
    <w:rsid w:val="000A4B34"/>
    <w:rsid w:val="000A4D6F"/>
    <w:rsid w:val="000A4ECA"/>
    <w:rsid w:val="000A4F03"/>
    <w:rsid w:val="000A4FF3"/>
    <w:rsid w:val="000A5010"/>
    <w:rsid w:val="000A509B"/>
    <w:rsid w:val="000A5406"/>
    <w:rsid w:val="000A5536"/>
    <w:rsid w:val="000A5840"/>
    <w:rsid w:val="000A5B26"/>
    <w:rsid w:val="000A5E31"/>
    <w:rsid w:val="000A607C"/>
    <w:rsid w:val="000A60A1"/>
    <w:rsid w:val="000A6535"/>
    <w:rsid w:val="000A79C8"/>
    <w:rsid w:val="000A7CA7"/>
    <w:rsid w:val="000A7E3C"/>
    <w:rsid w:val="000A7EDD"/>
    <w:rsid w:val="000B0184"/>
    <w:rsid w:val="000B0759"/>
    <w:rsid w:val="000B0C1B"/>
    <w:rsid w:val="000B0D6B"/>
    <w:rsid w:val="000B1679"/>
    <w:rsid w:val="000B18FB"/>
    <w:rsid w:val="000B198C"/>
    <w:rsid w:val="000B1A26"/>
    <w:rsid w:val="000B1B24"/>
    <w:rsid w:val="000B2020"/>
    <w:rsid w:val="000B222E"/>
    <w:rsid w:val="000B2246"/>
    <w:rsid w:val="000B272C"/>
    <w:rsid w:val="000B2C7C"/>
    <w:rsid w:val="000B3412"/>
    <w:rsid w:val="000B4262"/>
    <w:rsid w:val="000B48CD"/>
    <w:rsid w:val="000B48F8"/>
    <w:rsid w:val="000B4A0E"/>
    <w:rsid w:val="000B4B0F"/>
    <w:rsid w:val="000B57A8"/>
    <w:rsid w:val="000B57CB"/>
    <w:rsid w:val="000B5BC9"/>
    <w:rsid w:val="000B67E9"/>
    <w:rsid w:val="000B67F5"/>
    <w:rsid w:val="000B73E9"/>
    <w:rsid w:val="000B76E3"/>
    <w:rsid w:val="000C00C4"/>
    <w:rsid w:val="000C06C0"/>
    <w:rsid w:val="000C0982"/>
    <w:rsid w:val="000C0D2C"/>
    <w:rsid w:val="000C10C0"/>
    <w:rsid w:val="000C16F7"/>
    <w:rsid w:val="000C1826"/>
    <w:rsid w:val="000C1895"/>
    <w:rsid w:val="000C1926"/>
    <w:rsid w:val="000C1B3D"/>
    <w:rsid w:val="000C1CCB"/>
    <w:rsid w:val="000C1FB9"/>
    <w:rsid w:val="000C20AC"/>
    <w:rsid w:val="000C2687"/>
    <w:rsid w:val="000C33B6"/>
    <w:rsid w:val="000C3986"/>
    <w:rsid w:val="000C3C64"/>
    <w:rsid w:val="000C4025"/>
    <w:rsid w:val="000C44C3"/>
    <w:rsid w:val="000C45B9"/>
    <w:rsid w:val="000C58FC"/>
    <w:rsid w:val="000C5C51"/>
    <w:rsid w:val="000C5E08"/>
    <w:rsid w:val="000C6046"/>
    <w:rsid w:val="000C6781"/>
    <w:rsid w:val="000C6B70"/>
    <w:rsid w:val="000C6F62"/>
    <w:rsid w:val="000C7086"/>
    <w:rsid w:val="000C7125"/>
    <w:rsid w:val="000C7482"/>
    <w:rsid w:val="000C7652"/>
    <w:rsid w:val="000C7756"/>
    <w:rsid w:val="000C7F76"/>
    <w:rsid w:val="000D02CA"/>
    <w:rsid w:val="000D04DC"/>
    <w:rsid w:val="000D0A87"/>
    <w:rsid w:val="000D0CB5"/>
    <w:rsid w:val="000D0E52"/>
    <w:rsid w:val="000D0EE9"/>
    <w:rsid w:val="000D1264"/>
    <w:rsid w:val="000D15A8"/>
    <w:rsid w:val="000D199B"/>
    <w:rsid w:val="000D1F88"/>
    <w:rsid w:val="000D253F"/>
    <w:rsid w:val="000D29B9"/>
    <w:rsid w:val="000D34C1"/>
    <w:rsid w:val="000D35E7"/>
    <w:rsid w:val="000D36FD"/>
    <w:rsid w:val="000D3D96"/>
    <w:rsid w:val="000D3EEA"/>
    <w:rsid w:val="000D40D2"/>
    <w:rsid w:val="000D414A"/>
    <w:rsid w:val="000D4335"/>
    <w:rsid w:val="000D47FD"/>
    <w:rsid w:val="000D4960"/>
    <w:rsid w:val="000D4E7D"/>
    <w:rsid w:val="000D4F73"/>
    <w:rsid w:val="000D562D"/>
    <w:rsid w:val="000D5658"/>
    <w:rsid w:val="000D5F9B"/>
    <w:rsid w:val="000D62B3"/>
    <w:rsid w:val="000D642D"/>
    <w:rsid w:val="000D6602"/>
    <w:rsid w:val="000D6DC3"/>
    <w:rsid w:val="000D730F"/>
    <w:rsid w:val="000D73EF"/>
    <w:rsid w:val="000D7620"/>
    <w:rsid w:val="000D7F0B"/>
    <w:rsid w:val="000D7F67"/>
    <w:rsid w:val="000E02D5"/>
    <w:rsid w:val="000E0370"/>
    <w:rsid w:val="000E04AE"/>
    <w:rsid w:val="000E0903"/>
    <w:rsid w:val="000E0D25"/>
    <w:rsid w:val="000E11EE"/>
    <w:rsid w:val="000E13D1"/>
    <w:rsid w:val="000E1756"/>
    <w:rsid w:val="000E221F"/>
    <w:rsid w:val="000E22E0"/>
    <w:rsid w:val="000E2341"/>
    <w:rsid w:val="000E2618"/>
    <w:rsid w:val="000E28E0"/>
    <w:rsid w:val="000E2996"/>
    <w:rsid w:val="000E2AB9"/>
    <w:rsid w:val="000E2CDB"/>
    <w:rsid w:val="000E328F"/>
    <w:rsid w:val="000E3491"/>
    <w:rsid w:val="000E35A0"/>
    <w:rsid w:val="000E361D"/>
    <w:rsid w:val="000E39D4"/>
    <w:rsid w:val="000E3C3D"/>
    <w:rsid w:val="000E3CD6"/>
    <w:rsid w:val="000E4D6E"/>
    <w:rsid w:val="000E5357"/>
    <w:rsid w:val="000E53B7"/>
    <w:rsid w:val="000E548B"/>
    <w:rsid w:val="000E589D"/>
    <w:rsid w:val="000E5C2D"/>
    <w:rsid w:val="000E605C"/>
    <w:rsid w:val="000E62C5"/>
    <w:rsid w:val="000E64B3"/>
    <w:rsid w:val="000E64F6"/>
    <w:rsid w:val="000E6BB9"/>
    <w:rsid w:val="000E6C0A"/>
    <w:rsid w:val="000E6D6B"/>
    <w:rsid w:val="000E7113"/>
    <w:rsid w:val="000E71A3"/>
    <w:rsid w:val="000E7581"/>
    <w:rsid w:val="000E758B"/>
    <w:rsid w:val="000F0BAE"/>
    <w:rsid w:val="000F14DB"/>
    <w:rsid w:val="000F167A"/>
    <w:rsid w:val="000F1884"/>
    <w:rsid w:val="000F1A73"/>
    <w:rsid w:val="000F1F99"/>
    <w:rsid w:val="000F1FCA"/>
    <w:rsid w:val="000F2119"/>
    <w:rsid w:val="000F2461"/>
    <w:rsid w:val="000F2497"/>
    <w:rsid w:val="000F249C"/>
    <w:rsid w:val="000F2813"/>
    <w:rsid w:val="000F287C"/>
    <w:rsid w:val="000F29C2"/>
    <w:rsid w:val="000F2BD9"/>
    <w:rsid w:val="000F2EBB"/>
    <w:rsid w:val="000F333E"/>
    <w:rsid w:val="000F35B3"/>
    <w:rsid w:val="000F37E3"/>
    <w:rsid w:val="000F395B"/>
    <w:rsid w:val="000F3D48"/>
    <w:rsid w:val="000F3F56"/>
    <w:rsid w:val="000F4074"/>
    <w:rsid w:val="000F41B4"/>
    <w:rsid w:val="000F46D7"/>
    <w:rsid w:val="000F4832"/>
    <w:rsid w:val="000F4937"/>
    <w:rsid w:val="000F4E59"/>
    <w:rsid w:val="000F51BD"/>
    <w:rsid w:val="000F5470"/>
    <w:rsid w:val="000F58ED"/>
    <w:rsid w:val="000F593D"/>
    <w:rsid w:val="000F5F1C"/>
    <w:rsid w:val="000F6A48"/>
    <w:rsid w:val="000F6B00"/>
    <w:rsid w:val="000F6B30"/>
    <w:rsid w:val="000F774D"/>
    <w:rsid w:val="000F7D75"/>
    <w:rsid w:val="000F7FDE"/>
    <w:rsid w:val="00100493"/>
    <w:rsid w:val="001005FE"/>
    <w:rsid w:val="00101090"/>
    <w:rsid w:val="001011ED"/>
    <w:rsid w:val="0010148D"/>
    <w:rsid w:val="0010193F"/>
    <w:rsid w:val="00101DE0"/>
    <w:rsid w:val="00101DF5"/>
    <w:rsid w:val="0010214A"/>
    <w:rsid w:val="0010243D"/>
    <w:rsid w:val="001024CF"/>
    <w:rsid w:val="00102931"/>
    <w:rsid w:val="00102BFF"/>
    <w:rsid w:val="00102D87"/>
    <w:rsid w:val="00102E20"/>
    <w:rsid w:val="001031A9"/>
    <w:rsid w:val="0010342B"/>
    <w:rsid w:val="00103A0C"/>
    <w:rsid w:val="00103A11"/>
    <w:rsid w:val="00103E00"/>
    <w:rsid w:val="00104278"/>
    <w:rsid w:val="00104375"/>
    <w:rsid w:val="00104B92"/>
    <w:rsid w:val="00104BC2"/>
    <w:rsid w:val="00104FAE"/>
    <w:rsid w:val="00105038"/>
    <w:rsid w:val="001057F1"/>
    <w:rsid w:val="00105995"/>
    <w:rsid w:val="00105A73"/>
    <w:rsid w:val="00105CE4"/>
    <w:rsid w:val="00105DF7"/>
    <w:rsid w:val="00106624"/>
    <w:rsid w:val="001067CD"/>
    <w:rsid w:val="0010685D"/>
    <w:rsid w:val="00106C0B"/>
    <w:rsid w:val="00106FD8"/>
    <w:rsid w:val="0010774F"/>
    <w:rsid w:val="001077B5"/>
    <w:rsid w:val="00107CEE"/>
    <w:rsid w:val="00107DE9"/>
    <w:rsid w:val="00107E16"/>
    <w:rsid w:val="00110AAD"/>
    <w:rsid w:val="00110C17"/>
    <w:rsid w:val="00110C38"/>
    <w:rsid w:val="00111299"/>
    <w:rsid w:val="001112B3"/>
    <w:rsid w:val="001113E6"/>
    <w:rsid w:val="00111922"/>
    <w:rsid w:val="001119C2"/>
    <w:rsid w:val="00111A72"/>
    <w:rsid w:val="00111AE1"/>
    <w:rsid w:val="00111B9D"/>
    <w:rsid w:val="00111C5E"/>
    <w:rsid w:val="00111C81"/>
    <w:rsid w:val="00111F47"/>
    <w:rsid w:val="00112063"/>
    <w:rsid w:val="001123D5"/>
    <w:rsid w:val="00112455"/>
    <w:rsid w:val="0011265A"/>
    <w:rsid w:val="001126AF"/>
    <w:rsid w:val="0011312D"/>
    <w:rsid w:val="001133C6"/>
    <w:rsid w:val="001137E8"/>
    <w:rsid w:val="001138ED"/>
    <w:rsid w:val="00113A05"/>
    <w:rsid w:val="00113B73"/>
    <w:rsid w:val="00113C0C"/>
    <w:rsid w:val="00113FA3"/>
    <w:rsid w:val="0011477B"/>
    <w:rsid w:val="00114A73"/>
    <w:rsid w:val="001151AB"/>
    <w:rsid w:val="001153C4"/>
    <w:rsid w:val="00115B4D"/>
    <w:rsid w:val="0011600D"/>
    <w:rsid w:val="00116153"/>
    <w:rsid w:val="0011641E"/>
    <w:rsid w:val="00116819"/>
    <w:rsid w:val="00116B77"/>
    <w:rsid w:val="00116C1D"/>
    <w:rsid w:val="001175D5"/>
    <w:rsid w:val="00117755"/>
    <w:rsid w:val="00117B35"/>
    <w:rsid w:val="00117CDB"/>
    <w:rsid w:val="00117DFD"/>
    <w:rsid w:val="00120092"/>
    <w:rsid w:val="00120321"/>
    <w:rsid w:val="00120623"/>
    <w:rsid w:val="0012082E"/>
    <w:rsid w:val="00120AAD"/>
    <w:rsid w:val="00120D29"/>
    <w:rsid w:val="00120DFC"/>
    <w:rsid w:val="0012101B"/>
    <w:rsid w:val="001210F6"/>
    <w:rsid w:val="001216B4"/>
    <w:rsid w:val="00121762"/>
    <w:rsid w:val="00121AAE"/>
    <w:rsid w:val="00121D4B"/>
    <w:rsid w:val="00121D69"/>
    <w:rsid w:val="00121F2F"/>
    <w:rsid w:val="00122638"/>
    <w:rsid w:val="00122A05"/>
    <w:rsid w:val="00122B7A"/>
    <w:rsid w:val="00122DE9"/>
    <w:rsid w:val="00122FCE"/>
    <w:rsid w:val="0012314A"/>
    <w:rsid w:val="001232AE"/>
    <w:rsid w:val="00123597"/>
    <w:rsid w:val="0012398B"/>
    <w:rsid w:val="00123A58"/>
    <w:rsid w:val="00123B15"/>
    <w:rsid w:val="00123E22"/>
    <w:rsid w:val="001240B3"/>
    <w:rsid w:val="0012417A"/>
    <w:rsid w:val="001243B8"/>
    <w:rsid w:val="0012454A"/>
    <w:rsid w:val="001245A4"/>
    <w:rsid w:val="00124757"/>
    <w:rsid w:val="0012491D"/>
    <w:rsid w:val="00124953"/>
    <w:rsid w:val="0012508A"/>
    <w:rsid w:val="00125095"/>
    <w:rsid w:val="0012521F"/>
    <w:rsid w:val="001252CC"/>
    <w:rsid w:val="00125716"/>
    <w:rsid w:val="00125854"/>
    <w:rsid w:val="0012682D"/>
    <w:rsid w:val="001268B8"/>
    <w:rsid w:val="00126BEF"/>
    <w:rsid w:val="00126CE2"/>
    <w:rsid w:val="00126FA5"/>
    <w:rsid w:val="001275F3"/>
    <w:rsid w:val="001277C6"/>
    <w:rsid w:val="00127883"/>
    <w:rsid w:val="001301E0"/>
    <w:rsid w:val="00130975"/>
    <w:rsid w:val="00130A3E"/>
    <w:rsid w:val="00130A79"/>
    <w:rsid w:val="00130BD4"/>
    <w:rsid w:val="001311A8"/>
    <w:rsid w:val="00131412"/>
    <w:rsid w:val="001315E6"/>
    <w:rsid w:val="00131BCA"/>
    <w:rsid w:val="001327BF"/>
    <w:rsid w:val="00132A3B"/>
    <w:rsid w:val="00132B4E"/>
    <w:rsid w:val="00132CB8"/>
    <w:rsid w:val="00133045"/>
    <w:rsid w:val="001338BE"/>
    <w:rsid w:val="00133944"/>
    <w:rsid w:val="00133948"/>
    <w:rsid w:val="00133B96"/>
    <w:rsid w:val="00133BA2"/>
    <w:rsid w:val="00133D1E"/>
    <w:rsid w:val="00133DD4"/>
    <w:rsid w:val="00134186"/>
    <w:rsid w:val="001341D9"/>
    <w:rsid w:val="001343A2"/>
    <w:rsid w:val="00134523"/>
    <w:rsid w:val="001345C1"/>
    <w:rsid w:val="001349CE"/>
    <w:rsid w:val="00134B91"/>
    <w:rsid w:val="00134D36"/>
    <w:rsid w:val="00134D56"/>
    <w:rsid w:val="00134DAF"/>
    <w:rsid w:val="00134EAA"/>
    <w:rsid w:val="00135005"/>
    <w:rsid w:val="00135266"/>
    <w:rsid w:val="00135D66"/>
    <w:rsid w:val="00135EDD"/>
    <w:rsid w:val="00136261"/>
    <w:rsid w:val="00136823"/>
    <w:rsid w:val="00137457"/>
    <w:rsid w:val="00137660"/>
    <w:rsid w:val="001377BC"/>
    <w:rsid w:val="00137A71"/>
    <w:rsid w:val="00137ED1"/>
    <w:rsid w:val="00140458"/>
    <w:rsid w:val="0014049B"/>
    <w:rsid w:val="001408F2"/>
    <w:rsid w:val="00140A7E"/>
    <w:rsid w:val="00140BD1"/>
    <w:rsid w:val="00141992"/>
    <w:rsid w:val="00141C9B"/>
    <w:rsid w:val="001420AE"/>
    <w:rsid w:val="00142528"/>
    <w:rsid w:val="00142598"/>
    <w:rsid w:val="001427A7"/>
    <w:rsid w:val="00142DE2"/>
    <w:rsid w:val="001433A8"/>
    <w:rsid w:val="00143E7F"/>
    <w:rsid w:val="00143E98"/>
    <w:rsid w:val="00143EA9"/>
    <w:rsid w:val="0014499B"/>
    <w:rsid w:val="00145249"/>
    <w:rsid w:val="00145817"/>
    <w:rsid w:val="00145908"/>
    <w:rsid w:val="00146D47"/>
    <w:rsid w:val="001470C6"/>
    <w:rsid w:val="0014778D"/>
    <w:rsid w:val="00147E95"/>
    <w:rsid w:val="00150378"/>
    <w:rsid w:val="001506C6"/>
    <w:rsid w:val="00150885"/>
    <w:rsid w:val="00150B9E"/>
    <w:rsid w:val="0015123D"/>
    <w:rsid w:val="0015133A"/>
    <w:rsid w:val="00151A58"/>
    <w:rsid w:val="00151BE0"/>
    <w:rsid w:val="00151FF2"/>
    <w:rsid w:val="00152602"/>
    <w:rsid w:val="00152751"/>
    <w:rsid w:val="00152A87"/>
    <w:rsid w:val="00152C66"/>
    <w:rsid w:val="00152CC9"/>
    <w:rsid w:val="00152CF9"/>
    <w:rsid w:val="00152D18"/>
    <w:rsid w:val="001530B9"/>
    <w:rsid w:val="00153250"/>
    <w:rsid w:val="0015386A"/>
    <w:rsid w:val="001539AF"/>
    <w:rsid w:val="00153AEF"/>
    <w:rsid w:val="00153DB9"/>
    <w:rsid w:val="00153E9E"/>
    <w:rsid w:val="00154510"/>
    <w:rsid w:val="0015452C"/>
    <w:rsid w:val="001546A7"/>
    <w:rsid w:val="00154EE1"/>
    <w:rsid w:val="001554F1"/>
    <w:rsid w:val="001558AC"/>
    <w:rsid w:val="00155BBD"/>
    <w:rsid w:val="00155DFE"/>
    <w:rsid w:val="00155E80"/>
    <w:rsid w:val="0015622E"/>
    <w:rsid w:val="0015661D"/>
    <w:rsid w:val="001567AC"/>
    <w:rsid w:val="0015702F"/>
    <w:rsid w:val="001570BF"/>
    <w:rsid w:val="001570E6"/>
    <w:rsid w:val="00157A76"/>
    <w:rsid w:val="00157F46"/>
    <w:rsid w:val="001600E3"/>
    <w:rsid w:val="001605BC"/>
    <w:rsid w:val="001609B9"/>
    <w:rsid w:val="00160A5B"/>
    <w:rsid w:val="00160D99"/>
    <w:rsid w:val="00160E3D"/>
    <w:rsid w:val="001614F0"/>
    <w:rsid w:val="00161506"/>
    <w:rsid w:val="00161759"/>
    <w:rsid w:val="00161B89"/>
    <w:rsid w:val="00162049"/>
    <w:rsid w:val="001626B2"/>
    <w:rsid w:val="00162EA9"/>
    <w:rsid w:val="001630BD"/>
    <w:rsid w:val="00163145"/>
    <w:rsid w:val="00163485"/>
    <w:rsid w:val="0016380C"/>
    <w:rsid w:val="00163ADB"/>
    <w:rsid w:val="00163AF8"/>
    <w:rsid w:val="00163D76"/>
    <w:rsid w:val="00163E90"/>
    <w:rsid w:val="00163FE5"/>
    <w:rsid w:val="00164308"/>
    <w:rsid w:val="001646C2"/>
    <w:rsid w:val="0016529F"/>
    <w:rsid w:val="0016531E"/>
    <w:rsid w:val="00165726"/>
    <w:rsid w:val="00165B20"/>
    <w:rsid w:val="00165C48"/>
    <w:rsid w:val="00165D8B"/>
    <w:rsid w:val="0016693B"/>
    <w:rsid w:val="001669E9"/>
    <w:rsid w:val="00166AE7"/>
    <w:rsid w:val="00166F46"/>
    <w:rsid w:val="001671DF"/>
    <w:rsid w:val="001673E5"/>
    <w:rsid w:val="00167CAE"/>
    <w:rsid w:val="00167F47"/>
    <w:rsid w:val="001708D8"/>
    <w:rsid w:val="00170AAB"/>
    <w:rsid w:val="00170FB3"/>
    <w:rsid w:val="00171103"/>
    <w:rsid w:val="0017144C"/>
    <w:rsid w:val="001716E6"/>
    <w:rsid w:val="00171751"/>
    <w:rsid w:val="001719CE"/>
    <w:rsid w:val="001719E8"/>
    <w:rsid w:val="00171FC3"/>
    <w:rsid w:val="001725F3"/>
    <w:rsid w:val="00172872"/>
    <w:rsid w:val="00172943"/>
    <w:rsid w:val="00172A88"/>
    <w:rsid w:val="00172B79"/>
    <w:rsid w:val="00172E7A"/>
    <w:rsid w:val="00172FE3"/>
    <w:rsid w:val="001733C4"/>
    <w:rsid w:val="001736C2"/>
    <w:rsid w:val="001736FB"/>
    <w:rsid w:val="00173BA2"/>
    <w:rsid w:val="00173C45"/>
    <w:rsid w:val="001741FB"/>
    <w:rsid w:val="00174455"/>
    <w:rsid w:val="00174474"/>
    <w:rsid w:val="001747ED"/>
    <w:rsid w:val="0017483B"/>
    <w:rsid w:val="001749DE"/>
    <w:rsid w:val="00174BFC"/>
    <w:rsid w:val="00174FDD"/>
    <w:rsid w:val="0017517A"/>
    <w:rsid w:val="00175663"/>
    <w:rsid w:val="001759B2"/>
    <w:rsid w:val="00175A8C"/>
    <w:rsid w:val="00175B2F"/>
    <w:rsid w:val="00175C1C"/>
    <w:rsid w:val="001760FB"/>
    <w:rsid w:val="0017645B"/>
    <w:rsid w:val="00176480"/>
    <w:rsid w:val="001764E9"/>
    <w:rsid w:val="001768A3"/>
    <w:rsid w:val="00176DB4"/>
    <w:rsid w:val="00176E2F"/>
    <w:rsid w:val="00176F54"/>
    <w:rsid w:val="00176FF5"/>
    <w:rsid w:val="00177AE2"/>
    <w:rsid w:val="00177F7E"/>
    <w:rsid w:val="0018050F"/>
    <w:rsid w:val="00180B5E"/>
    <w:rsid w:val="00180BFA"/>
    <w:rsid w:val="00180E74"/>
    <w:rsid w:val="00180E84"/>
    <w:rsid w:val="00180EBF"/>
    <w:rsid w:val="0018125C"/>
    <w:rsid w:val="001813D5"/>
    <w:rsid w:val="00181468"/>
    <w:rsid w:val="001815C6"/>
    <w:rsid w:val="00181B47"/>
    <w:rsid w:val="00181B71"/>
    <w:rsid w:val="00182AF7"/>
    <w:rsid w:val="001830B4"/>
    <w:rsid w:val="001830FF"/>
    <w:rsid w:val="00183119"/>
    <w:rsid w:val="001832C9"/>
    <w:rsid w:val="0018334D"/>
    <w:rsid w:val="0018341A"/>
    <w:rsid w:val="001836A7"/>
    <w:rsid w:val="001838B2"/>
    <w:rsid w:val="00183E0A"/>
    <w:rsid w:val="00183F48"/>
    <w:rsid w:val="00184613"/>
    <w:rsid w:val="001848CC"/>
    <w:rsid w:val="00184EBF"/>
    <w:rsid w:val="0018541C"/>
    <w:rsid w:val="001854B9"/>
    <w:rsid w:val="0018559C"/>
    <w:rsid w:val="001855E3"/>
    <w:rsid w:val="001858FB"/>
    <w:rsid w:val="00185E9E"/>
    <w:rsid w:val="00186BB5"/>
    <w:rsid w:val="00186C15"/>
    <w:rsid w:val="00186E97"/>
    <w:rsid w:val="00187174"/>
    <w:rsid w:val="00187306"/>
    <w:rsid w:val="00187496"/>
    <w:rsid w:val="0018797E"/>
    <w:rsid w:val="00187B73"/>
    <w:rsid w:val="00187BA6"/>
    <w:rsid w:val="00187D31"/>
    <w:rsid w:val="00187E7B"/>
    <w:rsid w:val="0019073E"/>
    <w:rsid w:val="00190A82"/>
    <w:rsid w:val="0019133A"/>
    <w:rsid w:val="00191B52"/>
    <w:rsid w:val="00191BEE"/>
    <w:rsid w:val="00191F38"/>
    <w:rsid w:val="00192224"/>
    <w:rsid w:val="001924D8"/>
    <w:rsid w:val="0019289B"/>
    <w:rsid w:val="001928FA"/>
    <w:rsid w:val="001929C8"/>
    <w:rsid w:val="00192B1B"/>
    <w:rsid w:val="00192C10"/>
    <w:rsid w:val="00192F0B"/>
    <w:rsid w:val="001935C9"/>
    <w:rsid w:val="00193A6A"/>
    <w:rsid w:val="00193D7B"/>
    <w:rsid w:val="001940E0"/>
    <w:rsid w:val="001942D3"/>
    <w:rsid w:val="00194444"/>
    <w:rsid w:val="001945D4"/>
    <w:rsid w:val="00194C10"/>
    <w:rsid w:val="00194DE4"/>
    <w:rsid w:val="00194E31"/>
    <w:rsid w:val="00195108"/>
    <w:rsid w:val="00195208"/>
    <w:rsid w:val="00195287"/>
    <w:rsid w:val="001952E8"/>
    <w:rsid w:val="00195937"/>
    <w:rsid w:val="00195AB5"/>
    <w:rsid w:val="00195FCA"/>
    <w:rsid w:val="00196264"/>
    <w:rsid w:val="00196519"/>
    <w:rsid w:val="001965F1"/>
    <w:rsid w:val="00196673"/>
    <w:rsid w:val="00196721"/>
    <w:rsid w:val="001967B9"/>
    <w:rsid w:val="0019694A"/>
    <w:rsid w:val="001972D3"/>
    <w:rsid w:val="001976CC"/>
    <w:rsid w:val="00197AA1"/>
    <w:rsid w:val="00197CD3"/>
    <w:rsid w:val="001A00D5"/>
    <w:rsid w:val="001A047B"/>
    <w:rsid w:val="001A0D6F"/>
    <w:rsid w:val="001A0DCD"/>
    <w:rsid w:val="001A1323"/>
    <w:rsid w:val="001A15C9"/>
    <w:rsid w:val="001A1710"/>
    <w:rsid w:val="001A1A65"/>
    <w:rsid w:val="001A1B7B"/>
    <w:rsid w:val="001A2012"/>
    <w:rsid w:val="001A247D"/>
    <w:rsid w:val="001A28D7"/>
    <w:rsid w:val="001A293E"/>
    <w:rsid w:val="001A2F58"/>
    <w:rsid w:val="001A2FF2"/>
    <w:rsid w:val="001A3019"/>
    <w:rsid w:val="001A3132"/>
    <w:rsid w:val="001A31AE"/>
    <w:rsid w:val="001A32E7"/>
    <w:rsid w:val="001A3436"/>
    <w:rsid w:val="001A363C"/>
    <w:rsid w:val="001A3B65"/>
    <w:rsid w:val="001A412B"/>
    <w:rsid w:val="001A4DDA"/>
    <w:rsid w:val="001A4EAE"/>
    <w:rsid w:val="001A5762"/>
    <w:rsid w:val="001A5ABB"/>
    <w:rsid w:val="001A5BBF"/>
    <w:rsid w:val="001A5DF6"/>
    <w:rsid w:val="001A5F97"/>
    <w:rsid w:val="001A625A"/>
    <w:rsid w:val="001A62A2"/>
    <w:rsid w:val="001A63C6"/>
    <w:rsid w:val="001A64A5"/>
    <w:rsid w:val="001A66B5"/>
    <w:rsid w:val="001A6B5A"/>
    <w:rsid w:val="001A6D07"/>
    <w:rsid w:val="001A6FA2"/>
    <w:rsid w:val="001A7056"/>
    <w:rsid w:val="001A7371"/>
    <w:rsid w:val="001A7606"/>
    <w:rsid w:val="001A79CC"/>
    <w:rsid w:val="001A7AC1"/>
    <w:rsid w:val="001A7B43"/>
    <w:rsid w:val="001A7D90"/>
    <w:rsid w:val="001A7E1D"/>
    <w:rsid w:val="001B00B7"/>
    <w:rsid w:val="001B021E"/>
    <w:rsid w:val="001B03DF"/>
    <w:rsid w:val="001B0400"/>
    <w:rsid w:val="001B0442"/>
    <w:rsid w:val="001B0468"/>
    <w:rsid w:val="001B11DF"/>
    <w:rsid w:val="001B16CA"/>
    <w:rsid w:val="001B1963"/>
    <w:rsid w:val="001B19A3"/>
    <w:rsid w:val="001B1B53"/>
    <w:rsid w:val="001B1D68"/>
    <w:rsid w:val="001B2032"/>
    <w:rsid w:val="001B22D3"/>
    <w:rsid w:val="001B296E"/>
    <w:rsid w:val="001B2AA7"/>
    <w:rsid w:val="001B2C14"/>
    <w:rsid w:val="001B2CB3"/>
    <w:rsid w:val="001B30CF"/>
    <w:rsid w:val="001B3165"/>
    <w:rsid w:val="001B3707"/>
    <w:rsid w:val="001B3815"/>
    <w:rsid w:val="001B3B30"/>
    <w:rsid w:val="001B3C22"/>
    <w:rsid w:val="001B3D8A"/>
    <w:rsid w:val="001B402D"/>
    <w:rsid w:val="001B4430"/>
    <w:rsid w:val="001B486B"/>
    <w:rsid w:val="001B4C1F"/>
    <w:rsid w:val="001B53A7"/>
    <w:rsid w:val="001B5677"/>
    <w:rsid w:val="001B58BD"/>
    <w:rsid w:val="001B5B01"/>
    <w:rsid w:val="001B5B2A"/>
    <w:rsid w:val="001B5CB7"/>
    <w:rsid w:val="001B5CC0"/>
    <w:rsid w:val="001B5CFE"/>
    <w:rsid w:val="001B5DFD"/>
    <w:rsid w:val="001B60A3"/>
    <w:rsid w:val="001B661A"/>
    <w:rsid w:val="001B67F2"/>
    <w:rsid w:val="001B6B57"/>
    <w:rsid w:val="001B6CAA"/>
    <w:rsid w:val="001B6CDA"/>
    <w:rsid w:val="001B6E58"/>
    <w:rsid w:val="001B7162"/>
    <w:rsid w:val="001B74C9"/>
    <w:rsid w:val="001B756F"/>
    <w:rsid w:val="001B7608"/>
    <w:rsid w:val="001B7A01"/>
    <w:rsid w:val="001B7D02"/>
    <w:rsid w:val="001B7FCB"/>
    <w:rsid w:val="001C0448"/>
    <w:rsid w:val="001C0B1C"/>
    <w:rsid w:val="001C1350"/>
    <w:rsid w:val="001C1BAE"/>
    <w:rsid w:val="001C1D17"/>
    <w:rsid w:val="001C200D"/>
    <w:rsid w:val="001C24C8"/>
    <w:rsid w:val="001C263E"/>
    <w:rsid w:val="001C2AB6"/>
    <w:rsid w:val="001C2D64"/>
    <w:rsid w:val="001C2E5A"/>
    <w:rsid w:val="001C2F6F"/>
    <w:rsid w:val="001C30A1"/>
    <w:rsid w:val="001C376A"/>
    <w:rsid w:val="001C37DA"/>
    <w:rsid w:val="001C3ACE"/>
    <w:rsid w:val="001C3D4F"/>
    <w:rsid w:val="001C41D3"/>
    <w:rsid w:val="001C45C7"/>
    <w:rsid w:val="001C4674"/>
    <w:rsid w:val="001C4940"/>
    <w:rsid w:val="001C4A01"/>
    <w:rsid w:val="001C4F1B"/>
    <w:rsid w:val="001C4FB8"/>
    <w:rsid w:val="001C5108"/>
    <w:rsid w:val="001C5117"/>
    <w:rsid w:val="001C53EB"/>
    <w:rsid w:val="001C5594"/>
    <w:rsid w:val="001C56FA"/>
    <w:rsid w:val="001C597B"/>
    <w:rsid w:val="001C5AF1"/>
    <w:rsid w:val="001C5BEA"/>
    <w:rsid w:val="001C5F2E"/>
    <w:rsid w:val="001C60CC"/>
    <w:rsid w:val="001C6421"/>
    <w:rsid w:val="001C6504"/>
    <w:rsid w:val="001C6535"/>
    <w:rsid w:val="001C6571"/>
    <w:rsid w:val="001C6A31"/>
    <w:rsid w:val="001C6B4D"/>
    <w:rsid w:val="001C6C0E"/>
    <w:rsid w:val="001C6C46"/>
    <w:rsid w:val="001C6FF1"/>
    <w:rsid w:val="001C70D3"/>
    <w:rsid w:val="001C770B"/>
    <w:rsid w:val="001C7BD4"/>
    <w:rsid w:val="001C7CBC"/>
    <w:rsid w:val="001C7CCC"/>
    <w:rsid w:val="001C7E77"/>
    <w:rsid w:val="001C7F2E"/>
    <w:rsid w:val="001D001B"/>
    <w:rsid w:val="001D02BA"/>
    <w:rsid w:val="001D0BE4"/>
    <w:rsid w:val="001D1B5E"/>
    <w:rsid w:val="001D24A0"/>
    <w:rsid w:val="001D2674"/>
    <w:rsid w:val="001D26B3"/>
    <w:rsid w:val="001D2974"/>
    <w:rsid w:val="001D2B4E"/>
    <w:rsid w:val="001D2C27"/>
    <w:rsid w:val="001D30CD"/>
    <w:rsid w:val="001D3431"/>
    <w:rsid w:val="001D38E0"/>
    <w:rsid w:val="001D39D8"/>
    <w:rsid w:val="001D39EF"/>
    <w:rsid w:val="001D3AED"/>
    <w:rsid w:val="001D48F5"/>
    <w:rsid w:val="001D4F60"/>
    <w:rsid w:val="001D5033"/>
    <w:rsid w:val="001D5252"/>
    <w:rsid w:val="001D53EF"/>
    <w:rsid w:val="001D54EA"/>
    <w:rsid w:val="001D57BC"/>
    <w:rsid w:val="001D5B98"/>
    <w:rsid w:val="001D62E0"/>
    <w:rsid w:val="001D62EB"/>
    <w:rsid w:val="001D63FC"/>
    <w:rsid w:val="001D64C2"/>
    <w:rsid w:val="001D6528"/>
    <w:rsid w:val="001D67BA"/>
    <w:rsid w:val="001D69BE"/>
    <w:rsid w:val="001D6E4D"/>
    <w:rsid w:val="001D6E64"/>
    <w:rsid w:val="001D6F83"/>
    <w:rsid w:val="001D7048"/>
    <w:rsid w:val="001D7673"/>
    <w:rsid w:val="001D771C"/>
    <w:rsid w:val="001D7B2E"/>
    <w:rsid w:val="001D7FE1"/>
    <w:rsid w:val="001E02E8"/>
    <w:rsid w:val="001E085F"/>
    <w:rsid w:val="001E0C0C"/>
    <w:rsid w:val="001E0FDB"/>
    <w:rsid w:val="001E1024"/>
    <w:rsid w:val="001E1640"/>
    <w:rsid w:val="001E1753"/>
    <w:rsid w:val="001E1913"/>
    <w:rsid w:val="001E27FD"/>
    <w:rsid w:val="001E2B1E"/>
    <w:rsid w:val="001E2E29"/>
    <w:rsid w:val="001E3123"/>
    <w:rsid w:val="001E33B4"/>
    <w:rsid w:val="001E39D2"/>
    <w:rsid w:val="001E3A72"/>
    <w:rsid w:val="001E4319"/>
    <w:rsid w:val="001E45D7"/>
    <w:rsid w:val="001E4DBA"/>
    <w:rsid w:val="001E51BF"/>
    <w:rsid w:val="001E541C"/>
    <w:rsid w:val="001E55D6"/>
    <w:rsid w:val="001E55E7"/>
    <w:rsid w:val="001E5676"/>
    <w:rsid w:val="001E576F"/>
    <w:rsid w:val="001E595F"/>
    <w:rsid w:val="001E5EB5"/>
    <w:rsid w:val="001E61B3"/>
    <w:rsid w:val="001E6719"/>
    <w:rsid w:val="001E683C"/>
    <w:rsid w:val="001E68BC"/>
    <w:rsid w:val="001E6A26"/>
    <w:rsid w:val="001E6C4B"/>
    <w:rsid w:val="001E6CE3"/>
    <w:rsid w:val="001E6ECA"/>
    <w:rsid w:val="001E70DC"/>
    <w:rsid w:val="001E770B"/>
    <w:rsid w:val="001E7B47"/>
    <w:rsid w:val="001E7BD4"/>
    <w:rsid w:val="001E7E6E"/>
    <w:rsid w:val="001E7EF6"/>
    <w:rsid w:val="001F0114"/>
    <w:rsid w:val="001F0693"/>
    <w:rsid w:val="001F080F"/>
    <w:rsid w:val="001F0EF9"/>
    <w:rsid w:val="001F1144"/>
    <w:rsid w:val="001F11B8"/>
    <w:rsid w:val="001F1479"/>
    <w:rsid w:val="001F1A8F"/>
    <w:rsid w:val="001F1D4F"/>
    <w:rsid w:val="001F1E3D"/>
    <w:rsid w:val="001F1EBC"/>
    <w:rsid w:val="001F2107"/>
    <w:rsid w:val="001F2ACE"/>
    <w:rsid w:val="001F2B6C"/>
    <w:rsid w:val="001F2CEF"/>
    <w:rsid w:val="001F2F4B"/>
    <w:rsid w:val="001F3063"/>
    <w:rsid w:val="001F354E"/>
    <w:rsid w:val="001F3685"/>
    <w:rsid w:val="001F3C49"/>
    <w:rsid w:val="001F3F05"/>
    <w:rsid w:val="001F4742"/>
    <w:rsid w:val="001F4885"/>
    <w:rsid w:val="001F4EA0"/>
    <w:rsid w:val="001F5691"/>
    <w:rsid w:val="001F57FE"/>
    <w:rsid w:val="001F5AED"/>
    <w:rsid w:val="001F6043"/>
    <w:rsid w:val="001F64E6"/>
    <w:rsid w:val="001F658D"/>
    <w:rsid w:val="001F66A5"/>
    <w:rsid w:val="001F67E3"/>
    <w:rsid w:val="001F6916"/>
    <w:rsid w:val="001F69D3"/>
    <w:rsid w:val="001F6A3A"/>
    <w:rsid w:val="001F6AC1"/>
    <w:rsid w:val="001F6BCD"/>
    <w:rsid w:val="001F6D6A"/>
    <w:rsid w:val="001F70F5"/>
    <w:rsid w:val="001F752F"/>
    <w:rsid w:val="001F77F1"/>
    <w:rsid w:val="001F79AD"/>
    <w:rsid w:val="001F7CBB"/>
    <w:rsid w:val="001F7DE7"/>
    <w:rsid w:val="001F7EE9"/>
    <w:rsid w:val="001F7F29"/>
    <w:rsid w:val="002008E8"/>
    <w:rsid w:val="00200CF1"/>
    <w:rsid w:val="00200E97"/>
    <w:rsid w:val="00201D1A"/>
    <w:rsid w:val="002024F9"/>
    <w:rsid w:val="0020285A"/>
    <w:rsid w:val="00202A9D"/>
    <w:rsid w:val="00202CB2"/>
    <w:rsid w:val="00203139"/>
    <w:rsid w:val="002032B7"/>
    <w:rsid w:val="00203454"/>
    <w:rsid w:val="00203499"/>
    <w:rsid w:val="00203859"/>
    <w:rsid w:val="002038B4"/>
    <w:rsid w:val="0020405E"/>
    <w:rsid w:val="002045ED"/>
    <w:rsid w:val="00204968"/>
    <w:rsid w:val="002049C1"/>
    <w:rsid w:val="002049DE"/>
    <w:rsid w:val="00204B55"/>
    <w:rsid w:val="0020500F"/>
    <w:rsid w:val="002056B2"/>
    <w:rsid w:val="002057E1"/>
    <w:rsid w:val="00205885"/>
    <w:rsid w:val="002058DB"/>
    <w:rsid w:val="00205CF0"/>
    <w:rsid w:val="0020648B"/>
    <w:rsid w:val="00206FBC"/>
    <w:rsid w:val="002070FB"/>
    <w:rsid w:val="00207241"/>
    <w:rsid w:val="002074BC"/>
    <w:rsid w:val="002075C2"/>
    <w:rsid w:val="002078FB"/>
    <w:rsid w:val="00207B37"/>
    <w:rsid w:val="00207B90"/>
    <w:rsid w:val="00207C29"/>
    <w:rsid w:val="002101F7"/>
    <w:rsid w:val="0021026D"/>
    <w:rsid w:val="0021035F"/>
    <w:rsid w:val="002104B5"/>
    <w:rsid w:val="00210860"/>
    <w:rsid w:val="00210E93"/>
    <w:rsid w:val="00210EE1"/>
    <w:rsid w:val="0021128E"/>
    <w:rsid w:val="00211A13"/>
    <w:rsid w:val="00211AAC"/>
    <w:rsid w:val="00211F63"/>
    <w:rsid w:val="0021261C"/>
    <w:rsid w:val="00212757"/>
    <w:rsid w:val="0021282F"/>
    <w:rsid w:val="002128D0"/>
    <w:rsid w:val="002128D6"/>
    <w:rsid w:val="00212C16"/>
    <w:rsid w:val="00213398"/>
    <w:rsid w:val="00213C77"/>
    <w:rsid w:val="00213D91"/>
    <w:rsid w:val="00213EF3"/>
    <w:rsid w:val="00214562"/>
    <w:rsid w:val="0021478C"/>
    <w:rsid w:val="00214C94"/>
    <w:rsid w:val="0021510B"/>
    <w:rsid w:val="0021524F"/>
    <w:rsid w:val="002157E3"/>
    <w:rsid w:val="0021580F"/>
    <w:rsid w:val="002158F5"/>
    <w:rsid w:val="00215A46"/>
    <w:rsid w:val="002165C6"/>
    <w:rsid w:val="00216631"/>
    <w:rsid w:val="00216F58"/>
    <w:rsid w:val="002178D4"/>
    <w:rsid w:val="00217BDC"/>
    <w:rsid w:val="00217C95"/>
    <w:rsid w:val="002201B5"/>
    <w:rsid w:val="002201C1"/>
    <w:rsid w:val="002203C0"/>
    <w:rsid w:val="002203E1"/>
    <w:rsid w:val="002205CC"/>
    <w:rsid w:val="002209BF"/>
    <w:rsid w:val="002209E7"/>
    <w:rsid w:val="00222046"/>
    <w:rsid w:val="00222316"/>
    <w:rsid w:val="002223C9"/>
    <w:rsid w:val="002225B1"/>
    <w:rsid w:val="00222770"/>
    <w:rsid w:val="00222B4B"/>
    <w:rsid w:val="00222C07"/>
    <w:rsid w:val="00222C2D"/>
    <w:rsid w:val="00222D74"/>
    <w:rsid w:val="00222EAB"/>
    <w:rsid w:val="0022355C"/>
    <w:rsid w:val="00223EC1"/>
    <w:rsid w:val="00224465"/>
    <w:rsid w:val="002245E5"/>
    <w:rsid w:val="00224827"/>
    <w:rsid w:val="002251D3"/>
    <w:rsid w:val="0022523E"/>
    <w:rsid w:val="002253A3"/>
    <w:rsid w:val="002257D9"/>
    <w:rsid w:val="00225E25"/>
    <w:rsid w:val="0022630C"/>
    <w:rsid w:val="002268E2"/>
    <w:rsid w:val="00226A68"/>
    <w:rsid w:val="0022784E"/>
    <w:rsid w:val="0022790A"/>
    <w:rsid w:val="002279DD"/>
    <w:rsid w:val="00227C13"/>
    <w:rsid w:val="00227C44"/>
    <w:rsid w:val="002303D4"/>
    <w:rsid w:val="00230D43"/>
    <w:rsid w:val="00231108"/>
    <w:rsid w:val="002313F3"/>
    <w:rsid w:val="002315C9"/>
    <w:rsid w:val="002323B6"/>
    <w:rsid w:val="002324A3"/>
    <w:rsid w:val="002325A9"/>
    <w:rsid w:val="002328DC"/>
    <w:rsid w:val="00232F3E"/>
    <w:rsid w:val="002330A1"/>
    <w:rsid w:val="002331EC"/>
    <w:rsid w:val="00233721"/>
    <w:rsid w:val="0023387E"/>
    <w:rsid w:val="00233924"/>
    <w:rsid w:val="002339C9"/>
    <w:rsid w:val="00234526"/>
    <w:rsid w:val="00234571"/>
    <w:rsid w:val="0023463D"/>
    <w:rsid w:val="00234826"/>
    <w:rsid w:val="002348AE"/>
    <w:rsid w:val="0023535D"/>
    <w:rsid w:val="00235435"/>
    <w:rsid w:val="00235894"/>
    <w:rsid w:val="00235BB8"/>
    <w:rsid w:val="00235E3B"/>
    <w:rsid w:val="002361D2"/>
    <w:rsid w:val="0023631D"/>
    <w:rsid w:val="00236986"/>
    <w:rsid w:val="00236A66"/>
    <w:rsid w:val="00236AAB"/>
    <w:rsid w:val="00236B0C"/>
    <w:rsid w:val="00236B4A"/>
    <w:rsid w:val="00236B83"/>
    <w:rsid w:val="00236C7D"/>
    <w:rsid w:val="00237D9C"/>
    <w:rsid w:val="00237EB8"/>
    <w:rsid w:val="00240386"/>
    <w:rsid w:val="002406A3"/>
    <w:rsid w:val="00240E45"/>
    <w:rsid w:val="00241053"/>
    <w:rsid w:val="00241469"/>
    <w:rsid w:val="00241986"/>
    <w:rsid w:val="00241A0A"/>
    <w:rsid w:val="00241A5E"/>
    <w:rsid w:val="00241DC1"/>
    <w:rsid w:val="00241E03"/>
    <w:rsid w:val="0024204B"/>
    <w:rsid w:val="0024295E"/>
    <w:rsid w:val="002436A7"/>
    <w:rsid w:val="002436B3"/>
    <w:rsid w:val="002438C2"/>
    <w:rsid w:val="002438FD"/>
    <w:rsid w:val="00243BAD"/>
    <w:rsid w:val="00243D8D"/>
    <w:rsid w:val="00243E0B"/>
    <w:rsid w:val="0024461C"/>
    <w:rsid w:val="00244814"/>
    <w:rsid w:val="00244901"/>
    <w:rsid w:val="00244BC2"/>
    <w:rsid w:val="00245CBC"/>
    <w:rsid w:val="00245DBF"/>
    <w:rsid w:val="00245F6E"/>
    <w:rsid w:val="00245FE1"/>
    <w:rsid w:val="0024694A"/>
    <w:rsid w:val="00246F0E"/>
    <w:rsid w:val="002471A7"/>
    <w:rsid w:val="00247300"/>
    <w:rsid w:val="0024769D"/>
    <w:rsid w:val="002476BC"/>
    <w:rsid w:val="00247760"/>
    <w:rsid w:val="00247B87"/>
    <w:rsid w:val="002500B9"/>
    <w:rsid w:val="002502BA"/>
    <w:rsid w:val="002502F0"/>
    <w:rsid w:val="00250A86"/>
    <w:rsid w:val="00250EBB"/>
    <w:rsid w:val="00251F8D"/>
    <w:rsid w:val="00252076"/>
    <w:rsid w:val="0025225A"/>
    <w:rsid w:val="00252963"/>
    <w:rsid w:val="00252A68"/>
    <w:rsid w:val="00252AB4"/>
    <w:rsid w:val="00252CA0"/>
    <w:rsid w:val="00252D61"/>
    <w:rsid w:val="00252E9D"/>
    <w:rsid w:val="00253404"/>
    <w:rsid w:val="002534AF"/>
    <w:rsid w:val="00253972"/>
    <w:rsid w:val="002539BF"/>
    <w:rsid w:val="00253B17"/>
    <w:rsid w:val="00253C63"/>
    <w:rsid w:val="00253D31"/>
    <w:rsid w:val="00253DF0"/>
    <w:rsid w:val="00254332"/>
    <w:rsid w:val="00254709"/>
    <w:rsid w:val="002547B2"/>
    <w:rsid w:val="00255189"/>
    <w:rsid w:val="00255D07"/>
    <w:rsid w:val="00256231"/>
    <w:rsid w:val="00256574"/>
    <w:rsid w:val="00256A2F"/>
    <w:rsid w:val="00256E55"/>
    <w:rsid w:val="00256F1D"/>
    <w:rsid w:val="00257037"/>
    <w:rsid w:val="002570D7"/>
    <w:rsid w:val="0026034A"/>
    <w:rsid w:val="002606AF"/>
    <w:rsid w:val="00260803"/>
    <w:rsid w:val="002609B1"/>
    <w:rsid w:val="00260A7B"/>
    <w:rsid w:val="00260C0E"/>
    <w:rsid w:val="0026139B"/>
    <w:rsid w:val="0026186C"/>
    <w:rsid w:val="00261A0B"/>
    <w:rsid w:val="00261E3D"/>
    <w:rsid w:val="00261F40"/>
    <w:rsid w:val="00261F4E"/>
    <w:rsid w:val="00262494"/>
    <w:rsid w:val="0026280A"/>
    <w:rsid w:val="0026282C"/>
    <w:rsid w:val="00262B42"/>
    <w:rsid w:val="00262E43"/>
    <w:rsid w:val="00262ED4"/>
    <w:rsid w:val="002635FE"/>
    <w:rsid w:val="002636E1"/>
    <w:rsid w:val="00263D7B"/>
    <w:rsid w:val="00264101"/>
    <w:rsid w:val="0026435B"/>
    <w:rsid w:val="0026461E"/>
    <w:rsid w:val="002648A3"/>
    <w:rsid w:val="00264C8C"/>
    <w:rsid w:val="00264F6F"/>
    <w:rsid w:val="00265821"/>
    <w:rsid w:val="00265C34"/>
    <w:rsid w:val="00265D78"/>
    <w:rsid w:val="00266AF5"/>
    <w:rsid w:val="00266CA3"/>
    <w:rsid w:val="00266FFB"/>
    <w:rsid w:val="002670A5"/>
    <w:rsid w:val="0026741C"/>
    <w:rsid w:val="00267C25"/>
    <w:rsid w:val="00270244"/>
    <w:rsid w:val="00270951"/>
    <w:rsid w:val="002710C6"/>
    <w:rsid w:val="00271227"/>
    <w:rsid w:val="0027142B"/>
    <w:rsid w:val="002716E9"/>
    <w:rsid w:val="00271E43"/>
    <w:rsid w:val="00272953"/>
    <w:rsid w:val="00272B64"/>
    <w:rsid w:val="002730E2"/>
    <w:rsid w:val="00273223"/>
    <w:rsid w:val="0027358E"/>
    <w:rsid w:val="002735A8"/>
    <w:rsid w:val="002737EE"/>
    <w:rsid w:val="00273B81"/>
    <w:rsid w:val="00273D4E"/>
    <w:rsid w:val="00273F89"/>
    <w:rsid w:val="00274681"/>
    <w:rsid w:val="00274715"/>
    <w:rsid w:val="00274A73"/>
    <w:rsid w:val="00274D96"/>
    <w:rsid w:val="00274E65"/>
    <w:rsid w:val="002754A2"/>
    <w:rsid w:val="002754DB"/>
    <w:rsid w:val="00275F50"/>
    <w:rsid w:val="0027618E"/>
    <w:rsid w:val="00276259"/>
    <w:rsid w:val="002763E7"/>
    <w:rsid w:val="00276552"/>
    <w:rsid w:val="00276A9A"/>
    <w:rsid w:val="00276B05"/>
    <w:rsid w:val="00276E15"/>
    <w:rsid w:val="00276EA8"/>
    <w:rsid w:val="002770A0"/>
    <w:rsid w:val="00277462"/>
    <w:rsid w:val="00277547"/>
    <w:rsid w:val="0027764E"/>
    <w:rsid w:val="00277FAD"/>
    <w:rsid w:val="00280213"/>
    <w:rsid w:val="0028090F"/>
    <w:rsid w:val="00280A96"/>
    <w:rsid w:val="00280E1E"/>
    <w:rsid w:val="00280F8E"/>
    <w:rsid w:val="002815B9"/>
    <w:rsid w:val="00281717"/>
    <w:rsid w:val="00281AC6"/>
    <w:rsid w:val="00281C2C"/>
    <w:rsid w:val="00281D6B"/>
    <w:rsid w:val="00281DF3"/>
    <w:rsid w:val="00281E7D"/>
    <w:rsid w:val="00281FAC"/>
    <w:rsid w:val="0028234D"/>
    <w:rsid w:val="00282551"/>
    <w:rsid w:val="0028259B"/>
    <w:rsid w:val="0028262E"/>
    <w:rsid w:val="00282898"/>
    <w:rsid w:val="00282FE5"/>
    <w:rsid w:val="00283264"/>
    <w:rsid w:val="00283339"/>
    <w:rsid w:val="00283503"/>
    <w:rsid w:val="002835D5"/>
    <w:rsid w:val="00283C9A"/>
    <w:rsid w:val="00284153"/>
    <w:rsid w:val="002846CD"/>
    <w:rsid w:val="002854AA"/>
    <w:rsid w:val="00285677"/>
    <w:rsid w:val="002858AC"/>
    <w:rsid w:val="00285A2C"/>
    <w:rsid w:val="00285CA5"/>
    <w:rsid w:val="00285D82"/>
    <w:rsid w:val="0028694C"/>
    <w:rsid w:val="00286C3A"/>
    <w:rsid w:val="00286D1B"/>
    <w:rsid w:val="00286E75"/>
    <w:rsid w:val="00286E90"/>
    <w:rsid w:val="00287183"/>
    <w:rsid w:val="00287343"/>
    <w:rsid w:val="0028736E"/>
    <w:rsid w:val="00287408"/>
    <w:rsid w:val="002877E3"/>
    <w:rsid w:val="00287B50"/>
    <w:rsid w:val="00287B92"/>
    <w:rsid w:val="00290004"/>
    <w:rsid w:val="002903E6"/>
    <w:rsid w:val="002903E8"/>
    <w:rsid w:val="00290557"/>
    <w:rsid w:val="00290B90"/>
    <w:rsid w:val="00290FB8"/>
    <w:rsid w:val="00291AEC"/>
    <w:rsid w:val="0029225F"/>
    <w:rsid w:val="00292A96"/>
    <w:rsid w:val="00292D5D"/>
    <w:rsid w:val="00292EF0"/>
    <w:rsid w:val="00292FC6"/>
    <w:rsid w:val="00293208"/>
    <w:rsid w:val="0029379E"/>
    <w:rsid w:val="002939CD"/>
    <w:rsid w:val="002943DC"/>
    <w:rsid w:val="00294B8E"/>
    <w:rsid w:val="00294DF8"/>
    <w:rsid w:val="00294F09"/>
    <w:rsid w:val="0029504A"/>
    <w:rsid w:val="00295105"/>
    <w:rsid w:val="0029558A"/>
    <w:rsid w:val="00295A2D"/>
    <w:rsid w:val="00295B37"/>
    <w:rsid w:val="00295EFF"/>
    <w:rsid w:val="00295F42"/>
    <w:rsid w:val="00295F78"/>
    <w:rsid w:val="00296028"/>
    <w:rsid w:val="00296387"/>
    <w:rsid w:val="002968B1"/>
    <w:rsid w:val="002968EA"/>
    <w:rsid w:val="00296BEB"/>
    <w:rsid w:val="00296DF1"/>
    <w:rsid w:val="002970F3"/>
    <w:rsid w:val="002977AD"/>
    <w:rsid w:val="002978DA"/>
    <w:rsid w:val="00297D0F"/>
    <w:rsid w:val="002A00A2"/>
    <w:rsid w:val="002A0161"/>
    <w:rsid w:val="002A02F6"/>
    <w:rsid w:val="002A042B"/>
    <w:rsid w:val="002A06D1"/>
    <w:rsid w:val="002A0A7E"/>
    <w:rsid w:val="002A0ADC"/>
    <w:rsid w:val="002A0C04"/>
    <w:rsid w:val="002A0E60"/>
    <w:rsid w:val="002A1006"/>
    <w:rsid w:val="002A157A"/>
    <w:rsid w:val="002A159B"/>
    <w:rsid w:val="002A16E6"/>
    <w:rsid w:val="002A1DD5"/>
    <w:rsid w:val="002A238F"/>
    <w:rsid w:val="002A243E"/>
    <w:rsid w:val="002A2489"/>
    <w:rsid w:val="002A278A"/>
    <w:rsid w:val="002A2A60"/>
    <w:rsid w:val="002A2E2D"/>
    <w:rsid w:val="002A31C6"/>
    <w:rsid w:val="002A35DF"/>
    <w:rsid w:val="002A37A1"/>
    <w:rsid w:val="002A38BC"/>
    <w:rsid w:val="002A3B2B"/>
    <w:rsid w:val="002A4402"/>
    <w:rsid w:val="002A485B"/>
    <w:rsid w:val="002A4A0D"/>
    <w:rsid w:val="002A4A72"/>
    <w:rsid w:val="002A4D7A"/>
    <w:rsid w:val="002A5359"/>
    <w:rsid w:val="002A53CD"/>
    <w:rsid w:val="002A5582"/>
    <w:rsid w:val="002A5705"/>
    <w:rsid w:val="002A57E5"/>
    <w:rsid w:val="002A5AF8"/>
    <w:rsid w:val="002A5BFB"/>
    <w:rsid w:val="002A6041"/>
    <w:rsid w:val="002A6319"/>
    <w:rsid w:val="002A634F"/>
    <w:rsid w:val="002A656E"/>
    <w:rsid w:val="002A71BA"/>
    <w:rsid w:val="002A7E1C"/>
    <w:rsid w:val="002B03F8"/>
    <w:rsid w:val="002B0550"/>
    <w:rsid w:val="002B07B2"/>
    <w:rsid w:val="002B0EEC"/>
    <w:rsid w:val="002B178E"/>
    <w:rsid w:val="002B1B4D"/>
    <w:rsid w:val="002B1DE3"/>
    <w:rsid w:val="002B29BC"/>
    <w:rsid w:val="002B2C74"/>
    <w:rsid w:val="002B2DDE"/>
    <w:rsid w:val="002B33C7"/>
    <w:rsid w:val="002B39F6"/>
    <w:rsid w:val="002B3BF1"/>
    <w:rsid w:val="002B411E"/>
    <w:rsid w:val="002B42ED"/>
    <w:rsid w:val="002B4521"/>
    <w:rsid w:val="002B460F"/>
    <w:rsid w:val="002B483D"/>
    <w:rsid w:val="002B4C15"/>
    <w:rsid w:val="002B53AF"/>
    <w:rsid w:val="002B5868"/>
    <w:rsid w:val="002B6C90"/>
    <w:rsid w:val="002B6CE3"/>
    <w:rsid w:val="002B6E31"/>
    <w:rsid w:val="002B6F43"/>
    <w:rsid w:val="002B7B18"/>
    <w:rsid w:val="002B7C3D"/>
    <w:rsid w:val="002B7C68"/>
    <w:rsid w:val="002B7F0F"/>
    <w:rsid w:val="002C0262"/>
    <w:rsid w:val="002C03D3"/>
    <w:rsid w:val="002C09CE"/>
    <w:rsid w:val="002C1232"/>
    <w:rsid w:val="002C1244"/>
    <w:rsid w:val="002C1570"/>
    <w:rsid w:val="002C1622"/>
    <w:rsid w:val="002C1951"/>
    <w:rsid w:val="002C1A8F"/>
    <w:rsid w:val="002C229B"/>
    <w:rsid w:val="002C22DB"/>
    <w:rsid w:val="002C24A6"/>
    <w:rsid w:val="002C2500"/>
    <w:rsid w:val="002C2CFD"/>
    <w:rsid w:val="002C2FCA"/>
    <w:rsid w:val="002C3091"/>
    <w:rsid w:val="002C31B5"/>
    <w:rsid w:val="002C3470"/>
    <w:rsid w:val="002C382E"/>
    <w:rsid w:val="002C3A4D"/>
    <w:rsid w:val="002C3A98"/>
    <w:rsid w:val="002C3B1A"/>
    <w:rsid w:val="002C3BEC"/>
    <w:rsid w:val="002C4088"/>
    <w:rsid w:val="002C4870"/>
    <w:rsid w:val="002C4905"/>
    <w:rsid w:val="002C52C5"/>
    <w:rsid w:val="002C57A3"/>
    <w:rsid w:val="002C58CC"/>
    <w:rsid w:val="002C5B88"/>
    <w:rsid w:val="002C5C17"/>
    <w:rsid w:val="002C60A5"/>
    <w:rsid w:val="002C6C27"/>
    <w:rsid w:val="002C6C56"/>
    <w:rsid w:val="002C6ED0"/>
    <w:rsid w:val="002C6FCD"/>
    <w:rsid w:val="002C7259"/>
    <w:rsid w:val="002C7335"/>
    <w:rsid w:val="002C7467"/>
    <w:rsid w:val="002C7A86"/>
    <w:rsid w:val="002C7BDF"/>
    <w:rsid w:val="002C7CA2"/>
    <w:rsid w:val="002D0034"/>
    <w:rsid w:val="002D0408"/>
    <w:rsid w:val="002D0B51"/>
    <w:rsid w:val="002D0CC4"/>
    <w:rsid w:val="002D118E"/>
    <w:rsid w:val="002D1193"/>
    <w:rsid w:val="002D125B"/>
    <w:rsid w:val="002D16FB"/>
    <w:rsid w:val="002D1924"/>
    <w:rsid w:val="002D1BBF"/>
    <w:rsid w:val="002D1BF0"/>
    <w:rsid w:val="002D1DBB"/>
    <w:rsid w:val="002D242A"/>
    <w:rsid w:val="002D279A"/>
    <w:rsid w:val="002D283C"/>
    <w:rsid w:val="002D2BD5"/>
    <w:rsid w:val="002D3039"/>
    <w:rsid w:val="002D3441"/>
    <w:rsid w:val="002D34B7"/>
    <w:rsid w:val="002D34D6"/>
    <w:rsid w:val="002D46FC"/>
    <w:rsid w:val="002D4D19"/>
    <w:rsid w:val="002D4EDD"/>
    <w:rsid w:val="002D4FFE"/>
    <w:rsid w:val="002D503B"/>
    <w:rsid w:val="002D51A2"/>
    <w:rsid w:val="002D6046"/>
    <w:rsid w:val="002D621E"/>
    <w:rsid w:val="002D64ED"/>
    <w:rsid w:val="002D7150"/>
    <w:rsid w:val="002D726A"/>
    <w:rsid w:val="002D72C5"/>
    <w:rsid w:val="002D751F"/>
    <w:rsid w:val="002D7A39"/>
    <w:rsid w:val="002D7BEE"/>
    <w:rsid w:val="002D7CC9"/>
    <w:rsid w:val="002E013A"/>
    <w:rsid w:val="002E04C8"/>
    <w:rsid w:val="002E0AF6"/>
    <w:rsid w:val="002E0D42"/>
    <w:rsid w:val="002E0DDE"/>
    <w:rsid w:val="002E1063"/>
    <w:rsid w:val="002E1441"/>
    <w:rsid w:val="002E156D"/>
    <w:rsid w:val="002E177B"/>
    <w:rsid w:val="002E1A16"/>
    <w:rsid w:val="002E1ACE"/>
    <w:rsid w:val="002E1E31"/>
    <w:rsid w:val="002E1FB5"/>
    <w:rsid w:val="002E201B"/>
    <w:rsid w:val="002E2535"/>
    <w:rsid w:val="002E2676"/>
    <w:rsid w:val="002E298C"/>
    <w:rsid w:val="002E2E2A"/>
    <w:rsid w:val="002E2FAD"/>
    <w:rsid w:val="002E318B"/>
    <w:rsid w:val="002E3335"/>
    <w:rsid w:val="002E3592"/>
    <w:rsid w:val="002E38FB"/>
    <w:rsid w:val="002E3C09"/>
    <w:rsid w:val="002E3F73"/>
    <w:rsid w:val="002E41A6"/>
    <w:rsid w:val="002E42B6"/>
    <w:rsid w:val="002E5057"/>
    <w:rsid w:val="002E53FA"/>
    <w:rsid w:val="002E5574"/>
    <w:rsid w:val="002E5CCC"/>
    <w:rsid w:val="002E5DFD"/>
    <w:rsid w:val="002E5FDC"/>
    <w:rsid w:val="002E6058"/>
    <w:rsid w:val="002E61D0"/>
    <w:rsid w:val="002E6673"/>
    <w:rsid w:val="002E6955"/>
    <w:rsid w:val="002E6B16"/>
    <w:rsid w:val="002E711F"/>
    <w:rsid w:val="002E7801"/>
    <w:rsid w:val="002E79E6"/>
    <w:rsid w:val="002E7A91"/>
    <w:rsid w:val="002E7D24"/>
    <w:rsid w:val="002F0317"/>
    <w:rsid w:val="002F05B3"/>
    <w:rsid w:val="002F064A"/>
    <w:rsid w:val="002F0769"/>
    <w:rsid w:val="002F0E02"/>
    <w:rsid w:val="002F1153"/>
    <w:rsid w:val="002F1640"/>
    <w:rsid w:val="002F1651"/>
    <w:rsid w:val="002F17C7"/>
    <w:rsid w:val="002F1C5A"/>
    <w:rsid w:val="002F227F"/>
    <w:rsid w:val="002F250C"/>
    <w:rsid w:val="002F2646"/>
    <w:rsid w:val="002F2B82"/>
    <w:rsid w:val="002F350D"/>
    <w:rsid w:val="002F3693"/>
    <w:rsid w:val="002F380E"/>
    <w:rsid w:val="002F3989"/>
    <w:rsid w:val="002F42E4"/>
    <w:rsid w:val="002F44A3"/>
    <w:rsid w:val="002F459C"/>
    <w:rsid w:val="002F479B"/>
    <w:rsid w:val="002F49E5"/>
    <w:rsid w:val="002F4B54"/>
    <w:rsid w:val="002F50B4"/>
    <w:rsid w:val="002F5434"/>
    <w:rsid w:val="002F56BF"/>
    <w:rsid w:val="002F5B65"/>
    <w:rsid w:val="002F5DC1"/>
    <w:rsid w:val="002F6191"/>
    <w:rsid w:val="002F61A3"/>
    <w:rsid w:val="002F6296"/>
    <w:rsid w:val="002F637D"/>
    <w:rsid w:val="002F65DE"/>
    <w:rsid w:val="002F68E5"/>
    <w:rsid w:val="002F6CD5"/>
    <w:rsid w:val="002F70AD"/>
    <w:rsid w:val="002F71ED"/>
    <w:rsid w:val="002F76E7"/>
    <w:rsid w:val="002F794F"/>
    <w:rsid w:val="002F7ED3"/>
    <w:rsid w:val="002F7F55"/>
    <w:rsid w:val="003001E5"/>
    <w:rsid w:val="00300685"/>
    <w:rsid w:val="0030076C"/>
    <w:rsid w:val="00300B0E"/>
    <w:rsid w:val="00300B58"/>
    <w:rsid w:val="00301379"/>
    <w:rsid w:val="00301ADD"/>
    <w:rsid w:val="00301BE3"/>
    <w:rsid w:val="00301EC4"/>
    <w:rsid w:val="00301FC0"/>
    <w:rsid w:val="00302098"/>
    <w:rsid w:val="00302379"/>
    <w:rsid w:val="003029EF"/>
    <w:rsid w:val="00302A3B"/>
    <w:rsid w:val="00302B84"/>
    <w:rsid w:val="00302CFD"/>
    <w:rsid w:val="003036C6"/>
    <w:rsid w:val="00303B25"/>
    <w:rsid w:val="00303CF4"/>
    <w:rsid w:val="00303DB6"/>
    <w:rsid w:val="00304190"/>
    <w:rsid w:val="003047FA"/>
    <w:rsid w:val="0030491C"/>
    <w:rsid w:val="00304E89"/>
    <w:rsid w:val="003051E7"/>
    <w:rsid w:val="003051E8"/>
    <w:rsid w:val="003057E6"/>
    <w:rsid w:val="00305830"/>
    <w:rsid w:val="00305D8F"/>
    <w:rsid w:val="00306009"/>
    <w:rsid w:val="00306185"/>
    <w:rsid w:val="003061AF"/>
    <w:rsid w:val="00306443"/>
    <w:rsid w:val="0030655A"/>
    <w:rsid w:val="00306A34"/>
    <w:rsid w:val="00306A3E"/>
    <w:rsid w:val="00306B5E"/>
    <w:rsid w:val="00306B80"/>
    <w:rsid w:val="00306D65"/>
    <w:rsid w:val="00306E56"/>
    <w:rsid w:val="00306F55"/>
    <w:rsid w:val="0030705C"/>
    <w:rsid w:val="0030723B"/>
    <w:rsid w:val="00307429"/>
    <w:rsid w:val="003078ED"/>
    <w:rsid w:val="00307A49"/>
    <w:rsid w:val="00307A82"/>
    <w:rsid w:val="00307FDA"/>
    <w:rsid w:val="003101EC"/>
    <w:rsid w:val="003103B1"/>
    <w:rsid w:val="003103BE"/>
    <w:rsid w:val="00310539"/>
    <w:rsid w:val="00310571"/>
    <w:rsid w:val="00310693"/>
    <w:rsid w:val="003107D3"/>
    <w:rsid w:val="0031096C"/>
    <w:rsid w:val="00311120"/>
    <w:rsid w:val="003113E7"/>
    <w:rsid w:val="00311554"/>
    <w:rsid w:val="0031174E"/>
    <w:rsid w:val="00311755"/>
    <w:rsid w:val="00311813"/>
    <w:rsid w:val="00311B7E"/>
    <w:rsid w:val="00311B96"/>
    <w:rsid w:val="00311C04"/>
    <w:rsid w:val="00311FEE"/>
    <w:rsid w:val="00312086"/>
    <w:rsid w:val="003124CF"/>
    <w:rsid w:val="00312537"/>
    <w:rsid w:val="003127D9"/>
    <w:rsid w:val="003129F1"/>
    <w:rsid w:val="00312C25"/>
    <w:rsid w:val="00313BED"/>
    <w:rsid w:val="00314013"/>
    <w:rsid w:val="0031423B"/>
    <w:rsid w:val="0031425A"/>
    <w:rsid w:val="00314DB4"/>
    <w:rsid w:val="00315046"/>
    <w:rsid w:val="00315068"/>
    <w:rsid w:val="003151B8"/>
    <w:rsid w:val="003163BE"/>
    <w:rsid w:val="003170C2"/>
    <w:rsid w:val="0031752F"/>
    <w:rsid w:val="003178CD"/>
    <w:rsid w:val="003204B0"/>
    <w:rsid w:val="003204C6"/>
    <w:rsid w:val="003204D7"/>
    <w:rsid w:val="00320A11"/>
    <w:rsid w:val="003211B7"/>
    <w:rsid w:val="00321557"/>
    <w:rsid w:val="00321AEF"/>
    <w:rsid w:val="00321B51"/>
    <w:rsid w:val="00321E51"/>
    <w:rsid w:val="00322AE9"/>
    <w:rsid w:val="00322E02"/>
    <w:rsid w:val="00322E1A"/>
    <w:rsid w:val="003237D1"/>
    <w:rsid w:val="0032480E"/>
    <w:rsid w:val="0032498A"/>
    <w:rsid w:val="00324A65"/>
    <w:rsid w:val="003251D5"/>
    <w:rsid w:val="003253D4"/>
    <w:rsid w:val="00325404"/>
    <w:rsid w:val="003255DF"/>
    <w:rsid w:val="0032629C"/>
    <w:rsid w:val="0032642E"/>
    <w:rsid w:val="0032656A"/>
    <w:rsid w:val="0032711C"/>
    <w:rsid w:val="00327539"/>
    <w:rsid w:val="00327BF8"/>
    <w:rsid w:val="00330757"/>
    <w:rsid w:val="00330838"/>
    <w:rsid w:val="003308C8"/>
    <w:rsid w:val="00330A61"/>
    <w:rsid w:val="00330B05"/>
    <w:rsid w:val="00330B6D"/>
    <w:rsid w:val="00330B82"/>
    <w:rsid w:val="00330F64"/>
    <w:rsid w:val="003310DE"/>
    <w:rsid w:val="003318F2"/>
    <w:rsid w:val="00331D72"/>
    <w:rsid w:val="003323FA"/>
    <w:rsid w:val="00332880"/>
    <w:rsid w:val="00332D9C"/>
    <w:rsid w:val="00332E86"/>
    <w:rsid w:val="003335BA"/>
    <w:rsid w:val="00333E31"/>
    <w:rsid w:val="00333F6A"/>
    <w:rsid w:val="00334396"/>
    <w:rsid w:val="00334533"/>
    <w:rsid w:val="003348B0"/>
    <w:rsid w:val="00334DE2"/>
    <w:rsid w:val="003352C5"/>
    <w:rsid w:val="00335478"/>
    <w:rsid w:val="003356D2"/>
    <w:rsid w:val="00335870"/>
    <w:rsid w:val="00335E53"/>
    <w:rsid w:val="00336032"/>
    <w:rsid w:val="00336050"/>
    <w:rsid w:val="003362AF"/>
    <w:rsid w:val="00336410"/>
    <w:rsid w:val="003365D8"/>
    <w:rsid w:val="0033665C"/>
    <w:rsid w:val="00336749"/>
    <w:rsid w:val="00336C9C"/>
    <w:rsid w:val="003370D1"/>
    <w:rsid w:val="003373C9"/>
    <w:rsid w:val="0033763D"/>
    <w:rsid w:val="00337C16"/>
    <w:rsid w:val="00337FF5"/>
    <w:rsid w:val="00340508"/>
    <w:rsid w:val="003405F8"/>
    <w:rsid w:val="00340FB7"/>
    <w:rsid w:val="00340FD3"/>
    <w:rsid w:val="0034113D"/>
    <w:rsid w:val="00341733"/>
    <w:rsid w:val="00341948"/>
    <w:rsid w:val="00341AAC"/>
    <w:rsid w:val="00341FCF"/>
    <w:rsid w:val="00342829"/>
    <w:rsid w:val="003429AA"/>
    <w:rsid w:val="0034336D"/>
    <w:rsid w:val="0034344C"/>
    <w:rsid w:val="00343553"/>
    <w:rsid w:val="0034360E"/>
    <w:rsid w:val="00343B15"/>
    <w:rsid w:val="00343E75"/>
    <w:rsid w:val="003440D4"/>
    <w:rsid w:val="0034480D"/>
    <w:rsid w:val="00344BFD"/>
    <w:rsid w:val="00344CE2"/>
    <w:rsid w:val="00344DF7"/>
    <w:rsid w:val="00344E6C"/>
    <w:rsid w:val="00344EB7"/>
    <w:rsid w:val="00344F55"/>
    <w:rsid w:val="0034510E"/>
    <w:rsid w:val="00345331"/>
    <w:rsid w:val="003453CB"/>
    <w:rsid w:val="0034594B"/>
    <w:rsid w:val="00345E87"/>
    <w:rsid w:val="00345FAD"/>
    <w:rsid w:val="00346380"/>
    <w:rsid w:val="0034657E"/>
    <w:rsid w:val="00346960"/>
    <w:rsid w:val="003469B6"/>
    <w:rsid w:val="00346BE0"/>
    <w:rsid w:val="00346C3B"/>
    <w:rsid w:val="00346CE6"/>
    <w:rsid w:val="00346F32"/>
    <w:rsid w:val="00347061"/>
    <w:rsid w:val="00347602"/>
    <w:rsid w:val="003476F6"/>
    <w:rsid w:val="00347A43"/>
    <w:rsid w:val="00347C5E"/>
    <w:rsid w:val="00350234"/>
    <w:rsid w:val="00350314"/>
    <w:rsid w:val="00350611"/>
    <w:rsid w:val="0035064C"/>
    <w:rsid w:val="00351069"/>
    <w:rsid w:val="003513F1"/>
    <w:rsid w:val="003519DF"/>
    <w:rsid w:val="00351A57"/>
    <w:rsid w:val="00351E8D"/>
    <w:rsid w:val="00351F3F"/>
    <w:rsid w:val="003520E6"/>
    <w:rsid w:val="003520EF"/>
    <w:rsid w:val="00352238"/>
    <w:rsid w:val="00352383"/>
    <w:rsid w:val="00352501"/>
    <w:rsid w:val="003525C1"/>
    <w:rsid w:val="00352A44"/>
    <w:rsid w:val="00352AE0"/>
    <w:rsid w:val="00352AE7"/>
    <w:rsid w:val="00352F68"/>
    <w:rsid w:val="00353225"/>
    <w:rsid w:val="0035367C"/>
    <w:rsid w:val="003536F3"/>
    <w:rsid w:val="003538B2"/>
    <w:rsid w:val="00353AE1"/>
    <w:rsid w:val="00354339"/>
    <w:rsid w:val="00354378"/>
    <w:rsid w:val="00354EF5"/>
    <w:rsid w:val="00354F99"/>
    <w:rsid w:val="0035565B"/>
    <w:rsid w:val="003556A9"/>
    <w:rsid w:val="003557F9"/>
    <w:rsid w:val="00355F8F"/>
    <w:rsid w:val="00355FEA"/>
    <w:rsid w:val="0035606C"/>
    <w:rsid w:val="00356294"/>
    <w:rsid w:val="00356B1C"/>
    <w:rsid w:val="00356B79"/>
    <w:rsid w:val="003573FF"/>
    <w:rsid w:val="003574DE"/>
    <w:rsid w:val="003574F8"/>
    <w:rsid w:val="00357576"/>
    <w:rsid w:val="0035757E"/>
    <w:rsid w:val="00357866"/>
    <w:rsid w:val="00357A78"/>
    <w:rsid w:val="003604E1"/>
    <w:rsid w:val="0036097E"/>
    <w:rsid w:val="0036098D"/>
    <w:rsid w:val="003609FA"/>
    <w:rsid w:val="00360AAB"/>
    <w:rsid w:val="0036180D"/>
    <w:rsid w:val="00361A63"/>
    <w:rsid w:val="00362027"/>
    <w:rsid w:val="003622FF"/>
    <w:rsid w:val="003623A2"/>
    <w:rsid w:val="003624C0"/>
    <w:rsid w:val="00363076"/>
    <w:rsid w:val="003631B1"/>
    <w:rsid w:val="003632CE"/>
    <w:rsid w:val="003638B7"/>
    <w:rsid w:val="00363BEF"/>
    <w:rsid w:val="00363CF0"/>
    <w:rsid w:val="00363D18"/>
    <w:rsid w:val="00363E89"/>
    <w:rsid w:val="003644E6"/>
    <w:rsid w:val="00364868"/>
    <w:rsid w:val="00364D95"/>
    <w:rsid w:val="00364E3F"/>
    <w:rsid w:val="00365392"/>
    <w:rsid w:val="00365706"/>
    <w:rsid w:val="00365805"/>
    <w:rsid w:val="00365A5C"/>
    <w:rsid w:val="00366695"/>
    <w:rsid w:val="00366E25"/>
    <w:rsid w:val="00367300"/>
    <w:rsid w:val="00367559"/>
    <w:rsid w:val="00367817"/>
    <w:rsid w:val="003678FB"/>
    <w:rsid w:val="00367C5E"/>
    <w:rsid w:val="00367D48"/>
    <w:rsid w:val="00367FDA"/>
    <w:rsid w:val="00370171"/>
    <w:rsid w:val="003701DE"/>
    <w:rsid w:val="003706B1"/>
    <w:rsid w:val="003709DE"/>
    <w:rsid w:val="00370ADD"/>
    <w:rsid w:val="003712A7"/>
    <w:rsid w:val="00371300"/>
    <w:rsid w:val="0037131B"/>
    <w:rsid w:val="00371623"/>
    <w:rsid w:val="003717F7"/>
    <w:rsid w:val="00371818"/>
    <w:rsid w:val="00371C28"/>
    <w:rsid w:val="00371DA6"/>
    <w:rsid w:val="0037232A"/>
    <w:rsid w:val="00372548"/>
    <w:rsid w:val="00372615"/>
    <w:rsid w:val="00372CCF"/>
    <w:rsid w:val="003731E0"/>
    <w:rsid w:val="003731E5"/>
    <w:rsid w:val="00373934"/>
    <w:rsid w:val="00373F1E"/>
    <w:rsid w:val="00374059"/>
    <w:rsid w:val="003747FD"/>
    <w:rsid w:val="00374949"/>
    <w:rsid w:val="00374AA3"/>
    <w:rsid w:val="00374B07"/>
    <w:rsid w:val="0037563F"/>
    <w:rsid w:val="003756D2"/>
    <w:rsid w:val="0037594C"/>
    <w:rsid w:val="00375C75"/>
    <w:rsid w:val="003760C2"/>
    <w:rsid w:val="0037629E"/>
    <w:rsid w:val="0037668D"/>
    <w:rsid w:val="00376F9F"/>
    <w:rsid w:val="00376FA8"/>
    <w:rsid w:val="003772DB"/>
    <w:rsid w:val="003776E8"/>
    <w:rsid w:val="003778E1"/>
    <w:rsid w:val="00377910"/>
    <w:rsid w:val="00377DDE"/>
    <w:rsid w:val="00377FDB"/>
    <w:rsid w:val="0038027C"/>
    <w:rsid w:val="003804DE"/>
    <w:rsid w:val="0038052D"/>
    <w:rsid w:val="00380CD1"/>
    <w:rsid w:val="00380DE2"/>
    <w:rsid w:val="00380DEB"/>
    <w:rsid w:val="00380E82"/>
    <w:rsid w:val="00380F26"/>
    <w:rsid w:val="00380FBC"/>
    <w:rsid w:val="00381829"/>
    <w:rsid w:val="00381A4D"/>
    <w:rsid w:val="00381FA3"/>
    <w:rsid w:val="00382227"/>
    <w:rsid w:val="003822EF"/>
    <w:rsid w:val="003824A4"/>
    <w:rsid w:val="00382715"/>
    <w:rsid w:val="00382770"/>
    <w:rsid w:val="00382975"/>
    <w:rsid w:val="00382ACB"/>
    <w:rsid w:val="00382B7F"/>
    <w:rsid w:val="00382F37"/>
    <w:rsid w:val="00383287"/>
    <w:rsid w:val="0038353F"/>
    <w:rsid w:val="00383AFE"/>
    <w:rsid w:val="00383CB7"/>
    <w:rsid w:val="00383DD3"/>
    <w:rsid w:val="003840AE"/>
    <w:rsid w:val="00384153"/>
    <w:rsid w:val="00384440"/>
    <w:rsid w:val="0038448D"/>
    <w:rsid w:val="0038458D"/>
    <w:rsid w:val="00384989"/>
    <w:rsid w:val="00384B76"/>
    <w:rsid w:val="00384C84"/>
    <w:rsid w:val="00384F01"/>
    <w:rsid w:val="003853B5"/>
    <w:rsid w:val="00385CA2"/>
    <w:rsid w:val="00386313"/>
    <w:rsid w:val="00386831"/>
    <w:rsid w:val="00386839"/>
    <w:rsid w:val="00387746"/>
    <w:rsid w:val="003877FE"/>
    <w:rsid w:val="00387B00"/>
    <w:rsid w:val="00387ECC"/>
    <w:rsid w:val="0039012E"/>
    <w:rsid w:val="00390207"/>
    <w:rsid w:val="00390638"/>
    <w:rsid w:val="00390B4A"/>
    <w:rsid w:val="00390D3A"/>
    <w:rsid w:val="003910C1"/>
    <w:rsid w:val="003911CE"/>
    <w:rsid w:val="00391212"/>
    <w:rsid w:val="00391314"/>
    <w:rsid w:val="0039157F"/>
    <w:rsid w:val="00391617"/>
    <w:rsid w:val="00391790"/>
    <w:rsid w:val="00391D1E"/>
    <w:rsid w:val="0039282A"/>
    <w:rsid w:val="0039292C"/>
    <w:rsid w:val="00392A9A"/>
    <w:rsid w:val="00392BD6"/>
    <w:rsid w:val="00392D25"/>
    <w:rsid w:val="00392E52"/>
    <w:rsid w:val="00393232"/>
    <w:rsid w:val="003937F9"/>
    <w:rsid w:val="0039419F"/>
    <w:rsid w:val="00394206"/>
    <w:rsid w:val="0039448D"/>
    <w:rsid w:val="00394626"/>
    <w:rsid w:val="0039481D"/>
    <w:rsid w:val="00394F81"/>
    <w:rsid w:val="003959B3"/>
    <w:rsid w:val="003959CC"/>
    <w:rsid w:val="00396244"/>
    <w:rsid w:val="003964EF"/>
    <w:rsid w:val="0039654A"/>
    <w:rsid w:val="0039669B"/>
    <w:rsid w:val="00396752"/>
    <w:rsid w:val="0039709F"/>
    <w:rsid w:val="00397436"/>
    <w:rsid w:val="00397500"/>
    <w:rsid w:val="003975BB"/>
    <w:rsid w:val="003975EA"/>
    <w:rsid w:val="00397FBC"/>
    <w:rsid w:val="003A035F"/>
    <w:rsid w:val="003A0512"/>
    <w:rsid w:val="003A05CE"/>
    <w:rsid w:val="003A079A"/>
    <w:rsid w:val="003A0AA8"/>
    <w:rsid w:val="003A11F9"/>
    <w:rsid w:val="003A1476"/>
    <w:rsid w:val="003A15B1"/>
    <w:rsid w:val="003A16A2"/>
    <w:rsid w:val="003A1BD8"/>
    <w:rsid w:val="003A1BFA"/>
    <w:rsid w:val="003A1DB7"/>
    <w:rsid w:val="003A2A7D"/>
    <w:rsid w:val="003A2E87"/>
    <w:rsid w:val="003A2EC8"/>
    <w:rsid w:val="003A2F81"/>
    <w:rsid w:val="003A3005"/>
    <w:rsid w:val="003A354C"/>
    <w:rsid w:val="003A35AD"/>
    <w:rsid w:val="003A3878"/>
    <w:rsid w:val="003A38F2"/>
    <w:rsid w:val="003A3FF3"/>
    <w:rsid w:val="003A40BC"/>
    <w:rsid w:val="003A438C"/>
    <w:rsid w:val="003A4B25"/>
    <w:rsid w:val="003A4BC2"/>
    <w:rsid w:val="003A4DB8"/>
    <w:rsid w:val="003A5324"/>
    <w:rsid w:val="003A5481"/>
    <w:rsid w:val="003A5916"/>
    <w:rsid w:val="003A6195"/>
    <w:rsid w:val="003A633B"/>
    <w:rsid w:val="003A66BA"/>
    <w:rsid w:val="003A6958"/>
    <w:rsid w:val="003A6DA0"/>
    <w:rsid w:val="003A6DB6"/>
    <w:rsid w:val="003A6F06"/>
    <w:rsid w:val="003A73D9"/>
    <w:rsid w:val="003A7610"/>
    <w:rsid w:val="003A7911"/>
    <w:rsid w:val="003A7A0F"/>
    <w:rsid w:val="003A7A5D"/>
    <w:rsid w:val="003A7C69"/>
    <w:rsid w:val="003A7CF1"/>
    <w:rsid w:val="003A7E36"/>
    <w:rsid w:val="003B0749"/>
    <w:rsid w:val="003B0E03"/>
    <w:rsid w:val="003B19C2"/>
    <w:rsid w:val="003B1B9B"/>
    <w:rsid w:val="003B2261"/>
    <w:rsid w:val="003B284E"/>
    <w:rsid w:val="003B2FFE"/>
    <w:rsid w:val="003B32A8"/>
    <w:rsid w:val="003B373F"/>
    <w:rsid w:val="003B378E"/>
    <w:rsid w:val="003B3848"/>
    <w:rsid w:val="003B3953"/>
    <w:rsid w:val="003B3A04"/>
    <w:rsid w:val="003B4138"/>
    <w:rsid w:val="003B4609"/>
    <w:rsid w:val="003B4963"/>
    <w:rsid w:val="003B4CE2"/>
    <w:rsid w:val="003B51A2"/>
    <w:rsid w:val="003B567E"/>
    <w:rsid w:val="003B59E3"/>
    <w:rsid w:val="003B5B18"/>
    <w:rsid w:val="003B5ECA"/>
    <w:rsid w:val="003B5F74"/>
    <w:rsid w:val="003B6932"/>
    <w:rsid w:val="003B6ACF"/>
    <w:rsid w:val="003B6B09"/>
    <w:rsid w:val="003B6C28"/>
    <w:rsid w:val="003B6E23"/>
    <w:rsid w:val="003B709A"/>
    <w:rsid w:val="003B7359"/>
    <w:rsid w:val="003B737A"/>
    <w:rsid w:val="003B74B8"/>
    <w:rsid w:val="003B7D26"/>
    <w:rsid w:val="003C0011"/>
    <w:rsid w:val="003C066D"/>
    <w:rsid w:val="003C08ED"/>
    <w:rsid w:val="003C0A0F"/>
    <w:rsid w:val="003C146E"/>
    <w:rsid w:val="003C150E"/>
    <w:rsid w:val="003C19D8"/>
    <w:rsid w:val="003C1BBE"/>
    <w:rsid w:val="003C1F2B"/>
    <w:rsid w:val="003C1F7B"/>
    <w:rsid w:val="003C20A9"/>
    <w:rsid w:val="003C2424"/>
    <w:rsid w:val="003C24D4"/>
    <w:rsid w:val="003C2E7B"/>
    <w:rsid w:val="003C2F5D"/>
    <w:rsid w:val="003C3225"/>
    <w:rsid w:val="003C3296"/>
    <w:rsid w:val="003C33F0"/>
    <w:rsid w:val="003C3750"/>
    <w:rsid w:val="003C3B04"/>
    <w:rsid w:val="003C4224"/>
    <w:rsid w:val="003C5018"/>
    <w:rsid w:val="003C51B5"/>
    <w:rsid w:val="003C5358"/>
    <w:rsid w:val="003C53C5"/>
    <w:rsid w:val="003C5865"/>
    <w:rsid w:val="003C5B44"/>
    <w:rsid w:val="003C6BF4"/>
    <w:rsid w:val="003C6EB6"/>
    <w:rsid w:val="003C7434"/>
    <w:rsid w:val="003C7544"/>
    <w:rsid w:val="003C77EE"/>
    <w:rsid w:val="003C788B"/>
    <w:rsid w:val="003C7BB0"/>
    <w:rsid w:val="003D06A4"/>
    <w:rsid w:val="003D06B5"/>
    <w:rsid w:val="003D08CF"/>
    <w:rsid w:val="003D0A0C"/>
    <w:rsid w:val="003D1026"/>
    <w:rsid w:val="003D1278"/>
    <w:rsid w:val="003D14E1"/>
    <w:rsid w:val="003D1E15"/>
    <w:rsid w:val="003D1EB5"/>
    <w:rsid w:val="003D21A0"/>
    <w:rsid w:val="003D21B2"/>
    <w:rsid w:val="003D2377"/>
    <w:rsid w:val="003D2516"/>
    <w:rsid w:val="003D2581"/>
    <w:rsid w:val="003D2D2E"/>
    <w:rsid w:val="003D2D56"/>
    <w:rsid w:val="003D3182"/>
    <w:rsid w:val="003D3207"/>
    <w:rsid w:val="003D3486"/>
    <w:rsid w:val="003D35F7"/>
    <w:rsid w:val="003D3637"/>
    <w:rsid w:val="003D3DCD"/>
    <w:rsid w:val="003D4523"/>
    <w:rsid w:val="003D4B87"/>
    <w:rsid w:val="003D4D8F"/>
    <w:rsid w:val="003D5226"/>
    <w:rsid w:val="003D530D"/>
    <w:rsid w:val="003D558E"/>
    <w:rsid w:val="003D5B5D"/>
    <w:rsid w:val="003D5E81"/>
    <w:rsid w:val="003D64D5"/>
    <w:rsid w:val="003D6626"/>
    <w:rsid w:val="003D689A"/>
    <w:rsid w:val="003D7211"/>
    <w:rsid w:val="003D722F"/>
    <w:rsid w:val="003D7236"/>
    <w:rsid w:val="003D7D82"/>
    <w:rsid w:val="003D7EB0"/>
    <w:rsid w:val="003E04D2"/>
    <w:rsid w:val="003E05DA"/>
    <w:rsid w:val="003E0A5D"/>
    <w:rsid w:val="003E0D15"/>
    <w:rsid w:val="003E0EBE"/>
    <w:rsid w:val="003E103E"/>
    <w:rsid w:val="003E1164"/>
    <w:rsid w:val="003E1167"/>
    <w:rsid w:val="003E1726"/>
    <w:rsid w:val="003E1C77"/>
    <w:rsid w:val="003E21B2"/>
    <w:rsid w:val="003E2769"/>
    <w:rsid w:val="003E2917"/>
    <w:rsid w:val="003E2C1D"/>
    <w:rsid w:val="003E2C3C"/>
    <w:rsid w:val="003E4464"/>
    <w:rsid w:val="003E4992"/>
    <w:rsid w:val="003E49A8"/>
    <w:rsid w:val="003E4B20"/>
    <w:rsid w:val="003E4DEA"/>
    <w:rsid w:val="003E4FB9"/>
    <w:rsid w:val="003E5516"/>
    <w:rsid w:val="003E582F"/>
    <w:rsid w:val="003E58F5"/>
    <w:rsid w:val="003E5A52"/>
    <w:rsid w:val="003E5E5C"/>
    <w:rsid w:val="003E62C8"/>
    <w:rsid w:val="003E6A0B"/>
    <w:rsid w:val="003E6F1B"/>
    <w:rsid w:val="003E72DA"/>
    <w:rsid w:val="003E7366"/>
    <w:rsid w:val="003E736E"/>
    <w:rsid w:val="003E7481"/>
    <w:rsid w:val="003E7591"/>
    <w:rsid w:val="003E7704"/>
    <w:rsid w:val="003E7730"/>
    <w:rsid w:val="003E7924"/>
    <w:rsid w:val="003E7A8A"/>
    <w:rsid w:val="003E7D2A"/>
    <w:rsid w:val="003E7DD2"/>
    <w:rsid w:val="003E7E03"/>
    <w:rsid w:val="003F044D"/>
    <w:rsid w:val="003F0B6B"/>
    <w:rsid w:val="003F1607"/>
    <w:rsid w:val="003F1806"/>
    <w:rsid w:val="003F18EB"/>
    <w:rsid w:val="003F1B23"/>
    <w:rsid w:val="003F1BC3"/>
    <w:rsid w:val="003F1F07"/>
    <w:rsid w:val="003F213B"/>
    <w:rsid w:val="003F229D"/>
    <w:rsid w:val="003F271E"/>
    <w:rsid w:val="003F290F"/>
    <w:rsid w:val="003F3056"/>
    <w:rsid w:val="003F31A7"/>
    <w:rsid w:val="003F31AD"/>
    <w:rsid w:val="003F31E0"/>
    <w:rsid w:val="003F347B"/>
    <w:rsid w:val="003F3670"/>
    <w:rsid w:val="003F3C8D"/>
    <w:rsid w:val="003F40A3"/>
    <w:rsid w:val="003F451F"/>
    <w:rsid w:val="003F46C8"/>
    <w:rsid w:val="003F494C"/>
    <w:rsid w:val="003F4F3E"/>
    <w:rsid w:val="003F5801"/>
    <w:rsid w:val="003F5857"/>
    <w:rsid w:val="003F626A"/>
    <w:rsid w:val="003F62DE"/>
    <w:rsid w:val="003F636F"/>
    <w:rsid w:val="003F6475"/>
    <w:rsid w:val="003F6706"/>
    <w:rsid w:val="003F674E"/>
    <w:rsid w:val="003F6C3F"/>
    <w:rsid w:val="003F6CA0"/>
    <w:rsid w:val="003F6CA4"/>
    <w:rsid w:val="003F7247"/>
    <w:rsid w:val="003F752E"/>
    <w:rsid w:val="003F76E1"/>
    <w:rsid w:val="003F7785"/>
    <w:rsid w:val="003F7BDA"/>
    <w:rsid w:val="00400099"/>
    <w:rsid w:val="0040039A"/>
    <w:rsid w:val="004007FB"/>
    <w:rsid w:val="00400E8A"/>
    <w:rsid w:val="004012A8"/>
    <w:rsid w:val="004018FF"/>
    <w:rsid w:val="004019CA"/>
    <w:rsid w:val="00401F00"/>
    <w:rsid w:val="00402082"/>
    <w:rsid w:val="00402322"/>
    <w:rsid w:val="00402471"/>
    <w:rsid w:val="00403230"/>
    <w:rsid w:val="004036AD"/>
    <w:rsid w:val="004037DE"/>
    <w:rsid w:val="00403920"/>
    <w:rsid w:val="004039D8"/>
    <w:rsid w:val="00403B29"/>
    <w:rsid w:val="00403D81"/>
    <w:rsid w:val="00403DC4"/>
    <w:rsid w:val="00404FBE"/>
    <w:rsid w:val="0040535C"/>
    <w:rsid w:val="00405A78"/>
    <w:rsid w:val="00405B9F"/>
    <w:rsid w:val="004065A5"/>
    <w:rsid w:val="00406616"/>
    <w:rsid w:val="00406652"/>
    <w:rsid w:val="00406C40"/>
    <w:rsid w:val="00406D92"/>
    <w:rsid w:val="00406D99"/>
    <w:rsid w:val="00406E74"/>
    <w:rsid w:val="004070C5"/>
    <w:rsid w:val="00407291"/>
    <w:rsid w:val="00407BC8"/>
    <w:rsid w:val="00407C7B"/>
    <w:rsid w:val="0041036A"/>
    <w:rsid w:val="00410AF6"/>
    <w:rsid w:val="00410EBE"/>
    <w:rsid w:val="00411012"/>
    <w:rsid w:val="0041119C"/>
    <w:rsid w:val="00411293"/>
    <w:rsid w:val="0041169F"/>
    <w:rsid w:val="00411B1F"/>
    <w:rsid w:val="004124A8"/>
    <w:rsid w:val="004127B9"/>
    <w:rsid w:val="00412855"/>
    <w:rsid w:val="00412E2E"/>
    <w:rsid w:val="0041315C"/>
    <w:rsid w:val="004132BB"/>
    <w:rsid w:val="004132DE"/>
    <w:rsid w:val="00413632"/>
    <w:rsid w:val="004136E9"/>
    <w:rsid w:val="0041370A"/>
    <w:rsid w:val="00413E69"/>
    <w:rsid w:val="00413F2A"/>
    <w:rsid w:val="004141AC"/>
    <w:rsid w:val="004142DF"/>
    <w:rsid w:val="00414549"/>
    <w:rsid w:val="004148BF"/>
    <w:rsid w:val="00414A06"/>
    <w:rsid w:val="00414A7F"/>
    <w:rsid w:val="00414EE1"/>
    <w:rsid w:val="004153D9"/>
    <w:rsid w:val="004159E6"/>
    <w:rsid w:val="00415BF7"/>
    <w:rsid w:val="00415D0C"/>
    <w:rsid w:val="00415E16"/>
    <w:rsid w:val="00417068"/>
    <w:rsid w:val="0041708C"/>
    <w:rsid w:val="004170C1"/>
    <w:rsid w:val="0041713C"/>
    <w:rsid w:val="004173D6"/>
    <w:rsid w:val="00417586"/>
    <w:rsid w:val="0041764C"/>
    <w:rsid w:val="0041799C"/>
    <w:rsid w:val="00417D4E"/>
    <w:rsid w:val="00417D5C"/>
    <w:rsid w:val="0042012F"/>
    <w:rsid w:val="0042028F"/>
    <w:rsid w:val="00420350"/>
    <w:rsid w:val="0042057D"/>
    <w:rsid w:val="004205A7"/>
    <w:rsid w:val="0042065E"/>
    <w:rsid w:val="004206D7"/>
    <w:rsid w:val="00420894"/>
    <w:rsid w:val="004208E7"/>
    <w:rsid w:val="004209EA"/>
    <w:rsid w:val="0042100E"/>
    <w:rsid w:val="004211F9"/>
    <w:rsid w:val="00421463"/>
    <w:rsid w:val="00421557"/>
    <w:rsid w:val="0042158B"/>
    <w:rsid w:val="004218EC"/>
    <w:rsid w:val="004219CF"/>
    <w:rsid w:val="00421CB2"/>
    <w:rsid w:val="00421D62"/>
    <w:rsid w:val="00421E16"/>
    <w:rsid w:val="004223E3"/>
    <w:rsid w:val="0042249E"/>
    <w:rsid w:val="004225F9"/>
    <w:rsid w:val="00422772"/>
    <w:rsid w:val="00422BB3"/>
    <w:rsid w:val="00422DA8"/>
    <w:rsid w:val="00422F77"/>
    <w:rsid w:val="00422F8E"/>
    <w:rsid w:val="00423129"/>
    <w:rsid w:val="0042337D"/>
    <w:rsid w:val="004236A4"/>
    <w:rsid w:val="00423D87"/>
    <w:rsid w:val="004245AE"/>
    <w:rsid w:val="00424687"/>
    <w:rsid w:val="00424BC6"/>
    <w:rsid w:val="00424C15"/>
    <w:rsid w:val="00424C91"/>
    <w:rsid w:val="0042551F"/>
    <w:rsid w:val="00425792"/>
    <w:rsid w:val="00425AC3"/>
    <w:rsid w:val="00425D12"/>
    <w:rsid w:val="00425D81"/>
    <w:rsid w:val="00426131"/>
    <w:rsid w:val="00426370"/>
    <w:rsid w:val="00426FDB"/>
    <w:rsid w:val="00427925"/>
    <w:rsid w:val="00427E5C"/>
    <w:rsid w:val="004302AB"/>
    <w:rsid w:val="004302AC"/>
    <w:rsid w:val="0043035A"/>
    <w:rsid w:val="004305AC"/>
    <w:rsid w:val="004305E6"/>
    <w:rsid w:val="004306C1"/>
    <w:rsid w:val="00430B13"/>
    <w:rsid w:val="0043176E"/>
    <w:rsid w:val="004319CC"/>
    <w:rsid w:val="00431F32"/>
    <w:rsid w:val="004321A4"/>
    <w:rsid w:val="0043240E"/>
    <w:rsid w:val="004328D8"/>
    <w:rsid w:val="004328EC"/>
    <w:rsid w:val="0043316B"/>
    <w:rsid w:val="00433266"/>
    <w:rsid w:val="00433A20"/>
    <w:rsid w:val="00433D2E"/>
    <w:rsid w:val="00433E6B"/>
    <w:rsid w:val="004342F9"/>
    <w:rsid w:val="0043472B"/>
    <w:rsid w:val="0043477A"/>
    <w:rsid w:val="00434CAB"/>
    <w:rsid w:val="00434E85"/>
    <w:rsid w:val="00435013"/>
    <w:rsid w:val="00435041"/>
    <w:rsid w:val="00435341"/>
    <w:rsid w:val="00435B85"/>
    <w:rsid w:val="00435DBB"/>
    <w:rsid w:val="004368E1"/>
    <w:rsid w:val="00436D40"/>
    <w:rsid w:val="004375C4"/>
    <w:rsid w:val="00437853"/>
    <w:rsid w:val="0043793C"/>
    <w:rsid w:val="0043795E"/>
    <w:rsid w:val="00437A63"/>
    <w:rsid w:val="00437A9F"/>
    <w:rsid w:val="00437EE5"/>
    <w:rsid w:val="004404FA"/>
    <w:rsid w:val="004406EE"/>
    <w:rsid w:val="004406F9"/>
    <w:rsid w:val="0044095C"/>
    <w:rsid w:val="00440C7E"/>
    <w:rsid w:val="004410DB"/>
    <w:rsid w:val="0044140C"/>
    <w:rsid w:val="0044156C"/>
    <w:rsid w:val="004418BE"/>
    <w:rsid w:val="004425F4"/>
    <w:rsid w:val="00442FAB"/>
    <w:rsid w:val="0044309F"/>
    <w:rsid w:val="00443C19"/>
    <w:rsid w:val="00443D42"/>
    <w:rsid w:val="0044434B"/>
    <w:rsid w:val="00444507"/>
    <w:rsid w:val="00444F28"/>
    <w:rsid w:val="0044574C"/>
    <w:rsid w:val="00445875"/>
    <w:rsid w:val="004458DD"/>
    <w:rsid w:val="004458FC"/>
    <w:rsid w:val="00445DD7"/>
    <w:rsid w:val="00446253"/>
    <w:rsid w:val="0044633E"/>
    <w:rsid w:val="004465DB"/>
    <w:rsid w:val="00446639"/>
    <w:rsid w:val="00446B7D"/>
    <w:rsid w:val="00446E55"/>
    <w:rsid w:val="00447076"/>
    <w:rsid w:val="0044750E"/>
    <w:rsid w:val="00447726"/>
    <w:rsid w:val="00447765"/>
    <w:rsid w:val="0045015B"/>
    <w:rsid w:val="004503A9"/>
    <w:rsid w:val="0045042F"/>
    <w:rsid w:val="004504D1"/>
    <w:rsid w:val="004505BA"/>
    <w:rsid w:val="00450AF1"/>
    <w:rsid w:val="00450BB8"/>
    <w:rsid w:val="00451172"/>
    <w:rsid w:val="0045177B"/>
    <w:rsid w:val="00451937"/>
    <w:rsid w:val="004519F7"/>
    <w:rsid w:val="00451FE3"/>
    <w:rsid w:val="004526B5"/>
    <w:rsid w:val="004526C8"/>
    <w:rsid w:val="0045271D"/>
    <w:rsid w:val="00452E58"/>
    <w:rsid w:val="00452FA7"/>
    <w:rsid w:val="004530CD"/>
    <w:rsid w:val="004531E9"/>
    <w:rsid w:val="004534A4"/>
    <w:rsid w:val="004536AA"/>
    <w:rsid w:val="0045376D"/>
    <w:rsid w:val="0045387E"/>
    <w:rsid w:val="00453B10"/>
    <w:rsid w:val="00453F99"/>
    <w:rsid w:val="00453FA4"/>
    <w:rsid w:val="00454040"/>
    <w:rsid w:val="004541C7"/>
    <w:rsid w:val="004544F8"/>
    <w:rsid w:val="004546B6"/>
    <w:rsid w:val="004548CE"/>
    <w:rsid w:val="00454AE5"/>
    <w:rsid w:val="00454CDB"/>
    <w:rsid w:val="00454ECA"/>
    <w:rsid w:val="00454F9B"/>
    <w:rsid w:val="0045514C"/>
    <w:rsid w:val="004558E8"/>
    <w:rsid w:val="00455CC1"/>
    <w:rsid w:val="00455DB4"/>
    <w:rsid w:val="00456149"/>
    <w:rsid w:val="004561E7"/>
    <w:rsid w:val="004562E5"/>
    <w:rsid w:val="00456F75"/>
    <w:rsid w:val="00457001"/>
    <w:rsid w:val="0045701C"/>
    <w:rsid w:val="00457477"/>
    <w:rsid w:val="0045785D"/>
    <w:rsid w:val="004579D8"/>
    <w:rsid w:val="00457A0F"/>
    <w:rsid w:val="00457A43"/>
    <w:rsid w:val="00457A7A"/>
    <w:rsid w:val="00457DFA"/>
    <w:rsid w:val="00457E73"/>
    <w:rsid w:val="00460118"/>
    <w:rsid w:val="004605A6"/>
    <w:rsid w:val="00460AE9"/>
    <w:rsid w:val="00460CB0"/>
    <w:rsid w:val="00461080"/>
    <w:rsid w:val="004613E8"/>
    <w:rsid w:val="00461A39"/>
    <w:rsid w:val="00461BF1"/>
    <w:rsid w:val="00461C13"/>
    <w:rsid w:val="00462413"/>
    <w:rsid w:val="004625CC"/>
    <w:rsid w:val="004627D8"/>
    <w:rsid w:val="004627F5"/>
    <w:rsid w:val="00462D22"/>
    <w:rsid w:val="00462FB3"/>
    <w:rsid w:val="00463048"/>
    <w:rsid w:val="004630EB"/>
    <w:rsid w:val="00463BAD"/>
    <w:rsid w:val="00463BB9"/>
    <w:rsid w:val="004646E5"/>
    <w:rsid w:val="0046479B"/>
    <w:rsid w:val="00464C03"/>
    <w:rsid w:val="004659F6"/>
    <w:rsid w:val="00465A54"/>
    <w:rsid w:val="00465B61"/>
    <w:rsid w:val="00465DF7"/>
    <w:rsid w:val="00465F6E"/>
    <w:rsid w:val="00465F82"/>
    <w:rsid w:val="004664DF"/>
    <w:rsid w:val="0046667F"/>
    <w:rsid w:val="004668CB"/>
    <w:rsid w:val="00467346"/>
    <w:rsid w:val="00467389"/>
    <w:rsid w:val="004673DC"/>
    <w:rsid w:val="00467AC5"/>
    <w:rsid w:val="00470A6D"/>
    <w:rsid w:val="0047112F"/>
    <w:rsid w:val="00471371"/>
    <w:rsid w:val="00471430"/>
    <w:rsid w:val="004714CD"/>
    <w:rsid w:val="00471C94"/>
    <w:rsid w:val="00471D06"/>
    <w:rsid w:val="004722D3"/>
    <w:rsid w:val="004723F5"/>
    <w:rsid w:val="00472F76"/>
    <w:rsid w:val="00473279"/>
    <w:rsid w:val="00473773"/>
    <w:rsid w:val="00473AF7"/>
    <w:rsid w:val="00473CBE"/>
    <w:rsid w:val="00473D59"/>
    <w:rsid w:val="00473E04"/>
    <w:rsid w:val="004743C8"/>
    <w:rsid w:val="0047476A"/>
    <w:rsid w:val="00474848"/>
    <w:rsid w:val="00474A86"/>
    <w:rsid w:val="00474D64"/>
    <w:rsid w:val="00475581"/>
    <w:rsid w:val="00475AB6"/>
    <w:rsid w:val="00475C2E"/>
    <w:rsid w:val="00475CEE"/>
    <w:rsid w:val="00476320"/>
    <w:rsid w:val="004765E1"/>
    <w:rsid w:val="00476612"/>
    <w:rsid w:val="004766E5"/>
    <w:rsid w:val="00476F83"/>
    <w:rsid w:val="00476FB4"/>
    <w:rsid w:val="00477088"/>
    <w:rsid w:val="00477915"/>
    <w:rsid w:val="00477E66"/>
    <w:rsid w:val="00480807"/>
    <w:rsid w:val="004808D4"/>
    <w:rsid w:val="00480962"/>
    <w:rsid w:val="00480C02"/>
    <w:rsid w:val="00480DDE"/>
    <w:rsid w:val="00481496"/>
    <w:rsid w:val="00481620"/>
    <w:rsid w:val="00481AA7"/>
    <w:rsid w:val="00481AB7"/>
    <w:rsid w:val="0048213B"/>
    <w:rsid w:val="004822C1"/>
    <w:rsid w:val="00482527"/>
    <w:rsid w:val="004825EC"/>
    <w:rsid w:val="0048260C"/>
    <w:rsid w:val="004826E1"/>
    <w:rsid w:val="00482832"/>
    <w:rsid w:val="00482970"/>
    <w:rsid w:val="00482FFB"/>
    <w:rsid w:val="00483409"/>
    <w:rsid w:val="00483A0F"/>
    <w:rsid w:val="00483A4D"/>
    <w:rsid w:val="00483BCB"/>
    <w:rsid w:val="00483D78"/>
    <w:rsid w:val="00483ECD"/>
    <w:rsid w:val="00483FFA"/>
    <w:rsid w:val="0048417F"/>
    <w:rsid w:val="00484261"/>
    <w:rsid w:val="004845FD"/>
    <w:rsid w:val="004848B3"/>
    <w:rsid w:val="00484E44"/>
    <w:rsid w:val="00484EC0"/>
    <w:rsid w:val="004850AD"/>
    <w:rsid w:val="004852FD"/>
    <w:rsid w:val="0048545A"/>
    <w:rsid w:val="004855ED"/>
    <w:rsid w:val="00485638"/>
    <w:rsid w:val="00485652"/>
    <w:rsid w:val="00485733"/>
    <w:rsid w:val="00485A10"/>
    <w:rsid w:val="00485DF9"/>
    <w:rsid w:val="004861B4"/>
    <w:rsid w:val="0048622B"/>
    <w:rsid w:val="0048678E"/>
    <w:rsid w:val="00486821"/>
    <w:rsid w:val="0048689C"/>
    <w:rsid w:val="00486CF4"/>
    <w:rsid w:val="004872F1"/>
    <w:rsid w:val="00487644"/>
    <w:rsid w:val="00487A4B"/>
    <w:rsid w:val="00487D43"/>
    <w:rsid w:val="00487F42"/>
    <w:rsid w:val="00490144"/>
    <w:rsid w:val="004901D8"/>
    <w:rsid w:val="00490322"/>
    <w:rsid w:val="00490944"/>
    <w:rsid w:val="00490B44"/>
    <w:rsid w:val="00490B89"/>
    <w:rsid w:val="00490B96"/>
    <w:rsid w:val="00490F02"/>
    <w:rsid w:val="004913EC"/>
    <w:rsid w:val="00491427"/>
    <w:rsid w:val="00491466"/>
    <w:rsid w:val="004915DC"/>
    <w:rsid w:val="00491916"/>
    <w:rsid w:val="00491FA6"/>
    <w:rsid w:val="004920B9"/>
    <w:rsid w:val="0049275D"/>
    <w:rsid w:val="004929E4"/>
    <w:rsid w:val="00492F47"/>
    <w:rsid w:val="00493157"/>
    <w:rsid w:val="004934B0"/>
    <w:rsid w:val="004936D2"/>
    <w:rsid w:val="00493BEE"/>
    <w:rsid w:val="00494403"/>
    <w:rsid w:val="00494600"/>
    <w:rsid w:val="004948C2"/>
    <w:rsid w:val="00494AE9"/>
    <w:rsid w:val="00494B79"/>
    <w:rsid w:val="00494C0F"/>
    <w:rsid w:val="004953F1"/>
    <w:rsid w:val="0049575C"/>
    <w:rsid w:val="00495C32"/>
    <w:rsid w:val="004960F5"/>
    <w:rsid w:val="00496437"/>
    <w:rsid w:val="00496537"/>
    <w:rsid w:val="004966A3"/>
    <w:rsid w:val="00496A17"/>
    <w:rsid w:val="00496D4D"/>
    <w:rsid w:val="00496D79"/>
    <w:rsid w:val="00496DAE"/>
    <w:rsid w:val="00496F9F"/>
    <w:rsid w:val="0049701A"/>
    <w:rsid w:val="004974C5"/>
    <w:rsid w:val="00497762"/>
    <w:rsid w:val="00497B8B"/>
    <w:rsid w:val="00497D92"/>
    <w:rsid w:val="00497E91"/>
    <w:rsid w:val="004A01D0"/>
    <w:rsid w:val="004A02A9"/>
    <w:rsid w:val="004A0E6A"/>
    <w:rsid w:val="004A1122"/>
    <w:rsid w:val="004A12DE"/>
    <w:rsid w:val="004A151F"/>
    <w:rsid w:val="004A1920"/>
    <w:rsid w:val="004A1B2A"/>
    <w:rsid w:val="004A1C97"/>
    <w:rsid w:val="004A1DC7"/>
    <w:rsid w:val="004A211F"/>
    <w:rsid w:val="004A21B3"/>
    <w:rsid w:val="004A2430"/>
    <w:rsid w:val="004A268E"/>
    <w:rsid w:val="004A28C0"/>
    <w:rsid w:val="004A2C84"/>
    <w:rsid w:val="004A3230"/>
    <w:rsid w:val="004A39BC"/>
    <w:rsid w:val="004A3CF5"/>
    <w:rsid w:val="004A3DF5"/>
    <w:rsid w:val="004A3ECC"/>
    <w:rsid w:val="004A43AE"/>
    <w:rsid w:val="004A4458"/>
    <w:rsid w:val="004A4811"/>
    <w:rsid w:val="004A4C71"/>
    <w:rsid w:val="004A4CAB"/>
    <w:rsid w:val="004A4ED3"/>
    <w:rsid w:val="004A56F9"/>
    <w:rsid w:val="004A59FB"/>
    <w:rsid w:val="004A5A03"/>
    <w:rsid w:val="004A5FEE"/>
    <w:rsid w:val="004A63D3"/>
    <w:rsid w:val="004A69FF"/>
    <w:rsid w:val="004A6A63"/>
    <w:rsid w:val="004A6D0E"/>
    <w:rsid w:val="004A6DBE"/>
    <w:rsid w:val="004A6F54"/>
    <w:rsid w:val="004A717A"/>
    <w:rsid w:val="004A7327"/>
    <w:rsid w:val="004A7426"/>
    <w:rsid w:val="004A74AE"/>
    <w:rsid w:val="004A75B2"/>
    <w:rsid w:val="004A7A24"/>
    <w:rsid w:val="004A7B24"/>
    <w:rsid w:val="004A7C35"/>
    <w:rsid w:val="004A7D92"/>
    <w:rsid w:val="004B0413"/>
    <w:rsid w:val="004B05B5"/>
    <w:rsid w:val="004B0936"/>
    <w:rsid w:val="004B0AB0"/>
    <w:rsid w:val="004B0C31"/>
    <w:rsid w:val="004B0CD5"/>
    <w:rsid w:val="004B132B"/>
    <w:rsid w:val="004B138D"/>
    <w:rsid w:val="004B1D8E"/>
    <w:rsid w:val="004B20FC"/>
    <w:rsid w:val="004B2406"/>
    <w:rsid w:val="004B250D"/>
    <w:rsid w:val="004B2A38"/>
    <w:rsid w:val="004B2AF0"/>
    <w:rsid w:val="004B3329"/>
    <w:rsid w:val="004B3338"/>
    <w:rsid w:val="004B382B"/>
    <w:rsid w:val="004B38E7"/>
    <w:rsid w:val="004B3DD6"/>
    <w:rsid w:val="004B3E4E"/>
    <w:rsid w:val="004B3F08"/>
    <w:rsid w:val="004B44CA"/>
    <w:rsid w:val="004B46DB"/>
    <w:rsid w:val="004B4A84"/>
    <w:rsid w:val="004B4C69"/>
    <w:rsid w:val="004B4D00"/>
    <w:rsid w:val="004B4FB1"/>
    <w:rsid w:val="004B500E"/>
    <w:rsid w:val="004B525E"/>
    <w:rsid w:val="004B5657"/>
    <w:rsid w:val="004B5908"/>
    <w:rsid w:val="004B5C2B"/>
    <w:rsid w:val="004B5CBE"/>
    <w:rsid w:val="004B624D"/>
    <w:rsid w:val="004B62A4"/>
    <w:rsid w:val="004B6320"/>
    <w:rsid w:val="004B66BD"/>
    <w:rsid w:val="004B6E21"/>
    <w:rsid w:val="004B7121"/>
    <w:rsid w:val="004B714E"/>
    <w:rsid w:val="004B727C"/>
    <w:rsid w:val="004B7886"/>
    <w:rsid w:val="004B7E0A"/>
    <w:rsid w:val="004C010C"/>
    <w:rsid w:val="004C1193"/>
    <w:rsid w:val="004C1BF0"/>
    <w:rsid w:val="004C262F"/>
    <w:rsid w:val="004C264C"/>
    <w:rsid w:val="004C26F3"/>
    <w:rsid w:val="004C2798"/>
    <w:rsid w:val="004C310A"/>
    <w:rsid w:val="004C3188"/>
    <w:rsid w:val="004C394A"/>
    <w:rsid w:val="004C3CC4"/>
    <w:rsid w:val="004C3D85"/>
    <w:rsid w:val="004C3F12"/>
    <w:rsid w:val="004C406B"/>
    <w:rsid w:val="004C408A"/>
    <w:rsid w:val="004C4A05"/>
    <w:rsid w:val="004C4BBC"/>
    <w:rsid w:val="004C4CC7"/>
    <w:rsid w:val="004C4E5E"/>
    <w:rsid w:val="004C516B"/>
    <w:rsid w:val="004C5A4B"/>
    <w:rsid w:val="004C6075"/>
    <w:rsid w:val="004C6579"/>
    <w:rsid w:val="004C6581"/>
    <w:rsid w:val="004C6C05"/>
    <w:rsid w:val="004C6C24"/>
    <w:rsid w:val="004C6F4A"/>
    <w:rsid w:val="004C709B"/>
    <w:rsid w:val="004C7162"/>
    <w:rsid w:val="004C72CD"/>
    <w:rsid w:val="004C7404"/>
    <w:rsid w:val="004D0199"/>
    <w:rsid w:val="004D02BA"/>
    <w:rsid w:val="004D0547"/>
    <w:rsid w:val="004D0670"/>
    <w:rsid w:val="004D095C"/>
    <w:rsid w:val="004D0998"/>
    <w:rsid w:val="004D0B96"/>
    <w:rsid w:val="004D0ED1"/>
    <w:rsid w:val="004D12C1"/>
    <w:rsid w:val="004D1B3F"/>
    <w:rsid w:val="004D1E9A"/>
    <w:rsid w:val="004D20B1"/>
    <w:rsid w:val="004D2257"/>
    <w:rsid w:val="004D2B24"/>
    <w:rsid w:val="004D30FF"/>
    <w:rsid w:val="004D3164"/>
    <w:rsid w:val="004D3BC7"/>
    <w:rsid w:val="004D3D02"/>
    <w:rsid w:val="004D3E0A"/>
    <w:rsid w:val="004D40D5"/>
    <w:rsid w:val="004D444B"/>
    <w:rsid w:val="004D48FB"/>
    <w:rsid w:val="004D4A92"/>
    <w:rsid w:val="004D54C2"/>
    <w:rsid w:val="004D5E3E"/>
    <w:rsid w:val="004D5F0A"/>
    <w:rsid w:val="004D6005"/>
    <w:rsid w:val="004D6495"/>
    <w:rsid w:val="004D68BA"/>
    <w:rsid w:val="004D6A56"/>
    <w:rsid w:val="004D7226"/>
    <w:rsid w:val="004D7485"/>
    <w:rsid w:val="004D74A3"/>
    <w:rsid w:val="004D74E0"/>
    <w:rsid w:val="004D7976"/>
    <w:rsid w:val="004D79AF"/>
    <w:rsid w:val="004D79E2"/>
    <w:rsid w:val="004D7B9D"/>
    <w:rsid w:val="004D7CAA"/>
    <w:rsid w:val="004E05F0"/>
    <w:rsid w:val="004E06DA"/>
    <w:rsid w:val="004E0A51"/>
    <w:rsid w:val="004E0DB4"/>
    <w:rsid w:val="004E1543"/>
    <w:rsid w:val="004E158F"/>
    <w:rsid w:val="004E19FE"/>
    <w:rsid w:val="004E22F0"/>
    <w:rsid w:val="004E2419"/>
    <w:rsid w:val="004E243D"/>
    <w:rsid w:val="004E283A"/>
    <w:rsid w:val="004E2BF5"/>
    <w:rsid w:val="004E2DD9"/>
    <w:rsid w:val="004E30DB"/>
    <w:rsid w:val="004E349E"/>
    <w:rsid w:val="004E3784"/>
    <w:rsid w:val="004E382D"/>
    <w:rsid w:val="004E448B"/>
    <w:rsid w:val="004E456E"/>
    <w:rsid w:val="004E466E"/>
    <w:rsid w:val="004E4889"/>
    <w:rsid w:val="004E48E4"/>
    <w:rsid w:val="004E4B52"/>
    <w:rsid w:val="004E4CA1"/>
    <w:rsid w:val="004E4F3A"/>
    <w:rsid w:val="004E51CF"/>
    <w:rsid w:val="004E531F"/>
    <w:rsid w:val="004E5528"/>
    <w:rsid w:val="004E5A7B"/>
    <w:rsid w:val="004E6200"/>
    <w:rsid w:val="004E6218"/>
    <w:rsid w:val="004E627A"/>
    <w:rsid w:val="004E65DD"/>
    <w:rsid w:val="004E6D84"/>
    <w:rsid w:val="004E7030"/>
    <w:rsid w:val="004E7228"/>
    <w:rsid w:val="004E7229"/>
    <w:rsid w:val="004E775A"/>
    <w:rsid w:val="004E79EE"/>
    <w:rsid w:val="004F0188"/>
    <w:rsid w:val="004F0857"/>
    <w:rsid w:val="004F1163"/>
    <w:rsid w:val="004F1176"/>
    <w:rsid w:val="004F1915"/>
    <w:rsid w:val="004F1A74"/>
    <w:rsid w:val="004F1CF0"/>
    <w:rsid w:val="004F1D94"/>
    <w:rsid w:val="004F202F"/>
    <w:rsid w:val="004F21B1"/>
    <w:rsid w:val="004F245F"/>
    <w:rsid w:val="004F273E"/>
    <w:rsid w:val="004F2A76"/>
    <w:rsid w:val="004F2FA8"/>
    <w:rsid w:val="004F31BA"/>
    <w:rsid w:val="004F32D3"/>
    <w:rsid w:val="004F37F0"/>
    <w:rsid w:val="004F3D3F"/>
    <w:rsid w:val="004F3D74"/>
    <w:rsid w:val="004F3F75"/>
    <w:rsid w:val="004F433C"/>
    <w:rsid w:val="004F435B"/>
    <w:rsid w:val="004F45B8"/>
    <w:rsid w:val="004F4A09"/>
    <w:rsid w:val="004F4D1D"/>
    <w:rsid w:val="004F52F1"/>
    <w:rsid w:val="004F5802"/>
    <w:rsid w:val="004F587F"/>
    <w:rsid w:val="004F5A5C"/>
    <w:rsid w:val="004F60D4"/>
    <w:rsid w:val="004F6654"/>
    <w:rsid w:val="004F6A18"/>
    <w:rsid w:val="004F6C53"/>
    <w:rsid w:val="004F6F22"/>
    <w:rsid w:val="004F71AD"/>
    <w:rsid w:val="004F7541"/>
    <w:rsid w:val="004F7C15"/>
    <w:rsid w:val="004F7D00"/>
    <w:rsid w:val="004F7D40"/>
    <w:rsid w:val="00500125"/>
    <w:rsid w:val="00500425"/>
    <w:rsid w:val="005007CB"/>
    <w:rsid w:val="00500969"/>
    <w:rsid w:val="00501412"/>
    <w:rsid w:val="0050143F"/>
    <w:rsid w:val="00501B39"/>
    <w:rsid w:val="00501F66"/>
    <w:rsid w:val="00502071"/>
    <w:rsid w:val="00502181"/>
    <w:rsid w:val="00502349"/>
    <w:rsid w:val="00502B18"/>
    <w:rsid w:val="00502D3A"/>
    <w:rsid w:val="00502F5B"/>
    <w:rsid w:val="0050335D"/>
    <w:rsid w:val="00503753"/>
    <w:rsid w:val="0050391A"/>
    <w:rsid w:val="00503BB4"/>
    <w:rsid w:val="00503CFD"/>
    <w:rsid w:val="00503D2B"/>
    <w:rsid w:val="00503E3E"/>
    <w:rsid w:val="0050453A"/>
    <w:rsid w:val="00504858"/>
    <w:rsid w:val="00504A94"/>
    <w:rsid w:val="00504B3E"/>
    <w:rsid w:val="00504DCA"/>
    <w:rsid w:val="005059ED"/>
    <w:rsid w:val="00505BF8"/>
    <w:rsid w:val="00505C7B"/>
    <w:rsid w:val="00506284"/>
    <w:rsid w:val="00506510"/>
    <w:rsid w:val="00506784"/>
    <w:rsid w:val="005067B8"/>
    <w:rsid w:val="005069D3"/>
    <w:rsid w:val="00506A13"/>
    <w:rsid w:val="00507038"/>
    <w:rsid w:val="00507BA3"/>
    <w:rsid w:val="00507F07"/>
    <w:rsid w:val="0051003A"/>
    <w:rsid w:val="00510A45"/>
    <w:rsid w:val="00510C82"/>
    <w:rsid w:val="00510EE6"/>
    <w:rsid w:val="005112B3"/>
    <w:rsid w:val="005115F6"/>
    <w:rsid w:val="00512074"/>
    <w:rsid w:val="005124E0"/>
    <w:rsid w:val="0051271E"/>
    <w:rsid w:val="00512B6D"/>
    <w:rsid w:val="00512E54"/>
    <w:rsid w:val="00512FA9"/>
    <w:rsid w:val="00512FEE"/>
    <w:rsid w:val="0051378F"/>
    <w:rsid w:val="0051415E"/>
    <w:rsid w:val="005146E3"/>
    <w:rsid w:val="0051483D"/>
    <w:rsid w:val="00514982"/>
    <w:rsid w:val="00514A69"/>
    <w:rsid w:val="00514DE9"/>
    <w:rsid w:val="00514FA2"/>
    <w:rsid w:val="00515038"/>
    <w:rsid w:val="0051558E"/>
    <w:rsid w:val="00515802"/>
    <w:rsid w:val="00515FDC"/>
    <w:rsid w:val="005160E3"/>
    <w:rsid w:val="005160FD"/>
    <w:rsid w:val="005162E8"/>
    <w:rsid w:val="00516345"/>
    <w:rsid w:val="005164E5"/>
    <w:rsid w:val="0051686F"/>
    <w:rsid w:val="00517CC5"/>
    <w:rsid w:val="005200FA"/>
    <w:rsid w:val="00520214"/>
    <w:rsid w:val="005204E3"/>
    <w:rsid w:val="00520B28"/>
    <w:rsid w:val="00521099"/>
    <w:rsid w:val="00521252"/>
    <w:rsid w:val="005216C5"/>
    <w:rsid w:val="00521792"/>
    <w:rsid w:val="005222AA"/>
    <w:rsid w:val="00522C1D"/>
    <w:rsid w:val="00522EB6"/>
    <w:rsid w:val="00522F46"/>
    <w:rsid w:val="00522F64"/>
    <w:rsid w:val="00523271"/>
    <w:rsid w:val="00523331"/>
    <w:rsid w:val="0052340B"/>
    <w:rsid w:val="00523729"/>
    <w:rsid w:val="00523EB0"/>
    <w:rsid w:val="005248C5"/>
    <w:rsid w:val="00524ACC"/>
    <w:rsid w:val="00524C40"/>
    <w:rsid w:val="0052537C"/>
    <w:rsid w:val="005265C5"/>
    <w:rsid w:val="00526D4E"/>
    <w:rsid w:val="0052720E"/>
    <w:rsid w:val="005275A5"/>
    <w:rsid w:val="005275A8"/>
    <w:rsid w:val="0052794D"/>
    <w:rsid w:val="00527A2A"/>
    <w:rsid w:val="00527BB6"/>
    <w:rsid w:val="00527CE1"/>
    <w:rsid w:val="00527DD3"/>
    <w:rsid w:val="00527F64"/>
    <w:rsid w:val="00530597"/>
    <w:rsid w:val="005309C7"/>
    <w:rsid w:val="00530ED7"/>
    <w:rsid w:val="00530F7C"/>
    <w:rsid w:val="005310A9"/>
    <w:rsid w:val="0053238A"/>
    <w:rsid w:val="005323AE"/>
    <w:rsid w:val="00532665"/>
    <w:rsid w:val="005326AE"/>
    <w:rsid w:val="00532945"/>
    <w:rsid w:val="00532E1D"/>
    <w:rsid w:val="00532F5B"/>
    <w:rsid w:val="00532F87"/>
    <w:rsid w:val="005332B9"/>
    <w:rsid w:val="005332F6"/>
    <w:rsid w:val="00533439"/>
    <w:rsid w:val="005335E9"/>
    <w:rsid w:val="00533738"/>
    <w:rsid w:val="005337E9"/>
    <w:rsid w:val="00534105"/>
    <w:rsid w:val="005341C1"/>
    <w:rsid w:val="005349B7"/>
    <w:rsid w:val="00535231"/>
    <w:rsid w:val="0053549B"/>
    <w:rsid w:val="005354FB"/>
    <w:rsid w:val="005355B4"/>
    <w:rsid w:val="005356D7"/>
    <w:rsid w:val="00535C2C"/>
    <w:rsid w:val="00535C3E"/>
    <w:rsid w:val="005368C5"/>
    <w:rsid w:val="0053693D"/>
    <w:rsid w:val="00536B08"/>
    <w:rsid w:val="00536CF9"/>
    <w:rsid w:val="005371DD"/>
    <w:rsid w:val="00537446"/>
    <w:rsid w:val="0053780A"/>
    <w:rsid w:val="00537C27"/>
    <w:rsid w:val="00537CC6"/>
    <w:rsid w:val="00537EE2"/>
    <w:rsid w:val="005405AD"/>
    <w:rsid w:val="0054065A"/>
    <w:rsid w:val="005410DC"/>
    <w:rsid w:val="00541116"/>
    <w:rsid w:val="0054115D"/>
    <w:rsid w:val="005411DF"/>
    <w:rsid w:val="0054123E"/>
    <w:rsid w:val="00541350"/>
    <w:rsid w:val="005415E9"/>
    <w:rsid w:val="005419D8"/>
    <w:rsid w:val="00541E93"/>
    <w:rsid w:val="00541EAE"/>
    <w:rsid w:val="00542B33"/>
    <w:rsid w:val="00542C72"/>
    <w:rsid w:val="00542E0C"/>
    <w:rsid w:val="00542E83"/>
    <w:rsid w:val="005431C3"/>
    <w:rsid w:val="005432A3"/>
    <w:rsid w:val="00543335"/>
    <w:rsid w:val="00543350"/>
    <w:rsid w:val="005435C3"/>
    <w:rsid w:val="00543917"/>
    <w:rsid w:val="00543AC9"/>
    <w:rsid w:val="00543AE5"/>
    <w:rsid w:val="00543C9C"/>
    <w:rsid w:val="00543D5D"/>
    <w:rsid w:val="00544347"/>
    <w:rsid w:val="0054448A"/>
    <w:rsid w:val="005444D5"/>
    <w:rsid w:val="00544584"/>
    <w:rsid w:val="00544B25"/>
    <w:rsid w:val="00544C21"/>
    <w:rsid w:val="0054523F"/>
    <w:rsid w:val="00545385"/>
    <w:rsid w:val="005453CC"/>
    <w:rsid w:val="00545525"/>
    <w:rsid w:val="00545840"/>
    <w:rsid w:val="00545B3C"/>
    <w:rsid w:val="0054637E"/>
    <w:rsid w:val="00546518"/>
    <w:rsid w:val="00546916"/>
    <w:rsid w:val="00546B6F"/>
    <w:rsid w:val="00547217"/>
    <w:rsid w:val="00547220"/>
    <w:rsid w:val="00547B04"/>
    <w:rsid w:val="00550035"/>
    <w:rsid w:val="0055032E"/>
    <w:rsid w:val="00550398"/>
    <w:rsid w:val="00550705"/>
    <w:rsid w:val="00550A62"/>
    <w:rsid w:val="00550ABC"/>
    <w:rsid w:val="00550B71"/>
    <w:rsid w:val="00550F22"/>
    <w:rsid w:val="0055138E"/>
    <w:rsid w:val="0055139B"/>
    <w:rsid w:val="005514EA"/>
    <w:rsid w:val="00551522"/>
    <w:rsid w:val="005515BC"/>
    <w:rsid w:val="0055183A"/>
    <w:rsid w:val="00552003"/>
    <w:rsid w:val="005522E5"/>
    <w:rsid w:val="005526C1"/>
    <w:rsid w:val="00552A6C"/>
    <w:rsid w:val="00552AA3"/>
    <w:rsid w:val="00552DF5"/>
    <w:rsid w:val="00553427"/>
    <w:rsid w:val="00553763"/>
    <w:rsid w:val="00553BAB"/>
    <w:rsid w:val="00553F34"/>
    <w:rsid w:val="005541A6"/>
    <w:rsid w:val="00554202"/>
    <w:rsid w:val="00554370"/>
    <w:rsid w:val="005545D9"/>
    <w:rsid w:val="0055479F"/>
    <w:rsid w:val="00555712"/>
    <w:rsid w:val="00555BB6"/>
    <w:rsid w:val="00555D34"/>
    <w:rsid w:val="00555E9A"/>
    <w:rsid w:val="0055681A"/>
    <w:rsid w:val="00556AF6"/>
    <w:rsid w:val="00556EE0"/>
    <w:rsid w:val="0055708B"/>
    <w:rsid w:val="00557161"/>
    <w:rsid w:val="005571AA"/>
    <w:rsid w:val="00557F24"/>
    <w:rsid w:val="00560150"/>
    <w:rsid w:val="005603FD"/>
    <w:rsid w:val="005607D7"/>
    <w:rsid w:val="00560B49"/>
    <w:rsid w:val="00560E43"/>
    <w:rsid w:val="00560FD8"/>
    <w:rsid w:val="005612D9"/>
    <w:rsid w:val="005616B7"/>
    <w:rsid w:val="00561811"/>
    <w:rsid w:val="005619D6"/>
    <w:rsid w:val="00561B3C"/>
    <w:rsid w:val="00561E24"/>
    <w:rsid w:val="00561E6E"/>
    <w:rsid w:val="00561E79"/>
    <w:rsid w:val="0056228A"/>
    <w:rsid w:val="0056239D"/>
    <w:rsid w:val="005627C4"/>
    <w:rsid w:val="005629CC"/>
    <w:rsid w:val="00562E15"/>
    <w:rsid w:val="00562FD6"/>
    <w:rsid w:val="00563093"/>
    <w:rsid w:val="00563234"/>
    <w:rsid w:val="00563632"/>
    <w:rsid w:val="00563A38"/>
    <w:rsid w:val="0056405E"/>
    <w:rsid w:val="005641F6"/>
    <w:rsid w:val="00564299"/>
    <w:rsid w:val="005642CB"/>
    <w:rsid w:val="00564713"/>
    <w:rsid w:val="00564849"/>
    <w:rsid w:val="00564E5C"/>
    <w:rsid w:val="00564F6D"/>
    <w:rsid w:val="00565169"/>
    <w:rsid w:val="00565D8F"/>
    <w:rsid w:val="00565E85"/>
    <w:rsid w:val="00565EBB"/>
    <w:rsid w:val="005672BD"/>
    <w:rsid w:val="00567792"/>
    <w:rsid w:val="005677BA"/>
    <w:rsid w:val="005679FD"/>
    <w:rsid w:val="00570047"/>
    <w:rsid w:val="0057006B"/>
    <w:rsid w:val="00570576"/>
    <w:rsid w:val="0057066B"/>
    <w:rsid w:val="00570B60"/>
    <w:rsid w:val="00570F54"/>
    <w:rsid w:val="00570FE7"/>
    <w:rsid w:val="005710D7"/>
    <w:rsid w:val="00571535"/>
    <w:rsid w:val="00571594"/>
    <w:rsid w:val="005718BD"/>
    <w:rsid w:val="00571B62"/>
    <w:rsid w:val="00571BFB"/>
    <w:rsid w:val="005722D8"/>
    <w:rsid w:val="00572C90"/>
    <w:rsid w:val="00572EAD"/>
    <w:rsid w:val="00572F09"/>
    <w:rsid w:val="0057335A"/>
    <w:rsid w:val="00573BA3"/>
    <w:rsid w:val="00573C35"/>
    <w:rsid w:val="00573C4B"/>
    <w:rsid w:val="00574001"/>
    <w:rsid w:val="00574426"/>
    <w:rsid w:val="005747E6"/>
    <w:rsid w:val="00574934"/>
    <w:rsid w:val="005753B5"/>
    <w:rsid w:val="005754A8"/>
    <w:rsid w:val="005755FA"/>
    <w:rsid w:val="00575706"/>
    <w:rsid w:val="00575AE7"/>
    <w:rsid w:val="00576520"/>
    <w:rsid w:val="00576667"/>
    <w:rsid w:val="0057680F"/>
    <w:rsid w:val="005769CC"/>
    <w:rsid w:val="00576A91"/>
    <w:rsid w:val="00576B1F"/>
    <w:rsid w:val="00577869"/>
    <w:rsid w:val="005779BC"/>
    <w:rsid w:val="00577F04"/>
    <w:rsid w:val="00577FBB"/>
    <w:rsid w:val="00580A9C"/>
    <w:rsid w:val="00580D4F"/>
    <w:rsid w:val="00580DA5"/>
    <w:rsid w:val="00580EFC"/>
    <w:rsid w:val="00581A13"/>
    <w:rsid w:val="00581A60"/>
    <w:rsid w:val="00581F57"/>
    <w:rsid w:val="005827A8"/>
    <w:rsid w:val="0058302B"/>
    <w:rsid w:val="005832C2"/>
    <w:rsid w:val="005832D6"/>
    <w:rsid w:val="005832FF"/>
    <w:rsid w:val="0058396C"/>
    <w:rsid w:val="0058405E"/>
    <w:rsid w:val="0058443B"/>
    <w:rsid w:val="00584657"/>
    <w:rsid w:val="00584695"/>
    <w:rsid w:val="00584744"/>
    <w:rsid w:val="0058482D"/>
    <w:rsid w:val="00584831"/>
    <w:rsid w:val="00584839"/>
    <w:rsid w:val="00585181"/>
    <w:rsid w:val="005852D9"/>
    <w:rsid w:val="00585441"/>
    <w:rsid w:val="00585618"/>
    <w:rsid w:val="00585C4A"/>
    <w:rsid w:val="005860B9"/>
    <w:rsid w:val="005860EB"/>
    <w:rsid w:val="0058636A"/>
    <w:rsid w:val="00586AA6"/>
    <w:rsid w:val="00586C41"/>
    <w:rsid w:val="00586D79"/>
    <w:rsid w:val="00586DE6"/>
    <w:rsid w:val="0058731B"/>
    <w:rsid w:val="0058734E"/>
    <w:rsid w:val="00587660"/>
    <w:rsid w:val="005876CD"/>
    <w:rsid w:val="00587A7E"/>
    <w:rsid w:val="00587B00"/>
    <w:rsid w:val="00587BC2"/>
    <w:rsid w:val="00587FE2"/>
    <w:rsid w:val="005908CF"/>
    <w:rsid w:val="00590B70"/>
    <w:rsid w:val="00590D3A"/>
    <w:rsid w:val="00590DB7"/>
    <w:rsid w:val="00591602"/>
    <w:rsid w:val="0059165B"/>
    <w:rsid w:val="005917B2"/>
    <w:rsid w:val="005919E0"/>
    <w:rsid w:val="00591F27"/>
    <w:rsid w:val="00591FC8"/>
    <w:rsid w:val="005921E6"/>
    <w:rsid w:val="00592372"/>
    <w:rsid w:val="005928F1"/>
    <w:rsid w:val="005929A6"/>
    <w:rsid w:val="00592AD2"/>
    <w:rsid w:val="00592E17"/>
    <w:rsid w:val="005932E7"/>
    <w:rsid w:val="0059355C"/>
    <w:rsid w:val="00593815"/>
    <w:rsid w:val="00593EDD"/>
    <w:rsid w:val="0059407E"/>
    <w:rsid w:val="005945C9"/>
    <w:rsid w:val="00594D86"/>
    <w:rsid w:val="00594DC0"/>
    <w:rsid w:val="005959FB"/>
    <w:rsid w:val="00595D42"/>
    <w:rsid w:val="00595DC1"/>
    <w:rsid w:val="00596163"/>
    <w:rsid w:val="00596607"/>
    <w:rsid w:val="005967A8"/>
    <w:rsid w:val="00596C6F"/>
    <w:rsid w:val="00596CB1"/>
    <w:rsid w:val="00596E3D"/>
    <w:rsid w:val="00596F61"/>
    <w:rsid w:val="00596FB8"/>
    <w:rsid w:val="00597501"/>
    <w:rsid w:val="005978B7"/>
    <w:rsid w:val="005979CC"/>
    <w:rsid w:val="00597DF3"/>
    <w:rsid w:val="005A0003"/>
    <w:rsid w:val="005A01A5"/>
    <w:rsid w:val="005A0B95"/>
    <w:rsid w:val="005A155D"/>
    <w:rsid w:val="005A18A6"/>
    <w:rsid w:val="005A1A75"/>
    <w:rsid w:val="005A1CEA"/>
    <w:rsid w:val="005A1F7D"/>
    <w:rsid w:val="005A2255"/>
    <w:rsid w:val="005A23E7"/>
    <w:rsid w:val="005A298B"/>
    <w:rsid w:val="005A2DEB"/>
    <w:rsid w:val="005A2E1F"/>
    <w:rsid w:val="005A3409"/>
    <w:rsid w:val="005A394B"/>
    <w:rsid w:val="005A3DD9"/>
    <w:rsid w:val="005A4FF4"/>
    <w:rsid w:val="005A5038"/>
    <w:rsid w:val="005A51EA"/>
    <w:rsid w:val="005A5452"/>
    <w:rsid w:val="005A54CC"/>
    <w:rsid w:val="005A578E"/>
    <w:rsid w:val="005A5915"/>
    <w:rsid w:val="005A5BF5"/>
    <w:rsid w:val="005A5C3E"/>
    <w:rsid w:val="005A6022"/>
    <w:rsid w:val="005A6565"/>
    <w:rsid w:val="005A67EE"/>
    <w:rsid w:val="005A6FB7"/>
    <w:rsid w:val="005A7214"/>
    <w:rsid w:val="005A7320"/>
    <w:rsid w:val="005A75AD"/>
    <w:rsid w:val="005A776B"/>
    <w:rsid w:val="005A79E2"/>
    <w:rsid w:val="005A7A53"/>
    <w:rsid w:val="005A7B15"/>
    <w:rsid w:val="005A7F74"/>
    <w:rsid w:val="005B086D"/>
    <w:rsid w:val="005B089E"/>
    <w:rsid w:val="005B0B95"/>
    <w:rsid w:val="005B0BA4"/>
    <w:rsid w:val="005B0C0C"/>
    <w:rsid w:val="005B0DB8"/>
    <w:rsid w:val="005B1222"/>
    <w:rsid w:val="005B14B9"/>
    <w:rsid w:val="005B2192"/>
    <w:rsid w:val="005B22B1"/>
    <w:rsid w:val="005B26DB"/>
    <w:rsid w:val="005B285B"/>
    <w:rsid w:val="005B2978"/>
    <w:rsid w:val="005B2B48"/>
    <w:rsid w:val="005B2F52"/>
    <w:rsid w:val="005B3349"/>
    <w:rsid w:val="005B36A7"/>
    <w:rsid w:val="005B37F8"/>
    <w:rsid w:val="005B3E4D"/>
    <w:rsid w:val="005B4636"/>
    <w:rsid w:val="005B4639"/>
    <w:rsid w:val="005B4767"/>
    <w:rsid w:val="005B499D"/>
    <w:rsid w:val="005B4BDE"/>
    <w:rsid w:val="005B4F53"/>
    <w:rsid w:val="005B580E"/>
    <w:rsid w:val="005B5917"/>
    <w:rsid w:val="005B5C54"/>
    <w:rsid w:val="005B5D8B"/>
    <w:rsid w:val="005B6933"/>
    <w:rsid w:val="005B69D7"/>
    <w:rsid w:val="005B6ADF"/>
    <w:rsid w:val="005B6B8A"/>
    <w:rsid w:val="005B6BE8"/>
    <w:rsid w:val="005B6E6B"/>
    <w:rsid w:val="005B70FE"/>
    <w:rsid w:val="005B71EC"/>
    <w:rsid w:val="005B758A"/>
    <w:rsid w:val="005B79A3"/>
    <w:rsid w:val="005B79AF"/>
    <w:rsid w:val="005B79C8"/>
    <w:rsid w:val="005B7A99"/>
    <w:rsid w:val="005C089B"/>
    <w:rsid w:val="005C0AA3"/>
    <w:rsid w:val="005C0F25"/>
    <w:rsid w:val="005C1070"/>
    <w:rsid w:val="005C10D3"/>
    <w:rsid w:val="005C13F7"/>
    <w:rsid w:val="005C1DA4"/>
    <w:rsid w:val="005C2375"/>
    <w:rsid w:val="005C2465"/>
    <w:rsid w:val="005C2638"/>
    <w:rsid w:val="005C2C1C"/>
    <w:rsid w:val="005C31C3"/>
    <w:rsid w:val="005C3716"/>
    <w:rsid w:val="005C421B"/>
    <w:rsid w:val="005C4549"/>
    <w:rsid w:val="005C4560"/>
    <w:rsid w:val="005C4BFF"/>
    <w:rsid w:val="005C4D6A"/>
    <w:rsid w:val="005C4E4A"/>
    <w:rsid w:val="005C51D2"/>
    <w:rsid w:val="005C54E2"/>
    <w:rsid w:val="005C5A23"/>
    <w:rsid w:val="005C5A2C"/>
    <w:rsid w:val="005C5BBD"/>
    <w:rsid w:val="005C5E74"/>
    <w:rsid w:val="005C6097"/>
    <w:rsid w:val="005C654B"/>
    <w:rsid w:val="005C68CA"/>
    <w:rsid w:val="005C6D1A"/>
    <w:rsid w:val="005C73DA"/>
    <w:rsid w:val="005C7435"/>
    <w:rsid w:val="005C7CC7"/>
    <w:rsid w:val="005C7DFC"/>
    <w:rsid w:val="005C7E66"/>
    <w:rsid w:val="005C7F44"/>
    <w:rsid w:val="005D00EA"/>
    <w:rsid w:val="005D033C"/>
    <w:rsid w:val="005D04B5"/>
    <w:rsid w:val="005D0C2E"/>
    <w:rsid w:val="005D0D45"/>
    <w:rsid w:val="005D0D61"/>
    <w:rsid w:val="005D0D84"/>
    <w:rsid w:val="005D1361"/>
    <w:rsid w:val="005D154D"/>
    <w:rsid w:val="005D1634"/>
    <w:rsid w:val="005D29C4"/>
    <w:rsid w:val="005D3765"/>
    <w:rsid w:val="005D39C8"/>
    <w:rsid w:val="005D3DB1"/>
    <w:rsid w:val="005D4143"/>
    <w:rsid w:val="005D4263"/>
    <w:rsid w:val="005D45B9"/>
    <w:rsid w:val="005D472F"/>
    <w:rsid w:val="005D483F"/>
    <w:rsid w:val="005D49C3"/>
    <w:rsid w:val="005D49C8"/>
    <w:rsid w:val="005D5DB0"/>
    <w:rsid w:val="005D5F74"/>
    <w:rsid w:val="005D68F8"/>
    <w:rsid w:val="005D7969"/>
    <w:rsid w:val="005D7BFA"/>
    <w:rsid w:val="005D7D13"/>
    <w:rsid w:val="005D7F83"/>
    <w:rsid w:val="005E0A37"/>
    <w:rsid w:val="005E0AF9"/>
    <w:rsid w:val="005E1424"/>
    <w:rsid w:val="005E15EE"/>
    <w:rsid w:val="005E177C"/>
    <w:rsid w:val="005E17E9"/>
    <w:rsid w:val="005E1C2A"/>
    <w:rsid w:val="005E1DA3"/>
    <w:rsid w:val="005E1E94"/>
    <w:rsid w:val="005E2AA4"/>
    <w:rsid w:val="005E2B1B"/>
    <w:rsid w:val="005E2C59"/>
    <w:rsid w:val="005E3184"/>
    <w:rsid w:val="005E3491"/>
    <w:rsid w:val="005E3687"/>
    <w:rsid w:val="005E3930"/>
    <w:rsid w:val="005E3971"/>
    <w:rsid w:val="005E3994"/>
    <w:rsid w:val="005E3D7E"/>
    <w:rsid w:val="005E43A5"/>
    <w:rsid w:val="005E4414"/>
    <w:rsid w:val="005E44E9"/>
    <w:rsid w:val="005E4995"/>
    <w:rsid w:val="005E4BC4"/>
    <w:rsid w:val="005E4E22"/>
    <w:rsid w:val="005E5064"/>
    <w:rsid w:val="005E511D"/>
    <w:rsid w:val="005E5133"/>
    <w:rsid w:val="005E556C"/>
    <w:rsid w:val="005E5CEE"/>
    <w:rsid w:val="005E5F7D"/>
    <w:rsid w:val="005E6428"/>
    <w:rsid w:val="005E6475"/>
    <w:rsid w:val="005E6BA3"/>
    <w:rsid w:val="005E6E1B"/>
    <w:rsid w:val="005E73C3"/>
    <w:rsid w:val="005E7458"/>
    <w:rsid w:val="005E74E2"/>
    <w:rsid w:val="005E7A94"/>
    <w:rsid w:val="005E7E60"/>
    <w:rsid w:val="005F0326"/>
    <w:rsid w:val="005F05E7"/>
    <w:rsid w:val="005F0B3B"/>
    <w:rsid w:val="005F0EC5"/>
    <w:rsid w:val="005F1297"/>
    <w:rsid w:val="005F165B"/>
    <w:rsid w:val="005F1836"/>
    <w:rsid w:val="005F1A4C"/>
    <w:rsid w:val="005F1B63"/>
    <w:rsid w:val="005F1CB4"/>
    <w:rsid w:val="005F1EFD"/>
    <w:rsid w:val="005F226E"/>
    <w:rsid w:val="005F2354"/>
    <w:rsid w:val="005F2B19"/>
    <w:rsid w:val="005F2B32"/>
    <w:rsid w:val="005F2C03"/>
    <w:rsid w:val="005F348B"/>
    <w:rsid w:val="005F3779"/>
    <w:rsid w:val="005F38E2"/>
    <w:rsid w:val="005F3910"/>
    <w:rsid w:val="005F3A41"/>
    <w:rsid w:val="005F3A73"/>
    <w:rsid w:val="005F3BDF"/>
    <w:rsid w:val="005F420C"/>
    <w:rsid w:val="005F42E8"/>
    <w:rsid w:val="005F44BD"/>
    <w:rsid w:val="005F45C5"/>
    <w:rsid w:val="005F49CF"/>
    <w:rsid w:val="005F5363"/>
    <w:rsid w:val="005F5643"/>
    <w:rsid w:val="005F587C"/>
    <w:rsid w:val="005F5A3F"/>
    <w:rsid w:val="005F5AA2"/>
    <w:rsid w:val="005F5F81"/>
    <w:rsid w:val="005F619F"/>
    <w:rsid w:val="005F6370"/>
    <w:rsid w:val="005F65B4"/>
    <w:rsid w:val="005F6E30"/>
    <w:rsid w:val="005F7211"/>
    <w:rsid w:val="005F74ED"/>
    <w:rsid w:val="005F7563"/>
    <w:rsid w:val="00600026"/>
    <w:rsid w:val="006000AC"/>
    <w:rsid w:val="006013EA"/>
    <w:rsid w:val="0060145A"/>
    <w:rsid w:val="00601B7A"/>
    <w:rsid w:val="00601B90"/>
    <w:rsid w:val="00601D5C"/>
    <w:rsid w:val="006021A5"/>
    <w:rsid w:val="00602209"/>
    <w:rsid w:val="006027C5"/>
    <w:rsid w:val="00602A85"/>
    <w:rsid w:val="00602BB6"/>
    <w:rsid w:val="0060345C"/>
    <w:rsid w:val="0060356A"/>
    <w:rsid w:val="00603690"/>
    <w:rsid w:val="00603AAF"/>
    <w:rsid w:val="00603E41"/>
    <w:rsid w:val="0060482B"/>
    <w:rsid w:val="006049E0"/>
    <w:rsid w:val="00604E8A"/>
    <w:rsid w:val="00604F2A"/>
    <w:rsid w:val="00604FF4"/>
    <w:rsid w:val="006055BD"/>
    <w:rsid w:val="00605BBF"/>
    <w:rsid w:val="00605CA2"/>
    <w:rsid w:val="00605E2C"/>
    <w:rsid w:val="00605F51"/>
    <w:rsid w:val="006060F9"/>
    <w:rsid w:val="00606123"/>
    <w:rsid w:val="00606446"/>
    <w:rsid w:val="00606580"/>
    <w:rsid w:val="006066B3"/>
    <w:rsid w:val="00606820"/>
    <w:rsid w:val="00606D32"/>
    <w:rsid w:val="00606EDF"/>
    <w:rsid w:val="00607762"/>
    <w:rsid w:val="00607796"/>
    <w:rsid w:val="00610797"/>
    <w:rsid w:val="006109B1"/>
    <w:rsid w:val="00610A88"/>
    <w:rsid w:val="0061142F"/>
    <w:rsid w:val="00611557"/>
    <w:rsid w:val="0061183C"/>
    <w:rsid w:val="00611B9B"/>
    <w:rsid w:val="00612069"/>
    <w:rsid w:val="00612230"/>
    <w:rsid w:val="00612518"/>
    <w:rsid w:val="0061256E"/>
    <w:rsid w:val="00612838"/>
    <w:rsid w:val="00612959"/>
    <w:rsid w:val="00612B45"/>
    <w:rsid w:val="00612E5A"/>
    <w:rsid w:val="0061304B"/>
    <w:rsid w:val="00613534"/>
    <w:rsid w:val="0061373D"/>
    <w:rsid w:val="00613827"/>
    <w:rsid w:val="00613A91"/>
    <w:rsid w:val="00613D10"/>
    <w:rsid w:val="00614284"/>
    <w:rsid w:val="00614B1E"/>
    <w:rsid w:val="00614BDC"/>
    <w:rsid w:val="00614E74"/>
    <w:rsid w:val="00614F87"/>
    <w:rsid w:val="00615669"/>
    <w:rsid w:val="0061572B"/>
    <w:rsid w:val="0061596F"/>
    <w:rsid w:val="00615AF1"/>
    <w:rsid w:val="00615F2C"/>
    <w:rsid w:val="006162D8"/>
    <w:rsid w:val="00616466"/>
    <w:rsid w:val="006164C0"/>
    <w:rsid w:val="00616BED"/>
    <w:rsid w:val="0061707F"/>
    <w:rsid w:val="006172D5"/>
    <w:rsid w:val="0061768B"/>
    <w:rsid w:val="0061774F"/>
    <w:rsid w:val="00617819"/>
    <w:rsid w:val="00617D91"/>
    <w:rsid w:val="00617E0C"/>
    <w:rsid w:val="00620290"/>
    <w:rsid w:val="00620439"/>
    <w:rsid w:val="006205BA"/>
    <w:rsid w:val="0062066E"/>
    <w:rsid w:val="006206EE"/>
    <w:rsid w:val="00620727"/>
    <w:rsid w:val="006207CF"/>
    <w:rsid w:val="00620DBD"/>
    <w:rsid w:val="0062147F"/>
    <w:rsid w:val="00621670"/>
    <w:rsid w:val="0062169A"/>
    <w:rsid w:val="006218AF"/>
    <w:rsid w:val="006219A0"/>
    <w:rsid w:val="00622060"/>
    <w:rsid w:val="0062228B"/>
    <w:rsid w:val="006227CD"/>
    <w:rsid w:val="006227E5"/>
    <w:rsid w:val="00622980"/>
    <w:rsid w:val="00622D2D"/>
    <w:rsid w:val="00622EAB"/>
    <w:rsid w:val="006232A1"/>
    <w:rsid w:val="00623436"/>
    <w:rsid w:val="0062398F"/>
    <w:rsid w:val="00623F7A"/>
    <w:rsid w:val="00623FFB"/>
    <w:rsid w:val="006244F0"/>
    <w:rsid w:val="006246B1"/>
    <w:rsid w:val="00624E04"/>
    <w:rsid w:val="00624E5C"/>
    <w:rsid w:val="00624FD4"/>
    <w:rsid w:val="00625646"/>
    <w:rsid w:val="00625859"/>
    <w:rsid w:val="006258B8"/>
    <w:rsid w:val="00625908"/>
    <w:rsid w:val="006260DC"/>
    <w:rsid w:val="00626110"/>
    <w:rsid w:val="00626127"/>
    <w:rsid w:val="00626440"/>
    <w:rsid w:val="006264AD"/>
    <w:rsid w:val="006264D3"/>
    <w:rsid w:val="0062661A"/>
    <w:rsid w:val="00626846"/>
    <w:rsid w:val="006269C1"/>
    <w:rsid w:val="00626CE1"/>
    <w:rsid w:val="00626FBA"/>
    <w:rsid w:val="00627AD2"/>
    <w:rsid w:val="00627AD8"/>
    <w:rsid w:val="00627C70"/>
    <w:rsid w:val="00627E3E"/>
    <w:rsid w:val="006300B9"/>
    <w:rsid w:val="006300E9"/>
    <w:rsid w:val="006303AA"/>
    <w:rsid w:val="00630625"/>
    <w:rsid w:val="006307F6"/>
    <w:rsid w:val="00630A65"/>
    <w:rsid w:val="00630AB6"/>
    <w:rsid w:val="00630D8C"/>
    <w:rsid w:val="00630FF5"/>
    <w:rsid w:val="00631447"/>
    <w:rsid w:val="00631906"/>
    <w:rsid w:val="00631C20"/>
    <w:rsid w:val="00631DB1"/>
    <w:rsid w:val="00631FC9"/>
    <w:rsid w:val="0063241F"/>
    <w:rsid w:val="00632462"/>
    <w:rsid w:val="0063262D"/>
    <w:rsid w:val="006328F2"/>
    <w:rsid w:val="006328FF"/>
    <w:rsid w:val="00632BF0"/>
    <w:rsid w:val="00632C34"/>
    <w:rsid w:val="0063381D"/>
    <w:rsid w:val="00633BEA"/>
    <w:rsid w:val="00633F96"/>
    <w:rsid w:val="006342CD"/>
    <w:rsid w:val="00634338"/>
    <w:rsid w:val="0063442D"/>
    <w:rsid w:val="00634674"/>
    <w:rsid w:val="006348D6"/>
    <w:rsid w:val="00634F6E"/>
    <w:rsid w:val="006350B5"/>
    <w:rsid w:val="006352EB"/>
    <w:rsid w:val="0063545A"/>
    <w:rsid w:val="00635758"/>
    <w:rsid w:val="00635AD5"/>
    <w:rsid w:val="00635B0C"/>
    <w:rsid w:val="00635C0A"/>
    <w:rsid w:val="00635C26"/>
    <w:rsid w:val="006364C3"/>
    <w:rsid w:val="006365C3"/>
    <w:rsid w:val="006366B5"/>
    <w:rsid w:val="006366CF"/>
    <w:rsid w:val="00636C75"/>
    <w:rsid w:val="00636E66"/>
    <w:rsid w:val="00636EAB"/>
    <w:rsid w:val="00640163"/>
    <w:rsid w:val="00640255"/>
    <w:rsid w:val="006403BC"/>
    <w:rsid w:val="006404AD"/>
    <w:rsid w:val="006404F9"/>
    <w:rsid w:val="00640B61"/>
    <w:rsid w:val="00641005"/>
    <w:rsid w:val="00641391"/>
    <w:rsid w:val="00641667"/>
    <w:rsid w:val="006417EB"/>
    <w:rsid w:val="00641C73"/>
    <w:rsid w:val="00641D38"/>
    <w:rsid w:val="00642354"/>
    <w:rsid w:val="00642F5B"/>
    <w:rsid w:val="00643978"/>
    <w:rsid w:val="00643BA3"/>
    <w:rsid w:val="00643C14"/>
    <w:rsid w:val="00643D8A"/>
    <w:rsid w:val="00643F30"/>
    <w:rsid w:val="00644542"/>
    <w:rsid w:val="00644A82"/>
    <w:rsid w:val="00644E94"/>
    <w:rsid w:val="0064518D"/>
    <w:rsid w:val="006455FE"/>
    <w:rsid w:val="0064567D"/>
    <w:rsid w:val="00645771"/>
    <w:rsid w:val="006457D1"/>
    <w:rsid w:val="006458E4"/>
    <w:rsid w:val="0064597A"/>
    <w:rsid w:val="00645E27"/>
    <w:rsid w:val="0064601B"/>
    <w:rsid w:val="00646322"/>
    <w:rsid w:val="00646448"/>
    <w:rsid w:val="0064653B"/>
    <w:rsid w:val="00646880"/>
    <w:rsid w:val="0064740E"/>
    <w:rsid w:val="00650F56"/>
    <w:rsid w:val="00651096"/>
    <w:rsid w:val="006515B8"/>
    <w:rsid w:val="00651D12"/>
    <w:rsid w:val="006529D5"/>
    <w:rsid w:val="00652FE3"/>
    <w:rsid w:val="006535B8"/>
    <w:rsid w:val="00653678"/>
    <w:rsid w:val="0065372C"/>
    <w:rsid w:val="00653781"/>
    <w:rsid w:val="0065394C"/>
    <w:rsid w:val="0065395B"/>
    <w:rsid w:val="00653C99"/>
    <w:rsid w:val="00653EA5"/>
    <w:rsid w:val="00654172"/>
    <w:rsid w:val="006543C8"/>
    <w:rsid w:val="006547A8"/>
    <w:rsid w:val="006549F1"/>
    <w:rsid w:val="00654A84"/>
    <w:rsid w:val="00654C03"/>
    <w:rsid w:val="00655077"/>
    <w:rsid w:val="006556C0"/>
    <w:rsid w:val="006557C0"/>
    <w:rsid w:val="006557E7"/>
    <w:rsid w:val="00655A0D"/>
    <w:rsid w:val="00655BE5"/>
    <w:rsid w:val="00655E10"/>
    <w:rsid w:val="00655E3C"/>
    <w:rsid w:val="00655F4E"/>
    <w:rsid w:val="00656063"/>
    <w:rsid w:val="00656840"/>
    <w:rsid w:val="0065684D"/>
    <w:rsid w:val="00656881"/>
    <w:rsid w:val="00656E98"/>
    <w:rsid w:val="00656FC0"/>
    <w:rsid w:val="006577B5"/>
    <w:rsid w:val="00657A91"/>
    <w:rsid w:val="00657C11"/>
    <w:rsid w:val="00657DFD"/>
    <w:rsid w:val="006600E0"/>
    <w:rsid w:val="00660150"/>
    <w:rsid w:val="00660324"/>
    <w:rsid w:val="0066032F"/>
    <w:rsid w:val="0066090F"/>
    <w:rsid w:val="00660CEE"/>
    <w:rsid w:val="00660D24"/>
    <w:rsid w:val="006618ED"/>
    <w:rsid w:val="00661AB4"/>
    <w:rsid w:val="00661BC3"/>
    <w:rsid w:val="00661BE2"/>
    <w:rsid w:val="006620C7"/>
    <w:rsid w:val="0066281E"/>
    <w:rsid w:val="0066289A"/>
    <w:rsid w:val="00662FC7"/>
    <w:rsid w:val="006634C2"/>
    <w:rsid w:val="006638E5"/>
    <w:rsid w:val="00664169"/>
    <w:rsid w:val="0066480A"/>
    <w:rsid w:val="0066491D"/>
    <w:rsid w:val="00664DF9"/>
    <w:rsid w:val="00664E6C"/>
    <w:rsid w:val="00664F32"/>
    <w:rsid w:val="00665CC3"/>
    <w:rsid w:val="00665CF3"/>
    <w:rsid w:val="006666A0"/>
    <w:rsid w:val="00666761"/>
    <w:rsid w:val="00666DDE"/>
    <w:rsid w:val="00666F65"/>
    <w:rsid w:val="00667693"/>
    <w:rsid w:val="006676F2"/>
    <w:rsid w:val="0066782A"/>
    <w:rsid w:val="00670195"/>
    <w:rsid w:val="0067034B"/>
    <w:rsid w:val="006705B7"/>
    <w:rsid w:val="00670C42"/>
    <w:rsid w:val="006713B7"/>
    <w:rsid w:val="0067166F"/>
    <w:rsid w:val="0067192A"/>
    <w:rsid w:val="00671B1F"/>
    <w:rsid w:val="00671CB2"/>
    <w:rsid w:val="00671D28"/>
    <w:rsid w:val="00671DD6"/>
    <w:rsid w:val="00671FFC"/>
    <w:rsid w:val="00672079"/>
    <w:rsid w:val="006729CE"/>
    <w:rsid w:val="00672D88"/>
    <w:rsid w:val="006731F2"/>
    <w:rsid w:val="006732D4"/>
    <w:rsid w:val="00673BCF"/>
    <w:rsid w:val="00673C57"/>
    <w:rsid w:val="00674348"/>
    <w:rsid w:val="00674A1A"/>
    <w:rsid w:val="00674A91"/>
    <w:rsid w:val="00675101"/>
    <w:rsid w:val="00675593"/>
    <w:rsid w:val="00675692"/>
    <w:rsid w:val="00675741"/>
    <w:rsid w:val="00675A9F"/>
    <w:rsid w:val="00675AB2"/>
    <w:rsid w:val="006763F3"/>
    <w:rsid w:val="006764DF"/>
    <w:rsid w:val="006767CC"/>
    <w:rsid w:val="00676AFA"/>
    <w:rsid w:val="00676CFB"/>
    <w:rsid w:val="0067750A"/>
    <w:rsid w:val="00677795"/>
    <w:rsid w:val="00677A6E"/>
    <w:rsid w:val="00677C1A"/>
    <w:rsid w:val="00680896"/>
    <w:rsid w:val="006809DC"/>
    <w:rsid w:val="00680B1F"/>
    <w:rsid w:val="00680E20"/>
    <w:rsid w:val="00681155"/>
    <w:rsid w:val="00681784"/>
    <w:rsid w:val="00681919"/>
    <w:rsid w:val="00681ADB"/>
    <w:rsid w:val="00681AF4"/>
    <w:rsid w:val="00681B98"/>
    <w:rsid w:val="00681FC7"/>
    <w:rsid w:val="00682344"/>
    <w:rsid w:val="00682371"/>
    <w:rsid w:val="00682713"/>
    <w:rsid w:val="00682A20"/>
    <w:rsid w:val="00682B8D"/>
    <w:rsid w:val="00682BE7"/>
    <w:rsid w:val="00682D7E"/>
    <w:rsid w:val="00682E6C"/>
    <w:rsid w:val="00683104"/>
    <w:rsid w:val="00683136"/>
    <w:rsid w:val="0068328F"/>
    <w:rsid w:val="0068344C"/>
    <w:rsid w:val="00683B07"/>
    <w:rsid w:val="00683C5D"/>
    <w:rsid w:val="00683D50"/>
    <w:rsid w:val="00683F12"/>
    <w:rsid w:val="00683FC7"/>
    <w:rsid w:val="0068424F"/>
    <w:rsid w:val="00684867"/>
    <w:rsid w:val="00684AF3"/>
    <w:rsid w:val="00684DB5"/>
    <w:rsid w:val="006852B0"/>
    <w:rsid w:val="0068563F"/>
    <w:rsid w:val="0068566F"/>
    <w:rsid w:val="00685C17"/>
    <w:rsid w:val="00685CCF"/>
    <w:rsid w:val="006863C3"/>
    <w:rsid w:val="00686800"/>
    <w:rsid w:val="00686865"/>
    <w:rsid w:val="00686A2C"/>
    <w:rsid w:val="00686E4A"/>
    <w:rsid w:val="00686E5D"/>
    <w:rsid w:val="00687B2B"/>
    <w:rsid w:val="00687EE0"/>
    <w:rsid w:val="006901EB"/>
    <w:rsid w:val="00690352"/>
    <w:rsid w:val="006903BC"/>
    <w:rsid w:val="006904BA"/>
    <w:rsid w:val="00690818"/>
    <w:rsid w:val="006908C4"/>
    <w:rsid w:val="00690AB6"/>
    <w:rsid w:val="00690DC9"/>
    <w:rsid w:val="0069118A"/>
    <w:rsid w:val="006913BC"/>
    <w:rsid w:val="00691473"/>
    <w:rsid w:val="0069169E"/>
    <w:rsid w:val="00691B94"/>
    <w:rsid w:val="006929B0"/>
    <w:rsid w:val="00692EAD"/>
    <w:rsid w:val="00693457"/>
    <w:rsid w:val="006939BD"/>
    <w:rsid w:val="00693ED7"/>
    <w:rsid w:val="006945A4"/>
    <w:rsid w:val="00694883"/>
    <w:rsid w:val="00694B85"/>
    <w:rsid w:val="00695326"/>
    <w:rsid w:val="0069549F"/>
    <w:rsid w:val="00695545"/>
    <w:rsid w:val="0069560E"/>
    <w:rsid w:val="00695B4C"/>
    <w:rsid w:val="00696025"/>
    <w:rsid w:val="00696256"/>
    <w:rsid w:val="00696385"/>
    <w:rsid w:val="006963F1"/>
    <w:rsid w:val="0069644F"/>
    <w:rsid w:val="006968DF"/>
    <w:rsid w:val="00696CD8"/>
    <w:rsid w:val="00696EB9"/>
    <w:rsid w:val="00696F02"/>
    <w:rsid w:val="00696F57"/>
    <w:rsid w:val="00697071"/>
    <w:rsid w:val="006970B8"/>
    <w:rsid w:val="00697171"/>
    <w:rsid w:val="006976FF"/>
    <w:rsid w:val="00697935"/>
    <w:rsid w:val="006979ED"/>
    <w:rsid w:val="00697C47"/>
    <w:rsid w:val="006A0145"/>
    <w:rsid w:val="006A0290"/>
    <w:rsid w:val="006A0ADE"/>
    <w:rsid w:val="006A0B5E"/>
    <w:rsid w:val="006A0BD6"/>
    <w:rsid w:val="006A0CCB"/>
    <w:rsid w:val="006A0DC6"/>
    <w:rsid w:val="006A0F64"/>
    <w:rsid w:val="006A0FF2"/>
    <w:rsid w:val="006A135F"/>
    <w:rsid w:val="006A1D85"/>
    <w:rsid w:val="006A204F"/>
    <w:rsid w:val="006A20DE"/>
    <w:rsid w:val="006A2369"/>
    <w:rsid w:val="006A2551"/>
    <w:rsid w:val="006A2586"/>
    <w:rsid w:val="006A25FF"/>
    <w:rsid w:val="006A2B2D"/>
    <w:rsid w:val="006A2BC2"/>
    <w:rsid w:val="006A2E0E"/>
    <w:rsid w:val="006A2FCD"/>
    <w:rsid w:val="006A30B4"/>
    <w:rsid w:val="006A39F9"/>
    <w:rsid w:val="006A3ADA"/>
    <w:rsid w:val="006A3FCE"/>
    <w:rsid w:val="006A40F0"/>
    <w:rsid w:val="006A44FD"/>
    <w:rsid w:val="006A500F"/>
    <w:rsid w:val="006A502D"/>
    <w:rsid w:val="006A55E5"/>
    <w:rsid w:val="006A567E"/>
    <w:rsid w:val="006A5CF7"/>
    <w:rsid w:val="006A5EA2"/>
    <w:rsid w:val="006A6AE1"/>
    <w:rsid w:val="006A6B14"/>
    <w:rsid w:val="006A6B40"/>
    <w:rsid w:val="006A6CE0"/>
    <w:rsid w:val="006A6F1E"/>
    <w:rsid w:val="006A74C3"/>
    <w:rsid w:val="006A777E"/>
    <w:rsid w:val="006A7BBD"/>
    <w:rsid w:val="006A7FD0"/>
    <w:rsid w:val="006B0215"/>
    <w:rsid w:val="006B08CF"/>
    <w:rsid w:val="006B1049"/>
    <w:rsid w:val="006B1608"/>
    <w:rsid w:val="006B172F"/>
    <w:rsid w:val="006B1EDD"/>
    <w:rsid w:val="006B22E6"/>
    <w:rsid w:val="006B26B8"/>
    <w:rsid w:val="006B2C3E"/>
    <w:rsid w:val="006B31D5"/>
    <w:rsid w:val="006B3366"/>
    <w:rsid w:val="006B338C"/>
    <w:rsid w:val="006B38A3"/>
    <w:rsid w:val="006B4001"/>
    <w:rsid w:val="006B4896"/>
    <w:rsid w:val="006B4931"/>
    <w:rsid w:val="006B4DD9"/>
    <w:rsid w:val="006B4E25"/>
    <w:rsid w:val="006B521A"/>
    <w:rsid w:val="006B5624"/>
    <w:rsid w:val="006B608C"/>
    <w:rsid w:val="006B6763"/>
    <w:rsid w:val="006B6966"/>
    <w:rsid w:val="006B720A"/>
    <w:rsid w:val="006B7448"/>
    <w:rsid w:val="006B7681"/>
    <w:rsid w:val="006B77BB"/>
    <w:rsid w:val="006B7BB7"/>
    <w:rsid w:val="006B7C36"/>
    <w:rsid w:val="006B7F43"/>
    <w:rsid w:val="006C0098"/>
    <w:rsid w:val="006C0167"/>
    <w:rsid w:val="006C01C8"/>
    <w:rsid w:val="006C03CE"/>
    <w:rsid w:val="006C06CD"/>
    <w:rsid w:val="006C0972"/>
    <w:rsid w:val="006C0A5E"/>
    <w:rsid w:val="006C0A6D"/>
    <w:rsid w:val="006C0AD7"/>
    <w:rsid w:val="006C0C0F"/>
    <w:rsid w:val="006C1052"/>
    <w:rsid w:val="006C15A9"/>
    <w:rsid w:val="006C16D1"/>
    <w:rsid w:val="006C1C2A"/>
    <w:rsid w:val="006C1EF5"/>
    <w:rsid w:val="006C1FAF"/>
    <w:rsid w:val="006C223B"/>
    <w:rsid w:val="006C2628"/>
    <w:rsid w:val="006C2A5C"/>
    <w:rsid w:val="006C2D8D"/>
    <w:rsid w:val="006C338F"/>
    <w:rsid w:val="006C38C6"/>
    <w:rsid w:val="006C4058"/>
    <w:rsid w:val="006C42FE"/>
    <w:rsid w:val="006C45FF"/>
    <w:rsid w:val="006C466C"/>
    <w:rsid w:val="006C49AA"/>
    <w:rsid w:val="006C4B85"/>
    <w:rsid w:val="006C4C9C"/>
    <w:rsid w:val="006C4CFA"/>
    <w:rsid w:val="006C501E"/>
    <w:rsid w:val="006C5057"/>
    <w:rsid w:val="006C5111"/>
    <w:rsid w:val="006C5A96"/>
    <w:rsid w:val="006C5DFA"/>
    <w:rsid w:val="006C5F2E"/>
    <w:rsid w:val="006C5FAC"/>
    <w:rsid w:val="006C5FE2"/>
    <w:rsid w:val="006C62F8"/>
    <w:rsid w:val="006C6852"/>
    <w:rsid w:val="006C68BA"/>
    <w:rsid w:val="006C6BFB"/>
    <w:rsid w:val="006C6F82"/>
    <w:rsid w:val="006C712A"/>
    <w:rsid w:val="006C7183"/>
    <w:rsid w:val="006C7761"/>
    <w:rsid w:val="006C7A53"/>
    <w:rsid w:val="006C7F53"/>
    <w:rsid w:val="006C7FEB"/>
    <w:rsid w:val="006D0011"/>
    <w:rsid w:val="006D0527"/>
    <w:rsid w:val="006D0BDF"/>
    <w:rsid w:val="006D0F87"/>
    <w:rsid w:val="006D1290"/>
    <w:rsid w:val="006D1341"/>
    <w:rsid w:val="006D1993"/>
    <w:rsid w:val="006D1B05"/>
    <w:rsid w:val="006D2334"/>
    <w:rsid w:val="006D2398"/>
    <w:rsid w:val="006D276E"/>
    <w:rsid w:val="006D27BE"/>
    <w:rsid w:val="006D2B64"/>
    <w:rsid w:val="006D2C90"/>
    <w:rsid w:val="006D2EAB"/>
    <w:rsid w:val="006D2EE2"/>
    <w:rsid w:val="006D2F58"/>
    <w:rsid w:val="006D31E7"/>
    <w:rsid w:val="006D32F1"/>
    <w:rsid w:val="006D359D"/>
    <w:rsid w:val="006D3A43"/>
    <w:rsid w:val="006D3B5C"/>
    <w:rsid w:val="006D3DAE"/>
    <w:rsid w:val="006D40C1"/>
    <w:rsid w:val="006D42CC"/>
    <w:rsid w:val="006D440F"/>
    <w:rsid w:val="006D4525"/>
    <w:rsid w:val="006D4567"/>
    <w:rsid w:val="006D52B1"/>
    <w:rsid w:val="006D53D7"/>
    <w:rsid w:val="006D5BD8"/>
    <w:rsid w:val="006D618A"/>
    <w:rsid w:val="006D6A31"/>
    <w:rsid w:val="006D6C32"/>
    <w:rsid w:val="006D6EE6"/>
    <w:rsid w:val="006D712A"/>
    <w:rsid w:val="006D7538"/>
    <w:rsid w:val="006D7844"/>
    <w:rsid w:val="006D7EDD"/>
    <w:rsid w:val="006E02E0"/>
    <w:rsid w:val="006E033E"/>
    <w:rsid w:val="006E08A9"/>
    <w:rsid w:val="006E095A"/>
    <w:rsid w:val="006E09AF"/>
    <w:rsid w:val="006E09E7"/>
    <w:rsid w:val="006E0EEC"/>
    <w:rsid w:val="006E1140"/>
    <w:rsid w:val="006E1542"/>
    <w:rsid w:val="006E155C"/>
    <w:rsid w:val="006E17EF"/>
    <w:rsid w:val="006E1808"/>
    <w:rsid w:val="006E18B5"/>
    <w:rsid w:val="006E1A2B"/>
    <w:rsid w:val="006E216B"/>
    <w:rsid w:val="006E23C2"/>
    <w:rsid w:val="006E242F"/>
    <w:rsid w:val="006E24A0"/>
    <w:rsid w:val="006E27ED"/>
    <w:rsid w:val="006E2A97"/>
    <w:rsid w:val="006E2E24"/>
    <w:rsid w:val="006E2E32"/>
    <w:rsid w:val="006E2F31"/>
    <w:rsid w:val="006E32C7"/>
    <w:rsid w:val="006E35B4"/>
    <w:rsid w:val="006E39E3"/>
    <w:rsid w:val="006E411B"/>
    <w:rsid w:val="006E437E"/>
    <w:rsid w:val="006E43AA"/>
    <w:rsid w:val="006E43E3"/>
    <w:rsid w:val="006E4816"/>
    <w:rsid w:val="006E4F86"/>
    <w:rsid w:val="006E50AE"/>
    <w:rsid w:val="006E5179"/>
    <w:rsid w:val="006E54B6"/>
    <w:rsid w:val="006E56A4"/>
    <w:rsid w:val="006E56FC"/>
    <w:rsid w:val="006E594E"/>
    <w:rsid w:val="006E5AE9"/>
    <w:rsid w:val="006E5DB9"/>
    <w:rsid w:val="006E627F"/>
    <w:rsid w:val="006E64EE"/>
    <w:rsid w:val="006E683B"/>
    <w:rsid w:val="006E68A9"/>
    <w:rsid w:val="006E6F7E"/>
    <w:rsid w:val="006E70DB"/>
    <w:rsid w:val="006E73F6"/>
    <w:rsid w:val="006E7454"/>
    <w:rsid w:val="006E755D"/>
    <w:rsid w:val="006E7995"/>
    <w:rsid w:val="006E7EC3"/>
    <w:rsid w:val="006F00EE"/>
    <w:rsid w:val="006F022A"/>
    <w:rsid w:val="006F026D"/>
    <w:rsid w:val="006F04A0"/>
    <w:rsid w:val="006F052D"/>
    <w:rsid w:val="006F073B"/>
    <w:rsid w:val="006F0A47"/>
    <w:rsid w:val="006F1380"/>
    <w:rsid w:val="006F1721"/>
    <w:rsid w:val="006F177C"/>
    <w:rsid w:val="006F1869"/>
    <w:rsid w:val="006F18EC"/>
    <w:rsid w:val="006F1AF8"/>
    <w:rsid w:val="006F1BD5"/>
    <w:rsid w:val="006F2068"/>
    <w:rsid w:val="006F2226"/>
    <w:rsid w:val="006F23BA"/>
    <w:rsid w:val="006F24EA"/>
    <w:rsid w:val="006F29E9"/>
    <w:rsid w:val="006F2AEF"/>
    <w:rsid w:val="006F45CD"/>
    <w:rsid w:val="006F4601"/>
    <w:rsid w:val="006F4644"/>
    <w:rsid w:val="006F47A0"/>
    <w:rsid w:val="006F486F"/>
    <w:rsid w:val="006F496D"/>
    <w:rsid w:val="006F4C32"/>
    <w:rsid w:val="006F4C77"/>
    <w:rsid w:val="006F5041"/>
    <w:rsid w:val="006F51F3"/>
    <w:rsid w:val="006F57C0"/>
    <w:rsid w:val="006F58F6"/>
    <w:rsid w:val="006F5C70"/>
    <w:rsid w:val="006F5EE5"/>
    <w:rsid w:val="006F62B9"/>
    <w:rsid w:val="006F6976"/>
    <w:rsid w:val="006F69EE"/>
    <w:rsid w:val="006F6A7A"/>
    <w:rsid w:val="006F718E"/>
    <w:rsid w:val="006F7285"/>
    <w:rsid w:val="006F73F2"/>
    <w:rsid w:val="006F7438"/>
    <w:rsid w:val="0070043B"/>
    <w:rsid w:val="007009BA"/>
    <w:rsid w:val="00700A28"/>
    <w:rsid w:val="00700A5C"/>
    <w:rsid w:val="00700A6F"/>
    <w:rsid w:val="007012F2"/>
    <w:rsid w:val="007013FF"/>
    <w:rsid w:val="00701435"/>
    <w:rsid w:val="00701A6D"/>
    <w:rsid w:val="00701D2F"/>
    <w:rsid w:val="00701EF4"/>
    <w:rsid w:val="007026D2"/>
    <w:rsid w:val="00702CEE"/>
    <w:rsid w:val="00703200"/>
    <w:rsid w:val="00703275"/>
    <w:rsid w:val="00703618"/>
    <w:rsid w:val="00703CBA"/>
    <w:rsid w:val="00703DC4"/>
    <w:rsid w:val="00704081"/>
    <w:rsid w:val="007041A6"/>
    <w:rsid w:val="00704B40"/>
    <w:rsid w:val="00704B6A"/>
    <w:rsid w:val="00704B86"/>
    <w:rsid w:val="00704EEB"/>
    <w:rsid w:val="00704FE2"/>
    <w:rsid w:val="007051AB"/>
    <w:rsid w:val="007051AE"/>
    <w:rsid w:val="0070530E"/>
    <w:rsid w:val="007055EB"/>
    <w:rsid w:val="00705690"/>
    <w:rsid w:val="00705B4D"/>
    <w:rsid w:val="00705DA3"/>
    <w:rsid w:val="00706EBD"/>
    <w:rsid w:val="00707112"/>
    <w:rsid w:val="007076EC"/>
    <w:rsid w:val="007077B7"/>
    <w:rsid w:val="00707BCA"/>
    <w:rsid w:val="0071051B"/>
    <w:rsid w:val="00710890"/>
    <w:rsid w:val="00710923"/>
    <w:rsid w:val="00710934"/>
    <w:rsid w:val="00710983"/>
    <w:rsid w:val="00710C46"/>
    <w:rsid w:val="00710C72"/>
    <w:rsid w:val="00711110"/>
    <w:rsid w:val="007112C6"/>
    <w:rsid w:val="00711572"/>
    <w:rsid w:val="00711B64"/>
    <w:rsid w:val="00711F69"/>
    <w:rsid w:val="007120C6"/>
    <w:rsid w:val="00712747"/>
    <w:rsid w:val="00712D17"/>
    <w:rsid w:val="00712EB6"/>
    <w:rsid w:val="00712FBA"/>
    <w:rsid w:val="00713223"/>
    <w:rsid w:val="00713708"/>
    <w:rsid w:val="007146ED"/>
    <w:rsid w:val="00714AF2"/>
    <w:rsid w:val="00714D84"/>
    <w:rsid w:val="00714E51"/>
    <w:rsid w:val="00715442"/>
    <w:rsid w:val="007159BB"/>
    <w:rsid w:val="00715AB2"/>
    <w:rsid w:val="007160A5"/>
    <w:rsid w:val="007161C1"/>
    <w:rsid w:val="00716655"/>
    <w:rsid w:val="0071701A"/>
    <w:rsid w:val="00717372"/>
    <w:rsid w:val="00717569"/>
    <w:rsid w:val="00717824"/>
    <w:rsid w:val="00717915"/>
    <w:rsid w:val="00717F57"/>
    <w:rsid w:val="00720241"/>
    <w:rsid w:val="00720503"/>
    <w:rsid w:val="00720878"/>
    <w:rsid w:val="007208A0"/>
    <w:rsid w:val="00720955"/>
    <w:rsid w:val="007209B9"/>
    <w:rsid w:val="00720EBA"/>
    <w:rsid w:val="00720FA6"/>
    <w:rsid w:val="00721185"/>
    <w:rsid w:val="00721277"/>
    <w:rsid w:val="007213F0"/>
    <w:rsid w:val="007214C1"/>
    <w:rsid w:val="007217FB"/>
    <w:rsid w:val="0072182F"/>
    <w:rsid w:val="00721B14"/>
    <w:rsid w:val="00721C3E"/>
    <w:rsid w:val="00721F3D"/>
    <w:rsid w:val="00722144"/>
    <w:rsid w:val="00722571"/>
    <w:rsid w:val="007229FF"/>
    <w:rsid w:val="00722C87"/>
    <w:rsid w:val="00722D0D"/>
    <w:rsid w:val="00723364"/>
    <w:rsid w:val="00723A5B"/>
    <w:rsid w:val="00723CCE"/>
    <w:rsid w:val="00723FA2"/>
    <w:rsid w:val="00724097"/>
    <w:rsid w:val="00724ADA"/>
    <w:rsid w:val="00724C62"/>
    <w:rsid w:val="00725D5B"/>
    <w:rsid w:val="00725EEB"/>
    <w:rsid w:val="00726133"/>
    <w:rsid w:val="0072623B"/>
    <w:rsid w:val="00726A77"/>
    <w:rsid w:val="007277E8"/>
    <w:rsid w:val="0072780F"/>
    <w:rsid w:val="00727973"/>
    <w:rsid w:val="00727E7E"/>
    <w:rsid w:val="0073012E"/>
    <w:rsid w:val="00730909"/>
    <w:rsid w:val="00730950"/>
    <w:rsid w:val="007309AD"/>
    <w:rsid w:val="007312EA"/>
    <w:rsid w:val="00731B1E"/>
    <w:rsid w:val="00731F06"/>
    <w:rsid w:val="0073228A"/>
    <w:rsid w:val="00732BD4"/>
    <w:rsid w:val="00732D7A"/>
    <w:rsid w:val="00732EAF"/>
    <w:rsid w:val="0073339A"/>
    <w:rsid w:val="007335E2"/>
    <w:rsid w:val="007338A3"/>
    <w:rsid w:val="00734AF4"/>
    <w:rsid w:val="00734D84"/>
    <w:rsid w:val="00734F0E"/>
    <w:rsid w:val="0073534F"/>
    <w:rsid w:val="0073547C"/>
    <w:rsid w:val="0073570D"/>
    <w:rsid w:val="0073583C"/>
    <w:rsid w:val="00735997"/>
    <w:rsid w:val="00735B19"/>
    <w:rsid w:val="00735CBC"/>
    <w:rsid w:val="00735E47"/>
    <w:rsid w:val="00735E84"/>
    <w:rsid w:val="00735F33"/>
    <w:rsid w:val="0073619B"/>
    <w:rsid w:val="00736455"/>
    <w:rsid w:val="00736763"/>
    <w:rsid w:val="00736861"/>
    <w:rsid w:val="007368C6"/>
    <w:rsid w:val="00736921"/>
    <w:rsid w:val="00736CC4"/>
    <w:rsid w:val="00736D0C"/>
    <w:rsid w:val="00736D82"/>
    <w:rsid w:val="00737886"/>
    <w:rsid w:val="00737BEA"/>
    <w:rsid w:val="007407EF"/>
    <w:rsid w:val="007408B7"/>
    <w:rsid w:val="00740B4B"/>
    <w:rsid w:val="00740E50"/>
    <w:rsid w:val="00740E52"/>
    <w:rsid w:val="00740EE5"/>
    <w:rsid w:val="00740EFE"/>
    <w:rsid w:val="00741515"/>
    <w:rsid w:val="007417BB"/>
    <w:rsid w:val="00741967"/>
    <w:rsid w:val="00741A56"/>
    <w:rsid w:val="00741C1A"/>
    <w:rsid w:val="00742144"/>
    <w:rsid w:val="00742426"/>
    <w:rsid w:val="00742F88"/>
    <w:rsid w:val="007433B5"/>
    <w:rsid w:val="007437B0"/>
    <w:rsid w:val="00743F18"/>
    <w:rsid w:val="00743FCC"/>
    <w:rsid w:val="00744592"/>
    <w:rsid w:val="007445C5"/>
    <w:rsid w:val="0074484C"/>
    <w:rsid w:val="00744B23"/>
    <w:rsid w:val="00744C58"/>
    <w:rsid w:val="00744EA2"/>
    <w:rsid w:val="0074554C"/>
    <w:rsid w:val="007458B1"/>
    <w:rsid w:val="00745D28"/>
    <w:rsid w:val="0074614E"/>
    <w:rsid w:val="0074631B"/>
    <w:rsid w:val="0074655C"/>
    <w:rsid w:val="00746A17"/>
    <w:rsid w:val="00746E90"/>
    <w:rsid w:val="007473EA"/>
    <w:rsid w:val="007475C4"/>
    <w:rsid w:val="00747906"/>
    <w:rsid w:val="007500D7"/>
    <w:rsid w:val="00750D30"/>
    <w:rsid w:val="00751040"/>
    <w:rsid w:val="00751A04"/>
    <w:rsid w:val="00752123"/>
    <w:rsid w:val="00752381"/>
    <w:rsid w:val="007523FD"/>
    <w:rsid w:val="0075265C"/>
    <w:rsid w:val="00752716"/>
    <w:rsid w:val="00752899"/>
    <w:rsid w:val="00752AC0"/>
    <w:rsid w:val="00753028"/>
    <w:rsid w:val="0075323C"/>
    <w:rsid w:val="0075364C"/>
    <w:rsid w:val="0075397F"/>
    <w:rsid w:val="00753D49"/>
    <w:rsid w:val="0075424C"/>
    <w:rsid w:val="007544B8"/>
    <w:rsid w:val="00754F94"/>
    <w:rsid w:val="00755847"/>
    <w:rsid w:val="00755BC3"/>
    <w:rsid w:val="00755D91"/>
    <w:rsid w:val="00755E0A"/>
    <w:rsid w:val="00756BEA"/>
    <w:rsid w:val="00756E0D"/>
    <w:rsid w:val="00756E65"/>
    <w:rsid w:val="00757203"/>
    <w:rsid w:val="007573C0"/>
    <w:rsid w:val="00757D8C"/>
    <w:rsid w:val="00757E35"/>
    <w:rsid w:val="00757F74"/>
    <w:rsid w:val="007604CF"/>
    <w:rsid w:val="007605A4"/>
    <w:rsid w:val="007605DA"/>
    <w:rsid w:val="007607F3"/>
    <w:rsid w:val="0076085D"/>
    <w:rsid w:val="00760CBB"/>
    <w:rsid w:val="00760FC7"/>
    <w:rsid w:val="00761266"/>
    <w:rsid w:val="007612D7"/>
    <w:rsid w:val="007616CA"/>
    <w:rsid w:val="0076174A"/>
    <w:rsid w:val="0076185D"/>
    <w:rsid w:val="0076210B"/>
    <w:rsid w:val="00762169"/>
    <w:rsid w:val="00762919"/>
    <w:rsid w:val="00762C64"/>
    <w:rsid w:val="00762F6E"/>
    <w:rsid w:val="00763166"/>
    <w:rsid w:val="00763251"/>
    <w:rsid w:val="007634F3"/>
    <w:rsid w:val="0076367D"/>
    <w:rsid w:val="00763758"/>
    <w:rsid w:val="00763A0A"/>
    <w:rsid w:val="00763AB9"/>
    <w:rsid w:val="00763BB3"/>
    <w:rsid w:val="00763CBE"/>
    <w:rsid w:val="00763F2C"/>
    <w:rsid w:val="00764824"/>
    <w:rsid w:val="007648CA"/>
    <w:rsid w:val="007652E8"/>
    <w:rsid w:val="00765813"/>
    <w:rsid w:val="00765940"/>
    <w:rsid w:val="0076625F"/>
    <w:rsid w:val="00766304"/>
    <w:rsid w:val="00766CC3"/>
    <w:rsid w:val="00767204"/>
    <w:rsid w:val="007674CB"/>
    <w:rsid w:val="00767758"/>
    <w:rsid w:val="0076796D"/>
    <w:rsid w:val="0077018F"/>
    <w:rsid w:val="00770A37"/>
    <w:rsid w:val="00770C07"/>
    <w:rsid w:val="00770CAC"/>
    <w:rsid w:val="00770DE5"/>
    <w:rsid w:val="0077124F"/>
    <w:rsid w:val="00771832"/>
    <w:rsid w:val="00771A29"/>
    <w:rsid w:val="00771E02"/>
    <w:rsid w:val="00771F50"/>
    <w:rsid w:val="00771F73"/>
    <w:rsid w:val="007724D4"/>
    <w:rsid w:val="00772F43"/>
    <w:rsid w:val="0077377B"/>
    <w:rsid w:val="00774447"/>
    <w:rsid w:val="007749F0"/>
    <w:rsid w:val="00774C5D"/>
    <w:rsid w:val="00774D8D"/>
    <w:rsid w:val="0077530F"/>
    <w:rsid w:val="00775487"/>
    <w:rsid w:val="007755BC"/>
    <w:rsid w:val="00775853"/>
    <w:rsid w:val="00775FD7"/>
    <w:rsid w:val="007767CE"/>
    <w:rsid w:val="00776858"/>
    <w:rsid w:val="0077685F"/>
    <w:rsid w:val="0077733B"/>
    <w:rsid w:val="00777E10"/>
    <w:rsid w:val="00777F5E"/>
    <w:rsid w:val="00780457"/>
    <w:rsid w:val="00780874"/>
    <w:rsid w:val="007809B8"/>
    <w:rsid w:val="00780C41"/>
    <w:rsid w:val="007813E9"/>
    <w:rsid w:val="007816BF"/>
    <w:rsid w:val="00781989"/>
    <w:rsid w:val="00781AED"/>
    <w:rsid w:val="007824B2"/>
    <w:rsid w:val="00782595"/>
    <w:rsid w:val="007827A2"/>
    <w:rsid w:val="00782A75"/>
    <w:rsid w:val="007834B0"/>
    <w:rsid w:val="00783684"/>
    <w:rsid w:val="00783AB6"/>
    <w:rsid w:val="00783B53"/>
    <w:rsid w:val="00783E56"/>
    <w:rsid w:val="007841BC"/>
    <w:rsid w:val="00784A49"/>
    <w:rsid w:val="00784A91"/>
    <w:rsid w:val="00784B45"/>
    <w:rsid w:val="00784B5E"/>
    <w:rsid w:val="00784DA7"/>
    <w:rsid w:val="00784E74"/>
    <w:rsid w:val="007858CE"/>
    <w:rsid w:val="0078592B"/>
    <w:rsid w:val="00785DF9"/>
    <w:rsid w:val="00786522"/>
    <w:rsid w:val="00787000"/>
    <w:rsid w:val="007873AC"/>
    <w:rsid w:val="007879C8"/>
    <w:rsid w:val="00787E20"/>
    <w:rsid w:val="00787EA7"/>
    <w:rsid w:val="0079001D"/>
    <w:rsid w:val="007906B9"/>
    <w:rsid w:val="00790C19"/>
    <w:rsid w:val="0079166A"/>
    <w:rsid w:val="007917FA"/>
    <w:rsid w:val="00791CDC"/>
    <w:rsid w:val="00791D11"/>
    <w:rsid w:val="00791E16"/>
    <w:rsid w:val="00791E47"/>
    <w:rsid w:val="00791E58"/>
    <w:rsid w:val="0079205C"/>
    <w:rsid w:val="00792250"/>
    <w:rsid w:val="007925A2"/>
    <w:rsid w:val="00792A31"/>
    <w:rsid w:val="00792B84"/>
    <w:rsid w:val="00792D39"/>
    <w:rsid w:val="0079384E"/>
    <w:rsid w:val="00793A47"/>
    <w:rsid w:val="00793ACF"/>
    <w:rsid w:val="00793D42"/>
    <w:rsid w:val="00793F1A"/>
    <w:rsid w:val="0079411B"/>
    <w:rsid w:val="00794474"/>
    <w:rsid w:val="00794D12"/>
    <w:rsid w:val="00794D60"/>
    <w:rsid w:val="00795214"/>
    <w:rsid w:val="0079585D"/>
    <w:rsid w:val="00795C6B"/>
    <w:rsid w:val="0079630B"/>
    <w:rsid w:val="0079661E"/>
    <w:rsid w:val="007967A3"/>
    <w:rsid w:val="0079681C"/>
    <w:rsid w:val="00796A00"/>
    <w:rsid w:val="00796A0E"/>
    <w:rsid w:val="00796A47"/>
    <w:rsid w:val="00796B57"/>
    <w:rsid w:val="00796B59"/>
    <w:rsid w:val="00796FDE"/>
    <w:rsid w:val="0079770A"/>
    <w:rsid w:val="00797A4E"/>
    <w:rsid w:val="007A0065"/>
    <w:rsid w:val="007A0143"/>
    <w:rsid w:val="007A015C"/>
    <w:rsid w:val="007A03C6"/>
    <w:rsid w:val="007A0A0E"/>
    <w:rsid w:val="007A0A8F"/>
    <w:rsid w:val="007A1540"/>
    <w:rsid w:val="007A1553"/>
    <w:rsid w:val="007A16A9"/>
    <w:rsid w:val="007A1C83"/>
    <w:rsid w:val="007A1EA9"/>
    <w:rsid w:val="007A22EF"/>
    <w:rsid w:val="007A231E"/>
    <w:rsid w:val="007A251F"/>
    <w:rsid w:val="007A27F3"/>
    <w:rsid w:val="007A28FE"/>
    <w:rsid w:val="007A2CA5"/>
    <w:rsid w:val="007A37D4"/>
    <w:rsid w:val="007A4E2A"/>
    <w:rsid w:val="007A513B"/>
    <w:rsid w:val="007A5599"/>
    <w:rsid w:val="007A5DDF"/>
    <w:rsid w:val="007A62B1"/>
    <w:rsid w:val="007A67F1"/>
    <w:rsid w:val="007A6AA7"/>
    <w:rsid w:val="007A7456"/>
    <w:rsid w:val="007A75AF"/>
    <w:rsid w:val="007A7821"/>
    <w:rsid w:val="007A78A0"/>
    <w:rsid w:val="007A7A22"/>
    <w:rsid w:val="007A7A65"/>
    <w:rsid w:val="007A7B1F"/>
    <w:rsid w:val="007A7B90"/>
    <w:rsid w:val="007A7D44"/>
    <w:rsid w:val="007A7DD1"/>
    <w:rsid w:val="007B0223"/>
    <w:rsid w:val="007B11F5"/>
    <w:rsid w:val="007B130B"/>
    <w:rsid w:val="007B1328"/>
    <w:rsid w:val="007B1481"/>
    <w:rsid w:val="007B14DF"/>
    <w:rsid w:val="007B1AE5"/>
    <w:rsid w:val="007B1BBB"/>
    <w:rsid w:val="007B1C5C"/>
    <w:rsid w:val="007B1C72"/>
    <w:rsid w:val="007B2134"/>
    <w:rsid w:val="007B22AD"/>
    <w:rsid w:val="007B2355"/>
    <w:rsid w:val="007B23BA"/>
    <w:rsid w:val="007B2507"/>
    <w:rsid w:val="007B2608"/>
    <w:rsid w:val="007B2B88"/>
    <w:rsid w:val="007B2CCA"/>
    <w:rsid w:val="007B364A"/>
    <w:rsid w:val="007B36B8"/>
    <w:rsid w:val="007B3950"/>
    <w:rsid w:val="007B4CE6"/>
    <w:rsid w:val="007B4D16"/>
    <w:rsid w:val="007B503B"/>
    <w:rsid w:val="007B5212"/>
    <w:rsid w:val="007B525D"/>
    <w:rsid w:val="007B5420"/>
    <w:rsid w:val="007B5DBD"/>
    <w:rsid w:val="007B60B6"/>
    <w:rsid w:val="007B675E"/>
    <w:rsid w:val="007B6D1C"/>
    <w:rsid w:val="007B7256"/>
    <w:rsid w:val="007B735B"/>
    <w:rsid w:val="007B78B1"/>
    <w:rsid w:val="007B7A2B"/>
    <w:rsid w:val="007B7AEF"/>
    <w:rsid w:val="007B7F1F"/>
    <w:rsid w:val="007B7FD9"/>
    <w:rsid w:val="007C0658"/>
    <w:rsid w:val="007C075A"/>
    <w:rsid w:val="007C09EC"/>
    <w:rsid w:val="007C09F4"/>
    <w:rsid w:val="007C13E9"/>
    <w:rsid w:val="007C1562"/>
    <w:rsid w:val="007C16C3"/>
    <w:rsid w:val="007C17F8"/>
    <w:rsid w:val="007C1AEC"/>
    <w:rsid w:val="007C2017"/>
    <w:rsid w:val="007C2200"/>
    <w:rsid w:val="007C2696"/>
    <w:rsid w:val="007C2813"/>
    <w:rsid w:val="007C2A55"/>
    <w:rsid w:val="007C2E53"/>
    <w:rsid w:val="007C37BF"/>
    <w:rsid w:val="007C38B4"/>
    <w:rsid w:val="007C3A9D"/>
    <w:rsid w:val="007C3BC1"/>
    <w:rsid w:val="007C462B"/>
    <w:rsid w:val="007C4649"/>
    <w:rsid w:val="007C47D3"/>
    <w:rsid w:val="007C4D77"/>
    <w:rsid w:val="007C4FD6"/>
    <w:rsid w:val="007C50E1"/>
    <w:rsid w:val="007C5420"/>
    <w:rsid w:val="007C58E7"/>
    <w:rsid w:val="007C6396"/>
    <w:rsid w:val="007C63B4"/>
    <w:rsid w:val="007C6551"/>
    <w:rsid w:val="007C69BB"/>
    <w:rsid w:val="007C69EE"/>
    <w:rsid w:val="007C6B75"/>
    <w:rsid w:val="007C6E60"/>
    <w:rsid w:val="007C7842"/>
    <w:rsid w:val="007C7927"/>
    <w:rsid w:val="007C7A53"/>
    <w:rsid w:val="007C7C7E"/>
    <w:rsid w:val="007C7ECE"/>
    <w:rsid w:val="007C7F91"/>
    <w:rsid w:val="007D0019"/>
    <w:rsid w:val="007D0E40"/>
    <w:rsid w:val="007D10DA"/>
    <w:rsid w:val="007D1166"/>
    <w:rsid w:val="007D11DC"/>
    <w:rsid w:val="007D1581"/>
    <w:rsid w:val="007D16F5"/>
    <w:rsid w:val="007D1E98"/>
    <w:rsid w:val="007D234F"/>
    <w:rsid w:val="007D29D5"/>
    <w:rsid w:val="007D2A66"/>
    <w:rsid w:val="007D3036"/>
    <w:rsid w:val="007D31D0"/>
    <w:rsid w:val="007D3314"/>
    <w:rsid w:val="007D3FBD"/>
    <w:rsid w:val="007D44F5"/>
    <w:rsid w:val="007D45C6"/>
    <w:rsid w:val="007D46B7"/>
    <w:rsid w:val="007D4820"/>
    <w:rsid w:val="007D483D"/>
    <w:rsid w:val="007D4A3B"/>
    <w:rsid w:val="007D4AD6"/>
    <w:rsid w:val="007D4B80"/>
    <w:rsid w:val="007D4F4F"/>
    <w:rsid w:val="007D51D6"/>
    <w:rsid w:val="007D52CD"/>
    <w:rsid w:val="007D52F7"/>
    <w:rsid w:val="007D5423"/>
    <w:rsid w:val="007D5460"/>
    <w:rsid w:val="007D5504"/>
    <w:rsid w:val="007D5680"/>
    <w:rsid w:val="007D590E"/>
    <w:rsid w:val="007D5A2B"/>
    <w:rsid w:val="007D60CB"/>
    <w:rsid w:val="007D610D"/>
    <w:rsid w:val="007D6386"/>
    <w:rsid w:val="007D6A27"/>
    <w:rsid w:val="007D751F"/>
    <w:rsid w:val="007D7870"/>
    <w:rsid w:val="007D787C"/>
    <w:rsid w:val="007D78A8"/>
    <w:rsid w:val="007D7A8C"/>
    <w:rsid w:val="007D7CB3"/>
    <w:rsid w:val="007E0A43"/>
    <w:rsid w:val="007E1486"/>
    <w:rsid w:val="007E154B"/>
    <w:rsid w:val="007E1C5A"/>
    <w:rsid w:val="007E1D37"/>
    <w:rsid w:val="007E1EDC"/>
    <w:rsid w:val="007E23DF"/>
    <w:rsid w:val="007E2D9E"/>
    <w:rsid w:val="007E31C1"/>
    <w:rsid w:val="007E37F2"/>
    <w:rsid w:val="007E38D9"/>
    <w:rsid w:val="007E39AC"/>
    <w:rsid w:val="007E39B4"/>
    <w:rsid w:val="007E3B95"/>
    <w:rsid w:val="007E4504"/>
    <w:rsid w:val="007E4639"/>
    <w:rsid w:val="007E4C8E"/>
    <w:rsid w:val="007E5AC6"/>
    <w:rsid w:val="007E5B82"/>
    <w:rsid w:val="007E5C78"/>
    <w:rsid w:val="007E5F6D"/>
    <w:rsid w:val="007E63E3"/>
    <w:rsid w:val="007E67D7"/>
    <w:rsid w:val="007E6C95"/>
    <w:rsid w:val="007E724F"/>
    <w:rsid w:val="007E7252"/>
    <w:rsid w:val="007E7A4E"/>
    <w:rsid w:val="007F0251"/>
    <w:rsid w:val="007F076D"/>
    <w:rsid w:val="007F09CE"/>
    <w:rsid w:val="007F0FAA"/>
    <w:rsid w:val="007F1472"/>
    <w:rsid w:val="007F1A94"/>
    <w:rsid w:val="007F1ACA"/>
    <w:rsid w:val="007F1C43"/>
    <w:rsid w:val="007F1D1C"/>
    <w:rsid w:val="007F1F4D"/>
    <w:rsid w:val="007F20F9"/>
    <w:rsid w:val="007F228F"/>
    <w:rsid w:val="007F2396"/>
    <w:rsid w:val="007F247A"/>
    <w:rsid w:val="007F255A"/>
    <w:rsid w:val="007F2C9B"/>
    <w:rsid w:val="007F3064"/>
    <w:rsid w:val="007F30FE"/>
    <w:rsid w:val="007F3508"/>
    <w:rsid w:val="007F3614"/>
    <w:rsid w:val="007F38E5"/>
    <w:rsid w:val="007F3954"/>
    <w:rsid w:val="007F3E43"/>
    <w:rsid w:val="007F4607"/>
    <w:rsid w:val="007F494B"/>
    <w:rsid w:val="007F4DD4"/>
    <w:rsid w:val="007F4F0A"/>
    <w:rsid w:val="007F5149"/>
    <w:rsid w:val="007F5D81"/>
    <w:rsid w:val="007F5F92"/>
    <w:rsid w:val="007F67CB"/>
    <w:rsid w:val="007F6CE0"/>
    <w:rsid w:val="007F6EA5"/>
    <w:rsid w:val="007F6F72"/>
    <w:rsid w:val="007F7239"/>
    <w:rsid w:val="007F72E8"/>
    <w:rsid w:val="007F7324"/>
    <w:rsid w:val="007F7580"/>
    <w:rsid w:val="007F7584"/>
    <w:rsid w:val="007F759E"/>
    <w:rsid w:val="007F76F9"/>
    <w:rsid w:val="007F770E"/>
    <w:rsid w:val="007F7E04"/>
    <w:rsid w:val="007F7FE8"/>
    <w:rsid w:val="00800568"/>
    <w:rsid w:val="00800847"/>
    <w:rsid w:val="00800D8F"/>
    <w:rsid w:val="00801066"/>
    <w:rsid w:val="00801637"/>
    <w:rsid w:val="00801684"/>
    <w:rsid w:val="00801977"/>
    <w:rsid w:val="008019D9"/>
    <w:rsid w:val="00801E73"/>
    <w:rsid w:val="00801F49"/>
    <w:rsid w:val="0080236F"/>
    <w:rsid w:val="008024B7"/>
    <w:rsid w:val="008025D1"/>
    <w:rsid w:val="00802803"/>
    <w:rsid w:val="0080280C"/>
    <w:rsid w:val="00802CE8"/>
    <w:rsid w:val="008035FA"/>
    <w:rsid w:val="0080412D"/>
    <w:rsid w:val="00804254"/>
    <w:rsid w:val="008044D9"/>
    <w:rsid w:val="008046A0"/>
    <w:rsid w:val="00804C3C"/>
    <w:rsid w:val="00804CF8"/>
    <w:rsid w:val="00804F2F"/>
    <w:rsid w:val="0080514E"/>
    <w:rsid w:val="008059C4"/>
    <w:rsid w:val="00805A3C"/>
    <w:rsid w:val="00805BF4"/>
    <w:rsid w:val="00806252"/>
    <w:rsid w:val="00806514"/>
    <w:rsid w:val="00806D48"/>
    <w:rsid w:val="00806E4B"/>
    <w:rsid w:val="00806E56"/>
    <w:rsid w:val="00806E8C"/>
    <w:rsid w:val="0080765B"/>
    <w:rsid w:val="008079F9"/>
    <w:rsid w:val="00810228"/>
    <w:rsid w:val="00810241"/>
    <w:rsid w:val="00810A31"/>
    <w:rsid w:val="00810CA9"/>
    <w:rsid w:val="00811079"/>
    <w:rsid w:val="008110A5"/>
    <w:rsid w:val="008113AE"/>
    <w:rsid w:val="008116B9"/>
    <w:rsid w:val="00811DCF"/>
    <w:rsid w:val="00811E04"/>
    <w:rsid w:val="008123FB"/>
    <w:rsid w:val="008127FD"/>
    <w:rsid w:val="00812DBC"/>
    <w:rsid w:val="00812E5D"/>
    <w:rsid w:val="00812EB6"/>
    <w:rsid w:val="008136C9"/>
    <w:rsid w:val="00813729"/>
    <w:rsid w:val="00813C5F"/>
    <w:rsid w:val="008141A2"/>
    <w:rsid w:val="008147A3"/>
    <w:rsid w:val="008149A4"/>
    <w:rsid w:val="00814C62"/>
    <w:rsid w:val="00814D42"/>
    <w:rsid w:val="00814F09"/>
    <w:rsid w:val="008153BB"/>
    <w:rsid w:val="00815926"/>
    <w:rsid w:val="00816019"/>
    <w:rsid w:val="0081609F"/>
    <w:rsid w:val="00816522"/>
    <w:rsid w:val="00816ECB"/>
    <w:rsid w:val="0081733F"/>
    <w:rsid w:val="00817484"/>
    <w:rsid w:val="00817B44"/>
    <w:rsid w:val="00817D0C"/>
    <w:rsid w:val="00820670"/>
    <w:rsid w:val="008213B0"/>
    <w:rsid w:val="008215AA"/>
    <w:rsid w:val="00821786"/>
    <w:rsid w:val="0082190D"/>
    <w:rsid w:val="00821EB8"/>
    <w:rsid w:val="0082252E"/>
    <w:rsid w:val="00822B41"/>
    <w:rsid w:val="00822D1C"/>
    <w:rsid w:val="008230C7"/>
    <w:rsid w:val="008239D9"/>
    <w:rsid w:val="00823C3E"/>
    <w:rsid w:val="00823CA7"/>
    <w:rsid w:val="00823D10"/>
    <w:rsid w:val="008240C7"/>
    <w:rsid w:val="00824139"/>
    <w:rsid w:val="00824361"/>
    <w:rsid w:val="008245AA"/>
    <w:rsid w:val="00824AB3"/>
    <w:rsid w:val="00825ADA"/>
    <w:rsid w:val="00825AF9"/>
    <w:rsid w:val="00825B7A"/>
    <w:rsid w:val="00825C4F"/>
    <w:rsid w:val="00825EB7"/>
    <w:rsid w:val="00825FC8"/>
    <w:rsid w:val="008260C3"/>
    <w:rsid w:val="00827646"/>
    <w:rsid w:val="008279BF"/>
    <w:rsid w:val="00827B59"/>
    <w:rsid w:val="00827BBC"/>
    <w:rsid w:val="00827C52"/>
    <w:rsid w:val="00827CA3"/>
    <w:rsid w:val="0083010E"/>
    <w:rsid w:val="0083033E"/>
    <w:rsid w:val="008306DA"/>
    <w:rsid w:val="00830AEE"/>
    <w:rsid w:val="00830CC3"/>
    <w:rsid w:val="0083169F"/>
    <w:rsid w:val="008318C6"/>
    <w:rsid w:val="008319C4"/>
    <w:rsid w:val="00831AF8"/>
    <w:rsid w:val="00831E49"/>
    <w:rsid w:val="00831FCD"/>
    <w:rsid w:val="0083240B"/>
    <w:rsid w:val="00832780"/>
    <w:rsid w:val="00832F6C"/>
    <w:rsid w:val="00833428"/>
    <w:rsid w:val="0083371B"/>
    <w:rsid w:val="0083392E"/>
    <w:rsid w:val="008339BF"/>
    <w:rsid w:val="00833A04"/>
    <w:rsid w:val="00833E57"/>
    <w:rsid w:val="0083434C"/>
    <w:rsid w:val="0083435D"/>
    <w:rsid w:val="00834597"/>
    <w:rsid w:val="00834A99"/>
    <w:rsid w:val="00834B66"/>
    <w:rsid w:val="00834BA8"/>
    <w:rsid w:val="00835185"/>
    <w:rsid w:val="008353AF"/>
    <w:rsid w:val="008356C6"/>
    <w:rsid w:val="00835B9E"/>
    <w:rsid w:val="008360B8"/>
    <w:rsid w:val="0083637A"/>
    <w:rsid w:val="00836617"/>
    <w:rsid w:val="00836A28"/>
    <w:rsid w:val="00836EC0"/>
    <w:rsid w:val="00836EF8"/>
    <w:rsid w:val="00836F94"/>
    <w:rsid w:val="00837295"/>
    <w:rsid w:val="00837423"/>
    <w:rsid w:val="00837514"/>
    <w:rsid w:val="0083787A"/>
    <w:rsid w:val="00837966"/>
    <w:rsid w:val="00840238"/>
    <w:rsid w:val="00840658"/>
    <w:rsid w:val="00840D0F"/>
    <w:rsid w:val="008410B1"/>
    <w:rsid w:val="00841375"/>
    <w:rsid w:val="00841762"/>
    <w:rsid w:val="008418E5"/>
    <w:rsid w:val="00841B92"/>
    <w:rsid w:val="00841D26"/>
    <w:rsid w:val="00841FAB"/>
    <w:rsid w:val="00842429"/>
    <w:rsid w:val="00842437"/>
    <w:rsid w:val="0084259A"/>
    <w:rsid w:val="00842C1C"/>
    <w:rsid w:val="00842FCA"/>
    <w:rsid w:val="008432D4"/>
    <w:rsid w:val="0084392E"/>
    <w:rsid w:val="008439E7"/>
    <w:rsid w:val="00843EB4"/>
    <w:rsid w:val="00844178"/>
    <w:rsid w:val="008441C1"/>
    <w:rsid w:val="0084491E"/>
    <w:rsid w:val="00844968"/>
    <w:rsid w:val="008449F2"/>
    <w:rsid w:val="008450D3"/>
    <w:rsid w:val="0084540C"/>
    <w:rsid w:val="00845645"/>
    <w:rsid w:val="00845949"/>
    <w:rsid w:val="0084597F"/>
    <w:rsid w:val="00845AB9"/>
    <w:rsid w:val="00845FFA"/>
    <w:rsid w:val="00846005"/>
    <w:rsid w:val="008460EB"/>
    <w:rsid w:val="008466A7"/>
    <w:rsid w:val="00846762"/>
    <w:rsid w:val="00846A22"/>
    <w:rsid w:val="00846BD7"/>
    <w:rsid w:val="0084730F"/>
    <w:rsid w:val="00847459"/>
    <w:rsid w:val="00847502"/>
    <w:rsid w:val="0084758F"/>
    <w:rsid w:val="0084765B"/>
    <w:rsid w:val="00850440"/>
    <w:rsid w:val="0085092F"/>
    <w:rsid w:val="0085096A"/>
    <w:rsid w:val="00850DE5"/>
    <w:rsid w:val="00851052"/>
    <w:rsid w:val="00851087"/>
    <w:rsid w:val="00851227"/>
    <w:rsid w:val="00851244"/>
    <w:rsid w:val="00851284"/>
    <w:rsid w:val="008518F0"/>
    <w:rsid w:val="00851A5E"/>
    <w:rsid w:val="00851F9E"/>
    <w:rsid w:val="00851FF7"/>
    <w:rsid w:val="0085223B"/>
    <w:rsid w:val="00852282"/>
    <w:rsid w:val="008522F9"/>
    <w:rsid w:val="008525A2"/>
    <w:rsid w:val="008525BE"/>
    <w:rsid w:val="00852AEA"/>
    <w:rsid w:val="00852D2C"/>
    <w:rsid w:val="00852DB1"/>
    <w:rsid w:val="0085305C"/>
    <w:rsid w:val="0085306C"/>
    <w:rsid w:val="008534B9"/>
    <w:rsid w:val="008538F7"/>
    <w:rsid w:val="00853A5C"/>
    <w:rsid w:val="00853F55"/>
    <w:rsid w:val="008545D0"/>
    <w:rsid w:val="008546F4"/>
    <w:rsid w:val="00854882"/>
    <w:rsid w:val="00854DE5"/>
    <w:rsid w:val="008550AF"/>
    <w:rsid w:val="00855339"/>
    <w:rsid w:val="00855438"/>
    <w:rsid w:val="008556D0"/>
    <w:rsid w:val="00855B7D"/>
    <w:rsid w:val="00855C29"/>
    <w:rsid w:val="00855D0B"/>
    <w:rsid w:val="00856057"/>
    <w:rsid w:val="00856185"/>
    <w:rsid w:val="008562F2"/>
    <w:rsid w:val="00856CB0"/>
    <w:rsid w:val="00856F3A"/>
    <w:rsid w:val="00857466"/>
    <w:rsid w:val="0085755E"/>
    <w:rsid w:val="008579D4"/>
    <w:rsid w:val="00857F9C"/>
    <w:rsid w:val="008600EA"/>
    <w:rsid w:val="008600FC"/>
    <w:rsid w:val="00860533"/>
    <w:rsid w:val="008607F4"/>
    <w:rsid w:val="008611C2"/>
    <w:rsid w:val="008616FA"/>
    <w:rsid w:val="00861966"/>
    <w:rsid w:val="00861C34"/>
    <w:rsid w:val="00861D69"/>
    <w:rsid w:val="00861F51"/>
    <w:rsid w:val="008623E4"/>
    <w:rsid w:val="00862989"/>
    <w:rsid w:val="00862D5E"/>
    <w:rsid w:val="00862D88"/>
    <w:rsid w:val="008631D4"/>
    <w:rsid w:val="00863B13"/>
    <w:rsid w:val="00863BAA"/>
    <w:rsid w:val="00863BC8"/>
    <w:rsid w:val="00863CE4"/>
    <w:rsid w:val="00863F62"/>
    <w:rsid w:val="00864375"/>
    <w:rsid w:val="00864854"/>
    <w:rsid w:val="00864ABB"/>
    <w:rsid w:val="00864B2F"/>
    <w:rsid w:val="00864E92"/>
    <w:rsid w:val="00865219"/>
    <w:rsid w:val="00865248"/>
    <w:rsid w:val="00865785"/>
    <w:rsid w:val="00865B5C"/>
    <w:rsid w:val="00865BE0"/>
    <w:rsid w:val="00865D5D"/>
    <w:rsid w:val="00865FEC"/>
    <w:rsid w:val="00866068"/>
    <w:rsid w:val="00866079"/>
    <w:rsid w:val="00866EDE"/>
    <w:rsid w:val="0086701F"/>
    <w:rsid w:val="0086721A"/>
    <w:rsid w:val="00867675"/>
    <w:rsid w:val="008679B8"/>
    <w:rsid w:val="008701A3"/>
    <w:rsid w:val="00870333"/>
    <w:rsid w:val="00870341"/>
    <w:rsid w:val="008707E0"/>
    <w:rsid w:val="00870AF4"/>
    <w:rsid w:val="00870E26"/>
    <w:rsid w:val="00871A0A"/>
    <w:rsid w:val="00871B26"/>
    <w:rsid w:val="00871BDE"/>
    <w:rsid w:val="0087207C"/>
    <w:rsid w:val="00872098"/>
    <w:rsid w:val="00872350"/>
    <w:rsid w:val="008724B9"/>
    <w:rsid w:val="00872620"/>
    <w:rsid w:val="00872904"/>
    <w:rsid w:val="00872E1F"/>
    <w:rsid w:val="008731CC"/>
    <w:rsid w:val="00873AA6"/>
    <w:rsid w:val="0087456D"/>
    <w:rsid w:val="0087472E"/>
    <w:rsid w:val="00874858"/>
    <w:rsid w:val="0087488D"/>
    <w:rsid w:val="00874C5B"/>
    <w:rsid w:val="00874CA8"/>
    <w:rsid w:val="00874D25"/>
    <w:rsid w:val="00874D86"/>
    <w:rsid w:val="00874EF4"/>
    <w:rsid w:val="00874F73"/>
    <w:rsid w:val="0087514B"/>
    <w:rsid w:val="00875414"/>
    <w:rsid w:val="0087587B"/>
    <w:rsid w:val="00875A02"/>
    <w:rsid w:val="00875A4F"/>
    <w:rsid w:val="00875AB8"/>
    <w:rsid w:val="00876313"/>
    <w:rsid w:val="00876C1A"/>
    <w:rsid w:val="00876F5B"/>
    <w:rsid w:val="00877852"/>
    <w:rsid w:val="008779CA"/>
    <w:rsid w:val="00877E02"/>
    <w:rsid w:val="00877E2E"/>
    <w:rsid w:val="0088054C"/>
    <w:rsid w:val="00880890"/>
    <w:rsid w:val="00880C3A"/>
    <w:rsid w:val="00880FBE"/>
    <w:rsid w:val="00881234"/>
    <w:rsid w:val="008812BB"/>
    <w:rsid w:val="0088152F"/>
    <w:rsid w:val="008817A1"/>
    <w:rsid w:val="008818C6"/>
    <w:rsid w:val="008819D0"/>
    <w:rsid w:val="00881C8A"/>
    <w:rsid w:val="008822A2"/>
    <w:rsid w:val="0088246E"/>
    <w:rsid w:val="00882604"/>
    <w:rsid w:val="008828D4"/>
    <w:rsid w:val="00882C65"/>
    <w:rsid w:val="00882E41"/>
    <w:rsid w:val="00882FF4"/>
    <w:rsid w:val="00883474"/>
    <w:rsid w:val="00883D8F"/>
    <w:rsid w:val="00883EBE"/>
    <w:rsid w:val="00884015"/>
    <w:rsid w:val="00884068"/>
    <w:rsid w:val="0088419A"/>
    <w:rsid w:val="0088420B"/>
    <w:rsid w:val="00884956"/>
    <w:rsid w:val="00884C23"/>
    <w:rsid w:val="0088503B"/>
    <w:rsid w:val="00885CF7"/>
    <w:rsid w:val="00886084"/>
    <w:rsid w:val="008862BD"/>
    <w:rsid w:val="0088671D"/>
    <w:rsid w:val="00886EDA"/>
    <w:rsid w:val="008870D1"/>
    <w:rsid w:val="00887256"/>
    <w:rsid w:val="00887904"/>
    <w:rsid w:val="00887A13"/>
    <w:rsid w:val="00887BA6"/>
    <w:rsid w:val="00887ECC"/>
    <w:rsid w:val="00887EE3"/>
    <w:rsid w:val="00890776"/>
    <w:rsid w:val="00890A56"/>
    <w:rsid w:val="008910E8"/>
    <w:rsid w:val="008918A2"/>
    <w:rsid w:val="00891C0D"/>
    <w:rsid w:val="00891CF1"/>
    <w:rsid w:val="00891D56"/>
    <w:rsid w:val="008920C2"/>
    <w:rsid w:val="00892435"/>
    <w:rsid w:val="00892E93"/>
    <w:rsid w:val="00892EC0"/>
    <w:rsid w:val="0089305F"/>
    <w:rsid w:val="008932FC"/>
    <w:rsid w:val="008938A3"/>
    <w:rsid w:val="00893D61"/>
    <w:rsid w:val="008941DE"/>
    <w:rsid w:val="008942C2"/>
    <w:rsid w:val="0089433D"/>
    <w:rsid w:val="0089466B"/>
    <w:rsid w:val="00894C6D"/>
    <w:rsid w:val="00894C6E"/>
    <w:rsid w:val="00894E42"/>
    <w:rsid w:val="008952B9"/>
    <w:rsid w:val="00895D34"/>
    <w:rsid w:val="0089637A"/>
    <w:rsid w:val="0089667A"/>
    <w:rsid w:val="00896703"/>
    <w:rsid w:val="00896727"/>
    <w:rsid w:val="008969FE"/>
    <w:rsid w:val="00896B67"/>
    <w:rsid w:val="00896D41"/>
    <w:rsid w:val="00896FC2"/>
    <w:rsid w:val="00897449"/>
    <w:rsid w:val="008974CB"/>
    <w:rsid w:val="008978EF"/>
    <w:rsid w:val="00897E6A"/>
    <w:rsid w:val="008A02B7"/>
    <w:rsid w:val="008A0345"/>
    <w:rsid w:val="008A1D2F"/>
    <w:rsid w:val="008A1D30"/>
    <w:rsid w:val="008A1E73"/>
    <w:rsid w:val="008A1E8F"/>
    <w:rsid w:val="008A1EC2"/>
    <w:rsid w:val="008A2075"/>
    <w:rsid w:val="008A21EF"/>
    <w:rsid w:val="008A2201"/>
    <w:rsid w:val="008A2313"/>
    <w:rsid w:val="008A2366"/>
    <w:rsid w:val="008A24A1"/>
    <w:rsid w:val="008A26B9"/>
    <w:rsid w:val="008A3BC3"/>
    <w:rsid w:val="008A3E16"/>
    <w:rsid w:val="008A3E5F"/>
    <w:rsid w:val="008A3F6F"/>
    <w:rsid w:val="008A41B1"/>
    <w:rsid w:val="008A479C"/>
    <w:rsid w:val="008A4CBF"/>
    <w:rsid w:val="008A4CEC"/>
    <w:rsid w:val="008A5193"/>
    <w:rsid w:val="008A524E"/>
    <w:rsid w:val="008A5521"/>
    <w:rsid w:val="008A5944"/>
    <w:rsid w:val="008A622B"/>
    <w:rsid w:val="008A62C6"/>
    <w:rsid w:val="008A62EB"/>
    <w:rsid w:val="008A637C"/>
    <w:rsid w:val="008A672A"/>
    <w:rsid w:val="008A68C5"/>
    <w:rsid w:val="008A6A9B"/>
    <w:rsid w:val="008A6B04"/>
    <w:rsid w:val="008A7575"/>
    <w:rsid w:val="008A7677"/>
    <w:rsid w:val="008A7955"/>
    <w:rsid w:val="008A79F8"/>
    <w:rsid w:val="008A7CF9"/>
    <w:rsid w:val="008B03E5"/>
    <w:rsid w:val="008B05D4"/>
    <w:rsid w:val="008B05EF"/>
    <w:rsid w:val="008B0ABE"/>
    <w:rsid w:val="008B0BAB"/>
    <w:rsid w:val="008B12AB"/>
    <w:rsid w:val="008B12CF"/>
    <w:rsid w:val="008B1364"/>
    <w:rsid w:val="008B13F3"/>
    <w:rsid w:val="008B146F"/>
    <w:rsid w:val="008B147D"/>
    <w:rsid w:val="008B1562"/>
    <w:rsid w:val="008B1798"/>
    <w:rsid w:val="008B1ADD"/>
    <w:rsid w:val="008B1D34"/>
    <w:rsid w:val="008B1F38"/>
    <w:rsid w:val="008B224F"/>
    <w:rsid w:val="008B23C1"/>
    <w:rsid w:val="008B25EA"/>
    <w:rsid w:val="008B2F9A"/>
    <w:rsid w:val="008B33BA"/>
    <w:rsid w:val="008B3714"/>
    <w:rsid w:val="008B37AE"/>
    <w:rsid w:val="008B3C15"/>
    <w:rsid w:val="008B460D"/>
    <w:rsid w:val="008B464E"/>
    <w:rsid w:val="008B48E1"/>
    <w:rsid w:val="008B4C22"/>
    <w:rsid w:val="008B4C25"/>
    <w:rsid w:val="008B4D0E"/>
    <w:rsid w:val="008B4DDB"/>
    <w:rsid w:val="008B50BC"/>
    <w:rsid w:val="008B5427"/>
    <w:rsid w:val="008B5687"/>
    <w:rsid w:val="008B587E"/>
    <w:rsid w:val="008B59EB"/>
    <w:rsid w:val="008B5BA0"/>
    <w:rsid w:val="008B5D77"/>
    <w:rsid w:val="008B66F3"/>
    <w:rsid w:val="008B6AC8"/>
    <w:rsid w:val="008B6E84"/>
    <w:rsid w:val="008B6F36"/>
    <w:rsid w:val="008B71B3"/>
    <w:rsid w:val="008B76BF"/>
    <w:rsid w:val="008B7A14"/>
    <w:rsid w:val="008B7B4C"/>
    <w:rsid w:val="008B7D70"/>
    <w:rsid w:val="008C05C8"/>
    <w:rsid w:val="008C0748"/>
    <w:rsid w:val="008C09FE"/>
    <w:rsid w:val="008C0A5C"/>
    <w:rsid w:val="008C0CC7"/>
    <w:rsid w:val="008C0F99"/>
    <w:rsid w:val="008C1086"/>
    <w:rsid w:val="008C1188"/>
    <w:rsid w:val="008C11B3"/>
    <w:rsid w:val="008C1263"/>
    <w:rsid w:val="008C12A8"/>
    <w:rsid w:val="008C1613"/>
    <w:rsid w:val="008C1620"/>
    <w:rsid w:val="008C1794"/>
    <w:rsid w:val="008C185A"/>
    <w:rsid w:val="008C18BA"/>
    <w:rsid w:val="008C1C6B"/>
    <w:rsid w:val="008C2148"/>
    <w:rsid w:val="008C22BD"/>
    <w:rsid w:val="008C28D7"/>
    <w:rsid w:val="008C2B28"/>
    <w:rsid w:val="008C2E3F"/>
    <w:rsid w:val="008C2E91"/>
    <w:rsid w:val="008C2EF8"/>
    <w:rsid w:val="008C316C"/>
    <w:rsid w:val="008C3431"/>
    <w:rsid w:val="008C36F4"/>
    <w:rsid w:val="008C3D08"/>
    <w:rsid w:val="008C3E31"/>
    <w:rsid w:val="008C40C2"/>
    <w:rsid w:val="008C40F0"/>
    <w:rsid w:val="008C4B4E"/>
    <w:rsid w:val="008C4DED"/>
    <w:rsid w:val="008C4EF0"/>
    <w:rsid w:val="008C505F"/>
    <w:rsid w:val="008C5441"/>
    <w:rsid w:val="008C559D"/>
    <w:rsid w:val="008C59AE"/>
    <w:rsid w:val="008C6237"/>
    <w:rsid w:val="008C75CA"/>
    <w:rsid w:val="008C75E4"/>
    <w:rsid w:val="008C760C"/>
    <w:rsid w:val="008C790D"/>
    <w:rsid w:val="008C7D2D"/>
    <w:rsid w:val="008C7D48"/>
    <w:rsid w:val="008C7D63"/>
    <w:rsid w:val="008D00A7"/>
    <w:rsid w:val="008D0230"/>
    <w:rsid w:val="008D0382"/>
    <w:rsid w:val="008D03C2"/>
    <w:rsid w:val="008D0583"/>
    <w:rsid w:val="008D082B"/>
    <w:rsid w:val="008D0E64"/>
    <w:rsid w:val="008D11E6"/>
    <w:rsid w:val="008D1231"/>
    <w:rsid w:val="008D16FC"/>
    <w:rsid w:val="008D1BF7"/>
    <w:rsid w:val="008D1C9A"/>
    <w:rsid w:val="008D20D5"/>
    <w:rsid w:val="008D23A7"/>
    <w:rsid w:val="008D2848"/>
    <w:rsid w:val="008D2E2D"/>
    <w:rsid w:val="008D3133"/>
    <w:rsid w:val="008D3CFB"/>
    <w:rsid w:val="008D3DA9"/>
    <w:rsid w:val="008D439D"/>
    <w:rsid w:val="008D445B"/>
    <w:rsid w:val="008D4546"/>
    <w:rsid w:val="008D47CF"/>
    <w:rsid w:val="008D49B0"/>
    <w:rsid w:val="008D4C9D"/>
    <w:rsid w:val="008D582F"/>
    <w:rsid w:val="008D5CAD"/>
    <w:rsid w:val="008D5E2A"/>
    <w:rsid w:val="008D5F5D"/>
    <w:rsid w:val="008D6B42"/>
    <w:rsid w:val="008D6DA2"/>
    <w:rsid w:val="008D7830"/>
    <w:rsid w:val="008D78A4"/>
    <w:rsid w:val="008D7AB6"/>
    <w:rsid w:val="008D7C2F"/>
    <w:rsid w:val="008D7CE0"/>
    <w:rsid w:val="008D7D2A"/>
    <w:rsid w:val="008D7E3F"/>
    <w:rsid w:val="008D7F71"/>
    <w:rsid w:val="008E0290"/>
    <w:rsid w:val="008E033C"/>
    <w:rsid w:val="008E04D9"/>
    <w:rsid w:val="008E0AEF"/>
    <w:rsid w:val="008E0D53"/>
    <w:rsid w:val="008E0D9F"/>
    <w:rsid w:val="008E1B9F"/>
    <w:rsid w:val="008E1BA1"/>
    <w:rsid w:val="008E1C77"/>
    <w:rsid w:val="008E1DB1"/>
    <w:rsid w:val="008E1FCE"/>
    <w:rsid w:val="008E21DF"/>
    <w:rsid w:val="008E231E"/>
    <w:rsid w:val="008E23F5"/>
    <w:rsid w:val="008E2730"/>
    <w:rsid w:val="008E2B9A"/>
    <w:rsid w:val="008E3521"/>
    <w:rsid w:val="008E384E"/>
    <w:rsid w:val="008E38EC"/>
    <w:rsid w:val="008E3907"/>
    <w:rsid w:val="008E3C2A"/>
    <w:rsid w:val="008E3ECA"/>
    <w:rsid w:val="008E4052"/>
    <w:rsid w:val="008E43CC"/>
    <w:rsid w:val="008E4421"/>
    <w:rsid w:val="008E490E"/>
    <w:rsid w:val="008E4AC5"/>
    <w:rsid w:val="008E4EEA"/>
    <w:rsid w:val="008E50FF"/>
    <w:rsid w:val="008E563E"/>
    <w:rsid w:val="008E5D5F"/>
    <w:rsid w:val="008E5DFD"/>
    <w:rsid w:val="008E62A6"/>
    <w:rsid w:val="008E67C7"/>
    <w:rsid w:val="008E6909"/>
    <w:rsid w:val="008E69D7"/>
    <w:rsid w:val="008E6B81"/>
    <w:rsid w:val="008E6DD1"/>
    <w:rsid w:val="008E7147"/>
    <w:rsid w:val="008E728C"/>
    <w:rsid w:val="008E79DF"/>
    <w:rsid w:val="008E7C99"/>
    <w:rsid w:val="008F0690"/>
    <w:rsid w:val="008F0982"/>
    <w:rsid w:val="008F0DA6"/>
    <w:rsid w:val="008F179A"/>
    <w:rsid w:val="008F29B2"/>
    <w:rsid w:val="008F2B09"/>
    <w:rsid w:val="008F303E"/>
    <w:rsid w:val="008F30AB"/>
    <w:rsid w:val="008F33DA"/>
    <w:rsid w:val="008F37D4"/>
    <w:rsid w:val="008F3A11"/>
    <w:rsid w:val="008F3F40"/>
    <w:rsid w:val="008F457E"/>
    <w:rsid w:val="008F49C4"/>
    <w:rsid w:val="008F4AF7"/>
    <w:rsid w:val="008F4BB1"/>
    <w:rsid w:val="008F4C29"/>
    <w:rsid w:val="008F4DCC"/>
    <w:rsid w:val="008F4E29"/>
    <w:rsid w:val="008F4F6B"/>
    <w:rsid w:val="008F5102"/>
    <w:rsid w:val="008F5159"/>
    <w:rsid w:val="008F5205"/>
    <w:rsid w:val="008F5214"/>
    <w:rsid w:val="008F5402"/>
    <w:rsid w:val="008F5762"/>
    <w:rsid w:val="008F5769"/>
    <w:rsid w:val="008F5F06"/>
    <w:rsid w:val="008F5FEA"/>
    <w:rsid w:val="008F615E"/>
    <w:rsid w:val="008F6401"/>
    <w:rsid w:val="008F670F"/>
    <w:rsid w:val="008F6D44"/>
    <w:rsid w:val="008F6D82"/>
    <w:rsid w:val="008F735E"/>
    <w:rsid w:val="008F74B5"/>
    <w:rsid w:val="008F74EB"/>
    <w:rsid w:val="008F79A7"/>
    <w:rsid w:val="008F7DE7"/>
    <w:rsid w:val="008F7FA5"/>
    <w:rsid w:val="0090005E"/>
    <w:rsid w:val="009000C9"/>
    <w:rsid w:val="0090024C"/>
    <w:rsid w:val="0090071E"/>
    <w:rsid w:val="00900EDF"/>
    <w:rsid w:val="0090116E"/>
    <w:rsid w:val="00901254"/>
    <w:rsid w:val="00901515"/>
    <w:rsid w:val="00902571"/>
    <w:rsid w:val="009027A3"/>
    <w:rsid w:val="00902A3E"/>
    <w:rsid w:val="00902B8D"/>
    <w:rsid w:val="00902BA4"/>
    <w:rsid w:val="00902EA3"/>
    <w:rsid w:val="00902F87"/>
    <w:rsid w:val="00902FEA"/>
    <w:rsid w:val="00903011"/>
    <w:rsid w:val="0090311C"/>
    <w:rsid w:val="00903362"/>
    <w:rsid w:val="0090369A"/>
    <w:rsid w:val="00903E6E"/>
    <w:rsid w:val="00903F51"/>
    <w:rsid w:val="00903F9E"/>
    <w:rsid w:val="00904856"/>
    <w:rsid w:val="00904A43"/>
    <w:rsid w:val="00904C32"/>
    <w:rsid w:val="00904DC8"/>
    <w:rsid w:val="0090509D"/>
    <w:rsid w:val="009050A0"/>
    <w:rsid w:val="00905801"/>
    <w:rsid w:val="00905941"/>
    <w:rsid w:val="00905DCD"/>
    <w:rsid w:val="009060D7"/>
    <w:rsid w:val="0090621E"/>
    <w:rsid w:val="0090693C"/>
    <w:rsid w:val="00906B2F"/>
    <w:rsid w:val="00906FF5"/>
    <w:rsid w:val="009075D7"/>
    <w:rsid w:val="00907A24"/>
    <w:rsid w:val="00907BAF"/>
    <w:rsid w:val="00910339"/>
    <w:rsid w:val="009103BD"/>
    <w:rsid w:val="00910679"/>
    <w:rsid w:val="00910C90"/>
    <w:rsid w:val="00910DE1"/>
    <w:rsid w:val="00910EBF"/>
    <w:rsid w:val="00911168"/>
    <w:rsid w:val="00911410"/>
    <w:rsid w:val="00911D86"/>
    <w:rsid w:val="009122A0"/>
    <w:rsid w:val="0091235C"/>
    <w:rsid w:val="0091247E"/>
    <w:rsid w:val="009125B6"/>
    <w:rsid w:val="00912607"/>
    <w:rsid w:val="0091284D"/>
    <w:rsid w:val="00912B3B"/>
    <w:rsid w:val="009130F1"/>
    <w:rsid w:val="00913218"/>
    <w:rsid w:val="009132FB"/>
    <w:rsid w:val="009136AB"/>
    <w:rsid w:val="00914174"/>
    <w:rsid w:val="009143D9"/>
    <w:rsid w:val="00914ED3"/>
    <w:rsid w:val="009155BC"/>
    <w:rsid w:val="0091566D"/>
    <w:rsid w:val="00915A5A"/>
    <w:rsid w:val="00915B07"/>
    <w:rsid w:val="00915BF5"/>
    <w:rsid w:val="00915CF4"/>
    <w:rsid w:val="00915EEF"/>
    <w:rsid w:val="00915F22"/>
    <w:rsid w:val="009164DF"/>
    <w:rsid w:val="009169F1"/>
    <w:rsid w:val="00916AD6"/>
    <w:rsid w:val="00916ED6"/>
    <w:rsid w:val="00916F8F"/>
    <w:rsid w:val="009170CF"/>
    <w:rsid w:val="00917597"/>
    <w:rsid w:val="0092048E"/>
    <w:rsid w:val="00920C84"/>
    <w:rsid w:val="009210AD"/>
    <w:rsid w:val="0092131E"/>
    <w:rsid w:val="009213F1"/>
    <w:rsid w:val="009214F5"/>
    <w:rsid w:val="0092197C"/>
    <w:rsid w:val="00921A19"/>
    <w:rsid w:val="00921CB0"/>
    <w:rsid w:val="00922088"/>
    <w:rsid w:val="0092217F"/>
    <w:rsid w:val="009221EC"/>
    <w:rsid w:val="009223AB"/>
    <w:rsid w:val="00922605"/>
    <w:rsid w:val="00922617"/>
    <w:rsid w:val="00922696"/>
    <w:rsid w:val="009226D2"/>
    <w:rsid w:val="0092295A"/>
    <w:rsid w:val="00922C76"/>
    <w:rsid w:val="00922CF5"/>
    <w:rsid w:val="00922D34"/>
    <w:rsid w:val="009231C3"/>
    <w:rsid w:val="00923313"/>
    <w:rsid w:val="00923341"/>
    <w:rsid w:val="009236B1"/>
    <w:rsid w:val="00923753"/>
    <w:rsid w:val="0092398C"/>
    <w:rsid w:val="00924640"/>
    <w:rsid w:val="00924D26"/>
    <w:rsid w:val="00924F80"/>
    <w:rsid w:val="00925388"/>
    <w:rsid w:val="0092564D"/>
    <w:rsid w:val="0092567C"/>
    <w:rsid w:val="00925BFD"/>
    <w:rsid w:val="009263AB"/>
    <w:rsid w:val="00926898"/>
    <w:rsid w:val="00926AA2"/>
    <w:rsid w:val="00926F17"/>
    <w:rsid w:val="00926F6C"/>
    <w:rsid w:val="00927322"/>
    <w:rsid w:val="0092752A"/>
    <w:rsid w:val="009276B0"/>
    <w:rsid w:val="00927D23"/>
    <w:rsid w:val="00927D38"/>
    <w:rsid w:val="00927FB3"/>
    <w:rsid w:val="00930485"/>
    <w:rsid w:val="00930A6A"/>
    <w:rsid w:val="00930C88"/>
    <w:rsid w:val="009313E7"/>
    <w:rsid w:val="009314F5"/>
    <w:rsid w:val="0093175E"/>
    <w:rsid w:val="00931941"/>
    <w:rsid w:val="00931E05"/>
    <w:rsid w:val="009325FF"/>
    <w:rsid w:val="00932D20"/>
    <w:rsid w:val="00932FEA"/>
    <w:rsid w:val="00933344"/>
    <w:rsid w:val="0093365A"/>
    <w:rsid w:val="009337C4"/>
    <w:rsid w:val="0093411B"/>
    <w:rsid w:val="00934264"/>
    <w:rsid w:val="00934634"/>
    <w:rsid w:val="00934A46"/>
    <w:rsid w:val="00934DCA"/>
    <w:rsid w:val="009354F3"/>
    <w:rsid w:val="0093561B"/>
    <w:rsid w:val="009356F6"/>
    <w:rsid w:val="0093572D"/>
    <w:rsid w:val="009358B1"/>
    <w:rsid w:val="0093600C"/>
    <w:rsid w:val="00936519"/>
    <w:rsid w:val="00936715"/>
    <w:rsid w:val="0093698F"/>
    <w:rsid w:val="00936B30"/>
    <w:rsid w:val="00936FE5"/>
    <w:rsid w:val="0093732F"/>
    <w:rsid w:val="00937C14"/>
    <w:rsid w:val="00937D49"/>
    <w:rsid w:val="00937F1F"/>
    <w:rsid w:val="00940A4D"/>
    <w:rsid w:val="00940C17"/>
    <w:rsid w:val="00940C61"/>
    <w:rsid w:val="00940FC4"/>
    <w:rsid w:val="00941068"/>
    <w:rsid w:val="00941609"/>
    <w:rsid w:val="00941C0C"/>
    <w:rsid w:val="00941C98"/>
    <w:rsid w:val="00941DE9"/>
    <w:rsid w:val="00941DF4"/>
    <w:rsid w:val="0094238A"/>
    <w:rsid w:val="009423AF"/>
    <w:rsid w:val="00942931"/>
    <w:rsid w:val="00943415"/>
    <w:rsid w:val="00943F91"/>
    <w:rsid w:val="009440D3"/>
    <w:rsid w:val="009441C6"/>
    <w:rsid w:val="009442F6"/>
    <w:rsid w:val="009444EF"/>
    <w:rsid w:val="0094451D"/>
    <w:rsid w:val="0094459A"/>
    <w:rsid w:val="009445F2"/>
    <w:rsid w:val="0094496D"/>
    <w:rsid w:val="00944EB0"/>
    <w:rsid w:val="00944EC0"/>
    <w:rsid w:val="0094563A"/>
    <w:rsid w:val="0094597E"/>
    <w:rsid w:val="00945AA4"/>
    <w:rsid w:val="00945F22"/>
    <w:rsid w:val="00946086"/>
    <w:rsid w:val="009460F8"/>
    <w:rsid w:val="00946180"/>
    <w:rsid w:val="00946357"/>
    <w:rsid w:val="00946648"/>
    <w:rsid w:val="0094690A"/>
    <w:rsid w:val="0094691B"/>
    <w:rsid w:val="00946A89"/>
    <w:rsid w:val="00947134"/>
    <w:rsid w:val="009475B5"/>
    <w:rsid w:val="009479C8"/>
    <w:rsid w:val="00947A38"/>
    <w:rsid w:val="00947B05"/>
    <w:rsid w:val="00950023"/>
    <w:rsid w:val="00950524"/>
    <w:rsid w:val="0095082E"/>
    <w:rsid w:val="00950937"/>
    <w:rsid w:val="00950A01"/>
    <w:rsid w:val="00950EEE"/>
    <w:rsid w:val="0095164F"/>
    <w:rsid w:val="00951BA7"/>
    <w:rsid w:val="00951F23"/>
    <w:rsid w:val="00951FEE"/>
    <w:rsid w:val="009520D1"/>
    <w:rsid w:val="0095211A"/>
    <w:rsid w:val="009523D1"/>
    <w:rsid w:val="00952846"/>
    <w:rsid w:val="009528BE"/>
    <w:rsid w:val="00953140"/>
    <w:rsid w:val="009531CF"/>
    <w:rsid w:val="009532E8"/>
    <w:rsid w:val="0095340B"/>
    <w:rsid w:val="009535EF"/>
    <w:rsid w:val="00954BDD"/>
    <w:rsid w:val="00955059"/>
    <w:rsid w:val="00955335"/>
    <w:rsid w:val="00955376"/>
    <w:rsid w:val="00955445"/>
    <w:rsid w:val="009556A4"/>
    <w:rsid w:val="00955700"/>
    <w:rsid w:val="00955AC8"/>
    <w:rsid w:val="00955C92"/>
    <w:rsid w:val="00955E54"/>
    <w:rsid w:val="00955ED8"/>
    <w:rsid w:val="00955FC0"/>
    <w:rsid w:val="00956A07"/>
    <w:rsid w:val="00956B99"/>
    <w:rsid w:val="00956FF9"/>
    <w:rsid w:val="00957044"/>
    <w:rsid w:val="0095707A"/>
    <w:rsid w:val="009571FF"/>
    <w:rsid w:val="00957B4F"/>
    <w:rsid w:val="00957CC7"/>
    <w:rsid w:val="009604DC"/>
    <w:rsid w:val="009605A5"/>
    <w:rsid w:val="009606DD"/>
    <w:rsid w:val="009608DD"/>
    <w:rsid w:val="00960EE8"/>
    <w:rsid w:val="009616B0"/>
    <w:rsid w:val="00961710"/>
    <w:rsid w:val="0096172D"/>
    <w:rsid w:val="009617BA"/>
    <w:rsid w:val="009618F9"/>
    <w:rsid w:val="00961942"/>
    <w:rsid w:val="00961AA1"/>
    <w:rsid w:val="00961C4E"/>
    <w:rsid w:val="00961D8C"/>
    <w:rsid w:val="00961E5C"/>
    <w:rsid w:val="00962327"/>
    <w:rsid w:val="00962416"/>
    <w:rsid w:val="00962C24"/>
    <w:rsid w:val="00963091"/>
    <w:rsid w:val="009630CA"/>
    <w:rsid w:val="00963247"/>
    <w:rsid w:val="00963942"/>
    <w:rsid w:val="00963EA9"/>
    <w:rsid w:val="00963ECE"/>
    <w:rsid w:val="00964129"/>
    <w:rsid w:val="009647BC"/>
    <w:rsid w:val="00964EA3"/>
    <w:rsid w:val="00964F4B"/>
    <w:rsid w:val="009651A4"/>
    <w:rsid w:val="009652C4"/>
    <w:rsid w:val="0096567C"/>
    <w:rsid w:val="00965840"/>
    <w:rsid w:val="009658A6"/>
    <w:rsid w:val="009659E0"/>
    <w:rsid w:val="009659FE"/>
    <w:rsid w:val="00965B68"/>
    <w:rsid w:val="00965E72"/>
    <w:rsid w:val="00965E7F"/>
    <w:rsid w:val="0096601D"/>
    <w:rsid w:val="009663BE"/>
    <w:rsid w:val="00966628"/>
    <w:rsid w:val="009668B6"/>
    <w:rsid w:val="00966BB4"/>
    <w:rsid w:val="00966E8C"/>
    <w:rsid w:val="009678CA"/>
    <w:rsid w:val="00967915"/>
    <w:rsid w:val="00967A3E"/>
    <w:rsid w:val="00967C16"/>
    <w:rsid w:val="00970167"/>
    <w:rsid w:val="009703BC"/>
    <w:rsid w:val="009707C7"/>
    <w:rsid w:val="00970DEA"/>
    <w:rsid w:val="00971301"/>
    <w:rsid w:val="0097131E"/>
    <w:rsid w:val="00971559"/>
    <w:rsid w:val="009717BF"/>
    <w:rsid w:val="009719CE"/>
    <w:rsid w:val="00971A04"/>
    <w:rsid w:val="00971AD4"/>
    <w:rsid w:val="00971B93"/>
    <w:rsid w:val="00971C67"/>
    <w:rsid w:val="00971DAE"/>
    <w:rsid w:val="009720D9"/>
    <w:rsid w:val="00972188"/>
    <w:rsid w:val="00972394"/>
    <w:rsid w:val="00972944"/>
    <w:rsid w:val="00972A4F"/>
    <w:rsid w:val="0097372E"/>
    <w:rsid w:val="00973B4B"/>
    <w:rsid w:val="00973C23"/>
    <w:rsid w:val="00973E9E"/>
    <w:rsid w:val="00974852"/>
    <w:rsid w:val="00974A4D"/>
    <w:rsid w:val="00974E1F"/>
    <w:rsid w:val="00974F5D"/>
    <w:rsid w:val="00975145"/>
    <w:rsid w:val="00975258"/>
    <w:rsid w:val="00975791"/>
    <w:rsid w:val="0097580D"/>
    <w:rsid w:val="00975C24"/>
    <w:rsid w:val="00975CD0"/>
    <w:rsid w:val="00975D66"/>
    <w:rsid w:val="00975F19"/>
    <w:rsid w:val="00976058"/>
    <w:rsid w:val="00976285"/>
    <w:rsid w:val="009762EC"/>
    <w:rsid w:val="009769B7"/>
    <w:rsid w:val="00976DFD"/>
    <w:rsid w:val="00977235"/>
    <w:rsid w:val="009772A0"/>
    <w:rsid w:val="00977434"/>
    <w:rsid w:val="00977D5F"/>
    <w:rsid w:val="00980587"/>
    <w:rsid w:val="00981018"/>
    <w:rsid w:val="0098117D"/>
    <w:rsid w:val="00981480"/>
    <w:rsid w:val="00981783"/>
    <w:rsid w:val="00981A83"/>
    <w:rsid w:val="00982155"/>
    <w:rsid w:val="0098247D"/>
    <w:rsid w:val="00982576"/>
    <w:rsid w:val="009827A3"/>
    <w:rsid w:val="009827B1"/>
    <w:rsid w:val="0098286A"/>
    <w:rsid w:val="00982BFA"/>
    <w:rsid w:val="00983043"/>
    <w:rsid w:val="009830F2"/>
    <w:rsid w:val="009831F4"/>
    <w:rsid w:val="00983716"/>
    <w:rsid w:val="00983717"/>
    <w:rsid w:val="00983796"/>
    <w:rsid w:val="009839CA"/>
    <w:rsid w:val="00984139"/>
    <w:rsid w:val="009841CE"/>
    <w:rsid w:val="0098427E"/>
    <w:rsid w:val="009842A7"/>
    <w:rsid w:val="009844CF"/>
    <w:rsid w:val="0098451A"/>
    <w:rsid w:val="00984897"/>
    <w:rsid w:val="00984A4C"/>
    <w:rsid w:val="00984BC7"/>
    <w:rsid w:val="00985178"/>
    <w:rsid w:val="009853BC"/>
    <w:rsid w:val="009854B0"/>
    <w:rsid w:val="00985CC5"/>
    <w:rsid w:val="00985E6C"/>
    <w:rsid w:val="00986329"/>
    <w:rsid w:val="00986476"/>
    <w:rsid w:val="009867F0"/>
    <w:rsid w:val="00986943"/>
    <w:rsid w:val="00986A22"/>
    <w:rsid w:val="00986B99"/>
    <w:rsid w:val="00986BEE"/>
    <w:rsid w:val="00986C21"/>
    <w:rsid w:val="00987173"/>
    <w:rsid w:val="00987438"/>
    <w:rsid w:val="0098752C"/>
    <w:rsid w:val="0098767D"/>
    <w:rsid w:val="00987BCC"/>
    <w:rsid w:val="00987D82"/>
    <w:rsid w:val="00990139"/>
    <w:rsid w:val="00990419"/>
    <w:rsid w:val="009909D3"/>
    <w:rsid w:val="00990DD1"/>
    <w:rsid w:val="0099127D"/>
    <w:rsid w:val="00991346"/>
    <w:rsid w:val="00991713"/>
    <w:rsid w:val="00991848"/>
    <w:rsid w:val="00991EBB"/>
    <w:rsid w:val="00992110"/>
    <w:rsid w:val="0099247A"/>
    <w:rsid w:val="009926E7"/>
    <w:rsid w:val="00992E91"/>
    <w:rsid w:val="00992F4E"/>
    <w:rsid w:val="009930E6"/>
    <w:rsid w:val="00993157"/>
    <w:rsid w:val="00993795"/>
    <w:rsid w:val="00993B78"/>
    <w:rsid w:val="009940E9"/>
    <w:rsid w:val="00994201"/>
    <w:rsid w:val="009943A9"/>
    <w:rsid w:val="009943E6"/>
    <w:rsid w:val="00994B8E"/>
    <w:rsid w:val="00994B97"/>
    <w:rsid w:val="00994EA3"/>
    <w:rsid w:val="00995373"/>
    <w:rsid w:val="0099557D"/>
    <w:rsid w:val="00995604"/>
    <w:rsid w:val="00995977"/>
    <w:rsid w:val="0099611C"/>
    <w:rsid w:val="00996948"/>
    <w:rsid w:val="00997026"/>
    <w:rsid w:val="0099706C"/>
    <w:rsid w:val="00997222"/>
    <w:rsid w:val="00997A75"/>
    <w:rsid w:val="00997C77"/>
    <w:rsid w:val="00997EF5"/>
    <w:rsid w:val="00997F7C"/>
    <w:rsid w:val="009A0052"/>
    <w:rsid w:val="009A042B"/>
    <w:rsid w:val="009A051C"/>
    <w:rsid w:val="009A052A"/>
    <w:rsid w:val="009A0C95"/>
    <w:rsid w:val="009A0E30"/>
    <w:rsid w:val="009A0FEF"/>
    <w:rsid w:val="009A13B4"/>
    <w:rsid w:val="009A1580"/>
    <w:rsid w:val="009A166C"/>
    <w:rsid w:val="009A1693"/>
    <w:rsid w:val="009A1921"/>
    <w:rsid w:val="009A1A1B"/>
    <w:rsid w:val="009A1B03"/>
    <w:rsid w:val="009A1C69"/>
    <w:rsid w:val="009A1F2C"/>
    <w:rsid w:val="009A26AB"/>
    <w:rsid w:val="009A26C2"/>
    <w:rsid w:val="009A2B89"/>
    <w:rsid w:val="009A2DC7"/>
    <w:rsid w:val="009A31F8"/>
    <w:rsid w:val="009A32A5"/>
    <w:rsid w:val="009A32C7"/>
    <w:rsid w:val="009A330F"/>
    <w:rsid w:val="009A339A"/>
    <w:rsid w:val="009A35BF"/>
    <w:rsid w:val="009A36ED"/>
    <w:rsid w:val="009A3789"/>
    <w:rsid w:val="009A3AB7"/>
    <w:rsid w:val="009A40C6"/>
    <w:rsid w:val="009A47D7"/>
    <w:rsid w:val="009A49C7"/>
    <w:rsid w:val="009A49DE"/>
    <w:rsid w:val="009A5004"/>
    <w:rsid w:val="009A50B0"/>
    <w:rsid w:val="009A50B7"/>
    <w:rsid w:val="009A52AF"/>
    <w:rsid w:val="009A52B1"/>
    <w:rsid w:val="009A5418"/>
    <w:rsid w:val="009A55EB"/>
    <w:rsid w:val="009A569A"/>
    <w:rsid w:val="009A59C8"/>
    <w:rsid w:val="009A5BA1"/>
    <w:rsid w:val="009A5C53"/>
    <w:rsid w:val="009A5DE2"/>
    <w:rsid w:val="009A6026"/>
    <w:rsid w:val="009A633F"/>
    <w:rsid w:val="009A6A77"/>
    <w:rsid w:val="009A6B4F"/>
    <w:rsid w:val="009A7083"/>
    <w:rsid w:val="009A7196"/>
    <w:rsid w:val="009A75D9"/>
    <w:rsid w:val="009A77B6"/>
    <w:rsid w:val="009A7A9A"/>
    <w:rsid w:val="009A7CE8"/>
    <w:rsid w:val="009B08D9"/>
    <w:rsid w:val="009B0A7A"/>
    <w:rsid w:val="009B0C7B"/>
    <w:rsid w:val="009B0E5C"/>
    <w:rsid w:val="009B1631"/>
    <w:rsid w:val="009B1881"/>
    <w:rsid w:val="009B192E"/>
    <w:rsid w:val="009B1A00"/>
    <w:rsid w:val="009B22B6"/>
    <w:rsid w:val="009B2497"/>
    <w:rsid w:val="009B273B"/>
    <w:rsid w:val="009B3009"/>
    <w:rsid w:val="009B3098"/>
    <w:rsid w:val="009B3114"/>
    <w:rsid w:val="009B318D"/>
    <w:rsid w:val="009B35C6"/>
    <w:rsid w:val="009B3CD0"/>
    <w:rsid w:val="009B3DBF"/>
    <w:rsid w:val="009B3E91"/>
    <w:rsid w:val="009B42F5"/>
    <w:rsid w:val="009B452A"/>
    <w:rsid w:val="009B463B"/>
    <w:rsid w:val="009B471C"/>
    <w:rsid w:val="009B4A1A"/>
    <w:rsid w:val="009B4F93"/>
    <w:rsid w:val="009B502D"/>
    <w:rsid w:val="009B5545"/>
    <w:rsid w:val="009B56D3"/>
    <w:rsid w:val="009B58DF"/>
    <w:rsid w:val="009B5C0C"/>
    <w:rsid w:val="009B6296"/>
    <w:rsid w:val="009B6300"/>
    <w:rsid w:val="009B6611"/>
    <w:rsid w:val="009B6CF1"/>
    <w:rsid w:val="009B6E47"/>
    <w:rsid w:val="009B75FA"/>
    <w:rsid w:val="009B7628"/>
    <w:rsid w:val="009B7704"/>
    <w:rsid w:val="009B7826"/>
    <w:rsid w:val="009B7AF2"/>
    <w:rsid w:val="009B7E20"/>
    <w:rsid w:val="009B7FC2"/>
    <w:rsid w:val="009C0525"/>
    <w:rsid w:val="009C090D"/>
    <w:rsid w:val="009C09B0"/>
    <w:rsid w:val="009C0BF4"/>
    <w:rsid w:val="009C0DE6"/>
    <w:rsid w:val="009C141C"/>
    <w:rsid w:val="009C1501"/>
    <w:rsid w:val="009C1564"/>
    <w:rsid w:val="009C15DA"/>
    <w:rsid w:val="009C17B2"/>
    <w:rsid w:val="009C1AFD"/>
    <w:rsid w:val="009C1FE7"/>
    <w:rsid w:val="009C2177"/>
    <w:rsid w:val="009C24EE"/>
    <w:rsid w:val="009C25FE"/>
    <w:rsid w:val="009C2ABF"/>
    <w:rsid w:val="009C2B0B"/>
    <w:rsid w:val="009C2D9F"/>
    <w:rsid w:val="009C30FE"/>
    <w:rsid w:val="009C3450"/>
    <w:rsid w:val="009C37A5"/>
    <w:rsid w:val="009C38F6"/>
    <w:rsid w:val="009C4067"/>
    <w:rsid w:val="009C492C"/>
    <w:rsid w:val="009C4BF8"/>
    <w:rsid w:val="009C4C0C"/>
    <w:rsid w:val="009C4E53"/>
    <w:rsid w:val="009C514F"/>
    <w:rsid w:val="009C51F1"/>
    <w:rsid w:val="009C522F"/>
    <w:rsid w:val="009C5524"/>
    <w:rsid w:val="009C55F6"/>
    <w:rsid w:val="009C58DF"/>
    <w:rsid w:val="009C5B8F"/>
    <w:rsid w:val="009C625B"/>
    <w:rsid w:val="009C6677"/>
    <w:rsid w:val="009C688F"/>
    <w:rsid w:val="009C755E"/>
    <w:rsid w:val="009C7616"/>
    <w:rsid w:val="009C792B"/>
    <w:rsid w:val="009C7DB0"/>
    <w:rsid w:val="009D00E7"/>
    <w:rsid w:val="009D016B"/>
    <w:rsid w:val="009D044A"/>
    <w:rsid w:val="009D051C"/>
    <w:rsid w:val="009D06C7"/>
    <w:rsid w:val="009D0831"/>
    <w:rsid w:val="009D0A6C"/>
    <w:rsid w:val="009D0FEF"/>
    <w:rsid w:val="009D101F"/>
    <w:rsid w:val="009D12A7"/>
    <w:rsid w:val="009D1614"/>
    <w:rsid w:val="009D1761"/>
    <w:rsid w:val="009D18E7"/>
    <w:rsid w:val="009D1B81"/>
    <w:rsid w:val="009D1C1E"/>
    <w:rsid w:val="009D1E1C"/>
    <w:rsid w:val="009D245B"/>
    <w:rsid w:val="009D25E6"/>
    <w:rsid w:val="009D2CA8"/>
    <w:rsid w:val="009D34C0"/>
    <w:rsid w:val="009D34F2"/>
    <w:rsid w:val="009D3C95"/>
    <w:rsid w:val="009D3F6F"/>
    <w:rsid w:val="009D42F5"/>
    <w:rsid w:val="009D443E"/>
    <w:rsid w:val="009D47C0"/>
    <w:rsid w:val="009D4874"/>
    <w:rsid w:val="009D4D6F"/>
    <w:rsid w:val="009D5523"/>
    <w:rsid w:val="009D56E7"/>
    <w:rsid w:val="009D591B"/>
    <w:rsid w:val="009D5FE4"/>
    <w:rsid w:val="009D6030"/>
    <w:rsid w:val="009D696B"/>
    <w:rsid w:val="009D6A26"/>
    <w:rsid w:val="009D6D7E"/>
    <w:rsid w:val="009D6F93"/>
    <w:rsid w:val="009D714F"/>
    <w:rsid w:val="009D717B"/>
    <w:rsid w:val="009D75B6"/>
    <w:rsid w:val="009D7765"/>
    <w:rsid w:val="009E0C3F"/>
    <w:rsid w:val="009E0D5A"/>
    <w:rsid w:val="009E19B3"/>
    <w:rsid w:val="009E1C8D"/>
    <w:rsid w:val="009E1CD3"/>
    <w:rsid w:val="009E1D88"/>
    <w:rsid w:val="009E2AF7"/>
    <w:rsid w:val="009E2FE3"/>
    <w:rsid w:val="009E3206"/>
    <w:rsid w:val="009E32A2"/>
    <w:rsid w:val="009E3761"/>
    <w:rsid w:val="009E3A04"/>
    <w:rsid w:val="009E3FBB"/>
    <w:rsid w:val="009E4090"/>
    <w:rsid w:val="009E4291"/>
    <w:rsid w:val="009E49E0"/>
    <w:rsid w:val="009E4E20"/>
    <w:rsid w:val="009E5827"/>
    <w:rsid w:val="009E5846"/>
    <w:rsid w:val="009E5920"/>
    <w:rsid w:val="009E59AD"/>
    <w:rsid w:val="009E635E"/>
    <w:rsid w:val="009E69ED"/>
    <w:rsid w:val="009E6A61"/>
    <w:rsid w:val="009E6BA8"/>
    <w:rsid w:val="009E6D44"/>
    <w:rsid w:val="009E7097"/>
    <w:rsid w:val="009E7415"/>
    <w:rsid w:val="009E7630"/>
    <w:rsid w:val="009E7714"/>
    <w:rsid w:val="009E7A90"/>
    <w:rsid w:val="009E7B4E"/>
    <w:rsid w:val="009E7C6E"/>
    <w:rsid w:val="009F00F7"/>
    <w:rsid w:val="009F0306"/>
    <w:rsid w:val="009F0642"/>
    <w:rsid w:val="009F084B"/>
    <w:rsid w:val="009F0B9C"/>
    <w:rsid w:val="009F1013"/>
    <w:rsid w:val="009F1581"/>
    <w:rsid w:val="009F1733"/>
    <w:rsid w:val="009F1825"/>
    <w:rsid w:val="009F1C63"/>
    <w:rsid w:val="009F1D03"/>
    <w:rsid w:val="009F1E0F"/>
    <w:rsid w:val="009F1E9D"/>
    <w:rsid w:val="009F2098"/>
    <w:rsid w:val="009F22F8"/>
    <w:rsid w:val="009F25BA"/>
    <w:rsid w:val="009F2953"/>
    <w:rsid w:val="009F2B10"/>
    <w:rsid w:val="009F3CBB"/>
    <w:rsid w:val="009F3E28"/>
    <w:rsid w:val="009F4209"/>
    <w:rsid w:val="009F4776"/>
    <w:rsid w:val="009F4781"/>
    <w:rsid w:val="009F4A3F"/>
    <w:rsid w:val="009F4B8A"/>
    <w:rsid w:val="009F4D4B"/>
    <w:rsid w:val="009F4FF2"/>
    <w:rsid w:val="009F5180"/>
    <w:rsid w:val="009F5309"/>
    <w:rsid w:val="009F6577"/>
    <w:rsid w:val="009F6F9F"/>
    <w:rsid w:val="009F72F6"/>
    <w:rsid w:val="009F77A8"/>
    <w:rsid w:val="009F7978"/>
    <w:rsid w:val="009F79F1"/>
    <w:rsid w:val="009F7CBE"/>
    <w:rsid w:val="009F7DD7"/>
    <w:rsid w:val="009F7F1F"/>
    <w:rsid w:val="00A0086F"/>
    <w:rsid w:val="00A008A5"/>
    <w:rsid w:val="00A00A15"/>
    <w:rsid w:val="00A00A8E"/>
    <w:rsid w:val="00A00DA7"/>
    <w:rsid w:val="00A012FA"/>
    <w:rsid w:val="00A01505"/>
    <w:rsid w:val="00A01EE2"/>
    <w:rsid w:val="00A021B8"/>
    <w:rsid w:val="00A024CA"/>
    <w:rsid w:val="00A02851"/>
    <w:rsid w:val="00A028BF"/>
    <w:rsid w:val="00A029A0"/>
    <w:rsid w:val="00A02B2B"/>
    <w:rsid w:val="00A03010"/>
    <w:rsid w:val="00A030AE"/>
    <w:rsid w:val="00A03237"/>
    <w:rsid w:val="00A033B0"/>
    <w:rsid w:val="00A034FA"/>
    <w:rsid w:val="00A03551"/>
    <w:rsid w:val="00A035DD"/>
    <w:rsid w:val="00A03C01"/>
    <w:rsid w:val="00A03CE7"/>
    <w:rsid w:val="00A03FFA"/>
    <w:rsid w:val="00A04B56"/>
    <w:rsid w:val="00A0504F"/>
    <w:rsid w:val="00A05446"/>
    <w:rsid w:val="00A054D1"/>
    <w:rsid w:val="00A0559F"/>
    <w:rsid w:val="00A05C3F"/>
    <w:rsid w:val="00A05D6C"/>
    <w:rsid w:val="00A06129"/>
    <w:rsid w:val="00A062BA"/>
    <w:rsid w:val="00A0721A"/>
    <w:rsid w:val="00A07325"/>
    <w:rsid w:val="00A07579"/>
    <w:rsid w:val="00A07686"/>
    <w:rsid w:val="00A07B86"/>
    <w:rsid w:val="00A07DED"/>
    <w:rsid w:val="00A07F80"/>
    <w:rsid w:val="00A100AF"/>
    <w:rsid w:val="00A10314"/>
    <w:rsid w:val="00A10338"/>
    <w:rsid w:val="00A10878"/>
    <w:rsid w:val="00A109C3"/>
    <w:rsid w:val="00A10A3E"/>
    <w:rsid w:val="00A10E0A"/>
    <w:rsid w:val="00A10F69"/>
    <w:rsid w:val="00A117D1"/>
    <w:rsid w:val="00A127D8"/>
    <w:rsid w:val="00A12897"/>
    <w:rsid w:val="00A12CBB"/>
    <w:rsid w:val="00A13055"/>
    <w:rsid w:val="00A1330B"/>
    <w:rsid w:val="00A1335D"/>
    <w:rsid w:val="00A136E4"/>
    <w:rsid w:val="00A14017"/>
    <w:rsid w:val="00A142CB"/>
    <w:rsid w:val="00A14C78"/>
    <w:rsid w:val="00A14C8F"/>
    <w:rsid w:val="00A14EFF"/>
    <w:rsid w:val="00A1519C"/>
    <w:rsid w:val="00A1526B"/>
    <w:rsid w:val="00A1540A"/>
    <w:rsid w:val="00A156EE"/>
    <w:rsid w:val="00A15B6D"/>
    <w:rsid w:val="00A15BFC"/>
    <w:rsid w:val="00A15F00"/>
    <w:rsid w:val="00A15F7A"/>
    <w:rsid w:val="00A16493"/>
    <w:rsid w:val="00A166FD"/>
    <w:rsid w:val="00A168EC"/>
    <w:rsid w:val="00A1693D"/>
    <w:rsid w:val="00A16990"/>
    <w:rsid w:val="00A16C09"/>
    <w:rsid w:val="00A16DDE"/>
    <w:rsid w:val="00A176B9"/>
    <w:rsid w:val="00A178B8"/>
    <w:rsid w:val="00A20309"/>
    <w:rsid w:val="00A203F5"/>
    <w:rsid w:val="00A20657"/>
    <w:rsid w:val="00A20823"/>
    <w:rsid w:val="00A20AC2"/>
    <w:rsid w:val="00A20BB1"/>
    <w:rsid w:val="00A20DA9"/>
    <w:rsid w:val="00A20F9A"/>
    <w:rsid w:val="00A21380"/>
    <w:rsid w:val="00A21797"/>
    <w:rsid w:val="00A219A9"/>
    <w:rsid w:val="00A21FC9"/>
    <w:rsid w:val="00A220A1"/>
    <w:rsid w:val="00A221AE"/>
    <w:rsid w:val="00A226BC"/>
    <w:rsid w:val="00A22932"/>
    <w:rsid w:val="00A22AD7"/>
    <w:rsid w:val="00A23333"/>
    <w:rsid w:val="00A234B3"/>
    <w:rsid w:val="00A2372E"/>
    <w:rsid w:val="00A239DA"/>
    <w:rsid w:val="00A23A69"/>
    <w:rsid w:val="00A23D61"/>
    <w:rsid w:val="00A23D8F"/>
    <w:rsid w:val="00A2404C"/>
    <w:rsid w:val="00A2483C"/>
    <w:rsid w:val="00A24A0B"/>
    <w:rsid w:val="00A25573"/>
    <w:rsid w:val="00A258B9"/>
    <w:rsid w:val="00A25BE8"/>
    <w:rsid w:val="00A25E36"/>
    <w:rsid w:val="00A26025"/>
    <w:rsid w:val="00A2650B"/>
    <w:rsid w:val="00A26566"/>
    <w:rsid w:val="00A26964"/>
    <w:rsid w:val="00A26BDD"/>
    <w:rsid w:val="00A26C42"/>
    <w:rsid w:val="00A27040"/>
    <w:rsid w:val="00A27317"/>
    <w:rsid w:val="00A276D4"/>
    <w:rsid w:val="00A2784A"/>
    <w:rsid w:val="00A27EE0"/>
    <w:rsid w:val="00A300B8"/>
    <w:rsid w:val="00A3090F"/>
    <w:rsid w:val="00A30D77"/>
    <w:rsid w:val="00A30FF8"/>
    <w:rsid w:val="00A31605"/>
    <w:rsid w:val="00A31A75"/>
    <w:rsid w:val="00A31E07"/>
    <w:rsid w:val="00A321E6"/>
    <w:rsid w:val="00A32BF5"/>
    <w:rsid w:val="00A32D07"/>
    <w:rsid w:val="00A32D3B"/>
    <w:rsid w:val="00A32FDF"/>
    <w:rsid w:val="00A33000"/>
    <w:rsid w:val="00A33350"/>
    <w:rsid w:val="00A33636"/>
    <w:rsid w:val="00A3385D"/>
    <w:rsid w:val="00A33A13"/>
    <w:rsid w:val="00A33A2A"/>
    <w:rsid w:val="00A33C37"/>
    <w:rsid w:val="00A33C64"/>
    <w:rsid w:val="00A3406D"/>
    <w:rsid w:val="00A3416E"/>
    <w:rsid w:val="00A34560"/>
    <w:rsid w:val="00A34904"/>
    <w:rsid w:val="00A34C98"/>
    <w:rsid w:val="00A34D62"/>
    <w:rsid w:val="00A353FD"/>
    <w:rsid w:val="00A3542C"/>
    <w:rsid w:val="00A354BA"/>
    <w:rsid w:val="00A35CCB"/>
    <w:rsid w:val="00A35CD1"/>
    <w:rsid w:val="00A35F35"/>
    <w:rsid w:val="00A364EF"/>
    <w:rsid w:val="00A36745"/>
    <w:rsid w:val="00A36762"/>
    <w:rsid w:val="00A3684E"/>
    <w:rsid w:val="00A36BFF"/>
    <w:rsid w:val="00A37113"/>
    <w:rsid w:val="00A3712A"/>
    <w:rsid w:val="00A3746A"/>
    <w:rsid w:val="00A3754E"/>
    <w:rsid w:val="00A37682"/>
    <w:rsid w:val="00A37A73"/>
    <w:rsid w:val="00A37A74"/>
    <w:rsid w:val="00A37E5C"/>
    <w:rsid w:val="00A4096B"/>
    <w:rsid w:val="00A409E0"/>
    <w:rsid w:val="00A40A89"/>
    <w:rsid w:val="00A40DF0"/>
    <w:rsid w:val="00A40EC2"/>
    <w:rsid w:val="00A40F13"/>
    <w:rsid w:val="00A40F19"/>
    <w:rsid w:val="00A40F8B"/>
    <w:rsid w:val="00A411A4"/>
    <w:rsid w:val="00A4164B"/>
    <w:rsid w:val="00A4265B"/>
    <w:rsid w:val="00A42746"/>
    <w:rsid w:val="00A42B4F"/>
    <w:rsid w:val="00A42E44"/>
    <w:rsid w:val="00A42EFE"/>
    <w:rsid w:val="00A438AC"/>
    <w:rsid w:val="00A43A7E"/>
    <w:rsid w:val="00A43B5A"/>
    <w:rsid w:val="00A43EEF"/>
    <w:rsid w:val="00A43F7B"/>
    <w:rsid w:val="00A441F3"/>
    <w:rsid w:val="00A44C84"/>
    <w:rsid w:val="00A45123"/>
    <w:rsid w:val="00A45667"/>
    <w:rsid w:val="00A4568C"/>
    <w:rsid w:val="00A456B7"/>
    <w:rsid w:val="00A459B1"/>
    <w:rsid w:val="00A4643B"/>
    <w:rsid w:val="00A46624"/>
    <w:rsid w:val="00A4674D"/>
    <w:rsid w:val="00A46B5D"/>
    <w:rsid w:val="00A46BC9"/>
    <w:rsid w:val="00A476BF"/>
    <w:rsid w:val="00A47803"/>
    <w:rsid w:val="00A47ADB"/>
    <w:rsid w:val="00A47E14"/>
    <w:rsid w:val="00A502E4"/>
    <w:rsid w:val="00A506BA"/>
    <w:rsid w:val="00A50ADC"/>
    <w:rsid w:val="00A51113"/>
    <w:rsid w:val="00A5139E"/>
    <w:rsid w:val="00A514B5"/>
    <w:rsid w:val="00A517D2"/>
    <w:rsid w:val="00A51DD4"/>
    <w:rsid w:val="00A51EE8"/>
    <w:rsid w:val="00A51F97"/>
    <w:rsid w:val="00A5213B"/>
    <w:rsid w:val="00A521C9"/>
    <w:rsid w:val="00A52656"/>
    <w:rsid w:val="00A5266C"/>
    <w:rsid w:val="00A5273D"/>
    <w:rsid w:val="00A527BE"/>
    <w:rsid w:val="00A52893"/>
    <w:rsid w:val="00A52A5B"/>
    <w:rsid w:val="00A52B42"/>
    <w:rsid w:val="00A5322D"/>
    <w:rsid w:val="00A53261"/>
    <w:rsid w:val="00A532C3"/>
    <w:rsid w:val="00A53479"/>
    <w:rsid w:val="00A535C9"/>
    <w:rsid w:val="00A537E2"/>
    <w:rsid w:val="00A53800"/>
    <w:rsid w:val="00A53BDC"/>
    <w:rsid w:val="00A53C69"/>
    <w:rsid w:val="00A544F3"/>
    <w:rsid w:val="00A545E2"/>
    <w:rsid w:val="00A54E4D"/>
    <w:rsid w:val="00A55039"/>
    <w:rsid w:val="00A55135"/>
    <w:rsid w:val="00A55362"/>
    <w:rsid w:val="00A55411"/>
    <w:rsid w:val="00A554F9"/>
    <w:rsid w:val="00A55B0E"/>
    <w:rsid w:val="00A55C74"/>
    <w:rsid w:val="00A55DC1"/>
    <w:rsid w:val="00A567BB"/>
    <w:rsid w:val="00A56825"/>
    <w:rsid w:val="00A570B3"/>
    <w:rsid w:val="00A570BA"/>
    <w:rsid w:val="00A57449"/>
    <w:rsid w:val="00A5744D"/>
    <w:rsid w:val="00A5776D"/>
    <w:rsid w:val="00A57963"/>
    <w:rsid w:val="00A579F4"/>
    <w:rsid w:val="00A57DD9"/>
    <w:rsid w:val="00A57E2C"/>
    <w:rsid w:val="00A605F4"/>
    <w:rsid w:val="00A60A54"/>
    <w:rsid w:val="00A60C89"/>
    <w:rsid w:val="00A60D53"/>
    <w:rsid w:val="00A610BC"/>
    <w:rsid w:val="00A6144B"/>
    <w:rsid w:val="00A619A3"/>
    <w:rsid w:val="00A62048"/>
    <w:rsid w:val="00A6264D"/>
    <w:rsid w:val="00A6294F"/>
    <w:rsid w:val="00A6340A"/>
    <w:rsid w:val="00A636FD"/>
    <w:rsid w:val="00A6374B"/>
    <w:rsid w:val="00A639D0"/>
    <w:rsid w:val="00A63AD2"/>
    <w:rsid w:val="00A63D88"/>
    <w:rsid w:val="00A6400D"/>
    <w:rsid w:val="00A641F5"/>
    <w:rsid w:val="00A64336"/>
    <w:rsid w:val="00A64B95"/>
    <w:rsid w:val="00A64EDF"/>
    <w:rsid w:val="00A653CC"/>
    <w:rsid w:val="00A6543F"/>
    <w:rsid w:val="00A65443"/>
    <w:rsid w:val="00A65904"/>
    <w:rsid w:val="00A65BC3"/>
    <w:rsid w:val="00A65C94"/>
    <w:rsid w:val="00A65D2E"/>
    <w:rsid w:val="00A65DA2"/>
    <w:rsid w:val="00A65F57"/>
    <w:rsid w:val="00A66207"/>
    <w:rsid w:val="00A663A4"/>
    <w:rsid w:val="00A6642B"/>
    <w:rsid w:val="00A66AA9"/>
    <w:rsid w:val="00A66CB9"/>
    <w:rsid w:val="00A66E92"/>
    <w:rsid w:val="00A66FAE"/>
    <w:rsid w:val="00A673C4"/>
    <w:rsid w:val="00A67A2A"/>
    <w:rsid w:val="00A67CD8"/>
    <w:rsid w:val="00A67EC9"/>
    <w:rsid w:val="00A700D1"/>
    <w:rsid w:val="00A7083A"/>
    <w:rsid w:val="00A70CD5"/>
    <w:rsid w:val="00A71078"/>
    <w:rsid w:val="00A711F9"/>
    <w:rsid w:val="00A713A8"/>
    <w:rsid w:val="00A717B2"/>
    <w:rsid w:val="00A719E2"/>
    <w:rsid w:val="00A71B8D"/>
    <w:rsid w:val="00A71E1E"/>
    <w:rsid w:val="00A71FD0"/>
    <w:rsid w:val="00A7247D"/>
    <w:rsid w:val="00A727AA"/>
    <w:rsid w:val="00A72890"/>
    <w:rsid w:val="00A729E9"/>
    <w:rsid w:val="00A72AE7"/>
    <w:rsid w:val="00A72FA0"/>
    <w:rsid w:val="00A73030"/>
    <w:rsid w:val="00A731B6"/>
    <w:rsid w:val="00A73263"/>
    <w:rsid w:val="00A734B1"/>
    <w:rsid w:val="00A73543"/>
    <w:rsid w:val="00A7395C"/>
    <w:rsid w:val="00A73D1A"/>
    <w:rsid w:val="00A740A4"/>
    <w:rsid w:val="00A74233"/>
    <w:rsid w:val="00A74310"/>
    <w:rsid w:val="00A74426"/>
    <w:rsid w:val="00A7449D"/>
    <w:rsid w:val="00A745AB"/>
    <w:rsid w:val="00A7486C"/>
    <w:rsid w:val="00A748D6"/>
    <w:rsid w:val="00A749CF"/>
    <w:rsid w:val="00A74C6D"/>
    <w:rsid w:val="00A7507E"/>
    <w:rsid w:val="00A750AD"/>
    <w:rsid w:val="00A751B3"/>
    <w:rsid w:val="00A75D23"/>
    <w:rsid w:val="00A760DA"/>
    <w:rsid w:val="00A76477"/>
    <w:rsid w:val="00A769F1"/>
    <w:rsid w:val="00A76B69"/>
    <w:rsid w:val="00A76BC5"/>
    <w:rsid w:val="00A76C79"/>
    <w:rsid w:val="00A76D57"/>
    <w:rsid w:val="00A76F5B"/>
    <w:rsid w:val="00A77117"/>
    <w:rsid w:val="00A771AA"/>
    <w:rsid w:val="00A774F9"/>
    <w:rsid w:val="00A7760A"/>
    <w:rsid w:val="00A77B88"/>
    <w:rsid w:val="00A802F4"/>
    <w:rsid w:val="00A8030B"/>
    <w:rsid w:val="00A80450"/>
    <w:rsid w:val="00A806DE"/>
    <w:rsid w:val="00A8079C"/>
    <w:rsid w:val="00A80DB3"/>
    <w:rsid w:val="00A80F0F"/>
    <w:rsid w:val="00A815F2"/>
    <w:rsid w:val="00A81817"/>
    <w:rsid w:val="00A81821"/>
    <w:rsid w:val="00A819DD"/>
    <w:rsid w:val="00A81B65"/>
    <w:rsid w:val="00A81C79"/>
    <w:rsid w:val="00A81E28"/>
    <w:rsid w:val="00A82234"/>
    <w:rsid w:val="00A82299"/>
    <w:rsid w:val="00A824F0"/>
    <w:rsid w:val="00A82562"/>
    <w:rsid w:val="00A825A8"/>
    <w:rsid w:val="00A82FAD"/>
    <w:rsid w:val="00A83068"/>
    <w:rsid w:val="00A83245"/>
    <w:rsid w:val="00A832BF"/>
    <w:rsid w:val="00A83513"/>
    <w:rsid w:val="00A836D2"/>
    <w:rsid w:val="00A83AD1"/>
    <w:rsid w:val="00A83C11"/>
    <w:rsid w:val="00A83D33"/>
    <w:rsid w:val="00A84111"/>
    <w:rsid w:val="00A842F1"/>
    <w:rsid w:val="00A845A1"/>
    <w:rsid w:val="00A84B8E"/>
    <w:rsid w:val="00A84C74"/>
    <w:rsid w:val="00A84E6F"/>
    <w:rsid w:val="00A856A8"/>
    <w:rsid w:val="00A85D15"/>
    <w:rsid w:val="00A86CD1"/>
    <w:rsid w:val="00A86DD6"/>
    <w:rsid w:val="00A86E0D"/>
    <w:rsid w:val="00A86F80"/>
    <w:rsid w:val="00A87920"/>
    <w:rsid w:val="00A879AA"/>
    <w:rsid w:val="00A879FE"/>
    <w:rsid w:val="00A87AD3"/>
    <w:rsid w:val="00A87B2D"/>
    <w:rsid w:val="00A87B8A"/>
    <w:rsid w:val="00A87C72"/>
    <w:rsid w:val="00A900E7"/>
    <w:rsid w:val="00A90449"/>
    <w:rsid w:val="00A908FF"/>
    <w:rsid w:val="00A90ABB"/>
    <w:rsid w:val="00A90E05"/>
    <w:rsid w:val="00A915A0"/>
    <w:rsid w:val="00A91659"/>
    <w:rsid w:val="00A9185A"/>
    <w:rsid w:val="00A91F1D"/>
    <w:rsid w:val="00A9208A"/>
    <w:rsid w:val="00A920FE"/>
    <w:rsid w:val="00A92884"/>
    <w:rsid w:val="00A92C9E"/>
    <w:rsid w:val="00A92FBC"/>
    <w:rsid w:val="00A935C5"/>
    <w:rsid w:val="00A93840"/>
    <w:rsid w:val="00A93A08"/>
    <w:rsid w:val="00A93C0E"/>
    <w:rsid w:val="00A93EB9"/>
    <w:rsid w:val="00A94186"/>
    <w:rsid w:val="00A94B60"/>
    <w:rsid w:val="00A94D47"/>
    <w:rsid w:val="00A94DB4"/>
    <w:rsid w:val="00A952B4"/>
    <w:rsid w:val="00A9538D"/>
    <w:rsid w:val="00A95401"/>
    <w:rsid w:val="00A9586E"/>
    <w:rsid w:val="00A95F57"/>
    <w:rsid w:val="00A96088"/>
    <w:rsid w:val="00A9610C"/>
    <w:rsid w:val="00A9643D"/>
    <w:rsid w:val="00A96497"/>
    <w:rsid w:val="00A96DDC"/>
    <w:rsid w:val="00A96EAC"/>
    <w:rsid w:val="00A96EF1"/>
    <w:rsid w:val="00A96FD5"/>
    <w:rsid w:val="00A978C4"/>
    <w:rsid w:val="00A97A3A"/>
    <w:rsid w:val="00A97E6E"/>
    <w:rsid w:val="00A97FA8"/>
    <w:rsid w:val="00AA085A"/>
    <w:rsid w:val="00AA1219"/>
    <w:rsid w:val="00AA13F6"/>
    <w:rsid w:val="00AA1B4F"/>
    <w:rsid w:val="00AA1F83"/>
    <w:rsid w:val="00AA2273"/>
    <w:rsid w:val="00AA26FC"/>
    <w:rsid w:val="00AA2E05"/>
    <w:rsid w:val="00AA37F3"/>
    <w:rsid w:val="00AA38EF"/>
    <w:rsid w:val="00AA39D6"/>
    <w:rsid w:val="00AA3C51"/>
    <w:rsid w:val="00AA3C78"/>
    <w:rsid w:val="00AA3D8D"/>
    <w:rsid w:val="00AA4382"/>
    <w:rsid w:val="00AA4863"/>
    <w:rsid w:val="00AA5087"/>
    <w:rsid w:val="00AA5A14"/>
    <w:rsid w:val="00AA5D68"/>
    <w:rsid w:val="00AA5EE6"/>
    <w:rsid w:val="00AA6112"/>
    <w:rsid w:val="00AA67F3"/>
    <w:rsid w:val="00AA6886"/>
    <w:rsid w:val="00AA6956"/>
    <w:rsid w:val="00AA6C72"/>
    <w:rsid w:val="00AA6E60"/>
    <w:rsid w:val="00AA7079"/>
    <w:rsid w:val="00AA73A9"/>
    <w:rsid w:val="00AA759D"/>
    <w:rsid w:val="00AA75B8"/>
    <w:rsid w:val="00AA7995"/>
    <w:rsid w:val="00AA799C"/>
    <w:rsid w:val="00AA7EBB"/>
    <w:rsid w:val="00AB010F"/>
    <w:rsid w:val="00AB01A8"/>
    <w:rsid w:val="00AB05BF"/>
    <w:rsid w:val="00AB06FD"/>
    <w:rsid w:val="00AB0BA5"/>
    <w:rsid w:val="00AB0CE3"/>
    <w:rsid w:val="00AB1208"/>
    <w:rsid w:val="00AB1331"/>
    <w:rsid w:val="00AB133C"/>
    <w:rsid w:val="00AB209F"/>
    <w:rsid w:val="00AB258B"/>
    <w:rsid w:val="00AB38D4"/>
    <w:rsid w:val="00AB3947"/>
    <w:rsid w:val="00AB3960"/>
    <w:rsid w:val="00AB39D6"/>
    <w:rsid w:val="00AB3B24"/>
    <w:rsid w:val="00AB3BC3"/>
    <w:rsid w:val="00AB3C04"/>
    <w:rsid w:val="00AB3EA2"/>
    <w:rsid w:val="00AB3FC1"/>
    <w:rsid w:val="00AB41D6"/>
    <w:rsid w:val="00AB4FCC"/>
    <w:rsid w:val="00AB4FE6"/>
    <w:rsid w:val="00AB5680"/>
    <w:rsid w:val="00AB6DC5"/>
    <w:rsid w:val="00AB7E5F"/>
    <w:rsid w:val="00AB7F02"/>
    <w:rsid w:val="00AC0059"/>
    <w:rsid w:val="00AC02D4"/>
    <w:rsid w:val="00AC05EF"/>
    <w:rsid w:val="00AC0721"/>
    <w:rsid w:val="00AC097D"/>
    <w:rsid w:val="00AC0B1C"/>
    <w:rsid w:val="00AC122C"/>
    <w:rsid w:val="00AC152E"/>
    <w:rsid w:val="00AC1771"/>
    <w:rsid w:val="00AC19CD"/>
    <w:rsid w:val="00AC1ACC"/>
    <w:rsid w:val="00AC1BE7"/>
    <w:rsid w:val="00AC1F22"/>
    <w:rsid w:val="00AC21C7"/>
    <w:rsid w:val="00AC224C"/>
    <w:rsid w:val="00AC25A3"/>
    <w:rsid w:val="00AC2689"/>
    <w:rsid w:val="00AC286D"/>
    <w:rsid w:val="00AC2E13"/>
    <w:rsid w:val="00AC2E51"/>
    <w:rsid w:val="00AC35E7"/>
    <w:rsid w:val="00AC3648"/>
    <w:rsid w:val="00AC3770"/>
    <w:rsid w:val="00AC38A0"/>
    <w:rsid w:val="00AC39B2"/>
    <w:rsid w:val="00AC39EB"/>
    <w:rsid w:val="00AC3BE7"/>
    <w:rsid w:val="00AC3CDF"/>
    <w:rsid w:val="00AC3F53"/>
    <w:rsid w:val="00AC4A17"/>
    <w:rsid w:val="00AC4AEE"/>
    <w:rsid w:val="00AC4DB5"/>
    <w:rsid w:val="00AC4DC4"/>
    <w:rsid w:val="00AC4F9C"/>
    <w:rsid w:val="00AC4FDE"/>
    <w:rsid w:val="00AC5BA9"/>
    <w:rsid w:val="00AC5C33"/>
    <w:rsid w:val="00AC5E42"/>
    <w:rsid w:val="00AC5F75"/>
    <w:rsid w:val="00AC605D"/>
    <w:rsid w:val="00AC61BB"/>
    <w:rsid w:val="00AC66AE"/>
    <w:rsid w:val="00AC6C34"/>
    <w:rsid w:val="00AC6DA7"/>
    <w:rsid w:val="00AC7226"/>
    <w:rsid w:val="00AC72F0"/>
    <w:rsid w:val="00AC749F"/>
    <w:rsid w:val="00AC756B"/>
    <w:rsid w:val="00AC79EA"/>
    <w:rsid w:val="00AD00D2"/>
    <w:rsid w:val="00AD0DEA"/>
    <w:rsid w:val="00AD0EE9"/>
    <w:rsid w:val="00AD17A8"/>
    <w:rsid w:val="00AD2009"/>
    <w:rsid w:val="00AD2031"/>
    <w:rsid w:val="00AD243B"/>
    <w:rsid w:val="00AD25DC"/>
    <w:rsid w:val="00AD30AF"/>
    <w:rsid w:val="00AD3520"/>
    <w:rsid w:val="00AD3604"/>
    <w:rsid w:val="00AD3823"/>
    <w:rsid w:val="00AD384C"/>
    <w:rsid w:val="00AD3C81"/>
    <w:rsid w:val="00AD4637"/>
    <w:rsid w:val="00AD4CFF"/>
    <w:rsid w:val="00AD4D2F"/>
    <w:rsid w:val="00AD4E6C"/>
    <w:rsid w:val="00AD4E98"/>
    <w:rsid w:val="00AD4F2A"/>
    <w:rsid w:val="00AD5146"/>
    <w:rsid w:val="00AD5F63"/>
    <w:rsid w:val="00AD60C4"/>
    <w:rsid w:val="00AD6270"/>
    <w:rsid w:val="00AD669A"/>
    <w:rsid w:val="00AD6828"/>
    <w:rsid w:val="00AD7068"/>
    <w:rsid w:val="00AD73C0"/>
    <w:rsid w:val="00AD76DA"/>
    <w:rsid w:val="00AD775F"/>
    <w:rsid w:val="00AD78BB"/>
    <w:rsid w:val="00AE0069"/>
    <w:rsid w:val="00AE08F6"/>
    <w:rsid w:val="00AE0E89"/>
    <w:rsid w:val="00AE12F5"/>
    <w:rsid w:val="00AE15A8"/>
    <w:rsid w:val="00AE18DE"/>
    <w:rsid w:val="00AE1A3C"/>
    <w:rsid w:val="00AE1DC1"/>
    <w:rsid w:val="00AE1F3B"/>
    <w:rsid w:val="00AE2202"/>
    <w:rsid w:val="00AE2712"/>
    <w:rsid w:val="00AE2BE4"/>
    <w:rsid w:val="00AE2DE0"/>
    <w:rsid w:val="00AE308F"/>
    <w:rsid w:val="00AE338C"/>
    <w:rsid w:val="00AE3544"/>
    <w:rsid w:val="00AE39F7"/>
    <w:rsid w:val="00AE3AFA"/>
    <w:rsid w:val="00AE3F1E"/>
    <w:rsid w:val="00AE45E7"/>
    <w:rsid w:val="00AE46D9"/>
    <w:rsid w:val="00AE4FB9"/>
    <w:rsid w:val="00AE546E"/>
    <w:rsid w:val="00AE6569"/>
    <w:rsid w:val="00AE66DE"/>
    <w:rsid w:val="00AE7A81"/>
    <w:rsid w:val="00AE7D26"/>
    <w:rsid w:val="00AE7F10"/>
    <w:rsid w:val="00AF05C2"/>
    <w:rsid w:val="00AF05F2"/>
    <w:rsid w:val="00AF085A"/>
    <w:rsid w:val="00AF0A8D"/>
    <w:rsid w:val="00AF0B0F"/>
    <w:rsid w:val="00AF1B6D"/>
    <w:rsid w:val="00AF2301"/>
    <w:rsid w:val="00AF23CB"/>
    <w:rsid w:val="00AF2466"/>
    <w:rsid w:val="00AF2610"/>
    <w:rsid w:val="00AF30B7"/>
    <w:rsid w:val="00AF3673"/>
    <w:rsid w:val="00AF3B0F"/>
    <w:rsid w:val="00AF3BF9"/>
    <w:rsid w:val="00AF3F0A"/>
    <w:rsid w:val="00AF4241"/>
    <w:rsid w:val="00AF47BB"/>
    <w:rsid w:val="00AF4C3A"/>
    <w:rsid w:val="00AF4DA3"/>
    <w:rsid w:val="00AF531A"/>
    <w:rsid w:val="00AF6361"/>
    <w:rsid w:val="00AF64A5"/>
    <w:rsid w:val="00AF663B"/>
    <w:rsid w:val="00AF68EC"/>
    <w:rsid w:val="00AF6E55"/>
    <w:rsid w:val="00AF6EDC"/>
    <w:rsid w:val="00AF7F49"/>
    <w:rsid w:val="00B001C5"/>
    <w:rsid w:val="00B001FD"/>
    <w:rsid w:val="00B007D4"/>
    <w:rsid w:val="00B00801"/>
    <w:rsid w:val="00B00AF9"/>
    <w:rsid w:val="00B00EB7"/>
    <w:rsid w:val="00B0158A"/>
    <w:rsid w:val="00B01845"/>
    <w:rsid w:val="00B019A0"/>
    <w:rsid w:val="00B01CB1"/>
    <w:rsid w:val="00B01DAD"/>
    <w:rsid w:val="00B02121"/>
    <w:rsid w:val="00B021A3"/>
    <w:rsid w:val="00B02696"/>
    <w:rsid w:val="00B02F77"/>
    <w:rsid w:val="00B02F85"/>
    <w:rsid w:val="00B03135"/>
    <w:rsid w:val="00B03596"/>
    <w:rsid w:val="00B0367C"/>
    <w:rsid w:val="00B03AA9"/>
    <w:rsid w:val="00B03E43"/>
    <w:rsid w:val="00B043A5"/>
    <w:rsid w:val="00B045BF"/>
    <w:rsid w:val="00B047FD"/>
    <w:rsid w:val="00B04A26"/>
    <w:rsid w:val="00B04A40"/>
    <w:rsid w:val="00B0507A"/>
    <w:rsid w:val="00B05272"/>
    <w:rsid w:val="00B05A5F"/>
    <w:rsid w:val="00B05BF5"/>
    <w:rsid w:val="00B05CE6"/>
    <w:rsid w:val="00B05EDC"/>
    <w:rsid w:val="00B06011"/>
    <w:rsid w:val="00B0601B"/>
    <w:rsid w:val="00B06734"/>
    <w:rsid w:val="00B06792"/>
    <w:rsid w:val="00B06A15"/>
    <w:rsid w:val="00B06B2C"/>
    <w:rsid w:val="00B06CDB"/>
    <w:rsid w:val="00B06F6F"/>
    <w:rsid w:val="00B0715E"/>
    <w:rsid w:val="00B07F67"/>
    <w:rsid w:val="00B07FD0"/>
    <w:rsid w:val="00B10026"/>
    <w:rsid w:val="00B100FD"/>
    <w:rsid w:val="00B1014C"/>
    <w:rsid w:val="00B101A3"/>
    <w:rsid w:val="00B10EF5"/>
    <w:rsid w:val="00B11165"/>
    <w:rsid w:val="00B1186E"/>
    <w:rsid w:val="00B12276"/>
    <w:rsid w:val="00B12344"/>
    <w:rsid w:val="00B1314F"/>
    <w:rsid w:val="00B13B4B"/>
    <w:rsid w:val="00B13C3E"/>
    <w:rsid w:val="00B13CB4"/>
    <w:rsid w:val="00B1421C"/>
    <w:rsid w:val="00B14422"/>
    <w:rsid w:val="00B144C4"/>
    <w:rsid w:val="00B1453D"/>
    <w:rsid w:val="00B1483A"/>
    <w:rsid w:val="00B14917"/>
    <w:rsid w:val="00B156B2"/>
    <w:rsid w:val="00B15D23"/>
    <w:rsid w:val="00B162E4"/>
    <w:rsid w:val="00B162F8"/>
    <w:rsid w:val="00B165DC"/>
    <w:rsid w:val="00B166F0"/>
    <w:rsid w:val="00B16A1F"/>
    <w:rsid w:val="00B16B76"/>
    <w:rsid w:val="00B16CA1"/>
    <w:rsid w:val="00B17099"/>
    <w:rsid w:val="00B17457"/>
    <w:rsid w:val="00B1757E"/>
    <w:rsid w:val="00B177E8"/>
    <w:rsid w:val="00B178E5"/>
    <w:rsid w:val="00B179C1"/>
    <w:rsid w:val="00B17C11"/>
    <w:rsid w:val="00B17C61"/>
    <w:rsid w:val="00B17C6A"/>
    <w:rsid w:val="00B17F3C"/>
    <w:rsid w:val="00B200DD"/>
    <w:rsid w:val="00B208A8"/>
    <w:rsid w:val="00B20C20"/>
    <w:rsid w:val="00B2118B"/>
    <w:rsid w:val="00B21FFF"/>
    <w:rsid w:val="00B22322"/>
    <w:rsid w:val="00B22392"/>
    <w:rsid w:val="00B22A37"/>
    <w:rsid w:val="00B23860"/>
    <w:rsid w:val="00B23A8C"/>
    <w:rsid w:val="00B23C5A"/>
    <w:rsid w:val="00B2404A"/>
    <w:rsid w:val="00B248C4"/>
    <w:rsid w:val="00B24972"/>
    <w:rsid w:val="00B24CB0"/>
    <w:rsid w:val="00B24CC7"/>
    <w:rsid w:val="00B24F83"/>
    <w:rsid w:val="00B250D6"/>
    <w:rsid w:val="00B25656"/>
    <w:rsid w:val="00B2588D"/>
    <w:rsid w:val="00B25BD9"/>
    <w:rsid w:val="00B26ED1"/>
    <w:rsid w:val="00B27139"/>
    <w:rsid w:val="00B274D4"/>
    <w:rsid w:val="00B27A3D"/>
    <w:rsid w:val="00B27ADC"/>
    <w:rsid w:val="00B27DF6"/>
    <w:rsid w:val="00B27EE5"/>
    <w:rsid w:val="00B307FC"/>
    <w:rsid w:val="00B30935"/>
    <w:rsid w:val="00B309E2"/>
    <w:rsid w:val="00B30BFB"/>
    <w:rsid w:val="00B30DBC"/>
    <w:rsid w:val="00B30DD5"/>
    <w:rsid w:val="00B3127E"/>
    <w:rsid w:val="00B31587"/>
    <w:rsid w:val="00B3190D"/>
    <w:rsid w:val="00B31932"/>
    <w:rsid w:val="00B32A2C"/>
    <w:rsid w:val="00B32CE4"/>
    <w:rsid w:val="00B32E5D"/>
    <w:rsid w:val="00B3312F"/>
    <w:rsid w:val="00B3328B"/>
    <w:rsid w:val="00B339D5"/>
    <w:rsid w:val="00B33FE0"/>
    <w:rsid w:val="00B34215"/>
    <w:rsid w:val="00B34469"/>
    <w:rsid w:val="00B34EBC"/>
    <w:rsid w:val="00B352E9"/>
    <w:rsid w:val="00B3555F"/>
    <w:rsid w:val="00B355AD"/>
    <w:rsid w:val="00B3573F"/>
    <w:rsid w:val="00B3614E"/>
    <w:rsid w:val="00B361D3"/>
    <w:rsid w:val="00B36360"/>
    <w:rsid w:val="00B3669B"/>
    <w:rsid w:val="00B366D8"/>
    <w:rsid w:val="00B368EB"/>
    <w:rsid w:val="00B36A75"/>
    <w:rsid w:val="00B36C1C"/>
    <w:rsid w:val="00B37070"/>
    <w:rsid w:val="00B372E5"/>
    <w:rsid w:val="00B3787B"/>
    <w:rsid w:val="00B3789F"/>
    <w:rsid w:val="00B378D4"/>
    <w:rsid w:val="00B37917"/>
    <w:rsid w:val="00B37ADF"/>
    <w:rsid w:val="00B37E15"/>
    <w:rsid w:val="00B404DF"/>
    <w:rsid w:val="00B407F5"/>
    <w:rsid w:val="00B408F2"/>
    <w:rsid w:val="00B40CF2"/>
    <w:rsid w:val="00B40D71"/>
    <w:rsid w:val="00B4168D"/>
    <w:rsid w:val="00B41ED1"/>
    <w:rsid w:val="00B420FC"/>
    <w:rsid w:val="00B423EE"/>
    <w:rsid w:val="00B4274C"/>
    <w:rsid w:val="00B4279B"/>
    <w:rsid w:val="00B42D67"/>
    <w:rsid w:val="00B42DFF"/>
    <w:rsid w:val="00B43440"/>
    <w:rsid w:val="00B4407A"/>
    <w:rsid w:val="00B442DD"/>
    <w:rsid w:val="00B4436E"/>
    <w:rsid w:val="00B444FB"/>
    <w:rsid w:val="00B4463E"/>
    <w:rsid w:val="00B44713"/>
    <w:rsid w:val="00B45734"/>
    <w:rsid w:val="00B45B06"/>
    <w:rsid w:val="00B45EE0"/>
    <w:rsid w:val="00B46170"/>
    <w:rsid w:val="00B46A6C"/>
    <w:rsid w:val="00B46C9B"/>
    <w:rsid w:val="00B46D80"/>
    <w:rsid w:val="00B47031"/>
    <w:rsid w:val="00B47092"/>
    <w:rsid w:val="00B471F0"/>
    <w:rsid w:val="00B476F7"/>
    <w:rsid w:val="00B4797A"/>
    <w:rsid w:val="00B47A57"/>
    <w:rsid w:val="00B47F7A"/>
    <w:rsid w:val="00B503AF"/>
    <w:rsid w:val="00B5058C"/>
    <w:rsid w:val="00B506C1"/>
    <w:rsid w:val="00B50889"/>
    <w:rsid w:val="00B50A30"/>
    <w:rsid w:val="00B512B2"/>
    <w:rsid w:val="00B513E9"/>
    <w:rsid w:val="00B51420"/>
    <w:rsid w:val="00B51A63"/>
    <w:rsid w:val="00B5201B"/>
    <w:rsid w:val="00B52238"/>
    <w:rsid w:val="00B5269C"/>
    <w:rsid w:val="00B52757"/>
    <w:rsid w:val="00B5284D"/>
    <w:rsid w:val="00B5295C"/>
    <w:rsid w:val="00B52AD1"/>
    <w:rsid w:val="00B52B24"/>
    <w:rsid w:val="00B53AC6"/>
    <w:rsid w:val="00B53B5F"/>
    <w:rsid w:val="00B541AC"/>
    <w:rsid w:val="00B544FC"/>
    <w:rsid w:val="00B54867"/>
    <w:rsid w:val="00B54924"/>
    <w:rsid w:val="00B54967"/>
    <w:rsid w:val="00B54FA3"/>
    <w:rsid w:val="00B55074"/>
    <w:rsid w:val="00B55234"/>
    <w:rsid w:val="00B55852"/>
    <w:rsid w:val="00B55A76"/>
    <w:rsid w:val="00B55BAE"/>
    <w:rsid w:val="00B55EF3"/>
    <w:rsid w:val="00B55F9B"/>
    <w:rsid w:val="00B564B2"/>
    <w:rsid w:val="00B56664"/>
    <w:rsid w:val="00B56A44"/>
    <w:rsid w:val="00B56DCC"/>
    <w:rsid w:val="00B5703A"/>
    <w:rsid w:val="00B57660"/>
    <w:rsid w:val="00B57D2B"/>
    <w:rsid w:val="00B57FFD"/>
    <w:rsid w:val="00B601D2"/>
    <w:rsid w:val="00B60549"/>
    <w:rsid w:val="00B6076B"/>
    <w:rsid w:val="00B60C5D"/>
    <w:rsid w:val="00B60E4C"/>
    <w:rsid w:val="00B60F6F"/>
    <w:rsid w:val="00B610C9"/>
    <w:rsid w:val="00B610CE"/>
    <w:rsid w:val="00B611D9"/>
    <w:rsid w:val="00B61B23"/>
    <w:rsid w:val="00B61E32"/>
    <w:rsid w:val="00B62737"/>
    <w:rsid w:val="00B62A39"/>
    <w:rsid w:val="00B62C76"/>
    <w:rsid w:val="00B62CA5"/>
    <w:rsid w:val="00B63085"/>
    <w:rsid w:val="00B6313E"/>
    <w:rsid w:val="00B639A2"/>
    <w:rsid w:val="00B63C3A"/>
    <w:rsid w:val="00B64320"/>
    <w:rsid w:val="00B64A0D"/>
    <w:rsid w:val="00B64CD6"/>
    <w:rsid w:val="00B64DD7"/>
    <w:rsid w:val="00B651DB"/>
    <w:rsid w:val="00B652EE"/>
    <w:rsid w:val="00B653C8"/>
    <w:rsid w:val="00B6598A"/>
    <w:rsid w:val="00B65CD8"/>
    <w:rsid w:val="00B66161"/>
    <w:rsid w:val="00B6622E"/>
    <w:rsid w:val="00B662E0"/>
    <w:rsid w:val="00B66369"/>
    <w:rsid w:val="00B66A64"/>
    <w:rsid w:val="00B66F02"/>
    <w:rsid w:val="00B66F43"/>
    <w:rsid w:val="00B66FEB"/>
    <w:rsid w:val="00B67091"/>
    <w:rsid w:val="00B67560"/>
    <w:rsid w:val="00B67DB9"/>
    <w:rsid w:val="00B67FC4"/>
    <w:rsid w:val="00B70044"/>
    <w:rsid w:val="00B7014A"/>
    <w:rsid w:val="00B707D8"/>
    <w:rsid w:val="00B70993"/>
    <w:rsid w:val="00B70A53"/>
    <w:rsid w:val="00B70A65"/>
    <w:rsid w:val="00B70D06"/>
    <w:rsid w:val="00B70D48"/>
    <w:rsid w:val="00B70D74"/>
    <w:rsid w:val="00B70F6C"/>
    <w:rsid w:val="00B710CC"/>
    <w:rsid w:val="00B7130A"/>
    <w:rsid w:val="00B71379"/>
    <w:rsid w:val="00B7156F"/>
    <w:rsid w:val="00B71588"/>
    <w:rsid w:val="00B71CC4"/>
    <w:rsid w:val="00B71ED0"/>
    <w:rsid w:val="00B71EEF"/>
    <w:rsid w:val="00B71F55"/>
    <w:rsid w:val="00B71F70"/>
    <w:rsid w:val="00B7206B"/>
    <w:rsid w:val="00B72143"/>
    <w:rsid w:val="00B72285"/>
    <w:rsid w:val="00B72748"/>
    <w:rsid w:val="00B72C82"/>
    <w:rsid w:val="00B73050"/>
    <w:rsid w:val="00B734E4"/>
    <w:rsid w:val="00B73905"/>
    <w:rsid w:val="00B73AE7"/>
    <w:rsid w:val="00B73E56"/>
    <w:rsid w:val="00B73EC5"/>
    <w:rsid w:val="00B73F2F"/>
    <w:rsid w:val="00B74331"/>
    <w:rsid w:val="00B74509"/>
    <w:rsid w:val="00B7475B"/>
    <w:rsid w:val="00B74ECB"/>
    <w:rsid w:val="00B74ED6"/>
    <w:rsid w:val="00B754C3"/>
    <w:rsid w:val="00B75547"/>
    <w:rsid w:val="00B76030"/>
    <w:rsid w:val="00B76152"/>
    <w:rsid w:val="00B76399"/>
    <w:rsid w:val="00B76434"/>
    <w:rsid w:val="00B76617"/>
    <w:rsid w:val="00B76908"/>
    <w:rsid w:val="00B76A5D"/>
    <w:rsid w:val="00B76BF6"/>
    <w:rsid w:val="00B76C19"/>
    <w:rsid w:val="00B76C81"/>
    <w:rsid w:val="00B76CAC"/>
    <w:rsid w:val="00B76E0D"/>
    <w:rsid w:val="00B76FCD"/>
    <w:rsid w:val="00B770F0"/>
    <w:rsid w:val="00B770F6"/>
    <w:rsid w:val="00B77239"/>
    <w:rsid w:val="00B777B7"/>
    <w:rsid w:val="00B77AEF"/>
    <w:rsid w:val="00B77BCD"/>
    <w:rsid w:val="00B77C96"/>
    <w:rsid w:val="00B77F92"/>
    <w:rsid w:val="00B77FC4"/>
    <w:rsid w:val="00B80271"/>
    <w:rsid w:val="00B80337"/>
    <w:rsid w:val="00B806BA"/>
    <w:rsid w:val="00B80817"/>
    <w:rsid w:val="00B80CB7"/>
    <w:rsid w:val="00B81C0C"/>
    <w:rsid w:val="00B81ECD"/>
    <w:rsid w:val="00B81FBE"/>
    <w:rsid w:val="00B821B0"/>
    <w:rsid w:val="00B8290D"/>
    <w:rsid w:val="00B82A87"/>
    <w:rsid w:val="00B82AC2"/>
    <w:rsid w:val="00B82BAB"/>
    <w:rsid w:val="00B82D30"/>
    <w:rsid w:val="00B831D7"/>
    <w:rsid w:val="00B833FC"/>
    <w:rsid w:val="00B83C83"/>
    <w:rsid w:val="00B83CB7"/>
    <w:rsid w:val="00B83CD2"/>
    <w:rsid w:val="00B84336"/>
    <w:rsid w:val="00B844D9"/>
    <w:rsid w:val="00B8499B"/>
    <w:rsid w:val="00B84B72"/>
    <w:rsid w:val="00B84BE4"/>
    <w:rsid w:val="00B84C6F"/>
    <w:rsid w:val="00B84EDE"/>
    <w:rsid w:val="00B85495"/>
    <w:rsid w:val="00B85642"/>
    <w:rsid w:val="00B85B58"/>
    <w:rsid w:val="00B85DB2"/>
    <w:rsid w:val="00B85ED2"/>
    <w:rsid w:val="00B86436"/>
    <w:rsid w:val="00B867FD"/>
    <w:rsid w:val="00B86F23"/>
    <w:rsid w:val="00B87296"/>
    <w:rsid w:val="00B872A3"/>
    <w:rsid w:val="00B87342"/>
    <w:rsid w:val="00B874E6"/>
    <w:rsid w:val="00B875CF"/>
    <w:rsid w:val="00B87651"/>
    <w:rsid w:val="00B879D6"/>
    <w:rsid w:val="00B87A3A"/>
    <w:rsid w:val="00B87AF6"/>
    <w:rsid w:val="00B87C30"/>
    <w:rsid w:val="00B9058A"/>
    <w:rsid w:val="00B90A4B"/>
    <w:rsid w:val="00B90A71"/>
    <w:rsid w:val="00B90A99"/>
    <w:rsid w:val="00B90AE5"/>
    <w:rsid w:val="00B90CED"/>
    <w:rsid w:val="00B90D30"/>
    <w:rsid w:val="00B90D8C"/>
    <w:rsid w:val="00B90EE1"/>
    <w:rsid w:val="00B92094"/>
    <w:rsid w:val="00B923AD"/>
    <w:rsid w:val="00B9269E"/>
    <w:rsid w:val="00B92B38"/>
    <w:rsid w:val="00B92B65"/>
    <w:rsid w:val="00B92D63"/>
    <w:rsid w:val="00B92EEC"/>
    <w:rsid w:val="00B93401"/>
    <w:rsid w:val="00B934A1"/>
    <w:rsid w:val="00B93585"/>
    <w:rsid w:val="00B9366C"/>
    <w:rsid w:val="00B93C0F"/>
    <w:rsid w:val="00B93C10"/>
    <w:rsid w:val="00B93F09"/>
    <w:rsid w:val="00B93FD6"/>
    <w:rsid w:val="00B94113"/>
    <w:rsid w:val="00B944DB"/>
    <w:rsid w:val="00B94628"/>
    <w:rsid w:val="00B94630"/>
    <w:rsid w:val="00B949C4"/>
    <w:rsid w:val="00B9513D"/>
    <w:rsid w:val="00B95178"/>
    <w:rsid w:val="00B95454"/>
    <w:rsid w:val="00B95970"/>
    <w:rsid w:val="00B95B24"/>
    <w:rsid w:val="00B961F2"/>
    <w:rsid w:val="00B9626A"/>
    <w:rsid w:val="00B96489"/>
    <w:rsid w:val="00B964E1"/>
    <w:rsid w:val="00B9753C"/>
    <w:rsid w:val="00B97910"/>
    <w:rsid w:val="00B97917"/>
    <w:rsid w:val="00B97B0F"/>
    <w:rsid w:val="00B97B38"/>
    <w:rsid w:val="00B97EF9"/>
    <w:rsid w:val="00BA01EA"/>
    <w:rsid w:val="00BA02EF"/>
    <w:rsid w:val="00BA0D78"/>
    <w:rsid w:val="00BA1069"/>
    <w:rsid w:val="00BA1071"/>
    <w:rsid w:val="00BA1108"/>
    <w:rsid w:val="00BA1406"/>
    <w:rsid w:val="00BA15D6"/>
    <w:rsid w:val="00BA187B"/>
    <w:rsid w:val="00BA194F"/>
    <w:rsid w:val="00BA1A2C"/>
    <w:rsid w:val="00BA1F44"/>
    <w:rsid w:val="00BA2230"/>
    <w:rsid w:val="00BA2259"/>
    <w:rsid w:val="00BA2FC4"/>
    <w:rsid w:val="00BA2FD1"/>
    <w:rsid w:val="00BA321A"/>
    <w:rsid w:val="00BA32EF"/>
    <w:rsid w:val="00BA3343"/>
    <w:rsid w:val="00BA34EA"/>
    <w:rsid w:val="00BA3757"/>
    <w:rsid w:val="00BA37AF"/>
    <w:rsid w:val="00BA37FA"/>
    <w:rsid w:val="00BA388C"/>
    <w:rsid w:val="00BA3AF1"/>
    <w:rsid w:val="00BA4B29"/>
    <w:rsid w:val="00BA4C26"/>
    <w:rsid w:val="00BA4CBC"/>
    <w:rsid w:val="00BA4E6C"/>
    <w:rsid w:val="00BA5353"/>
    <w:rsid w:val="00BA62C9"/>
    <w:rsid w:val="00BA630E"/>
    <w:rsid w:val="00BA6393"/>
    <w:rsid w:val="00BA64EA"/>
    <w:rsid w:val="00BA6670"/>
    <w:rsid w:val="00BA6F52"/>
    <w:rsid w:val="00BA71E2"/>
    <w:rsid w:val="00BA72C2"/>
    <w:rsid w:val="00BA7322"/>
    <w:rsid w:val="00BA777A"/>
    <w:rsid w:val="00BA7809"/>
    <w:rsid w:val="00BB0983"/>
    <w:rsid w:val="00BB09DE"/>
    <w:rsid w:val="00BB0AB9"/>
    <w:rsid w:val="00BB0FB8"/>
    <w:rsid w:val="00BB13BD"/>
    <w:rsid w:val="00BB14A6"/>
    <w:rsid w:val="00BB1554"/>
    <w:rsid w:val="00BB17CC"/>
    <w:rsid w:val="00BB1C3E"/>
    <w:rsid w:val="00BB1C80"/>
    <w:rsid w:val="00BB1EE1"/>
    <w:rsid w:val="00BB2988"/>
    <w:rsid w:val="00BB3098"/>
    <w:rsid w:val="00BB319E"/>
    <w:rsid w:val="00BB3478"/>
    <w:rsid w:val="00BB38C4"/>
    <w:rsid w:val="00BB3906"/>
    <w:rsid w:val="00BB3B8A"/>
    <w:rsid w:val="00BB3CC1"/>
    <w:rsid w:val="00BB4553"/>
    <w:rsid w:val="00BB4F25"/>
    <w:rsid w:val="00BB4FDE"/>
    <w:rsid w:val="00BB5A41"/>
    <w:rsid w:val="00BB5DBF"/>
    <w:rsid w:val="00BB664A"/>
    <w:rsid w:val="00BB6972"/>
    <w:rsid w:val="00BB69EA"/>
    <w:rsid w:val="00BB6FBD"/>
    <w:rsid w:val="00BB7094"/>
    <w:rsid w:val="00BB7205"/>
    <w:rsid w:val="00BB78CB"/>
    <w:rsid w:val="00BB792C"/>
    <w:rsid w:val="00BB79F2"/>
    <w:rsid w:val="00BC0106"/>
    <w:rsid w:val="00BC025C"/>
    <w:rsid w:val="00BC04B8"/>
    <w:rsid w:val="00BC0665"/>
    <w:rsid w:val="00BC09AE"/>
    <w:rsid w:val="00BC0F67"/>
    <w:rsid w:val="00BC1C80"/>
    <w:rsid w:val="00BC1D3C"/>
    <w:rsid w:val="00BC1E7A"/>
    <w:rsid w:val="00BC2272"/>
    <w:rsid w:val="00BC2312"/>
    <w:rsid w:val="00BC245C"/>
    <w:rsid w:val="00BC259C"/>
    <w:rsid w:val="00BC278C"/>
    <w:rsid w:val="00BC2883"/>
    <w:rsid w:val="00BC2986"/>
    <w:rsid w:val="00BC356D"/>
    <w:rsid w:val="00BC35CA"/>
    <w:rsid w:val="00BC3C4A"/>
    <w:rsid w:val="00BC3E8A"/>
    <w:rsid w:val="00BC4469"/>
    <w:rsid w:val="00BC44AE"/>
    <w:rsid w:val="00BC4807"/>
    <w:rsid w:val="00BC5234"/>
    <w:rsid w:val="00BC53AB"/>
    <w:rsid w:val="00BC55FB"/>
    <w:rsid w:val="00BC58D4"/>
    <w:rsid w:val="00BC5903"/>
    <w:rsid w:val="00BC5B85"/>
    <w:rsid w:val="00BC5C73"/>
    <w:rsid w:val="00BC5F06"/>
    <w:rsid w:val="00BC6397"/>
    <w:rsid w:val="00BC66AC"/>
    <w:rsid w:val="00BC676B"/>
    <w:rsid w:val="00BC6A86"/>
    <w:rsid w:val="00BC6F1D"/>
    <w:rsid w:val="00BC70DB"/>
    <w:rsid w:val="00BC754A"/>
    <w:rsid w:val="00BC7559"/>
    <w:rsid w:val="00BC7695"/>
    <w:rsid w:val="00BC7889"/>
    <w:rsid w:val="00BC7C4C"/>
    <w:rsid w:val="00BC7E8B"/>
    <w:rsid w:val="00BD0A58"/>
    <w:rsid w:val="00BD0D82"/>
    <w:rsid w:val="00BD119E"/>
    <w:rsid w:val="00BD1623"/>
    <w:rsid w:val="00BD1862"/>
    <w:rsid w:val="00BD21C4"/>
    <w:rsid w:val="00BD2452"/>
    <w:rsid w:val="00BD25FC"/>
    <w:rsid w:val="00BD271B"/>
    <w:rsid w:val="00BD2859"/>
    <w:rsid w:val="00BD2C20"/>
    <w:rsid w:val="00BD3088"/>
    <w:rsid w:val="00BD34AB"/>
    <w:rsid w:val="00BD3B3B"/>
    <w:rsid w:val="00BD3BCE"/>
    <w:rsid w:val="00BD3FC2"/>
    <w:rsid w:val="00BD4540"/>
    <w:rsid w:val="00BD46F8"/>
    <w:rsid w:val="00BD4717"/>
    <w:rsid w:val="00BD4775"/>
    <w:rsid w:val="00BD49AC"/>
    <w:rsid w:val="00BD4EDA"/>
    <w:rsid w:val="00BD51D1"/>
    <w:rsid w:val="00BD5787"/>
    <w:rsid w:val="00BD596F"/>
    <w:rsid w:val="00BD5FC5"/>
    <w:rsid w:val="00BD6090"/>
    <w:rsid w:val="00BD60AF"/>
    <w:rsid w:val="00BD64E3"/>
    <w:rsid w:val="00BD6968"/>
    <w:rsid w:val="00BD6A34"/>
    <w:rsid w:val="00BD6AFB"/>
    <w:rsid w:val="00BD6CF3"/>
    <w:rsid w:val="00BD6E35"/>
    <w:rsid w:val="00BD71FF"/>
    <w:rsid w:val="00BD72A8"/>
    <w:rsid w:val="00BD7654"/>
    <w:rsid w:val="00BE0236"/>
    <w:rsid w:val="00BE042D"/>
    <w:rsid w:val="00BE04FE"/>
    <w:rsid w:val="00BE0D39"/>
    <w:rsid w:val="00BE1542"/>
    <w:rsid w:val="00BE15A0"/>
    <w:rsid w:val="00BE22C0"/>
    <w:rsid w:val="00BE253B"/>
    <w:rsid w:val="00BE2B5C"/>
    <w:rsid w:val="00BE2C0C"/>
    <w:rsid w:val="00BE2DF0"/>
    <w:rsid w:val="00BE2E25"/>
    <w:rsid w:val="00BE301A"/>
    <w:rsid w:val="00BE3028"/>
    <w:rsid w:val="00BE30B7"/>
    <w:rsid w:val="00BE31CC"/>
    <w:rsid w:val="00BE3447"/>
    <w:rsid w:val="00BE3D25"/>
    <w:rsid w:val="00BE3D9E"/>
    <w:rsid w:val="00BE439A"/>
    <w:rsid w:val="00BE4E30"/>
    <w:rsid w:val="00BE5E33"/>
    <w:rsid w:val="00BE629A"/>
    <w:rsid w:val="00BE6449"/>
    <w:rsid w:val="00BE67A4"/>
    <w:rsid w:val="00BE684E"/>
    <w:rsid w:val="00BE6A2D"/>
    <w:rsid w:val="00BE6A85"/>
    <w:rsid w:val="00BE6BF4"/>
    <w:rsid w:val="00BE71FD"/>
    <w:rsid w:val="00BE7412"/>
    <w:rsid w:val="00BE767A"/>
    <w:rsid w:val="00BE775C"/>
    <w:rsid w:val="00BE794A"/>
    <w:rsid w:val="00BE7B23"/>
    <w:rsid w:val="00BE7B28"/>
    <w:rsid w:val="00BE7B57"/>
    <w:rsid w:val="00BF0027"/>
    <w:rsid w:val="00BF0325"/>
    <w:rsid w:val="00BF075A"/>
    <w:rsid w:val="00BF08A2"/>
    <w:rsid w:val="00BF0AAB"/>
    <w:rsid w:val="00BF0B20"/>
    <w:rsid w:val="00BF0D09"/>
    <w:rsid w:val="00BF14CF"/>
    <w:rsid w:val="00BF1956"/>
    <w:rsid w:val="00BF2138"/>
    <w:rsid w:val="00BF2748"/>
    <w:rsid w:val="00BF2876"/>
    <w:rsid w:val="00BF28B7"/>
    <w:rsid w:val="00BF2951"/>
    <w:rsid w:val="00BF2C0F"/>
    <w:rsid w:val="00BF2F3A"/>
    <w:rsid w:val="00BF3246"/>
    <w:rsid w:val="00BF375D"/>
    <w:rsid w:val="00BF3E1F"/>
    <w:rsid w:val="00BF3FB2"/>
    <w:rsid w:val="00BF409C"/>
    <w:rsid w:val="00BF41AC"/>
    <w:rsid w:val="00BF443A"/>
    <w:rsid w:val="00BF4694"/>
    <w:rsid w:val="00BF46B3"/>
    <w:rsid w:val="00BF5271"/>
    <w:rsid w:val="00BF5EEB"/>
    <w:rsid w:val="00BF5F40"/>
    <w:rsid w:val="00BF6123"/>
    <w:rsid w:val="00BF670C"/>
    <w:rsid w:val="00BF6C1B"/>
    <w:rsid w:val="00BF6FBF"/>
    <w:rsid w:val="00BF70D5"/>
    <w:rsid w:val="00BF79C1"/>
    <w:rsid w:val="00BF7AC4"/>
    <w:rsid w:val="00BF7D0C"/>
    <w:rsid w:val="00C000B7"/>
    <w:rsid w:val="00C00573"/>
    <w:rsid w:val="00C0066E"/>
    <w:rsid w:val="00C00772"/>
    <w:rsid w:val="00C00D97"/>
    <w:rsid w:val="00C01502"/>
    <w:rsid w:val="00C015A4"/>
    <w:rsid w:val="00C01C82"/>
    <w:rsid w:val="00C01FBE"/>
    <w:rsid w:val="00C020BF"/>
    <w:rsid w:val="00C022DE"/>
    <w:rsid w:val="00C02B84"/>
    <w:rsid w:val="00C02C6C"/>
    <w:rsid w:val="00C035C8"/>
    <w:rsid w:val="00C0368E"/>
    <w:rsid w:val="00C04212"/>
    <w:rsid w:val="00C042D6"/>
    <w:rsid w:val="00C049BA"/>
    <w:rsid w:val="00C04A04"/>
    <w:rsid w:val="00C04D04"/>
    <w:rsid w:val="00C0589D"/>
    <w:rsid w:val="00C05C22"/>
    <w:rsid w:val="00C05E23"/>
    <w:rsid w:val="00C06179"/>
    <w:rsid w:val="00C0624F"/>
    <w:rsid w:val="00C06419"/>
    <w:rsid w:val="00C06645"/>
    <w:rsid w:val="00C066C4"/>
    <w:rsid w:val="00C06933"/>
    <w:rsid w:val="00C06E8F"/>
    <w:rsid w:val="00C07014"/>
    <w:rsid w:val="00C071B9"/>
    <w:rsid w:val="00C07330"/>
    <w:rsid w:val="00C073F6"/>
    <w:rsid w:val="00C107D6"/>
    <w:rsid w:val="00C10C4A"/>
    <w:rsid w:val="00C10E9B"/>
    <w:rsid w:val="00C111CE"/>
    <w:rsid w:val="00C11425"/>
    <w:rsid w:val="00C11702"/>
    <w:rsid w:val="00C11716"/>
    <w:rsid w:val="00C1181E"/>
    <w:rsid w:val="00C11FF7"/>
    <w:rsid w:val="00C12724"/>
    <w:rsid w:val="00C12870"/>
    <w:rsid w:val="00C12B27"/>
    <w:rsid w:val="00C12CDF"/>
    <w:rsid w:val="00C12EEC"/>
    <w:rsid w:val="00C13208"/>
    <w:rsid w:val="00C13219"/>
    <w:rsid w:val="00C13320"/>
    <w:rsid w:val="00C1343E"/>
    <w:rsid w:val="00C135ED"/>
    <w:rsid w:val="00C138F3"/>
    <w:rsid w:val="00C139A8"/>
    <w:rsid w:val="00C13A98"/>
    <w:rsid w:val="00C13AE8"/>
    <w:rsid w:val="00C13F75"/>
    <w:rsid w:val="00C1434C"/>
    <w:rsid w:val="00C147EA"/>
    <w:rsid w:val="00C14C40"/>
    <w:rsid w:val="00C14D49"/>
    <w:rsid w:val="00C14EB5"/>
    <w:rsid w:val="00C15163"/>
    <w:rsid w:val="00C151DB"/>
    <w:rsid w:val="00C1579F"/>
    <w:rsid w:val="00C15CD3"/>
    <w:rsid w:val="00C15E12"/>
    <w:rsid w:val="00C1690B"/>
    <w:rsid w:val="00C16DB3"/>
    <w:rsid w:val="00C16E95"/>
    <w:rsid w:val="00C16F1F"/>
    <w:rsid w:val="00C170A2"/>
    <w:rsid w:val="00C172CB"/>
    <w:rsid w:val="00C175DB"/>
    <w:rsid w:val="00C17E4D"/>
    <w:rsid w:val="00C201C0"/>
    <w:rsid w:val="00C201D0"/>
    <w:rsid w:val="00C20369"/>
    <w:rsid w:val="00C204A7"/>
    <w:rsid w:val="00C2069F"/>
    <w:rsid w:val="00C2092F"/>
    <w:rsid w:val="00C21881"/>
    <w:rsid w:val="00C218E7"/>
    <w:rsid w:val="00C2193A"/>
    <w:rsid w:val="00C21F59"/>
    <w:rsid w:val="00C22296"/>
    <w:rsid w:val="00C22502"/>
    <w:rsid w:val="00C22808"/>
    <w:rsid w:val="00C228F9"/>
    <w:rsid w:val="00C22C02"/>
    <w:rsid w:val="00C22C0B"/>
    <w:rsid w:val="00C22C8F"/>
    <w:rsid w:val="00C22DFB"/>
    <w:rsid w:val="00C2302B"/>
    <w:rsid w:val="00C23166"/>
    <w:rsid w:val="00C2317A"/>
    <w:rsid w:val="00C23C43"/>
    <w:rsid w:val="00C23D44"/>
    <w:rsid w:val="00C2402F"/>
    <w:rsid w:val="00C242F2"/>
    <w:rsid w:val="00C24930"/>
    <w:rsid w:val="00C24FA1"/>
    <w:rsid w:val="00C25317"/>
    <w:rsid w:val="00C257EF"/>
    <w:rsid w:val="00C258CA"/>
    <w:rsid w:val="00C25B7C"/>
    <w:rsid w:val="00C25CD6"/>
    <w:rsid w:val="00C25FCC"/>
    <w:rsid w:val="00C26427"/>
    <w:rsid w:val="00C26C4E"/>
    <w:rsid w:val="00C26C6A"/>
    <w:rsid w:val="00C26DC8"/>
    <w:rsid w:val="00C26FE2"/>
    <w:rsid w:val="00C27023"/>
    <w:rsid w:val="00C27094"/>
    <w:rsid w:val="00C27157"/>
    <w:rsid w:val="00C27392"/>
    <w:rsid w:val="00C27B34"/>
    <w:rsid w:val="00C301B3"/>
    <w:rsid w:val="00C30214"/>
    <w:rsid w:val="00C3028C"/>
    <w:rsid w:val="00C3039B"/>
    <w:rsid w:val="00C303CA"/>
    <w:rsid w:val="00C30457"/>
    <w:rsid w:val="00C30909"/>
    <w:rsid w:val="00C30CB8"/>
    <w:rsid w:val="00C31325"/>
    <w:rsid w:val="00C31809"/>
    <w:rsid w:val="00C31AC9"/>
    <w:rsid w:val="00C321BA"/>
    <w:rsid w:val="00C326DA"/>
    <w:rsid w:val="00C3272C"/>
    <w:rsid w:val="00C327C9"/>
    <w:rsid w:val="00C32B4C"/>
    <w:rsid w:val="00C32F02"/>
    <w:rsid w:val="00C3322A"/>
    <w:rsid w:val="00C33863"/>
    <w:rsid w:val="00C33878"/>
    <w:rsid w:val="00C33C04"/>
    <w:rsid w:val="00C33C3B"/>
    <w:rsid w:val="00C34068"/>
    <w:rsid w:val="00C3416E"/>
    <w:rsid w:val="00C34767"/>
    <w:rsid w:val="00C34973"/>
    <w:rsid w:val="00C35587"/>
    <w:rsid w:val="00C35C92"/>
    <w:rsid w:val="00C360BE"/>
    <w:rsid w:val="00C361E9"/>
    <w:rsid w:val="00C36387"/>
    <w:rsid w:val="00C3652F"/>
    <w:rsid w:val="00C36A15"/>
    <w:rsid w:val="00C36F21"/>
    <w:rsid w:val="00C37190"/>
    <w:rsid w:val="00C3795B"/>
    <w:rsid w:val="00C37B51"/>
    <w:rsid w:val="00C4005F"/>
    <w:rsid w:val="00C400F0"/>
    <w:rsid w:val="00C4041F"/>
    <w:rsid w:val="00C40436"/>
    <w:rsid w:val="00C4049E"/>
    <w:rsid w:val="00C408D0"/>
    <w:rsid w:val="00C40F30"/>
    <w:rsid w:val="00C412D1"/>
    <w:rsid w:val="00C41A30"/>
    <w:rsid w:val="00C42047"/>
    <w:rsid w:val="00C437BF"/>
    <w:rsid w:val="00C43A41"/>
    <w:rsid w:val="00C43AEE"/>
    <w:rsid w:val="00C43B4A"/>
    <w:rsid w:val="00C43B5E"/>
    <w:rsid w:val="00C4411A"/>
    <w:rsid w:val="00C444CD"/>
    <w:rsid w:val="00C444FD"/>
    <w:rsid w:val="00C4461B"/>
    <w:rsid w:val="00C4495E"/>
    <w:rsid w:val="00C44E08"/>
    <w:rsid w:val="00C453F9"/>
    <w:rsid w:val="00C45443"/>
    <w:rsid w:val="00C458AD"/>
    <w:rsid w:val="00C45DE3"/>
    <w:rsid w:val="00C4621A"/>
    <w:rsid w:val="00C46702"/>
    <w:rsid w:val="00C46938"/>
    <w:rsid w:val="00C46B5A"/>
    <w:rsid w:val="00C46EB4"/>
    <w:rsid w:val="00C4706A"/>
    <w:rsid w:val="00C4725E"/>
    <w:rsid w:val="00C473A2"/>
    <w:rsid w:val="00C476EA"/>
    <w:rsid w:val="00C478E9"/>
    <w:rsid w:val="00C500B5"/>
    <w:rsid w:val="00C502F6"/>
    <w:rsid w:val="00C504B9"/>
    <w:rsid w:val="00C50888"/>
    <w:rsid w:val="00C508FE"/>
    <w:rsid w:val="00C50AEE"/>
    <w:rsid w:val="00C50B79"/>
    <w:rsid w:val="00C51C6A"/>
    <w:rsid w:val="00C52AB5"/>
    <w:rsid w:val="00C52C26"/>
    <w:rsid w:val="00C52E9B"/>
    <w:rsid w:val="00C52F8B"/>
    <w:rsid w:val="00C52FC9"/>
    <w:rsid w:val="00C5306C"/>
    <w:rsid w:val="00C530D7"/>
    <w:rsid w:val="00C53389"/>
    <w:rsid w:val="00C537AC"/>
    <w:rsid w:val="00C53957"/>
    <w:rsid w:val="00C53B14"/>
    <w:rsid w:val="00C5400F"/>
    <w:rsid w:val="00C5416F"/>
    <w:rsid w:val="00C5420F"/>
    <w:rsid w:val="00C542AB"/>
    <w:rsid w:val="00C54327"/>
    <w:rsid w:val="00C54731"/>
    <w:rsid w:val="00C54756"/>
    <w:rsid w:val="00C54C2E"/>
    <w:rsid w:val="00C552F5"/>
    <w:rsid w:val="00C55302"/>
    <w:rsid w:val="00C55440"/>
    <w:rsid w:val="00C55A27"/>
    <w:rsid w:val="00C56A0E"/>
    <w:rsid w:val="00C57153"/>
    <w:rsid w:val="00C57897"/>
    <w:rsid w:val="00C601DB"/>
    <w:rsid w:val="00C60325"/>
    <w:rsid w:val="00C6111C"/>
    <w:rsid w:val="00C61592"/>
    <w:rsid w:val="00C61749"/>
    <w:rsid w:val="00C61C89"/>
    <w:rsid w:val="00C61DA7"/>
    <w:rsid w:val="00C61EFF"/>
    <w:rsid w:val="00C6237C"/>
    <w:rsid w:val="00C6240D"/>
    <w:rsid w:val="00C62870"/>
    <w:rsid w:val="00C6288A"/>
    <w:rsid w:val="00C62B87"/>
    <w:rsid w:val="00C63065"/>
    <w:rsid w:val="00C63076"/>
    <w:rsid w:val="00C6359B"/>
    <w:rsid w:val="00C6376D"/>
    <w:rsid w:val="00C63CBC"/>
    <w:rsid w:val="00C63F9B"/>
    <w:rsid w:val="00C6440E"/>
    <w:rsid w:val="00C64E1F"/>
    <w:rsid w:val="00C64FCA"/>
    <w:rsid w:val="00C65023"/>
    <w:rsid w:val="00C65195"/>
    <w:rsid w:val="00C656F5"/>
    <w:rsid w:val="00C657F4"/>
    <w:rsid w:val="00C65EBC"/>
    <w:rsid w:val="00C66309"/>
    <w:rsid w:val="00C66577"/>
    <w:rsid w:val="00C6661E"/>
    <w:rsid w:val="00C6666A"/>
    <w:rsid w:val="00C66D4B"/>
    <w:rsid w:val="00C67148"/>
    <w:rsid w:val="00C6715B"/>
    <w:rsid w:val="00C67626"/>
    <w:rsid w:val="00C67B4D"/>
    <w:rsid w:val="00C700A7"/>
    <w:rsid w:val="00C7065E"/>
    <w:rsid w:val="00C709A5"/>
    <w:rsid w:val="00C70BDE"/>
    <w:rsid w:val="00C70C22"/>
    <w:rsid w:val="00C70D86"/>
    <w:rsid w:val="00C70E6F"/>
    <w:rsid w:val="00C711B0"/>
    <w:rsid w:val="00C71563"/>
    <w:rsid w:val="00C716D5"/>
    <w:rsid w:val="00C71E9C"/>
    <w:rsid w:val="00C7225F"/>
    <w:rsid w:val="00C7236C"/>
    <w:rsid w:val="00C723C2"/>
    <w:rsid w:val="00C723D5"/>
    <w:rsid w:val="00C72681"/>
    <w:rsid w:val="00C726C2"/>
    <w:rsid w:val="00C728B1"/>
    <w:rsid w:val="00C72B68"/>
    <w:rsid w:val="00C72D22"/>
    <w:rsid w:val="00C72F8C"/>
    <w:rsid w:val="00C73414"/>
    <w:rsid w:val="00C73556"/>
    <w:rsid w:val="00C7371D"/>
    <w:rsid w:val="00C73857"/>
    <w:rsid w:val="00C7394A"/>
    <w:rsid w:val="00C73981"/>
    <w:rsid w:val="00C73D9D"/>
    <w:rsid w:val="00C73F2B"/>
    <w:rsid w:val="00C7429B"/>
    <w:rsid w:val="00C74305"/>
    <w:rsid w:val="00C7433E"/>
    <w:rsid w:val="00C743A0"/>
    <w:rsid w:val="00C74F01"/>
    <w:rsid w:val="00C75752"/>
    <w:rsid w:val="00C75E3F"/>
    <w:rsid w:val="00C75F08"/>
    <w:rsid w:val="00C767AF"/>
    <w:rsid w:val="00C76962"/>
    <w:rsid w:val="00C77029"/>
    <w:rsid w:val="00C771E6"/>
    <w:rsid w:val="00C77517"/>
    <w:rsid w:val="00C77572"/>
    <w:rsid w:val="00C779CF"/>
    <w:rsid w:val="00C77C24"/>
    <w:rsid w:val="00C77FB1"/>
    <w:rsid w:val="00C80522"/>
    <w:rsid w:val="00C8084A"/>
    <w:rsid w:val="00C80973"/>
    <w:rsid w:val="00C80AD5"/>
    <w:rsid w:val="00C80D79"/>
    <w:rsid w:val="00C80E77"/>
    <w:rsid w:val="00C81287"/>
    <w:rsid w:val="00C812C8"/>
    <w:rsid w:val="00C816AC"/>
    <w:rsid w:val="00C81737"/>
    <w:rsid w:val="00C817D1"/>
    <w:rsid w:val="00C81B33"/>
    <w:rsid w:val="00C81DE8"/>
    <w:rsid w:val="00C81E55"/>
    <w:rsid w:val="00C8210F"/>
    <w:rsid w:val="00C82431"/>
    <w:rsid w:val="00C82609"/>
    <w:rsid w:val="00C82ABD"/>
    <w:rsid w:val="00C82CE5"/>
    <w:rsid w:val="00C82DBD"/>
    <w:rsid w:val="00C82EB6"/>
    <w:rsid w:val="00C82F6A"/>
    <w:rsid w:val="00C8318C"/>
    <w:rsid w:val="00C83367"/>
    <w:rsid w:val="00C83438"/>
    <w:rsid w:val="00C836F2"/>
    <w:rsid w:val="00C83726"/>
    <w:rsid w:val="00C83756"/>
    <w:rsid w:val="00C837E3"/>
    <w:rsid w:val="00C83E05"/>
    <w:rsid w:val="00C8419B"/>
    <w:rsid w:val="00C84303"/>
    <w:rsid w:val="00C843B2"/>
    <w:rsid w:val="00C845CA"/>
    <w:rsid w:val="00C8467A"/>
    <w:rsid w:val="00C8471F"/>
    <w:rsid w:val="00C84906"/>
    <w:rsid w:val="00C84B4D"/>
    <w:rsid w:val="00C8500C"/>
    <w:rsid w:val="00C85182"/>
    <w:rsid w:val="00C85211"/>
    <w:rsid w:val="00C857A7"/>
    <w:rsid w:val="00C86363"/>
    <w:rsid w:val="00C864DE"/>
    <w:rsid w:val="00C86635"/>
    <w:rsid w:val="00C866F7"/>
    <w:rsid w:val="00C8691A"/>
    <w:rsid w:val="00C871A0"/>
    <w:rsid w:val="00C8734C"/>
    <w:rsid w:val="00C87385"/>
    <w:rsid w:val="00C879B8"/>
    <w:rsid w:val="00C87A38"/>
    <w:rsid w:val="00C90634"/>
    <w:rsid w:val="00C90D3B"/>
    <w:rsid w:val="00C90D84"/>
    <w:rsid w:val="00C90F1D"/>
    <w:rsid w:val="00C91024"/>
    <w:rsid w:val="00C913B3"/>
    <w:rsid w:val="00C91470"/>
    <w:rsid w:val="00C9151E"/>
    <w:rsid w:val="00C91576"/>
    <w:rsid w:val="00C918C7"/>
    <w:rsid w:val="00C918DF"/>
    <w:rsid w:val="00C918E3"/>
    <w:rsid w:val="00C919B5"/>
    <w:rsid w:val="00C9230E"/>
    <w:rsid w:val="00C92BD2"/>
    <w:rsid w:val="00C92C38"/>
    <w:rsid w:val="00C92CD1"/>
    <w:rsid w:val="00C93647"/>
    <w:rsid w:val="00C93803"/>
    <w:rsid w:val="00C93807"/>
    <w:rsid w:val="00C9387D"/>
    <w:rsid w:val="00C938BB"/>
    <w:rsid w:val="00C93A91"/>
    <w:rsid w:val="00C93EEA"/>
    <w:rsid w:val="00C945BB"/>
    <w:rsid w:val="00C945E3"/>
    <w:rsid w:val="00C949A2"/>
    <w:rsid w:val="00C94A72"/>
    <w:rsid w:val="00C94CEB"/>
    <w:rsid w:val="00C950CF"/>
    <w:rsid w:val="00C951FB"/>
    <w:rsid w:val="00C95381"/>
    <w:rsid w:val="00C95510"/>
    <w:rsid w:val="00C95955"/>
    <w:rsid w:val="00C95EDF"/>
    <w:rsid w:val="00C95FDF"/>
    <w:rsid w:val="00C96113"/>
    <w:rsid w:val="00C96186"/>
    <w:rsid w:val="00C961CC"/>
    <w:rsid w:val="00C963C2"/>
    <w:rsid w:val="00C96797"/>
    <w:rsid w:val="00C96848"/>
    <w:rsid w:val="00C96E63"/>
    <w:rsid w:val="00C96F7E"/>
    <w:rsid w:val="00C96FDC"/>
    <w:rsid w:val="00C9744E"/>
    <w:rsid w:val="00C97A42"/>
    <w:rsid w:val="00C97AC8"/>
    <w:rsid w:val="00C97EB1"/>
    <w:rsid w:val="00CA00CD"/>
    <w:rsid w:val="00CA0320"/>
    <w:rsid w:val="00CA0E9D"/>
    <w:rsid w:val="00CA10FA"/>
    <w:rsid w:val="00CA1640"/>
    <w:rsid w:val="00CA16AD"/>
    <w:rsid w:val="00CA190F"/>
    <w:rsid w:val="00CA1A87"/>
    <w:rsid w:val="00CA1BE3"/>
    <w:rsid w:val="00CA1D69"/>
    <w:rsid w:val="00CA206A"/>
    <w:rsid w:val="00CA2238"/>
    <w:rsid w:val="00CA23B1"/>
    <w:rsid w:val="00CA2968"/>
    <w:rsid w:val="00CA38F8"/>
    <w:rsid w:val="00CA3AF7"/>
    <w:rsid w:val="00CA3C9D"/>
    <w:rsid w:val="00CA3F36"/>
    <w:rsid w:val="00CA4491"/>
    <w:rsid w:val="00CA476A"/>
    <w:rsid w:val="00CA47CC"/>
    <w:rsid w:val="00CA493E"/>
    <w:rsid w:val="00CA4AC5"/>
    <w:rsid w:val="00CA4B77"/>
    <w:rsid w:val="00CA4EDE"/>
    <w:rsid w:val="00CA4FBC"/>
    <w:rsid w:val="00CA50A1"/>
    <w:rsid w:val="00CA52E6"/>
    <w:rsid w:val="00CA5A48"/>
    <w:rsid w:val="00CA5B3E"/>
    <w:rsid w:val="00CA5B53"/>
    <w:rsid w:val="00CA5D9F"/>
    <w:rsid w:val="00CA5F7B"/>
    <w:rsid w:val="00CA6220"/>
    <w:rsid w:val="00CA640C"/>
    <w:rsid w:val="00CA65D1"/>
    <w:rsid w:val="00CA65E5"/>
    <w:rsid w:val="00CA676E"/>
    <w:rsid w:val="00CA6B71"/>
    <w:rsid w:val="00CA6B91"/>
    <w:rsid w:val="00CA6E06"/>
    <w:rsid w:val="00CA6EE4"/>
    <w:rsid w:val="00CA6FFB"/>
    <w:rsid w:val="00CA709B"/>
    <w:rsid w:val="00CA74B8"/>
    <w:rsid w:val="00CA755A"/>
    <w:rsid w:val="00CA78DC"/>
    <w:rsid w:val="00CA7CB8"/>
    <w:rsid w:val="00CA7DCF"/>
    <w:rsid w:val="00CB007E"/>
    <w:rsid w:val="00CB010F"/>
    <w:rsid w:val="00CB0244"/>
    <w:rsid w:val="00CB0410"/>
    <w:rsid w:val="00CB0455"/>
    <w:rsid w:val="00CB09B5"/>
    <w:rsid w:val="00CB106D"/>
    <w:rsid w:val="00CB137E"/>
    <w:rsid w:val="00CB13FE"/>
    <w:rsid w:val="00CB1E64"/>
    <w:rsid w:val="00CB2E73"/>
    <w:rsid w:val="00CB3048"/>
    <w:rsid w:val="00CB305E"/>
    <w:rsid w:val="00CB318C"/>
    <w:rsid w:val="00CB3887"/>
    <w:rsid w:val="00CB3927"/>
    <w:rsid w:val="00CB48A7"/>
    <w:rsid w:val="00CB4C40"/>
    <w:rsid w:val="00CB4FC7"/>
    <w:rsid w:val="00CB500F"/>
    <w:rsid w:val="00CB5285"/>
    <w:rsid w:val="00CB52CF"/>
    <w:rsid w:val="00CB5634"/>
    <w:rsid w:val="00CB593B"/>
    <w:rsid w:val="00CB59B3"/>
    <w:rsid w:val="00CB60C9"/>
    <w:rsid w:val="00CB64EE"/>
    <w:rsid w:val="00CB6540"/>
    <w:rsid w:val="00CB6688"/>
    <w:rsid w:val="00CB67CD"/>
    <w:rsid w:val="00CB69BB"/>
    <w:rsid w:val="00CB6FCF"/>
    <w:rsid w:val="00CB6FFA"/>
    <w:rsid w:val="00CB74C4"/>
    <w:rsid w:val="00CB74E0"/>
    <w:rsid w:val="00CB7708"/>
    <w:rsid w:val="00CB781F"/>
    <w:rsid w:val="00CB7F43"/>
    <w:rsid w:val="00CC0506"/>
    <w:rsid w:val="00CC055B"/>
    <w:rsid w:val="00CC059C"/>
    <w:rsid w:val="00CC0723"/>
    <w:rsid w:val="00CC0828"/>
    <w:rsid w:val="00CC0DD7"/>
    <w:rsid w:val="00CC0E7E"/>
    <w:rsid w:val="00CC10A0"/>
    <w:rsid w:val="00CC1175"/>
    <w:rsid w:val="00CC18C9"/>
    <w:rsid w:val="00CC202F"/>
    <w:rsid w:val="00CC2AC1"/>
    <w:rsid w:val="00CC2CE8"/>
    <w:rsid w:val="00CC308C"/>
    <w:rsid w:val="00CC3378"/>
    <w:rsid w:val="00CC3B17"/>
    <w:rsid w:val="00CC3B89"/>
    <w:rsid w:val="00CC3CF7"/>
    <w:rsid w:val="00CC3FBF"/>
    <w:rsid w:val="00CC4215"/>
    <w:rsid w:val="00CC4C23"/>
    <w:rsid w:val="00CC4D2A"/>
    <w:rsid w:val="00CC4D72"/>
    <w:rsid w:val="00CC52F7"/>
    <w:rsid w:val="00CC54D7"/>
    <w:rsid w:val="00CC5A47"/>
    <w:rsid w:val="00CC5E7F"/>
    <w:rsid w:val="00CC6D3B"/>
    <w:rsid w:val="00CC7178"/>
    <w:rsid w:val="00CC7359"/>
    <w:rsid w:val="00CC7506"/>
    <w:rsid w:val="00CC7B6C"/>
    <w:rsid w:val="00CC7BC4"/>
    <w:rsid w:val="00CD0045"/>
    <w:rsid w:val="00CD007F"/>
    <w:rsid w:val="00CD02EB"/>
    <w:rsid w:val="00CD08A5"/>
    <w:rsid w:val="00CD0BF3"/>
    <w:rsid w:val="00CD10E2"/>
    <w:rsid w:val="00CD12FC"/>
    <w:rsid w:val="00CD14B8"/>
    <w:rsid w:val="00CD16B9"/>
    <w:rsid w:val="00CD19F5"/>
    <w:rsid w:val="00CD1A52"/>
    <w:rsid w:val="00CD1D59"/>
    <w:rsid w:val="00CD1D71"/>
    <w:rsid w:val="00CD1FCD"/>
    <w:rsid w:val="00CD2029"/>
    <w:rsid w:val="00CD261C"/>
    <w:rsid w:val="00CD2775"/>
    <w:rsid w:val="00CD2C2F"/>
    <w:rsid w:val="00CD2D4B"/>
    <w:rsid w:val="00CD2D5C"/>
    <w:rsid w:val="00CD2D99"/>
    <w:rsid w:val="00CD35E5"/>
    <w:rsid w:val="00CD3D4D"/>
    <w:rsid w:val="00CD3D6A"/>
    <w:rsid w:val="00CD3F0D"/>
    <w:rsid w:val="00CD4236"/>
    <w:rsid w:val="00CD4BAD"/>
    <w:rsid w:val="00CD4FAA"/>
    <w:rsid w:val="00CD51FB"/>
    <w:rsid w:val="00CD560F"/>
    <w:rsid w:val="00CD586E"/>
    <w:rsid w:val="00CD5904"/>
    <w:rsid w:val="00CD5979"/>
    <w:rsid w:val="00CD5AE9"/>
    <w:rsid w:val="00CD5B68"/>
    <w:rsid w:val="00CD5DE7"/>
    <w:rsid w:val="00CD6101"/>
    <w:rsid w:val="00CD62C8"/>
    <w:rsid w:val="00CD6375"/>
    <w:rsid w:val="00CD68EB"/>
    <w:rsid w:val="00CD6B36"/>
    <w:rsid w:val="00CD716F"/>
    <w:rsid w:val="00CD735A"/>
    <w:rsid w:val="00CD7371"/>
    <w:rsid w:val="00CD7804"/>
    <w:rsid w:val="00CD7912"/>
    <w:rsid w:val="00CD7917"/>
    <w:rsid w:val="00CD7919"/>
    <w:rsid w:val="00CD7ABA"/>
    <w:rsid w:val="00CD7BA5"/>
    <w:rsid w:val="00CD7C97"/>
    <w:rsid w:val="00CE0515"/>
    <w:rsid w:val="00CE079E"/>
    <w:rsid w:val="00CE0BB6"/>
    <w:rsid w:val="00CE0E04"/>
    <w:rsid w:val="00CE15D4"/>
    <w:rsid w:val="00CE15E8"/>
    <w:rsid w:val="00CE1615"/>
    <w:rsid w:val="00CE1D2C"/>
    <w:rsid w:val="00CE21F9"/>
    <w:rsid w:val="00CE2482"/>
    <w:rsid w:val="00CE2F73"/>
    <w:rsid w:val="00CE303C"/>
    <w:rsid w:val="00CE3266"/>
    <w:rsid w:val="00CE33FE"/>
    <w:rsid w:val="00CE3504"/>
    <w:rsid w:val="00CE3541"/>
    <w:rsid w:val="00CE37F3"/>
    <w:rsid w:val="00CE3842"/>
    <w:rsid w:val="00CE38D5"/>
    <w:rsid w:val="00CE3CAD"/>
    <w:rsid w:val="00CE3E01"/>
    <w:rsid w:val="00CE3EA6"/>
    <w:rsid w:val="00CE4085"/>
    <w:rsid w:val="00CE4EB0"/>
    <w:rsid w:val="00CE507E"/>
    <w:rsid w:val="00CE564F"/>
    <w:rsid w:val="00CE5943"/>
    <w:rsid w:val="00CE5D0F"/>
    <w:rsid w:val="00CE6220"/>
    <w:rsid w:val="00CE67B8"/>
    <w:rsid w:val="00CE6807"/>
    <w:rsid w:val="00CE6811"/>
    <w:rsid w:val="00CE6C1D"/>
    <w:rsid w:val="00CE6E43"/>
    <w:rsid w:val="00CE7148"/>
    <w:rsid w:val="00CE7932"/>
    <w:rsid w:val="00CE7A22"/>
    <w:rsid w:val="00CE7D66"/>
    <w:rsid w:val="00CE7DAC"/>
    <w:rsid w:val="00CF03B0"/>
    <w:rsid w:val="00CF0424"/>
    <w:rsid w:val="00CF08F8"/>
    <w:rsid w:val="00CF1358"/>
    <w:rsid w:val="00CF13FF"/>
    <w:rsid w:val="00CF14A5"/>
    <w:rsid w:val="00CF17C9"/>
    <w:rsid w:val="00CF184F"/>
    <w:rsid w:val="00CF1BBD"/>
    <w:rsid w:val="00CF1CA3"/>
    <w:rsid w:val="00CF25F2"/>
    <w:rsid w:val="00CF2779"/>
    <w:rsid w:val="00CF28B9"/>
    <w:rsid w:val="00CF2B33"/>
    <w:rsid w:val="00CF2FB3"/>
    <w:rsid w:val="00CF3674"/>
    <w:rsid w:val="00CF3C08"/>
    <w:rsid w:val="00CF3F58"/>
    <w:rsid w:val="00CF3F72"/>
    <w:rsid w:val="00CF4046"/>
    <w:rsid w:val="00CF45E2"/>
    <w:rsid w:val="00CF4B60"/>
    <w:rsid w:val="00CF4C35"/>
    <w:rsid w:val="00CF4F5C"/>
    <w:rsid w:val="00CF4F6D"/>
    <w:rsid w:val="00CF50B7"/>
    <w:rsid w:val="00CF51B3"/>
    <w:rsid w:val="00CF5714"/>
    <w:rsid w:val="00CF5D25"/>
    <w:rsid w:val="00CF6010"/>
    <w:rsid w:val="00CF616D"/>
    <w:rsid w:val="00CF639E"/>
    <w:rsid w:val="00CF6693"/>
    <w:rsid w:val="00CF6C9D"/>
    <w:rsid w:val="00CF6F23"/>
    <w:rsid w:val="00CF6FAF"/>
    <w:rsid w:val="00CF72F9"/>
    <w:rsid w:val="00CF74A9"/>
    <w:rsid w:val="00CF7584"/>
    <w:rsid w:val="00CF78A3"/>
    <w:rsid w:val="00CF7EB2"/>
    <w:rsid w:val="00D004BD"/>
    <w:rsid w:val="00D006A9"/>
    <w:rsid w:val="00D00935"/>
    <w:rsid w:val="00D0099C"/>
    <w:rsid w:val="00D009DA"/>
    <w:rsid w:val="00D00CA7"/>
    <w:rsid w:val="00D01B21"/>
    <w:rsid w:val="00D01BD1"/>
    <w:rsid w:val="00D01C67"/>
    <w:rsid w:val="00D01D15"/>
    <w:rsid w:val="00D01D53"/>
    <w:rsid w:val="00D0216C"/>
    <w:rsid w:val="00D023B9"/>
    <w:rsid w:val="00D0298A"/>
    <w:rsid w:val="00D02995"/>
    <w:rsid w:val="00D02BA5"/>
    <w:rsid w:val="00D02EAC"/>
    <w:rsid w:val="00D0300A"/>
    <w:rsid w:val="00D03195"/>
    <w:rsid w:val="00D03322"/>
    <w:rsid w:val="00D03377"/>
    <w:rsid w:val="00D03589"/>
    <w:rsid w:val="00D03C15"/>
    <w:rsid w:val="00D03DCD"/>
    <w:rsid w:val="00D0420B"/>
    <w:rsid w:val="00D044B8"/>
    <w:rsid w:val="00D053CD"/>
    <w:rsid w:val="00D05408"/>
    <w:rsid w:val="00D056B3"/>
    <w:rsid w:val="00D05B21"/>
    <w:rsid w:val="00D05BD5"/>
    <w:rsid w:val="00D05C1F"/>
    <w:rsid w:val="00D0648D"/>
    <w:rsid w:val="00D06993"/>
    <w:rsid w:val="00D06A55"/>
    <w:rsid w:val="00D06C9D"/>
    <w:rsid w:val="00D06D1F"/>
    <w:rsid w:val="00D06D6C"/>
    <w:rsid w:val="00D072EC"/>
    <w:rsid w:val="00D073EB"/>
    <w:rsid w:val="00D074EB"/>
    <w:rsid w:val="00D0783E"/>
    <w:rsid w:val="00D07C89"/>
    <w:rsid w:val="00D07E57"/>
    <w:rsid w:val="00D07EE9"/>
    <w:rsid w:val="00D109AF"/>
    <w:rsid w:val="00D10C81"/>
    <w:rsid w:val="00D10CE0"/>
    <w:rsid w:val="00D110BB"/>
    <w:rsid w:val="00D1138D"/>
    <w:rsid w:val="00D126DF"/>
    <w:rsid w:val="00D12B92"/>
    <w:rsid w:val="00D12C2D"/>
    <w:rsid w:val="00D12D71"/>
    <w:rsid w:val="00D12E3F"/>
    <w:rsid w:val="00D13745"/>
    <w:rsid w:val="00D1382E"/>
    <w:rsid w:val="00D13CA5"/>
    <w:rsid w:val="00D13DF1"/>
    <w:rsid w:val="00D13DFB"/>
    <w:rsid w:val="00D1433D"/>
    <w:rsid w:val="00D1454C"/>
    <w:rsid w:val="00D14793"/>
    <w:rsid w:val="00D147A2"/>
    <w:rsid w:val="00D14E1E"/>
    <w:rsid w:val="00D14FC9"/>
    <w:rsid w:val="00D1595C"/>
    <w:rsid w:val="00D1695B"/>
    <w:rsid w:val="00D16B76"/>
    <w:rsid w:val="00D171E7"/>
    <w:rsid w:val="00D172D1"/>
    <w:rsid w:val="00D17A75"/>
    <w:rsid w:val="00D20262"/>
    <w:rsid w:val="00D21513"/>
    <w:rsid w:val="00D21A0D"/>
    <w:rsid w:val="00D21BD0"/>
    <w:rsid w:val="00D21C99"/>
    <w:rsid w:val="00D22145"/>
    <w:rsid w:val="00D224B7"/>
    <w:rsid w:val="00D2261C"/>
    <w:rsid w:val="00D22A1D"/>
    <w:rsid w:val="00D22AF6"/>
    <w:rsid w:val="00D22CB2"/>
    <w:rsid w:val="00D22F00"/>
    <w:rsid w:val="00D22F59"/>
    <w:rsid w:val="00D234DF"/>
    <w:rsid w:val="00D23D52"/>
    <w:rsid w:val="00D23FC4"/>
    <w:rsid w:val="00D240CF"/>
    <w:rsid w:val="00D241B3"/>
    <w:rsid w:val="00D24335"/>
    <w:rsid w:val="00D24549"/>
    <w:rsid w:val="00D24D62"/>
    <w:rsid w:val="00D25490"/>
    <w:rsid w:val="00D254AE"/>
    <w:rsid w:val="00D2584C"/>
    <w:rsid w:val="00D25D03"/>
    <w:rsid w:val="00D262F5"/>
    <w:rsid w:val="00D26481"/>
    <w:rsid w:val="00D26B74"/>
    <w:rsid w:val="00D26F37"/>
    <w:rsid w:val="00D2705E"/>
    <w:rsid w:val="00D2750E"/>
    <w:rsid w:val="00D27685"/>
    <w:rsid w:val="00D27A6D"/>
    <w:rsid w:val="00D27B2E"/>
    <w:rsid w:val="00D27F96"/>
    <w:rsid w:val="00D27FAB"/>
    <w:rsid w:val="00D27FC1"/>
    <w:rsid w:val="00D30060"/>
    <w:rsid w:val="00D30306"/>
    <w:rsid w:val="00D30420"/>
    <w:rsid w:val="00D3064F"/>
    <w:rsid w:val="00D30932"/>
    <w:rsid w:val="00D30BEC"/>
    <w:rsid w:val="00D30EF8"/>
    <w:rsid w:val="00D31127"/>
    <w:rsid w:val="00D31165"/>
    <w:rsid w:val="00D311A9"/>
    <w:rsid w:val="00D312E9"/>
    <w:rsid w:val="00D31E65"/>
    <w:rsid w:val="00D323D0"/>
    <w:rsid w:val="00D3252E"/>
    <w:rsid w:val="00D3265E"/>
    <w:rsid w:val="00D32A4B"/>
    <w:rsid w:val="00D33015"/>
    <w:rsid w:val="00D3306D"/>
    <w:rsid w:val="00D33C3D"/>
    <w:rsid w:val="00D33C4F"/>
    <w:rsid w:val="00D33F83"/>
    <w:rsid w:val="00D342BD"/>
    <w:rsid w:val="00D3458B"/>
    <w:rsid w:val="00D34610"/>
    <w:rsid w:val="00D346BA"/>
    <w:rsid w:val="00D347B4"/>
    <w:rsid w:val="00D348D0"/>
    <w:rsid w:val="00D349D4"/>
    <w:rsid w:val="00D34DFB"/>
    <w:rsid w:val="00D35289"/>
    <w:rsid w:val="00D354F0"/>
    <w:rsid w:val="00D355D9"/>
    <w:rsid w:val="00D35813"/>
    <w:rsid w:val="00D35AFC"/>
    <w:rsid w:val="00D35BF1"/>
    <w:rsid w:val="00D35D03"/>
    <w:rsid w:val="00D35ED9"/>
    <w:rsid w:val="00D35F69"/>
    <w:rsid w:val="00D36012"/>
    <w:rsid w:val="00D3605A"/>
    <w:rsid w:val="00D3607A"/>
    <w:rsid w:val="00D360EC"/>
    <w:rsid w:val="00D362A2"/>
    <w:rsid w:val="00D363C9"/>
    <w:rsid w:val="00D36655"/>
    <w:rsid w:val="00D3689C"/>
    <w:rsid w:val="00D36B7B"/>
    <w:rsid w:val="00D37863"/>
    <w:rsid w:val="00D379A1"/>
    <w:rsid w:val="00D37B3E"/>
    <w:rsid w:val="00D37B86"/>
    <w:rsid w:val="00D37D81"/>
    <w:rsid w:val="00D37FC8"/>
    <w:rsid w:val="00D4039F"/>
    <w:rsid w:val="00D407AA"/>
    <w:rsid w:val="00D40976"/>
    <w:rsid w:val="00D40F09"/>
    <w:rsid w:val="00D41188"/>
    <w:rsid w:val="00D4123C"/>
    <w:rsid w:val="00D412F0"/>
    <w:rsid w:val="00D417C2"/>
    <w:rsid w:val="00D41DD3"/>
    <w:rsid w:val="00D421ED"/>
    <w:rsid w:val="00D42263"/>
    <w:rsid w:val="00D422DE"/>
    <w:rsid w:val="00D4241C"/>
    <w:rsid w:val="00D42DC9"/>
    <w:rsid w:val="00D433D3"/>
    <w:rsid w:val="00D43537"/>
    <w:rsid w:val="00D43BB7"/>
    <w:rsid w:val="00D44088"/>
    <w:rsid w:val="00D4416F"/>
    <w:rsid w:val="00D44255"/>
    <w:rsid w:val="00D442CE"/>
    <w:rsid w:val="00D44585"/>
    <w:rsid w:val="00D44918"/>
    <w:rsid w:val="00D449BE"/>
    <w:rsid w:val="00D451E0"/>
    <w:rsid w:val="00D452CC"/>
    <w:rsid w:val="00D4568C"/>
    <w:rsid w:val="00D45A03"/>
    <w:rsid w:val="00D45AD3"/>
    <w:rsid w:val="00D45AD9"/>
    <w:rsid w:val="00D468B8"/>
    <w:rsid w:val="00D46C13"/>
    <w:rsid w:val="00D4773D"/>
    <w:rsid w:val="00D47C69"/>
    <w:rsid w:val="00D47F12"/>
    <w:rsid w:val="00D47FFE"/>
    <w:rsid w:val="00D5009F"/>
    <w:rsid w:val="00D50185"/>
    <w:rsid w:val="00D5018C"/>
    <w:rsid w:val="00D5037F"/>
    <w:rsid w:val="00D504ED"/>
    <w:rsid w:val="00D5074F"/>
    <w:rsid w:val="00D50C15"/>
    <w:rsid w:val="00D50CE4"/>
    <w:rsid w:val="00D51082"/>
    <w:rsid w:val="00D5148E"/>
    <w:rsid w:val="00D51A7F"/>
    <w:rsid w:val="00D51C7D"/>
    <w:rsid w:val="00D51F78"/>
    <w:rsid w:val="00D52019"/>
    <w:rsid w:val="00D5226F"/>
    <w:rsid w:val="00D52599"/>
    <w:rsid w:val="00D525AD"/>
    <w:rsid w:val="00D52671"/>
    <w:rsid w:val="00D52C22"/>
    <w:rsid w:val="00D53289"/>
    <w:rsid w:val="00D53898"/>
    <w:rsid w:val="00D53A1F"/>
    <w:rsid w:val="00D53F28"/>
    <w:rsid w:val="00D53F76"/>
    <w:rsid w:val="00D540CB"/>
    <w:rsid w:val="00D549D3"/>
    <w:rsid w:val="00D54E7E"/>
    <w:rsid w:val="00D55486"/>
    <w:rsid w:val="00D554FB"/>
    <w:rsid w:val="00D55616"/>
    <w:rsid w:val="00D557CB"/>
    <w:rsid w:val="00D55BED"/>
    <w:rsid w:val="00D55E51"/>
    <w:rsid w:val="00D56100"/>
    <w:rsid w:val="00D565AA"/>
    <w:rsid w:val="00D566EB"/>
    <w:rsid w:val="00D56E13"/>
    <w:rsid w:val="00D56F11"/>
    <w:rsid w:val="00D5735B"/>
    <w:rsid w:val="00D57692"/>
    <w:rsid w:val="00D57A9A"/>
    <w:rsid w:val="00D57F68"/>
    <w:rsid w:val="00D57FBF"/>
    <w:rsid w:val="00D60564"/>
    <w:rsid w:val="00D606AF"/>
    <w:rsid w:val="00D60AAE"/>
    <w:rsid w:val="00D60B3B"/>
    <w:rsid w:val="00D60BEC"/>
    <w:rsid w:val="00D60F46"/>
    <w:rsid w:val="00D60FDD"/>
    <w:rsid w:val="00D61092"/>
    <w:rsid w:val="00D611BA"/>
    <w:rsid w:val="00D6135E"/>
    <w:rsid w:val="00D61670"/>
    <w:rsid w:val="00D622B7"/>
    <w:rsid w:val="00D62566"/>
    <w:rsid w:val="00D62AA5"/>
    <w:rsid w:val="00D62CC3"/>
    <w:rsid w:val="00D62E39"/>
    <w:rsid w:val="00D63B30"/>
    <w:rsid w:val="00D63C14"/>
    <w:rsid w:val="00D64237"/>
    <w:rsid w:val="00D6464A"/>
    <w:rsid w:val="00D64A48"/>
    <w:rsid w:val="00D64D0A"/>
    <w:rsid w:val="00D64D53"/>
    <w:rsid w:val="00D64DE1"/>
    <w:rsid w:val="00D65269"/>
    <w:rsid w:val="00D654EE"/>
    <w:rsid w:val="00D657B6"/>
    <w:rsid w:val="00D65B0A"/>
    <w:rsid w:val="00D65B56"/>
    <w:rsid w:val="00D65C8C"/>
    <w:rsid w:val="00D66022"/>
    <w:rsid w:val="00D67500"/>
    <w:rsid w:val="00D677B3"/>
    <w:rsid w:val="00D679D7"/>
    <w:rsid w:val="00D67AF9"/>
    <w:rsid w:val="00D67DFD"/>
    <w:rsid w:val="00D67EA1"/>
    <w:rsid w:val="00D709B7"/>
    <w:rsid w:val="00D70B64"/>
    <w:rsid w:val="00D70DEE"/>
    <w:rsid w:val="00D70EF4"/>
    <w:rsid w:val="00D71042"/>
    <w:rsid w:val="00D711A8"/>
    <w:rsid w:val="00D712A8"/>
    <w:rsid w:val="00D713A8"/>
    <w:rsid w:val="00D719B3"/>
    <w:rsid w:val="00D71E2A"/>
    <w:rsid w:val="00D71E6D"/>
    <w:rsid w:val="00D72058"/>
    <w:rsid w:val="00D7373A"/>
    <w:rsid w:val="00D73D99"/>
    <w:rsid w:val="00D74014"/>
    <w:rsid w:val="00D741EF"/>
    <w:rsid w:val="00D74428"/>
    <w:rsid w:val="00D744E1"/>
    <w:rsid w:val="00D74A6D"/>
    <w:rsid w:val="00D74FA1"/>
    <w:rsid w:val="00D752CA"/>
    <w:rsid w:val="00D75335"/>
    <w:rsid w:val="00D7572D"/>
    <w:rsid w:val="00D7587F"/>
    <w:rsid w:val="00D76083"/>
    <w:rsid w:val="00D76154"/>
    <w:rsid w:val="00D76292"/>
    <w:rsid w:val="00D76870"/>
    <w:rsid w:val="00D76A7B"/>
    <w:rsid w:val="00D77820"/>
    <w:rsid w:val="00D77DA6"/>
    <w:rsid w:val="00D802F1"/>
    <w:rsid w:val="00D8045A"/>
    <w:rsid w:val="00D80992"/>
    <w:rsid w:val="00D80D32"/>
    <w:rsid w:val="00D812BA"/>
    <w:rsid w:val="00D81650"/>
    <w:rsid w:val="00D8179D"/>
    <w:rsid w:val="00D817EC"/>
    <w:rsid w:val="00D819DB"/>
    <w:rsid w:val="00D81AFE"/>
    <w:rsid w:val="00D81C9F"/>
    <w:rsid w:val="00D81FF4"/>
    <w:rsid w:val="00D82461"/>
    <w:rsid w:val="00D826E4"/>
    <w:rsid w:val="00D82B76"/>
    <w:rsid w:val="00D82C15"/>
    <w:rsid w:val="00D82D26"/>
    <w:rsid w:val="00D82FB2"/>
    <w:rsid w:val="00D830BA"/>
    <w:rsid w:val="00D836CF"/>
    <w:rsid w:val="00D8391A"/>
    <w:rsid w:val="00D83CE3"/>
    <w:rsid w:val="00D83D50"/>
    <w:rsid w:val="00D83D64"/>
    <w:rsid w:val="00D83F7D"/>
    <w:rsid w:val="00D844AB"/>
    <w:rsid w:val="00D84731"/>
    <w:rsid w:val="00D847DC"/>
    <w:rsid w:val="00D84CBD"/>
    <w:rsid w:val="00D84E3F"/>
    <w:rsid w:val="00D86323"/>
    <w:rsid w:val="00D8682C"/>
    <w:rsid w:val="00D86BB0"/>
    <w:rsid w:val="00D86C14"/>
    <w:rsid w:val="00D86C51"/>
    <w:rsid w:val="00D86C5B"/>
    <w:rsid w:val="00D86DCD"/>
    <w:rsid w:val="00D86EE7"/>
    <w:rsid w:val="00D86EE9"/>
    <w:rsid w:val="00D870BB"/>
    <w:rsid w:val="00D8741F"/>
    <w:rsid w:val="00D877C6"/>
    <w:rsid w:val="00D878B7"/>
    <w:rsid w:val="00D87959"/>
    <w:rsid w:val="00D87A69"/>
    <w:rsid w:val="00D87C56"/>
    <w:rsid w:val="00D87C75"/>
    <w:rsid w:val="00D902DC"/>
    <w:rsid w:val="00D906BD"/>
    <w:rsid w:val="00D90E0A"/>
    <w:rsid w:val="00D90F6A"/>
    <w:rsid w:val="00D90FCA"/>
    <w:rsid w:val="00D910B6"/>
    <w:rsid w:val="00D9134D"/>
    <w:rsid w:val="00D91831"/>
    <w:rsid w:val="00D919CE"/>
    <w:rsid w:val="00D91DEB"/>
    <w:rsid w:val="00D91F98"/>
    <w:rsid w:val="00D91FA7"/>
    <w:rsid w:val="00D920BE"/>
    <w:rsid w:val="00D920DE"/>
    <w:rsid w:val="00D923E7"/>
    <w:rsid w:val="00D923F6"/>
    <w:rsid w:val="00D92624"/>
    <w:rsid w:val="00D926E8"/>
    <w:rsid w:val="00D92B07"/>
    <w:rsid w:val="00D92CF0"/>
    <w:rsid w:val="00D92DE6"/>
    <w:rsid w:val="00D93BD7"/>
    <w:rsid w:val="00D93DBB"/>
    <w:rsid w:val="00D944AF"/>
    <w:rsid w:val="00D9453C"/>
    <w:rsid w:val="00D9456D"/>
    <w:rsid w:val="00D94832"/>
    <w:rsid w:val="00D94A51"/>
    <w:rsid w:val="00D94DB3"/>
    <w:rsid w:val="00D94FFA"/>
    <w:rsid w:val="00D95310"/>
    <w:rsid w:val="00D95791"/>
    <w:rsid w:val="00D95972"/>
    <w:rsid w:val="00D9664E"/>
    <w:rsid w:val="00D96C66"/>
    <w:rsid w:val="00D96D5D"/>
    <w:rsid w:val="00D973F1"/>
    <w:rsid w:val="00D9780F"/>
    <w:rsid w:val="00D978FF"/>
    <w:rsid w:val="00D979E8"/>
    <w:rsid w:val="00D97AAF"/>
    <w:rsid w:val="00DA0040"/>
    <w:rsid w:val="00DA0251"/>
    <w:rsid w:val="00DA06C7"/>
    <w:rsid w:val="00DA0F4F"/>
    <w:rsid w:val="00DA1174"/>
    <w:rsid w:val="00DA121B"/>
    <w:rsid w:val="00DA132F"/>
    <w:rsid w:val="00DA178A"/>
    <w:rsid w:val="00DA1B14"/>
    <w:rsid w:val="00DA25E9"/>
    <w:rsid w:val="00DA284A"/>
    <w:rsid w:val="00DA2864"/>
    <w:rsid w:val="00DA2A35"/>
    <w:rsid w:val="00DA2BC4"/>
    <w:rsid w:val="00DA2BEB"/>
    <w:rsid w:val="00DA2FCA"/>
    <w:rsid w:val="00DA3459"/>
    <w:rsid w:val="00DA411F"/>
    <w:rsid w:val="00DA43EC"/>
    <w:rsid w:val="00DA4601"/>
    <w:rsid w:val="00DA464A"/>
    <w:rsid w:val="00DA4812"/>
    <w:rsid w:val="00DA4A84"/>
    <w:rsid w:val="00DA4AFA"/>
    <w:rsid w:val="00DA4B28"/>
    <w:rsid w:val="00DA4B52"/>
    <w:rsid w:val="00DA4C66"/>
    <w:rsid w:val="00DA4DF6"/>
    <w:rsid w:val="00DA4E74"/>
    <w:rsid w:val="00DA4EB1"/>
    <w:rsid w:val="00DA4F97"/>
    <w:rsid w:val="00DA5104"/>
    <w:rsid w:val="00DA55D2"/>
    <w:rsid w:val="00DA571A"/>
    <w:rsid w:val="00DA5D37"/>
    <w:rsid w:val="00DA6797"/>
    <w:rsid w:val="00DA69CA"/>
    <w:rsid w:val="00DA6CA2"/>
    <w:rsid w:val="00DA6EC8"/>
    <w:rsid w:val="00DA722B"/>
    <w:rsid w:val="00DA732C"/>
    <w:rsid w:val="00DA7563"/>
    <w:rsid w:val="00DA75BA"/>
    <w:rsid w:val="00DA76EB"/>
    <w:rsid w:val="00DA7D6C"/>
    <w:rsid w:val="00DA7E68"/>
    <w:rsid w:val="00DB00A9"/>
    <w:rsid w:val="00DB00CD"/>
    <w:rsid w:val="00DB0180"/>
    <w:rsid w:val="00DB028E"/>
    <w:rsid w:val="00DB0375"/>
    <w:rsid w:val="00DB05C7"/>
    <w:rsid w:val="00DB0EAE"/>
    <w:rsid w:val="00DB1098"/>
    <w:rsid w:val="00DB1445"/>
    <w:rsid w:val="00DB16D1"/>
    <w:rsid w:val="00DB1807"/>
    <w:rsid w:val="00DB1901"/>
    <w:rsid w:val="00DB1A39"/>
    <w:rsid w:val="00DB1FC5"/>
    <w:rsid w:val="00DB246B"/>
    <w:rsid w:val="00DB2758"/>
    <w:rsid w:val="00DB29F7"/>
    <w:rsid w:val="00DB2B38"/>
    <w:rsid w:val="00DB2BBB"/>
    <w:rsid w:val="00DB2C0D"/>
    <w:rsid w:val="00DB30CD"/>
    <w:rsid w:val="00DB310D"/>
    <w:rsid w:val="00DB3699"/>
    <w:rsid w:val="00DB4151"/>
    <w:rsid w:val="00DB424B"/>
    <w:rsid w:val="00DB4294"/>
    <w:rsid w:val="00DB4326"/>
    <w:rsid w:val="00DB46B8"/>
    <w:rsid w:val="00DB4855"/>
    <w:rsid w:val="00DB4B5C"/>
    <w:rsid w:val="00DB4EF1"/>
    <w:rsid w:val="00DB5249"/>
    <w:rsid w:val="00DB5AB7"/>
    <w:rsid w:val="00DB5D2F"/>
    <w:rsid w:val="00DB606D"/>
    <w:rsid w:val="00DB6263"/>
    <w:rsid w:val="00DB66D2"/>
    <w:rsid w:val="00DB6EF8"/>
    <w:rsid w:val="00DB724C"/>
    <w:rsid w:val="00DB753B"/>
    <w:rsid w:val="00DB768A"/>
    <w:rsid w:val="00DB7AAC"/>
    <w:rsid w:val="00DB7DFC"/>
    <w:rsid w:val="00DB7EA9"/>
    <w:rsid w:val="00DB7FBA"/>
    <w:rsid w:val="00DC03B4"/>
    <w:rsid w:val="00DC05D4"/>
    <w:rsid w:val="00DC0890"/>
    <w:rsid w:val="00DC0965"/>
    <w:rsid w:val="00DC1179"/>
    <w:rsid w:val="00DC1A26"/>
    <w:rsid w:val="00DC1B1E"/>
    <w:rsid w:val="00DC1BB5"/>
    <w:rsid w:val="00DC1D7D"/>
    <w:rsid w:val="00DC2050"/>
    <w:rsid w:val="00DC20D9"/>
    <w:rsid w:val="00DC21FC"/>
    <w:rsid w:val="00DC2350"/>
    <w:rsid w:val="00DC2382"/>
    <w:rsid w:val="00DC27A0"/>
    <w:rsid w:val="00DC2958"/>
    <w:rsid w:val="00DC2BB9"/>
    <w:rsid w:val="00DC3099"/>
    <w:rsid w:val="00DC352E"/>
    <w:rsid w:val="00DC3654"/>
    <w:rsid w:val="00DC3A24"/>
    <w:rsid w:val="00DC44A7"/>
    <w:rsid w:val="00DC44D4"/>
    <w:rsid w:val="00DC4543"/>
    <w:rsid w:val="00DC48E9"/>
    <w:rsid w:val="00DC4A43"/>
    <w:rsid w:val="00DC4B85"/>
    <w:rsid w:val="00DC4C35"/>
    <w:rsid w:val="00DC514D"/>
    <w:rsid w:val="00DC5394"/>
    <w:rsid w:val="00DC569F"/>
    <w:rsid w:val="00DC58C9"/>
    <w:rsid w:val="00DC5BD6"/>
    <w:rsid w:val="00DC5F2E"/>
    <w:rsid w:val="00DC6806"/>
    <w:rsid w:val="00DC6F6B"/>
    <w:rsid w:val="00DC7258"/>
    <w:rsid w:val="00DC7657"/>
    <w:rsid w:val="00DC7664"/>
    <w:rsid w:val="00DC7B86"/>
    <w:rsid w:val="00DC7C42"/>
    <w:rsid w:val="00DC7CFD"/>
    <w:rsid w:val="00DC7EF4"/>
    <w:rsid w:val="00DD04BD"/>
    <w:rsid w:val="00DD091B"/>
    <w:rsid w:val="00DD0AC3"/>
    <w:rsid w:val="00DD0E4C"/>
    <w:rsid w:val="00DD11F4"/>
    <w:rsid w:val="00DD126A"/>
    <w:rsid w:val="00DD1C4E"/>
    <w:rsid w:val="00DD1D51"/>
    <w:rsid w:val="00DD1EBC"/>
    <w:rsid w:val="00DD24F1"/>
    <w:rsid w:val="00DD2501"/>
    <w:rsid w:val="00DD26F9"/>
    <w:rsid w:val="00DD2836"/>
    <w:rsid w:val="00DD2A81"/>
    <w:rsid w:val="00DD2D80"/>
    <w:rsid w:val="00DD2E4C"/>
    <w:rsid w:val="00DD3ADD"/>
    <w:rsid w:val="00DD3B05"/>
    <w:rsid w:val="00DD462E"/>
    <w:rsid w:val="00DD516F"/>
    <w:rsid w:val="00DD53F8"/>
    <w:rsid w:val="00DD5FF7"/>
    <w:rsid w:val="00DD6050"/>
    <w:rsid w:val="00DD645E"/>
    <w:rsid w:val="00DD6650"/>
    <w:rsid w:val="00DD69AF"/>
    <w:rsid w:val="00DD6AE3"/>
    <w:rsid w:val="00DD7086"/>
    <w:rsid w:val="00DD724B"/>
    <w:rsid w:val="00DD72DB"/>
    <w:rsid w:val="00DD74AB"/>
    <w:rsid w:val="00DD7925"/>
    <w:rsid w:val="00DD7BC7"/>
    <w:rsid w:val="00DD7D96"/>
    <w:rsid w:val="00DD7F80"/>
    <w:rsid w:val="00DE0238"/>
    <w:rsid w:val="00DE0809"/>
    <w:rsid w:val="00DE0991"/>
    <w:rsid w:val="00DE09D8"/>
    <w:rsid w:val="00DE0F52"/>
    <w:rsid w:val="00DE15E0"/>
    <w:rsid w:val="00DE1840"/>
    <w:rsid w:val="00DE1950"/>
    <w:rsid w:val="00DE1FE6"/>
    <w:rsid w:val="00DE2653"/>
    <w:rsid w:val="00DE27D4"/>
    <w:rsid w:val="00DE296B"/>
    <w:rsid w:val="00DE2B94"/>
    <w:rsid w:val="00DE2D31"/>
    <w:rsid w:val="00DE2EF4"/>
    <w:rsid w:val="00DE3323"/>
    <w:rsid w:val="00DE337A"/>
    <w:rsid w:val="00DE351B"/>
    <w:rsid w:val="00DE3D7D"/>
    <w:rsid w:val="00DE3FA4"/>
    <w:rsid w:val="00DE40A0"/>
    <w:rsid w:val="00DE45C5"/>
    <w:rsid w:val="00DE4C0C"/>
    <w:rsid w:val="00DE4DB6"/>
    <w:rsid w:val="00DE528D"/>
    <w:rsid w:val="00DE5BC9"/>
    <w:rsid w:val="00DE5DBE"/>
    <w:rsid w:val="00DE5EED"/>
    <w:rsid w:val="00DE5F34"/>
    <w:rsid w:val="00DE61D8"/>
    <w:rsid w:val="00DE6413"/>
    <w:rsid w:val="00DE6444"/>
    <w:rsid w:val="00DE6751"/>
    <w:rsid w:val="00DE6939"/>
    <w:rsid w:val="00DE6B88"/>
    <w:rsid w:val="00DE6D26"/>
    <w:rsid w:val="00DE6D31"/>
    <w:rsid w:val="00DE70AA"/>
    <w:rsid w:val="00DE71AC"/>
    <w:rsid w:val="00DE7C91"/>
    <w:rsid w:val="00DF017B"/>
    <w:rsid w:val="00DF08F2"/>
    <w:rsid w:val="00DF0D81"/>
    <w:rsid w:val="00DF0F17"/>
    <w:rsid w:val="00DF1014"/>
    <w:rsid w:val="00DF10D3"/>
    <w:rsid w:val="00DF1292"/>
    <w:rsid w:val="00DF185F"/>
    <w:rsid w:val="00DF1936"/>
    <w:rsid w:val="00DF2060"/>
    <w:rsid w:val="00DF2073"/>
    <w:rsid w:val="00DF21B7"/>
    <w:rsid w:val="00DF23E9"/>
    <w:rsid w:val="00DF2572"/>
    <w:rsid w:val="00DF27D1"/>
    <w:rsid w:val="00DF2ABD"/>
    <w:rsid w:val="00DF2DE0"/>
    <w:rsid w:val="00DF3228"/>
    <w:rsid w:val="00DF350D"/>
    <w:rsid w:val="00DF36B9"/>
    <w:rsid w:val="00DF3764"/>
    <w:rsid w:val="00DF400C"/>
    <w:rsid w:val="00DF4142"/>
    <w:rsid w:val="00DF434A"/>
    <w:rsid w:val="00DF4D20"/>
    <w:rsid w:val="00DF4D9F"/>
    <w:rsid w:val="00DF52CF"/>
    <w:rsid w:val="00DF5542"/>
    <w:rsid w:val="00DF5829"/>
    <w:rsid w:val="00DF5F03"/>
    <w:rsid w:val="00DF6034"/>
    <w:rsid w:val="00DF6372"/>
    <w:rsid w:val="00DF63B0"/>
    <w:rsid w:val="00DF65FB"/>
    <w:rsid w:val="00DF6D77"/>
    <w:rsid w:val="00DF7229"/>
    <w:rsid w:val="00DF723A"/>
    <w:rsid w:val="00DF782F"/>
    <w:rsid w:val="00DF7C36"/>
    <w:rsid w:val="00DF7EAF"/>
    <w:rsid w:val="00DF7EBC"/>
    <w:rsid w:val="00DF7F26"/>
    <w:rsid w:val="00E001A2"/>
    <w:rsid w:val="00E00CFA"/>
    <w:rsid w:val="00E00F74"/>
    <w:rsid w:val="00E01259"/>
    <w:rsid w:val="00E0150C"/>
    <w:rsid w:val="00E01895"/>
    <w:rsid w:val="00E01EA9"/>
    <w:rsid w:val="00E02C7C"/>
    <w:rsid w:val="00E030E5"/>
    <w:rsid w:val="00E03575"/>
    <w:rsid w:val="00E0375B"/>
    <w:rsid w:val="00E03D68"/>
    <w:rsid w:val="00E04065"/>
    <w:rsid w:val="00E040E1"/>
    <w:rsid w:val="00E043A4"/>
    <w:rsid w:val="00E048EC"/>
    <w:rsid w:val="00E04B67"/>
    <w:rsid w:val="00E04D15"/>
    <w:rsid w:val="00E0507D"/>
    <w:rsid w:val="00E05207"/>
    <w:rsid w:val="00E0527F"/>
    <w:rsid w:val="00E052DC"/>
    <w:rsid w:val="00E05959"/>
    <w:rsid w:val="00E05BA9"/>
    <w:rsid w:val="00E05E9C"/>
    <w:rsid w:val="00E0610F"/>
    <w:rsid w:val="00E06140"/>
    <w:rsid w:val="00E061A1"/>
    <w:rsid w:val="00E065AD"/>
    <w:rsid w:val="00E06690"/>
    <w:rsid w:val="00E07187"/>
    <w:rsid w:val="00E0751E"/>
    <w:rsid w:val="00E0762F"/>
    <w:rsid w:val="00E07C01"/>
    <w:rsid w:val="00E07F98"/>
    <w:rsid w:val="00E07FD3"/>
    <w:rsid w:val="00E1037F"/>
    <w:rsid w:val="00E1039F"/>
    <w:rsid w:val="00E104E6"/>
    <w:rsid w:val="00E105EE"/>
    <w:rsid w:val="00E109D2"/>
    <w:rsid w:val="00E10E1D"/>
    <w:rsid w:val="00E113C5"/>
    <w:rsid w:val="00E1153B"/>
    <w:rsid w:val="00E11A44"/>
    <w:rsid w:val="00E1204D"/>
    <w:rsid w:val="00E12542"/>
    <w:rsid w:val="00E128B0"/>
    <w:rsid w:val="00E12A6A"/>
    <w:rsid w:val="00E12EE6"/>
    <w:rsid w:val="00E12F57"/>
    <w:rsid w:val="00E13B8C"/>
    <w:rsid w:val="00E13E58"/>
    <w:rsid w:val="00E141C8"/>
    <w:rsid w:val="00E143FA"/>
    <w:rsid w:val="00E14E6C"/>
    <w:rsid w:val="00E14FD4"/>
    <w:rsid w:val="00E152E2"/>
    <w:rsid w:val="00E1538E"/>
    <w:rsid w:val="00E153F1"/>
    <w:rsid w:val="00E1551F"/>
    <w:rsid w:val="00E15B25"/>
    <w:rsid w:val="00E15DB9"/>
    <w:rsid w:val="00E15E10"/>
    <w:rsid w:val="00E1638A"/>
    <w:rsid w:val="00E163F0"/>
    <w:rsid w:val="00E16467"/>
    <w:rsid w:val="00E16536"/>
    <w:rsid w:val="00E168D2"/>
    <w:rsid w:val="00E16ABB"/>
    <w:rsid w:val="00E16BC0"/>
    <w:rsid w:val="00E16F45"/>
    <w:rsid w:val="00E1710F"/>
    <w:rsid w:val="00E17790"/>
    <w:rsid w:val="00E17921"/>
    <w:rsid w:val="00E17BE6"/>
    <w:rsid w:val="00E20092"/>
    <w:rsid w:val="00E207FB"/>
    <w:rsid w:val="00E20C2C"/>
    <w:rsid w:val="00E20C99"/>
    <w:rsid w:val="00E20E7E"/>
    <w:rsid w:val="00E20EF2"/>
    <w:rsid w:val="00E21363"/>
    <w:rsid w:val="00E21465"/>
    <w:rsid w:val="00E21987"/>
    <w:rsid w:val="00E21AFB"/>
    <w:rsid w:val="00E21C57"/>
    <w:rsid w:val="00E2212F"/>
    <w:rsid w:val="00E221AE"/>
    <w:rsid w:val="00E222A0"/>
    <w:rsid w:val="00E224C7"/>
    <w:rsid w:val="00E227E1"/>
    <w:rsid w:val="00E228DC"/>
    <w:rsid w:val="00E229BB"/>
    <w:rsid w:val="00E22C0E"/>
    <w:rsid w:val="00E22F4A"/>
    <w:rsid w:val="00E22FAE"/>
    <w:rsid w:val="00E23220"/>
    <w:rsid w:val="00E23831"/>
    <w:rsid w:val="00E23E4E"/>
    <w:rsid w:val="00E24217"/>
    <w:rsid w:val="00E24738"/>
    <w:rsid w:val="00E2483E"/>
    <w:rsid w:val="00E24979"/>
    <w:rsid w:val="00E24ADC"/>
    <w:rsid w:val="00E24C97"/>
    <w:rsid w:val="00E24CA3"/>
    <w:rsid w:val="00E24D08"/>
    <w:rsid w:val="00E252CA"/>
    <w:rsid w:val="00E255E9"/>
    <w:rsid w:val="00E25672"/>
    <w:rsid w:val="00E257F5"/>
    <w:rsid w:val="00E25ED6"/>
    <w:rsid w:val="00E261D3"/>
    <w:rsid w:val="00E26867"/>
    <w:rsid w:val="00E26C4C"/>
    <w:rsid w:val="00E27404"/>
    <w:rsid w:val="00E27435"/>
    <w:rsid w:val="00E27DBA"/>
    <w:rsid w:val="00E27FED"/>
    <w:rsid w:val="00E30BBF"/>
    <w:rsid w:val="00E30C2C"/>
    <w:rsid w:val="00E30C7D"/>
    <w:rsid w:val="00E30D05"/>
    <w:rsid w:val="00E3117C"/>
    <w:rsid w:val="00E3139E"/>
    <w:rsid w:val="00E3165A"/>
    <w:rsid w:val="00E31924"/>
    <w:rsid w:val="00E319FD"/>
    <w:rsid w:val="00E31C0E"/>
    <w:rsid w:val="00E31DCF"/>
    <w:rsid w:val="00E31F00"/>
    <w:rsid w:val="00E32228"/>
    <w:rsid w:val="00E3222C"/>
    <w:rsid w:val="00E32323"/>
    <w:rsid w:val="00E3244C"/>
    <w:rsid w:val="00E32607"/>
    <w:rsid w:val="00E3266F"/>
    <w:rsid w:val="00E32808"/>
    <w:rsid w:val="00E32975"/>
    <w:rsid w:val="00E332A9"/>
    <w:rsid w:val="00E333C2"/>
    <w:rsid w:val="00E33804"/>
    <w:rsid w:val="00E33A0B"/>
    <w:rsid w:val="00E33A27"/>
    <w:rsid w:val="00E33CF4"/>
    <w:rsid w:val="00E34245"/>
    <w:rsid w:val="00E34955"/>
    <w:rsid w:val="00E349C7"/>
    <w:rsid w:val="00E35040"/>
    <w:rsid w:val="00E35A60"/>
    <w:rsid w:val="00E35B86"/>
    <w:rsid w:val="00E35E68"/>
    <w:rsid w:val="00E35F0E"/>
    <w:rsid w:val="00E362BF"/>
    <w:rsid w:val="00E36FE9"/>
    <w:rsid w:val="00E3714C"/>
    <w:rsid w:val="00E373B2"/>
    <w:rsid w:val="00E37B43"/>
    <w:rsid w:val="00E37D65"/>
    <w:rsid w:val="00E37FD1"/>
    <w:rsid w:val="00E4048D"/>
    <w:rsid w:val="00E40BC9"/>
    <w:rsid w:val="00E40DD7"/>
    <w:rsid w:val="00E410CC"/>
    <w:rsid w:val="00E41577"/>
    <w:rsid w:val="00E416FA"/>
    <w:rsid w:val="00E41846"/>
    <w:rsid w:val="00E41A85"/>
    <w:rsid w:val="00E41BBC"/>
    <w:rsid w:val="00E41D47"/>
    <w:rsid w:val="00E421B9"/>
    <w:rsid w:val="00E42583"/>
    <w:rsid w:val="00E42841"/>
    <w:rsid w:val="00E429C2"/>
    <w:rsid w:val="00E42A22"/>
    <w:rsid w:val="00E42AA7"/>
    <w:rsid w:val="00E42AD1"/>
    <w:rsid w:val="00E42B5F"/>
    <w:rsid w:val="00E42F30"/>
    <w:rsid w:val="00E4316B"/>
    <w:rsid w:val="00E43693"/>
    <w:rsid w:val="00E4395E"/>
    <w:rsid w:val="00E43F93"/>
    <w:rsid w:val="00E44A86"/>
    <w:rsid w:val="00E45255"/>
    <w:rsid w:val="00E45268"/>
    <w:rsid w:val="00E4588A"/>
    <w:rsid w:val="00E459DB"/>
    <w:rsid w:val="00E45CBC"/>
    <w:rsid w:val="00E45E2B"/>
    <w:rsid w:val="00E45F49"/>
    <w:rsid w:val="00E4620E"/>
    <w:rsid w:val="00E4620F"/>
    <w:rsid w:val="00E464A3"/>
    <w:rsid w:val="00E466A6"/>
    <w:rsid w:val="00E466EA"/>
    <w:rsid w:val="00E467B1"/>
    <w:rsid w:val="00E4697D"/>
    <w:rsid w:val="00E46FBD"/>
    <w:rsid w:val="00E47D55"/>
    <w:rsid w:val="00E47E82"/>
    <w:rsid w:val="00E50145"/>
    <w:rsid w:val="00E50350"/>
    <w:rsid w:val="00E50569"/>
    <w:rsid w:val="00E50700"/>
    <w:rsid w:val="00E50822"/>
    <w:rsid w:val="00E50976"/>
    <w:rsid w:val="00E51345"/>
    <w:rsid w:val="00E5174B"/>
    <w:rsid w:val="00E518D5"/>
    <w:rsid w:val="00E51B01"/>
    <w:rsid w:val="00E51C29"/>
    <w:rsid w:val="00E51C9A"/>
    <w:rsid w:val="00E51D12"/>
    <w:rsid w:val="00E5201C"/>
    <w:rsid w:val="00E5216B"/>
    <w:rsid w:val="00E52558"/>
    <w:rsid w:val="00E52632"/>
    <w:rsid w:val="00E52ADB"/>
    <w:rsid w:val="00E533D7"/>
    <w:rsid w:val="00E53874"/>
    <w:rsid w:val="00E53C43"/>
    <w:rsid w:val="00E53D28"/>
    <w:rsid w:val="00E542A3"/>
    <w:rsid w:val="00E5462E"/>
    <w:rsid w:val="00E548EF"/>
    <w:rsid w:val="00E54D6C"/>
    <w:rsid w:val="00E54F86"/>
    <w:rsid w:val="00E552D7"/>
    <w:rsid w:val="00E556E7"/>
    <w:rsid w:val="00E558FF"/>
    <w:rsid w:val="00E56392"/>
    <w:rsid w:val="00E563DA"/>
    <w:rsid w:val="00E56697"/>
    <w:rsid w:val="00E56F2C"/>
    <w:rsid w:val="00E57873"/>
    <w:rsid w:val="00E57C2F"/>
    <w:rsid w:val="00E600D6"/>
    <w:rsid w:val="00E6080C"/>
    <w:rsid w:val="00E609D0"/>
    <w:rsid w:val="00E60F2A"/>
    <w:rsid w:val="00E61893"/>
    <w:rsid w:val="00E62103"/>
    <w:rsid w:val="00E6232A"/>
    <w:rsid w:val="00E6264E"/>
    <w:rsid w:val="00E62CBC"/>
    <w:rsid w:val="00E6313D"/>
    <w:rsid w:val="00E63F2C"/>
    <w:rsid w:val="00E640DC"/>
    <w:rsid w:val="00E64280"/>
    <w:rsid w:val="00E6467E"/>
    <w:rsid w:val="00E64956"/>
    <w:rsid w:val="00E64DA7"/>
    <w:rsid w:val="00E64F3F"/>
    <w:rsid w:val="00E6501E"/>
    <w:rsid w:val="00E658EF"/>
    <w:rsid w:val="00E659C2"/>
    <w:rsid w:val="00E659D4"/>
    <w:rsid w:val="00E659E8"/>
    <w:rsid w:val="00E6625A"/>
    <w:rsid w:val="00E6629C"/>
    <w:rsid w:val="00E66553"/>
    <w:rsid w:val="00E66C36"/>
    <w:rsid w:val="00E670DE"/>
    <w:rsid w:val="00E67443"/>
    <w:rsid w:val="00E700F8"/>
    <w:rsid w:val="00E706BE"/>
    <w:rsid w:val="00E70B1B"/>
    <w:rsid w:val="00E70E50"/>
    <w:rsid w:val="00E71173"/>
    <w:rsid w:val="00E71376"/>
    <w:rsid w:val="00E71655"/>
    <w:rsid w:val="00E71784"/>
    <w:rsid w:val="00E72083"/>
    <w:rsid w:val="00E72203"/>
    <w:rsid w:val="00E72278"/>
    <w:rsid w:val="00E72C52"/>
    <w:rsid w:val="00E72CB6"/>
    <w:rsid w:val="00E72DD4"/>
    <w:rsid w:val="00E7303D"/>
    <w:rsid w:val="00E730B4"/>
    <w:rsid w:val="00E73565"/>
    <w:rsid w:val="00E73827"/>
    <w:rsid w:val="00E73C71"/>
    <w:rsid w:val="00E74A05"/>
    <w:rsid w:val="00E74B83"/>
    <w:rsid w:val="00E74FD1"/>
    <w:rsid w:val="00E74FDE"/>
    <w:rsid w:val="00E75025"/>
    <w:rsid w:val="00E75365"/>
    <w:rsid w:val="00E75C97"/>
    <w:rsid w:val="00E75EFF"/>
    <w:rsid w:val="00E76A89"/>
    <w:rsid w:val="00E7723D"/>
    <w:rsid w:val="00E77509"/>
    <w:rsid w:val="00E7750E"/>
    <w:rsid w:val="00E77C56"/>
    <w:rsid w:val="00E801E5"/>
    <w:rsid w:val="00E806C5"/>
    <w:rsid w:val="00E808F0"/>
    <w:rsid w:val="00E80A93"/>
    <w:rsid w:val="00E80BCE"/>
    <w:rsid w:val="00E80CF1"/>
    <w:rsid w:val="00E81034"/>
    <w:rsid w:val="00E81081"/>
    <w:rsid w:val="00E812F2"/>
    <w:rsid w:val="00E8171C"/>
    <w:rsid w:val="00E81804"/>
    <w:rsid w:val="00E82025"/>
    <w:rsid w:val="00E823B6"/>
    <w:rsid w:val="00E824D0"/>
    <w:rsid w:val="00E82867"/>
    <w:rsid w:val="00E82960"/>
    <w:rsid w:val="00E82D97"/>
    <w:rsid w:val="00E83443"/>
    <w:rsid w:val="00E83482"/>
    <w:rsid w:val="00E84011"/>
    <w:rsid w:val="00E84088"/>
    <w:rsid w:val="00E84574"/>
    <w:rsid w:val="00E84654"/>
    <w:rsid w:val="00E846E0"/>
    <w:rsid w:val="00E84C24"/>
    <w:rsid w:val="00E84F48"/>
    <w:rsid w:val="00E8520A"/>
    <w:rsid w:val="00E85251"/>
    <w:rsid w:val="00E854C0"/>
    <w:rsid w:val="00E85A81"/>
    <w:rsid w:val="00E85B82"/>
    <w:rsid w:val="00E85BC8"/>
    <w:rsid w:val="00E85C27"/>
    <w:rsid w:val="00E85CA7"/>
    <w:rsid w:val="00E8630C"/>
    <w:rsid w:val="00E865FC"/>
    <w:rsid w:val="00E86915"/>
    <w:rsid w:val="00E86E0C"/>
    <w:rsid w:val="00E86E2B"/>
    <w:rsid w:val="00E86FC8"/>
    <w:rsid w:val="00E87A7E"/>
    <w:rsid w:val="00E87DEA"/>
    <w:rsid w:val="00E905A2"/>
    <w:rsid w:val="00E90AD8"/>
    <w:rsid w:val="00E90C55"/>
    <w:rsid w:val="00E90D3A"/>
    <w:rsid w:val="00E90D54"/>
    <w:rsid w:val="00E9132B"/>
    <w:rsid w:val="00E915DD"/>
    <w:rsid w:val="00E917BC"/>
    <w:rsid w:val="00E925FE"/>
    <w:rsid w:val="00E92734"/>
    <w:rsid w:val="00E927EF"/>
    <w:rsid w:val="00E92C87"/>
    <w:rsid w:val="00E933D0"/>
    <w:rsid w:val="00E93654"/>
    <w:rsid w:val="00E9383E"/>
    <w:rsid w:val="00E93B69"/>
    <w:rsid w:val="00E93DEC"/>
    <w:rsid w:val="00E93E6C"/>
    <w:rsid w:val="00E94037"/>
    <w:rsid w:val="00E94129"/>
    <w:rsid w:val="00E941F0"/>
    <w:rsid w:val="00E94278"/>
    <w:rsid w:val="00E943EC"/>
    <w:rsid w:val="00E94A99"/>
    <w:rsid w:val="00E94D63"/>
    <w:rsid w:val="00E94E7E"/>
    <w:rsid w:val="00E94EAE"/>
    <w:rsid w:val="00E959EB"/>
    <w:rsid w:val="00E95CCB"/>
    <w:rsid w:val="00E95ED5"/>
    <w:rsid w:val="00E9635C"/>
    <w:rsid w:val="00E964CB"/>
    <w:rsid w:val="00E964DE"/>
    <w:rsid w:val="00E96586"/>
    <w:rsid w:val="00E96781"/>
    <w:rsid w:val="00E96C59"/>
    <w:rsid w:val="00E96C64"/>
    <w:rsid w:val="00E971DE"/>
    <w:rsid w:val="00E97589"/>
    <w:rsid w:val="00E976B7"/>
    <w:rsid w:val="00E979B1"/>
    <w:rsid w:val="00E97AA4"/>
    <w:rsid w:val="00E97F00"/>
    <w:rsid w:val="00EA0293"/>
    <w:rsid w:val="00EA08B4"/>
    <w:rsid w:val="00EA0A75"/>
    <w:rsid w:val="00EA0A87"/>
    <w:rsid w:val="00EA0D13"/>
    <w:rsid w:val="00EA0ED4"/>
    <w:rsid w:val="00EA133A"/>
    <w:rsid w:val="00EA1485"/>
    <w:rsid w:val="00EA1641"/>
    <w:rsid w:val="00EA18C0"/>
    <w:rsid w:val="00EA18ED"/>
    <w:rsid w:val="00EA1A52"/>
    <w:rsid w:val="00EA2164"/>
    <w:rsid w:val="00EA21A8"/>
    <w:rsid w:val="00EA2200"/>
    <w:rsid w:val="00EA2233"/>
    <w:rsid w:val="00EA2732"/>
    <w:rsid w:val="00EA2AC9"/>
    <w:rsid w:val="00EA2FCA"/>
    <w:rsid w:val="00EA355E"/>
    <w:rsid w:val="00EA35E1"/>
    <w:rsid w:val="00EA3A93"/>
    <w:rsid w:val="00EA3E77"/>
    <w:rsid w:val="00EA3F0F"/>
    <w:rsid w:val="00EA4247"/>
    <w:rsid w:val="00EA498B"/>
    <w:rsid w:val="00EA4F18"/>
    <w:rsid w:val="00EA4F4D"/>
    <w:rsid w:val="00EA53BF"/>
    <w:rsid w:val="00EA5684"/>
    <w:rsid w:val="00EA5991"/>
    <w:rsid w:val="00EA5AFF"/>
    <w:rsid w:val="00EA5BEB"/>
    <w:rsid w:val="00EA5C8A"/>
    <w:rsid w:val="00EA5CD3"/>
    <w:rsid w:val="00EA5ECC"/>
    <w:rsid w:val="00EA5F51"/>
    <w:rsid w:val="00EA606E"/>
    <w:rsid w:val="00EA60EF"/>
    <w:rsid w:val="00EA6538"/>
    <w:rsid w:val="00EA6817"/>
    <w:rsid w:val="00EA6B01"/>
    <w:rsid w:val="00EA6B51"/>
    <w:rsid w:val="00EA6D6D"/>
    <w:rsid w:val="00EA77FA"/>
    <w:rsid w:val="00EA7DAD"/>
    <w:rsid w:val="00EA7E10"/>
    <w:rsid w:val="00EB07A2"/>
    <w:rsid w:val="00EB098E"/>
    <w:rsid w:val="00EB0F0D"/>
    <w:rsid w:val="00EB1A0C"/>
    <w:rsid w:val="00EB1B18"/>
    <w:rsid w:val="00EB2475"/>
    <w:rsid w:val="00EB27CC"/>
    <w:rsid w:val="00EB286F"/>
    <w:rsid w:val="00EB28EA"/>
    <w:rsid w:val="00EB2AF9"/>
    <w:rsid w:val="00EB2B80"/>
    <w:rsid w:val="00EB2BC7"/>
    <w:rsid w:val="00EB2E10"/>
    <w:rsid w:val="00EB3359"/>
    <w:rsid w:val="00EB3367"/>
    <w:rsid w:val="00EB3904"/>
    <w:rsid w:val="00EB3EBE"/>
    <w:rsid w:val="00EB3FE2"/>
    <w:rsid w:val="00EB42E7"/>
    <w:rsid w:val="00EB478F"/>
    <w:rsid w:val="00EB485F"/>
    <w:rsid w:val="00EB4D8B"/>
    <w:rsid w:val="00EB4F92"/>
    <w:rsid w:val="00EB5234"/>
    <w:rsid w:val="00EB524E"/>
    <w:rsid w:val="00EB54D6"/>
    <w:rsid w:val="00EB5698"/>
    <w:rsid w:val="00EB56C2"/>
    <w:rsid w:val="00EB5D22"/>
    <w:rsid w:val="00EB5F8B"/>
    <w:rsid w:val="00EB666A"/>
    <w:rsid w:val="00EB66CE"/>
    <w:rsid w:val="00EB6B3A"/>
    <w:rsid w:val="00EB6FAA"/>
    <w:rsid w:val="00EB77FE"/>
    <w:rsid w:val="00EB7C8E"/>
    <w:rsid w:val="00EC00B0"/>
    <w:rsid w:val="00EC0303"/>
    <w:rsid w:val="00EC03D5"/>
    <w:rsid w:val="00EC04EA"/>
    <w:rsid w:val="00EC0615"/>
    <w:rsid w:val="00EC0956"/>
    <w:rsid w:val="00EC0EBA"/>
    <w:rsid w:val="00EC14DB"/>
    <w:rsid w:val="00EC15C3"/>
    <w:rsid w:val="00EC161C"/>
    <w:rsid w:val="00EC1749"/>
    <w:rsid w:val="00EC17C5"/>
    <w:rsid w:val="00EC1A00"/>
    <w:rsid w:val="00EC1F51"/>
    <w:rsid w:val="00EC2310"/>
    <w:rsid w:val="00EC245F"/>
    <w:rsid w:val="00EC254F"/>
    <w:rsid w:val="00EC2A3C"/>
    <w:rsid w:val="00EC2D9F"/>
    <w:rsid w:val="00EC33E5"/>
    <w:rsid w:val="00EC341E"/>
    <w:rsid w:val="00EC3758"/>
    <w:rsid w:val="00EC378C"/>
    <w:rsid w:val="00EC3A52"/>
    <w:rsid w:val="00EC3C1D"/>
    <w:rsid w:val="00EC4188"/>
    <w:rsid w:val="00EC4D7A"/>
    <w:rsid w:val="00EC4DD1"/>
    <w:rsid w:val="00EC4E22"/>
    <w:rsid w:val="00EC5289"/>
    <w:rsid w:val="00EC5309"/>
    <w:rsid w:val="00EC55FD"/>
    <w:rsid w:val="00EC5A2D"/>
    <w:rsid w:val="00EC5C3B"/>
    <w:rsid w:val="00EC5D17"/>
    <w:rsid w:val="00EC5E72"/>
    <w:rsid w:val="00EC62C5"/>
    <w:rsid w:val="00EC6617"/>
    <w:rsid w:val="00EC6927"/>
    <w:rsid w:val="00EC700F"/>
    <w:rsid w:val="00EC7245"/>
    <w:rsid w:val="00EC7410"/>
    <w:rsid w:val="00EC7A0F"/>
    <w:rsid w:val="00EC7AAC"/>
    <w:rsid w:val="00ED0118"/>
    <w:rsid w:val="00ED0295"/>
    <w:rsid w:val="00ED0A38"/>
    <w:rsid w:val="00ED0C04"/>
    <w:rsid w:val="00ED100D"/>
    <w:rsid w:val="00ED1424"/>
    <w:rsid w:val="00ED1611"/>
    <w:rsid w:val="00ED1A49"/>
    <w:rsid w:val="00ED1B75"/>
    <w:rsid w:val="00ED1C9F"/>
    <w:rsid w:val="00ED2B6E"/>
    <w:rsid w:val="00ED2D2A"/>
    <w:rsid w:val="00ED361F"/>
    <w:rsid w:val="00ED364E"/>
    <w:rsid w:val="00ED3714"/>
    <w:rsid w:val="00ED3812"/>
    <w:rsid w:val="00ED3EDC"/>
    <w:rsid w:val="00ED445E"/>
    <w:rsid w:val="00ED4851"/>
    <w:rsid w:val="00ED48A6"/>
    <w:rsid w:val="00ED4D77"/>
    <w:rsid w:val="00ED5481"/>
    <w:rsid w:val="00ED59C3"/>
    <w:rsid w:val="00ED5A86"/>
    <w:rsid w:val="00ED5D76"/>
    <w:rsid w:val="00ED5F33"/>
    <w:rsid w:val="00ED6593"/>
    <w:rsid w:val="00ED6663"/>
    <w:rsid w:val="00ED6DE8"/>
    <w:rsid w:val="00ED6E5C"/>
    <w:rsid w:val="00ED734E"/>
    <w:rsid w:val="00ED73DD"/>
    <w:rsid w:val="00ED7612"/>
    <w:rsid w:val="00ED77B6"/>
    <w:rsid w:val="00ED7B03"/>
    <w:rsid w:val="00ED7B69"/>
    <w:rsid w:val="00ED7C93"/>
    <w:rsid w:val="00ED7D38"/>
    <w:rsid w:val="00ED7DAB"/>
    <w:rsid w:val="00ED7EB7"/>
    <w:rsid w:val="00EE0153"/>
    <w:rsid w:val="00EE01AF"/>
    <w:rsid w:val="00EE0227"/>
    <w:rsid w:val="00EE0337"/>
    <w:rsid w:val="00EE043F"/>
    <w:rsid w:val="00EE04B6"/>
    <w:rsid w:val="00EE06A1"/>
    <w:rsid w:val="00EE07AA"/>
    <w:rsid w:val="00EE0827"/>
    <w:rsid w:val="00EE08EA"/>
    <w:rsid w:val="00EE0C73"/>
    <w:rsid w:val="00EE0F3C"/>
    <w:rsid w:val="00EE0FC1"/>
    <w:rsid w:val="00EE105C"/>
    <w:rsid w:val="00EE1D2A"/>
    <w:rsid w:val="00EE1DD1"/>
    <w:rsid w:val="00EE1E31"/>
    <w:rsid w:val="00EE22EF"/>
    <w:rsid w:val="00EE26EB"/>
    <w:rsid w:val="00EE26F1"/>
    <w:rsid w:val="00EE27F0"/>
    <w:rsid w:val="00EE2929"/>
    <w:rsid w:val="00EE2AEF"/>
    <w:rsid w:val="00EE2E5A"/>
    <w:rsid w:val="00EE3223"/>
    <w:rsid w:val="00EE3BC6"/>
    <w:rsid w:val="00EE3E51"/>
    <w:rsid w:val="00EE3EF6"/>
    <w:rsid w:val="00EE3F92"/>
    <w:rsid w:val="00EE42B4"/>
    <w:rsid w:val="00EE457C"/>
    <w:rsid w:val="00EE4670"/>
    <w:rsid w:val="00EE4B97"/>
    <w:rsid w:val="00EE4D4E"/>
    <w:rsid w:val="00EE55A4"/>
    <w:rsid w:val="00EE573B"/>
    <w:rsid w:val="00EE5B85"/>
    <w:rsid w:val="00EE5E79"/>
    <w:rsid w:val="00EE6091"/>
    <w:rsid w:val="00EE6313"/>
    <w:rsid w:val="00EE65E8"/>
    <w:rsid w:val="00EE6CA8"/>
    <w:rsid w:val="00EE7112"/>
    <w:rsid w:val="00EE73A8"/>
    <w:rsid w:val="00EE73AA"/>
    <w:rsid w:val="00EE771E"/>
    <w:rsid w:val="00EE7D57"/>
    <w:rsid w:val="00EF003C"/>
    <w:rsid w:val="00EF05CE"/>
    <w:rsid w:val="00EF0794"/>
    <w:rsid w:val="00EF0F3A"/>
    <w:rsid w:val="00EF1063"/>
    <w:rsid w:val="00EF10BA"/>
    <w:rsid w:val="00EF138B"/>
    <w:rsid w:val="00EF14EF"/>
    <w:rsid w:val="00EF15A6"/>
    <w:rsid w:val="00EF1FFA"/>
    <w:rsid w:val="00EF20F1"/>
    <w:rsid w:val="00EF2151"/>
    <w:rsid w:val="00EF2176"/>
    <w:rsid w:val="00EF2600"/>
    <w:rsid w:val="00EF28F2"/>
    <w:rsid w:val="00EF2AC8"/>
    <w:rsid w:val="00EF2DD4"/>
    <w:rsid w:val="00EF326F"/>
    <w:rsid w:val="00EF32E3"/>
    <w:rsid w:val="00EF341E"/>
    <w:rsid w:val="00EF36B0"/>
    <w:rsid w:val="00EF378F"/>
    <w:rsid w:val="00EF3AED"/>
    <w:rsid w:val="00EF484C"/>
    <w:rsid w:val="00EF48F2"/>
    <w:rsid w:val="00EF4FCC"/>
    <w:rsid w:val="00EF53D6"/>
    <w:rsid w:val="00EF54FA"/>
    <w:rsid w:val="00EF57FC"/>
    <w:rsid w:val="00EF58BA"/>
    <w:rsid w:val="00EF5A3E"/>
    <w:rsid w:val="00EF5AA7"/>
    <w:rsid w:val="00EF60C9"/>
    <w:rsid w:val="00EF6546"/>
    <w:rsid w:val="00EF6687"/>
    <w:rsid w:val="00EF6B7B"/>
    <w:rsid w:val="00EF739D"/>
    <w:rsid w:val="00EF73BE"/>
    <w:rsid w:val="00EF7804"/>
    <w:rsid w:val="00F00176"/>
    <w:rsid w:val="00F0039F"/>
    <w:rsid w:val="00F003C4"/>
    <w:rsid w:val="00F0049B"/>
    <w:rsid w:val="00F00BD3"/>
    <w:rsid w:val="00F00EEE"/>
    <w:rsid w:val="00F01276"/>
    <w:rsid w:val="00F012E2"/>
    <w:rsid w:val="00F019A1"/>
    <w:rsid w:val="00F01AE1"/>
    <w:rsid w:val="00F01E15"/>
    <w:rsid w:val="00F01EA8"/>
    <w:rsid w:val="00F021A3"/>
    <w:rsid w:val="00F024EF"/>
    <w:rsid w:val="00F024F0"/>
    <w:rsid w:val="00F02683"/>
    <w:rsid w:val="00F029B9"/>
    <w:rsid w:val="00F029F6"/>
    <w:rsid w:val="00F02A00"/>
    <w:rsid w:val="00F02C52"/>
    <w:rsid w:val="00F0347A"/>
    <w:rsid w:val="00F039D4"/>
    <w:rsid w:val="00F03A92"/>
    <w:rsid w:val="00F03E06"/>
    <w:rsid w:val="00F04101"/>
    <w:rsid w:val="00F042AC"/>
    <w:rsid w:val="00F04611"/>
    <w:rsid w:val="00F048C3"/>
    <w:rsid w:val="00F04F4E"/>
    <w:rsid w:val="00F05253"/>
    <w:rsid w:val="00F05813"/>
    <w:rsid w:val="00F065B4"/>
    <w:rsid w:val="00F06A33"/>
    <w:rsid w:val="00F06CFD"/>
    <w:rsid w:val="00F06DDB"/>
    <w:rsid w:val="00F06DEF"/>
    <w:rsid w:val="00F06F1B"/>
    <w:rsid w:val="00F07014"/>
    <w:rsid w:val="00F0707E"/>
    <w:rsid w:val="00F07C45"/>
    <w:rsid w:val="00F102E4"/>
    <w:rsid w:val="00F10379"/>
    <w:rsid w:val="00F103C8"/>
    <w:rsid w:val="00F1045B"/>
    <w:rsid w:val="00F10E70"/>
    <w:rsid w:val="00F113E5"/>
    <w:rsid w:val="00F115B6"/>
    <w:rsid w:val="00F11BDC"/>
    <w:rsid w:val="00F11C78"/>
    <w:rsid w:val="00F11F0F"/>
    <w:rsid w:val="00F11F56"/>
    <w:rsid w:val="00F11FDE"/>
    <w:rsid w:val="00F120F1"/>
    <w:rsid w:val="00F12467"/>
    <w:rsid w:val="00F12901"/>
    <w:rsid w:val="00F12DD4"/>
    <w:rsid w:val="00F1312F"/>
    <w:rsid w:val="00F13471"/>
    <w:rsid w:val="00F135A2"/>
    <w:rsid w:val="00F136B3"/>
    <w:rsid w:val="00F13DE3"/>
    <w:rsid w:val="00F14247"/>
    <w:rsid w:val="00F14738"/>
    <w:rsid w:val="00F14D2F"/>
    <w:rsid w:val="00F14D6B"/>
    <w:rsid w:val="00F15074"/>
    <w:rsid w:val="00F154C1"/>
    <w:rsid w:val="00F158D8"/>
    <w:rsid w:val="00F15ED6"/>
    <w:rsid w:val="00F16351"/>
    <w:rsid w:val="00F16585"/>
    <w:rsid w:val="00F165BA"/>
    <w:rsid w:val="00F16A38"/>
    <w:rsid w:val="00F17D9E"/>
    <w:rsid w:val="00F17FF6"/>
    <w:rsid w:val="00F202B7"/>
    <w:rsid w:val="00F2033C"/>
    <w:rsid w:val="00F20657"/>
    <w:rsid w:val="00F20732"/>
    <w:rsid w:val="00F20778"/>
    <w:rsid w:val="00F20A0E"/>
    <w:rsid w:val="00F21227"/>
    <w:rsid w:val="00F213C9"/>
    <w:rsid w:val="00F21889"/>
    <w:rsid w:val="00F21A9B"/>
    <w:rsid w:val="00F21E16"/>
    <w:rsid w:val="00F22151"/>
    <w:rsid w:val="00F222BE"/>
    <w:rsid w:val="00F223EB"/>
    <w:rsid w:val="00F225F9"/>
    <w:rsid w:val="00F22F80"/>
    <w:rsid w:val="00F23003"/>
    <w:rsid w:val="00F23131"/>
    <w:rsid w:val="00F2319C"/>
    <w:rsid w:val="00F2328A"/>
    <w:rsid w:val="00F236B6"/>
    <w:rsid w:val="00F237F8"/>
    <w:rsid w:val="00F2387B"/>
    <w:rsid w:val="00F23BDA"/>
    <w:rsid w:val="00F23C0C"/>
    <w:rsid w:val="00F23ED3"/>
    <w:rsid w:val="00F23EDF"/>
    <w:rsid w:val="00F23F9C"/>
    <w:rsid w:val="00F243BA"/>
    <w:rsid w:val="00F2465D"/>
    <w:rsid w:val="00F24818"/>
    <w:rsid w:val="00F2489B"/>
    <w:rsid w:val="00F248B2"/>
    <w:rsid w:val="00F24A25"/>
    <w:rsid w:val="00F24BFE"/>
    <w:rsid w:val="00F2514A"/>
    <w:rsid w:val="00F25A2F"/>
    <w:rsid w:val="00F26763"/>
    <w:rsid w:val="00F26BF0"/>
    <w:rsid w:val="00F26BFB"/>
    <w:rsid w:val="00F26DE9"/>
    <w:rsid w:val="00F26EEC"/>
    <w:rsid w:val="00F275F6"/>
    <w:rsid w:val="00F278BE"/>
    <w:rsid w:val="00F27DF2"/>
    <w:rsid w:val="00F27E16"/>
    <w:rsid w:val="00F27ECE"/>
    <w:rsid w:val="00F27F1C"/>
    <w:rsid w:val="00F300DA"/>
    <w:rsid w:val="00F30728"/>
    <w:rsid w:val="00F30EC1"/>
    <w:rsid w:val="00F30EEB"/>
    <w:rsid w:val="00F30F18"/>
    <w:rsid w:val="00F30F27"/>
    <w:rsid w:val="00F31182"/>
    <w:rsid w:val="00F31757"/>
    <w:rsid w:val="00F3254D"/>
    <w:rsid w:val="00F3290D"/>
    <w:rsid w:val="00F32D5F"/>
    <w:rsid w:val="00F32DCA"/>
    <w:rsid w:val="00F333D7"/>
    <w:rsid w:val="00F33BBB"/>
    <w:rsid w:val="00F34629"/>
    <w:rsid w:val="00F34733"/>
    <w:rsid w:val="00F35007"/>
    <w:rsid w:val="00F351D6"/>
    <w:rsid w:val="00F35436"/>
    <w:rsid w:val="00F354C1"/>
    <w:rsid w:val="00F35540"/>
    <w:rsid w:val="00F356FB"/>
    <w:rsid w:val="00F35ABD"/>
    <w:rsid w:val="00F360F6"/>
    <w:rsid w:val="00F3671A"/>
    <w:rsid w:val="00F36971"/>
    <w:rsid w:val="00F36CF4"/>
    <w:rsid w:val="00F3745F"/>
    <w:rsid w:val="00F374C3"/>
    <w:rsid w:val="00F37502"/>
    <w:rsid w:val="00F37532"/>
    <w:rsid w:val="00F37A2A"/>
    <w:rsid w:val="00F37BB9"/>
    <w:rsid w:val="00F40457"/>
    <w:rsid w:val="00F404F1"/>
    <w:rsid w:val="00F40C82"/>
    <w:rsid w:val="00F40CDE"/>
    <w:rsid w:val="00F41247"/>
    <w:rsid w:val="00F41B04"/>
    <w:rsid w:val="00F41B3E"/>
    <w:rsid w:val="00F41C69"/>
    <w:rsid w:val="00F42092"/>
    <w:rsid w:val="00F4209D"/>
    <w:rsid w:val="00F421B2"/>
    <w:rsid w:val="00F4223A"/>
    <w:rsid w:val="00F4229E"/>
    <w:rsid w:val="00F423C9"/>
    <w:rsid w:val="00F424A3"/>
    <w:rsid w:val="00F427DA"/>
    <w:rsid w:val="00F42D95"/>
    <w:rsid w:val="00F43034"/>
    <w:rsid w:val="00F43107"/>
    <w:rsid w:val="00F43559"/>
    <w:rsid w:val="00F4392F"/>
    <w:rsid w:val="00F43C7A"/>
    <w:rsid w:val="00F43E4F"/>
    <w:rsid w:val="00F43F54"/>
    <w:rsid w:val="00F44032"/>
    <w:rsid w:val="00F4472F"/>
    <w:rsid w:val="00F44730"/>
    <w:rsid w:val="00F447A1"/>
    <w:rsid w:val="00F44840"/>
    <w:rsid w:val="00F44869"/>
    <w:rsid w:val="00F44B77"/>
    <w:rsid w:val="00F44BCA"/>
    <w:rsid w:val="00F451B8"/>
    <w:rsid w:val="00F453B6"/>
    <w:rsid w:val="00F45406"/>
    <w:rsid w:val="00F45657"/>
    <w:rsid w:val="00F45935"/>
    <w:rsid w:val="00F464E7"/>
    <w:rsid w:val="00F46AAD"/>
    <w:rsid w:val="00F46BC6"/>
    <w:rsid w:val="00F46BE8"/>
    <w:rsid w:val="00F46D45"/>
    <w:rsid w:val="00F46D50"/>
    <w:rsid w:val="00F47178"/>
    <w:rsid w:val="00F47600"/>
    <w:rsid w:val="00F47918"/>
    <w:rsid w:val="00F47939"/>
    <w:rsid w:val="00F47E04"/>
    <w:rsid w:val="00F501C9"/>
    <w:rsid w:val="00F50243"/>
    <w:rsid w:val="00F503CD"/>
    <w:rsid w:val="00F505FB"/>
    <w:rsid w:val="00F5060B"/>
    <w:rsid w:val="00F50993"/>
    <w:rsid w:val="00F50B47"/>
    <w:rsid w:val="00F51055"/>
    <w:rsid w:val="00F51414"/>
    <w:rsid w:val="00F5142B"/>
    <w:rsid w:val="00F51748"/>
    <w:rsid w:val="00F5191E"/>
    <w:rsid w:val="00F51ACA"/>
    <w:rsid w:val="00F51C7C"/>
    <w:rsid w:val="00F51DD0"/>
    <w:rsid w:val="00F51EA9"/>
    <w:rsid w:val="00F520DF"/>
    <w:rsid w:val="00F5211C"/>
    <w:rsid w:val="00F522C4"/>
    <w:rsid w:val="00F52468"/>
    <w:rsid w:val="00F5249F"/>
    <w:rsid w:val="00F525F9"/>
    <w:rsid w:val="00F526A2"/>
    <w:rsid w:val="00F52772"/>
    <w:rsid w:val="00F529DD"/>
    <w:rsid w:val="00F52A2D"/>
    <w:rsid w:val="00F52E44"/>
    <w:rsid w:val="00F531D4"/>
    <w:rsid w:val="00F533FE"/>
    <w:rsid w:val="00F53AD4"/>
    <w:rsid w:val="00F53BCA"/>
    <w:rsid w:val="00F53C6A"/>
    <w:rsid w:val="00F53DE6"/>
    <w:rsid w:val="00F5405F"/>
    <w:rsid w:val="00F546BC"/>
    <w:rsid w:val="00F5475C"/>
    <w:rsid w:val="00F549A0"/>
    <w:rsid w:val="00F54AFF"/>
    <w:rsid w:val="00F54EC7"/>
    <w:rsid w:val="00F54ED7"/>
    <w:rsid w:val="00F5543F"/>
    <w:rsid w:val="00F55BA6"/>
    <w:rsid w:val="00F56122"/>
    <w:rsid w:val="00F5632F"/>
    <w:rsid w:val="00F563E4"/>
    <w:rsid w:val="00F56418"/>
    <w:rsid w:val="00F5706E"/>
    <w:rsid w:val="00F573C1"/>
    <w:rsid w:val="00F57467"/>
    <w:rsid w:val="00F5775F"/>
    <w:rsid w:val="00F57E9F"/>
    <w:rsid w:val="00F60336"/>
    <w:rsid w:val="00F608BC"/>
    <w:rsid w:val="00F60AA8"/>
    <w:rsid w:val="00F60BD9"/>
    <w:rsid w:val="00F60D56"/>
    <w:rsid w:val="00F6123B"/>
    <w:rsid w:val="00F612FF"/>
    <w:rsid w:val="00F61658"/>
    <w:rsid w:val="00F61743"/>
    <w:rsid w:val="00F61AA6"/>
    <w:rsid w:val="00F61B5B"/>
    <w:rsid w:val="00F61EED"/>
    <w:rsid w:val="00F62138"/>
    <w:rsid w:val="00F62539"/>
    <w:rsid w:val="00F6270C"/>
    <w:rsid w:val="00F62765"/>
    <w:rsid w:val="00F629A1"/>
    <w:rsid w:val="00F62A54"/>
    <w:rsid w:val="00F62E66"/>
    <w:rsid w:val="00F6340C"/>
    <w:rsid w:val="00F634C9"/>
    <w:rsid w:val="00F63576"/>
    <w:rsid w:val="00F63BA3"/>
    <w:rsid w:val="00F63E57"/>
    <w:rsid w:val="00F63F34"/>
    <w:rsid w:val="00F6434C"/>
    <w:rsid w:val="00F64B6C"/>
    <w:rsid w:val="00F64BA5"/>
    <w:rsid w:val="00F64DD0"/>
    <w:rsid w:val="00F65477"/>
    <w:rsid w:val="00F6572F"/>
    <w:rsid w:val="00F65C7C"/>
    <w:rsid w:val="00F65C82"/>
    <w:rsid w:val="00F65DFB"/>
    <w:rsid w:val="00F661B3"/>
    <w:rsid w:val="00F66587"/>
    <w:rsid w:val="00F6662A"/>
    <w:rsid w:val="00F66705"/>
    <w:rsid w:val="00F669DE"/>
    <w:rsid w:val="00F66DB5"/>
    <w:rsid w:val="00F67154"/>
    <w:rsid w:val="00F6765B"/>
    <w:rsid w:val="00F677D1"/>
    <w:rsid w:val="00F67CD5"/>
    <w:rsid w:val="00F7030F"/>
    <w:rsid w:val="00F70428"/>
    <w:rsid w:val="00F7079E"/>
    <w:rsid w:val="00F70C63"/>
    <w:rsid w:val="00F70E95"/>
    <w:rsid w:val="00F70E9B"/>
    <w:rsid w:val="00F713E8"/>
    <w:rsid w:val="00F714CE"/>
    <w:rsid w:val="00F71854"/>
    <w:rsid w:val="00F719F6"/>
    <w:rsid w:val="00F71A32"/>
    <w:rsid w:val="00F71C77"/>
    <w:rsid w:val="00F71E95"/>
    <w:rsid w:val="00F72031"/>
    <w:rsid w:val="00F723C7"/>
    <w:rsid w:val="00F7267F"/>
    <w:rsid w:val="00F72B66"/>
    <w:rsid w:val="00F72EBD"/>
    <w:rsid w:val="00F730D7"/>
    <w:rsid w:val="00F731DE"/>
    <w:rsid w:val="00F734FC"/>
    <w:rsid w:val="00F7351D"/>
    <w:rsid w:val="00F7355E"/>
    <w:rsid w:val="00F73732"/>
    <w:rsid w:val="00F73807"/>
    <w:rsid w:val="00F73D8A"/>
    <w:rsid w:val="00F73E2E"/>
    <w:rsid w:val="00F74033"/>
    <w:rsid w:val="00F7426F"/>
    <w:rsid w:val="00F74565"/>
    <w:rsid w:val="00F74983"/>
    <w:rsid w:val="00F74B8F"/>
    <w:rsid w:val="00F74DC9"/>
    <w:rsid w:val="00F75374"/>
    <w:rsid w:val="00F75A22"/>
    <w:rsid w:val="00F75C3C"/>
    <w:rsid w:val="00F75E24"/>
    <w:rsid w:val="00F763CD"/>
    <w:rsid w:val="00F77156"/>
    <w:rsid w:val="00F777F6"/>
    <w:rsid w:val="00F7784E"/>
    <w:rsid w:val="00F77A36"/>
    <w:rsid w:val="00F77CD1"/>
    <w:rsid w:val="00F77DF4"/>
    <w:rsid w:val="00F77F46"/>
    <w:rsid w:val="00F77F94"/>
    <w:rsid w:val="00F80220"/>
    <w:rsid w:val="00F809BE"/>
    <w:rsid w:val="00F80B2E"/>
    <w:rsid w:val="00F80FA9"/>
    <w:rsid w:val="00F80FFA"/>
    <w:rsid w:val="00F8100D"/>
    <w:rsid w:val="00F8128A"/>
    <w:rsid w:val="00F8135C"/>
    <w:rsid w:val="00F81723"/>
    <w:rsid w:val="00F81D76"/>
    <w:rsid w:val="00F81EF1"/>
    <w:rsid w:val="00F826A4"/>
    <w:rsid w:val="00F82949"/>
    <w:rsid w:val="00F8353D"/>
    <w:rsid w:val="00F83A14"/>
    <w:rsid w:val="00F83F48"/>
    <w:rsid w:val="00F84585"/>
    <w:rsid w:val="00F849E4"/>
    <w:rsid w:val="00F854B4"/>
    <w:rsid w:val="00F854FD"/>
    <w:rsid w:val="00F857CD"/>
    <w:rsid w:val="00F85ABE"/>
    <w:rsid w:val="00F85C26"/>
    <w:rsid w:val="00F85C7D"/>
    <w:rsid w:val="00F860A0"/>
    <w:rsid w:val="00F864BE"/>
    <w:rsid w:val="00F86753"/>
    <w:rsid w:val="00F86968"/>
    <w:rsid w:val="00F872CA"/>
    <w:rsid w:val="00F8746E"/>
    <w:rsid w:val="00F875C0"/>
    <w:rsid w:val="00F87CD6"/>
    <w:rsid w:val="00F87F57"/>
    <w:rsid w:val="00F906A1"/>
    <w:rsid w:val="00F9086F"/>
    <w:rsid w:val="00F90A3B"/>
    <w:rsid w:val="00F90BBE"/>
    <w:rsid w:val="00F90CFF"/>
    <w:rsid w:val="00F90F34"/>
    <w:rsid w:val="00F914F4"/>
    <w:rsid w:val="00F9186D"/>
    <w:rsid w:val="00F91AC9"/>
    <w:rsid w:val="00F91B6E"/>
    <w:rsid w:val="00F91C25"/>
    <w:rsid w:val="00F92104"/>
    <w:rsid w:val="00F922ED"/>
    <w:rsid w:val="00F92488"/>
    <w:rsid w:val="00F926E7"/>
    <w:rsid w:val="00F9273A"/>
    <w:rsid w:val="00F92ECB"/>
    <w:rsid w:val="00F93115"/>
    <w:rsid w:val="00F9315E"/>
    <w:rsid w:val="00F93771"/>
    <w:rsid w:val="00F937FD"/>
    <w:rsid w:val="00F93CA5"/>
    <w:rsid w:val="00F93CB6"/>
    <w:rsid w:val="00F93D03"/>
    <w:rsid w:val="00F943FF"/>
    <w:rsid w:val="00F945CE"/>
    <w:rsid w:val="00F94874"/>
    <w:rsid w:val="00F94876"/>
    <w:rsid w:val="00F948B5"/>
    <w:rsid w:val="00F94BA9"/>
    <w:rsid w:val="00F94CD3"/>
    <w:rsid w:val="00F95462"/>
    <w:rsid w:val="00F95509"/>
    <w:rsid w:val="00F955E9"/>
    <w:rsid w:val="00F956E5"/>
    <w:rsid w:val="00F95AFF"/>
    <w:rsid w:val="00F95B37"/>
    <w:rsid w:val="00F9607F"/>
    <w:rsid w:val="00F960F1"/>
    <w:rsid w:val="00F964CD"/>
    <w:rsid w:val="00F96C62"/>
    <w:rsid w:val="00F96E5B"/>
    <w:rsid w:val="00F96FE7"/>
    <w:rsid w:val="00F9722D"/>
    <w:rsid w:val="00F97317"/>
    <w:rsid w:val="00F9748E"/>
    <w:rsid w:val="00F97D0C"/>
    <w:rsid w:val="00F97D1E"/>
    <w:rsid w:val="00F97DDB"/>
    <w:rsid w:val="00FA04B5"/>
    <w:rsid w:val="00FA085B"/>
    <w:rsid w:val="00FA08C3"/>
    <w:rsid w:val="00FA0D93"/>
    <w:rsid w:val="00FA12DF"/>
    <w:rsid w:val="00FA166C"/>
    <w:rsid w:val="00FA16AA"/>
    <w:rsid w:val="00FA175C"/>
    <w:rsid w:val="00FA1C91"/>
    <w:rsid w:val="00FA1CD0"/>
    <w:rsid w:val="00FA1D84"/>
    <w:rsid w:val="00FA2550"/>
    <w:rsid w:val="00FA2791"/>
    <w:rsid w:val="00FA2856"/>
    <w:rsid w:val="00FA28C5"/>
    <w:rsid w:val="00FA341A"/>
    <w:rsid w:val="00FA3B96"/>
    <w:rsid w:val="00FA3C70"/>
    <w:rsid w:val="00FA3D4D"/>
    <w:rsid w:val="00FA411B"/>
    <w:rsid w:val="00FA4129"/>
    <w:rsid w:val="00FA46A7"/>
    <w:rsid w:val="00FA494F"/>
    <w:rsid w:val="00FA4B26"/>
    <w:rsid w:val="00FA4E40"/>
    <w:rsid w:val="00FA5321"/>
    <w:rsid w:val="00FA62C3"/>
    <w:rsid w:val="00FA64C5"/>
    <w:rsid w:val="00FA64EB"/>
    <w:rsid w:val="00FA65F4"/>
    <w:rsid w:val="00FA6C00"/>
    <w:rsid w:val="00FA73BE"/>
    <w:rsid w:val="00FA7E23"/>
    <w:rsid w:val="00FA7E5F"/>
    <w:rsid w:val="00FA7FF5"/>
    <w:rsid w:val="00FB00C5"/>
    <w:rsid w:val="00FB00E0"/>
    <w:rsid w:val="00FB0CA9"/>
    <w:rsid w:val="00FB0CC0"/>
    <w:rsid w:val="00FB0ECC"/>
    <w:rsid w:val="00FB0FCF"/>
    <w:rsid w:val="00FB11CA"/>
    <w:rsid w:val="00FB11CF"/>
    <w:rsid w:val="00FB1254"/>
    <w:rsid w:val="00FB1E2F"/>
    <w:rsid w:val="00FB2606"/>
    <w:rsid w:val="00FB2EE3"/>
    <w:rsid w:val="00FB33A4"/>
    <w:rsid w:val="00FB357D"/>
    <w:rsid w:val="00FB3C63"/>
    <w:rsid w:val="00FB4001"/>
    <w:rsid w:val="00FB416E"/>
    <w:rsid w:val="00FB423A"/>
    <w:rsid w:val="00FB42FB"/>
    <w:rsid w:val="00FB4352"/>
    <w:rsid w:val="00FB4464"/>
    <w:rsid w:val="00FB46BC"/>
    <w:rsid w:val="00FB46D5"/>
    <w:rsid w:val="00FB472E"/>
    <w:rsid w:val="00FB4A2A"/>
    <w:rsid w:val="00FB4C03"/>
    <w:rsid w:val="00FB4C78"/>
    <w:rsid w:val="00FB4C7D"/>
    <w:rsid w:val="00FB4DD6"/>
    <w:rsid w:val="00FB4F0D"/>
    <w:rsid w:val="00FB5158"/>
    <w:rsid w:val="00FB53F6"/>
    <w:rsid w:val="00FB549C"/>
    <w:rsid w:val="00FB5604"/>
    <w:rsid w:val="00FB56E0"/>
    <w:rsid w:val="00FB57C4"/>
    <w:rsid w:val="00FB5888"/>
    <w:rsid w:val="00FB5C15"/>
    <w:rsid w:val="00FB6082"/>
    <w:rsid w:val="00FB63D1"/>
    <w:rsid w:val="00FB6476"/>
    <w:rsid w:val="00FB6940"/>
    <w:rsid w:val="00FB7764"/>
    <w:rsid w:val="00FB77CC"/>
    <w:rsid w:val="00FB787A"/>
    <w:rsid w:val="00FB7DCC"/>
    <w:rsid w:val="00FB7E0D"/>
    <w:rsid w:val="00FB7F51"/>
    <w:rsid w:val="00FC04BD"/>
    <w:rsid w:val="00FC078B"/>
    <w:rsid w:val="00FC08B8"/>
    <w:rsid w:val="00FC0BDC"/>
    <w:rsid w:val="00FC11E8"/>
    <w:rsid w:val="00FC143A"/>
    <w:rsid w:val="00FC1715"/>
    <w:rsid w:val="00FC1774"/>
    <w:rsid w:val="00FC1B92"/>
    <w:rsid w:val="00FC1CA1"/>
    <w:rsid w:val="00FC289B"/>
    <w:rsid w:val="00FC2BA8"/>
    <w:rsid w:val="00FC2BE4"/>
    <w:rsid w:val="00FC2DD7"/>
    <w:rsid w:val="00FC33B6"/>
    <w:rsid w:val="00FC422E"/>
    <w:rsid w:val="00FC496F"/>
    <w:rsid w:val="00FC4FBB"/>
    <w:rsid w:val="00FC52BB"/>
    <w:rsid w:val="00FC5566"/>
    <w:rsid w:val="00FC583E"/>
    <w:rsid w:val="00FC5946"/>
    <w:rsid w:val="00FC5A50"/>
    <w:rsid w:val="00FC5C03"/>
    <w:rsid w:val="00FC5C72"/>
    <w:rsid w:val="00FC5E01"/>
    <w:rsid w:val="00FC668C"/>
    <w:rsid w:val="00FC69FD"/>
    <w:rsid w:val="00FC6AB1"/>
    <w:rsid w:val="00FC7223"/>
    <w:rsid w:val="00FC73F0"/>
    <w:rsid w:val="00FC740C"/>
    <w:rsid w:val="00FC781E"/>
    <w:rsid w:val="00FD03F0"/>
    <w:rsid w:val="00FD0501"/>
    <w:rsid w:val="00FD05BD"/>
    <w:rsid w:val="00FD0A66"/>
    <w:rsid w:val="00FD0C50"/>
    <w:rsid w:val="00FD0CA0"/>
    <w:rsid w:val="00FD0D29"/>
    <w:rsid w:val="00FD1E02"/>
    <w:rsid w:val="00FD1E37"/>
    <w:rsid w:val="00FD1FA4"/>
    <w:rsid w:val="00FD24BD"/>
    <w:rsid w:val="00FD3043"/>
    <w:rsid w:val="00FD36A4"/>
    <w:rsid w:val="00FD3DC8"/>
    <w:rsid w:val="00FD3E9A"/>
    <w:rsid w:val="00FD3EBB"/>
    <w:rsid w:val="00FD44F2"/>
    <w:rsid w:val="00FD49F1"/>
    <w:rsid w:val="00FD4C2C"/>
    <w:rsid w:val="00FD4E97"/>
    <w:rsid w:val="00FD4F56"/>
    <w:rsid w:val="00FD5372"/>
    <w:rsid w:val="00FD5632"/>
    <w:rsid w:val="00FD56D4"/>
    <w:rsid w:val="00FD5B68"/>
    <w:rsid w:val="00FD5BE9"/>
    <w:rsid w:val="00FD5E92"/>
    <w:rsid w:val="00FD6412"/>
    <w:rsid w:val="00FD6423"/>
    <w:rsid w:val="00FD64B6"/>
    <w:rsid w:val="00FD653E"/>
    <w:rsid w:val="00FD67C4"/>
    <w:rsid w:val="00FD6C24"/>
    <w:rsid w:val="00FD6F25"/>
    <w:rsid w:val="00FD7032"/>
    <w:rsid w:val="00FD707A"/>
    <w:rsid w:val="00FD751E"/>
    <w:rsid w:val="00FD759A"/>
    <w:rsid w:val="00FD7928"/>
    <w:rsid w:val="00FD7B5F"/>
    <w:rsid w:val="00FD7D18"/>
    <w:rsid w:val="00FD7D1C"/>
    <w:rsid w:val="00FD7D5E"/>
    <w:rsid w:val="00FD7E77"/>
    <w:rsid w:val="00FE00C1"/>
    <w:rsid w:val="00FE081F"/>
    <w:rsid w:val="00FE084C"/>
    <w:rsid w:val="00FE12F4"/>
    <w:rsid w:val="00FE170E"/>
    <w:rsid w:val="00FE1AE0"/>
    <w:rsid w:val="00FE2241"/>
    <w:rsid w:val="00FE24C5"/>
    <w:rsid w:val="00FE2C58"/>
    <w:rsid w:val="00FE2CDF"/>
    <w:rsid w:val="00FE2DE5"/>
    <w:rsid w:val="00FE3273"/>
    <w:rsid w:val="00FE3422"/>
    <w:rsid w:val="00FE3CF5"/>
    <w:rsid w:val="00FE42AD"/>
    <w:rsid w:val="00FE43D2"/>
    <w:rsid w:val="00FE4BA0"/>
    <w:rsid w:val="00FE4C5D"/>
    <w:rsid w:val="00FE4DE7"/>
    <w:rsid w:val="00FE4F38"/>
    <w:rsid w:val="00FE5411"/>
    <w:rsid w:val="00FE57F3"/>
    <w:rsid w:val="00FE592D"/>
    <w:rsid w:val="00FE5983"/>
    <w:rsid w:val="00FE5DA0"/>
    <w:rsid w:val="00FE5EC4"/>
    <w:rsid w:val="00FE5FF7"/>
    <w:rsid w:val="00FE60CE"/>
    <w:rsid w:val="00FE61B4"/>
    <w:rsid w:val="00FE654E"/>
    <w:rsid w:val="00FE65B5"/>
    <w:rsid w:val="00FE6C07"/>
    <w:rsid w:val="00FE6DAF"/>
    <w:rsid w:val="00FE6DBD"/>
    <w:rsid w:val="00FE7386"/>
    <w:rsid w:val="00FE755A"/>
    <w:rsid w:val="00FE7606"/>
    <w:rsid w:val="00FE76AE"/>
    <w:rsid w:val="00FE79AA"/>
    <w:rsid w:val="00FF02C8"/>
    <w:rsid w:val="00FF039A"/>
    <w:rsid w:val="00FF04D5"/>
    <w:rsid w:val="00FF054C"/>
    <w:rsid w:val="00FF10E4"/>
    <w:rsid w:val="00FF1480"/>
    <w:rsid w:val="00FF196D"/>
    <w:rsid w:val="00FF1DD1"/>
    <w:rsid w:val="00FF21A3"/>
    <w:rsid w:val="00FF22F6"/>
    <w:rsid w:val="00FF24ED"/>
    <w:rsid w:val="00FF29D5"/>
    <w:rsid w:val="00FF2D28"/>
    <w:rsid w:val="00FF30D8"/>
    <w:rsid w:val="00FF3253"/>
    <w:rsid w:val="00FF361C"/>
    <w:rsid w:val="00FF362C"/>
    <w:rsid w:val="00FF3718"/>
    <w:rsid w:val="00FF3C9E"/>
    <w:rsid w:val="00FF3D45"/>
    <w:rsid w:val="00FF3D90"/>
    <w:rsid w:val="00FF3E8A"/>
    <w:rsid w:val="00FF4415"/>
    <w:rsid w:val="00FF4576"/>
    <w:rsid w:val="00FF4992"/>
    <w:rsid w:val="00FF4B3F"/>
    <w:rsid w:val="00FF4F46"/>
    <w:rsid w:val="00FF53F0"/>
    <w:rsid w:val="00FF5706"/>
    <w:rsid w:val="00FF5795"/>
    <w:rsid w:val="00FF586C"/>
    <w:rsid w:val="00FF58E7"/>
    <w:rsid w:val="00FF5BE7"/>
    <w:rsid w:val="00FF627A"/>
    <w:rsid w:val="00FF645C"/>
    <w:rsid w:val="00FF6578"/>
    <w:rsid w:val="00FF67FE"/>
    <w:rsid w:val="00FF6B35"/>
    <w:rsid w:val="00FF6B8D"/>
    <w:rsid w:val="00FF6CAA"/>
    <w:rsid w:val="00FF6D46"/>
    <w:rsid w:val="00FF6DE8"/>
    <w:rsid w:val="00FF7162"/>
    <w:rsid w:val="00FF71B2"/>
    <w:rsid w:val="00FF749E"/>
    <w:rsid w:val="00FF7A26"/>
    <w:rsid w:val="00FF7C39"/>
    <w:rsid w:val="00FF7D87"/>
    <w:rsid w:val="01070366"/>
    <w:rsid w:val="010827C0"/>
    <w:rsid w:val="0119548C"/>
    <w:rsid w:val="01200C18"/>
    <w:rsid w:val="012F2443"/>
    <w:rsid w:val="013B4944"/>
    <w:rsid w:val="01423F24"/>
    <w:rsid w:val="014A102B"/>
    <w:rsid w:val="015754F6"/>
    <w:rsid w:val="016245C6"/>
    <w:rsid w:val="01626374"/>
    <w:rsid w:val="018207C5"/>
    <w:rsid w:val="01995B0E"/>
    <w:rsid w:val="019B53E2"/>
    <w:rsid w:val="01B208EE"/>
    <w:rsid w:val="01CC1A40"/>
    <w:rsid w:val="01E41FFE"/>
    <w:rsid w:val="01F42D45"/>
    <w:rsid w:val="021F6013"/>
    <w:rsid w:val="022C6EF6"/>
    <w:rsid w:val="024A0BB7"/>
    <w:rsid w:val="02671768"/>
    <w:rsid w:val="0287337D"/>
    <w:rsid w:val="02B7624C"/>
    <w:rsid w:val="02B946BB"/>
    <w:rsid w:val="02BF3353"/>
    <w:rsid w:val="02C941D1"/>
    <w:rsid w:val="02D23086"/>
    <w:rsid w:val="02D7069C"/>
    <w:rsid w:val="02D84414"/>
    <w:rsid w:val="02DF5082"/>
    <w:rsid w:val="02E62FD5"/>
    <w:rsid w:val="030A0A72"/>
    <w:rsid w:val="03157416"/>
    <w:rsid w:val="034D095E"/>
    <w:rsid w:val="039667A9"/>
    <w:rsid w:val="03A964DC"/>
    <w:rsid w:val="03BC7892"/>
    <w:rsid w:val="03CC3F79"/>
    <w:rsid w:val="03D1333D"/>
    <w:rsid w:val="040F20B8"/>
    <w:rsid w:val="04117BDE"/>
    <w:rsid w:val="041B6CAE"/>
    <w:rsid w:val="042518DB"/>
    <w:rsid w:val="042C0EBC"/>
    <w:rsid w:val="04335DA6"/>
    <w:rsid w:val="043D09D3"/>
    <w:rsid w:val="043E1FEF"/>
    <w:rsid w:val="04406715"/>
    <w:rsid w:val="04473600"/>
    <w:rsid w:val="044C330C"/>
    <w:rsid w:val="04781A0B"/>
    <w:rsid w:val="048E122E"/>
    <w:rsid w:val="04934A97"/>
    <w:rsid w:val="049F168E"/>
    <w:rsid w:val="04B769D7"/>
    <w:rsid w:val="04C759C7"/>
    <w:rsid w:val="04DE1209"/>
    <w:rsid w:val="05524952"/>
    <w:rsid w:val="055446CC"/>
    <w:rsid w:val="055C64B1"/>
    <w:rsid w:val="05681A7F"/>
    <w:rsid w:val="056B77C2"/>
    <w:rsid w:val="05706B86"/>
    <w:rsid w:val="059B00A7"/>
    <w:rsid w:val="05AB7BBE"/>
    <w:rsid w:val="05B44CC5"/>
    <w:rsid w:val="05B66C8F"/>
    <w:rsid w:val="05C80770"/>
    <w:rsid w:val="05C900E9"/>
    <w:rsid w:val="05D15877"/>
    <w:rsid w:val="05D62E8D"/>
    <w:rsid w:val="05D830A9"/>
    <w:rsid w:val="05DD7EF2"/>
    <w:rsid w:val="05E350C4"/>
    <w:rsid w:val="05E757BA"/>
    <w:rsid w:val="05EE467B"/>
    <w:rsid w:val="05F34E3E"/>
    <w:rsid w:val="05F81055"/>
    <w:rsid w:val="0616597F"/>
    <w:rsid w:val="061834A6"/>
    <w:rsid w:val="06257970"/>
    <w:rsid w:val="06344057"/>
    <w:rsid w:val="064C75F3"/>
    <w:rsid w:val="06510766"/>
    <w:rsid w:val="06652463"/>
    <w:rsid w:val="066E57BB"/>
    <w:rsid w:val="067B3A34"/>
    <w:rsid w:val="067D155B"/>
    <w:rsid w:val="06915006"/>
    <w:rsid w:val="06A74829"/>
    <w:rsid w:val="06BB2083"/>
    <w:rsid w:val="06C260BB"/>
    <w:rsid w:val="06C90C44"/>
    <w:rsid w:val="06CB676A"/>
    <w:rsid w:val="06D27AF8"/>
    <w:rsid w:val="06D64E2F"/>
    <w:rsid w:val="06D66EBD"/>
    <w:rsid w:val="06E8731C"/>
    <w:rsid w:val="07034156"/>
    <w:rsid w:val="070457D8"/>
    <w:rsid w:val="070659F4"/>
    <w:rsid w:val="070E6D39"/>
    <w:rsid w:val="070E78AB"/>
    <w:rsid w:val="07195727"/>
    <w:rsid w:val="071F0864"/>
    <w:rsid w:val="074327A4"/>
    <w:rsid w:val="07465DF0"/>
    <w:rsid w:val="0748600C"/>
    <w:rsid w:val="075176D6"/>
    <w:rsid w:val="075A6102"/>
    <w:rsid w:val="079C0106"/>
    <w:rsid w:val="079D469A"/>
    <w:rsid w:val="07A11279"/>
    <w:rsid w:val="07A56FBB"/>
    <w:rsid w:val="07C531B9"/>
    <w:rsid w:val="07CB4548"/>
    <w:rsid w:val="07D953F5"/>
    <w:rsid w:val="07DE071F"/>
    <w:rsid w:val="07E21765"/>
    <w:rsid w:val="07E51AAD"/>
    <w:rsid w:val="08071A24"/>
    <w:rsid w:val="081E0B1B"/>
    <w:rsid w:val="08236132"/>
    <w:rsid w:val="082541F9"/>
    <w:rsid w:val="082E706B"/>
    <w:rsid w:val="0839318D"/>
    <w:rsid w:val="08412CE0"/>
    <w:rsid w:val="085B1D6F"/>
    <w:rsid w:val="08626C5A"/>
    <w:rsid w:val="086C5D2B"/>
    <w:rsid w:val="087E15BA"/>
    <w:rsid w:val="088E3EF3"/>
    <w:rsid w:val="08B66FA6"/>
    <w:rsid w:val="08BA0261"/>
    <w:rsid w:val="08BD6586"/>
    <w:rsid w:val="08D37B58"/>
    <w:rsid w:val="08E81855"/>
    <w:rsid w:val="090221EB"/>
    <w:rsid w:val="091268D2"/>
    <w:rsid w:val="0913264A"/>
    <w:rsid w:val="09150170"/>
    <w:rsid w:val="09175C96"/>
    <w:rsid w:val="091A5787"/>
    <w:rsid w:val="09293C1C"/>
    <w:rsid w:val="092B680F"/>
    <w:rsid w:val="095A5B83"/>
    <w:rsid w:val="0971467C"/>
    <w:rsid w:val="097A4477"/>
    <w:rsid w:val="098826F0"/>
    <w:rsid w:val="09A137B2"/>
    <w:rsid w:val="09A82C75"/>
    <w:rsid w:val="09B6460A"/>
    <w:rsid w:val="09B90AFC"/>
    <w:rsid w:val="09BE25B6"/>
    <w:rsid w:val="09C35E1E"/>
    <w:rsid w:val="09CF031F"/>
    <w:rsid w:val="09F00295"/>
    <w:rsid w:val="0A075D0B"/>
    <w:rsid w:val="0A0E3246"/>
    <w:rsid w:val="0A171CC6"/>
    <w:rsid w:val="0A2E0397"/>
    <w:rsid w:val="0A342878"/>
    <w:rsid w:val="0A397E8E"/>
    <w:rsid w:val="0A3E7253"/>
    <w:rsid w:val="0A4725AB"/>
    <w:rsid w:val="0A486323"/>
    <w:rsid w:val="0A5151D8"/>
    <w:rsid w:val="0A6A631C"/>
    <w:rsid w:val="0A6F38B0"/>
    <w:rsid w:val="0ADF0A36"/>
    <w:rsid w:val="0B187AA4"/>
    <w:rsid w:val="0B3A7C30"/>
    <w:rsid w:val="0B3C19E4"/>
    <w:rsid w:val="0B3D750A"/>
    <w:rsid w:val="0B811AED"/>
    <w:rsid w:val="0B8D66E4"/>
    <w:rsid w:val="0B93537C"/>
    <w:rsid w:val="0B9C6927"/>
    <w:rsid w:val="0BA61553"/>
    <w:rsid w:val="0BA8098F"/>
    <w:rsid w:val="0BB27EF8"/>
    <w:rsid w:val="0BBF6493"/>
    <w:rsid w:val="0BC65752"/>
    <w:rsid w:val="0BE107DE"/>
    <w:rsid w:val="0BE34556"/>
    <w:rsid w:val="0BE45BD8"/>
    <w:rsid w:val="0C2E7531"/>
    <w:rsid w:val="0C2F32F7"/>
    <w:rsid w:val="0C364685"/>
    <w:rsid w:val="0C760F26"/>
    <w:rsid w:val="0C7D0506"/>
    <w:rsid w:val="0C886EAB"/>
    <w:rsid w:val="0C9A5778"/>
    <w:rsid w:val="0C9A711D"/>
    <w:rsid w:val="0CB832EC"/>
    <w:rsid w:val="0CC954FA"/>
    <w:rsid w:val="0CCA2ADC"/>
    <w:rsid w:val="0CCA74C4"/>
    <w:rsid w:val="0CE00A95"/>
    <w:rsid w:val="0CE37C2C"/>
    <w:rsid w:val="0CEA36C2"/>
    <w:rsid w:val="0CEB1914"/>
    <w:rsid w:val="0CF52E29"/>
    <w:rsid w:val="0D0429D6"/>
    <w:rsid w:val="0D0C3638"/>
    <w:rsid w:val="0D18022F"/>
    <w:rsid w:val="0D1F336B"/>
    <w:rsid w:val="0D336E17"/>
    <w:rsid w:val="0D4A5F0F"/>
    <w:rsid w:val="0D56683B"/>
    <w:rsid w:val="0D782A7C"/>
    <w:rsid w:val="0D7C256C"/>
    <w:rsid w:val="0D961154"/>
    <w:rsid w:val="0DA970D9"/>
    <w:rsid w:val="0DBC0BBA"/>
    <w:rsid w:val="0DBF68FD"/>
    <w:rsid w:val="0DC42165"/>
    <w:rsid w:val="0DDA54E4"/>
    <w:rsid w:val="0DDF0D4D"/>
    <w:rsid w:val="0E19600D"/>
    <w:rsid w:val="0E462B7A"/>
    <w:rsid w:val="0E4A266A"/>
    <w:rsid w:val="0E4E0491"/>
    <w:rsid w:val="0E4F1A2E"/>
    <w:rsid w:val="0E6A6868"/>
    <w:rsid w:val="0E6F3E7F"/>
    <w:rsid w:val="0E772D33"/>
    <w:rsid w:val="0E7C659C"/>
    <w:rsid w:val="0E811E04"/>
    <w:rsid w:val="0E855450"/>
    <w:rsid w:val="0E8A515C"/>
    <w:rsid w:val="0E8A6F0A"/>
    <w:rsid w:val="0E8D07A9"/>
    <w:rsid w:val="0EA518FD"/>
    <w:rsid w:val="0EB126E9"/>
    <w:rsid w:val="0EC44C8E"/>
    <w:rsid w:val="0ECE71DE"/>
    <w:rsid w:val="0ED62D68"/>
    <w:rsid w:val="0EDD34DE"/>
    <w:rsid w:val="0EE24651"/>
    <w:rsid w:val="0EE26D46"/>
    <w:rsid w:val="0EE52393"/>
    <w:rsid w:val="0EF34A9B"/>
    <w:rsid w:val="0F046CBD"/>
    <w:rsid w:val="0F135152"/>
    <w:rsid w:val="0F2A67F5"/>
    <w:rsid w:val="0F360E40"/>
    <w:rsid w:val="0F39623B"/>
    <w:rsid w:val="0F5117D6"/>
    <w:rsid w:val="0F515C7A"/>
    <w:rsid w:val="0F5B4403"/>
    <w:rsid w:val="0F657030"/>
    <w:rsid w:val="0F784FB5"/>
    <w:rsid w:val="0FC87CEA"/>
    <w:rsid w:val="0FD7617F"/>
    <w:rsid w:val="0FED7751"/>
    <w:rsid w:val="0FF52AA9"/>
    <w:rsid w:val="0FF54858"/>
    <w:rsid w:val="0FFF7484"/>
    <w:rsid w:val="100B5E29"/>
    <w:rsid w:val="107F21D3"/>
    <w:rsid w:val="10832FB0"/>
    <w:rsid w:val="10881228"/>
    <w:rsid w:val="1092654A"/>
    <w:rsid w:val="10961B97"/>
    <w:rsid w:val="10A5627E"/>
    <w:rsid w:val="10CE1822"/>
    <w:rsid w:val="10D64689"/>
    <w:rsid w:val="10F468BD"/>
    <w:rsid w:val="10F57740"/>
    <w:rsid w:val="110034B4"/>
    <w:rsid w:val="11052878"/>
    <w:rsid w:val="112453F4"/>
    <w:rsid w:val="1131366D"/>
    <w:rsid w:val="11531836"/>
    <w:rsid w:val="11627CCB"/>
    <w:rsid w:val="11641C95"/>
    <w:rsid w:val="11875983"/>
    <w:rsid w:val="119105B0"/>
    <w:rsid w:val="11A744B5"/>
    <w:rsid w:val="11B92EF1"/>
    <w:rsid w:val="11C10E95"/>
    <w:rsid w:val="11D02E86"/>
    <w:rsid w:val="11D706B9"/>
    <w:rsid w:val="12062B4E"/>
    <w:rsid w:val="120E1C01"/>
    <w:rsid w:val="122D02D9"/>
    <w:rsid w:val="1232769D"/>
    <w:rsid w:val="12380A2C"/>
    <w:rsid w:val="123F000C"/>
    <w:rsid w:val="12723F3D"/>
    <w:rsid w:val="128819B3"/>
    <w:rsid w:val="12902616"/>
    <w:rsid w:val="12A04F4F"/>
    <w:rsid w:val="12AA36D7"/>
    <w:rsid w:val="12AF5192"/>
    <w:rsid w:val="12B409FA"/>
    <w:rsid w:val="12B97DBE"/>
    <w:rsid w:val="12BC340B"/>
    <w:rsid w:val="13070B2A"/>
    <w:rsid w:val="130C25E4"/>
    <w:rsid w:val="130C4392"/>
    <w:rsid w:val="1324792E"/>
    <w:rsid w:val="13290B0A"/>
    <w:rsid w:val="13655850"/>
    <w:rsid w:val="136715C8"/>
    <w:rsid w:val="137B32C6"/>
    <w:rsid w:val="137E31A9"/>
    <w:rsid w:val="13877EBC"/>
    <w:rsid w:val="139104D6"/>
    <w:rsid w:val="13936861"/>
    <w:rsid w:val="139525D9"/>
    <w:rsid w:val="139D323C"/>
    <w:rsid w:val="13A4281C"/>
    <w:rsid w:val="13B011C1"/>
    <w:rsid w:val="13C609E5"/>
    <w:rsid w:val="13F13588"/>
    <w:rsid w:val="14025795"/>
    <w:rsid w:val="1408028B"/>
    <w:rsid w:val="14302302"/>
    <w:rsid w:val="14333BA0"/>
    <w:rsid w:val="144C2179"/>
    <w:rsid w:val="144E20E3"/>
    <w:rsid w:val="14700951"/>
    <w:rsid w:val="147976DB"/>
    <w:rsid w:val="14AF1479"/>
    <w:rsid w:val="14C30A80"/>
    <w:rsid w:val="14C8253B"/>
    <w:rsid w:val="14D07641"/>
    <w:rsid w:val="14D233B9"/>
    <w:rsid w:val="153320AA"/>
    <w:rsid w:val="1542409B"/>
    <w:rsid w:val="15451DDD"/>
    <w:rsid w:val="15543DCE"/>
    <w:rsid w:val="15567B46"/>
    <w:rsid w:val="156C55BC"/>
    <w:rsid w:val="15806971"/>
    <w:rsid w:val="15891CCA"/>
    <w:rsid w:val="15A07014"/>
    <w:rsid w:val="15A20FDE"/>
    <w:rsid w:val="15B036FB"/>
    <w:rsid w:val="15B900D5"/>
    <w:rsid w:val="15D31197"/>
    <w:rsid w:val="15D32F45"/>
    <w:rsid w:val="15DE18EA"/>
    <w:rsid w:val="15E2587E"/>
    <w:rsid w:val="15FA2BC8"/>
    <w:rsid w:val="16297009"/>
    <w:rsid w:val="1642631D"/>
    <w:rsid w:val="164B6F7F"/>
    <w:rsid w:val="165F4CB9"/>
    <w:rsid w:val="1672275E"/>
    <w:rsid w:val="16981374"/>
    <w:rsid w:val="16B03286"/>
    <w:rsid w:val="16C531D6"/>
    <w:rsid w:val="16CA259A"/>
    <w:rsid w:val="16D90A2F"/>
    <w:rsid w:val="17127A9D"/>
    <w:rsid w:val="171750B3"/>
    <w:rsid w:val="171C091C"/>
    <w:rsid w:val="173E0892"/>
    <w:rsid w:val="1743234C"/>
    <w:rsid w:val="174762AE"/>
    <w:rsid w:val="177B0E6C"/>
    <w:rsid w:val="1780534F"/>
    <w:rsid w:val="17874176"/>
    <w:rsid w:val="178C784F"/>
    <w:rsid w:val="178C7B60"/>
    <w:rsid w:val="179901BE"/>
    <w:rsid w:val="17C90AA4"/>
    <w:rsid w:val="17D9680D"/>
    <w:rsid w:val="17EE4066"/>
    <w:rsid w:val="18095344"/>
    <w:rsid w:val="180F222F"/>
    <w:rsid w:val="181141F9"/>
    <w:rsid w:val="18117D55"/>
    <w:rsid w:val="181D494B"/>
    <w:rsid w:val="18226406"/>
    <w:rsid w:val="182B52BA"/>
    <w:rsid w:val="183121A5"/>
    <w:rsid w:val="183F2B14"/>
    <w:rsid w:val="18415F2D"/>
    <w:rsid w:val="184243B2"/>
    <w:rsid w:val="18725411"/>
    <w:rsid w:val="1881137E"/>
    <w:rsid w:val="18893D8F"/>
    <w:rsid w:val="18954E2A"/>
    <w:rsid w:val="18A132C6"/>
    <w:rsid w:val="18A706B9"/>
    <w:rsid w:val="18B43502"/>
    <w:rsid w:val="18BC5F12"/>
    <w:rsid w:val="18CB084B"/>
    <w:rsid w:val="18E611E1"/>
    <w:rsid w:val="18ED2570"/>
    <w:rsid w:val="190478B9"/>
    <w:rsid w:val="191C4C03"/>
    <w:rsid w:val="19257F5C"/>
    <w:rsid w:val="19706CFD"/>
    <w:rsid w:val="197E58BE"/>
    <w:rsid w:val="19805192"/>
    <w:rsid w:val="19831126"/>
    <w:rsid w:val="19947CCB"/>
    <w:rsid w:val="199B021E"/>
    <w:rsid w:val="199D3F96"/>
    <w:rsid w:val="19AF3CC9"/>
    <w:rsid w:val="19C21C4E"/>
    <w:rsid w:val="19C92FDD"/>
    <w:rsid w:val="19CE05F3"/>
    <w:rsid w:val="19CF4137"/>
    <w:rsid w:val="19D02FD9"/>
    <w:rsid w:val="19E25E4D"/>
    <w:rsid w:val="1A073B05"/>
    <w:rsid w:val="1A077661"/>
    <w:rsid w:val="1A1104E0"/>
    <w:rsid w:val="1A1F3A55"/>
    <w:rsid w:val="1A202A12"/>
    <w:rsid w:val="1A3146DE"/>
    <w:rsid w:val="1A5605E9"/>
    <w:rsid w:val="1A606D71"/>
    <w:rsid w:val="1A7176E9"/>
    <w:rsid w:val="1A7647E7"/>
    <w:rsid w:val="1A903AFB"/>
    <w:rsid w:val="1A9B5FFB"/>
    <w:rsid w:val="1AA966CF"/>
    <w:rsid w:val="1AB904B6"/>
    <w:rsid w:val="1ABC48F0"/>
    <w:rsid w:val="1AC35C7E"/>
    <w:rsid w:val="1ACD26DA"/>
    <w:rsid w:val="1ACE017F"/>
    <w:rsid w:val="1ADC0AEE"/>
    <w:rsid w:val="1ADD6614"/>
    <w:rsid w:val="1ADE4866"/>
    <w:rsid w:val="1AF23E6D"/>
    <w:rsid w:val="1B155DAE"/>
    <w:rsid w:val="1B2B0B7F"/>
    <w:rsid w:val="1B440441"/>
    <w:rsid w:val="1B4B7A22"/>
    <w:rsid w:val="1B505038"/>
    <w:rsid w:val="1B5F527B"/>
    <w:rsid w:val="1B882A24"/>
    <w:rsid w:val="1B8D3B96"/>
    <w:rsid w:val="1B950C9D"/>
    <w:rsid w:val="1B9F031E"/>
    <w:rsid w:val="1BA50EE0"/>
    <w:rsid w:val="1BAF7FB0"/>
    <w:rsid w:val="1BB2184F"/>
    <w:rsid w:val="1BBD091F"/>
    <w:rsid w:val="1BCA6B98"/>
    <w:rsid w:val="1BE7774A"/>
    <w:rsid w:val="1BF9122C"/>
    <w:rsid w:val="1C02487D"/>
    <w:rsid w:val="1C1D316C"/>
    <w:rsid w:val="1C3E520E"/>
    <w:rsid w:val="1C427076"/>
    <w:rsid w:val="1C533032"/>
    <w:rsid w:val="1C5823F6"/>
    <w:rsid w:val="1C744D56"/>
    <w:rsid w:val="1C7F3E27"/>
    <w:rsid w:val="1CB05D8E"/>
    <w:rsid w:val="1CB87339"/>
    <w:rsid w:val="1CC21F65"/>
    <w:rsid w:val="1CC47A8B"/>
    <w:rsid w:val="1CC76113"/>
    <w:rsid w:val="1CD75A11"/>
    <w:rsid w:val="1CDD0B4D"/>
    <w:rsid w:val="1CE65C54"/>
    <w:rsid w:val="1CFC5477"/>
    <w:rsid w:val="1D04432C"/>
    <w:rsid w:val="1D0936F0"/>
    <w:rsid w:val="1D1327C1"/>
    <w:rsid w:val="1D197650"/>
    <w:rsid w:val="1D1F2F14"/>
    <w:rsid w:val="1D271DC8"/>
    <w:rsid w:val="1D3C1D18"/>
    <w:rsid w:val="1D3E1BCA"/>
    <w:rsid w:val="1D4961E3"/>
    <w:rsid w:val="1D6923E1"/>
    <w:rsid w:val="1D6B6159"/>
    <w:rsid w:val="1D6E6666"/>
    <w:rsid w:val="1D7F6B6F"/>
    <w:rsid w:val="1D8D4321"/>
    <w:rsid w:val="1D903E12"/>
    <w:rsid w:val="1D94745E"/>
    <w:rsid w:val="1DA502F0"/>
    <w:rsid w:val="1DA90A2F"/>
    <w:rsid w:val="1DC23EEA"/>
    <w:rsid w:val="1DC37D43"/>
    <w:rsid w:val="1DCC309C"/>
    <w:rsid w:val="1DDE2DCF"/>
    <w:rsid w:val="1E032835"/>
    <w:rsid w:val="1E1E65FA"/>
    <w:rsid w:val="1E2A1B70"/>
    <w:rsid w:val="1E4569AA"/>
    <w:rsid w:val="1E4A3FC0"/>
    <w:rsid w:val="1E7352C5"/>
    <w:rsid w:val="1E805C34"/>
    <w:rsid w:val="1EB458DE"/>
    <w:rsid w:val="1EBD0C36"/>
    <w:rsid w:val="1ECB3353"/>
    <w:rsid w:val="1EDA5344"/>
    <w:rsid w:val="1EDC394B"/>
    <w:rsid w:val="1EE75CB3"/>
    <w:rsid w:val="1EF108E0"/>
    <w:rsid w:val="1EFA59E6"/>
    <w:rsid w:val="1EFB350D"/>
    <w:rsid w:val="1F0B19A2"/>
    <w:rsid w:val="1F0E1492"/>
    <w:rsid w:val="1F234F3D"/>
    <w:rsid w:val="1F291E28"/>
    <w:rsid w:val="1F335D86"/>
    <w:rsid w:val="1F501AAA"/>
    <w:rsid w:val="1F5A0233"/>
    <w:rsid w:val="1F7F0028"/>
    <w:rsid w:val="1F8F25D3"/>
    <w:rsid w:val="1F925C1F"/>
    <w:rsid w:val="1FA31BDA"/>
    <w:rsid w:val="1FAF67D1"/>
    <w:rsid w:val="1FBF1E16"/>
    <w:rsid w:val="1FD004F5"/>
    <w:rsid w:val="1FDE0E64"/>
    <w:rsid w:val="20146634"/>
    <w:rsid w:val="201725C8"/>
    <w:rsid w:val="20232D1B"/>
    <w:rsid w:val="202D4D1D"/>
    <w:rsid w:val="203942EC"/>
    <w:rsid w:val="203B0065"/>
    <w:rsid w:val="20745325"/>
    <w:rsid w:val="20796DDF"/>
    <w:rsid w:val="2085324E"/>
    <w:rsid w:val="208608C1"/>
    <w:rsid w:val="20A0436C"/>
    <w:rsid w:val="20B63B8F"/>
    <w:rsid w:val="20E406FC"/>
    <w:rsid w:val="21117B79"/>
    <w:rsid w:val="212F1E92"/>
    <w:rsid w:val="213B4094"/>
    <w:rsid w:val="2177331E"/>
    <w:rsid w:val="21784DCA"/>
    <w:rsid w:val="218E2416"/>
    <w:rsid w:val="21920158"/>
    <w:rsid w:val="21B53E47"/>
    <w:rsid w:val="21CA5B44"/>
    <w:rsid w:val="21E40288"/>
    <w:rsid w:val="21FA5CFD"/>
    <w:rsid w:val="21FC1A76"/>
    <w:rsid w:val="220B1CB9"/>
    <w:rsid w:val="22145011"/>
    <w:rsid w:val="221548E5"/>
    <w:rsid w:val="221A5549"/>
    <w:rsid w:val="221B014E"/>
    <w:rsid w:val="22347461"/>
    <w:rsid w:val="224F1BA5"/>
    <w:rsid w:val="2254540E"/>
    <w:rsid w:val="22765384"/>
    <w:rsid w:val="227E06DD"/>
    <w:rsid w:val="228F6446"/>
    <w:rsid w:val="22F15352"/>
    <w:rsid w:val="22FD5AA5"/>
    <w:rsid w:val="230706D2"/>
    <w:rsid w:val="231336BF"/>
    <w:rsid w:val="231352C9"/>
    <w:rsid w:val="23166B67"/>
    <w:rsid w:val="231921B3"/>
    <w:rsid w:val="231A0405"/>
    <w:rsid w:val="233A0AA7"/>
    <w:rsid w:val="2355768F"/>
    <w:rsid w:val="2366189C"/>
    <w:rsid w:val="2369138D"/>
    <w:rsid w:val="236E0751"/>
    <w:rsid w:val="238B1303"/>
    <w:rsid w:val="23AF4C74"/>
    <w:rsid w:val="23B048C6"/>
    <w:rsid w:val="23B1503C"/>
    <w:rsid w:val="23B24AE2"/>
    <w:rsid w:val="23BA1BE8"/>
    <w:rsid w:val="23C465C3"/>
    <w:rsid w:val="23D73B06"/>
    <w:rsid w:val="23D74548"/>
    <w:rsid w:val="23DF33FD"/>
    <w:rsid w:val="2423604B"/>
    <w:rsid w:val="2423778D"/>
    <w:rsid w:val="24376D95"/>
    <w:rsid w:val="244F2C4F"/>
    <w:rsid w:val="2455546D"/>
    <w:rsid w:val="24584930"/>
    <w:rsid w:val="24651B54"/>
    <w:rsid w:val="24973CD7"/>
    <w:rsid w:val="249A23D6"/>
    <w:rsid w:val="24A7216D"/>
    <w:rsid w:val="24A81A41"/>
    <w:rsid w:val="24CA2D6B"/>
    <w:rsid w:val="24E30CCB"/>
    <w:rsid w:val="24E862E1"/>
    <w:rsid w:val="24FD00AA"/>
    <w:rsid w:val="25113A8A"/>
    <w:rsid w:val="251470D6"/>
    <w:rsid w:val="251D41DD"/>
    <w:rsid w:val="25441769"/>
    <w:rsid w:val="255215FD"/>
    <w:rsid w:val="256242E5"/>
    <w:rsid w:val="2572277A"/>
    <w:rsid w:val="257A162F"/>
    <w:rsid w:val="257A518B"/>
    <w:rsid w:val="25867FD4"/>
    <w:rsid w:val="25873D4C"/>
    <w:rsid w:val="25950217"/>
    <w:rsid w:val="25956469"/>
    <w:rsid w:val="25987D07"/>
    <w:rsid w:val="259A3A7F"/>
    <w:rsid w:val="25BD1DD5"/>
    <w:rsid w:val="25D725DE"/>
    <w:rsid w:val="25D80104"/>
    <w:rsid w:val="25DE1BBE"/>
    <w:rsid w:val="26061C5A"/>
    <w:rsid w:val="26105AEF"/>
    <w:rsid w:val="26306192"/>
    <w:rsid w:val="26451C3D"/>
    <w:rsid w:val="265610A7"/>
    <w:rsid w:val="266320C3"/>
    <w:rsid w:val="26655E3B"/>
    <w:rsid w:val="267F67D1"/>
    <w:rsid w:val="268A3AF4"/>
    <w:rsid w:val="26BD5C77"/>
    <w:rsid w:val="26C80178"/>
    <w:rsid w:val="26E256DE"/>
    <w:rsid w:val="26EA788C"/>
    <w:rsid w:val="27054F28"/>
    <w:rsid w:val="27282FCE"/>
    <w:rsid w:val="27313F6F"/>
    <w:rsid w:val="274A6DDF"/>
    <w:rsid w:val="27675BE3"/>
    <w:rsid w:val="276E6851"/>
    <w:rsid w:val="278D4EE0"/>
    <w:rsid w:val="27910EB2"/>
    <w:rsid w:val="27AC5CEC"/>
    <w:rsid w:val="27CC1EEA"/>
    <w:rsid w:val="27F03E2A"/>
    <w:rsid w:val="27F8683B"/>
    <w:rsid w:val="2802590C"/>
    <w:rsid w:val="28235FAE"/>
    <w:rsid w:val="28237D5C"/>
    <w:rsid w:val="283C2BCC"/>
    <w:rsid w:val="28480D9A"/>
    <w:rsid w:val="2849353B"/>
    <w:rsid w:val="285A12A4"/>
    <w:rsid w:val="285A2A84"/>
    <w:rsid w:val="288D3427"/>
    <w:rsid w:val="28920A3E"/>
    <w:rsid w:val="28A569C3"/>
    <w:rsid w:val="28CD5F1A"/>
    <w:rsid w:val="28D52579"/>
    <w:rsid w:val="28D92B11"/>
    <w:rsid w:val="28D9666D"/>
    <w:rsid w:val="28EF5E90"/>
    <w:rsid w:val="29114058"/>
    <w:rsid w:val="29127DD1"/>
    <w:rsid w:val="29185AD6"/>
    <w:rsid w:val="2920604A"/>
    <w:rsid w:val="292875F4"/>
    <w:rsid w:val="2936586D"/>
    <w:rsid w:val="2944442E"/>
    <w:rsid w:val="29451F54"/>
    <w:rsid w:val="2953646C"/>
    <w:rsid w:val="29546686"/>
    <w:rsid w:val="29673364"/>
    <w:rsid w:val="296D5007"/>
    <w:rsid w:val="296D62D6"/>
    <w:rsid w:val="29714AF7"/>
    <w:rsid w:val="29736AC1"/>
    <w:rsid w:val="297445E7"/>
    <w:rsid w:val="297A0642"/>
    <w:rsid w:val="298C7B83"/>
    <w:rsid w:val="29B42C36"/>
    <w:rsid w:val="29B64C00"/>
    <w:rsid w:val="29BA46F0"/>
    <w:rsid w:val="29BF5862"/>
    <w:rsid w:val="29D3130E"/>
    <w:rsid w:val="29EB48A9"/>
    <w:rsid w:val="29F00112"/>
    <w:rsid w:val="2A17569E"/>
    <w:rsid w:val="2A355B25"/>
    <w:rsid w:val="2A4144C9"/>
    <w:rsid w:val="2A573CED"/>
    <w:rsid w:val="2A5C57A7"/>
    <w:rsid w:val="2A7A3E7F"/>
    <w:rsid w:val="2A88659C"/>
    <w:rsid w:val="2A8A1077"/>
    <w:rsid w:val="2A8C32FA"/>
    <w:rsid w:val="2AAD6003"/>
    <w:rsid w:val="2AAF63DD"/>
    <w:rsid w:val="2AD74E2E"/>
    <w:rsid w:val="2AE25969"/>
    <w:rsid w:val="2AF61758"/>
    <w:rsid w:val="2B0674C1"/>
    <w:rsid w:val="2B0D2CED"/>
    <w:rsid w:val="2B3758CC"/>
    <w:rsid w:val="2B45623B"/>
    <w:rsid w:val="2B487ADA"/>
    <w:rsid w:val="2B5D3585"/>
    <w:rsid w:val="2B674404"/>
    <w:rsid w:val="2B6761B2"/>
    <w:rsid w:val="2B683CD8"/>
    <w:rsid w:val="2B7D7783"/>
    <w:rsid w:val="2B7F799F"/>
    <w:rsid w:val="2B844FB6"/>
    <w:rsid w:val="2B8831C3"/>
    <w:rsid w:val="2B8C3E6A"/>
    <w:rsid w:val="2B9872D5"/>
    <w:rsid w:val="2BBB2E02"/>
    <w:rsid w:val="2BC5737C"/>
    <w:rsid w:val="2BCA4992"/>
    <w:rsid w:val="2BEA0B91"/>
    <w:rsid w:val="2BEA293F"/>
    <w:rsid w:val="2BFA0DD4"/>
    <w:rsid w:val="2BFB2D9E"/>
    <w:rsid w:val="2BFF63EA"/>
    <w:rsid w:val="2C0E487F"/>
    <w:rsid w:val="2C337170"/>
    <w:rsid w:val="2C351E0C"/>
    <w:rsid w:val="2C3C763E"/>
    <w:rsid w:val="2C564EB8"/>
    <w:rsid w:val="2C5D5807"/>
    <w:rsid w:val="2C5F332D"/>
    <w:rsid w:val="2C6941AB"/>
    <w:rsid w:val="2C6C77F8"/>
    <w:rsid w:val="2C7F31B6"/>
    <w:rsid w:val="2C8132A3"/>
    <w:rsid w:val="2C8B4122"/>
    <w:rsid w:val="2C8C39F6"/>
    <w:rsid w:val="2C9C1E8B"/>
    <w:rsid w:val="2CA156F3"/>
    <w:rsid w:val="2CC2469D"/>
    <w:rsid w:val="2CD755B9"/>
    <w:rsid w:val="2CF63C91"/>
    <w:rsid w:val="2D2D342B"/>
    <w:rsid w:val="2D594220"/>
    <w:rsid w:val="2D621327"/>
    <w:rsid w:val="2D6548C7"/>
    <w:rsid w:val="2D6C5D01"/>
    <w:rsid w:val="2D79041E"/>
    <w:rsid w:val="2D83129D"/>
    <w:rsid w:val="2D8D7A26"/>
    <w:rsid w:val="2D984D48"/>
    <w:rsid w:val="2D9A5EE2"/>
    <w:rsid w:val="2DB476A8"/>
    <w:rsid w:val="2DC518B5"/>
    <w:rsid w:val="2DC773DC"/>
    <w:rsid w:val="2DD90EBD"/>
    <w:rsid w:val="2DF06932"/>
    <w:rsid w:val="2E000267"/>
    <w:rsid w:val="2E007272"/>
    <w:rsid w:val="2E026666"/>
    <w:rsid w:val="2E3031D3"/>
    <w:rsid w:val="2E450300"/>
    <w:rsid w:val="2E652751"/>
    <w:rsid w:val="2E67296D"/>
    <w:rsid w:val="2E772BB0"/>
    <w:rsid w:val="2E9F5C62"/>
    <w:rsid w:val="2EB01C1E"/>
    <w:rsid w:val="2EB23BE8"/>
    <w:rsid w:val="2EC41B6D"/>
    <w:rsid w:val="2ED23282"/>
    <w:rsid w:val="2EED2E72"/>
    <w:rsid w:val="2EFC4E63"/>
    <w:rsid w:val="2EFE6E2D"/>
    <w:rsid w:val="2F0D52C2"/>
    <w:rsid w:val="2F171C9D"/>
    <w:rsid w:val="2F266384"/>
    <w:rsid w:val="2F4B1946"/>
    <w:rsid w:val="2F4B1B9C"/>
    <w:rsid w:val="2F4D1B62"/>
    <w:rsid w:val="2F4E556A"/>
    <w:rsid w:val="2F546A4D"/>
    <w:rsid w:val="2F7112CC"/>
    <w:rsid w:val="2F725125"/>
    <w:rsid w:val="2F90494F"/>
    <w:rsid w:val="2FA8323D"/>
    <w:rsid w:val="2FC8743B"/>
    <w:rsid w:val="2FF04FD8"/>
    <w:rsid w:val="2FF226A2"/>
    <w:rsid w:val="2FF3270A"/>
    <w:rsid w:val="2FFC093C"/>
    <w:rsid w:val="3005243D"/>
    <w:rsid w:val="3014442E"/>
    <w:rsid w:val="302E3742"/>
    <w:rsid w:val="30332B06"/>
    <w:rsid w:val="304C5976"/>
    <w:rsid w:val="3060757C"/>
    <w:rsid w:val="30647164"/>
    <w:rsid w:val="306D3401"/>
    <w:rsid w:val="308570DA"/>
    <w:rsid w:val="3086532C"/>
    <w:rsid w:val="309537C1"/>
    <w:rsid w:val="309B2D4A"/>
    <w:rsid w:val="30BA6D84"/>
    <w:rsid w:val="30F46739"/>
    <w:rsid w:val="30FF50DE"/>
    <w:rsid w:val="31101099"/>
    <w:rsid w:val="31480833"/>
    <w:rsid w:val="31615451"/>
    <w:rsid w:val="316311C9"/>
    <w:rsid w:val="31733C43"/>
    <w:rsid w:val="317A6513"/>
    <w:rsid w:val="317E24A7"/>
    <w:rsid w:val="3186310A"/>
    <w:rsid w:val="31A17F44"/>
    <w:rsid w:val="31A737AC"/>
    <w:rsid w:val="31B639EF"/>
    <w:rsid w:val="31D65E3F"/>
    <w:rsid w:val="31F43D52"/>
    <w:rsid w:val="320329AC"/>
    <w:rsid w:val="320871E8"/>
    <w:rsid w:val="325F4087"/>
    <w:rsid w:val="32625925"/>
    <w:rsid w:val="327B69E7"/>
    <w:rsid w:val="3281224F"/>
    <w:rsid w:val="328238D1"/>
    <w:rsid w:val="3287538B"/>
    <w:rsid w:val="329B0E37"/>
    <w:rsid w:val="32B334A9"/>
    <w:rsid w:val="32BF4784"/>
    <w:rsid w:val="32EE0F67"/>
    <w:rsid w:val="32F522F5"/>
    <w:rsid w:val="32FE7206"/>
    <w:rsid w:val="33006D51"/>
    <w:rsid w:val="3301513E"/>
    <w:rsid w:val="33062754"/>
    <w:rsid w:val="3307027A"/>
    <w:rsid w:val="330C763F"/>
    <w:rsid w:val="331704BD"/>
    <w:rsid w:val="333948D8"/>
    <w:rsid w:val="3364747B"/>
    <w:rsid w:val="337C2B8E"/>
    <w:rsid w:val="33857B1D"/>
    <w:rsid w:val="33900270"/>
    <w:rsid w:val="339B493B"/>
    <w:rsid w:val="33AB6E58"/>
    <w:rsid w:val="33B815D8"/>
    <w:rsid w:val="33C85C5B"/>
    <w:rsid w:val="33D77C4D"/>
    <w:rsid w:val="34050C5E"/>
    <w:rsid w:val="3423303B"/>
    <w:rsid w:val="342A4220"/>
    <w:rsid w:val="3431735D"/>
    <w:rsid w:val="3439473C"/>
    <w:rsid w:val="344057F2"/>
    <w:rsid w:val="34474DD2"/>
    <w:rsid w:val="344D4AE1"/>
    <w:rsid w:val="345D45F6"/>
    <w:rsid w:val="347831DE"/>
    <w:rsid w:val="348558FB"/>
    <w:rsid w:val="348A2F11"/>
    <w:rsid w:val="3491604D"/>
    <w:rsid w:val="34AC2E87"/>
    <w:rsid w:val="34B850AF"/>
    <w:rsid w:val="34D50630"/>
    <w:rsid w:val="34F0546A"/>
    <w:rsid w:val="34F40D1E"/>
    <w:rsid w:val="35040F15"/>
    <w:rsid w:val="350B5E00"/>
    <w:rsid w:val="3522139B"/>
    <w:rsid w:val="352944D8"/>
    <w:rsid w:val="352A5588"/>
    <w:rsid w:val="35305866"/>
    <w:rsid w:val="353D7F83"/>
    <w:rsid w:val="3550415A"/>
    <w:rsid w:val="35780FBB"/>
    <w:rsid w:val="35805C30"/>
    <w:rsid w:val="35843E04"/>
    <w:rsid w:val="358C18FA"/>
    <w:rsid w:val="35AF0E81"/>
    <w:rsid w:val="35C0308E"/>
    <w:rsid w:val="35D54660"/>
    <w:rsid w:val="35EB79DF"/>
    <w:rsid w:val="36363350"/>
    <w:rsid w:val="365E4655"/>
    <w:rsid w:val="3691367B"/>
    <w:rsid w:val="36C00E6C"/>
    <w:rsid w:val="36C02C1A"/>
    <w:rsid w:val="36C721FA"/>
    <w:rsid w:val="36CD29FD"/>
    <w:rsid w:val="36D6068F"/>
    <w:rsid w:val="36E3362D"/>
    <w:rsid w:val="36F31241"/>
    <w:rsid w:val="37024FE0"/>
    <w:rsid w:val="37040D59"/>
    <w:rsid w:val="373C4996"/>
    <w:rsid w:val="376712E7"/>
    <w:rsid w:val="376932B2"/>
    <w:rsid w:val="37873738"/>
    <w:rsid w:val="379522F8"/>
    <w:rsid w:val="379E73FF"/>
    <w:rsid w:val="37B502A5"/>
    <w:rsid w:val="37B81B43"/>
    <w:rsid w:val="37DA7D0B"/>
    <w:rsid w:val="37EA2644"/>
    <w:rsid w:val="37EE37B7"/>
    <w:rsid w:val="37F54B45"/>
    <w:rsid w:val="380F3E59"/>
    <w:rsid w:val="38170F5F"/>
    <w:rsid w:val="38237904"/>
    <w:rsid w:val="38471845"/>
    <w:rsid w:val="385B52F0"/>
    <w:rsid w:val="386D5023"/>
    <w:rsid w:val="38832151"/>
    <w:rsid w:val="388760E5"/>
    <w:rsid w:val="38926838"/>
    <w:rsid w:val="38967CF8"/>
    <w:rsid w:val="389C3213"/>
    <w:rsid w:val="38AC277A"/>
    <w:rsid w:val="38CC3AF8"/>
    <w:rsid w:val="38E2331B"/>
    <w:rsid w:val="38EE1A45"/>
    <w:rsid w:val="38F90665"/>
    <w:rsid w:val="38FF6416"/>
    <w:rsid w:val="39072D82"/>
    <w:rsid w:val="39161217"/>
    <w:rsid w:val="39191195"/>
    <w:rsid w:val="391C09CE"/>
    <w:rsid w:val="397148B2"/>
    <w:rsid w:val="39730417"/>
    <w:rsid w:val="39736669"/>
    <w:rsid w:val="39777F08"/>
    <w:rsid w:val="398D772B"/>
    <w:rsid w:val="39924D42"/>
    <w:rsid w:val="399402C5"/>
    <w:rsid w:val="399D5494"/>
    <w:rsid w:val="39B20F40"/>
    <w:rsid w:val="39BA1BA2"/>
    <w:rsid w:val="39D92970"/>
    <w:rsid w:val="39E210F9"/>
    <w:rsid w:val="39EB26A4"/>
    <w:rsid w:val="39FA6443"/>
    <w:rsid w:val="3A085004"/>
    <w:rsid w:val="3A306308"/>
    <w:rsid w:val="3A5E2E76"/>
    <w:rsid w:val="3A6755EE"/>
    <w:rsid w:val="3A683CF4"/>
    <w:rsid w:val="3A6D4E67"/>
    <w:rsid w:val="3A6F5083"/>
    <w:rsid w:val="3A881CA1"/>
    <w:rsid w:val="3A8D72B7"/>
    <w:rsid w:val="3AC21333"/>
    <w:rsid w:val="3AEE244B"/>
    <w:rsid w:val="3B0C6285"/>
    <w:rsid w:val="3B0F2E55"/>
    <w:rsid w:val="3B1278F8"/>
    <w:rsid w:val="3B196D9D"/>
    <w:rsid w:val="3B424545"/>
    <w:rsid w:val="3B4262F3"/>
    <w:rsid w:val="3B497682"/>
    <w:rsid w:val="3B4B1B4F"/>
    <w:rsid w:val="3B5D4EDB"/>
    <w:rsid w:val="3B6B3A9C"/>
    <w:rsid w:val="3B7364AD"/>
    <w:rsid w:val="3B8701AA"/>
    <w:rsid w:val="3B934DA1"/>
    <w:rsid w:val="3B9D177C"/>
    <w:rsid w:val="3BA55D48"/>
    <w:rsid w:val="3BAC7C11"/>
    <w:rsid w:val="3BB16FD5"/>
    <w:rsid w:val="3BC60CD2"/>
    <w:rsid w:val="3BC9431F"/>
    <w:rsid w:val="3BD827B4"/>
    <w:rsid w:val="3BEE1FD7"/>
    <w:rsid w:val="3BFA6BCE"/>
    <w:rsid w:val="3BFC46F4"/>
    <w:rsid w:val="3C035789"/>
    <w:rsid w:val="3C052B4F"/>
    <w:rsid w:val="3C061489"/>
    <w:rsid w:val="3C1F6635"/>
    <w:rsid w:val="3C2A63A2"/>
    <w:rsid w:val="3C683B38"/>
    <w:rsid w:val="3C7050E2"/>
    <w:rsid w:val="3CA60B04"/>
    <w:rsid w:val="3CF25AF7"/>
    <w:rsid w:val="3D0D78DE"/>
    <w:rsid w:val="3D0F66A9"/>
    <w:rsid w:val="3D143CBF"/>
    <w:rsid w:val="3D1617E6"/>
    <w:rsid w:val="3D1912D6"/>
    <w:rsid w:val="3D1E4B3E"/>
    <w:rsid w:val="3D233F03"/>
    <w:rsid w:val="3D271C45"/>
    <w:rsid w:val="3D3377DE"/>
    <w:rsid w:val="3D4402AC"/>
    <w:rsid w:val="3D4A76E1"/>
    <w:rsid w:val="3D8F1598"/>
    <w:rsid w:val="3D956BAE"/>
    <w:rsid w:val="3DA43295"/>
    <w:rsid w:val="3DAE5EC2"/>
    <w:rsid w:val="3DAF6A5F"/>
    <w:rsid w:val="3DB3369B"/>
    <w:rsid w:val="3DC6320C"/>
    <w:rsid w:val="3DE9514C"/>
    <w:rsid w:val="3DF15DAF"/>
    <w:rsid w:val="3DFA1107"/>
    <w:rsid w:val="3E0B27ED"/>
    <w:rsid w:val="3E133F77"/>
    <w:rsid w:val="3E1A70B4"/>
    <w:rsid w:val="3E261EFC"/>
    <w:rsid w:val="3E4B3711"/>
    <w:rsid w:val="3E5500EC"/>
    <w:rsid w:val="3E704F26"/>
    <w:rsid w:val="3E80785E"/>
    <w:rsid w:val="3E927592"/>
    <w:rsid w:val="3E9F580B"/>
    <w:rsid w:val="3EA6303D"/>
    <w:rsid w:val="3EB47508"/>
    <w:rsid w:val="3EBA43F3"/>
    <w:rsid w:val="3ECB6600"/>
    <w:rsid w:val="3ED951C1"/>
    <w:rsid w:val="3EFE69D5"/>
    <w:rsid w:val="3F03223E"/>
    <w:rsid w:val="3F1D32FF"/>
    <w:rsid w:val="3F2C3542"/>
    <w:rsid w:val="3F4C14EF"/>
    <w:rsid w:val="3F544847"/>
    <w:rsid w:val="3F5B7984"/>
    <w:rsid w:val="3F5D36FC"/>
    <w:rsid w:val="3F5E1222"/>
    <w:rsid w:val="3F67457A"/>
    <w:rsid w:val="3F9B06C8"/>
    <w:rsid w:val="3FA70E1B"/>
    <w:rsid w:val="3FD50B54"/>
    <w:rsid w:val="3FDA11F0"/>
    <w:rsid w:val="3FDF05B5"/>
    <w:rsid w:val="3FF027C2"/>
    <w:rsid w:val="3FF658FE"/>
    <w:rsid w:val="3FFD6511"/>
    <w:rsid w:val="3FFD6C8D"/>
    <w:rsid w:val="3FFF2A05"/>
    <w:rsid w:val="400718BA"/>
    <w:rsid w:val="400F1617"/>
    <w:rsid w:val="401144E6"/>
    <w:rsid w:val="40307062"/>
    <w:rsid w:val="40503261"/>
    <w:rsid w:val="40640ABA"/>
    <w:rsid w:val="40642868"/>
    <w:rsid w:val="407231D7"/>
    <w:rsid w:val="408E5B37"/>
    <w:rsid w:val="40B25CC9"/>
    <w:rsid w:val="40B27A77"/>
    <w:rsid w:val="40D93256"/>
    <w:rsid w:val="40F43A1E"/>
    <w:rsid w:val="40F462E2"/>
    <w:rsid w:val="410F28B6"/>
    <w:rsid w:val="410F4ECA"/>
    <w:rsid w:val="41197AF6"/>
    <w:rsid w:val="41391F47"/>
    <w:rsid w:val="413B4F48"/>
    <w:rsid w:val="413E755D"/>
    <w:rsid w:val="414803DC"/>
    <w:rsid w:val="41662610"/>
    <w:rsid w:val="417967E7"/>
    <w:rsid w:val="418B7CA8"/>
    <w:rsid w:val="41CF4659"/>
    <w:rsid w:val="41D61543"/>
    <w:rsid w:val="41E41EB2"/>
    <w:rsid w:val="42073DF3"/>
    <w:rsid w:val="421F113C"/>
    <w:rsid w:val="42462B6D"/>
    <w:rsid w:val="424B2012"/>
    <w:rsid w:val="425608D6"/>
    <w:rsid w:val="4258464E"/>
    <w:rsid w:val="425D3A13"/>
    <w:rsid w:val="426254CD"/>
    <w:rsid w:val="42701998"/>
    <w:rsid w:val="427F1BDB"/>
    <w:rsid w:val="42982C9D"/>
    <w:rsid w:val="42AE426E"/>
    <w:rsid w:val="42B86E9B"/>
    <w:rsid w:val="42BA70B7"/>
    <w:rsid w:val="42BC698B"/>
    <w:rsid w:val="42C57F36"/>
    <w:rsid w:val="42E6758F"/>
    <w:rsid w:val="42F04887"/>
    <w:rsid w:val="43236033"/>
    <w:rsid w:val="432A7D99"/>
    <w:rsid w:val="434F15AD"/>
    <w:rsid w:val="435258B8"/>
    <w:rsid w:val="43917E18"/>
    <w:rsid w:val="43B104BA"/>
    <w:rsid w:val="43B753A5"/>
    <w:rsid w:val="43BD6E5F"/>
    <w:rsid w:val="43D146B8"/>
    <w:rsid w:val="43E77A38"/>
    <w:rsid w:val="43FA3C0F"/>
    <w:rsid w:val="440E6370"/>
    <w:rsid w:val="44136A7F"/>
    <w:rsid w:val="441A7E0D"/>
    <w:rsid w:val="443C4228"/>
    <w:rsid w:val="44562E10"/>
    <w:rsid w:val="44613C8E"/>
    <w:rsid w:val="44670B79"/>
    <w:rsid w:val="447649E2"/>
    <w:rsid w:val="44782D86"/>
    <w:rsid w:val="447A5672"/>
    <w:rsid w:val="447D65EE"/>
    <w:rsid w:val="447F4114"/>
    <w:rsid w:val="44871A95"/>
    <w:rsid w:val="449D459A"/>
    <w:rsid w:val="44A8366B"/>
    <w:rsid w:val="44AB6CB7"/>
    <w:rsid w:val="44B26298"/>
    <w:rsid w:val="44BC0EC5"/>
    <w:rsid w:val="44C10289"/>
    <w:rsid w:val="44DF4BB3"/>
    <w:rsid w:val="44E168BA"/>
    <w:rsid w:val="44EB79FC"/>
    <w:rsid w:val="44F22B38"/>
    <w:rsid w:val="451505D5"/>
    <w:rsid w:val="452151CC"/>
    <w:rsid w:val="45230F44"/>
    <w:rsid w:val="45246245"/>
    <w:rsid w:val="45344EFF"/>
    <w:rsid w:val="45390767"/>
    <w:rsid w:val="454964D0"/>
    <w:rsid w:val="456655E8"/>
    <w:rsid w:val="4568104C"/>
    <w:rsid w:val="456926CF"/>
    <w:rsid w:val="456A0921"/>
    <w:rsid w:val="457976A3"/>
    <w:rsid w:val="45877724"/>
    <w:rsid w:val="45910A18"/>
    <w:rsid w:val="45965BB9"/>
    <w:rsid w:val="459C4979"/>
    <w:rsid w:val="45B85B30"/>
    <w:rsid w:val="45C06792"/>
    <w:rsid w:val="45CF04EE"/>
    <w:rsid w:val="45FC26BC"/>
    <w:rsid w:val="46160AA8"/>
    <w:rsid w:val="46366A55"/>
    <w:rsid w:val="463D7DE3"/>
    <w:rsid w:val="463F7FFF"/>
    <w:rsid w:val="465810C1"/>
    <w:rsid w:val="466E61EE"/>
    <w:rsid w:val="46845A12"/>
    <w:rsid w:val="46971BE9"/>
    <w:rsid w:val="46A71700"/>
    <w:rsid w:val="46AC4F69"/>
    <w:rsid w:val="46AE2745"/>
    <w:rsid w:val="46B75DE7"/>
    <w:rsid w:val="46DF70EC"/>
    <w:rsid w:val="46EB783F"/>
    <w:rsid w:val="470E79D1"/>
    <w:rsid w:val="47136D96"/>
    <w:rsid w:val="471F1BDF"/>
    <w:rsid w:val="472471F5"/>
    <w:rsid w:val="47254319"/>
    <w:rsid w:val="474653BD"/>
    <w:rsid w:val="476E221E"/>
    <w:rsid w:val="476F1586"/>
    <w:rsid w:val="47A143A2"/>
    <w:rsid w:val="47C649BC"/>
    <w:rsid w:val="47CB141F"/>
    <w:rsid w:val="47D72A0D"/>
    <w:rsid w:val="47E36768"/>
    <w:rsid w:val="47EA7AF7"/>
    <w:rsid w:val="47F6293F"/>
    <w:rsid w:val="480A63EB"/>
    <w:rsid w:val="483671E0"/>
    <w:rsid w:val="484511D1"/>
    <w:rsid w:val="484F3DFE"/>
    <w:rsid w:val="48593E05"/>
    <w:rsid w:val="485E04E5"/>
    <w:rsid w:val="4871646A"/>
    <w:rsid w:val="4884619D"/>
    <w:rsid w:val="489839F7"/>
    <w:rsid w:val="48A405ED"/>
    <w:rsid w:val="48BD345D"/>
    <w:rsid w:val="48C4659A"/>
    <w:rsid w:val="48C60564"/>
    <w:rsid w:val="48C80F81"/>
    <w:rsid w:val="48C85944"/>
    <w:rsid w:val="48D03190"/>
    <w:rsid w:val="48E46C3C"/>
    <w:rsid w:val="48EE3617"/>
    <w:rsid w:val="48F21359"/>
    <w:rsid w:val="49296D45"/>
    <w:rsid w:val="49431BB4"/>
    <w:rsid w:val="494D5A3B"/>
    <w:rsid w:val="494E0559"/>
    <w:rsid w:val="4950607F"/>
    <w:rsid w:val="495279EA"/>
    <w:rsid w:val="49935F6C"/>
    <w:rsid w:val="49940662"/>
    <w:rsid w:val="49A01F26"/>
    <w:rsid w:val="49A87C69"/>
    <w:rsid w:val="49BE123B"/>
    <w:rsid w:val="49F53DE3"/>
    <w:rsid w:val="49FB248F"/>
    <w:rsid w:val="49FE5ADB"/>
    <w:rsid w:val="4A38723F"/>
    <w:rsid w:val="4A394D65"/>
    <w:rsid w:val="4A520E1F"/>
    <w:rsid w:val="4A5B2F2E"/>
    <w:rsid w:val="4A6F69D9"/>
    <w:rsid w:val="4A7A7858"/>
    <w:rsid w:val="4A873D23"/>
    <w:rsid w:val="4A9D3546"/>
    <w:rsid w:val="4AB83EDC"/>
    <w:rsid w:val="4ACF1226"/>
    <w:rsid w:val="4AD11442"/>
    <w:rsid w:val="4ADD1B95"/>
    <w:rsid w:val="4AE20F59"/>
    <w:rsid w:val="4AE72A13"/>
    <w:rsid w:val="4AF13892"/>
    <w:rsid w:val="4B0215FB"/>
    <w:rsid w:val="4B0C4228"/>
    <w:rsid w:val="4B1355B6"/>
    <w:rsid w:val="4B15132F"/>
    <w:rsid w:val="4B1B446B"/>
    <w:rsid w:val="4B2B2900"/>
    <w:rsid w:val="4B307F16"/>
    <w:rsid w:val="4B490FD8"/>
    <w:rsid w:val="4B5D4A84"/>
    <w:rsid w:val="4B6E0A3F"/>
    <w:rsid w:val="4B7E2499"/>
    <w:rsid w:val="4B893ACB"/>
    <w:rsid w:val="4B9009B5"/>
    <w:rsid w:val="4B906C07"/>
    <w:rsid w:val="4BC44B03"/>
    <w:rsid w:val="4BD05255"/>
    <w:rsid w:val="4BEF1B80"/>
    <w:rsid w:val="4BEF7DD1"/>
    <w:rsid w:val="4BFB49C8"/>
    <w:rsid w:val="4C050E76"/>
    <w:rsid w:val="4C0575F5"/>
    <w:rsid w:val="4C0762DA"/>
    <w:rsid w:val="4C107D48"/>
    <w:rsid w:val="4C2E11EF"/>
    <w:rsid w:val="4C35155C"/>
    <w:rsid w:val="4C4719BC"/>
    <w:rsid w:val="4C6562E6"/>
    <w:rsid w:val="4C7D362F"/>
    <w:rsid w:val="4C7E3C6D"/>
    <w:rsid w:val="4C820C46"/>
    <w:rsid w:val="4C825B51"/>
    <w:rsid w:val="4C9D15DC"/>
    <w:rsid w:val="4CA010CC"/>
    <w:rsid w:val="4CA54934"/>
    <w:rsid w:val="4CB132D9"/>
    <w:rsid w:val="4CC254E6"/>
    <w:rsid w:val="4CCE79E7"/>
    <w:rsid w:val="4CDE39A2"/>
    <w:rsid w:val="4CF62F0B"/>
    <w:rsid w:val="4CF80F08"/>
    <w:rsid w:val="4D027691"/>
    <w:rsid w:val="4D21045F"/>
    <w:rsid w:val="4D2C0BB1"/>
    <w:rsid w:val="4D502AF2"/>
    <w:rsid w:val="4D761E2D"/>
    <w:rsid w:val="4D7B7443"/>
    <w:rsid w:val="4D887416"/>
    <w:rsid w:val="4D901140"/>
    <w:rsid w:val="4D970721"/>
    <w:rsid w:val="4D981DA3"/>
    <w:rsid w:val="4DB017E2"/>
    <w:rsid w:val="4DB36BDD"/>
    <w:rsid w:val="4DBA440F"/>
    <w:rsid w:val="4DC86B2C"/>
    <w:rsid w:val="4DD54C9D"/>
    <w:rsid w:val="4DD81BE3"/>
    <w:rsid w:val="4E04568A"/>
    <w:rsid w:val="4E2A3343"/>
    <w:rsid w:val="4E2E4AAF"/>
    <w:rsid w:val="4E604FB7"/>
    <w:rsid w:val="4E7740AE"/>
    <w:rsid w:val="4E8113A6"/>
    <w:rsid w:val="4E9904C8"/>
    <w:rsid w:val="4EAF1A9A"/>
    <w:rsid w:val="4EB726FD"/>
    <w:rsid w:val="4EC54E1A"/>
    <w:rsid w:val="4EF95205"/>
    <w:rsid w:val="4F053468"/>
    <w:rsid w:val="4F147B4F"/>
    <w:rsid w:val="4F1D2EA8"/>
    <w:rsid w:val="4F202160"/>
    <w:rsid w:val="4F3D2C02"/>
    <w:rsid w:val="4F560168"/>
    <w:rsid w:val="4F604B42"/>
    <w:rsid w:val="4F701229"/>
    <w:rsid w:val="4F754A92"/>
    <w:rsid w:val="4F876573"/>
    <w:rsid w:val="4F8847C5"/>
    <w:rsid w:val="4F903326"/>
    <w:rsid w:val="4F952A3E"/>
    <w:rsid w:val="4FAD5FDA"/>
    <w:rsid w:val="4FBD3D43"/>
    <w:rsid w:val="4FC275AB"/>
    <w:rsid w:val="4FC96B8B"/>
    <w:rsid w:val="4FCC3F86"/>
    <w:rsid w:val="4FF21C3E"/>
    <w:rsid w:val="500B5D14"/>
    <w:rsid w:val="500D4CCA"/>
    <w:rsid w:val="50120532"/>
    <w:rsid w:val="502B49B8"/>
    <w:rsid w:val="50414974"/>
    <w:rsid w:val="504A1A7A"/>
    <w:rsid w:val="506D6DCE"/>
    <w:rsid w:val="507545E7"/>
    <w:rsid w:val="508825A3"/>
    <w:rsid w:val="508A631B"/>
    <w:rsid w:val="508D7BB9"/>
    <w:rsid w:val="509239E2"/>
    <w:rsid w:val="50962F12"/>
    <w:rsid w:val="509727E6"/>
    <w:rsid w:val="509E7471"/>
    <w:rsid w:val="50AC6291"/>
    <w:rsid w:val="50B60EBE"/>
    <w:rsid w:val="50CC06E1"/>
    <w:rsid w:val="50CE26AB"/>
    <w:rsid w:val="50D77086"/>
    <w:rsid w:val="50DD164E"/>
    <w:rsid w:val="50EA5CF0"/>
    <w:rsid w:val="50EC7FE3"/>
    <w:rsid w:val="50EF617E"/>
    <w:rsid w:val="50F6750C"/>
    <w:rsid w:val="50FD6AED"/>
    <w:rsid w:val="5119144D"/>
    <w:rsid w:val="51256043"/>
    <w:rsid w:val="51272148"/>
    <w:rsid w:val="51316796"/>
    <w:rsid w:val="513A1AEF"/>
    <w:rsid w:val="5151508A"/>
    <w:rsid w:val="515626A1"/>
    <w:rsid w:val="5167040A"/>
    <w:rsid w:val="516923D4"/>
    <w:rsid w:val="516C3C72"/>
    <w:rsid w:val="516F72BF"/>
    <w:rsid w:val="519F7BA4"/>
    <w:rsid w:val="51AA5E20"/>
    <w:rsid w:val="51B51175"/>
    <w:rsid w:val="51BD44CE"/>
    <w:rsid w:val="51C4585C"/>
    <w:rsid w:val="51D3784E"/>
    <w:rsid w:val="51F223CA"/>
    <w:rsid w:val="520914C1"/>
    <w:rsid w:val="521C2FA3"/>
    <w:rsid w:val="52214A5D"/>
    <w:rsid w:val="52445A58"/>
    <w:rsid w:val="526037D7"/>
    <w:rsid w:val="526D7CA2"/>
    <w:rsid w:val="527B77FF"/>
    <w:rsid w:val="52860D64"/>
    <w:rsid w:val="5290573F"/>
    <w:rsid w:val="52923265"/>
    <w:rsid w:val="52AF02BB"/>
    <w:rsid w:val="52FB705C"/>
    <w:rsid w:val="53081779"/>
    <w:rsid w:val="530F48B5"/>
    <w:rsid w:val="533E519B"/>
    <w:rsid w:val="533F2068"/>
    <w:rsid w:val="534C78B7"/>
    <w:rsid w:val="535B7AFB"/>
    <w:rsid w:val="53607807"/>
    <w:rsid w:val="53690FA3"/>
    <w:rsid w:val="537D3F15"/>
    <w:rsid w:val="537D5CC3"/>
    <w:rsid w:val="53852DC9"/>
    <w:rsid w:val="538F3711"/>
    <w:rsid w:val="53A476F3"/>
    <w:rsid w:val="53B12890"/>
    <w:rsid w:val="53E775E0"/>
    <w:rsid w:val="53E915AA"/>
    <w:rsid w:val="53F2681D"/>
    <w:rsid w:val="540B1521"/>
    <w:rsid w:val="540C7047"/>
    <w:rsid w:val="54176117"/>
    <w:rsid w:val="541B0CC2"/>
    <w:rsid w:val="542B571F"/>
    <w:rsid w:val="54316AAD"/>
    <w:rsid w:val="543A3BB4"/>
    <w:rsid w:val="54414F42"/>
    <w:rsid w:val="544F3B03"/>
    <w:rsid w:val="5452714F"/>
    <w:rsid w:val="5455279C"/>
    <w:rsid w:val="545F7ABE"/>
    <w:rsid w:val="54613364"/>
    <w:rsid w:val="54996B2C"/>
    <w:rsid w:val="54AB5886"/>
    <w:rsid w:val="54BE6593"/>
    <w:rsid w:val="54FC70BB"/>
    <w:rsid w:val="54FE72D7"/>
    <w:rsid w:val="5503669C"/>
    <w:rsid w:val="553B7BE4"/>
    <w:rsid w:val="554A7E27"/>
    <w:rsid w:val="554D7917"/>
    <w:rsid w:val="554F368F"/>
    <w:rsid w:val="555869E7"/>
    <w:rsid w:val="556C4241"/>
    <w:rsid w:val="557B0928"/>
    <w:rsid w:val="559D089E"/>
    <w:rsid w:val="55B160F8"/>
    <w:rsid w:val="55E4027B"/>
    <w:rsid w:val="56024BA5"/>
    <w:rsid w:val="561D378D"/>
    <w:rsid w:val="56226C88"/>
    <w:rsid w:val="562543F0"/>
    <w:rsid w:val="562E599A"/>
    <w:rsid w:val="563034C0"/>
    <w:rsid w:val="564B02FA"/>
    <w:rsid w:val="564C7BCE"/>
    <w:rsid w:val="56576C9F"/>
    <w:rsid w:val="565F3DA6"/>
    <w:rsid w:val="5663166A"/>
    <w:rsid w:val="56933A4F"/>
    <w:rsid w:val="56A33C92"/>
    <w:rsid w:val="56B55774"/>
    <w:rsid w:val="56B85264"/>
    <w:rsid w:val="56D06A51"/>
    <w:rsid w:val="56F00EA2"/>
    <w:rsid w:val="57030BD5"/>
    <w:rsid w:val="571050A0"/>
    <w:rsid w:val="571E156B"/>
    <w:rsid w:val="57233025"/>
    <w:rsid w:val="57234DD3"/>
    <w:rsid w:val="576378C6"/>
    <w:rsid w:val="57727B09"/>
    <w:rsid w:val="577D0987"/>
    <w:rsid w:val="578734F8"/>
    <w:rsid w:val="57B123DF"/>
    <w:rsid w:val="57B343A9"/>
    <w:rsid w:val="57E939E5"/>
    <w:rsid w:val="58115C53"/>
    <w:rsid w:val="581A61D6"/>
    <w:rsid w:val="583A23D4"/>
    <w:rsid w:val="584414A5"/>
    <w:rsid w:val="584C005C"/>
    <w:rsid w:val="5851771E"/>
    <w:rsid w:val="58583623"/>
    <w:rsid w:val="585A7E7E"/>
    <w:rsid w:val="58690F0C"/>
    <w:rsid w:val="58754B43"/>
    <w:rsid w:val="58782EFD"/>
    <w:rsid w:val="587B479B"/>
    <w:rsid w:val="587C29ED"/>
    <w:rsid w:val="588E0972"/>
    <w:rsid w:val="589D0BB5"/>
    <w:rsid w:val="58A43CF2"/>
    <w:rsid w:val="58B55EFF"/>
    <w:rsid w:val="58D26AB1"/>
    <w:rsid w:val="58E862D4"/>
    <w:rsid w:val="58F702C5"/>
    <w:rsid w:val="590429E2"/>
    <w:rsid w:val="59097FF9"/>
    <w:rsid w:val="591A2BA2"/>
    <w:rsid w:val="59253085"/>
    <w:rsid w:val="594D1865"/>
    <w:rsid w:val="594F1EAF"/>
    <w:rsid w:val="59505C28"/>
    <w:rsid w:val="59611BE3"/>
    <w:rsid w:val="59710078"/>
    <w:rsid w:val="599E2E37"/>
    <w:rsid w:val="59A71CEC"/>
    <w:rsid w:val="59E7658C"/>
    <w:rsid w:val="59EF3692"/>
    <w:rsid w:val="5A1924BD"/>
    <w:rsid w:val="5A2275C4"/>
    <w:rsid w:val="5A2A46CB"/>
    <w:rsid w:val="5A355549"/>
    <w:rsid w:val="5A455061"/>
    <w:rsid w:val="5A755946"/>
    <w:rsid w:val="5A7F4A16"/>
    <w:rsid w:val="5A89319F"/>
    <w:rsid w:val="5A957D96"/>
    <w:rsid w:val="5AB83A84"/>
    <w:rsid w:val="5AD14B46"/>
    <w:rsid w:val="5B042454"/>
    <w:rsid w:val="5B174C4F"/>
    <w:rsid w:val="5B1A7823"/>
    <w:rsid w:val="5B595267"/>
    <w:rsid w:val="5B753F7C"/>
    <w:rsid w:val="5B800A46"/>
    <w:rsid w:val="5B8A3673"/>
    <w:rsid w:val="5B8F2A37"/>
    <w:rsid w:val="5BC326E1"/>
    <w:rsid w:val="5BD131F4"/>
    <w:rsid w:val="5BD14DFE"/>
    <w:rsid w:val="5BE07737"/>
    <w:rsid w:val="5C033B88"/>
    <w:rsid w:val="5C075E36"/>
    <w:rsid w:val="5C0A6B94"/>
    <w:rsid w:val="5C152C9F"/>
    <w:rsid w:val="5C1B2D56"/>
    <w:rsid w:val="5C272C70"/>
    <w:rsid w:val="5C311D40"/>
    <w:rsid w:val="5C384E7D"/>
    <w:rsid w:val="5C4C0928"/>
    <w:rsid w:val="5C657C3C"/>
    <w:rsid w:val="5C763BF7"/>
    <w:rsid w:val="5CA703D4"/>
    <w:rsid w:val="5CAB38A1"/>
    <w:rsid w:val="5CC606DB"/>
    <w:rsid w:val="5CCE3A33"/>
    <w:rsid w:val="5CD8040E"/>
    <w:rsid w:val="5CDA23D8"/>
    <w:rsid w:val="5CDF179C"/>
    <w:rsid w:val="5CE943C9"/>
    <w:rsid w:val="5CF039A9"/>
    <w:rsid w:val="5CF3349A"/>
    <w:rsid w:val="5D07484F"/>
    <w:rsid w:val="5D192F00"/>
    <w:rsid w:val="5D521F6E"/>
    <w:rsid w:val="5D5E0913"/>
    <w:rsid w:val="5D5E4DB7"/>
    <w:rsid w:val="5D5E6B65"/>
    <w:rsid w:val="5D6E48CE"/>
    <w:rsid w:val="5D706898"/>
    <w:rsid w:val="5D720862"/>
    <w:rsid w:val="5D722610"/>
    <w:rsid w:val="5D746389"/>
    <w:rsid w:val="5D7C348F"/>
    <w:rsid w:val="5D8F4F70"/>
    <w:rsid w:val="5DAD189A"/>
    <w:rsid w:val="5DB20C5F"/>
    <w:rsid w:val="5DB70023"/>
    <w:rsid w:val="5DC015CE"/>
    <w:rsid w:val="5DD15589"/>
    <w:rsid w:val="5DE132F2"/>
    <w:rsid w:val="5DF43025"/>
    <w:rsid w:val="5DF66D9E"/>
    <w:rsid w:val="5E190CDE"/>
    <w:rsid w:val="5E2751A9"/>
    <w:rsid w:val="5E316028"/>
    <w:rsid w:val="5E36363E"/>
    <w:rsid w:val="5E521539"/>
    <w:rsid w:val="5E5341F0"/>
    <w:rsid w:val="5E5B30A5"/>
    <w:rsid w:val="5E624433"/>
    <w:rsid w:val="5E826883"/>
    <w:rsid w:val="5E8C14B0"/>
    <w:rsid w:val="5E9071F2"/>
    <w:rsid w:val="5E910E34"/>
    <w:rsid w:val="5E912F6A"/>
    <w:rsid w:val="5EBB1D95"/>
    <w:rsid w:val="5EE27322"/>
    <w:rsid w:val="5EF05EE3"/>
    <w:rsid w:val="5EF7101F"/>
    <w:rsid w:val="5F04728C"/>
    <w:rsid w:val="5F0674B4"/>
    <w:rsid w:val="5F094B72"/>
    <w:rsid w:val="5F0C439F"/>
    <w:rsid w:val="5F1C17B0"/>
    <w:rsid w:val="5F2636B2"/>
    <w:rsid w:val="5F3451A5"/>
    <w:rsid w:val="5F5521EA"/>
    <w:rsid w:val="5F68008D"/>
    <w:rsid w:val="5F6C3CDC"/>
    <w:rsid w:val="5F8D54E0"/>
    <w:rsid w:val="5F926F9A"/>
    <w:rsid w:val="5F97635E"/>
    <w:rsid w:val="5F9A5E4E"/>
    <w:rsid w:val="5FAB005C"/>
    <w:rsid w:val="5FC66C44"/>
    <w:rsid w:val="5FCD7FD2"/>
    <w:rsid w:val="5FD17AC2"/>
    <w:rsid w:val="6017749F"/>
    <w:rsid w:val="601A3622"/>
    <w:rsid w:val="602816AC"/>
    <w:rsid w:val="603E4A2C"/>
    <w:rsid w:val="60431C83"/>
    <w:rsid w:val="604858AA"/>
    <w:rsid w:val="604D2EC1"/>
    <w:rsid w:val="604F4E8B"/>
    <w:rsid w:val="60591866"/>
    <w:rsid w:val="60634492"/>
    <w:rsid w:val="607B5C80"/>
    <w:rsid w:val="60820DBC"/>
    <w:rsid w:val="60AD570E"/>
    <w:rsid w:val="60BB42CE"/>
    <w:rsid w:val="60C70EC5"/>
    <w:rsid w:val="60C72C73"/>
    <w:rsid w:val="60D07D7A"/>
    <w:rsid w:val="60E455D3"/>
    <w:rsid w:val="60E829C0"/>
    <w:rsid w:val="60EA2E52"/>
    <w:rsid w:val="60FD48E7"/>
    <w:rsid w:val="6110461A"/>
    <w:rsid w:val="6122442E"/>
    <w:rsid w:val="612E21DB"/>
    <w:rsid w:val="615362B5"/>
    <w:rsid w:val="615F10FE"/>
    <w:rsid w:val="616E3576"/>
    <w:rsid w:val="61706E67"/>
    <w:rsid w:val="618C17C7"/>
    <w:rsid w:val="61926DDD"/>
    <w:rsid w:val="61A22D98"/>
    <w:rsid w:val="61A65EEE"/>
    <w:rsid w:val="61A82BC6"/>
    <w:rsid w:val="61C86CA3"/>
    <w:rsid w:val="61E41616"/>
    <w:rsid w:val="61EF2482"/>
    <w:rsid w:val="6200468F"/>
    <w:rsid w:val="6200643D"/>
    <w:rsid w:val="62162174"/>
    <w:rsid w:val="621C2B4B"/>
    <w:rsid w:val="621E4B15"/>
    <w:rsid w:val="622639C9"/>
    <w:rsid w:val="622F0AD0"/>
    <w:rsid w:val="622F6D22"/>
    <w:rsid w:val="62397BA1"/>
    <w:rsid w:val="624C78D4"/>
    <w:rsid w:val="6292105F"/>
    <w:rsid w:val="62B114E5"/>
    <w:rsid w:val="62E33669"/>
    <w:rsid w:val="63021D41"/>
    <w:rsid w:val="6311467A"/>
    <w:rsid w:val="631F28F3"/>
    <w:rsid w:val="632F68AE"/>
    <w:rsid w:val="63343EC4"/>
    <w:rsid w:val="634E4F86"/>
    <w:rsid w:val="6353259C"/>
    <w:rsid w:val="63660521"/>
    <w:rsid w:val="637075F2"/>
    <w:rsid w:val="63894210"/>
    <w:rsid w:val="638E7A78"/>
    <w:rsid w:val="63942A6B"/>
    <w:rsid w:val="639D3C37"/>
    <w:rsid w:val="63A46264"/>
    <w:rsid w:val="63A63014"/>
    <w:rsid w:val="63B374DF"/>
    <w:rsid w:val="63C139AA"/>
    <w:rsid w:val="63CB2A7A"/>
    <w:rsid w:val="63CE60C7"/>
    <w:rsid w:val="63D47B81"/>
    <w:rsid w:val="63E1229E"/>
    <w:rsid w:val="64085A7D"/>
    <w:rsid w:val="64255A1B"/>
    <w:rsid w:val="642B3519"/>
    <w:rsid w:val="642F3009"/>
    <w:rsid w:val="64340620"/>
    <w:rsid w:val="64406FC4"/>
    <w:rsid w:val="644840CB"/>
    <w:rsid w:val="64632CB3"/>
    <w:rsid w:val="646D58E0"/>
    <w:rsid w:val="646F78AA"/>
    <w:rsid w:val="64992B79"/>
    <w:rsid w:val="64A55079"/>
    <w:rsid w:val="64AD2180"/>
    <w:rsid w:val="64B654D9"/>
    <w:rsid w:val="64DD3D06"/>
    <w:rsid w:val="64E21E2A"/>
    <w:rsid w:val="65031DA0"/>
    <w:rsid w:val="651A5A67"/>
    <w:rsid w:val="651D5558"/>
    <w:rsid w:val="6528616B"/>
    <w:rsid w:val="65474383"/>
    <w:rsid w:val="65476131"/>
    <w:rsid w:val="65493C57"/>
    <w:rsid w:val="654E5711"/>
    <w:rsid w:val="6554084E"/>
    <w:rsid w:val="656B62C3"/>
    <w:rsid w:val="657D7DA4"/>
    <w:rsid w:val="6589499B"/>
    <w:rsid w:val="65A11CE5"/>
    <w:rsid w:val="65B75E88"/>
    <w:rsid w:val="65C75029"/>
    <w:rsid w:val="65CB6D62"/>
    <w:rsid w:val="65F52031"/>
    <w:rsid w:val="66067D9A"/>
    <w:rsid w:val="66106E6A"/>
    <w:rsid w:val="66415276"/>
    <w:rsid w:val="66651329"/>
    <w:rsid w:val="667C1E0A"/>
    <w:rsid w:val="66846F11"/>
    <w:rsid w:val="669B6734"/>
    <w:rsid w:val="669C24AC"/>
    <w:rsid w:val="66AA4BC9"/>
    <w:rsid w:val="66AA6977"/>
    <w:rsid w:val="66C537B1"/>
    <w:rsid w:val="66C814F3"/>
    <w:rsid w:val="66D41C46"/>
    <w:rsid w:val="66D460EA"/>
    <w:rsid w:val="66FA3003"/>
    <w:rsid w:val="670D6F06"/>
    <w:rsid w:val="6716400D"/>
    <w:rsid w:val="672F3320"/>
    <w:rsid w:val="67446DCC"/>
    <w:rsid w:val="67504EE4"/>
    <w:rsid w:val="676F196F"/>
    <w:rsid w:val="67717495"/>
    <w:rsid w:val="677D67F1"/>
    <w:rsid w:val="6784366C"/>
    <w:rsid w:val="679118E5"/>
    <w:rsid w:val="67955879"/>
    <w:rsid w:val="67AE28F3"/>
    <w:rsid w:val="67BC2E06"/>
    <w:rsid w:val="67C65A33"/>
    <w:rsid w:val="67C717AB"/>
    <w:rsid w:val="67D0065F"/>
    <w:rsid w:val="67D30150"/>
    <w:rsid w:val="67DA7730"/>
    <w:rsid w:val="67E9310A"/>
    <w:rsid w:val="680B78E9"/>
    <w:rsid w:val="68210EBB"/>
    <w:rsid w:val="68240D79"/>
    <w:rsid w:val="683010FE"/>
    <w:rsid w:val="683055A2"/>
    <w:rsid w:val="68354966"/>
    <w:rsid w:val="683A1F7D"/>
    <w:rsid w:val="6843430F"/>
    <w:rsid w:val="685968A7"/>
    <w:rsid w:val="6865349E"/>
    <w:rsid w:val="686B65DA"/>
    <w:rsid w:val="68707187"/>
    <w:rsid w:val="687A4A6F"/>
    <w:rsid w:val="68866F70"/>
    <w:rsid w:val="688B4586"/>
    <w:rsid w:val="68A044D6"/>
    <w:rsid w:val="68A35D74"/>
    <w:rsid w:val="68A927F9"/>
    <w:rsid w:val="68AB6164"/>
    <w:rsid w:val="68BF2482"/>
    <w:rsid w:val="691E6BE3"/>
    <w:rsid w:val="693E5A9D"/>
    <w:rsid w:val="69595134"/>
    <w:rsid w:val="69807E63"/>
    <w:rsid w:val="69894F6A"/>
    <w:rsid w:val="698B0080"/>
    <w:rsid w:val="698E432E"/>
    <w:rsid w:val="6990454A"/>
    <w:rsid w:val="69AC0C58"/>
    <w:rsid w:val="69E06B54"/>
    <w:rsid w:val="69E46644"/>
    <w:rsid w:val="69E50BCD"/>
    <w:rsid w:val="6A0B1E23"/>
    <w:rsid w:val="6A0D5B9B"/>
    <w:rsid w:val="6A154A4F"/>
    <w:rsid w:val="6A242EE4"/>
    <w:rsid w:val="6A486951"/>
    <w:rsid w:val="6A49294B"/>
    <w:rsid w:val="6A641533"/>
    <w:rsid w:val="6A845731"/>
    <w:rsid w:val="6A8A71EB"/>
    <w:rsid w:val="6A8C069F"/>
    <w:rsid w:val="6AA33E09"/>
    <w:rsid w:val="6AC10733"/>
    <w:rsid w:val="6AC124E1"/>
    <w:rsid w:val="6ADF6E0B"/>
    <w:rsid w:val="6AFB1E97"/>
    <w:rsid w:val="6B056872"/>
    <w:rsid w:val="6B340F05"/>
    <w:rsid w:val="6B39476E"/>
    <w:rsid w:val="6B3B6738"/>
    <w:rsid w:val="6B405AFC"/>
    <w:rsid w:val="6B4078AA"/>
    <w:rsid w:val="6B451364"/>
    <w:rsid w:val="6B52582F"/>
    <w:rsid w:val="6B5C045C"/>
    <w:rsid w:val="6B605C4A"/>
    <w:rsid w:val="6B633598"/>
    <w:rsid w:val="6B6A05C6"/>
    <w:rsid w:val="6B7072DA"/>
    <w:rsid w:val="6BB34520"/>
    <w:rsid w:val="6BC54253"/>
    <w:rsid w:val="6BEC5C84"/>
    <w:rsid w:val="6BF6440D"/>
    <w:rsid w:val="6C054650"/>
    <w:rsid w:val="6C066D46"/>
    <w:rsid w:val="6C164AAF"/>
    <w:rsid w:val="6C1A459F"/>
    <w:rsid w:val="6C222CC4"/>
    <w:rsid w:val="6C225200"/>
    <w:rsid w:val="6C305B70"/>
    <w:rsid w:val="6C4B29AA"/>
    <w:rsid w:val="6C5850C7"/>
    <w:rsid w:val="6C5A0E3F"/>
    <w:rsid w:val="6C702411"/>
    <w:rsid w:val="6C8639E2"/>
    <w:rsid w:val="6C9F6852"/>
    <w:rsid w:val="6CAD0F6F"/>
    <w:rsid w:val="6CBC11B2"/>
    <w:rsid w:val="6CBC5656"/>
    <w:rsid w:val="6CFA4FE4"/>
    <w:rsid w:val="6D1A237D"/>
    <w:rsid w:val="6D1E00BF"/>
    <w:rsid w:val="6D266F73"/>
    <w:rsid w:val="6D284A9A"/>
    <w:rsid w:val="6D2A0812"/>
    <w:rsid w:val="6D4C4C2C"/>
    <w:rsid w:val="6D6D5055"/>
    <w:rsid w:val="6D8E6FF3"/>
    <w:rsid w:val="6D967C55"/>
    <w:rsid w:val="6D9C7C33"/>
    <w:rsid w:val="6D9D7236"/>
    <w:rsid w:val="6DB14A8F"/>
    <w:rsid w:val="6DB30807"/>
    <w:rsid w:val="6DC42A14"/>
    <w:rsid w:val="6DCD73EF"/>
    <w:rsid w:val="6DD24D22"/>
    <w:rsid w:val="6DD93AA8"/>
    <w:rsid w:val="6DDA2238"/>
    <w:rsid w:val="6DE05374"/>
    <w:rsid w:val="6DE54739"/>
    <w:rsid w:val="6DE76703"/>
    <w:rsid w:val="6E032E11"/>
    <w:rsid w:val="6E1241C7"/>
    <w:rsid w:val="6E1F7C4B"/>
    <w:rsid w:val="6E201C15"/>
    <w:rsid w:val="6E31797E"/>
    <w:rsid w:val="6E597DC9"/>
    <w:rsid w:val="6E677844"/>
    <w:rsid w:val="6E681920"/>
    <w:rsid w:val="6E823952"/>
    <w:rsid w:val="6E8B52E0"/>
    <w:rsid w:val="6EA840E4"/>
    <w:rsid w:val="6EA91C0A"/>
    <w:rsid w:val="6EC16F54"/>
    <w:rsid w:val="6ECB1B80"/>
    <w:rsid w:val="6ED749C9"/>
    <w:rsid w:val="6EE449F0"/>
    <w:rsid w:val="6EF015E7"/>
    <w:rsid w:val="6EF235B1"/>
    <w:rsid w:val="6F0F4163"/>
    <w:rsid w:val="6F101C89"/>
    <w:rsid w:val="6F215C44"/>
    <w:rsid w:val="6F255735"/>
    <w:rsid w:val="6F435BBB"/>
    <w:rsid w:val="6F4F4560"/>
    <w:rsid w:val="6F5E47A3"/>
    <w:rsid w:val="6F616041"/>
    <w:rsid w:val="6F6D70DC"/>
    <w:rsid w:val="6F735497"/>
    <w:rsid w:val="6F834209"/>
    <w:rsid w:val="6F8A37EA"/>
    <w:rsid w:val="6F8B1310"/>
    <w:rsid w:val="6F912DCA"/>
    <w:rsid w:val="6FA128E1"/>
    <w:rsid w:val="6FA523D2"/>
    <w:rsid w:val="6FC34F4E"/>
    <w:rsid w:val="6FD827A7"/>
    <w:rsid w:val="6FE32EFA"/>
    <w:rsid w:val="6FED5B27"/>
    <w:rsid w:val="700A0487"/>
    <w:rsid w:val="700D7F77"/>
    <w:rsid w:val="7012558D"/>
    <w:rsid w:val="703025E3"/>
    <w:rsid w:val="7036127C"/>
    <w:rsid w:val="703D6AAE"/>
    <w:rsid w:val="70453BB5"/>
    <w:rsid w:val="706E4EB9"/>
    <w:rsid w:val="70710506"/>
    <w:rsid w:val="70765B1C"/>
    <w:rsid w:val="707D334E"/>
    <w:rsid w:val="708E2E66"/>
    <w:rsid w:val="70B07280"/>
    <w:rsid w:val="70B5601D"/>
    <w:rsid w:val="70BD374B"/>
    <w:rsid w:val="70C745CA"/>
    <w:rsid w:val="70D25448"/>
    <w:rsid w:val="70E64A50"/>
    <w:rsid w:val="70FA04FB"/>
    <w:rsid w:val="70FC24C5"/>
    <w:rsid w:val="71136D21"/>
    <w:rsid w:val="711A4EC2"/>
    <w:rsid w:val="711A6DEF"/>
    <w:rsid w:val="711F4406"/>
    <w:rsid w:val="712D6B22"/>
    <w:rsid w:val="71311C3A"/>
    <w:rsid w:val="71325EE7"/>
    <w:rsid w:val="71414959"/>
    <w:rsid w:val="71467BE4"/>
    <w:rsid w:val="71706A0F"/>
    <w:rsid w:val="71771B4C"/>
    <w:rsid w:val="71777D9E"/>
    <w:rsid w:val="71970440"/>
    <w:rsid w:val="719E532A"/>
    <w:rsid w:val="71A11066"/>
    <w:rsid w:val="71B20DD6"/>
    <w:rsid w:val="720158B9"/>
    <w:rsid w:val="720A6E64"/>
    <w:rsid w:val="721101F2"/>
    <w:rsid w:val="722877C7"/>
    <w:rsid w:val="723513D4"/>
    <w:rsid w:val="72435ED2"/>
    <w:rsid w:val="72614C18"/>
    <w:rsid w:val="726E2F4F"/>
    <w:rsid w:val="72750781"/>
    <w:rsid w:val="72851BFC"/>
    <w:rsid w:val="728704B4"/>
    <w:rsid w:val="729F57FE"/>
    <w:rsid w:val="72A669EB"/>
    <w:rsid w:val="72BF19FC"/>
    <w:rsid w:val="72C76B03"/>
    <w:rsid w:val="72E651DB"/>
    <w:rsid w:val="72F46A5F"/>
    <w:rsid w:val="72FC49FE"/>
    <w:rsid w:val="73013DC3"/>
    <w:rsid w:val="73190632"/>
    <w:rsid w:val="7329331A"/>
    <w:rsid w:val="733E5017"/>
    <w:rsid w:val="734D525A"/>
    <w:rsid w:val="735760D9"/>
    <w:rsid w:val="7358775B"/>
    <w:rsid w:val="735F0AE9"/>
    <w:rsid w:val="737C2484"/>
    <w:rsid w:val="737C5B3F"/>
    <w:rsid w:val="7386251A"/>
    <w:rsid w:val="738642C8"/>
    <w:rsid w:val="738B18DE"/>
    <w:rsid w:val="73A40BF2"/>
    <w:rsid w:val="73AA26AC"/>
    <w:rsid w:val="73CC2623"/>
    <w:rsid w:val="73DB0AB8"/>
    <w:rsid w:val="73F12089"/>
    <w:rsid w:val="73F2195D"/>
    <w:rsid w:val="740022CC"/>
    <w:rsid w:val="74065409"/>
    <w:rsid w:val="741144D9"/>
    <w:rsid w:val="74213FF1"/>
    <w:rsid w:val="74266936"/>
    <w:rsid w:val="74463A57"/>
    <w:rsid w:val="74512B28"/>
    <w:rsid w:val="745B5755"/>
    <w:rsid w:val="745D14CD"/>
    <w:rsid w:val="74620891"/>
    <w:rsid w:val="746E5488"/>
    <w:rsid w:val="7480340D"/>
    <w:rsid w:val="74842EFD"/>
    <w:rsid w:val="748C1DB2"/>
    <w:rsid w:val="748F53FE"/>
    <w:rsid w:val="7491561A"/>
    <w:rsid w:val="749A44CF"/>
    <w:rsid w:val="749D3FBF"/>
    <w:rsid w:val="74B02066"/>
    <w:rsid w:val="74B4507D"/>
    <w:rsid w:val="74BA2707"/>
    <w:rsid w:val="74BE2524"/>
    <w:rsid w:val="74D86DA5"/>
    <w:rsid w:val="74DD260E"/>
    <w:rsid w:val="74EB4D2A"/>
    <w:rsid w:val="750758DC"/>
    <w:rsid w:val="75153B55"/>
    <w:rsid w:val="7516167C"/>
    <w:rsid w:val="752244C4"/>
    <w:rsid w:val="75322959"/>
    <w:rsid w:val="7541494A"/>
    <w:rsid w:val="754461E9"/>
    <w:rsid w:val="75457920"/>
    <w:rsid w:val="755B7815"/>
    <w:rsid w:val="75A90742"/>
    <w:rsid w:val="75B96BD7"/>
    <w:rsid w:val="75FB0F9D"/>
    <w:rsid w:val="76022D28"/>
    <w:rsid w:val="760342F6"/>
    <w:rsid w:val="762304F4"/>
    <w:rsid w:val="762539DE"/>
    <w:rsid w:val="763D608D"/>
    <w:rsid w:val="764010A6"/>
    <w:rsid w:val="76544B51"/>
    <w:rsid w:val="76726D86"/>
    <w:rsid w:val="76A01B45"/>
    <w:rsid w:val="76B13D52"/>
    <w:rsid w:val="76CE66B2"/>
    <w:rsid w:val="76E77774"/>
    <w:rsid w:val="76F459ED"/>
    <w:rsid w:val="76FF4ABD"/>
    <w:rsid w:val="770A5210"/>
    <w:rsid w:val="77106CCA"/>
    <w:rsid w:val="771F2A69"/>
    <w:rsid w:val="773C186D"/>
    <w:rsid w:val="774A385E"/>
    <w:rsid w:val="774B7D02"/>
    <w:rsid w:val="77640DC4"/>
    <w:rsid w:val="77C43611"/>
    <w:rsid w:val="77D711C7"/>
    <w:rsid w:val="77D870BC"/>
    <w:rsid w:val="77DC4DFE"/>
    <w:rsid w:val="77DC6BAC"/>
    <w:rsid w:val="77E3618D"/>
    <w:rsid w:val="77F55EC0"/>
    <w:rsid w:val="7815301F"/>
    <w:rsid w:val="781B5927"/>
    <w:rsid w:val="7820118F"/>
    <w:rsid w:val="78412EB3"/>
    <w:rsid w:val="78542BE7"/>
    <w:rsid w:val="78580EEC"/>
    <w:rsid w:val="785B3F75"/>
    <w:rsid w:val="78627EE7"/>
    <w:rsid w:val="786646C8"/>
    <w:rsid w:val="78872FBC"/>
    <w:rsid w:val="789631FF"/>
    <w:rsid w:val="78964FAD"/>
    <w:rsid w:val="789B6A68"/>
    <w:rsid w:val="78B96EEE"/>
    <w:rsid w:val="78BD69DE"/>
    <w:rsid w:val="78D15FE5"/>
    <w:rsid w:val="78E71CAD"/>
    <w:rsid w:val="78F87A16"/>
    <w:rsid w:val="79053EE1"/>
    <w:rsid w:val="790C1713"/>
    <w:rsid w:val="7919798C"/>
    <w:rsid w:val="79366790"/>
    <w:rsid w:val="793F73F3"/>
    <w:rsid w:val="7940316B"/>
    <w:rsid w:val="79440EAD"/>
    <w:rsid w:val="79507852"/>
    <w:rsid w:val="7953020F"/>
    <w:rsid w:val="796365C3"/>
    <w:rsid w:val="796E5F2A"/>
    <w:rsid w:val="79A96F62"/>
    <w:rsid w:val="79B47F04"/>
    <w:rsid w:val="79D264B9"/>
    <w:rsid w:val="79D51097"/>
    <w:rsid w:val="79D51B05"/>
    <w:rsid w:val="79DD63A7"/>
    <w:rsid w:val="79E24222"/>
    <w:rsid w:val="79F503F9"/>
    <w:rsid w:val="7A067F11"/>
    <w:rsid w:val="7A1268B5"/>
    <w:rsid w:val="7A195E96"/>
    <w:rsid w:val="7A28257D"/>
    <w:rsid w:val="7A3727C0"/>
    <w:rsid w:val="7A454EDD"/>
    <w:rsid w:val="7A48677B"/>
    <w:rsid w:val="7A4A24F3"/>
    <w:rsid w:val="7A540C7C"/>
    <w:rsid w:val="7A8D418E"/>
    <w:rsid w:val="7A97500D"/>
    <w:rsid w:val="7A9814B1"/>
    <w:rsid w:val="7A996FD7"/>
    <w:rsid w:val="7AAF2356"/>
    <w:rsid w:val="7AB21E46"/>
    <w:rsid w:val="7AB67B89"/>
    <w:rsid w:val="7AC3028B"/>
    <w:rsid w:val="7AC322A6"/>
    <w:rsid w:val="7AC8166A"/>
    <w:rsid w:val="7AC9063C"/>
    <w:rsid w:val="7AD661B8"/>
    <w:rsid w:val="7AD95625"/>
    <w:rsid w:val="7ADE2C3C"/>
    <w:rsid w:val="7AF67F85"/>
    <w:rsid w:val="7B362A78"/>
    <w:rsid w:val="7B6273C9"/>
    <w:rsid w:val="7B95779E"/>
    <w:rsid w:val="7B9E6C31"/>
    <w:rsid w:val="7BA774D1"/>
    <w:rsid w:val="7BA93249"/>
    <w:rsid w:val="7BF11866"/>
    <w:rsid w:val="7C036DFE"/>
    <w:rsid w:val="7C091F3A"/>
    <w:rsid w:val="7C0D71FB"/>
    <w:rsid w:val="7C211032"/>
    <w:rsid w:val="7C350F81"/>
    <w:rsid w:val="7C39281F"/>
    <w:rsid w:val="7C3C40BE"/>
    <w:rsid w:val="7C547659"/>
    <w:rsid w:val="7C623E0B"/>
    <w:rsid w:val="7C66113B"/>
    <w:rsid w:val="7C7C270C"/>
    <w:rsid w:val="7C921F30"/>
    <w:rsid w:val="7C9C2DAE"/>
    <w:rsid w:val="7CA0464C"/>
    <w:rsid w:val="7CB41EA6"/>
    <w:rsid w:val="7CC3033B"/>
    <w:rsid w:val="7CC66242"/>
    <w:rsid w:val="7CCA791B"/>
    <w:rsid w:val="7CCB71F0"/>
    <w:rsid w:val="7CD56640"/>
    <w:rsid w:val="7CFB1883"/>
    <w:rsid w:val="7D0B583E"/>
    <w:rsid w:val="7D1D5C9D"/>
    <w:rsid w:val="7D250FF6"/>
    <w:rsid w:val="7D382AD7"/>
    <w:rsid w:val="7D3F20B7"/>
    <w:rsid w:val="7D5316BF"/>
    <w:rsid w:val="7D553689"/>
    <w:rsid w:val="7D676F18"/>
    <w:rsid w:val="7D7A30EF"/>
    <w:rsid w:val="7D8C697F"/>
    <w:rsid w:val="7D9359A6"/>
    <w:rsid w:val="7D935F5F"/>
    <w:rsid w:val="7D9B41CE"/>
    <w:rsid w:val="7DA0067C"/>
    <w:rsid w:val="7DA71A0B"/>
    <w:rsid w:val="7DAE4B47"/>
    <w:rsid w:val="7DB15118"/>
    <w:rsid w:val="7DBB7264"/>
    <w:rsid w:val="7DBC3708"/>
    <w:rsid w:val="7DCF0294"/>
    <w:rsid w:val="7DD722F0"/>
    <w:rsid w:val="7DF4441C"/>
    <w:rsid w:val="7E0E3838"/>
    <w:rsid w:val="7E105802"/>
    <w:rsid w:val="7E292420"/>
    <w:rsid w:val="7E2B4257"/>
    <w:rsid w:val="7E2D569D"/>
    <w:rsid w:val="7E372D8F"/>
    <w:rsid w:val="7E4C610E"/>
    <w:rsid w:val="7E7538B7"/>
    <w:rsid w:val="7E90249F"/>
    <w:rsid w:val="7E924469"/>
    <w:rsid w:val="7E9E2E0E"/>
    <w:rsid w:val="7E9E696A"/>
    <w:rsid w:val="7E9F0934"/>
    <w:rsid w:val="7F1B445E"/>
    <w:rsid w:val="7F271055"/>
    <w:rsid w:val="7F5160D2"/>
    <w:rsid w:val="7F820039"/>
    <w:rsid w:val="7F8A15E4"/>
    <w:rsid w:val="7F8D69DE"/>
    <w:rsid w:val="7F9057D5"/>
    <w:rsid w:val="7FA97CBC"/>
    <w:rsid w:val="7FAE7080"/>
    <w:rsid w:val="7FB0104A"/>
    <w:rsid w:val="7FD50AB1"/>
    <w:rsid w:val="7FE17456"/>
    <w:rsid w:val="7FF013FF"/>
    <w:rsid w:val="7FF645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endarrow="block"/>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iPriority="0" w:name="heading 8"/>
    <w:lsdException w:qFormat="1" w:uiPriority="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name="annotation reference"/>
    <w:lsdException w:qFormat="1" w:unhideWhenUsed="0" w:uiPriority="0" w:semiHidden="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qFormat="1" w:unhideWhenUsed="0" w:uiPriority="0" w:semiHidden="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9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ind w:firstLine="883" w:firstLineChars="200"/>
      <w:jc w:val="both"/>
    </w:pPr>
    <w:rPr>
      <w:rFonts w:ascii="Times New Roman" w:hAnsi="Times New Roman" w:eastAsia="宋体" w:cs="Times New Roman"/>
      <w:kern w:val="2"/>
      <w:sz w:val="28"/>
      <w:szCs w:val="24"/>
      <w:lang w:val="en-US" w:eastAsia="zh-CN" w:bidi="ar-SA"/>
    </w:rPr>
  </w:style>
  <w:style w:type="paragraph" w:styleId="2">
    <w:name w:val="heading 1"/>
    <w:basedOn w:val="1"/>
    <w:next w:val="1"/>
    <w:qFormat/>
    <w:uiPriority w:val="0"/>
    <w:pPr>
      <w:keepNext/>
      <w:ind w:firstLine="240" w:firstLineChars="100"/>
      <w:outlineLvl w:val="0"/>
    </w:pPr>
    <w:rPr>
      <w:rFonts w:ascii="宋体" w:hAnsi="宋体" w:eastAsia="宋体"/>
      <w:b/>
      <w:sz w:val="28"/>
    </w:rPr>
  </w:style>
  <w:style w:type="paragraph" w:styleId="3">
    <w:name w:val="heading 2"/>
    <w:basedOn w:val="1"/>
    <w:next w:val="1"/>
    <w:link w:val="53"/>
    <w:qFormat/>
    <w:uiPriority w:val="0"/>
    <w:pPr>
      <w:keepNext/>
      <w:widowControl/>
      <w:spacing w:line="600" w:lineRule="exact"/>
      <w:jc w:val="left"/>
      <w:outlineLvl w:val="1"/>
    </w:pPr>
    <w:rPr>
      <w:rFonts w:ascii="宋体" w:hAnsi="宋体" w:eastAsia="宋体"/>
      <w:b/>
      <w:sz w:val="28"/>
      <w:lang w:val="en-GB"/>
    </w:rPr>
  </w:style>
  <w:style w:type="paragraph" w:styleId="4">
    <w:name w:val="heading 3"/>
    <w:basedOn w:val="1"/>
    <w:next w:val="1"/>
    <w:link w:val="52"/>
    <w:qFormat/>
    <w:uiPriority w:val="0"/>
    <w:pPr>
      <w:keepNext/>
      <w:keepLines/>
      <w:spacing w:line="600" w:lineRule="exact"/>
      <w:jc w:val="left"/>
      <w:outlineLvl w:val="2"/>
    </w:pPr>
    <w:rPr>
      <w:rFonts w:ascii="Times New Roman" w:hAnsi="Times New Roman" w:eastAsia="宋体"/>
      <w:b/>
      <w:bCs/>
      <w:sz w:val="28"/>
      <w:szCs w:val="32"/>
      <w:lang w:val="zh-CN"/>
    </w:rPr>
  </w:style>
  <w:style w:type="paragraph" w:styleId="5">
    <w:name w:val="heading 4"/>
    <w:basedOn w:val="1"/>
    <w:next w:val="1"/>
    <w:qFormat/>
    <w:uiPriority w:val="0"/>
    <w:pPr>
      <w:keepNext/>
      <w:keepLines/>
      <w:widowControl/>
      <w:spacing w:before="280" w:after="290" w:line="376" w:lineRule="auto"/>
      <w:jc w:val="left"/>
      <w:outlineLvl w:val="3"/>
    </w:pPr>
    <w:rPr>
      <w:rFonts w:ascii="Arial" w:hAnsi="Arial"/>
      <w:bCs/>
      <w:kern w:val="0"/>
      <w:sz w:val="28"/>
      <w:szCs w:val="20"/>
      <w:u w:color="FF0000"/>
    </w:rPr>
  </w:style>
  <w:style w:type="paragraph" w:styleId="6">
    <w:name w:val="heading 5"/>
    <w:basedOn w:val="1"/>
    <w:next w:val="1"/>
    <w:qFormat/>
    <w:uiPriority w:val="0"/>
    <w:pPr>
      <w:keepNext/>
      <w:keepLines/>
      <w:spacing w:before="280" w:after="290" w:line="376" w:lineRule="auto"/>
      <w:outlineLvl w:val="4"/>
    </w:pPr>
    <w:rPr>
      <w:b/>
      <w:bCs/>
      <w:sz w:val="28"/>
      <w:szCs w:val="28"/>
    </w:rPr>
  </w:style>
  <w:style w:type="paragraph" w:styleId="7">
    <w:name w:val="heading 6"/>
    <w:basedOn w:val="1"/>
    <w:next w:val="1"/>
    <w:qFormat/>
    <w:uiPriority w:val="0"/>
    <w:pPr>
      <w:keepNext/>
      <w:spacing w:line="360" w:lineRule="auto"/>
      <w:jc w:val="center"/>
      <w:outlineLvl w:val="5"/>
    </w:pPr>
    <w:rPr>
      <w:bCs/>
      <w:sz w:val="28"/>
      <w:u w:color="FF0000"/>
    </w:rPr>
  </w:style>
  <w:style w:type="paragraph" w:styleId="8">
    <w:name w:val="heading 7"/>
    <w:basedOn w:val="1"/>
    <w:next w:val="1"/>
    <w:qFormat/>
    <w:uiPriority w:val="0"/>
    <w:pPr>
      <w:keepNext/>
      <w:outlineLvl w:val="6"/>
    </w:pPr>
    <w:rPr>
      <w:b/>
      <w:sz w:val="15"/>
      <w:u w:color="FF0000"/>
    </w:rPr>
  </w:style>
  <w:style w:type="character" w:default="1" w:styleId="44">
    <w:name w:val="Default Paragraph Font"/>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styleId="9">
    <w:name w:val="toc 7"/>
    <w:basedOn w:val="1"/>
    <w:next w:val="1"/>
    <w:qFormat/>
    <w:uiPriority w:val="0"/>
    <w:pPr>
      <w:ind w:left="1260"/>
      <w:jc w:val="left"/>
    </w:pPr>
    <w:rPr>
      <w:rFonts w:asciiTheme="minorHAnsi" w:eastAsiaTheme="minorHAnsi"/>
      <w:sz w:val="18"/>
      <w:szCs w:val="18"/>
    </w:rPr>
  </w:style>
  <w:style w:type="paragraph" w:styleId="10">
    <w:name w:val="Normal Indent"/>
    <w:basedOn w:val="1"/>
    <w:qFormat/>
    <w:uiPriority w:val="0"/>
    <w:pPr>
      <w:widowControl/>
      <w:spacing w:line="360" w:lineRule="auto"/>
      <w:ind w:firstLine="560" w:firstLineChars="200"/>
      <w:jc w:val="left"/>
    </w:pPr>
    <w:rPr>
      <w:b/>
      <w:kern w:val="0"/>
      <w:sz w:val="28"/>
      <w:szCs w:val="20"/>
      <w:u w:color="FF0000"/>
    </w:rPr>
  </w:style>
  <w:style w:type="paragraph" w:styleId="11">
    <w:name w:val="caption"/>
    <w:basedOn w:val="1"/>
    <w:next w:val="1"/>
    <w:qFormat/>
    <w:uiPriority w:val="0"/>
    <w:pPr>
      <w:spacing w:before="152" w:after="160"/>
    </w:pPr>
    <w:rPr>
      <w:rFonts w:ascii="Arial" w:hAnsi="Arial" w:eastAsia="黑体" w:cs="Arial"/>
      <w:sz w:val="20"/>
      <w:szCs w:val="20"/>
    </w:rPr>
  </w:style>
  <w:style w:type="paragraph" w:styleId="12">
    <w:name w:val="Document Map"/>
    <w:basedOn w:val="1"/>
    <w:semiHidden/>
    <w:qFormat/>
    <w:uiPriority w:val="0"/>
    <w:pPr>
      <w:shd w:val="clear" w:color="auto" w:fill="000080"/>
    </w:pPr>
  </w:style>
  <w:style w:type="paragraph" w:styleId="13">
    <w:name w:val="annotation text"/>
    <w:basedOn w:val="1"/>
    <w:link w:val="60"/>
    <w:semiHidden/>
    <w:qFormat/>
    <w:uiPriority w:val="0"/>
    <w:pPr>
      <w:jc w:val="left"/>
    </w:pPr>
    <w:rPr>
      <w:lang w:val="zh-CN"/>
    </w:rPr>
  </w:style>
  <w:style w:type="paragraph" w:styleId="14">
    <w:name w:val="Body Text 3"/>
    <w:basedOn w:val="1"/>
    <w:qFormat/>
    <w:uiPriority w:val="0"/>
    <w:pPr>
      <w:spacing w:line="360" w:lineRule="exact"/>
      <w:ind w:firstLine="0" w:firstLineChars="0"/>
      <w:jc w:val="center"/>
    </w:pPr>
    <w:rPr>
      <w:sz w:val="21"/>
      <w:szCs w:val="20"/>
    </w:rPr>
  </w:style>
  <w:style w:type="paragraph" w:styleId="15">
    <w:name w:val="Body Text"/>
    <w:basedOn w:val="1"/>
    <w:link w:val="64"/>
    <w:qFormat/>
    <w:uiPriority w:val="0"/>
    <w:pPr>
      <w:spacing w:after="120"/>
    </w:pPr>
  </w:style>
  <w:style w:type="paragraph" w:styleId="16">
    <w:name w:val="Body Text Indent"/>
    <w:basedOn w:val="1"/>
    <w:link w:val="55"/>
    <w:qFormat/>
    <w:uiPriority w:val="0"/>
    <w:pPr>
      <w:ind w:firstLine="560" w:firstLineChars="200"/>
    </w:pPr>
    <w:rPr>
      <w:sz w:val="28"/>
    </w:rPr>
  </w:style>
  <w:style w:type="paragraph" w:styleId="17">
    <w:name w:val="Block Text"/>
    <w:basedOn w:val="1"/>
    <w:qFormat/>
    <w:uiPriority w:val="0"/>
    <w:pPr>
      <w:ind w:left="-108" w:leftChars="-51" w:right="-93" w:rightChars="-44"/>
      <w:jc w:val="center"/>
    </w:pPr>
    <w:rPr>
      <w:rFonts w:eastAsia="楷体_GB2312"/>
      <w:b/>
      <w:spacing w:val="-6"/>
      <w:sz w:val="28"/>
      <w:u w:color="FF0000"/>
    </w:rPr>
  </w:style>
  <w:style w:type="paragraph" w:styleId="18">
    <w:name w:val="toc 5"/>
    <w:basedOn w:val="1"/>
    <w:next w:val="1"/>
    <w:qFormat/>
    <w:uiPriority w:val="0"/>
    <w:pPr>
      <w:ind w:left="840"/>
      <w:jc w:val="left"/>
    </w:pPr>
    <w:rPr>
      <w:rFonts w:asciiTheme="minorHAnsi" w:eastAsiaTheme="minorHAnsi"/>
      <w:sz w:val="18"/>
      <w:szCs w:val="18"/>
    </w:rPr>
  </w:style>
  <w:style w:type="paragraph" w:styleId="19">
    <w:name w:val="toc 3"/>
    <w:basedOn w:val="1"/>
    <w:next w:val="1"/>
    <w:qFormat/>
    <w:uiPriority w:val="39"/>
    <w:pPr>
      <w:ind w:left="420"/>
      <w:jc w:val="left"/>
    </w:pPr>
    <w:rPr>
      <w:rFonts w:asciiTheme="minorHAnsi" w:eastAsiaTheme="minorHAnsi"/>
      <w:i/>
      <w:iCs/>
      <w:sz w:val="20"/>
      <w:szCs w:val="20"/>
    </w:rPr>
  </w:style>
  <w:style w:type="paragraph" w:styleId="20">
    <w:name w:val="Plain Text"/>
    <w:basedOn w:val="1"/>
    <w:link w:val="63"/>
    <w:qFormat/>
    <w:uiPriority w:val="0"/>
    <w:rPr>
      <w:rFonts w:ascii="宋体" w:hAnsi="Courier New"/>
      <w:szCs w:val="20"/>
    </w:rPr>
  </w:style>
  <w:style w:type="paragraph" w:styleId="21">
    <w:name w:val="toc 8"/>
    <w:basedOn w:val="1"/>
    <w:next w:val="1"/>
    <w:qFormat/>
    <w:uiPriority w:val="0"/>
    <w:pPr>
      <w:ind w:left="1470"/>
      <w:jc w:val="left"/>
    </w:pPr>
    <w:rPr>
      <w:rFonts w:asciiTheme="minorHAnsi" w:eastAsiaTheme="minorHAnsi"/>
      <w:sz w:val="18"/>
      <w:szCs w:val="18"/>
    </w:rPr>
  </w:style>
  <w:style w:type="paragraph" w:styleId="22">
    <w:name w:val="Date"/>
    <w:basedOn w:val="1"/>
    <w:next w:val="1"/>
    <w:qFormat/>
    <w:uiPriority w:val="0"/>
    <w:pPr>
      <w:ind w:left="100" w:leftChars="2500"/>
    </w:pPr>
    <w:rPr>
      <w:rFonts w:ascii="Swis721 BT" w:hAnsi="Swis721 BT" w:eastAsia="仿宋_GB2312"/>
      <w:sz w:val="28"/>
      <w:szCs w:val="28"/>
      <w:lang w:val="en-GB"/>
    </w:rPr>
  </w:style>
  <w:style w:type="paragraph" w:styleId="23">
    <w:name w:val="Body Text Indent 2"/>
    <w:basedOn w:val="1"/>
    <w:link w:val="56"/>
    <w:qFormat/>
    <w:uiPriority w:val="0"/>
    <w:pPr>
      <w:spacing w:line="560" w:lineRule="exact"/>
      <w:ind w:firstLine="480" w:firstLineChars="200"/>
    </w:pPr>
    <w:rPr>
      <w:rFonts w:ascii="Swis721 BT" w:hAnsi="Swis721 BT" w:eastAsia="仿宋_GB2312"/>
      <w:spacing w:val="-20"/>
      <w:sz w:val="28"/>
      <w:lang w:val="en-GB"/>
    </w:rPr>
  </w:style>
  <w:style w:type="paragraph" w:styleId="24">
    <w:name w:val="Balloon Text"/>
    <w:basedOn w:val="1"/>
    <w:semiHidden/>
    <w:qFormat/>
    <w:uiPriority w:val="0"/>
    <w:rPr>
      <w:sz w:val="18"/>
      <w:szCs w:val="18"/>
    </w:rPr>
  </w:style>
  <w:style w:type="paragraph" w:styleId="25">
    <w:name w:val="footer"/>
    <w:basedOn w:val="1"/>
    <w:link w:val="57"/>
    <w:qFormat/>
    <w:uiPriority w:val="99"/>
    <w:pPr>
      <w:tabs>
        <w:tab w:val="center" w:pos="4153"/>
        <w:tab w:val="right" w:pos="8306"/>
      </w:tabs>
      <w:snapToGrid w:val="0"/>
      <w:jc w:val="left"/>
    </w:pPr>
    <w:rPr>
      <w:sz w:val="18"/>
      <w:szCs w:val="18"/>
    </w:rPr>
  </w:style>
  <w:style w:type="paragraph" w:styleId="26">
    <w:name w:val="header"/>
    <w:basedOn w:val="1"/>
    <w:link w:val="58"/>
    <w:qFormat/>
    <w:uiPriority w:val="0"/>
    <w:pPr>
      <w:pBdr>
        <w:bottom w:val="single" w:color="auto" w:sz="6" w:space="1"/>
      </w:pBdr>
      <w:tabs>
        <w:tab w:val="center" w:pos="4153"/>
        <w:tab w:val="right" w:pos="8306"/>
      </w:tabs>
      <w:snapToGrid w:val="0"/>
      <w:jc w:val="center"/>
    </w:pPr>
    <w:rPr>
      <w:sz w:val="18"/>
      <w:szCs w:val="18"/>
      <w:lang w:val="zh-CN"/>
    </w:rPr>
  </w:style>
  <w:style w:type="paragraph" w:styleId="27">
    <w:name w:val="toc 1"/>
    <w:basedOn w:val="1"/>
    <w:next w:val="1"/>
    <w:qFormat/>
    <w:uiPriority w:val="39"/>
    <w:pPr>
      <w:tabs>
        <w:tab w:val="right" w:leader="dot" w:pos="9060"/>
      </w:tabs>
      <w:spacing w:before="120" w:after="120"/>
      <w:jc w:val="left"/>
    </w:pPr>
    <w:rPr>
      <w:rFonts w:ascii="宋体" w:hAnsi="宋体"/>
      <w:b/>
      <w:bCs/>
      <w:caps/>
      <w:kern w:val="0"/>
      <w:szCs w:val="21"/>
    </w:rPr>
  </w:style>
  <w:style w:type="paragraph" w:styleId="28">
    <w:name w:val="toc 4"/>
    <w:basedOn w:val="1"/>
    <w:next w:val="1"/>
    <w:qFormat/>
    <w:uiPriority w:val="0"/>
    <w:pPr>
      <w:ind w:left="630"/>
      <w:jc w:val="left"/>
    </w:pPr>
    <w:rPr>
      <w:rFonts w:asciiTheme="minorHAnsi" w:eastAsiaTheme="minorHAnsi"/>
      <w:sz w:val="18"/>
      <w:szCs w:val="18"/>
    </w:rPr>
  </w:style>
  <w:style w:type="paragraph" w:styleId="29">
    <w:name w:val="footnote text"/>
    <w:basedOn w:val="1"/>
    <w:link w:val="66"/>
    <w:qFormat/>
    <w:uiPriority w:val="0"/>
    <w:pPr>
      <w:snapToGrid w:val="0"/>
      <w:jc w:val="left"/>
    </w:pPr>
    <w:rPr>
      <w:sz w:val="18"/>
      <w:szCs w:val="18"/>
      <w:lang w:val="zh-CN"/>
    </w:rPr>
  </w:style>
  <w:style w:type="paragraph" w:styleId="30">
    <w:name w:val="toc 6"/>
    <w:basedOn w:val="1"/>
    <w:next w:val="1"/>
    <w:qFormat/>
    <w:uiPriority w:val="0"/>
    <w:pPr>
      <w:ind w:left="1050"/>
      <w:jc w:val="left"/>
    </w:pPr>
    <w:rPr>
      <w:rFonts w:asciiTheme="minorHAnsi" w:eastAsiaTheme="minorHAnsi"/>
      <w:sz w:val="18"/>
      <w:szCs w:val="18"/>
    </w:rPr>
  </w:style>
  <w:style w:type="paragraph" w:styleId="31">
    <w:name w:val="Body Text Indent 3"/>
    <w:basedOn w:val="1"/>
    <w:qFormat/>
    <w:uiPriority w:val="0"/>
    <w:pPr>
      <w:tabs>
        <w:tab w:val="left" w:pos="360"/>
      </w:tabs>
      <w:spacing w:line="500" w:lineRule="exact"/>
      <w:ind w:firstLine="717" w:firstLineChars="227"/>
    </w:pPr>
    <w:rPr>
      <w:rFonts w:ascii="宋体" w:hAnsi="宋体"/>
      <w:spacing w:val="18"/>
      <w:sz w:val="28"/>
    </w:rPr>
  </w:style>
  <w:style w:type="paragraph" w:styleId="32">
    <w:name w:val="toc 2"/>
    <w:basedOn w:val="1"/>
    <w:next w:val="1"/>
    <w:qFormat/>
    <w:uiPriority w:val="39"/>
    <w:pPr>
      <w:ind w:left="210"/>
      <w:jc w:val="left"/>
    </w:pPr>
    <w:rPr>
      <w:rFonts w:asciiTheme="minorHAnsi" w:eastAsiaTheme="minorHAnsi"/>
      <w:smallCaps/>
      <w:sz w:val="20"/>
      <w:szCs w:val="20"/>
    </w:rPr>
  </w:style>
  <w:style w:type="paragraph" w:styleId="33">
    <w:name w:val="toc 9"/>
    <w:basedOn w:val="1"/>
    <w:next w:val="1"/>
    <w:qFormat/>
    <w:uiPriority w:val="0"/>
    <w:pPr>
      <w:ind w:left="1680"/>
      <w:jc w:val="left"/>
    </w:pPr>
    <w:rPr>
      <w:rFonts w:asciiTheme="minorHAnsi" w:eastAsiaTheme="minorHAnsi"/>
      <w:sz w:val="18"/>
      <w:szCs w:val="18"/>
    </w:rPr>
  </w:style>
  <w:style w:type="paragraph" w:styleId="34">
    <w:name w:val="Body Text 2"/>
    <w:basedOn w:val="1"/>
    <w:qFormat/>
    <w:uiPriority w:val="0"/>
    <w:pPr>
      <w:spacing w:line="300" w:lineRule="exact"/>
    </w:pPr>
    <w:rPr>
      <w:bCs/>
      <w:color w:val="000000"/>
      <w:sz w:val="24"/>
    </w:rPr>
  </w:style>
  <w:style w:type="paragraph" w:styleId="35">
    <w:name w:val="Normal (Web)"/>
    <w:basedOn w:val="1"/>
    <w:link w:val="101"/>
    <w:qFormat/>
    <w:uiPriority w:val="0"/>
    <w:pPr>
      <w:widowControl/>
      <w:spacing w:before="100" w:beforeAutospacing="1" w:after="100" w:afterAutospacing="1"/>
      <w:jc w:val="left"/>
    </w:pPr>
    <w:rPr>
      <w:rFonts w:ascii="宋体" w:hAnsi="宋体" w:cs="宋体"/>
      <w:kern w:val="0"/>
      <w:sz w:val="24"/>
    </w:rPr>
  </w:style>
  <w:style w:type="paragraph" w:styleId="36">
    <w:name w:val="index 1"/>
    <w:basedOn w:val="1"/>
    <w:next w:val="1"/>
    <w:semiHidden/>
    <w:qFormat/>
    <w:uiPriority w:val="0"/>
    <w:pPr>
      <w:spacing w:line="360" w:lineRule="auto"/>
    </w:pPr>
    <w:rPr>
      <w:sz w:val="24"/>
    </w:rPr>
  </w:style>
  <w:style w:type="paragraph" w:styleId="37">
    <w:name w:val="Title"/>
    <w:basedOn w:val="1"/>
    <w:next w:val="1"/>
    <w:link w:val="99"/>
    <w:qFormat/>
    <w:uiPriority w:val="0"/>
    <w:pPr>
      <w:spacing w:before="240" w:after="60"/>
      <w:jc w:val="center"/>
      <w:outlineLvl w:val="0"/>
    </w:pPr>
    <w:rPr>
      <w:rFonts w:ascii="Cambria" w:hAnsi="Cambria"/>
      <w:b/>
      <w:bCs/>
      <w:sz w:val="32"/>
      <w:szCs w:val="32"/>
      <w:u w:color="FF0000"/>
    </w:rPr>
  </w:style>
  <w:style w:type="paragraph" w:styleId="38">
    <w:name w:val="annotation subject"/>
    <w:basedOn w:val="13"/>
    <w:next w:val="13"/>
    <w:link w:val="67"/>
    <w:qFormat/>
    <w:uiPriority w:val="0"/>
    <w:rPr>
      <w:b/>
      <w:bCs/>
    </w:rPr>
  </w:style>
  <w:style w:type="paragraph" w:styleId="39">
    <w:name w:val="Body Text First Indent"/>
    <w:basedOn w:val="15"/>
    <w:qFormat/>
    <w:uiPriority w:val="0"/>
    <w:pPr>
      <w:ind w:firstLine="420" w:firstLineChars="100"/>
    </w:pPr>
    <w:rPr>
      <w:rFonts w:eastAsia="隶书"/>
      <w:b/>
      <w:u w:color="FF0000"/>
    </w:rPr>
  </w:style>
  <w:style w:type="paragraph" w:styleId="40">
    <w:name w:val="Body Text First Indent 2"/>
    <w:basedOn w:val="16"/>
    <w:qFormat/>
    <w:uiPriority w:val="0"/>
    <w:pPr>
      <w:tabs>
        <w:tab w:val="left" w:pos="1260"/>
      </w:tabs>
      <w:spacing w:after="120" w:line="240" w:lineRule="auto"/>
      <w:ind w:left="420" w:leftChars="200" w:firstLine="420"/>
      <w:textAlignment w:val="auto"/>
    </w:pPr>
    <w:rPr>
      <w:rFonts w:eastAsia="宋体"/>
      <w:sz w:val="21"/>
    </w:rPr>
  </w:style>
  <w:style w:type="table" w:styleId="42">
    <w:name w:val="Table Grid"/>
    <w:basedOn w:val="41"/>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43">
    <w:name w:val="Table Grid 7"/>
    <w:basedOn w:val="41"/>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blStylePr w:type="firstRow">
      <w:rPr>
        <w:rFonts w:cs="Times New Roman"/>
        <w:b w:val="0"/>
        <w:bCs w:val="0"/>
      </w:rPr>
      <w:tblPr/>
      <w:tcPr>
        <w:tcBorders>
          <w:bottom w:val="single" w:color="000000" w:sz="12" w:space="0"/>
          <w:tl2br w:val="nil"/>
          <w:tr2bl w:val="nil"/>
        </w:tcBorders>
      </w:tcPr>
    </w:tblStylePr>
    <w:tblStylePr w:type="lastRow">
      <w:rPr>
        <w:rFonts w:cs="Times New Roman"/>
        <w:b w:val="0"/>
        <w:bCs w:val="0"/>
      </w:rPr>
      <w:tblPr/>
      <w:tcPr>
        <w:tcBorders>
          <w:top w:val="single" w:color="000000" w:sz="6" w:space="0"/>
          <w:tl2br w:val="nil"/>
          <w:tr2bl w:val="nil"/>
        </w:tcBorders>
      </w:tcPr>
    </w:tblStylePr>
    <w:tblStylePr w:type="firstCol">
      <w:rPr>
        <w:rFonts w:cs="Times New Roman"/>
        <w:b w:val="0"/>
        <w:bCs w:val="0"/>
      </w:rPr>
      <w:tblPr/>
      <w:tcPr>
        <w:tcBorders>
          <w:tl2br w:val="nil"/>
          <w:tr2bl w:val="nil"/>
        </w:tcBorders>
      </w:tcPr>
    </w:tblStylePr>
    <w:tblStylePr w:type="lastCol">
      <w:rPr>
        <w:rFonts w:cs="Times New Roman"/>
        <w:b w:val="0"/>
        <w:bCs w:val="0"/>
      </w:rPr>
      <w:tblPr/>
      <w:tcPr>
        <w:tcBorders>
          <w:tl2br w:val="nil"/>
          <w:tr2bl w:val="nil"/>
        </w:tcBorders>
      </w:tcPr>
    </w:tblStylePr>
    <w:tblStylePr w:type="nwCell">
      <w:rPr>
        <w:rFonts w:cs="Times New Roman"/>
      </w:rPr>
      <w:tblPr/>
      <w:tcPr>
        <w:tcBorders>
          <w:tl2br w:val="single" w:color="000000" w:sz="6" w:space="0"/>
          <w:tr2bl w:val="nil"/>
        </w:tcBorders>
      </w:tcPr>
    </w:tblStylePr>
  </w:style>
  <w:style w:type="character" w:styleId="45">
    <w:name w:val="Strong"/>
    <w:qFormat/>
    <w:uiPriority w:val="0"/>
    <w:rPr>
      <w:b/>
      <w:bCs/>
    </w:rPr>
  </w:style>
  <w:style w:type="character" w:styleId="46">
    <w:name w:val="page number"/>
    <w:basedOn w:val="44"/>
    <w:qFormat/>
    <w:uiPriority w:val="0"/>
  </w:style>
  <w:style w:type="character" w:styleId="47">
    <w:name w:val="FollowedHyperlink"/>
    <w:qFormat/>
    <w:uiPriority w:val="0"/>
    <w:rPr>
      <w:color w:val="800080"/>
      <w:u w:val="single"/>
    </w:rPr>
  </w:style>
  <w:style w:type="character" w:styleId="48">
    <w:name w:val="line number"/>
    <w:qFormat/>
    <w:uiPriority w:val="0"/>
    <w:rPr>
      <w:rFonts w:cs="Times New Roman"/>
    </w:rPr>
  </w:style>
  <w:style w:type="character" w:styleId="49">
    <w:name w:val="Hyperlink"/>
    <w:qFormat/>
    <w:uiPriority w:val="99"/>
    <w:rPr>
      <w:color w:val="0000FF"/>
      <w:u w:val="single"/>
    </w:rPr>
  </w:style>
  <w:style w:type="character" w:styleId="50">
    <w:name w:val="annotation reference"/>
    <w:semiHidden/>
    <w:qFormat/>
    <w:uiPriority w:val="0"/>
    <w:rPr>
      <w:sz w:val="21"/>
      <w:szCs w:val="21"/>
    </w:rPr>
  </w:style>
  <w:style w:type="character" w:styleId="51">
    <w:name w:val="footnote reference"/>
    <w:qFormat/>
    <w:uiPriority w:val="0"/>
    <w:rPr>
      <w:vertAlign w:val="superscript"/>
    </w:rPr>
  </w:style>
  <w:style w:type="character" w:customStyle="1" w:styleId="52">
    <w:name w:val="标题 3 Char"/>
    <w:link w:val="4"/>
    <w:qFormat/>
    <w:locked/>
    <w:uiPriority w:val="0"/>
    <w:rPr>
      <w:rFonts w:ascii="Times New Roman" w:hAnsi="Times New Roman" w:eastAsia="宋体"/>
      <w:b/>
      <w:bCs/>
      <w:kern w:val="2"/>
      <w:sz w:val="28"/>
      <w:szCs w:val="32"/>
    </w:rPr>
  </w:style>
  <w:style w:type="character" w:customStyle="1" w:styleId="53">
    <w:name w:val="标题 2 Char"/>
    <w:link w:val="3"/>
    <w:qFormat/>
    <w:uiPriority w:val="0"/>
    <w:rPr>
      <w:rFonts w:ascii="宋体" w:hAnsi="宋体" w:eastAsia="宋体" w:cs="Times New Roman"/>
      <w:b/>
      <w:kern w:val="2"/>
      <w:sz w:val="28"/>
      <w:szCs w:val="24"/>
      <w:lang w:val="en-GB" w:eastAsia="zh-CN" w:bidi="ar-SA"/>
    </w:rPr>
  </w:style>
  <w:style w:type="paragraph" w:customStyle="1" w:styleId="54">
    <w:name w:val="样式2"/>
    <w:basedOn w:val="1"/>
    <w:qFormat/>
    <w:uiPriority w:val="0"/>
    <w:pPr>
      <w:numPr>
        <w:ilvl w:val="0"/>
        <w:numId w:val="1"/>
      </w:numPr>
    </w:pPr>
    <w:rPr>
      <w:szCs w:val="20"/>
    </w:rPr>
  </w:style>
  <w:style w:type="character" w:customStyle="1" w:styleId="55">
    <w:name w:val="正文文本缩进 Char"/>
    <w:link w:val="16"/>
    <w:qFormat/>
    <w:uiPriority w:val="0"/>
    <w:rPr>
      <w:rFonts w:eastAsia="宋体"/>
      <w:kern w:val="2"/>
      <w:sz w:val="28"/>
      <w:szCs w:val="24"/>
      <w:lang w:val="en-US" w:eastAsia="zh-CN" w:bidi="ar-SA"/>
    </w:rPr>
  </w:style>
  <w:style w:type="character" w:customStyle="1" w:styleId="56">
    <w:name w:val="正文文本缩进 2 Char"/>
    <w:link w:val="23"/>
    <w:qFormat/>
    <w:locked/>
    <w:uiPriority w:val="0"/>
    <w:rPr>
      <w:rFonts w:ascii="Swis721 BT" w:hAnsi="Swis721 BT" w:eastAsia="仿宋_GB2312"/>
      <w:spacing w:val="-20"/>
      <w:kern w:val="2"/>
      <w:sz w:val="28"/>
      <w:szCs w:val="24"/>
      <w:lang w:val="en-GB" w:eastAsia="zh-CN" w:bidi="ar-SA"/>
    </w:rPr>
  </w:style>
  <w:style w:type="character" w:customStyle="1" w:styleId="57">
    <w:name w:val="页脚 Char"/>
    <w:link w:val="25"/>
    <w:qFormat/>
    <w:uiPriority w:val="99"/>
    <w:rPr>
      <w:rFonts w:eastAsia="宋体"/>
      <w:kern w:val="2"/>
      <w:sz w:val="18"/>
      <w:szCs w:val="18"/>
      <w:lang w:val="en-US" w:eastAsia="zh-CN" w:bidi="ar-SA"/>
    </w:rPr>
  </w:style>
  <w:style w:type="character" w:customStyle="1" w:styleId="58">
    <w:name w:val="页眉 Char"/>
    <w:link w:val="26"/>
    <w:qFormat/>
    <w:uiPriority w:val="0"/>
    <w:rPr>
      <w:kern w:val="2"/>
      <w:sz w:val="18"/>
      <w:szCs w:val="18"/>
    </w:rPr>
  </w:style>
  <w:style w:type="paragraph" w:customStyle="1" w:styleId="59">
    <w:name w:val="a"/>
    <w:basedOn w:val="1"/>
    <w:qFormat/>
    <w:uiPriority w:val="0"/>
    <w:pPr>
      <w:widowControl/>
      <w:spacing w:before="100" w:beforeAutospacing="1" w:after="100" w:afterAutospacing="1"/>
      <w:jc w:val="left"/>
    </w:pPr>
    <w:rPr>
      <w:rFonts w:ascii="宋体" w:hAnsi="宋体"/>
      <w:kern w:val="0"/>
      <w:sz w:val="24"/>
    </w:rPr>
  </w:style>
  <w:style w:type="character" w:customStyle="1" w:styleId="60">
    <w:name w:val="批注文字 Char"/>
    <w:link w:val="13"/>
    <w:semiHidden/>
    <w:qFormat/>
    <w:uiPriority w:val="0"/>
    <w:rPr>
      <w:kern w:val="2"/>
      <w:sz w:val="21"/>
      <w:szCs w:val="24"/>
    </w:rPr>
  </w:style>
  <w:style w:type="paragraph" w:customStyle="1" w:styleId="61">
    <w:name w:val="4"/>
    <w:basedOn w:val="1"/>
    <w:next w:val="16"/>
    <w:qFormat/>
    <w:uiPriority w:val="0"/>
    <w:pPr>
      <w:ind w:firstLine="560" w:firstLineChars="200"/>
    </w:pPr>
    <w:rPr>
      <w:sz w:val="28"/>
    </w:rPr>
  </w:style>
  <w:style w:type="paragraph" w:customStyle="1" w:styleId="62">
    <w:name w:val="3"/>
    <w:basedOn w:val="1"/>
    <w:next w:val="16"/>
    <w:qFormat/>
    <w:uiPriority w:val="0"/>
    <w:pPr>
      <w:ind w:firstLine="560" w:firstLineChars="200"/>
    </w:pPr>
    <w:rPr>
      <w:sz w:val="28"/>
    </w:rPr>
  </w:style>
  <w:style w:type="character" w:customStyle="1" w:styleId="63">
    <w:name w:val="纯文本 Char"/>
    <w:link w:val="20"/>
    <w:qFormat/>
    <w:locked/>
    <w:uiPriority w:val="0"/>
    <w:rPr>
      <w:rFonts w:ascii="宋体" w:hAnsi="Courier New" w:eastAsia="宋体"/>
      <w:kern w:val="2"/>
      <w:sz w:val="21"/>
      <w:lang w:val="en-US" w:eastAsia="zh-CN" w:bidi="ar-SA"/>
    </w:rPr>
  </w:style>
  <w:style w:type="character" w:customStyle="1" w:styleId="64">
    <w:name w:val="正文文本 Char"/>
    <w:link w:val="15"/>
    <w:qFormat/>
    <w:locked/>
    <w:uiPriority w:val="0"/>
    <w:rPr>
      <w:rFonts w:eastAsia="宋体"/>
      <w:kern w:val="2"/>
      <w:sz w:val="21"/>
      <w:szCs w:val="24"/>
      <w:lang w:val="en-US" w:eastAsia="zh-CN" w:bidi="ar-SA"/>
    </w:rPr>
  </w:style>
  <w:style w:type="character" w:customStyle="1" w:styleId="65">
    <w:name w:val="正文文字缩进 Char Char"/>
    <w:qFormat/>
    <w:uiPriority w:val="0"/>
    <w:rPr>
      <w:rFonts w:eastAsia="宋体"/>
      <w:kern w:val="2"/>
      <w:sz w:val="28"/>
      <w:szCs w:val="24"/>
      <w:lang w:val="en-US" w:eastAsia="zh-CN" w:bidi="ar-SA"/>
    </w:rPr>
  </w:style>
  <w:style w:type="character" w:customStyle="1" w:styleId="66">
    <w:name w:val="脚注文本 Char"/>
    <w:link w:val="29"/>
    <w:qFormat/>
    <w:uiPriority w:val="0"/>
    <w:rPr>
      <w:kern w:val="2"/>
      <w:sz w:val="18"/>
      <w:szCs w:val="18"/>
    </w:rPr>
  </w:style>
  <w:style w:type="character" w:customStyle="1" w:styleId="67">
    <w:name w:val="批注主题 Char1"/>
    <w:link w:val="38"/>
    <w:qFormat/>
    <w:locked/>
    <w:uiPriority w:val="0"/>
    <w:rPr>
      <w:rFonts w:eastAsia="宋体"/>
      <w:b/>
      <w:bCs/>
      <w:kern w:val="2"/>
      <w:sz w:val="21"/>
      <w:szCs w:val="24"/>
      <w:lang w:val="zh-CN" w:eastAsia="zh-CN" w:bidi="ar-SA"/>
    </w:rPr>
  </w:style>
  <w:style w:type="character" w:customStyle="1" w:styleId="68">
    <w:name w:val="批注主题 Char"/>
    <w:basedOn w:val="60"/>
    <w:qFormat/>
    <w:uiPriority w:val="0"/>
    <w:rPr>
      <w:kern w:val="2"/>
      <w:sz w:val="21"/>
      <w:szCs w:val="24"/>
    </w:rPr>
  </w:style>
  <w:style w:type="paragraph" w:customStyle="1" w:styleId="69">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70">
    <w:name w:val="2"/>
    <w:basedOn w:val="1"/>
    <w:next w:val="16"/>
    <w:qFormat/>
    <w:uiPriority w:val="0"/>
    <w:pPr>
      <w:ind w:firstLine="560" w:firstLineChars="200"/>
    </w:pPr>
    <w:rPr>
      <w:sz w:val="28"/>
    </w:rPr>
  </w:style>
  <w:style w:type="paragraph" w:customStyle="1" w:styleId="71">
    <w:name w:val="1"/>
    <w:basedOn w:val="1"/>
    <w:next w:val="16"/>
    <w:qFormat/>
    <w:uiPriority w:val="0"/>
    <w:pPr>
      <w:ind w:firstLine="560" w:firstLineChars="200"/>
    </w:pPr>
    <w:rPr>
      <w:sz w:val="28"/>
    </w:rPr>
  </w:style>
  <w:style w:type="paragraph" w:customStyle="1" w:styleId="72">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73">
    <w:name w:val="Char Char2"/>
    <w:semiHidden/>
    <w:qFormat/>
    <w:uiPriority w:val="0"/>
    <w:rPr>
      <w:kern w:val="2"/>
      <w:sz w:val="21"/>
      <w:szCs w:val="24"/>
    </w:rPr>
  </w:style>
  <w:style w:type="paragraph" w:customStyle="1" w:styleId="74">
    <w:name w:val="二级条标题"/>
    <w:basedOn w:val="75"/>
    <w:next w:val="1"/>
    <w:qFormat/>
    <w:uiPriority w:val="0"/>
    <w:pPr>
      <w:tabs>
        <w:tab w:val="left" w:pos="5400"/>
      </w:tabs>
      <w:outlineLvl w:val="3"/>
    </w:pPr>
  </w:style>
  <w:style w:type="paragraph" w:customStyle="1" w:styleId="75">
    <w:name w:val="一级条标题"/>
    <w:basedOn w:val="1"/>
    <w:next w:val="1"/>
    <w:qFormat/>
    <w:uiPriority w:val="0"/>
    <w:pPr>
      <w:tabs>
        <w:tab w:val="left" w:pos="5400"/>
      </w:tabs>
      <w:jc w:val="center"/>
      <w:outlineLvl w:val="2"/>
    </w:pPr>
    <w:rPr>
      <w:rFonts w:ascii="黑体" w:eastAsia="黑体"/>
      <w:szCs w:val="20"/>
    </w:rPr>
  </w:style>
  <w:style w:type="character" w:customStyle="1" w:styleId="76">
    <w:name w:val="正文文字缩进 Char1"/>
    <w:qFormat/>
    <w:uiPriority w:val="0"/>
    <w:rPr>
      <w:rFonts w:eastAsia="宋体"/>
      <w:kern w:val="2"/>
      <w:sz w:val="28"/>
      <w:szCs w:val="24"/>
      <w:lang w:val="en-US" w:eastAsia="zh-CN" w:bidi="ar-SA"/>
    </w:rPr>
  </w:style>
  <w:style w:type="paragraph" w:customStyle="1" w:styleId="77">
    <w:name w:val="font6"/>
    <w:basedOn w:val="1"/>
    <w:qFormat/>
    <w:uiPriority w:val="0"/>
    <w:pPr>
      <w:widowControl/>
      <w:spacing w:before="100" w:beforeAutospacing="1" w:after="100" w:afterAutospacing="1"/>
      <w:jc w:val="left"/>
    </w:pPr>
    <w:rPr>
      <w:rFonts w:ascii="宋体" w:hAnsi="宋体" w:cs="宋体"/>
      <w:kern w:val="0"/>
      <w:sz w:val="24"/>
    </w:rPr>
  </w:style>
  <w:style w:type="paragraph" w:customStyle="1" w:styleId="78">
    <w:name w:val="章标题"/>
    <w:next w:val="72"/>
    <w:qFormat/>
    <w:uiPriority w:val="0"/>
    <w:pPr>
      <w:widowControl w:val="0"/>
      <w:tabs>
        <w:tab w:val="left" w:pos="5400"/>
      </w:tabs>
      <w:jc w:val="center"/>
    </w:pPr>
    <w:rPr>
      <w:rFonts w:ascii="黑体" w:hAnsi="Times New Roman" w:eastAsia="黑体" w:cs="Times New Roman"/>
      <w:kern w:val="2"/>
      <w:sz w:val="21"/>
      <w:lang w:val="en-US" w:eastAsia="zh-CN" w:bidi="ar-SA"/>
    </w:rPr>
  </w:style>
  <w:style w:type="paragraph" w:customStyle="1" w:styleId="79">
    <w:name w:val="4 Char"/>
    <w:basedOn w:val="1"/>
    <w:next w:val="16"/>
    <w:qFormat/>
    <w:uiPriority w:val="0"/>
    <w:pPr>
      <w:ind w:firstLine="560" w:firstLineChars="200"/>
    </w:pPr>
    <w:rPr>
      <w:sz w:val="28"/>
      <w:szCs w:val="20"/>
    </w:rPr>
  </w:style>
  <w:style w:type="character" w:customStyle="1" w:styleId="80">
    <w:name w:val="zw1"/>
    <w:qFormat/>
    <w:uiPriority w:val="0"/>
    <w:rPr>
      <w:rFonts w:hint="eastAsia" w:ascii="宋体" w:hAnsi="宋体" w:eastAsia="宋体"/>
      <w:sz w:val="22"/>
      <w:szCs w:val="22"/>
    </w:rPr>
  </w:style>
  <w:style w:type="character" w:customStyle="1" w:styleId="81">
    <w:name w:val="Heading 3 Char"/>
    <w:qFormat/>
    <w:locked/>
    <w:uiPriority w:val="0"/>
    <w:rPr>
      <w:rFonts w:eastAsia="仿宋_GB2312"/>
      <w:bCs/>
      <w:kern w:val="2"/>
      <w:sz w:val="28"/>
      <w:szCs w:val="24"/>
      <w:u w:color="FF0000"/>
      <w:lang w:val="en-US" w:eastAsia="zh-CN" w:bidi="ar-SA"/>
    </w:rPr>
  </w:style>
  <w:style w:type="character" w:customStyle="1" w:styleId="82">
    <w:name w:val="Header Char"/>
    <w:qFormat/>
    <w:locked/>
    <w:uiPriority w:val="0"/>
    <w:rPr>
      <w:rFonts w:eastAsia="隶书"/>
      <w:kern w:val="2"/>
      <w:sz w:val="18"/>
      <w:szCs w:val="18"/>
      <w:u w:color="FF0000"/>
      <w:lang w:val="en-US" w:eastAsia="zh-CN" w:bidi="ar-SA"/>
    </w:rPr>
  </w:style>
  <w:style w:type="paragraph" w:customStyle="1" w:styleId="83">
    <w:name w:val="样式1"/>
    <w:basedOn w:val="1"/>
    <w:qFormat/>
    <w:uiPriority w:val="0"/>
    <w:pPr>
      <w:spacing w:line="360" w:lineRule="auto"/>
      <w:jc w:val="center"/>
    </w:pPr>
    <w:rPr>
      <w:rFonts w:ascii="仿宋_GB2312" w:eastAsia="仿宋_GB2312"/>
      <w:b/>
      <w:sz w:val="44"/>
      <w:u w:color="FF0000"/>
    </w:rPr>
  </w:style>
  <w:style w:type="paragraph" w:customStyle="1" w:styleId="84">
    <w:name w:val="标准文件_附录标识"/>
    <w:next w:val="15"/>
    <w:qFormat/>
    <w:uiPriority w:val="0"/>
    <w:pPr>
      <w:shd w:val="clear" w:color="FFFFFF" w:fill="FFFFFF"/>
      <w:tabs>
        <w:tab w:val="left" w:pos="425"/>
        <w:tab w:val="left" w:pos="6405"/>
      </w:tabs>
      <w:spacing w:before="640" w:after="160"/>
      <w:ind w:left="425" w:hanging="425"/>
      <w:jc w:val="center"/>
      <w:outlineLvl w:val="0"/>
    </w:pPr>
    <w:rPr>
      <w:rFonts w:ascii="黑体" w:hAnsi="Times New Roman" w:eastAsia="黑体" w:cs="Times New Roman"/>
      <w:b/>
      <w:kern w:val="2"/>
      <w:sz w:val="21"/>
      <w:szCs w:val="24"/>
      <w:u w:color="FF0000"/>
      <w:lang w:val="en-US" w:eastAsia="zh-CN" w:bidi="ar-SA"/>
    </w:rPr>
  </w:style>
  <w:style w:type="paragraph" w:customStyle="1" w:styleId="85">
    <w:name w:val="xl33"/>
    <w:basedOn w:val="1"/>
    <w:qFormat/>
    <w:uiPriority w:val="0"/>
    <w:pPr>
      <w:widowControl/>
      <w:pBdr>
        <w:bottom w:val="single" w:color="auto" w:sz="4" w:space="0"/>
      </w:pBdr>
      <w:spacing w:before="100" w:after="100"/>
      <w:jc w:val="center"/>
    </w:pPr>
    <w:rPr>
      <w:rFonts w:ascii="Arial Unicode MS" w:hAnsi="Arial Unicode MS" w:eastAsia="Times New Roman"/>
      <w:kern w:val="0"/>
      <w:sz w:val="24"/>
      <w:szCs w:val="20"/>
      <w:u w:color="FF0000"/>
    </w:rPr>
  </w:style>
  <w:style w:type="paragraph" w:customStyle="1" w:styleId="86">
    <w:name w:val="标准文件_段"/>
    <w:qFormat/>
    <w:uiPriority w:val="0"/>
    <w:pPr>
      <w:autoSpaceDE w:val="0"/>
      <w:autoSpaceDN w:val="0"/>
      <w:adjustRightInd w:val="0"/>
      <w:snapToGrid w:val="0"/>
      <w:spacing w:line="400" w:lineRule="exact"/>
      <w:jc w:val="center"/>
    </w:pPr>
    <w:rPr>
      <w:rFonts w:ascii="宋体" w:hAnsi="宋体" w:eastAsia="宋体" w:cs="Times New Roman"/>
      <w:b/>
      <w:spacing w:val="2"/>
      <w:kern w:val="2"/>
      <w:sz w:val="21"/>
      <w:szCs w:val="24"/>
      <w:u w:color="FF0000"/>
      <w:lang w:val="en-US" w:eastAsia="zh-CN" w:bidi="ar-SA"/>
    </w:rPr>
  </w:style>
  <w:style w:type="character" w:customStyle="1" w:styleId="87">
    <w:name w:val="Char Char3"/>
    <w:qFormat/>
    <w:uiPriority w:val="0"/>
    <w:rPr>
      <w:rFonts w:eastAsia="仿宋_GB2312"/>
      <w:kern w:val="2"/>
      <w:sz w:val="24"/>
      <w:u w:color="FF0000"/>
    </w:rPr>
  </w:style>
  <w:style w:type="character" w:customStyle="1" w:styleId="88">
    <w:name w:val="bt11"/>
    <w:qFormat/>
    <w:uiPriority w:val="0"/>
    <w:rPr>
      <w:rFonts w:ascii="黑体" w:eastAsia="黑体"/>
      <w:color w:val="000000"/>
      <w:sz w:val="28"/>
    </w:rPr>
  </w:style>
  <w:style w:type="character" w:customStyle="1" w:styleId="89">
    <w:name w:val="bt21"/>
    <w:qFormat/>
    <w:uiPriority w:val="0"/>
    <w:rPr>
      <w:rFonts w:ascii="黑体" w:eastAsia="黑体"/>
      <w:sz w:val="24"/>
    </w:rPr>
  </w:style>
  <w:style w:type="paragraph" w:customStyle="1" w:styleId="90">
    <w:name w:val="xl38"/>
    <w:basedOn w:val="1"/>
    <w:qFormat/>
    <w:uiPriority w:val="0"/>
    <w:pPr>
      <w:widowControl/>
      <w:spacing w:before="100" w:beforeAutospacing="1" w:after="100" w:afterAutospacing="1"/>
      <w:jc w:val="center"/>
      <w:textAlignment w:val="center"/>
    </w:pPr>
    <w:rPr>
      <w:rFonts w:ascii="宋体" w:hAnsi="宋体"/>
      <w:kern w:val="0"/>
      <w:szCs w:val="21"/>
      <w:u w:color="FF0000"/>
    </w:rPr>
  </w:style>
  <w:style w:type="character" w:customStyle="1" w:styleId="91">
    <w:name w:val="style441"/>
    <w:qFormat/>
    <w:uiPriority w:val="0"/>
    <w:rPr>
      <w:sz w:val="18"/>
    </w:rPr>
  </w:style>
  <w:style w:type="character" w:customStyle="1" w:styleId="92">
    <w:name w:val="Comment Text Char"/>
    <w:qFormat/>
    <w:locked/>
    <w:uiPriority w:val="0"/>
    <w:rPr>
      <w:rFonts w:eastAsia="隶书"/>
      <w:kern w:val="2"/>
      <w:sz w:val="21"/>
      <w:szCs w:val="24"/>
      <w:u w:color="FF0000"/>
      <w:lang w:val="en-US" w:eastAsia="zh-CN" w:bidi="ar-SA"/>
    </w:rPr>
  </w:style>
  <w:style w:type="paragraph" w:customStyle="1" w:styleId="93">
    <w:name w:val="表格"/>
    <w:basedOn w:val="1"/>
    <w:qFormat/>
    <w:uiPriority w:val="0"/>
    <w:pPr>
      <w:spacing w:before="50" w:after="50"/>
      <w:jc w:val="center"/>
    </w:pPr>
    <w:rPr>
      <w:rFonts w:ascii="宋体"/>
      <w:szCs w:val="20"/>
      <w:u w:color="FF0000"/>
    </w:rPr>
  </w:style>
  <w:style w:type="paragraph" w:customStyle="1" w:styleId="94">
    <w:name w:val="封面标准文稿编辑信息"/>
    <w:qFormat/>
    <w:uiPriority w:val="0"/>
    <w:pPr>
      <w:spacing w:before="180" w:line="180" w:lineRule="exact"/>
      <w:jc w:val="center"/>
    </w:pPr>
    <w:rPr>
      <w:rFonts w:ascii="宋体" w:hAnsi="Times New Roman" w:eastAsia="宋体" w:cs="Times New Roman"/>
      <w:b/>
      <w:kern w:val="2"/>
      <w:sz w:val="21"/>
      <w:szCs w:val="24"/>
      <w:u w:color="FF0000"/>
      <w:lang w:val="en-US" w:eastAsia="zh-CN" w:bidi="ar-SA"/>
    </w:rPr>
  </w:style>
  <w:style w:type="paragraph" w:customStyle="1" w:styleId="95">
    <w:name w:val="修订11"/>
    <w:hidden/>
    <w:semiHidden/>
    <w:qFormat/>
    <w:uiPriority w:val="0"/>
    <w:rPr>
      <w:rFonts w:ascii="Times New Roman" w:hAnsi="Times New Roman" w:eastAsia="宋体" w:cs="Times New Roman"/>
      <w:b/>
      <w:kern w:val="2"/>
      <w:sz w:val="21"/>
      <w:szCs w:val="24"/>
      <w:u w:color="FF0000"/>
      <w:lang w:val="en-US" w:eastAsia="zh-CN" w:bidi="ar-SA"/>
    </w:rPr>
  </w:style>
  <w:style w:type="paragraph" w:customStyle="1" w:styleId="96">
    <w:name w:val="xl51"/>
    <w:basedOn w:val="1"/>
    <w:qFormat/>
    <w:uiPriority w:val="0"/>
    <w:pPr>
      <w:widowControl/>
      <w:adjustRightInd w:val="0"/>
      <w:spacing w:before="100" w:beforeAutospacing="1" w:after="100" w:afterAutospacing="1" w:line="360" w:lineRule="atLeast"/>
      <w:jc w:val="center"/>
      <w:textAlignment w:val="baseline"/>
    </w:pPr>
    <w:rPr>
      <w:rFonts w:ascii="仿宋_GB2312" w:hAnsi="宋体" w:eastAsia="仿宋_GB2312"/>
      <w:b/>
      <w:bCs/>
      <w:kern w:val="0"/>
      <w:sz w:val="32"/>
      <w:szCs w:val="32"/>
      <w:u w:color="FF0000"/>
    </w:rPr>
  </w:style>
  <w:style w:type="paragraph" w:customStyle="1" w:styleId="97">
    <w:name w:val="TOC 标题1"/>
    <w:basedOn w:val="2"/>
    <w:next w:val="1"/>
    <w:qFormat/>
    <w:uiPriority w:val="0"/>
    <w:pPr>
      <w:keepLines/>
      <w:widowControl/>
      <w:spacing w:before="480" w:line="276" w:lineRule="auto"/>
      <w:ind w:firstLine="0" w:firstLineChars="0"/>
      <w:jc w:val="left"/>
      <w:outlineLvl w:val="9"/>
    </w:pPr>
    <w:rPr>
      <w:rFonts w:ascii="Cambria" w:hAnsi="Cambria"/>
      <w:bCs/>
      <w:color w:val="365F91"/>
      <w:kern w:val="0"/>
      <w:sz w:val="28"/>
      <w:szCs w:val="28"/>
      <w:u w:color="FF0000"/>
    </w:rPr>
  </w:style>
  <w:style w:type="paragraph" w:customStyle="1" w:styleId="98">
    <w:name w:val="列出段落1"/>
    <w:basedOn w:val="1"/>
    <w:qFormat/>
    <w:uiPriority w:val="0"/>
    <w:pPr>
      <w:ind w:firstLine="420" w:firstLineChars="200"/>
    </w:pPr>
    <w:rPr>
      <w:b/>
      <w:u w:color="FF0000"/>
    </w:rPr>
  </w:style>
  <w:style w:type="character" w:customStyle="1" w:styleId="99">
    <w:name w:val="标题 Char"/>
    <w:link w:val="37"/>
    <w:qFormat/>
    <w:locked/>
    <w:uiPriority w:val="0"/>
    <w:rPr>
      <w:rFonts w:ascii="Cambria" w:hAnsi="Cambria" w:eastAsia="宋体"/>
      <w:b/>
      <w:bCs/>
      <w:kern w:val="2"/>
      <w:sz w:val="32"/>
      <w:szCs w:val="32"/>
      <w:u w:color="FF0000"/>
      <w:lang w:val="en-US" w:eastAsia="zh-CN" w:bidi="ar-SA"/>
    </w:rPr>
  </w:style>
  <w:style w:type="character" w:styleId="100">
    <w:name w:val="Placeholder Text"/>
    <w:basedOn w:val="44"/>
    <w:semiHidden/>
    <w:qFormat/>
    <w:uiPriority w:val="99"/>
    <w:rPr>
      <w:color w:val="808080"/>
    </w:rPr>
  </w:style>
  <w:style w:type="character" w:customStyle="1" w:styleId="101">
    <w:name w:val="普通(网站) Char"/>
    <w:link w:val="35"/>
    <w:qFormat/>
    <w:uiPriority w:val="0"/>
    <w:rPr>
      <w:rFonts w:ascii="宋体" w:hAnsi="宋体" w:cs="宋体"/>
      <w:sz w:val="24"/>
      <w:szCs w:val="24"/>
    </w:rPr>
  </w:style>
  <w:style w:type="paragraph" w:customStyle="1" w:styleId="102">
    <w:name w:val="字母编号列项（一级）"/>
    <w:qFormat/>
    <w:uiPriority w:val="0"/>
    <w:pPr>
      <w:numPr>
        <w:ilvl w:val="0"/>
        <w:numId w:val="2"/>
      </w:numPr>
      <w:tabs>
        <w:tab w:val="left" w:pos="839"/>
      </w:tabs>
      <w:jc w:val="both"/>
    </w:pPr>
    <w:rPr>
      <w:rFonts w:ascii="宋体" w:hAnsi="Times New Roman" w:eastAsia="宋体" w:cs="Times New Roman"/>
      <w:sz w:val="21"/>
      <w:lang w:val="en-US" w:eastAsia="zh-CN" w:bidi="ar-SA"/>
    </w:rPr>
  </w:style>
  <w:style w:type="paragraph" w:styleId="103">
    <w:name w:val="List Paragraph"/>
    <w:basedOn w:val="1"/>
    <w:qFormat/>
    <w:uiPriority w:val="34"/>
    <w:pPr>
      <w:ind w:firstLine="420" w:firstLineChars="200"/>
    </w:pPr>
  </w:style>
  <w:style w:type="paragraph" w:customStyle="1" w:styleId="104">
    <w:name w:val="Table Text"/>
    <w:basedOn w:val="1"/>
    <w:semiHidden/>
    <w:qFormat/>
    <w:uiPriority w:val="0"/>
    <w:rPr>
      <w:rFonts w:ascii="宋体" w:hAnsi="宋体" w:eastAsia="宋体" w:cs="宋体"/>
      <w:sz w:val="21"/>
      <w:szCs w:val="21"/>
      <w:lang w:val="en-US" w:eastAsia="en-US" w:bidi="ar-SA"/>
    </w:rPr>
  </w:style>
  <w:style w:type="table" w:customStyle="1" w:styleId="105">
    <w:name w:val="Table Normal"/>
    <w:semiHidden/>
    <w:unhideWhenUsed/>
    <w:qFormat/>
    <w:uiPriority w:val="0"/>
    <w:tblPr>
      <w:tblCellMar>
        <w:top w:w="0" w:type="dxa"/>
        <w:left w:w="0" w:type="dxa"/>
        <w:bottom w:w="0" w:type="dxa"/>
        <w:right w:w="0" w:type="dxa"/>
      </w:tblCellMar>
    </w:tblPr>
  </w:style>
  <w:style w:type="paragraph" w:customStyle="1" w:styleId="106">
    <w:name w:val="正文4"/>
    <w:qFormat/>
    <w:uiPriority w:val="0"/>
    <w:pPr>
      <w:widowControl w:val="0"/>
      <w:spacing w:line="360" w:lineRule="auto"/>
      <w:ind w:left="1" w:leftChars="-1" w:right="-107" w:rightChars="-51" w:hanging="3" w:hangingChars="1"/>
      <w:jc w:val="both"/>
    </w:pPr>
    <w:rPr>
      <w:rFonts w:ascii="宋体" w:hAnsi="宋体" w:eastAsia="宋体" w:cs="Times New Roman"/>
      <w:kern w:val="2"/>
      <w:sz w:val="28"/>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4.jpeg"/><Relationship Id="rId18" Type="http://schemas.openxmlformats.org/officeDocument/2006/relationships/image" Target="media/image3.jpeg"/><Relationship Id="rId17" Type="http://schemas.openxmlformats.org/officeDocument/2006/relationships/image" Target="media/image2.jpe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footer" Target="footer3.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E1311D1-6789-4EE8-AB71-A490C083C5F5}">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70</Pages>
  <Words>10463</Words>
  <Characters>12353</Characters>
  <Lines>340</Lines>
  <Paragraphs>95</Paragraphs>
  <TotalTime>3</TotalTime>
  <ScaleCrop>false</ScaleCrop>
  <LinksUpToDate>false</LinksUpToDate>
  <CharactersWithSpaces>12667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2025-09-09T09:43:00Z</dcterms:created>
  <dc:creator>Administrator</dc:creator>
  <cp:lastModifiedBy>钟志宏</cp:lastModifiedBy>
  <cp:lastPrinted>2023-04-18T09:07:00Z</cp:lastPrinted>
  <dcterms:modified xsi:type="dcterms:W3CDTF">2026-01-08T03:33:05Z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7574D9A7F1D840ACA1C073DB00992759_13</vt:lpwstr>
  </property>
  <property fmtid="{D5CDD505-2E9C-101B-9397-08002B2CF9AE}" pid="4" name="KSOTemplateDocerSaveRecord">
    <vt:lpwstr>eyJoZGlkIjoiZDllZTdkOTgzYmNkNDNlNmFlMDI3MTI0YjA5NWI5OTkiLCJ1c2VySWQiOiI2MzI3MTA0NjMifQ==</vt:lpwstr>
  </property>
</Properties>
</file>