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color w:val="auto"/>
          <w:sz w:val="44"/>
          <w:szCs w:val="44"/>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color w:val="auto"/>
          <w:sz w:val="44"/>
          <w:szCs w:val="4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44"/>
          <w:szCs w:val="44"/>
        </w:rPr>
      </w:pPr>
      <w:r>
        <w:rPr>
          <w:rFonts w:hint="eastAsia"/>
          <w:b/>
          <w:color w:val="auto"/>
          <w:sz w:val="44"/>
          <w:szCs w:val="44"/>
        </w:rPr>
        <w:t>于都小东坑矿业有限公司</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宋体"/>
          <w:b/>
          <w:color w:val="auto"/>
          <w:sz w:val="44"/>
          <w:szCs w:val="44"/>
          <w:lang w:val="en-US" w:eastAsia="zh-CN"/>
        </w:rPr>
      </w:pPr>
      <w:r>
        <w:rPr>
          <w:rFonts w:hint="eastAsia"/>
          <w:b/>
          <w:color w:val="auto"/>
          <w:sz w:val="44"/>
          <w:szCs w:val="44"/>
        </w:rPr>
        <w:t>选矿厂工程建设项目</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eastAsia="黑体"/>
          <w:b/>
          <w:color w:val="auto"/>
          <w:sz w:val="52"/>
          <w:szCs w:val="52"/>
        </w:rPr>
      </w:pPr>
      <w:r>
        <w:rPr>
          <w:rFonts w:eastAsia="黑体"/>
          <w:b/>
          <w:color w:val="auto"/>
          <w:sz w:val="52"/>
          <w:szCs w:val="52"/>
        </w:rPr>
        <w:t>安全</w:t>
      </w:r>
      <w:r>
        <w:rPr>
          <w:rFonts w:hint="eastAsia" w:eastAsia="黑体"/>
          <w:b/>
          <w:color w:val="auto"/>
          <w:sz w:val="52"/>
          <w:szCs w:val="52"/>
          <w:lang w:val="en-US" w:eastAsia="zh-CN"/>
        </w:rPr>
        <w:t>预</w:t>
      </w:r>
      <w:r>
        <w:rPr>
          <w:rFonts w:eastAsia="黑体"/>
          <w:b/>
          <w:color w:val="auto"/>
          <w:sz w:val="52"/>
          <w:szCs w:val="52"/>
        </w:rPr>
        <w:t>评价报告</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黑体"/>
          <w:b/>
          <w:color w:val="auto"/>
          <w:sz w:val="44"/>
          <w:szCs w:val="44"/>
          <w:lang w:eastAsia="zh-CN"/>
        </w:rPr>
      </w:pPr>
      <w:r>
        <w:rPr>
          <w:rFonts w:hint="eastAsia" w:eastAsia="黑体"/>
          <w:b/>
          <w:color w:val="auto"/>
          <w:sz w:val="44"/>
          <w:szCs w:val="44"/>
          <w:lang w:eastAsia="zh-CN"/>
        </w:rPr>
        <w:t>（</w:t>
      </w:r>
      <w:r>
        <w:rPr>
          <w:rFonts w:hint="eastAsia" w:eastAsia="黑体"/>
          <w:b/>
          <w:color w:val="auto"/>
          <w:sz w:val="44"/>
          <w:szCs w:val="44"/>
          <w:lang w:val="en-US" w:eastAsia="zh-CN"/>
        </w:rPr>
        <w:t>终稿</w:t>
      </w:r>
      <w:r>
        <w:rPr>
          <w:rFonts w:hint="eastAsia" w:eastAsia="黑体"/>
          <w:b/>
          <w:color w:val="auto"/>
          <w:sz w:val="44"/>
          <w:szCs w:val="4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黑体"/>
          <w:b/>
          <w:color w:val="auto"/>
          <w:sz w:val="52"/>
          <w:szCs w:val="52"/>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黑体"/>
          <w:b/>
          <w:color w:val="auto"/>
          <w:sz w:val="52"/>
          <w:szCs w:val="52"/>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黑体"/>
          <w:b/>
          <w:color w:val="auto"/>
          <w:sz w:val="52"/>
          <w:szCs w:val="52"/>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黑体"/>
          <w:b/>
          <w:color w:val="auto"/>
          <w:sz w:val="52"/>
          <w:szCs w:val="52"/>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黑体"/>
          <w:b/>
          <w:color w:val="auto"/>
          <w:sz w:val="52"/>
          <w:szCs w:val="52"/>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黑体"/>
          <w:b/>
          <w:color w:val="auto"/>
          <w:sz w:val="52"/>
          <w:szCs w:val="52"/>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黑体"/>
          <w:b/>
          <w:color w:val="auto"/>
          <w:sz w:val="52"/>
          <w:szCs w:val="52"/>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eastAsia="黑体"/>
          <w:b/>
          <w:color w:val="auto"/>
          <w:sz w:val="52"/>
          <w:szCs w:val="52"/>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color w:val="auto"/>
          <w:sz w:val="44"/>
        </w:rPr>
      </w:pPr>
      <w:r>
        <w:rPr>
          <w:b/>
          <w:bCs/>
          <w:color w:val="auto"/>
          <w:sz w:val="44"/>
        </w:rPr>
        <w:t>江西赣安安全生产科学技术咨询服务中心</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32"/>
        </w:rPr>
      </w:pPr>
      <w:r>
        <w:rPr>
          <w:b/>
          <w:bCs/>
          <w:color w:val="auto"/>
          <w:sz w:val="32"/>
        </w:rPr>
        <w:t>APJ</w:t>
      </w:r>
      <w:r>
        <w:rPr>
          <w:rFonts w:hint="eastAsia"/>
          <w:b/>
          <w:bCs/>
          <w:color w:val="auto"/>
          <w:sz w:val="32"/>
        </w:rPr>
        <w:t>-（赣）-002</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32"/>
        </w:rPr>
      </w:pPr>
      <w:r>
        <w:rPr>
          <w:rFonts w:hint="eastAsia" w:hAnsi="宋体"/>
          <w:b/>
          <w:bCs/>
          <w:color w:val="auto"/>
          <w:sz w:val="32"/>
        </w:rPr>
        <w:t>202</w:t>
      </w:r>
      <w:r>
        <w:rPr>
          <w:rFonts w:hint="eastAsia" w:hAnsi="宋体"/>
          <w:b/>
          <w:bCs/>
          <w:color w:val="auto"/>
          <w:sz w:val="32"/>
          <w:lang w:val="en-US" w:eastAsia="zh-CN"/>
        </w:rPr>
        <w:t>2</w:t>
      </w:r>
      <w:r>
        <w:rPr>
          <w:rFonts w:hAnsi="宋体"/>
          <w:b/>
          <w:bCs/>
          <w:color w:val="auto"/>
          <w:sz w:val="32"/>
        </w:rPr>
        <w:t>年</w:t>
      </w:r>
      <w:r>
        <w:rPr>
          <w:rFonts w:hint="eastAsia" w:hAnsi="宋体"/>
          <w:b/>
          <w:bCs/>
          <w:color w:val="auto"/>
          <w:sz w:val="32"/>
          <w:lang w:val="en-US" w:eastAsia="zh-CN"/>
        </w:rPr>
        <w:t>4</w:t>
      </w:r>
      <w:r>
        <w:rPr>
          <w:rFonts w:hAnsi="宋体"/>
          <w:b/>
          <w:bCs/>
          <w:color w:val="auto"/>
          <w:sz w:val="32"/>
        </w:rPr>
        <w:t>月</w:t>
      </w:r>
      <w:r>
        <w:rPr>
          <w:rFonts w:hint="eastAsia" w:hAnsi="宋体"/>
          <w:b/>
          <w:bCs/>
          <w:color w:val="auto"/>
          <w:sz w:val="32"/>
          <w:lang w:val="en-US" w:eastAsia="zh-CN"/>
        </w:rPr>
        <w:t>1</w:t>
      </w:r>
      <w:r>
        <w:rPr>
          <w:rFonts w:hint="eastAsia" w:hAnsi="宋体"/>
          <w:b/>
          <w:bCs/>
          <w:color w:val="auto"/>
          <w:sz w:val="32"/>
        </w:rPr>
        <w:t>日</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b/>
          <w:color w:val="auto"/>
          <w:sz w:val="32"/>
          <w:szCs w:val="32"/>
        </w:rPr>
        <w:sectPr>
          <w:pgSz w:w="11906" w:h="16839"/>
          <w:pgMar w:top="1417" w:right="1417" w:bottom="1417" w:left="1417" w:header="850" w:footer="964" w:gutter="0"/>
          <w:pgNumType w:fmt="decimal"/>
          <w:cols w:space="425" w:num="1"/>
          <w:rtlGutter w:val="0"/>
          <w:docGrid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b/>
          <w:color w:val="auto"/>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b/>
          <w:color w:val="auto"/>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b/>
          <w:color w:val="auto"/>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32"/>
          <w:szCs w:val="32"/>
        </w:rPr>
      </w:pPr>
      <w:r>
        <w:rPr>
          <w:rFonts w:hint="eastAsia"/>
          <w:b/>
          <w:color w:val="auto"/>
          <w:sz w:val="32"/>
          <w:szCs w:val="32"/>
        </w:rPr>
        <w:t>于都小东坑矿业有限公司</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32"/>
          <w:szCs w:val="32"/>
        </w:rPr>
      </w:pPr>
      <w:r>
        <w:rPr>
          <w:rFonts w:hint="eastAsia"/>
          <w:b/>
          <w:color w:val="auto"/>
          <w:sz w:val="32"/>
          <w:szCs w:val="32"/>
        </w:rPr>
        <w:t>选矿厂工程建设项目</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color w:val="auto"/>
          <w:sz w:val="44"/>
          <w:szCs w:val="44"/>
        </w:rPr>
      </w:pPr>
      <w:r>
        <w:rPr>
          <w:rFonts w:hAnsi="宋体"/>
          <w:b/>
          <w:color w:val="auto"/>
          <w:sz w:val="44"/>
          <w:szCs w:val="44"/>
        </w:rPr>
        <w:t>安全</w:t>
      </w:r>
      <w:r>
        <w:rPr>
          <w:rFonts w:hint="eastAsia" w:hAnsi="宋体"/>
          <w:b/>
          <w:color w:val="auto"/>
          <w:sz w:val="44"/>
          <w:szCs w:val="44"/>
          <w:lang w:val="en-US" w:eastAsia="zh-CN"/>
        </w:rPr>
        <w:t>预</w:t>
      </w:r>
      <w:r>
        <w:rPr>
          <w:rFonts w:hAnsi="宋体"/>
          <w:b/>
          <w:color w:val="auto"/>
          <w:sz w:val="44"/>
          <w:szCs w:val="44"/>
        </w:rPr>
        <w:t>评价报告</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eastAsia="黑体"/>
          <w:b/>
          <w:color w:val="auto"/>
          <w:sz w:val="44"/>
          <w:szCs w:val="4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eastAsia="黑体"/>
          <w:b/>
          <w:color w:val="auto"/>
          <w:sz w:val="44"/>
          <w:szCs w:val="4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eastAsia="黑体"/>
          <w:b/>
          <w:color w:val="auto"/>
          <w:sz w:val="44"/>
          <w:szCs w:val="4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eastAsia="黑体"/>
          <w:b/>
          <w:color w:val="auto"/>
          <w:sz w:val="44"/>
          <w:szCs w:val="4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黑体"/>
          <w:b/>
          <w:color w:val="auto"/>
          <w:sz w:val="44"/>
          <w:szCs w:val="4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黑体"/>
          <w:b/>
          <w:color w:val="auto"/>
          <w:sz w:val="44"/>
          <w:szCs w:val="4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color w:val="auto"/>
          <w:lang w:eastAsia="zh-CN"/>
        </w:rPr>
      </w:pPr>
      <w:r>
        <w:rPr>
          <w:color w:val="auto"/>
        </w:rPr>
        <w:t>法</w:t>
      </w:r>
      <w:r>
        <w:rPr>
          <w:rFonts w:hint="eastAsia"/>
          <w:color w:val="auto"/>
        </w:rPr>
        <w:t xml:space="preserve"> 定 </w:t>
      </w:r>
      <w:r>
        <w:rPr>
          <w:color w:val="auto"/>
        </w:rPr>
        <w:t>代</w:t>
      </w:r>
      <w:r>
        <w:rPr>
          <w:rFonts w:hint="eastAsia"/>
          <w:color w:val="auto"/>
        </w:rPr>
        <w:t xml:space="preserve"> </w:t>
      </w:r>
      <w:r>
        <w:rPr>
          <w:color w:val="auto"/>
        </w:rPr>
        <w:t>表</w:t>
      </w:r>
      <w:r>
        <w:rPr>
          <w:rFonts w:hint="eastAsia"/>
          <w:color w:val="auto"/>
        </w:rPr>
        <w:t xml:space="preserve"> </w:t>
      </w:r>
      <w:r>
        <w:rPr>
          <w:color w:val="auto"/>
        </w:rPr>
        <w:t>人：</w:t>
      </w:r>
      <w:r>
        <w:rPr>
          <w:rFonts w:hint="eastAsia"/>
          <w:color w:val="auto"/>
          <w:lang w:val="en-US" w:eastAsia="zh-CN"/>
        </w:rPr>
        <w:t>朱文华</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rPr>
      </w:pPr>
      <w:r>
        <w:rPr>
          <w:color w:val="auto"/>
        </w:rPr>
        <w:t>技</w:t>
      </w:r>
      <w:r>
        <w:rPr>
          <w:rFonts w:hint="eastAsia"/>
          <w:color w:val="auto"/>
        </w:rPr>
        <w:t xml:space="preserve"> </w:t>
      </w:r>
      <w:r>
        <w:rPr>
          <w:color w:val="auto"/>
        </w:rPr>
        <w:t>术</w:t>
      </w:r>
      <w:r>
        <w:rPr>
          <w:rFonts w:hint="eastAsia"/>
          <w:color w:val="auto"/>
        </w:rPr>
        <w:t xml:space="preserve"> </w:t>
      </w:r>
      <w:r>
        <w:rPr>
          <w:color w:val="auto"/>
        </w:rPr>
        <w:t>负</w:t>
      </w:r>
      <w:r>
        <w:rPr>
          <w:rFonts w:hint="eastAsia"/>
          <w:color w:val="auto"/>
        </w:rPr>
        <w:t xml:space="preserve"> </w:t>
      </w:r>
      <w:r>
        <w:rPr>
          <w:color w:val="auto"/>
        </w:rPr>
        <w:t>责</w:t>
      </w:r>
      <w:r>
        <w:rPr>
          <w:rFonts w:hint="eastAsia"/>
          <w:color w:val="auto"/>
        </w:rPr>
        <w:t xml:space="preserve"> </w:t>
      </w:r>
      <w:r>
        <w:rPr>
          <w:color w:val="auto"/>
        </w:rPr>
        <w:t>人：</w:t>
      </w:r>
      <w:r>
        <w:rPr>
          <w:rFonts w:hint="eastAsia"/>
          <w:color w:val="auto"/>
        </w:rPr>
        <w:t>管自强</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rPr>
      </w:pPr>
      <w:r>
        <w:rPr>
          <w:color w:val="auto"/>
        </w:rPr>
        <w:t>评价项目负责人：</w:t>
      </w:r>
      <w:r>
        <w:rPr>
          <w:rFonts w:hint="eastAsia"/>
          <w:color w:val="auto"/>
        </w:rPr>
        <w:t>管自强</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rPr>
      </w:pPr>
      <w:r>
        <w:rPr>
          <w:b/>
          <w:bCs/>
          <w:color w:val="auto"/>
          <w:sz w:val="24"/>
        </w:rPr>
        <w:t>评价报告完成日期：</w:t>
      </w:r>
      <w:r>
        <w:rPr>
          <w:rFonts w:hint="eastAsia" w:hAnsi="宋体"/>
          <w:b/>
          <w:bCs/>
          <w:color w:val="auto"/>
          <w:spacing w:val="20"/>
          <w:sz w:val="24"/>
        </w:rPr>
        <w:t>202</w:t>
      </w:r>
      <w:r>
        <w:rPr>
          <w:rFonts w:hint="eastAsia" w:hAnsi="宋体"/>
          <w:b/>
          <w:bCs/>
          <w:color w:val="auto"/>
          <w:spacing w:val="20"/>
          <w:sz w:val="24"/>
          <w:lang w:val="en-US" w:eastAsia="zh-CN"/>
        </w:rPr>
        <w:t>2</w:t>
      </w:r>
      <w:r>
        <w:rPr>
          <w:rFonts w:hint="eastAsia" w:hAnsi="宋体"/>
          <w:b/>
          <w:bCs/>
          <w:color w:val="auto"/>
          <w:spacing w:val="20"/>
          <w:sz w:val="24"/>
        </w:rPr>
        <w:t>年</w:t>
      </w:r>
      <w:r>
        <w:rPr>
          <w:rFonts w:hint="eastAsia" w:hAnsi="宋体"/>
          <w:b/>
          <w:bCs/>
          <w:color w:val="auto"/>
          <w:spacing w:val="20"/>
          <w:sz w:val="24"/>
          <w:lang w:val="en-US" w:eastAsia="zh-CN"/>
        </w:rPr>
        <w:t>4</w:t>
      </w:r>
      <w:r>
        <w:rPr>
          <w:rFonts w:hint="eastAsia" w:hAnsi="宋体"/>
          <w:b/>
          <w:bCs/>
          <w:color w:val="auto"/>
          <w:spacing w:val="20"/>
          <w:sz w:val="24"/>
        </w:rPr>
        <w:t>月</w:t>
      </w:r>
      <w:r>
        <w:rPr>
          <w:rFonts w:hint="eastAsia" w:hAnsi="宋体"/>
          <w:b/>
          <w:bCs/>
          <w:color w:val="auto"/>
          <w:spacing w:val="20"/>
          <w:sz w:val="24"/>
          <w:lang w:val="en-US" w:eastAsia="zh-CN"/>
        </w:rPr>
        <w:t>1</w:t>
      </w:r>
      <w:r>
        <w:rPr>
          <w:rFonts w:hint="eastAsia" w:hAnsi="宋体"/>
          <w:b/>
          <w:bCs/>
          <w:color w:val="auto"/>
          <w:spacing w:val="20"/>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b/>
          <w:color w:val="auto"/>
          <w:sz w:val="32"/>
          <w:szCs w:val="32"/>
        </w:rPr>
      </w:pPr>
      <w:r>
        <w:rPr>
          <w:b/>
          <w:color w:val="auto"/>
          <w:sz w:val="32"/>
          <w:szCs w:val="32"/>
        </w:rPr>
        <w:br w:type="page"/>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eastAsia" w:ascii="宋体" w:hAnsi="宋体"/>
          <w:color w:val="auto"/>
          <w:sz w:val="36"/>
          <w:szCs w:val="36"/>
        </w:rPr>
      </w:pPr>
      <w:r>
        <w:rPr>
          <w:rFonts w:hint="eastAsia" w:ascii="宋体" w:hAnsi="宋体"/>
          <w:color w:val="auto"/>
          <w:sz w:val="36"/>
          <w:szCs w:val="36"/>
        </w:rPr>
        <w:t>于都小东坑矿业有限公司</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eastAsia" w:ascii="宋体" w:hAnsi="宋体"/>
          <w:color w:val="auto"/>
          <w:sz w:val="36"/>
          <w:szCs w:val="36"/>
        </w:rPr>
      </w:pPr>
      <w:r>
        <w:rPr>
          <w:rFonts w:hint="eastAsia" w:ascii="宋体" w:hAnsi="宋体"/>
          <w:color w:val="auto"/>
          <w:sz w:val="36"/>
          <w:szCs w:val="36"/>
        </w:rPr>
        <w:t>选矿厂工程建设项目</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eastAsia" w:ascii="宋体" w:hAnsi="宋体" w:cs="宋体"/>
          <w:color w:val="auto"/>
          <w:kern w:val="0"/>
          <w:sz w:val="36"/>
          <w:szCs w:val="36"/>
        </w:rPr>
      </w:pPr>
      <w:r>
        <w:rPr>
          <w:rFonts w:hint="eastAsia" w:ascii="宋体" w:hAnsi="宋体" w:cs="宋体"/>
          <w:color w:val="auto"/>
          <w:kern w:val="0"/>
          <w:sz w:val="36"/>
          <w:szCs w:val="36"/>
        </w:rPr>
        <w:t>安全</w:t>
      </w:r>
      <w:r>
        <w:rPr>
          <w:rFonts w:hint="eastAsia" w:ascii="宋体" w:hAnsi="宋体" w:cs="宋体"/>
          <w:color w:val="auto"/>
          <w:kern w:val="0"/>
          <w:sz w:val="36"/>
          <w:szCs w:val="36"/>
          <w:lang w:val="en-US" w:eastAsia="zh-CN"/>
        </w:rPr>
        <w:t>预</w:t>
      </w:r>
      <w:r>
        <w:rPr>
          <w:rFonts w:ascii="宋体" w:hAnsi="宋体" w:cs="宋体"/>
          <w:color w:val="auto"/>
          <w:kern w:val="0"/>
          <w:sz w:val="36"/>
          <w:szCs w:val="36"/>
        </w:rPr>
        <w:t>评价</w:t>
      </w:r>
      <w:r>
        <w:rPr>
          <w:rFonts w:hint="eastAsia" w:ascii="宋体" w:hAnsi="宋体" w:cs="宋体"/>
          <w:color w:val="auto"/>
          <w:kern w:val="0"/>
          <w:sz w:val="36"/>
          <w:szCs w:val="36"/>
        </w:rPr>
        <w:t>技术服务</w:t>
      </w:r>
      <w:r>
        <w:rPr>
          <w:rFonts w:ascii="宋体" w:hAnsi="宋体" w:cs="宋体"/>
          <w:color w:val="auto"/>
          <w:kern w:val="0"/>
          <w:sz w:val="36"/>
          <w:szCs w:val="36"/>
        </w:rPr>
        <w:t>承诺书</w:t>
      </w:r>
    </w:p>
    <w:p>
      <w:pPr>
        <w:keepNext w:val="0"/>
        <w:keepLines w:val="0"/>
        <w:pageBreakBefore w:val="0"/>
        <w:widowControl/>
        <w:kinsoku/>
        <w:wordWrap/>
        <w:overflowPunct/>
        <w:topLinePunct w:val="0"/>
        <w:autoSpaceDE/>
        <w:autoSpaceDN/>
        <w:bidi w:val="0"/>
        <w:adjustRightInd/>
        <w:snapToGrid/>
        <w:spacing w:line="480" w:lineRule="auto"/>
        <w:ind w:firstLine="640" w:firstLineChars="200"/>
        <w:textAlignment w:val="auto"/>
        <w:rPr>
          <w:rFonts w:hint="eastAsia" w:ascii="仿宋" w:hAnsi="仿宋" w:eastAsia="仿宋" w:cs="宋体"/>
          <w:color w:val="auto"/>
          <w:kern w:val="0"/>
          <w:sz w:val="32"/>
          <w:szCs w:val="32"/>
        </w:rPr>
      </w:pPr>
      <w:r>
        <w:rPr>
          <w:rFonts w:hint="eastAsia" w:ascii="仿宋" w:hAnsi="仿宋" w:eastAsia="仿宋" w:cs="宋体"/>
          <w:color w:val="auto"/>
          <w:kern w:val="0"/>
          <w:sz w:val="32"/>
          <w:szCs w:val="32"/>
        </w:rPr>
        <w:t>一、在本项目安全评价活动过程中，我单位严格遵守《安全生产法》及相关法律、法规和标准的要求。</w:t>
      </w:r>
    </w:p>
    <w:p>
      <w:pPr>
        <w:keepNext w:val="0"/>
        <w:keepLines w:val="0"/>
        <w:pageBreakBefore w:val="0"/>
        <w:widowControl/>
        <w:kinsoku/>
        <w:wordWrap/>
        <w:overflowPunct/>
        <w:topLinePunct w:val="0"/>
        <w:autoSpaceDE/>
        <w:autoSpaceDN/>
        <w:bidi w:val="0"/>
        <w:adjustRightInd/>
        <w:snapToGrid/>
        <w:spacing w:line="480" w:lineRule="auto"/>
        <w:ind w:firstLine="640" w:firstLineChars="200"/>
        <w:textAlignment w:val="auto"/>
        <w:rPr>
          <w:rFonts w:hint="eastAsia" w:ascii="宋体" w:hAnsi="宋体" w:cs="宋体"/>
          <w:color w:val="auto"/>
          <w:kern w:val="0"/>
          <w:sz w:val="36"/>
          <w:szCs w:val="36"/>
        </w:rPr>
      </w:pPr>
      <w:r>
        <w:rPr>
          <w:rFonts w:hint="eastAsia" w:ascii="仿宋" w:hAnsi="仿宋" w:eastAsia="仿宋" w:cs="宋体"/>
          <w:color w:val="auto"/>
          <w:kern w:val="0"/>
          <w:sz w:val="32"/>
          <w:szCs w:val="32"/>
        </w:rPr>
        <w:t>二、在本项目安全评价活动过程中，我单位作为第三方，未受到任何组织和个人的干预和影响，依法独立开展工作，保证了技术服务活动的客观公正性。</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宋体"/>
          <w:color w:val="auto"/>
          <w:kern w:val="0"/>
          <w:sz w:val="32"/>
          <w:szCs w:val="32"/>
        </w:rPr>
      </w:pPr>
      <w:r>
        <w:rPr>
          <w:rFonts w:hint="eastAsia" w:ascii="仿宋" w:hAnsi="仿宋" w:eastAsia="仿宋" w:cs="宋体"/>
          <w:color w:val="auto"/>
          <w:kern w:val="0"/>
          <w:sz w:val="32"/>
          <w:szCs w:val="32"/>
        </w:rPr>
        <w:t>三、我单位按照实事求是的原则，对本项目进行安全评价，确保出具的报告均真实有效，报告所提出的措施具有针对性、有效性和可行性。</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宋体"/>
          <w:color w:val="auto"/>
          <w:kern w:val="0"/>
          <w:sz w:val="32"/>
          <w:szCs w:val="32"/>
        </w:rPr>
      </w:pPr>
      <w:r>
        <w:rPr>
          <w:rFonts w:hint="eastAsia" w:ascii="仿宋" w:hAnsi="仿宋" w:eastAsia="仿宋" w:cs="宋体"/>
          <w:color w:val="auto"/>
          <w:kern w:val="0"/>
          <w:sz w:val="32"/>
          <w:szCs w:val="32"/>
        </w:rPr>
        <w:t>四、我单位对本项目安全评价报告中结论性内容承担法律责任。</w:t>
      </w:r>
    </w:p>
    <w:p>
      <w:pPr>
        <w:bidi w:val="0"/>
        <w:rPr>
          <w:rFonts w:hint="eastAsia"/>
          <w:color w:val="auto"/>
        </w:rPr>
      </w:pPr>
    </w:p>
    <w:p>
      <w:pPr>
        <w:bidi w:val="0"/>
        <w:rPr>
          <w:rFonts w:hint="eastAsia"/>
          <w:color w:val="auto"/>
        </w:rPr>
      </w:pPr>
    </w:p>
    <w:p>
      <w:pPr>
        <w:widowControl/>
        <w:spacing w:before="100" w:beforeAutospacing="1" w:after="100" w:afterAutospacing="1" w:line="425" w:lineRule="auto"/>
        <w:ind w:left="5258" w:leftChars="228" w:hanging="4620" w:hangingChars="1650"/>
        <w:jc w:val="right"/>
        <w:rPr>
          <w:color w:val="auto"/>
          <w:kern w:val="0"/>
          <w:szCs w:val="28"/>
        </w:rPr>
      </w:pPr>
      <w:r>
        <w:rPr>
          <w:color w:val="auto"/>
          <w:szCs w:val="28"/>
        </w:rPr>
        <w:t>江西赣安安全生产科学技术咨询服务中心</w:t>
      </w:r>
    </w:p>
    <w:p>
      <w:pPr>
        <w:keepNext w:val="0"/>
        <w:keepLines w:val="0"/>
        <w:pageBreakBefore w:val="0"/>
        <w:widowControl/>
        <w:kinsoku/>
        <w:wordWrap/>
        <w:overflowPunct/>
        <w:topLinePunct w:val="0"/>
        <w:autoSpaceDE/>
        <w:autoSpaceDN/>
        <w:bidi w:val="0"/>
        <w:adjustRightInd/>
        <w:snapToGrid/>
        <w:spacing w:beforeAutospacing="0" w:afterAutospacing="0" w:line="720" w:lineRule="exact"/>
        <w:ind w:firstLine="0" w:firstLineChars="0"/>
        <w:jc w:val="center"/>
        <w:textAlignment w:val="auto"/>
        <w:rPr>
          <w:rFonts w:hint="default" w:ascii="Times New Roman" w:hAnsi="Times New Roman" w:eastAsia="微软雅黑" w:cs="Times New Roman"/>
          <w:color w:val="auto"/>
          <w:sz w:val="18"/>
          <w:szCs w:val="18"/>
        </w:rPr>
      </w:pPr>
      <w:r>
        <w:rPr>
          <w:rFonts w:hint="eastAsia"/>
          <w:color w:val="auto"/>
          <w:kern w:val="0"/>
          <w:szCs w:val="28"/>
          <w:lang w:val="en-US" w:eastAsia="zh-CN"/>
        </w:rPr>
        <w:t xml:space="preserve">                              </w:t>
      </w:r>
      <w:r>
        <w:rPr>
          <w:color w:val="auto"/>
          <w:kern w:val="0"/>
          <w:szCs w:val="28"/>
        </w:rPr>
        <w:t>202</w:t>
      </w:r>
      <w:r>
        <w:rPr>
          <w:rFonts w:hint="eastAsia"/>
          <w:color w:val="auto"/>
          <w:kern w:val="0"/>
          <w:szCs w:val="28"/>
          <w:lang w:val="en-US" w:eastAsia="zh-CN"/>
        </w:rPr>
        <w:t>2</w:t>
      </w:r>
      <w:r>
        <w:rPr>
          <w:rFonts w:hAnsi="宋体"/>
          <w:color w:val="auto"/>
          <w:kern w:val="0"/>
          <w:szCs w:val="28"/>
        </w:rPr>
        <w:t>年</w:t>
      </w:r>
      <w:r>
        <w:rPr>
          <w:rFonts w:hint="eastAsia" w:hAnsi="宋体"/>
          <w:color w:val="auto"/>
          <w:kern w:val="0"/>
          <w:szCs w:val="28"/>
          <w:lang w:val="en-US" w:eastAsia="zh-CN"/>
        </w:rPr>
        <w:t>4</w:t>
      </w:r>
      <w:r>
        <w:rPr>
          <w:rFonts w:hAnsi="宋体"/>
          <w:color w:val="auto"/>
          <w:kern w:val="0"/>
          <w:szCs w:val="28"/>
        </w:rPr>
        <w:t>月</w:t>
      </w:r>
      <w:r>
        <w:rPr>
          <w:rFonts w:hint="eastAsia"/>
          <w:color w:val="auto"/>
          <w:kern w:val="0"/>
          <w:szCs w:val="28"/>
          <w:lang w:val="en-US" w:eastAsia="zh-CN"/>
        </w:rPr>
        <w:t>1</w:t>
      </w:r>
      <w:r>
        <w:rPr>
          <w:rFonts w:hAnsi="宋体"/>
          <w:color w:val="auto"/>
          <w:kern w:val="0"/>
          <w:szCs w:val="28"/>
        </w:rPr>
        <w:t>日</w:t>
      </w:r>
      <w:r>
        <w:rPr>
          <w:b/>
          <w:color w:val="auto"/>
          <w:szCs w:val="28"/>
        </w:rPr>
        <w:br w:type="page"/>
      </w:r>
      <w:r>
        <w:rPr>
          <w:rFonts w:hint="default" w:ascii="Times New Roman" w:hAnsi="Times New Roman" w:eastAsia="方正小标宋简体" w:cs="Times New Roman"/>
          <w:color w:val="auto"/>
          <w:sz w:val="44"/>
          <w:szCs w:val="44"/>
        </w:rPr>
        <w:t>规范安全生产中介行为的九条禁令</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420" w:lineRule="auto"/>
        <w:ind w:firstLine="640" w:firstLineChars="200"/>
        <w:textAlignment w:val="auto"/>
        <w:rPr>
          <w:rFonts w:hint="default" w:ascii="Times New Roman" w:hAnsi="Times New Roman" w:cs="Times New Roman"/>
          <w:color w:val="auto"/>
          <w:sz w:val="32"/>
          <w:szCs w:val="32"/>
        </w:rPr>
      </w:pP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96" w:lineRule="auto"/>
        <w:ind w:firstLine="640" w:firstLineChars="200"/>
        <w:textAlignment w:val="auto"/>
        <w:rPr>
          <w:rFonts w:hint="default" w:ascii="Times New Roman" w:hAnsi="Times New Roman" w:cs="Times New Roman"/>
          <w:color w:val="auto"/>
          <w:sz w:val="32"/>
          <w:szCs w:val="32"/>
        </w:rPr>
      </w:pPr>
      <w:r>
        <w:rPr>
          <w:rFonts w:hint="default" w:ascii="Times New Roman" w:hAnsi="Times New Roman" w:cs="Times New Roman"/>
          <w:color w:val="auto"/>
          <w:sz w:val="32"/>
          <w:szCs w:val="32"/>
        </w:rPr>
        <w:t>一、禁止从事安全生产和职业卫生服务的中介服务机构（以下统称中介机构）租借资质证书、非法挂靠、转包服务项目的行为；</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96" w:lineRule="auto"/>
        <w:ind w:firstLine="640" w:firstLineChars="20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32"/>
          <w:szCs w:val="32"/>
        </w:rPr>
        <w:t>二、禁止中介机构假借、冒用他人名义要求服务对象接受有偿服务，或者恶意低价竞争以及采取串标、围标等不正当竞争手段，扰乱技术服务市场秩序的行为；</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96" w:lineRule="auto"/>
        <w:ind w:firstLine="640" w:firstLineChars="20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32"/>
          <w:szCs w:val="32"/>
        </w:rPr>
        <w:t>三、禁止中介机构出具虚假或漏项、缺项技术报告的行为；</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96" w:lineRule="auto"/>
        <w:ind w:firstLine="640" w:firstLineChars="200"/>
        <w:textAlignment w:val="auto"/>
        <w:rPr>
          <w:rFonts w:hint="default" w:ascii="Times New Roman" w:hAnsi="Times New Roman" w:cs="Times New Roman"/>
          <w:color w:val="auto"/>
          <w:sz w:val="32"/>
          <w:szCs w:val="32"/>
        </w:rPr>
      </w:pPr>
      <w:r>
        <w:rPr>
          <w:rFonts w:hint="default" w:ascii="Times New Roman" w:hAnsi="Times New Roman" w:cs="Times New Roman"/>
          <w:color w:val="auto"/>
          <w:sz w:val="32"/>
          <w:szCs w:val="32"/>
        </w:rPr>
        <w:t>四、禁止中介机构出租、出借资格证书、在报告上冒用他人签名的行为；</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96" w:lineRule="auto"/>
        <w:ind w:firstLine="640" w:firstLineChars="20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32"/>
          <w:szCs w:val="32"/>
        </w:rPr>
        <w:t>五、禁止中介机构有应到而不到现场开展技术服务的行为；</w:t>
      </w:r>
      <w:r>
        <w:rPr>
          <w:rFonts w:hint="default" w:ascii="Times New Roman" w:hAnsi="Times New Roman" w:cs="Times New Roman"/>
          <w:color w:val="auto"/>
          <w:sz w:val="18"/>
          <w:szCs w:val="18"/>
        </w:rPr>
        <w:t xml:space="preserve"> </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96" w:lineRule="auto"/>
        <w:ind w:firstLine="640" w:firstLineChars="20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32"/>
          <w:szCs w:val="32"/>
        </w:rPr>
        <w:t>六、禁止安全生产监管部门及其工作人员要求生产经营单位接受指定的中介机构开展技术服务的行为；</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96" w:lineRule="auto"/>
        <w:ind w:firstLine="640" w:firstLineChars="20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32"/>
          <w:szCs w:val="32"/>
        </w:rPr>
        <w:t>七、禁止安全生产监管部门及其工作人员没有法律依据组织由生产经营单位或机构支付费用的行政性评审的行为；</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96" w:lineRule="auto"/>
        <w:ind w:firstLine="640" w:firstLineChars="200"/>
        <w:textAlignment w:val="auto"/>
        <w:rPr>
          <w:rFonts w:hint="default" w:ascii="Times New Roman" w:hAnsi="Times New Roman" w:cs="Times New Roman"/>
          <w:color w:val="auto"/>
          <w:sz w:val="32"/>
          <w:szCs w:val="32"/>
        </w:rPr>
      </w:pPr>
      <w:r>
        <w:rPr>
          <w:rFonts w:hint="default" w:ascii="Times New Roman" w:hAnsi="Times New Roman" w:cs="Times New Roman"/>
          <w:color w:val="auto"/>
          <w:sz w:val="32"/>
          <w:szCs w:val="32"/>
        </w:rPr>
        <w:t>八、禁止安全生产监管部门及其工作人员干预市场定价，违规擅自出台技术服务收费标准的行为；</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96" w:lineRule="auto"/>
        <w:ind w:firstLine="640" w:firstLineChars="200"/>
        <w:textAlignment w:val="auto"/>
        <w:rPr>
          <w:rFonts w:hint="default" w:ascii="Times New Roman" w:hAnsi="Times New Roman" w:cs="Times New Roman"/>
          <w:color w:val="auto"/>
          <w:sz w:val="32"/>
          <w:szCs w:val="32"/>
        </w:rPr>
      </w:pPr>
      <w:r>
        <w:rPr>
          <w:rFonts w:hint="default" w:ascii="Times New Roman" w:hAnsi="Times New Roman" w:cs="Times New Roman"/>
          <w:color w:val="auto"/>
          <w:sz w:val="32"/>
          <w:szCs w:val="32"/>
        </w:rPr>
        <w:t>九、禁止安全生产监管部门及其工作人员参与、擅自干预中介机构从业活动，或者有获取不正当利益的行为。</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eastAsia="黑体" w:cs="Times New Roman"/>
          <w:b/>
          <w:color w:val="auto"/>
          <w:sz w:val="32"/>
          <w:szCs w:val="32"/>
        </w:rPr>
      </w:pPr>
      <w:r>
        <w:rPr>
          <w:rFonts w:ascii="Times New Roman" w:hAnsi="Times New Roman" w:eastAsia="黑体" w:cs="Times New Roman"/>
          <w:b/>
          <w:color w:val="auto"/>
          <w:sz w:val="32"/>
          <w:szCs w:val="32"/>
        </w:rPr>
        <w:t>评 价 人 员</w:t>
      </w:r>
    </w:p>
    <w:p>
      <w:pPr>
        <w:bidi w:val="0"/>
        <w:rPr>
          <w:color w:val="auto"/>
        </w:rPr>
      </w:pPr>
    </w:p>
    <w:p>
      <w:pPr>
        <w:bidi w:val="0"/>
        <w:rPr>
          <w:color w:val="auto"/>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1290"/>
        <w:gridCol w:w="3018"/>
        <w:gridCol w:w="1564"/>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9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姓  名</w:t>
            </w:r>
          </w:p>
        </w:tc>
        <w:tc>
          <w:tcPr>
            <w:tcW w:w="3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证书编号</w:t>
            </w:r>
          </w:p>
        </w:tc>
        <w:tc>
          <w:tcPr>
            <w:tcW w:w="15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从业登记号</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9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项目负责人</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cs="Times New Roman"/>
                <w:color w:val="auto"/>
                <w:sz w:val="24"/>
                <w:lang w:val="en-US" w:eastAsia="zh-CN"/>
              </w:rPr>
              <w:t>管自强</w:t>
            </w:r>
          </w:p>
        </w:tc>
        <w:tc>
          <w:tcPr>
            <w:tcW w:w="3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S011035000110191000614</w:t>
            </w:r>
          </w:p>
        </w:tc>
        <w:tc>
          <w:tcPr>
            <w:tcW w:w="15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020516</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1947"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项目组成员</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许玉才</w:t>
            </w:r>
          </w:p>
        </w:tc>
        <w:tc>
          <w:tcPr>
            <w:tcW w:w="3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1800000000200658</w:t>
            </w:r>
          </w:p>
        </w:tc>
        <w:tc>
          <w:tcPr>
            <w:tcW w:w="15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033460</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94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方忠业</w:t>
            </w:r>
          </w:p>
        </w:tc>
        <w:tc>
          <w:tcPr>
            <w:tcW w:w="3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1600000000200082</w:t>
            </w:r>
          </w:p>
        </w:tc>
        <w:tc>
          <w:tcPr>
            <w:tcW w:w="15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029926</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94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黄伯扬</w:t>
            </w:r>
          </w:p>
        </w:tc>
        <w:tc>
          <w:tcPr>
            <w:tcW w:w="3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w:t>
            </w:r>
            <w:r>
              <w:rPr>
                <w:rFonts w:hint="default" w:ascii="Times New Roman" w:hAnsi="Times New Roman" w:eastAsia="宋体" w:cs="Times New Roman"/>
                <w:color w:val="auto"/>
                <w:sz w:val="24"/>
              </w:rPr>
              <w:t>800000000</w:t>
            </w:r>
            <w:r>
              <w:rPr>
                <w:rFonts w:hint="default" w:ascii="Times New Roman" w:hAnsi="Times New Roman" w:cs="Times New Roman"/>
                <w:color w:val="auto"/>
                <w:sz w:val="24"/>
                <w:lang w:val="en-US" w:eastAsia="zh-CN"/>
              </w:rPr>
              <w:t>3</w:t>
            </w:r>
            <w:r>
              <w:rPr>
                <w:rFonts w:hint="default" w:ascii="Times New Roman" w:hAnsi="Times New Roman" w:eastAsia="宋体" w:cs="Times New Roman"/>
                <w:color w:val="auto"/>
                <w:sz w:val="24"/>
              </w:rPr>
              <w:t>0</w:t>
            </w:r>
            <w:r>
              <w:rPr>
                <w:rFonts w:hint="default" w:ascii="Times New Roman" w:hAnsi="Times New Roman" w:cs="Times New Roman"/>
                <w:color w:val="auto"/>
                <w:sz w:val="24"/>
                <w:lang w:val="en-US" w:eastAsia="zh-CN"/>
              </w:rPr>
              <w:t>0643</w:t>
            </w:r>
          </w:p>
        </w:tc>
        <w:tc>
          <w:tcPr>
            <w:tcW w:w="15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032737</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94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王纪鹏</w:t>
            </w:r>
          </w:p>
        </w:tc>
        <w:tc>
          <w:tcPr>
            <w:tcW w:w="3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S01103500011019</w:t>
            </w:r>
            <w:r>
              <w:rPr>
                <w:rFonts w:hint="default" w:ascii="Times New Roman" w:hAnsi="Times New Roman" w:cs="Times New Roman"/>
                <w:color w:val="auto"/>
                <w:sz w:val="24"/>
                <w:lang w:val="en-US" w:eastAsia="zh-CN"/>
              </w:rPr>
              <w:t>2</w:t>
            </w:r>
            <w:r>
              <w:rPr>
                <w:rFonts w:hint="default" w:ascii="Times New Roman" w:hAnsi="Times New Roman" w:eastAsia="宋体" w:cs="Times New Roman"/>
                <w:color w:val="auto"/>
                <w:sz w:val="24"/>
              </w:rPr>
              <w:t>00</w:t>
            </w:r>
            <w:r>
              <w:rPr>
                <w:rFonts w:hint="default" w:ascii="Times New Roman" w:hAnsi="Times New Roman" w:cs="Times New Roman"/>
                <w:color w:val="auto"/>
                <w:sz w:val="24"/>
                <w:lang w:val="en-US" w:eastAsia="zh-CN"/>
              </w:rPr>
              <w:t>155</w:t>
            </w:r>
            <w:r>
              <w:rPr>
                <w:rFonts w:hint="eastAsia" w:cs="Times New Roman"/>
                <w:color w:val="auto"/>
                <w:sz w:val="24"/>
                <w:lang w:val="en-US" w:eastAsia="zh-CN"/>
              </w:rPr>
              <w:t>2</w:t>
            </w:r>
          </w:p>
        </w:tc>
        <w:tc>
          <w:tcPr>
            <w:tcW w:w="15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036830</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94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管自强</w:t>
            </w:r>
          </w:p>
        </w:tc>
        <w:tc>
          <w:tcPr>
            <w:tcW w:w="3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rPr>
              <w:t>S011035000110191000614</w:t>
            </w:r>
          </w:p>
        </w:tc>
        <w:tc>
          <w:tcPr>
            <w:tcW w:w="15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rPr>
              <w:t>020516</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1947"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报告编制人</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许玉才</w:t>
            </w:r>
          </w:p>
        </w:tc>
        <w:tc>
          <w:tcPr>
            <w:tcW w:w="3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1800000000200658</w:t>
            </w:r>
          </w:p>
        </w:tc>
        <w:tc>
          <w:tcPr>
            <w:tcW w:w="15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033460</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9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报告审核人</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戴磷</w:t>
            </w:r>
          </w:p>
        </w:tc>
        <w:tc>
          <w:tcPr>
            <w:tcW w:w="3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1100000000200597</w:t>
            </w:r>
          </w:p>
        </w:tc>
        <w:tc>
          <w:tcPr>
            <w:tcW w:w="15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019915</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9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过程控制负责</w:t>
            </w:r>
            <w:r>
              <w:rPr>
                <w:rFonts w:hint="eastAsia" w:ascii="Times New Roman" w:hAnsi="Times New Roman" w:cs="Times New Roman"/>
                <w:color w:val="auto"/>
                <w:sz w:val="24"/>
                <w:lang w:val="en-US" w:eastAsia="zh-CN"/>
              </w:rPr>
              <w:t>人</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檀廷斌</w:t>
            </w:r>
          </w:p>
        </w:tc>
        <w:tc>
          <w:tcPr>
            <w:tcW w:w="3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1600000000200717</w:t>
            </w:r>
          </w:p>
        </w:tc>
        <w:tc>
          <w:tcPr>
            <w:tcW w:w="15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029648</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exact"/>
          <w:jc w:val="center"/>
        </w:trPr>
        <w:tc>
          <w:tcPr>
            <w:tcW w:w="19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技术负责人</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管自强</w:t>
            </w:r>
          </w:p>
        </w:tc>
        <w:tc>
          <w:tcPr>
            <w:tcW w:w="3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S011035000110191000614</w:t>
            </w:r>
          </w:p>
        </w:tc>
        <w:tc>
          <w:tcPr>
            <w:tcW w:w="15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020516</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bl>
    <w:p>
      <w:pPr>
        <w:bidi w:val="0"/>
        <w:rPr>
          <w:color w:val="auto"/>
        </w:rPr>
      </w:pPr>
    </w:p>
    <w:p>
      <w:pPr>
        <w:bidi w:val="0"/>
        <w:rPr>
          <w:color w:val="auto"/>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bCs/>
          <w:color w:val="auto"/>
          <w:sz w:val="32"/>
          <w:szCs w:val="32"/>
        </w:rPr>
      </w:pPr>
      <w:r>
        <w:rPr>
          <w:rFonts w:ascii="宋体" w:hAnsi="宋体"/>
          <w:color w:val="auto"/>
          <w:sz w:val="28"/>
          <w:szCs w:val="28"/>
        </w:rPr>
        <w:br w:type="page"/>
      </w:r>
      <w:r>
        <w:rPr>
          <w:rFonts w:hint="eastAsia" w:ascii="黑体" w:hAnsi="黑体" w:eastAsia="黑体" w:cs="黑体"/>
          <w:b/>
          <w:bCs/>
          <w:color w:val="auto"/>
          <w:sz w:val="32"/>
          <w:szCs w:val="32"/>
        </w:rPr>
        <w:t>前    言</w:t>
      </w:r>
    </w:p>
    <w:p>
      <w:pPr>
        <w:bidi w:val="0"/>
        <w:rPr>
          <w:rFonts w:hint="eastAsia" w:eastAsia="宋体"/>
          <w:color w:val="auto"/>
          <w:lang w:eastAsia="zh-CN"/>
        </w:rPr>
      </w:pPr>
      <w:r>
        <w:rPr>
          <w:rFonts w:hint="eastAsia"/>
          <w:color w:val="auto"/>
        </w:rPr>
        <w:t>于都小东坑矿业有限公司成立于2008年07月14日，注册地位于江西省赣州市于都县罗江乡筀竹村，统一社会信用代码：91360731674998356C，</w:t>
      </w:r>
      <w:r>
        <w:rPr>
          <w:rFonts w:hint="eastAsia"/>
          <w:color w:val="auto"/>
          <w:lang w:val="en-US" w:eastAsia="zh-CN"/>
        </w:rPr>
        <w:t>企业</w:t>
      </w:r>
      <w:r>
        <w:rPr>
          <w:rFonts w:hint="eastAsia"/>
          <w:color w:val="auto"/>
        </w:rPr>
        <w:t>类型</w:t>
      </w:r>
      <w:r>
        <w:rPr>
          <w:rFonts w:hint="eastAsia"/>
          <w:color w:val="auto"/>
          <w:lang w:eastAsia="zh-CN"/>
        </w:rPr>
        <w:t>：</w:t>
      </w:r>
      <w:r>
        <w:rPr>
          <w:rFonts w:hint="eastAsia"/>
          <w:color w:val="auto"/>
        </w:rPr>
        <w:t>有限责任公司</w:t>
      </w:r>
      <w:r>
        <w:rPr>
          <w:rFonts w:hint="eastAsia"/>
          <w:color w:val="auto"/>
          <w:lang w:eastAsia="zh-CN"/>
        </w:rPr>
        <w:t>（</w:t>
      </w:r>
      <w:r>
        <w:rPr>
          <w:rFonts w:hint="eastAsia"/>
          <w:color w:val="auto"/>
        </w:rPr>
        <w:t>国有控股），法定代表人：杨植根，注册资本6010万元。经营范围包括铜精矿、钨精矿、铋精矿、钼精矿、铅精矿、锌精矿和锡精矿等矿产资源的勘查、开采、加工和销售，以及废石、尾砂的加工、销售（依法须经批准的项目，经相关部门批准后方可开展经营活动）</w:t>
      </w:r>
      <w:r>
        <w:rPr>
          <w:rFonts w:hint="eastAsia"/>
          <w:color w:val="auto"/>
          <w:lang w:eastAsia="zh-CN"/>
        </w:rPr>
        <w:t>。</w:t>
      </w:r>
    </w:p>
    <w:p>
      <w:pPr>
        <w:bidi w:val="0"/>
        <w:rPr>
          <w:rFonts w:hint="eastAsia"/>
          <w:strike w:val="0"/>
          <w:dstrike w:val="0"/>
          <w:color w:val="auto"/>
        </w:rPr>
      </w:pPr>
      <w:r>
        <w:rPr>
          <w:rFonts w:hint="eastAsia"/>
          <w:strike w:val="0"/>
          <w:dstrike w:val="0"/>
          <w:color w:val="auto"/>
        </w:rPr>
        <w:t>于都小东坑矿业有限公司选矿厂</w:t>
      </w:r>
      <w:r>
        <w:rPr>
          <w:rFonts w:hint="eastAsia"/>
          <w:strike w:val="0"/>
          <w:dstrike w:val="0"/>
          <w:color w:val="auto"/>
          <w:lang w:val="en-US" w:eastAsia="zh-CN"/>
        </w:rPr>
        <w:t>属于小东坑钨矿区30万吨/年矿山工程建设项目配套生产设施</w:t>
      </w:r>
      <w:r>
        <w:rPr>
          <w:rFonts w:hint="eastAsia"/>
          <w:strike w:val="0"/>
          <w:dstrike w:val="0"/>
          <w:color w:val="auto"/>
          <w:lang w:eastAsia="zh-CN"/>
        </w:rPr>
        <w:t>，</w:t>
      </w:r>
      <w:r>
        <w:rPr>
          <w:rFonts w:hint="eastAsia"/>
          <w:strike w:val="0"/>
          <w:dstrike w:val="0"/>
          <w:color w:val="auto"/>
        </w:rPr>
        <w:t>布置在小东坑钨矿区竖井井口工业场地东北侧约250m，</w:t>
      </w:r>
      <w:r>
        <w:rPr>
          <w:rFonts w:hint="eastAsia"/>
          <w:strike w:val="0"/>
          <w:dstrike w:val="0"/>
          <w:color w:val="auto"/>
          <w:lang w:val="en-US" w:eastAsia="zh-CN"/>
        </w:rPr>
        <w:t>标</w:t>
      </w:r>
      <w:r>
        <w:rPr>
          <w:rFonts w:hint="eastAsia"/>
          <w:strike w:val="0"/>
          <w:dstrike w:val="0"/>
          <w:color w:val="auto"/>
        </w:rPr>
        <w:t>高</w:t>
      </w:r>
      <w:r>
        <w:rPr>
          <w:rFonts w:hint="eastAsia"/>
          <w:strike w:val="0"/>
          <w:dstrike w:val="0"/>
          <w:color w:val="auto"/>
          <w:lang w:val="en-US" w:eastAsia="zh-CN"/>
        </w:rPr>
        <w:t>为</w:t>
      </w:r>
      <w:r>
        <w:rPr>
          <w:rFonts w:hint="eastAsia"/>
          <w:strike w:val="0"/>
          <w:dstrike w:val="0"/>
          <w:color w:val="auto"/>
        </w:rPr>
        <w:t>+385m～+325m。选矿厂组成主要有：粗碎厂房、中碎厂房、除铁器室、筛洗及预选厂房、细碎厂房、筛分厂房、转运站、粉矿仓、主厂房、废石仓、药剂仓库、浓缩池等组成。选矿厂规模</w:t>
      </w:r>
      <w:r>
        <w:rPr>
          <w:rFonts w:hint="eastAsia"/>
          <w:strike w:val="0"/>
          <w:dstrike w:val="0"/>
          <w:color w:val="auto"/>
          <w:lang w:eastAsia="zh-CN"/>
        </w:rPr>
        <w:t>：</w:t>
      </w:r>
      <w:r>
        <w:rPr>
          <w:rFonts w:hint="eastAsia"/>
          <w:strike w:val="0"/>
          <w:dstrike w:val="0"/>
          <w:color w:val="auto"/>
        </w:rPr>
        <w:t>年处理原矿30万t</w:t>
      </w:r>
      <w:r>
        <w:rPr>
          <w:rFonts w:hint="eastAsia"/>
          <w:strike w:val="0"/>
          <w:dstrike w:val="0"/>
          <w:color w:val="auto"/>
          <w:lang w:eastAsia="zh-CN"/>
        </w:rPr>
        <w:t>，</w:t>
      </w:r>
      <w:r>
        <w:rPr>
          <w:rFonts w:hint="eastAsia"/>
          <w:strike w:val="0"/>
          <w:dstrike w:val="0"/>
          <w:color w:val="auto"/>
        </w:rPr>
        <w:t>产品方案</w:t>
      </w:r>
      <w:r>
        <w:rPr>
          <w:rFonts w:hint="eastAsia"/>
          <w:strike w:val="0"/>
          <w:dstrike w:val="0"/>
          <w:color w:val="auto"/>
          <w:lang w:val="en-US" w:eastAsia="zh-CN"/>
        </w:rPr>
        <w:t>：</w:t>
      </w:r>
      <w:r>
        <w:rPr>
          <w:rFonts w:hint="eastAsia"/>
          <w:strike w:val="0"/>
          <w:dstrike w:val="0"/>
          <w:color w:val="auto"/>
        </w:rPr>
        <w:t>黑钨精矿（WO</w:t>
      </w:r>
      <w:r>
        <w:rPr>
          <w:rFonts w:hint="eastAsia"/>
          <w:strike w:val="0"/>
          <w:dstrike w:val="0"/>
          <w:color w:val="auto"/>
          <w:vertAlign w:val="subscript"/>
        </w:rPr>
        <w:t>3</w:t>
      </w:r>
      <w:r>
        <w:rPr>
          <w:rFonts w:hint="eastAsia"/>
          <w:strike w:val="0"/>
          <w:dstrike w:val="0"/>
          <w:color w:val="auto"/>
        </w:rPr>
        <w:t>品位为65%）；白钨精矿（WO</w:t>
      </w:r>
      <w:r>
        <w:rPr>
          <w:rFonts w:hint="eastAsia"/>
          <w:strike w:val="0"/>
          <w:dstrike w:val="0"/>
          <w:color w:val="auto"/>
          <w:vertAlign w:val="subscript"/>
        </w:rPr>
        <w:t>3</w:t>
      </w:r>
      <w:r>
        <w:rPr>
          <w:rFonts w:hint="eastAsia"/>
          <w:strike w:val="0"/>
          <w:dstrike w:val="0"/>
          <w:color w:val="auto"/>
        </w:rPr>
        <w:t>品位为65%）；铜精矿（Cu品位为12%）；铋精矿（Bi品位为11%）；锡精矿（Sn品位为14%）。</w:t>
      </w:r>
    </w:p>
    <w:p>
      <w:pPr>
        <w:bidi w:val="0"/>
        <w:rPr>
          <w:rFonts w:hint="eastAsia"/>
          <w:color w:val="auto"/>
        </w:rPr>
      </w:pPr>
      <w:r>
        <w:rPr>
          <w:rFonts w:hint="eastAsia"/>
          <w:color w:val="auto"/>
        </w:rPr>
        <w:t>根据《中华人民共和国安全生产法》</w:t>
      </w:r>
      <w:r>
        <w:rPr>
          <w:rFonts w:hint="eastAsia" w:ascii="Times New Roman" w:eastAsia="宋体"/>
          <w:color w:val="auto"/>
          <w:lang w:val="en-US" w:eastAsia="zh-CN"/>
        </w:rPr>
        <w:t>和</w:t>
      </w:r>
      <w:r>
        <w:rPr>
          <w:rFonts w:hint="eastAsia"/>
          <w:color w:val="auto"/>
        </w:rPr>
        <w:t>《建设项目安全设施“三同时”监督管理办法》的要求，新、改、扩建项目必须进行安全预评价，以确保工程项目的安全设施与主体工程同时设计、同时施工、同时投产使用，保证项目在安全方面符合国家及行业有关的标准和法规。</w:t>
      </w:r>
    </w:p>
    <w:p>
      <w:pPr>
        <w:bidi w:val="0"/>
        <w:rPr>
          <w:rFonts w:hint="eastAsia"/>
          <w:color w:val="auto"/>
        </w:rPr>
      </w:pPr>
      <w:r>
        <w:rPr>
          <w:rFonts w:hint="eastAsia"/>
          <w:color w:val="auto"/>
        </w:rPr>
        <w:t>为使项目顺利进行，</w:t>
      </w:r>
      <w:r>
        <w:rPr>
          <w:rFonts w:hint="eastAsia" w:eastAsia="宋体"/>
          <w:color w:val="auto"/>
          <w:lang w:eastAsia="zh-CN"/>
        </w:rPr>
        <w:t>于都小东坑矿业有限公司委托</w:t>
      </w:r>
      <w:r>
        <w:rPr>
          <w:rFonts w:hint="eastAsia"/>
          <w:color w:val="auto"/>
        </w:rPr>
        <w:t>中钢集团马鞍山矿院工程勘察设计有限公司编制完成了《</w:t>
      </w:r>
      <w:r>
        <w:rPr>
          <w:rFonts w:hint="eastAsia" w:eastAsia="宋体"/>
          <w:color w:val="auto"/>
          <w:lang w:eastAsia="zh-CN"/>
        </w:rPr>
        <w:t>于都小东坑矿业有限公司小东坑钨矿区30万吨/年矿山工程建设项目可行性研究报告</w:t>
      </w:r>
      <w:r>
        <w:rPr>
          <w:rFonts w:hint="eastAsia"/>
          <w:color w:val="auto"/>
        </w:rPr>
        <w:t>》，报告对</w:t>
      </w:r>
      <w:r>
        <w:rPr>
          <w:rFonts w:hint="eastAsia" w:ascii="Times New Roman" w:eastAsia="宋体"/>
          <w:color w:val="auto"/>
          <w:lang w:val="en-US" w:eastAsia="zh-CN"/>
        </w:rPr>
        <w:t>本</w:t>
      </w:r>
      <w:r>
        <w:rPr>
          <w:rFonts w:hint="eastAsia"/>
          <w:color w:val="auto"/>
        </w:rPr>
        <w:t>项目的总图布置、工艺选择、</w:t>
      </w:r>
      <w:r>
        <w:rPr>
          <w:rFonts w:hint="eastAsia" w:ascii="Times New Roman" w:eastAsia="宋体"/>
          <w:color w:val="auto"/>
          <w:lang w:val="en-US" w:eastAsia="zh-CN"/>
        </w:rPr>
        <w:t>设备选型</w:t>
      </w:r>
      <w:r>
        <w:rPr>
          <w:rFonts w:hint="eastAsia"/>
          <w:color w:val="auto"/>
        </w:rPr>
        <w:t>、公用工程以及环境保护、安全生产、职业健康等方面进行了说明。</w:t>
      </w:r>
    </w:p>
    <w:p>
      <w:pPr>
        <w:bidi w:val="0"/>
        <w:rPr>
          <w:rFonts w:hint="eastAsia"/>
          <w:color w:val="auto"/>
        </w:rPr>
      </w:pPr>
      <w:r>
        <w:rPr>
          <w:rFonts w:hint="eastAsia"/>
          <w:color w:val="auto"/>
        </w:rPr>
        <w:t>受</w:t>
      </w:r>
      <w:r>
        <w:rPr>
          <w:rFonts w:hint="eastAsia" w:eastAsia="宋体"/>
          <w:color w:val="auto"/>
          <w:lang w:eastAsia="zh-CN"/>
        </w:rPr>
        <w:t>于都小东坑矿业有限公司</w:t>
      </w:r>
      <w:r>
        <w:rPr>
          <w:rFonts w:hint="eastAsia"/>
          <w:color w:val="auto"/>
        </w:rPr>
        <w:t>的委托，江西赣安安全生产科学技术咨询服务中心承担</w:t>
      </w:r>
      <w:r>
        <w:rPr>
          <w:rFonts w:hint="eastAsia" w:ascii="Times New Roman" w:eastAsia="宋体"/>
          <w:color w:val="auto"/>
          <w:lang w:val="en-US" w:eastAsia="zh-CN"/>
        </w:rPr>
        <w:t>该</w:t>
      </w:r>
      <w:r>
        <w:rPr>
          <w:rFonts w:hint="eastAsia"/>
          <w:color w:val="auto"/>
        </w:rPr>
        <w:t>建设项目安全预评价工作，组成评价项目组。评价人员通过现场考察、收集相关资料，运用系统安全原理和评价方法对建设项目可能出现的危险、有害因素进行了辨识分析和定性、定量评价，并预测其危险度；评价建设项目厂址选择</w:t>
      </w:r>
      <w:r>
        <w:rPr>
          <w:rFonts w:hint="eastAsia"/>
          <w:color w:val="auto"/>
          <w:lang w:eastAsia="zh-CN"/>
        </w:rPr>
        <w:t>、</w:t>
      </w:r>
      <w:r>
        <w:rPr>
          <w:rFonts w:hint="eastAsia"/>
          <w:color w:val="auto"/>
        </w:rPr>
        <w:t>总图运输、生产工艺流程</w:t>
      </w:r>
      <w:r>
        <w:rPr>
          <w:rFonts w:hint="eastAsia"/>
          <w:color w:val="auto"/>
          <w:lang w:eastAsia="zh-CN"/>
        </w:rPr>
        <w:t>、公用及辅助设施</w:t>
      </w:r>
      <w:r>
        <w:rPr>
          <w:rFonts w:hint="eastAsia"/>
          <w:color w:val="auto"/>
        </w:rPr>
        <w:t>是否符合相关法律法规、规范标准要求；提出了合理可行的安全对策措施及建议，按照《安全评价通则》及《安全预评价导则》的要求完成报告的初稿。初稿出来后，评价人员及时与企业沟通，并适当的调整后，经评价项目组内部审核、技术负责人审核和过程控制负责人审核，最终编制完成了《于都小东坑矿业有限公司选矿厂工程建设项目安全预评价报告》。</w:t>
      </w:r>
    </w:p>
    <w:p>
      <w:pPr>
        <w:bidi w:val="0"/>
        <w:rPr>
          <w:rFonts w:hint="eastAsia"/>
          <w:color w:val="auto"/>
        </w:rPr>
      </w:pPr>
      <w:r>
        <w:rPr>
          <w:rFonts w:hint="eastAsia"/>
          <w:color w:val="auto"/>
        </w:rPr>
        <w:t>在评价过程中得到于都小东坑矿业有限公司的领导、安全生产管理人员及职工的大力支持，在此表示感谢！</w:t>
      </w:r>
    </w:p>
    <w:p>
      <w:pPr>
        <w:rPr>
          <w:rFonts w:hint="eastAsia"/>
          <w:color w:val="auto"/>
        </w:rPr>
      </w:pPr>
      <w:r>
        <w:rPr>
          <w:rFonts w:hint="eastAsia"/>
          <w:color w:val="auto"/>
        </w:rPr>
        <w:br w:type="page"/>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bCs/>
          <w:strike w:val="0"/>
          <w:dstrike w:val="0"/>
          <w:color w:val="auto"/>
          <w:sz w:val="32"/>
          <w:szCs w:val="32"/>
          <w:lang w:val="en-US" w:eastAsia="zh-CN"/>
        </w:rPr>
      </w:pPr>
      <w:r>
        <w:rPr>
          <w:rFonts w:hint="eastAsia" w:ascii="黑体" w:hAnsi="黑体" w:eastAsia="黑体" w:cs="黑体"/>
          <w:b/>
          <w:bCs/>
          <w:strike w:val="0"/>
          <w:dstrike w:val="0"/>
          <w:color w:val="auto"/>
          <w:sz w:val="32"/>
          <w:szCs w:val="32"/>
          <w:lang w:val="en-US" w:eastAsia="zh-CN"/>
        </w:rPr>
        <w:t>目   录</w:t>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eastAsia"/>
          <w:b w:val="0"/>
          <w:bCs w:val="0"/>
          <w:color w:val="auto"/>
          <w:lang w:val="en-US" w:eastAsia="zh-CN"/>
        </w:rPr>
        <w:fldChar w:fldCharType="begin"/>
      </w:r>
      <w:r>
        <w:rPr>
          <w:rFonts w:hint="eastAsia"/>
          <w:b w:val="0"/>
          <w:bCs w:val="0"/>
          <w:color w:val="auto"/>
          <w:lang w:val="en-US" w:eastAsia="zh-CN"/>
        </w:rPr>
        <w:instrText xml:space="preserve">TOC \o "1-3" \h \u </w:instrText>
      </w:r>
      <w:r>
        <w:rPr>
          <w:rFonts w:hint="eastAsia"/>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_Toc11126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44"/>
          <w:szCs w:val="24"/>
          <w:lang w:val="en-US" w:eastAsia="zh-CN" w:bidi="ar-SA"/>
        </w:rPr>
        <w:t>1. 概述</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_Toc11126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_Toc10739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rPr>
        <w:t>1.1</w:t>
      </w:r>
      <w:r>
        <w:rPr>
          <w:rFonts w:hint="default" w:ascii="Times New Roman" w:hAnsi="Times New Roman" w:eastAsia="宋体" w:cs="Times New Roman"/>
          <w:b w:val="0"/>
          <w:bCs w:val="0"/>
          <w:color w:val="auto"/>
          <w:lang w:val="en-US" w:eastAsia="zh-CN"/>
        </w:rPr>
        <w:t xml:space="preserve"> </w:t>
      </w:r>
      <w:r>
        <w:rPr>
          <w:rFonts w:hint="default" w:ascii="Times New Roman" w:hAnsi="Times New Roman" w:eastAsia="宋体" w:cs="Times New Roman"/>
          <w:b w:val="0"/>
          <w:bCs w:val="0"/>
          <w:color w:val="auto"/>
        </w:rPr>
        <w:t>评价目的和原则</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_Toc10739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_Toc22259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rPr>
        <w:t>1.1.1</w:t>
      </w:r>
      <w:r>
        <w:rPr>
          <w:rFonts w:hint="default" w:ascii="Times New Roman" w:hAnsi="Times New Roman" w:eastAsia="宋体" w:cs="Times New Roman"/>
          <w:b w:val="0"/>
          <w:bCs w:val="0"/>
          <w:color w:val="auto"/>
          <w:lang w:val="en-US" w:eastAsia="zh-CN"/>
        </w:rPr>
        <w:t xml:space="preserve"> </w:t>
      </w:r>
      <w:r>
        <w:rPr>
          <w:rFonts w:hint="default" w:ascii="Times New Roman" w:hAnsi="Times New Roman" w:eastAsia="宋体" w:cs="Times New Roman"/>
          <w:b w:val="0"/>
          <w:bCs w:val="0"/>
          <w:color w:val="auto"/>
        </w:rPr>
        <w:t>评价目的</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_Toc22259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_Toc21952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rPr>
        <w:t>1.1.2</w:t>
      </w:r>
      <w:r>
        <w:rPr>
          <w:rFonts w:hint="default" w:ascii="Times New Roman" w:hAnsi="Times New Roman" w:eastAsia="宋体" w:cs="Times New Roman"/>
          <w:b w:val="0"/>
          <w:bCs w:val="0"/>
          <w:color w:val="auto"/>
          <w:lang w:val="en-US" w:eastAsia="zh-CN"/>
        </w:rPr>
        <w:t xml:space="preserve"> </w:t>
      </w:r>
      <w:r>
        <w:rPr>
          <w:rFonts w:hint="default" w:ascii="Times New Roman" w:hAnsi="Times New Roman" w:eastAsia="宋体" w:cs="Times New Roman"/>
          <w:b w:val="0"/>
          <w:bCs w:val="0"/>
          <w:color w:val="auto"/>
        </w:rPr>
        <w:t>评价原则</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_Toc21952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_Toc2653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1.2 评价依据</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_Toc2653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_Toc21027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1.2.1 法律</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_Toc21027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_Toc8171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1.2.2 行政法规</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_Toc8171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2</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_Toc1398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1.2.3 部门规章</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_Toc1398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3</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_Toc28061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1.2.4 地方性法规</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_Toc28061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4</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_Toc6786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1.2.5 地方政府规章</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_Toc6786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5</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_Toc5308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1.2.6 规范性文件</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_Toc5308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5</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_Toc20609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1.2.7 标准、规范</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_Toc20609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6</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_Toc22086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rPr>
        <w:t>1.2.</w:t>
      </w:r>
      <w:r>
        <w:rPr>
          <w:rFonts w:hint="default" w:ascii="Times New Roman" w:hAnsi="Times New Roman" w:eastAsia="宋体" w:cs="Times New Roman"/>
          <w:b w:val="0"/>
          <w:bCs w:val="0"/>
          <w:color w:val="auto"/>
          <w:lang w:val="en-US" w:eastAsia="zh-CN"/>
        </w:rPr>
        <w:t xml:space="preserve">8 </w:t>
      </w:r>
      <w:r>
        <w:rPr>
          <w:rFonts w:hint="default" w:ascii="Times New Roman" w:hAnsi="Times New Roman" w:eastAsia="宋体" w:cs="Times New Roman"/>
          <w:b w:val="0"/>
          <w:bCs w:val="0"/>
          <w:color w:val="auto"/>
        </w:rPr>
        <w:t>其他依据和主要参考资料</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_Toc22086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9</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_Toc12389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rPr>
        <w:t>1.3</w:t>
      </w:r>
      <w:r>
        <w:rPr>
          <w:rFonts w:hint="default" w:ascii="Times New Roman" w:hAnsi="Times New Roman" w:eastAsia="宋体" w:cs="Times New Roman"/>
          <w:b w:val="0"/>
          <w:bCs w:val="0"/>
          <w:color w:val="auto"/>
          <w:lang w:val="en-US" w:eastAsia="zh-CN"/>
        </w:rPr>
        <w:t xml:space="preserve"> </w:t>
      </w:r>
      <w:r>
        <w:rPr>
          <w:rFonts w:hint="default" w:ascii="Times New Roman" w:hAnsi="Times New Roman" w:eastAsia="宋体" w:cs="Times New Roman"/>
          <w:b w:val="0"/>
          <w:bCs w:val="0"/>
          <w:color w:val="auto"/>
        </w:rPr>
        <w:t>评价对象、范围</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_Toc12389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10</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_Toc23470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rPr>
        <w:t>1.4</w:t>
      </w:r>
      <w:r>
        <w:rPr>
          <w:rFonts w:hint="default" w:ascii="Times New Roman" w:hAnsi="Times New Roman" w:eastAsia="宋体" w:cs="Times New Roman"/>
          <w:b w:val="0"/>
          <w:bCs w:val="0"/>
          <w:color w:val="auto"/>
          <w:lang w:val="en-US" w:eastAsia="zh-CN"/>
        </w:rPr>
        <w:t xml:space="preserve"> </w:t>
      </w:r>
      <w:r>
        <w:rPr>
          <w:rFonts w:hint="default" w:ascii="Times New Roman" w:hAnsi="Times New Roman" w:eastAsia="宋体" w:cs="Times New Roman"/>
          <w:b w:val="0"/>
          <w:bCs w:val="0"/>
          <w:color w:val="auto"/>
        </w:rPr>
        <w:t>评价程序</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_Toc23470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10</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_Toc30995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 建设项目概况</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_Toc30995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13</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_Toc7829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2.1 企业简介</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_Toc7829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13</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_Toc25263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2.2 建设内容</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_Toc25263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13</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_Toc12142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rPr>
        <w:t>2.3 地理位置和周边环境</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_Toc12142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13</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_Toc6457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2.3.1 地理位置</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_Toc6457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13</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_Toc23086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2.3.2 周边环境</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_Toc23086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14</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_Toc4351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2.4 地质概况</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_Toc4351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14</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_Toc24940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2.4.1 气象</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_Toc24940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14</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_Toc11187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2.4.2 场地岩土工程条件</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_Toc11187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15</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_Toc2982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2.4.3 岩土工程分析与评价</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_Toc2982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21</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_Toc6952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2.5 选矿厂规模及产品方案</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_Toc6952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24</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_Toc23426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2.6 建设项目总体布置</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_Toc23426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25</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_Toc5891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2.6.1 总平面布置</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_Toc5891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25</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_Toc21316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2.6.2 竖向布置</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_Toc21316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25</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_Toc25826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2.6.3 主要建构筑物</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_Toc25826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26</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_Toc25814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2.6.4 道路</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_Toc25814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30</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_Toc28356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2.6.5 给排水</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_Toc28356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30</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_Toc31497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2.6.6 供配电</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_Toc31497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33</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_Toc16831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2.7 生产工艺及设备</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_Toc16831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44</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_Toc11777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2.7.1 工艺流程</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_Toc11777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44</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_Toc24381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2.7.2 工艺生产过程</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_Toc24381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48</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_Toc1005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2.7.3 主要设备选择结果</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_Toc1005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49</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_Toc23904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2.7.4 药剂设施</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_Toc23904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53</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_Toc26737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2.7.5 试验室及化验室</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_Toc26737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54</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_Toc30518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2.7.6 检修设施</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_Toc30518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55</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_Toc6252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2.7.7 除尘</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_Toc6252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55</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_Toc29672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2.7.8 噪声</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_Toc29672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59</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_Toc27915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2.8 自动控制</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_Toc27915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60</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_Toc17418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2.9 组织机构与劳动定员</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_Toc17418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64</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_Toc2113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2.10 项目投资用途</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_Toc2113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65</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_Toc28337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3. 主要危险、有害因素辨识与分析</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_Toc28337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67</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_Toc13845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3.1 人的危险有害因素辨识与分析</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_Toc13845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67</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_Toc29694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3.1.1 心理、生理性危险和有害因素</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_Toc29694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67</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_Toc12658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3.1.2 行为性危险和有害因素</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_Toc12658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68</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_Toc14654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3.2 物的危险有害因素辨识与分析</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_Toc14654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68</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_Toc12372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3.2.1 设备、设施、工具、附件缺陷</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_Toc12372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68</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_Toc29393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3.2.2 防护缺陷</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_Toc29393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69</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_Toc31372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3.2.3 电伤害危险因素</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_Toc31372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69</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_Toc25201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3.2.4 明火危险性分析</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_Toc25201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69</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_Toc10097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3.2.5 标志缺陷危险性分析</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_Toc10097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70</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_Toc13461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3.2.6 生物性危险和有害因素</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_Toc13461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70</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_Toc16944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3.3 环境危险有害因素辨识与分析</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_Toc16944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70</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_Toc24062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3.3.1 气象灾害</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_Toc24062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70</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_Toc20898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3.3.2 洪水</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_Toc20898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71</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_Toc8893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3.3.3 地质灾害</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_Toc8893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71</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_Toc26574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3.3.4 职业危害</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_Toc26574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71</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_Toc31264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3.4 管理危险有害因素辨识与分析</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_Toc31264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73</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_Toc16006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3.5 生产工艺流程危险、有害因素辨识与分析</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_Toc16006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73</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_Toc24438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 xml:space="preserve">3.5.1 </w:t>
      </w:r>
      <w:r>
        <w:rPr>
          <w:rFonts w:hint="default" w:ascii="Times New Roman" w:hAnsi="Times New Roman" w:eastAsia="宋体" w:cs="Times New Roman"/>
          <w:b w:val="0"/>
          <w:bCs w:val="0"/>
          <w:color w:val="auto"/>
        </w:rPr>
        <w:t>机械伤害</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_Toc24438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73</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_Toc20913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3.5.2 触电（电气伤害）</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_Toc20913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74</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_Toc23947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3.5.3 火灾</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_Toc23947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74</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_Toc11600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3.5.4 车辆伤害</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_Toc11600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74</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_Toc21307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3.5.5 起重伤害</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_Toc21307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75</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_Toc5180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3.5.6 坍塌</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_Toc5180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76</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_Toc8609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3.5.7 灼烫</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_Toc8609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76</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_Toc3623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3.5.8 物体打击</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_Toc3623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76</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_Toc14499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 xml:space="preserve">3.5.9 </w:t>
      </w:r>
      <w:r>
        <w:rPr>
          <w:rFonts w:hint="default" w:ascii="Times New Roman" w:hAnsi="Times New Roman" w:eastAsia="宋体" w:cs="Times New Roman"/>
          <w:b w:val="0"/>
          <w:bCs w:val="0"/>
          <w:color w:val="auto"/>
        </w:rPr>
        <w:t>高处坠落</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_Toc14499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77</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_Toc7795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3.5.10 淹溺</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_Toc7795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77</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_Toc23784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3.5.11 中毒窒息</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_Toc23784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77</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_Toc13005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3.5.12 药剂</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_Toc13005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77</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_Toc6782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3.5.13 有限空间作业</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_Toc6782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78</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_Toc4029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3.2.14 容器爆炸</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_Toc4029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78</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_Toc12732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3.5.15 其他</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_Toc12732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78</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_Toc29311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3.5.16 物料危险性分析</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_Toc29311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78</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_Toc30753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3.6 主要危险、有害因素分布</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_Toc30753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83</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_Toc6887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3.7 重大危险源辨识</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_Toc6887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84</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_Toc13633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3.7.1 重大危险源辨识依据</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_Toc13633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84</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_Toc17693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3.7.2 重大危险源辨识</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_Toc17693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84</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_Toc1022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4. 评价单元划分和评价方法选择</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_Toc1022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86</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_Toc6765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4.1 评价单元划分的原则和方法</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_Toc6765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86</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_Toc17052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4.2 评价单元的划分</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_Toc17052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86</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_Toc6539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4.3 评价方法的选择</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_Toc6539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87</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_Toc12408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4.3.1 评价方法的选择原则</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_Toc12408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87</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_Toc14837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4.3.2 评价方法的选择过程</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_Toc14837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87</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_Toc3683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4.3.3 各单元评价方法的选择</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_Toc3683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88</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_Toc27479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4.3.4 评价方法的选择</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_Toc27479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88</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_Toc32501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4.4 评价方法的介绍</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_Toc32501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88</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_Toc22813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4.4.1 安全检查表法（SCL）</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_Toc22813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88</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_Toc3665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4.4.2 预先危险性分析评价（PHA）</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_Toc3665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89</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_Toc23452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5. 定性、定量评价</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_Toc23452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91</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_Toc17716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5.1 厂址选择单元</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_Toc17716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91</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_Toc2934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5.1.1 安全检查表法分析评价</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_Toc2934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91</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_Toc2367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5.1.2 单元评价小结</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_Toc2367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94</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_Toc20774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5.2 总图布置单元</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_Toc20774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95</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_Toc23777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5.2.1 总平面布置子单元</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_Toc23777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95</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_Toc22992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5.2.2 建（构）筑物子单元</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_Toc22992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97</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_Toc25423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5.2.3 单元评价小结</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_Toc25423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98</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_Toc25558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5.3 生产工艺及设备设施单元</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_Toc25558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98</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_Toc29030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5.3.1 预先危险分析评价</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_Toc29030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98</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_Toc10425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5.3.2 安全检查表法分析评价</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_Toc10425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101</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_Toc31339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5.3.3 单元评价小结</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_Toc31339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104</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_Toc5960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5.4 公辅设施单元</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_Toc5960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104</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_Toc24581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5.4.1 道路及运输子单元</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_Toc24581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104</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_Toc26688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5.4.2 给排水及消防设施子单元</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_Toc26688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106</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_Toc9966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5.4.3 供配电设施子单元</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_Toc9966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108</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_Toc10420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5.4.4 辅助设施子单元</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_Toc10420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111</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_Toc24099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5.4.5 单元评价小结</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_Toc24099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112</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_Toc28927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6. 安全对策措施建议</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_Toc28927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113</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_Toc13472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6.1 基本安全对策措施</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_Toc13472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113</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_Toc29714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6.1.1 安全防护用品</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_Toc29714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113</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_Toc23015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6.1.2 机械设备</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_Toc23015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114</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_Toc12888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6.1.3 现场消防</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_Toc12888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116</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_Toc26600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6.1.4 起重作业</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_Toc26600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118</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_Toc13442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6.1.5 高处作业</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_Toc13442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120</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_Toc18692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6.2 总平面布置</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_Toc18692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122</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_Toc5630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6.3 生产工艺</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_Toc5630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123</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_Toc25405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6.4 辅助设施</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_Toc25405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130</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_Toc9194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6.5 安全管理</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_Toc9194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133</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_Toc22995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7. 安全预评价结论</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_Toc22995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136</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_Toc15543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7.1 项目潜在主要危险、有害因素及其评价结果</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_Toc15543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136</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_Toc222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7.2 设计</w:t>
      </w:r>
      <w:r>
        <w:rPr>
          <w:rFonts w:hint="default" w:ascii="Times New Roman" w:hAnsi="Times New Roman" w:eastAsia="宋体" w:cs="Times New Roman"/>
          <w:b w:val="0"/>
          <w:bCs w:val="0"/>
          <w:color w:val="auto"/>
        </w:rPr>
        <w:t>应重视的安全对策措施建议</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_Toc222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137</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_Toc15841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7.3 危险、有害因素在采取安全对策措施后的受控程度</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_Toc15841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138</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_Toc15013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kern w:val="2"/>
          <w:szCs w:val="24"/>
          <w:lang w:val="en-US" w:eastAsia="zh-CN" w:bidi="ar-SA"/>
        </w:rPr>
        <w:t>7.3 预评价结论</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_Toc15013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138</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_Toc30817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8. 附件</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_Toc30817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139</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ind w:firstLine="0" w:firstLineChars="0"/>
        <w:textAlignment w:val="auto"/>
        <w:rPr>
          <w:b w:val="0"/>
          <w:bCs w:val="0"/>
          <w:color w:val="auto"/>
        </w:rPr>
      </w:pPr>
      <w:r>
        <w:rPr>
          <w:rFonts w:hint="default" w:ascii="Times New Roman" w:hAnsi="Times New Roman" w:eastAsia="宋体" w:cs="Times New Roman"/>
          <w:b w:val="0"/>
          <w:bCs w:val="0"/>
          <w:color w:val="auto"/>
          <w:lang w:val="en-US" w:eastAsia="zh-CN"/>
        </w:rPr>
        <w:fldChar w:fldCharType="begin"/>
      </w:r>
      <w:r>
        <w:rPr>
          <w:rFonts w:hint="default" w:ascii="Times New Roman" w:hAnsi="Times New Roman" w:eastAsia="宋体" w:cs="Times New Roman"/>
          <w:b w:val="0"/>
          <w:bCs w:val="0"/>
          <w:color w:val="auto"/>
          <w:lang w:val="en-US" w:eastAsia="zh-CN"/>
        </w:rPr>
        <w:instrText xml:space="preserve"> HYPERLINK \l _Toc29891 </w:instrText>
      </w:r>
      <w:r>
        <w:rPr>
          <w:rFonts w:hint="default" w:ascii="Times New Roman" w:hAnsi="Times New Roman" w:eastAsia="宋体" w:cs="Times New Roman"/>
          <w:b w:val="0"/>
          <w:bCs w:val="0"/>
          <w:color w:val="auto"/>
          <w:lang w:val="en-US" w:eastAsia="zh-CN"/>
        </w:rPr>
        <w:fldChar w:fldCharType="separate"/>
      </w:r>
      <w:r>
        <w:rPr>
          <w:rFonts w:hint="default" w:ascii="Times New Roman" w:hAnsi="Times New Roman" w:eastAsia="宋体" w:cs="Times New Roman"/>
          <w:b w:val="0"/>
          <w:bCs w:val="0"/>
          <w:color w:val="auto"/>
          <w:lang w:val="en-US" w:eastAsia="zh-CN"/>
        </w:rPr>
        <w:t>9. 附图</w:t>
      </w:r>
      <w:r>
        <w:rPr>
          <w:rFonts w:hint="default" w:ascii="Times New Roman" w:hAnsi="Times New Roman" w:eastAsia="宋体" w:cs="Times New Roman"/>
          <w:b w:val="0"/>
          <w:bCs w:val="0"/>
          <w:color w:val="auto"/>
        </w:rPr>
        <w:tab/>
      </w:r>
      <w:r>
        <w:rPr>
          <w:rFonts w:hint="default" w:ascii="Times New Roman" w:hAnsi="Times New Roman" w:eastAsia="宋体" w:cs="Times New Roman"/>
          <w:b w:val="0"/>
          <w:bCs w:val="0"/>
          <w:color w:val="auto"/>
        </w:rPr>
        <w:fldChar w:fldCharType="begin"/>
      </w:r>
      <w:r>
        <w:rPr>
          <w:rFonts w:hint="default" w:ascii="Times New Roman" w:hAnsi="Times New Roman" w:eastAsia="宋体" w:cs="Times New Roman"/>
          <w:b w:val="0"/>
          <w:bCs w:val="0"/>
          <w:color w:val="auto"/>
        </w:rPr>
        <w:instrText xml:space="preserve"> PAGEREF _Toc29891 \h </w:instrText>
      </w:r>
      <w:r>
        <w:rPr>
          <w:rFonts w:hint="default" w:ascii="Times New Roman" w:hAnsi="Times New Roman" w:eastAsia="宋体" w:cs="Times New Roman"/>
          <w:b w:val="0"/>
          <w:bCs w:val="0"/>
          <w:color w:val="auto"/>
        </w:rPr>
        <w:fldChar w:fldCharType="separate"/>
      </w:r>
      <w:r>
        <w:rPr>
          <w:rFonts w:hint="default" w:ascii="Times New Roman" w:hAnsi="Times New Roman" w:eastAsia="宋体" w:cs="Times New Roman"/>
          <w:b w:val="0"/>
          <w:bCs w:val="0"/>
          <w:color w:val="auto"/>
        </w:rPr>
        <w:t>140</w:t>
      </w:r>
      <w:r>
        <w:rPr>
          <w:rFonts w:hint="default" w:ascii="Times New Roman" w:hAnsi="Times New Roman" w:eastAsia="宋体" w:cs="Times New Roman"/>
          <w:b w:val="0"/>
          <w:bCs w:val="0"/>
          <w:color w:val="auto"/>
        </w:rPr>
        <w:fldChar w:fldCharType="end"/>
      </w:r>
      <w:r>
        <w:rPr>
          <w:rFonts w:hint="default" w:ascii="Times New Roman" w:hAnsi="Times New Roman" w:eastAsia="宋体" w:cs="Times New Roman"/>
          <w:b w:val="0"/>
          <w:bCs w:val="0"/>
          <w:color w:val="auto"/>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lang w:val="en-US" w:eastAsia="zh-CN"/>
        </w:rPr>
      </w:pPr>
      <w:r>
        <w:rPr>
          <w:rFonts w:hint="eastAsia"/>
          <w:b w:val="0"/>
          <w:bCs w:val="0"/>
          <w:color w:val="auto"/>
          <w:lang w:val="en-US" w:eastAsia="zh-CN"/>
        </w:rPr>
        <w:fldChar w:fldCharType="end"/>
      </w:r>
    </w:p>
    <w:p>
      <w:pPr>
        <w:rPr>
          <w:rFonts w:hint="eastAsia"/>
          <w:color w:val="auto"/>
        </w:rPr>
        <w:sectPr>
          <w:headerReference r:id="rId5" w:type="default"/>
          <w:footerReference r:id="rId6" w:type="default"/>
          <w:pgSz w:w="11906" w:h="16839"/>
          <w:pgMar w:top="1417" w:right="1417" w:bottom="1417" w:left="1417" w:header="850" w:footer="992" w:gutter="0"/>
          <w:pgNumType w:fmt="upperRoman" w:start="1"/>
          <w:cols w:space="425" w:num="1"/>
          <w:rtlGutter w:val="0"/>
          <w:docGrid w:linePitch="312" w:charSpace="0"/>
        </w:sectPr>
      </w:pPr>
      <w:r>
        <w:rPr>
          <w:rFonts w:hint="eastAsia"/>
          <w:color w:val="auto"/>
        </w:rPr>
        <w:br w:type="page"/>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b/>
          <w:bCs/>
          <w:color w:val="auto"/>
          <w:sz w:val="32"/>
          <w:szCs w:val="32"/>
          <w:lang w:eastAsia="zh-CN"/>
        </w:rPr>
      </w:pPr>
      <w:r>
        <w:rPr>
          <w:rFonts w:hint="eastAsia" w:ascii="宋体" w:hAnsi="宋体"/>
          <w:b/>
          <w:bCs/>
          <w:color w:val="auto"/>
          <w:sz w:val="32"/>
          <w:szCs w:val="32"/>
          <w:lang w:eastAsia="zh-CN"/>
        </w:rPr>
        <w:t>于都小东坑矿业有限公司</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b/>
          <w:bCs/>
          <w:color w:val="auto"/>
          <w:sz w:val="32"/>
          <w:szCs w:val="32"/>
          <w:lang w:eastAsia="zh-CN"/>
        </w:rPr>
      </w:pPr>
      <w:r>
        <w:rPr>
          <w:rFonts w:hint="eastAsia" w:ascii="宋体" w:hAnsi="宋体"/>
          <w:b/>
          <w:bCs/>
          <w:color w:val="auto"/>
          <w:sz w:val="32"/>
          <w:szCs w:val="32"/>
          <w:lang w:eastAsia="zh-CN"/>
        </w:rPr>
        <w:t>选矿厂工程建设项目</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b/>
          <w:bCs/>
          <w:color w:val="auto"/>
          <w:sz w:val="32"/>
          <w:szCs w:val="32"/>
        </w:rPr>
      </w:pPr>
      <w:r>
        <w:rPr>
          <w:rFonts w:ascii="宋体" w:hAnsi="宋体"/>
          <w:b/>
          <w:bCs/>
          <w:color w:val="auto"/>
          <w:sz w:val="32"/>
          <w:szCs w:val="32"/>
        </w:rPr>
        <w:t>安全</w:t>
      </w:r>
      <w:r>
        <w:rPr>
          <w:rFonts w:hint="eastAsia" w:ascii="宋体" w:hAnsi="宋体"/>
          <w:b/>
          <w:bCs/>
          <w:color w:val="auto"/>
          <w:sz w:val="32"/>
          <w:szCs w:val="32"/>
          <w:lang w:val="en-US" w:eastAsia="zh-CN"/>
        </w:rPr>
        <w:t>预</w:t>
      </w:r>
      <w:r>
        <w:rPr>
          <w:rFonts w:ascii="宋体" w:hAnsi="宋体"/>
          <w:b/>
          <w:bCs/>
          <w:color w:val="auto"/>
          <w:sz w:val="32"/>
          <w:szCs w:val="32"/>
        </w:rPr>
        <w:t>评价报告</w:t>
      </w:r>
    </w:p>
    <w:p>
      <w:pPr>
        <w:keepNext/>
        <w:keepLines/>
        <w:widowControl w:val="0"/>
        <w:numPr>
          <w:ilvl w:val="0"/>
          <w:numId w:val="1"/>
        </w:numPr>
        <w:bidi w:val="0"/>
        <w:spacing w:beforeLines="0" w:beforeAutospacing="0" w:afterLines="0" w:afterAutospacing="0" w:line="360" w:lineRule="auto"/>
        <w:ind w:left="0" w:leftChars="0" w:firstLine="0" w:firstLineChars="0"/>
        <w:jc w:val="center"/>
        <w:outlineLvl w:val="0"/>
        <w:rPr>
          <w:rFonts w:hint="eastAsia" w:ascii="Times New Roman" w:hAnsi="Times New Roman" w:eastAsia="黑体" w:cs="Times New Roman"/>
          <w:b/>
          <w:color w:val="auto"/>
          <w:kern w:val="44"/>
          <w:sz w:val="32"/>
          <w:szCs w:val="24"/>
          <w:lang w:val="en-US" w:eastAsia="zh-CN" w:bidi="ar-SA"/>
        </w:rPr>
      </w:pPr>
      <w:bookmarkStart w:id="0" w:name="_Toc9562"/>
      <w:bookmarkStart w:id="1" w:name="_Toc20327"/>
      <w:bookmarkStart w:id="2" w:name="_Toc18615"/>
      <w:bookmarkStart w:id="3" w:name="_Toc10867"/>
      <w:bookmarkStart w:id="4" w:name="_Toc11126"/>
      <w:r>
        <w:rPr>
          <w:rFonts w:hint="eastAsia" w:ascii="Times New Roman" w:hAnsi="Times New Roman" w:eastAsia="黑体" w:cs="Times New Roman"/>
          <w:b/>
          <w:color w:val="auto"/>
          <w:kern w:val="44"/>
          <w:sz w:val="32"/>
          <w:szCs w:val="24"/>
          <w:lang w:val="en-US" w:eastAsia="zh-CN" w:bidi="ar-SA"/>
        </w:rPr>
        <w:t>概述</w:t>
      </w:r>
      <w:bookmarkEnd w:id="0"/>
      <w:bookmarkEnd w:id="1"/>
      <w:bookmarkEnd w:id="2"/>
      <w:bookmarkEnd w:id="3"/>
      <w:bookmarkEnd w:id="4"/>
    </w:p>
    <w:p>
      <w:pPr>
        <w:pStyle w:val="3"/>
        <w:bidi w:val="0"/>
        <w:rPr>
          <w:rFonts w:hint="eastAsia"/>
          <w:color w:val="auto"/>
        </w:rPr>
      </w:pPr>
      <w:bookmarkStart w:id="5" w:name="_Toc3303"/>
      <w:bookmarkStart w:id="6" w:name="_Toc244"/>
      <w:bookmarkStart w:id="7" w:name="_Toc10739"/>
      <w:bookmarkStart w:id="8" w:name="_Toc27023"/>
      <w:bookmarkStart w:id="9" w:name="_Toc21858"/>
      <w:r>
        <w:rPr>
          <w:rFonts w:hint="eastAsia"/>
          <w:color w:val="auto"/>
        </w:rPr>
        <w:t>1.1</w:t>
      </w:r>
      <w:r>
        <w:rPr>
          <w:rFonts w:hint="eastAsia"/>
          <w:color w:val="auto"/>
          <w:lang w:val="en-US" w:eastAsia="zh-CN"/>
        </w:rPr>
        <w:t xml:space="preserve"> </w:t>
      </w:r>
      <w:r>
        <w:rPr>
          <w:rFonts w:hint="eastAsia"/>
          <w:color w:val="auto"/>
        </w:rPr>
        <w:t>评价目的和原则</w:t>
      </w:r>
      <w:bookmarkEnd w:id="5"/>
      <w:bookmarkEnd w:id="6"/>
      <w:bookmarkEnd w:id="7"/>
      <w:bookmarkEnd w:id="8"/>
      <w:bookmarkEnd w:id="9"/>
    </w:p>
    <w:p>
      <w:pPr>
        <w:pStyle w:val="4"/>
        <w:bidi w:val="0"/>
        <w:rPr>
          <w:rFonts w:hint="eastAsia"/>
          <w:color w:val="auto"/>
        </w:rPr>
      </w:pPr>
      <w:bookmarkStart w:id="10" w:name="_Toc22259"/>
      <w:bookmarkStart w:id="11" w:name="_Toc9539"/>
      <w:bookmarkStart w:id="12" w:name="_Toc25328"/>
      <w:bookmarkStart w:id="13" w:name="_Toc22388"/>
      <w:bookmarkStart w:id="14" w:name="_Toc6179"/>
      <w:r>
        <w:rPr>
          <w:rFonts w:hint="eastAsia"/>
          <w:color w:val="auto"/>
        </w:rPr>
        <w:t>1.1.1</w:t>
      </w:r>
      <w:r>
        <w:rPr>
          <w:rFonts w:hint="eastAsia"/>
          <w:color w:val="auto"/>
          <w:lang w:val="en-US" w:eastAsia="zh-CN"/>
        </w:rPr>
        <w:t xml:space="preserve"> </w:t>
      </w:r>
      <w:r>
        <w:rPr>
          <w:rFonts w:hint="eastAsia"/>
          <w:color w:val="auto"/>
        </w:rPr>
        <w:t>评价目的</w:t>
      </w:r>
      <w:bookmarkEnd w:id="10"/>
      <w:bookmarkEnd w:id="11"/>
      <w:bookmarkEnd w:id="12"/>
      <w:bookmarkEnd w:id="13"/>
      <w:bookmarkEnd w:id="14"/>
    </w:p>
    <w:p>
      <w:pPr>
        <w:rPr>
          <w:rFonts w:hint="eastAsia"/>
          <w:color w:val="auto"/>
        </w:rPr>
      </w:pPr>
      <w:r>
        <w:rPr>
          <w:rFonts w:hint="eastAsia"/>
          <w:color w:val="auto"/>
        </w:rPr>
        <w:t>为贯彻“安全第一、预防为主、综合治理”的安全生产方针，为建设项目初步设计</w:t>
      </w:r>
      <w:r>
        <w:rPr>
          <w:rFonts w:hint="eastAsia"/>
          <w:color w:val="auto"/>
          <w:lang w:val="en-US" w:eastAsia="zh-CN"/>
        </w:rPr>
        <w:t>和安全设施设计</w:t>
      </w:r>
      <w:r>
        <w:rPr>
          <w:rFonts w:hint="eastAsia"/>
          <w:color w:val="auto"/>
        </w:rPr>
        <w:t>提供科学依据，以利于提高建设项目本质安全程度，确保建设项目建成后符合国家有关法规、标准和规定，确保建设工程项目中安全设施与主体工程同时设计、同时施工、同时投产使用，建设项目需进行安全</w:t>
      </w:r>
      <w:r>
        <w:rPr>
          <w:rFonts w:hint="eastAsia"/>
          <w:color w:val="auto"/>
          <w:lang w:val="en-US" w:eastAsia="zh-CN"/>
        </w:rPr>
        <w:t>预</w:t>
      </w:r>
      <w:r>
        <w:rPr>
          <w:rFonts w:hint="eastAsia"/>
          <w:color w:val="auto"/>
        </w:rPr>
        <w:t>评价。</w:t>
      </w:r>
    </w:p>
    <w:p>
      <w:pPr>
        <w:rPr>
          <w:rFonts w:hint="eastAsia"/>
          <w:color w:val="auto"/>
        </w:rPr>
      </w:pPr>
      <w:r>
        <w:rPr>
          <w:rFonts w:hint="eastAsia"/>
          <w:color w:val="auto"/>
        </w:rPr>
        <w:t>在项目设立的初始阶段，通过定性和定量的方法，对项目（工程）系统存在的危险、有害因素进行系统安全分析，得出该系统存在危险、有害可能性程度的结论，并提出针对性对策措施，寻求最低事故率、最低职业危害、最优安全卫生投资效益，从而实现建设项目的本质安全，为建设单位安全管理的系统化、标准化、科学化提供条件，为</w:t>
      </w:r>
      <w:r>
        <w:rPr>
          <w:rFonts w:hint="eastAsia"/>
          <w:color w:val="auto"/>
          <w:lang w:val="en-US" w:eastAsia="zh-CN"/>
        </w:rPr>
        <w:t>企业</w:t>
      </w:r>
      <w:r>
        <w:rPr>
          <w:rFonts w:hint="eastAsia"/>
          <w:color w:val="auto"/>
        </w:rPr>
        <w:t>实施管理提供依据</w:t>
      </w:r>
      <w:r>
        <w:rPr>
          <w:rFonts w:hint="eastAsia"/>
          <w:color w:val="auto"/>
          <w:lang w:eastAsia="zh-CN"/>
        </w:rPr>
        <w:t>，</w:t>
      </w:r>
      <w:r>
        <w:rPr>
          <w:rFonts w:hint="eastAsia"/>
          <w:color w:val="auto"/>
          <w:lang w:val="en-US" w:eastAsia="zh-CN"/>
        </w:rPr>
        <w:t>并为下一步设计提供技术支持</w:t>
      </w:r>
      <w:r>
        <w:rPr>
          <w:rFonts w:hint="eastAsia"/>
          <w:color w:val="auto"/>
        </w:rPr>
        <w:t>。</w:t>
      </w:r>
    </w:p>
    <w:p>
      <w:pPr>
        <w:pStyle w:val="4"/>
        <w:bidi w:val="0"/>
        <w:rPr>
          <w:rFonts w:hint="eastAsia"/>
          <w:color w:val="auto"/>
        </w:rPr>
      </w:pPr>
      <w:bookmarkStart w:id="15" w:name="_Toc21952"/>
      <w:bookmarkStart w:id="16" w:name="_Toc5465"/>
      <w:bookmarkStart w:id="17" w:name="_Toc165"/>
      <w:bookmarkStart w:id="18" w:name="_Toc21377"/>
      <w:bookmarkStart w:id="19" w:name="_Toc23188"/>
      <w:r>
        <w:rPr>
          <w:rFonts w:hint="eastAsia"/>
          <w:color w:val="auto"/>
        </w:rPr>
        <w:t>1.1.2</w:t>
      </w:r>
      <w:r>
        <w:rPr>
          <w:rFonts w:hint="eastAsia"/>
          <w:color w:val="auto"/>
          <w:lang w:val="en-US" w:eastAsia="zh-CN"/>
        </w:rPr>
        <w:t xml:space="preserve"> </w:t>
      </w:r>
      <w:r>
        <w:rPr>
          <w:rFonts w:hint="eastAsia"/>
          <w:color w:val="auto"/>
        </w:rPr>
        <w:t>评价原则</w:t>
      </w:r>
      <w:bookmarkEnd w:id="15"/>
      <w:bookmarkEnd w:id="16"/>
      <w:bookmarkEnd w:id="17"/>
      <w:bookmarkEnd w:id="18"/>
      <w:bookmarkEnd w:id="19"/>
    </w:p>
    <w:p>
      <w:pPr>
        <w:rPr>
          <w:rFonts w:hint="eastAsia"/>
          <w:color w:val="auto"/>
        </w:rPr>
      </w:pPr>
      <w:r>
        <w:rPr>
          <w:rFonts w:hint="eastAsia"/>
          <w:color w:val="auto"/>
        </w:rPr>
        <w:t>突出重点，兼顾全面，科学分析，对策措施切实可行，评价结论客观、公正。</w:t>
      </w:r>
    </w:p>
    <w:p>
      <w:pPr>
        <w:keepNext/>
        <w:keepLines/>
        <w:widowControl w:val="0"/>
        <w:bidi w:val="0"/>
        <w:spacing w:beforeAutospacing="0" w:afterAutospacing="0" w:line="360" w:lineRule="auto"/>
        <w:ind w:left="280" w:leftChars="100" w:firstLine="0" w:firstLineChars="0"/>
        <w:jc w:val="both"/>
        <w:outlineLvl w:val="1"/>
        <w:rPr>
          <w:rFonts w:hint="eastAsia" w:ascii="Times New Roman" w:hAnsi="Times New Roman" w:eastAsia="黑体" w:cs="Times New Roman"/>
          <w:b/>
          <w:color w:val="auto"/>
          <w:kern w:val="2"/>
          <w:sz w:val="30"/>
          <w:szCs w:val="24"/>
          <w:lang w:val="en-US" w:eastAsia="zh-CN" w:bidi="ar-SA"/>
        </w:rPr>
      </w:pPr>
      <w:bookmarkStart w:id="20" w:name="_Toc6781"/>
      <w:bookmarkStart w:id="21" w:name="_Toc17027"/>
      <w:bookmarkStart w:id="22" w:name="_Toc20816"/>
      <w:bookmarkStart w:id="23" w:name="_Toc25987"/>
      <w:bookmarkStart w:id="24" w:name="_Toc1318"/>
      <w:bookmarkStart w:id="25" w:name="_Toc2653"/>
      <w:bookmarkStart w:id="26" w:name="_Toc11672"/>
      <w:r>
        <w:rPr>
          <w:rFonts w:hint="eastAsia" w:ascii="Times New Roman" w:hAnsi="Times New Roman" w:eastAsia="黑体" w:cs="Times New Roman"/>
          <w:b/>
          <w:color w:val="auto"/>
          <w:kern w:val="2"/>
          <w:sz w:val="30"/>
          <w:szCs w:val="24"/>
          <w:lang w:val="en-US" w:eastAsia="zh-CN" w:bidi="ar-SA"/>
        </w:rPr>
        <w:t>1.2 评价依据</w:t>
      </w:r>
      <w:bookmarkEnd w:id="20"/>
      <w:bookmarkEnd w:id="21"/>
      <w:bookmarkEnd w:id="22"/>
      <w:bookmarkEnd w:id="23"/>
      <w:bookmarkEnd w:id="24"/>
      <w:bookmarkEnd w:id="25"/>
      <w:bookmarkEnd w:id="26"/>
    </w:p>
    <w:p>
      <w:pPr>
        <w:pStyle w:val="4"/>
        <w:bidi w:val="0"/>
        <w:rPr>
          <w:rFonts w:hint="eastAsia"/>
          <w:color w:val="auto"/>
          <w:lang w:val="en-US" w:eastAsia="zh-CN"/>
        </w:rPr>
      </w:pPr>
      <w:bookmarkStart w:id="27" w:name="_Toc21027"/>
      <w:r>
        <w:rPr>
          <w:rFonts w:hint="eastAsia"/>
          <w:color w:val="auto"/>
          <w:lang w:val="en-US" w:eastAsia="zh-CN"/>
        </w:rPr>
        <w:t>1.2.1 法律</w:t>
      </w:r>
      <w:bookmarkEnd w:id="27"/>
    </w:p>
    <w:p>
      <w:pPr>
        <w:ind w:firstLine="200"/>
        <w:rPr>
          <w:rFonts w:hint="eastAsia"/>
          <w:color w:val="auto"/>
        </w:rPr>
      </w:pPr>
      <w:r>
        <w:rPr>
          <w:rFonts w:hint="eastAsia"/>
          <w:color w:val="auto"/>
        </w:rPr>
        <w:t>《中华人民共和国环境保护法（2014年修订）》（中华人民共和国主席令第9号，自1989年12月26日起施行）</w:t>
      </w:r>
    </w:p>
    <w:p>
      <w:pPr>
        <w:ind w:firstLine="200"/>
        <w:rPr>
          <w:rFonts w:hint="eastAsia"/>
          <w:color w:val="auto"/>
        </w:rPr>
      </w:pPr>
      <w:r>
        <w:rPr>
          <w:rFonts w:hint="eastAsia"/>
          <w:color w:val="auto"/>
        </w:rPr>
        <w:t>《中华人民共和国水土保持法（2010年修订）》（中华人民共和国主席令第39号，自</w:t>
      </w:r>
      <w:r>
        <w:rPr>
          <w:rFonts w:hint="eastAsia" w:ascii="Times New Roman" w:eastAsia="宋体"/>
          <w:color w:val="auto"/>
          <w:lang w:val="en-US" w:eastAsia="zh-CN"/>
        </w:rPr>
        <w:t>1991</w:t>
      </w:r>
      <w:r>
        <w:rPr>
          <w:rFonts w:hint="eastAsia"/>
          <w:color w:val="auto"/>
        </w:rPr>
        <w:t>年</w:t>
      </w:r>
      <w:r>
        <w:rPr>
          <w:rFonts w:hint="eastAsia" w:ascii="Times New Roman" w:eastAsia="宋体"/>
          <w:color w:val="auto"/>
          <w:lang w:val="en-US" w:eastAsia="zh-CN"/>
        </w:rPr>
        <w:t>6</w:t>
      </w:r>
      <w:r>
        <w:rPr>
          <w:rFonts w:hint="eastAsia"/>
          <w:color w:val="auto"/>
        </w:rPr>
        <w:t>月</w:t>
      </w:r>
      <w:r>
        <w:rPr>
          <w:rFonts w:hint="eastAsia" w:ascii="Times New Roman" w:eastAsia="宋体"/>
          <w:color w:val="auto"/>
          <w:lang w:val="en-US" w:eastAsia="zh-CN"/>
        </w:rPr>
        <w:t>29</w:t>
      </w:r>
      <w:r>
        <w:rPr>
          <w:rFonts w:hint="eastAsia"/>
          <w:color w:val="auto"/>
        </w:rPr>
        <w:t>日起施行）</w:t>
      </w:r>
    </w:p>
    <w:p>
      <w:pPr>
        <w:ind w:firstLine="200"/>
        <w:rPr>
          <w:rFonts w:hint="eastAsia"/>
          <w:color w:val="auto"/>
        </w:rPr>
      </w:pPr>
      <w:r>
        <w:rPr>
          <w:rFonts w:hint="eastAsia"/>
          <w:color w:val="auto"/>
        </w:rPr>
        <w:t>《中华人民共和国矿山安全法（20</w:t>
      </w:r>
      <w:r>
        <w:rPr>
          <w:rFonts w:hint="eastAsia"/>
          <w:color w:val="auto"/>
          <w:lang w:val="en-US" w:eastAsia="zh-CN"/>
        </w:rPr>
        <w:t>09</w:t>
      </w:r>
      <w:r>
        <w:rPr>
          <w:rFonts w:hint="eastAsia"/>
          <w:color w:val="auto"/>
        </w:rPr>
        <w:t>年修</w:t>
      </w:r>
      <w:r>
        <w:rPr>
          <w:rFonts w:hint="eastAsia"/>
          <w:color w:val="auto"/>
          <w:lang w:val="en-US" w:eastAsia="zh-CN"/>
        </w:rPr>
        <w:t>正</w:t>
      </w:r>
      <w:r>
        <w:rPr>
          <w:rFonts w:hint="eastAsia"/>
          <w:color w:val="auto"/>
        </w:rPr>
        <w:t>）》（中华人民共和国主席令第65号，自1993年5月1日起施行）</w:t>
      </w:r>
    </w:p>
    <w:p>
      <w:pPr>
        <w:ind w:firstLine="200"/>
        <w:rPr>
          <w:rFonts w:hint="eastAsia"/>
          <w:color w:val="auto"/>
        </w:rPr>
      </w:pPr>
      <w:r>
        <w:rPr>
          <w:rFonts w:hint="eastAsia"/>
          <w:color w:val="auto"/>
        </w:rPr>
        <w:t>《中华人民共和国劳动法（2018年修订）》（中华人民共和国主席令第28号，自1995年1月1日起施行）</w:t>
      </w:r>
    </w:p>
    <w:p>
      <w:pPr>
        <w:ind w:firstLine="200"/>
        <w:rPr>
          <w:rFonts w:hint="eastAsia"/>
          <w:color w:val="auto"/>
        </w:rPr>
      </w:pPr>
      <w:r>
        <w:rPr>
          <w:rFonts w:hint="eastAsia"/>
          <w:color w:val="auto"/>
        </w:rPr>
        <w:t>《中华人民共和国固体废物污染环境防治法（2020年修正版）》（中华人民共和国主席令第43号，自1995年10月30日日起施行）</w:t>
      </w:r>
    </w:p>
    <w:p>
      <w:pPr>
        <w:ind w:firstLine="200"/>
        <w:rPr>
          <w:rFonts w:hint="eastAsia"/>
          <w:color w:val="auto"/>
        </w:rPr>
      </w:pPr>
      <w:r>
        <w:rPr>
          <w:rFonts w:hint="eastAsia" w:eastAsia="宋体"/>
          <w:color w:val="auto"/>
          <w:lang w:eastAsia="zh-CN"/>
        </w:rPr>
        <w:t>《中华人民共和国节约能源法（</w:t>
      </w:r>
      <w:r>
        <w:rPr>
          <w:rFonts w:hint="eastAsia" w:ascii="Times New Roman" w:eastAsia="宋体"/>
          <w:color w:val="auto"/>
          <w:lang w:val="en-US" w:eastAsia="zh-CN"/>
        </w:rPr>
        <w:t>2018年修改</w:t>
      </w:r>
      <w:r>
        <w:rPr>
          <w:rFonts w:hint="eastAsia" w:eastAsia="宋体"/>
          <w:color w:val="auto"/>
          <w:lang w:eastAsia="zh-CN"/>
        </w:rPr>
        <w:t>）》</w:t>
      </w:r>
      <w:r>
        <w:rPr>
          <w:rFonts w:hint="eastAsia"/>
          <w:color w:val="auto"/>
        </w:rPr>
        <w:t>（中华人民共和国主席令第</w:t>
      </w:r>
      <w:r>
        <w:rPr>
          <w:rFonts w:hint="eastAsia" w:ascii="Times New Roman" w:eastAsia="宋体"/>
          <w:color w:val="auto"/>
          <w:lang w:val="en-US" w:eastAsia="zh-CN"/>
        </w:rPr>
        <w:t>90</w:t>
      </w:r>
      <w:r>
        <w:rPr>
          <w:rFonts w:hint="eastAsia"/>
          <w:color w:val="auto"/>
        </w:rPr>
        <w:t>号，自1998年1月1日起施行）</w:t>
      </w:r>
    </w:p>
    <w:p>
      <w:pPr>
        <w:ind w:firstLine="200"/>
        <w:rPr>
          <w:rFonts w:hint="eastAsia"/>
          <w:color w:val="auto"/>
        </w:rPr>
      </w:pPr>
      <w:r>
        <w:rPr>
          <w:rFonts w:hint="eastAsia"/>
          <w:color w:val="auto"/>
        </w:rPr>
        <w:t>《中华人民共和国防洪法（2016年修改）》（中华人民共和国主席令第88号公布，自1998年1月1日起施行）</w:t>
      </w:r>
    </w:p>
    <w:p>
      <w:pPr>
        <w:ind w:firstLine="200"/>
        <w:rPr>
          <w:rFonts w:hint="eastAsia"/>
          <w:color w:val="auto"/>
        </w:rPr>
      </w:pPr>
      <w:r>
        <w:rPr>
          <w:rFonts w:hint="eastAsia"/>
          <w:color w:val="auto"/>
        </w:rPr>
        <w:t>《中华人民共和国防震减灾法（2008年修订）》（中华人民共和国主席令第7号，自</w:t>
      </w:r>
      <w:r>
        <w:rPr>
          <w:rFonts w:hint="eastAsia"/>
          <w:color w:val="auto"/>
          <w:lang w:val="en-US" w:eastAsia="zh-CN"/>
        </w:rPr>
        <w:t>1998</w:t>
      </w:r>
      <w:r>
        <w:rPr>
          <w:rFonts w:hint="eastAsia"/>
          <w:color w:val="auto"/>
        </w:rPr>
        <w:t>年</w:t>
      </w:r>
      <w:r>
        <w:rPr>
          <w:rFonts w:hint="eastAsia"/>
          <w:color w:val="auto"/>
          <w:lang w:val="en-US" w:eastAsia="zh-CN"/>
        </w:rPr>
        <w:t>3</w:t>
      </w:r>
      <w:r>
        <w:rPr>
          <w:rFonts w:hint="eastAsia"/>
          <w:color w:val="auto"/>
        </w:rPr>
        <w:t>月1日起施行）</w:t>
      </w:r>
    </w:p>
    <w:p>
      <w:pPr>
        <w:ind w:firstLine="200"/>
        <w:rPr>
          <w:rFonts w:hint="eastAsia"/>
          <w:color w:val="auto"/>
        </w:rPr>
      </w:pPr>
      <w:r>
        <w:rPr>
          <w:rFonts w:hint="eastAsia"/>
          <w:color w:val="auto"/>
        </w:rPr>
        <w:t>《中华人民共和国消防法（2021年修正）》（中华人民共和国主席令第81号，自1998年4月29日起施行）</w:t>
      </w:r>
    </w:p>
    <w:p>
      <w:pPr>
        <w:ind w:firstLine="200"/>
        <w:rPr>
          <w:rFonts w:hint="eastAsia"/>
          <w:color w:val="auto"/>
        </w:rPr>
      </w:pPr>
      <w:r>
        <w:rPr>
          <w:rFonts w:hint="eastAsia"/>
          <w:color w:val="auto"/>
        </w:rPr>
        <w:t>《中华人民共和国职业病防治法（2018年修正）》（中华人民共和国主席令第60号，自2002年5月1日起施行）</w:t>
      </w:r>
    </w:p>
    <w:p>
      <w:pPr>
        <w:ind w:firstLine="200"/>
        <w:rPr>
          <w:rFonts w:hint="eastAsia"/>
          <w:color w:val="auto"/>
        </w:rPr>
      </w:pPr>
      <w:r>
        <w:rPr>
          <w:rFonts w:hint="eastAsia"/>
          <w:color w:val="auto"/>
        </w:rPr>
        <w:t>《中华人民共和国安全生产法（2021年修正）》（中华人民共和国主席令第70号，自2002年11月1日起施行）</w:t>
      </w:r>
    </w:p>
    <w:p>
      <w:pPr>
        <w:ind w:firstLine="200"/>
        <w:rPr>
          <w:rFonts w:hint="eastAsia"/>
          <w:color w:val="auto"/>
        </w:rPr>
      </w:pPr>
      <w:r>
        <w:rPr>
          <w:rFonts w:hint="eastAsia"/>
          <w:color w:val="auto"/>
        </w:rPr>
        <w:t>《中华人民共和国突发事故应对法》（中华人民共和国主席令第69号，自2007年11月1日起施行）</w:t>
      </w:r>
    </w:p>
    <w:p>
      <w:pPr>
        <w:ind w:firstLine="200"/>
        <w:rPr>
          <w:rFonts w:hint="eastAsia" w:eastAsia="宋体"/>
          <w:color w:val="auto"/>
          <w:lang w:eastAsia="zh-CN"/>
        </w:rPr>
      </w:pPr>
      <w:r>
        <w:rPr>
          <w:rFonts w:hint="eastAsia"/>
          <w:color w:val="auto"/>
        </w:rPr>
        <w:t>《中华人民共和国特种设备安全法》</w:t>
      </w:r>
      <w:r>
        <w:rPr>
          <w:rFonts w:hint="eastAsia" w:eastAsia="宋体"/>
          <w:color w:val="auto"/>
          <w:lang w:eastAsia="zh-CN"/>
        </w:rPr>
        <w:t>（</w:t>
      </w:r>
      <w:r>
        <w:rPr>
          <w:rFonts w:hint="eastAsia"/>
          <w:color w:val="auto"/>
        </w:rPr>
        <w:t>中华人民共和国主席令第</w:t>
      </w:r>
      <w:r>
        <w:rPr>
          <w:rFonts w:hint="eastAsia" w:ascii="Times New Roman" w:eastAsia="宋体"/>
          <w:color w:val="auto"/>
          <w:lang w:val="en-US" w:eastAsia="zh-CN"/>
        </w:rPr>
        <w:t>4</w:t>
      </w:r>
      <w:r>
        <w:rPr>
          <w:rFonts w:hint="eastAsia"/>
          <w:color w:val="auto"/>
        </w:rPr>
        <w:t>号</w:t>
      </w:r>
      <w:r>
        <w:rPr>
          <w:rFonts w:hint="eastAsia" w:eastAsia="宋体"/>
          <w:color w:val="auto"/>
          <w:lang w:eastAsia="zh-CN"/>
        </w:rPr>
        <w:t>，</w:t>
      </w:r>
      <w:r>
        <w:rPr>
          <w:rFonts w:hint="eastAsia" w:ascii="Times New Roman" w:eastAsia="宋体"/>
          <w:color w:val="auto"/>
          <w:lang w:val="en-US" w:eastAsia="zh-CN"/>
        </w:rPr>
        <w:t>自2014年1月1日起施行</w:t>
      </w:r>
      <w:r>
        <w:rPr>
          <w:rFonts w:hint="eastAsia" w:eastAsia="宋体"/>
          <w:color w:val="auto"/>
          <w:lang w:eastAsia="zh-CN"/>
        </w:rPr>
        <w:t>）</w:t>
      </w:r>
    </w:p>
    <w:p>
      <w:pPr>
        <w:pStyle w:val="4"/>
        <w:bidi w:val="0"/>
        <w:rPr>
          <w:rFonts w:hint="default"/>
          <w:color w:val="auto"/>
          <w:lang w:val="en-US" w:eastAsia="zh-CN"/>
        </w:rPr>
      </w:pPr>
      <w:bookmarkStart w:id="28" w:name="_Toc8171"/>
      <w:r>
        <w:rPr>
          <w:rFonts w:hint="eastAsia"/>
          <w:color w:val="auto"/>
          <w:lang w:val="en-US" w:eastAsia="zh-CN"/>
        </w:rPr>
        <w:t>1.2.2 行政法规</w:t>
      </w:r>
      <w:bookmarkEnd w:id="28"/>
    </w:p>
    <w:p>
      <w:pPr>
        <w:ind w:firstLine="200"/>
        <w:rPr>
          <w:rFonts w:hint="eastAsia" w:eastAsia="宋体"/>
          <w:color w:val="auto"/>
          <w:lang w:eastAsia="zh-CN"/>
        </w:rPr>
      </w:pPr>
      <w:r>
        <w:rPr>
          <w:color w:val="auto"/>
        </w:rPr>
        <w:t xml:space="preserve">《建设项目环境保护管理条例》 </w:t>
      </w:r>
      <w:r>
        <w:rPr>
          <w:rFonts w:hint="eastAsia" w:eastAsia="宋体"/>
          <w:color w:val="auto"/>
          <w:lang w:eastAsia="zh-CN"/>
        </w:rPr>
        <w:t>（国务院令第</w:t>
      </w:r>
      <w:r>
        <w:rPr>
          <w:rFonts w:hint="eastAsia" w:ascii="Times New Roman" w:hAnsi="Times New Roman" w:eastAsia="宋体"/>
          <w:color w:val="auto"/>
          <w:lang w:val="en-US" w:eastAsia="zh-CN"/>
        </w:rPr>
        <w:t>253</w:t>
      </w:r>
      <w:r>
        <w:rPr>
          <w:rFonts w:hint="eastAsia" w:eastAsia="宋体"/>
          <w:color w:val="auto"/>
          <w:lang w:eastAsia="zh-CN"/>
        </w:rPr>
        <w:t>号，</w:t>
      </w:r>
      <w:r>
        <w:rPr>
          <w:rFonts w:hint="eastAsia" w:ascii="Times New Roman" w:hAnsi="Times New Roman" w:eastAsia="宋体"/>
          <w:color w:val="auto"/>
          <w:lang w:val="en-US" w:eastAsia="zh-CN"/>
        </w:rPr>
        <w:t>1998</w:t>
      </w:r>
      <w:r>
        <w:rPr>
          <w:rFonts w:hint="eastAsia" w:eastAsia="宋体"/>
          <w:color w:val="auto"/>
          <w:lang w:eastAsia="zh-CN"/>
        </w:rPr>
        <w:t>年</w:t>
      </w:r>
      <w:r>
        <w:rPr>
          <w:rFonts w:hint="eastAsia" w:ascii="Times New Roman" w:hAnsi="Times New Roman" w:eastAsia="宋体"/>
          <w:color w:val="auto"/>
          <w:lang w:val="en-US" w:eastAsia="zh-CN"/>
        </w:rPr>
        <w:t>11</w:t>
      </w:r>
      <w:r>
        <w:rPr>
          <w:rFonts w:hint="eastAsia" w:eastAsia="宋体"/>
          <w:color w:val="auto"/>
          <w:lang w:eastAsia="zh-CN"/>
        </w:rPr>
        <w:t>月</w:t>
      </w:r>
      <w:r>
        <w:rPr>
          <w:rFonts w:hint="eastAsia" w:ascii="Times New Roman" w:hAnsi="Times New Roman" w:eastAsia="宋体"/>
          <w:color w:val="auto"/>
          <w:lang w:val="en-US" w:eastAsia="zh-CN"/>
        </w:rPr>
        <w:t>29</w:t>
      </w:r>
      <w:r>
        <w:rPr>
          <w:rFonts w:hint="eastAsia" w:eastAsia="宋体"/>
          <w:color w:val="auto"/>
          <w:lang w:eastAsia="zh-CN"/>
        </w:rPr>
        <w:t>日起施行）</w:t>
      </w:r>
    </w:p>
    <w:p>
      <w:pPr>
        <w:ind w:firstLine="200"/>
        <w:rPr>
          <w:rFonts w:hint="eastAsia" w:eastAsia="宋体"/>
          <w:color w:val="auto"/>
          <w:lang w:eastAsia="zh-CN"/>
        </w:rPr>
      </w:pPr>
      <w:r>
        <w:rPr>
          <w:rFonts w:hint="eastAsia" w:eastAsia="宋体"/>
          <w:color w:val="auto"/>
          <w:lang w:eastAsia="zh-CN"/>
        </w:rPr>
        <w:t>《建设工程勘察设计管理条例（2017年修订）》（国务院令第293号，2000年9月25日起施行）</w:t>
      </w:r>
    </w:p>
    <w:p>
      <w:pPr>
        <w:ind w:firstLine="200"/>
        <w:rPr>
          <w:rFonts w:hint="eastAsia"/>
          <w:color w:val="auto"/>
          <w:lang w:eastAsia="zh-CN"/>
        </w:rPr>
      </w:pPr>
      <w:r>
        <w:rPr>
          <w:rFonts w:hint="eastAsia"/>
          <w:color w:val="auto"/>
        </w:rPr>
        <w:t>《危险化学品安全管理条例</w:t>
      </w:r>
      <w:r>
        <w:rPr>
          <w:rFonts w:hint="eastAsia" w:eastAsia="宋体"/>
          <w:color w:val="auto"/>
          <w:lang w:eastAsia="zh-CN"/>
        </w:rPr>
        <w:t>（</w:t>
      </w:r>
      <w:r>
        <w:rPr>
          <w:rFonts w:hint="eastAsia" w:ascii="Times New Roman" w:eastAsia="宋体"/>
          <w:color w:val="auto"/>
          <w:lang w:val="en-US" w:eastAsia="zh-CN"/>
        </w:rPr>
        <w:t>2013年</w:t>
      </w:r>
      <w:r>
        <w:rPr>
          <w:rFonts w:hint="eastAsia"/>
          <w:color w:val="auto"/>
        </w:rPr>
        <w:t>修订</w:t>
      </w:r>
      <w:r>
        <w:rPr>
          <w:rFonts w:hint="eastAsia" w:eastAsia="宋体"/>
          <w:color w:val="auto"/>
          <w:lang w:eastAsia="zh-CN"/>
        </w:rPr>
        <w:t>）</w:t>
      </w:r>
      <w:r>
        <w:rPr>
          <w:rFonts w:hint="eastAsia"/>
          <w:color w:val="auto"/>
        </w:rPr>
        <w:t>》</w:t>
      </w:r>
      <w:r>
        <w:rPr>
          <w:rFonts w:hint="eastAsia" w:eastAsia="宋体"/>
          <w:color w:val="auto"/>
          <w:lang w:eastAsia="zh-CN"/>
        </w:rPr>
        <w:t>（国务院令第591号，</w:t>
      </w:r>
      <w:r>
        <w:rPr>
          <w:rFonts w:hint="eastAsia" w:ascii="Times New Roman" w:eastAsia="宋体"/>
          <w:color w:val="auto"/>
          <w:lang w:val="en-US" w:eastAsia="zh-CN"/>
        </w:rPr>
        <w:t>2002</w:t>
      </w:r>
      <w:r>
        <w:rPr>
          <w:rFonts w:hint="eastAsia" w:eastAsia="宋体"/>
          <w:color w:val="auto"/>
          <w:lang w:eastAsia="zh-CN"/>
        </w:rPr>
        <w:t>年</w:t>
      </w:r>
      <w:r>
        <w:rPr>
          <w:rFonts w:hint="eastAsia" w:ascii="Times New Roman" w:eastAsia="宋体"/>
          <w:color w:val="auto"/>
          <w:lang w:val="en-US" w:eastAsia="zh-CN"/>
        </w:rPr>
        <w:t>1</w:t>
      </w:r>
      <w:r>
        <w:rPr>
          <w:rFonts w:hint="eastAsia" w:eastAsia="宋体"/>
          <w:color w:val="auto"/>
          <w:lang w:eastAsia="zh-CN"/>
        </w:rPr>
        <w:t>月2</w:t>
      </w:r>
      <w:r>
        <w:rPr>
          <w:rFonts w:hint="eastAsia" w:ascii="Times New Roman" w:eastAsia="宋体"/>
          <w:color w:val="auto"/>
          <w:lang w:val="en-US" w:eastAsia="zh-CN"/>
        </w:rPr>
        <w:t>6</w:t>
      </w:r>
      <w:r>
        <w:rPr>
          <w:rFonts w:hint="eastAsia" w:eastAsia="宋体"/>
          <w:color w:val="auto"/>
          <w:lang w:eastAsia="zh-CN"/>
        </w:rPr>
        <w:t>日起施行）</w:t>
      </w:r>
    </w:p>
    <w:p>
      <w:pPr>
        <w:ind w:firstLine="200"/>
        <w:rPr>
          <w:rFonts w:hint="eastAsia"/>
          <w:color w:val="auto"/>
        </w:rPr>
      </w:pPr>
      <w:r>
        <w:rPr>
          <w:rFonts w:hint="eastAsia"/>
          <w:color w:val="auto"/>
        </w:rPr>
        <w:t>《特种设备监察条例（2009年修订）》（国务院令第373号，2003年6月1日起施行）</w:t>
      </w:r>
    </w:p>
    <w:p>
      <w:pPr>
        <w:ind w:firstLine="200"/>
        <w:rPr>
          <w:rFonts w:hint="eastAsia"/>
          <w:color w:val="auto"/>
        </w:rPr>
      </w:pPr>
      <w:r>
        <w:rPr>
          <w:rFonts w:hint="eastAsia"/>
          <w:color w:val="auto"/>
        </w:rPr>
        <w:t>《工伤保险条例（2010年修订）》（国务院令第375号，自2004年1月1日起施行）</w:t>
      </w:r>
    </w:p>
    <w:p>
      <w:pPr>
        <w:ind w:firstLine="200"/>
        <w:rPr>
          <w:rFonts w:hint="eastAsia"/>
          <w:color w:val="auto"/>
        </w:rPr>
      </w:pPr>
      <w:r>
        <w:rPr>
          <w:rFonts w:hint="eastAsia"/>
          <w:color w:val="auto"/>
        </w:rPr>
        <w:t>《建设工程安全生产管理条例》（国务院令第393号，2004年2月1日起施行）</w:t>
      </w:r>
    </w:p>
    <w:p>
      <w:pPr>
        <w:ind w:firstLine="200"/>
        <w:rPr>
          <w:rFonts w:hint="eastAsia"/>
          <w:color w:val="auto"/>
        </w:rPr>
      </w:pPr>
      <w:r>
        <w:rPr>
          <w:rFonts w:hint="eastAsia"/>
          <w:color w:val="auto"/>
        </w:rPr>
        <w:t>《地质灾害防治条例》（国务院令第39</w:t>
      </w:r>
      <w:r>
        <w:rPr>
          <w:rFonts w:hint="eastAsia"/>
          <w:color w:val="auto"/>
          <w:lang w:val="en-US" w:eastAsia="zh-CN"/>
        </w:rPr>
        <w:t>4</w:t>
      </w:r>
      <w:r>
        <w:rPr>
          <w:rFonts w:hint="eastAsia"/>
          <w:color w:val="auto"/>
        </w:rPr>
        <w:t>号，2004年</w:t>
      </w:r>
      <w:r>
        <w:rPr>
          <w:rFonts w:hint="eastAsia"/>
          <w:color w:val="auto"/>
          <w:lang w:val="en-US" w:eastAsia="zh-CN"/>
        </w:rPr>
        <w:t>3</w:t>
      </w:r>
      <w:r>
        <w:rPr>
          <w:rFonts w:hint="eastAsia"/>
          <w:color w:val="auto"/>
        </w:rPr>
        <w:t>月1日起施行）</w:t>
      </w:r>
    </w:p>
    <w:p>
      <w:pPr>
        <w:ind w:firstLine="200"/>
        <w:rPr>
          <w:rFonts w:hint="eastAsia"/>
          <w:color w:val="auto"/>
        </w:rPr>
      </w:pPr>
      <w:r>
        <w:rPr>
          <w:rFonts w:hint="eastAsia"/>
          <w:color w:val="auto"/>
        </w:rPr>
        <w:t>《劳动保障监察条例》（国务院令第423号，自2004年12月1日起施行）</w:t>
      </w:r>
    </w:p>
    <w:p>
      <w:pPr>
        <w:ind w:firstLine="200"/>
        <w:rPr>
          <w:rFonts w:hint="eastAsia"/>
          <w:color w:val="auto"/>
        </w:rPr>
      </w:pPr>
      <w:r>
        <w:rPr>
          <w:rFonts w:hint="eastAsia"/>
          <w:color w:val="auto"/>
        </w:rPr>
        <w:t>《易制毒化学品管理条例》（国务院令第4</w:t>
      </w:r>
      <w:r>
        <w:rPr>
          <w:rFonts w:hint="eastAsia" w:ascii="Times New Roman" w:eastAsia="宋体"/>
          <w:color w:val="auto"/>
          <w:lang w:val="en-US" w:eastAsia="zh-CN"/>
        </w:rPr>
        <w:t>45</w:t>
      </w:r>
      <w:r>
        <w:rPr>
          <w:rFonts w:hint="eastAsia"/>
          <w:color w:val="auto"/>
        </w:rPr>
        <w:t>号，自200</w:t>
      </w:r>
      <w:r>
        <w:rPr>
          <w:rFonts w:hint="eastAsia" w:ascii="Times New Roman" w:eastAsia="宋体"/>
          <w:color w:val="auto"/>
          <w:lang w:val="en-US" w:eastAsia="zh-CN"/>
        </w:rPr>
        <w:t>5</w:t>
      </w:r>
      <w:r>
        <w:rPr>
          <w:rFonts w:hint="eastAsia"/>
          <w:color w:val="auto"/>
        </w:rPr>
        <w:t>年</w:t>
      </w:r>
      <w:r>
        <w:rPr>
          <w:rFonts w:hint="eastAsia" w:ascii="Times New Roman" w:eastAsia="宋体"/>
          <w:color w:val="auto"/>
          <w:lang w:val="en-US" w:eastAsia="zh-CN"/>
        </w:rPr>
        <w:t>11</w:t>
      </w:r>
      <w:r>
        <w:rPr>
          <w:rFonts w:hint="eastAsia"/>
          <w:color w:val="auto"/>
        </w:rPr>
        <w:t>月1日起施行）</w:t>
      </w:r>
    </w:p>
    <w:p>
      <w:pPr>
        <w:ind w:firstLine="200"/>
        <w:rPr>
          <w:rFonts w:hint="eastAsia"/>
          <w:color w:val="auto"/>
        </w:rPr>
      </w:pPr>
      <w:r>
        <w:rPr>
          <w:rFonts w:hint="eastAsia"/>
          <w:color w:val="auto"/>
        </w:rPr>
        <w:t>《生产安全事故报告和调查处理条例》（国务院令第493号，自2007年6月1日起施行）</w:t>
      </w:r>
    </w:p>
    <w:p>
      <w:pPr>
        <w:ind w:firstLine="200"/>
        <w:rPr>
          <w:rFonts w:hint="eastAsia"/>
          <w:color w:val="auto"/>
        </w:rPr>
      </w:pPr>
      <w:r>
        <w:rPr>
          <w:rFonts w:hint="eastAsia"/>
          <w:color w:val="auto"/>
        </w:rPr>
        <w:t>《生产安全事故应急条例》（国务院令第708号，2019年4月1日起施行）</w:t>
      </w:r>
    </w:p>
    <w:p>
      <w:pPr>
        <w:pStyle w:val="4"/>
        <w:bidi w:val="0"/>
        <w:rPr>
          <w:rFonts w:hint="default"/>
          <w:color w:val="auto"/>
          <w:lang w:val="en-US" w:eastAsia="zh-CN"/>
        </w:rPr>
      </w:pPr>
      <w:bookmarkStart w:id="29" w:name="_Toc1398"/>
      <w:r>
        <w:rPr>
          <w:rFonts w:hint="eastAsia"/>
          <w:color w:val="auto"/>
          <w:lang w:val="en-US" w:eastAsia="zh-CN"/>
        </w:rPr>
        <w:t>1.2.3 部门规章</w:t>
      </w:r>
      <w:bookmarkEnd w:id="29"/>
    </w:p>
    <w:p>
      <w:pPr>
        <w:ind w:firstLine="200"/>
        <w:rPr>
          <w:rFonts w:hint="eastAsia"/>
          <w:color w:val="auto"/>
        </w:rPr>
      </w:pPr>
      <w:r>
        <w:rPr>
          <w:rFonts w:hint="eastAsia"/>
          <w:color w:val="auto"/>
        </w:rPr>
        <w:t>《安全生产事故隐患排查治理暂行规定》（国家安监总局令第16号</w:t>
      </w:r>
      <w:r>
        <w:rPr>
          <w:rFonts w:hint="eastAsia" w:eastAsia="宋体"/>
          <w:color w:val="auto"/>
          <w:lang w:eastAsia="zh-CN"/>
        </w:rPr>
        <w:t>，2008年2月1日起施行</w:t>
      </w:r>
      <w:r>
        <w:rPr>
          <w:rFonts w:hint="eastAsia"/>
          <w:color w:val="auto"/>
        </w:rPr>
        <w:t>）</w:t>
      </w:r>
    </w:p>
    <w:p>
      <w:pPr>
        <w:ind w:firstLine="200"/>
        <w:rPr>
          <w:rFonts w:hint="eastAsia"/>
          <w:color w:val="auto"/>
        </w:rPr>
      </w:pPr>
      <w:r>
        <w:rPr>
          <w:rFonts w:hint="eastAsia"/>
          <w:color w:val="auto"/>
        </w:rPr>
        <w:t>《生产安全事故信息报告和处置办法》（国家安监总局令第21号，2009年7月1日起施行）</w:t>
      </w:r>
    </w:p>
    <w:p>
      <w:pPr>
        <w:ind w:firstLine="200"/>
        <w:rPr>
          <w:rFonts w:hint="eastAsia"/>
          <w:color w:val="auto"/>
        </w:rPr>
      </w:pPr>
      <w:r>
        <w:rPr>
          <w:rFonts w:hint="eastAsia"/>
          <w:color w:val="auto"/>
        </w:rPr>
        <w:t>《作业场所职业健康管理暂行规定》（国家安监管总局令第23号，2009年9月1日起施行）</w:t>
      </w:r>
    </w:p>
    <w:p>
      <w:pPr>
        <w:ind w:firstLine="200"/>
        <w:rPr>
          <w:rFonts w:hint="eastAsia"/>
          <w:color w:val="auto"/>
        </w:rPr>
      </w:pPr>
      <w:r>
        <w:rPr>
          <w:rFonts w:hint="eastAsia"/>
          <w:color w:val="auto"/>
        </w:rPr>
        <w:t>《特种设备作业人员监督管理规定》</w:t>
      </w:r>
      <w:r>
        <w:rPr>
          <w:rFonts w:hint="eastAsia" w:eastAsia="宋体"/>
          <w:color w:val="auto"/>
          <w:lang w:eastAsia="zh-CN"/>
        </w:rPr>
        <w:t>（</w:t>
      </w:r>
      <w:r>
        <w:rPr>
          <w:rFonts w:hint="eastAsia"/>
          <w:color w:val="auto"/>
        </w:rPr>
        <w:t>国家质检总局第</w:t>
      </w:r>
      <w:r>
        <w:rPr>
          <w:rFonts w:hint="eastAsia" w:ascii="Times New Roman" w:eastAsia="宋体"/>
          <w:color w:val="auto"/>
          <w:lang w:val="en-US" w:eastAsia="zh-CN"/>
        </w:rPr>
        <w:t>140</w:t>
      </w:r>
      <w:r>
        <w:rPr>
          <w:rFonts w:hint="eastAsia"/>
          <w:color w:val="auto"/>
        </w:rPr>
        <w:t>号令</w:t>
      </w:r>
      <w:r>
        <w:rPr>
          <w:rFonts w:hint="eastAsia" w:eastAsia="宋体"/>
          <w:color w:val="auto"/>
          <w:lang w:eastAsia="zh-CN"/>
        </w:rPr>
        <w:t>，2011年7月1日起施行</w:t>
      </w:r>
      <w:r>
        <w:rPr>
          <w:rFonts w:hint="eastAsia"/>
          <w:color w:val="auto"/>
        </w:rPr>
        <w:t>）</w:t>
      </w:r>
    </w:p>
    <w:p>
      <w:pPr>
        <w:ind w:firstLine="200"/>
        <w:rPr>
          <w:rFonts w:hint="eastAsia"/>
          <w:color w:val="auto"/>
        </w:rPr>
      </w:pPr>
      <w:r>
        <w:rPr>
          <w:rFonts w:hint="eastAsia"/>
          <w:color w:val="auto"/>
        </w:rPr>
        <w:t>《建设项目安全设施“三同时”监督管理办法》（国家安监管总局令第36号，国家安全监管总局令第77号修正，2015年5月1日起施行）</w:t>
      </w:r>
    </w:p>
    <w:p>
      <w:pPr>
        <w:ind w:firstLine="200"/>
        <w:rPr>
          <w:rFonts w:hint="eastAsia"/>
          <w:color w:val="auto"/>
        </w:rPr>
      </w:pPr>
      <w:r>
        <w:rPr>
          <w:rFonts w:hint="eastAsia"/>
          <w:color w:val="auto"/>
        </w:rPr>
        <w:t>《生产经营单位安全培训规定》（国家安监总局令第3号，国家安监总局令第63号、80号修正，2015年7月1日起施行）</w:t>
      </w:r>
    </w:p>
    <w:p>
      <w:pPr>
        <w:ind w:firstLine="200"/>
        <w:rPr>
          <w:rFonts w:hint="eastAsia"/>
          <w:color w:val="auto"/>
        </w:rPr>
      </w:pPr>
      <w:r>
        <w:rPr>
          <w:rFonts w:hint="eastAsia"/>
          <w:color w:val="auto"/>
        </w:rPr>
        <w:t>《特种作业人员安全技术培训考核管理规定》（国家安监总局令第30号，国家安监总局令第63号、80号修正</w:t>
      </w:r>
      <w:r>
        <w:rPr>
          <w:rFonts w:hint="eastAsia" w:eastAsia="宋体"/>
          <w:color w:val="auto"/>
          <w:lang w:eastAsia="zh-CN"/>
        </w:rPr>
        <w:t>，2015年7月1日</w:t>
      </w:r>
      <w:r>
        <w:rPr>
          <w:rFonts w:hint="eastAsia"/>
          <w:color w:val="auto"/>
        </w:rPr>
        <w:t>起施行）</w:t>
      </w:r>
    </w:p>
    <w:p>
      <w:pPr>
        <w:ind w:firstLine="200"/>
        <w:rPr>
          <w:rFonts w:hint="eastAsia"/>
          <w:color w:val="auto"/>
        </w:rPr>
      </w:pPr>
      <w:r>
        <w:rPr>
          <w:rFonts w:hint="eastAsia"/>
          <w:color w:val="auto"/>
        </w:rPr>
        <w:t>《安全生产培训管理办法》（国家安监总局令第44号，国家安监总局令第63号、80号修正</w:t>
      </w:r>
      <w:r>
        <w:rPr>
          <w:rFonts w:hint="eastAsia" w:eastAsia="宋体"/>
          <w:color w:val="auto"/>
          <w:lang w:eastAsia="zh-CN"/>
        </w:rPr>
        <w:t>，2015年7月1日起施行</w:t>
      </w:r>
      <w:r>
        <w:rPr>
          <w:rFonts w:hint="eastAsia"/>
          <w:color w:val="auto"/>
        </w:rPr>
        <w:t>）</w:t>
      </w:r>
    </w:p>
    <w:p>
      <w:pPr>
        <w:ind w:firstLine="560"/>
        <w:rPr>
          <w:rFonts w:hint="eastAsia"/>
          <w:color w:val="auto"/>
        </w:rPr>
      </w:pPr>
      <w:r>
        <w:rPr>
          <w:rFonts w:hint="eastAsia"/>
          <w:color w:val="auto"/>
        </w:rPr>
        <w:t>《职业健康检查管理办法》（国家卫生和计划生育委员会令第5号公布，根据2019年2月28日《国家卫生健康委关于修改〈职业健康检查管理办法〉等4件部门规章的决定》第一次修订，2019年2月28日起施行）</w:t>
      </w:r>
    </w:p>
    <w:p>
      <w:pPr>
        <w:ind w:firstLine="560"/>
        <w:rPr>
          <w:rFonts w:hint="eastAsia"/>
          <w:color w:val="auto"/>
        </w:rPr>
      </w:pPr>
      <w:r>
        <w:rPr>
          <w:rFonts w:hint="eastAsia"/>
          <w:color w:val="auto"/>
        </w:rPr>
        <w:t>《生产安全事故应急预案管理办法（2019年版）》（国家安监总局令第88号，2019年7月11日应急管理部令第2号修正，2019年9月1日起施行）</w:t>
      </w:r>
    </w:p>
    <w:p>
      <w:pPr>
        <w:ind w:firstLine="200"/>
        <w:rPr>
          <w:rFonts w:hint="eastAsia"/>
          <w:color w:val="auto"/>
        </w:rPr>
      </w:pPr>
      <w:r>
        <w:rPr>
          <w:rFonts w:hint="eastAsia"/>
          <w:color w:val="auto"/>
        </w:rPr>
        <w:t>《工作场所职业卫生管理规定》（国家卫健委令第5号</w:t>
      </w:r>
      <w:r>
        <w:rPr>
          <w:rFonts w:hint="eastAsia" w:eastAsia="宋体"/>
          <w:color w:val="auto"/>
          <w:lang w:eastAsia="zh-CN"/>
        </w:rPr>
        <w:t>，2021年2月1日起施行</w:t>
      </w:r>
      <w:r>
        <w:rPr>
          <w:rFonts w:hint="eastAsia"/>
          <w:color w:val="auto"/>
        </w:rPr>
        <w:t>）</w:t>
      </w:r>
    </w:p>
    <w:p>
      <w:pPr>
        <w:ind w:firstLine="560"/>
        <w:rPr>
          <w:rFonts w:hint="eastAsia"/>
          <w:color w:val="auto"/>
        </w:rPr>
      </w:pPr>
      <w:r>
        <w:rPr>
          <w:rFonts w:hint="eastAsia"/>
          <w:color w:val="auto"/>
        </w:rPr>
        <w:t>《产业结构调整指导目录（20</w:t>
      </w:r>
      <w:r>
        <w:rPr>
          <w:rFonts w:hint="eastAsia" w:ascii="Times New Roman" w:eastAsia="宋体"/>
          <w:color w:val="auto"/>
          <w:lang w:val="en-US" w:eastAsia="zh-CN"/>
        </w:rPr>
        <w:t>19</w:t>
      </w:r>
      <w:r>
        <w:rPr>
          <w:rFonts w:hint="eastAsia"/>
          <w:color w:val="auto"/>
        </w:rPr>
        <w:t>年本）》</w:t>
      </w:r>
      <w:r>
        <w:rPr>
          <w:rFonts w:hint="eastAsia" w:eastAsia="宋体"/>
          <w:color w:val="auto"/>
          <w:lang w:eastAsia="zh-CN"/>
        </w:rPr>
        <w:t>（国家发改委令第</w:t>
      </w:r>
      <w:r>
        <w:rPr>
          <w:rFonts w:hint="eastAsia" w:ascii="Times New Roman" w:eastAsia="宋体"/>
          <w:color w:val="auto"/>
          <w:lang w:val="en-US" w:eastAsia="zh-CN"/>
        </w:rPr>
        <w:t>7</w:t>
      </w:r>
      <w:r>
        <w:rPr>
          <w:rFonts w:hint="eastAsia" w:eastAsia="宋体"/>
          <w:color w:val="auto"/>
          <w:lang w:eastAsia="zh-CN"/>
        </w:rPr>
        <w:t>号，2019年10月30日起施行）</w:t>
      </w:r>
    </w:p>
    <w:p>
      <w:pPr>
        <w:pStyle w:val="4"/>
        <w:bidi w:val="0"/>
        <w:rPr>
          <w:rFonts w:hint="default"/>
          <w:color w:val="auto"/>
          <w:lang w:val="en-US" w:eastAsia="zh-CN"/>
        </w:rPr>
      </w:pPr>
      <w:bookmarkStart w:id="30" w:name="_Toc28061"/>
      <w:r>
        <w:rPr>
          <w:rFonts w:hint="eastAsia"/>
          <w:color w:val="auto"/>
          <w:lang w:val="en-US" w:eastAsia="zh-CN"/>
        </w:rPr>
        <w:t>1.2.4 地方性法规</w:t>
      </w:r>
      <w:bookmarkEnd w:id="30"/>
    </w:p>
    <w:p>
      <w:pPr>
        <w:ind w:firstLine="200"/>
        <w:rPr>
          <w:rFonts w:hint="eastAsia"/>
          <w:color w:val="auto"/>
        </w:rPr>
      </w:pPr>
      <w:r>
        <w:rPr>
          <w:rFonts w:hint="eastAsia"/>
          <w:color w:val="auto"/>
        </w:rPr>
        <w:t>《江西省消防条例》（</w:t>
      </w:r>
      <w:r>
        <w:rPr>
          <w:rFonts w:hint="eastAsia" w:ascii="Times New Roman" w:hAnsi="Times New Roman" w:eastAsia="宋体" w:cs="Times New Roman"/>
          <w:color w:val="auto"/>
          <w:sz w:val="28"/>
          <w:szCs w:val="24"/>
        </w:rPr>
        <w:t>1995年12月20日江西省第八届人民代表大会常务委员会第十九次会议通过</w:t>
      </w:r>
      <w:r>
        <w:rPr>
          <w:rFonts w:hint="eastAsia" w:ascii="Times New Roman" w:hAnsi="Times New Roman" w:eastAsia="宋体" w:cs="Times New Roman"/>
          <w:color w:val="auto"/>
          <w:sz w:val="28"/>
          <w:szCs w:val="24"/>
          <w:lang w:eastAsia="zh-CN"/>
        </w:rPr>
        <w:t>，</w:t>
      </w:r>
      <w:r>
        <w:rPr>
          <w:rFonts w:hint="eastAsia"/>
          <w:color w:val="auto"/>
        </w:rPr>
        <w:t>2020年11月25日江西省第十三届人民代表大会常务委员会第二十五次会议第六次修正，自2010年11月9日起施行）</w:t>
      </w:r>
    </w:p>
    <w:p>
      <w:pPr>
        <w:ind w:firstLine="200"/>
        <w:rPr>
          <w:rFonts w:hint="eastAsia"/>
          <w:color w:val="auto"/>
        </w:rPr>
      </w:pPr>
      <w:r>
        <w:rPr>
          <w:rFonts w:hint="eastAsia"/>
          <w:color w:val="auto"/>
        </w:rPr>
        <w:t>《江西省安全生产条例》（2007年3月29日江西省第十届人民代表大会常务委员会第二十八次会议通过，2019年9月28日江西省第十三届人民代表大会常务委员会第十五次会议修正</w:t>
      </w:r>
      <w:r>
        <w:rPr>
          <w:rFonts w:hint="eastAsia"/>
          <w:color w:val="auto"/>
          <w:lang w:eastAsia="zh-CN"/>
        </w:rPr>
        <w:t>，</w:t>
      </w:r>
      <w:r>
        <w:rPr>
          <w:rFonts w:hint="eastAsia"/>
          <w:color w:val="auto"/>
        </w:rPr>
        <w:t>20</w:t>
      </w:r>
      <w:r>
        <w:rPr>
          <w:rFonts w:hint="eastAsia"/>
          <w:color w:val="auto"/>
          <w:lang w:val="en-US" w:eastAsia="zh-CN"/>
        </w:rPr>
        <w:t>19</w:t>
      </w:r>
      <w:r>
        <w:rPr>
          <w:rFonts w:hint="eastAsia"/>
          <w:color w:val="auto"/>
        </w:rPr>
        <w:t>年9月</w:t>
      </w:r>
      <w:r>
        <w:rPr>
          <w:rFonts w:hint="eastAsia"/>
          <w:color w:val="auto"/>
          <w:lang w:val="en-US" w:eastAsia="zh-CN"/>
        </w:rPr>
        <w:t>28</w:t>
      </w:r>
      <w:r>
        <w:rPr>
          <w:rFonts w:hint="eastAsia"/>
          <w:color w:val="auto"/>
        </w:rPr>
        <w:t>日起施行）</w:t>
      </w:r>
    </w:p>
    <w:p>
      <w:pPr>
        <w:pStyle w:val="4"/>
        <w:bidi w:val="0"/>
        <w:rPr>
          <w:rFonts w:hint="default"/>
          <w:color w:val="auto"/>
          <w:lang w:val="en-US" w:eastAsia="zh-CN"/>
        </w:rPr>
      </w:pPr>
      <w:bookmarkStart w:id="31" w:name="_Toc6786"/>
      <w:r>
        <w:rPr>
          <w:rFonts w:hint="eastAsia"/>
          <w:color w:val="auto"/>
          <w:lang w:val="en-US" w:eastAsia="zh-CN"/>
        </w:rPr>
        <w:t>1.2.5 地方政府规章</w:t>
      </w:r>
      <w:bookmarkEnd w:id="31"/>
    </w:p>
    <w:p>
      <w:pPr>
        <w:ind w:firstLine="200"/>
        <w:rPr>
          <w:rFonts w:hint="eastAsia"/>
          <w:color w:val="auto"/>
        </w:rPr>
      </w:pPr>
      <w:r>
        <w:rPr>
          <w:rFonts w:hint="eastAsia"/>
          <w:color w:val="auto"/>
        </w:rPr>
        <w:t>《江西省生产安全事故隐患排查治理办法（2021年）》（2018年10月10日省人民政府令第238号发布，2021年6月9日省人民政府令第250号第一次修正</w:t>
      </w:r>
      <w:r>
        <w:rPr>
          <w:rFonts w:hint="eastAsia" w:eastAsia="宋体"/>
          <w:color w:val="auto"/>
          <w:lang w:eastAsia="zh-CN"/>
        </w:rPr>
        <w:t>，2018年12月1日起施行</w:t>
      </w:r>
      <w:r>
        <w:rPr>
          <w:rFonts w:hint="eastAsia"/>
          <w:color w:val="auto"/>
        </w:rPr>
        <w:t>）</w:t>
      </w:r>
    </w:p>
    <w:p>
      <w:pPr>
        <w:keepNext/>
        <w:keepLines/>
        <w:widowControl w:val="0"/>
        <w:spacing w:beforeAutospacing="0" w:afterAutospacing="0" w:line="360" w:lineRule="auto"/>
        <w:ind w:left="560" w:leftChars="200" w:firstLine="0" w:firstLineChars="0"/>
        <w:jc w:val="both"/>
        <w:outlineLvl w:val="2"/>
        <w:rPr>
          <w:rFonts w:hint="eastAsia" w:ascii="Times New Roman" w:hAnsi="Times New Roman" w:eastAsia="黑体" w:cs="Times New Roman"/>
          <w:b/>
          <w:color w:val="auto"/>
          <w:kern w:val="2"/>
          <w:sz w:val="28"/>
          <w:szCs w:val="24"/>
          <w:lang w:val="en-US" w:eastAsia="zh-CN" w:bidi="ar-SA"/>
        </w:rPr>
      </w:pPr>
      <w:bookmarkStart w:id="32" w:name="_Toc5308"/>
      <w:bookmarkStart w:id="33" w:name="_Toc13913"/>
      <w:r>
        <w:rPr>
          <w:rFonts w:hint="eastAsia" w:ascii="Times New Roman" w:hAnsi="Times New Roman" w:eastAsia="黑体" w:cs="Times New Roman"/>
          <w:b/>
          <w:color w:val="auto"/>
          <w:kern w:val="2"/>
          <w:sz w:val="28"/>
          <w:szCs w:val="24"/>
          <w:lang w:val="en-US" w:eastAsia="zh-CN" w:bidi="ar-SA"/>
        </w:rPr>
        <w:t>1.2.</w:t>
      </w:r>
      <w:r>
        <w:rPr>
          <w:rFonts w:hint="eastAsia" w:eastAsia="黑体" w:cs="Times New Roman"/>
          <w:b/>
          <w:color w:val="auto"/>
          <w:kern w:val="2"/>
          <w:sz w:val="28"/>
          <w:szCs w:val="24"/>
          <w:lang w:val="en-US" w:eastAsia="zh-CN" w:bidi="ar-SA"/>
        </w:rPr>
        <w:t>6</w:t>
      </w:r>
      <w:r>
        <w:rPr>
          <w:rFonts w:hint="eastAsia" w:ascii="Times New Roman" w:hAnsi="Times New Roman" w:eastAsia="黑体" w:cs="Times New Roman"/>
          <w:b/>
          <w:color w:val="auto"/>
          <w:kern w:val="2"/>
          <w:sz w:val="28"/>
          <w:szCs w:val="24"/>
          <w:lang w:val="en-US" w:eastAsia="zh-CN" w:bidi="ar-SA"/>
        </w:rPr>
        <w:t xml:space="preserve"> 规范性文件</w:t>
      </w:r>
      <w:bookmarkEnd w:id="32"/>
      <w:bookmarkEnd w:id="33"/>
    </w:p>
    <w:p>
      <w:pPr>
        <w:ind w:firstLine="200"/>
        <w:rPr>
          <w:rFonts w:hint="eastAsia"/>
          <w:color w:val="auto"/>
          <w:lang w:val="en-US" w:eastAsia="zh-CN"/>
        </w:rPr>
      </w:pPr>
      <w:r>
        <w:rPr>
          <w:rFonts w:hint="eastAsia" w:ascii="Times New Roman" w:eastAsia="宋体"/>
          <w:color w:val="auto"/>
          <w:lang w:val="en-US" w:eastAsia="zh-CN"/>
        </w:rPr>
        <w:t>1. 国家规范性文件</w:t>
      </w:r>
    </w:p>
    <w:p>
      <w:pPr>
        <w:ind w:firstLine="200"/>
        <w:rPr>
          <w:rFonts w:hint="default"/>
          <w:color w:val="auto"/>
          <w:lang w:val="en-US" w:eastAsia="zh-CN"/>
        </w:rPr>
      </w:pPr>
      <w:r>
        <w:rPr>
          <w:rFonts w:hint="default"/>
          <w:color w:val="auto"/>
          <w:lang w:val="en-US" w:eastAsia="zh-CN"/>
        </w:rPr>
        <w:t>《国务院关于进一步加强安全生产工作的决定》（国发〔2004〕2号，2004年01月09日发布）</w:t>
      </w:r>
    </w:p>
    <w:p>
      <w:pPr>
        <w:ind w:firstLine="200"/>
        <w:rPr>
          <w:rFonts w:hint="default"/>
          <w:color w:val="auto"/>
          <w:lang w:val="en-US" w:eastAsia="zh-CN"/>
        </w:rPr>
      </w:pPr>
      <w:r>
        <w:rPr>
          <w:rFonts w:hint="default"/>
          <w:color w:val="auto"/>
          <w:lang w:val="en-US" w:eastAsia="zh-CN"/>
        </w:rPr>
        <w:t>《国务院关于进一步加强企业安全生产工作的通知》（国发〔2010〕23号，2010年7月19日颁布）</w:t>
      </w:r>
    </w:p>
    <w:p>
      <w:pPr>
        <w:ind w:firstLine="560"/>
        <w:rPr>
          <w:rFonts w:hint="eastAsia"/>
          <w:color w:val="auto"/>
        </w:rPr>
      </w:pPr>
      <w:r>
        <w:rPr>
          <w:rFonts w:hint="eastAsia"/>
          <w:color w:val="auto"/>
        </w:rPr>
        <w:t>《国务院关于加强地质灾害防治工作的决定》（国发〔2011〕20号，2011年6月13日发布）</w:t>
      </w:r>
    </w:p>
    <w:p>
      <w:pPr>
        <w:ind w:firstLine="200"/>
        <w:rPr>
          <w:rFonts w:hint="eastAsia"/>
          <w:color w:val="auto"/>
        </w:rPr>
      </w:pPr>
      <w:r>
        <w:rPr>
          <w:rFonts w:hint="eastAsia"/>
          <w:color w:val="auto"/>
        </w:rPr>
        <w:t>《国务院关于坚持科学发展安全发展促进安全生产形势持续稳定好转的意见》（国发〔2011〕40号，2011年12月02日发布）</w:t>
      </w:r>
    </w:p>
    <w:p>
      <w:pPr>
        <w:ind w:firstLine="200"/>
        <w:rPr>
          <w:rFonts w:hint="eastAsia"/>
          <w:color w:val="auto"/>
        </w:rPr>
      </w:pPr>
      <w:r>
        <w:rPr>
          <w:rFonts w:hint="eastAsia"/>
          <w:color w:val="auto"/>
        </w:rPr>
        <w:t>《国务院安委会办公室关于认真学习贯彻&lt;国务院关于坚持科学发展安全发展促进安全生产形势持续稳定好转的意见&gt;的通知》（安委办〔2011〕48号，2011年12月06日发布）</w:t>
      </w:r>
    </w:p>
    <w:p>
      <w:pPr>
        <w:ind w:firstLine="200"/>
        <w:rPr>
          <w:rFonts w:hint="eastAsia"/>
          <w:color w:val="auto"/>
        </w:rPr>
      </w:pPr>
      <w:r>
        <w:rPr>
          <w:rFonts w:hint="eastAsia"/>
          <w:color w:val="auto"/>
        </w:rPr>
        <w:t>《国务院安委办关于建立安全隐患排查治理体系的通知》（安委办〔2012〕1号，2012年1月5日发布）</w:t>
      </w:r>
    </w:p>
    <w:p>
      <w:pPr>
        <w:ind w:firstLine="200"/>
        <w:rPr>
          <w:rFonts w:hint="eastAsia"/>
          <w:color w:val="auto"/>
        </w:rPr>
      </w:pPr>
      <w:r>
        <w:rPr>
          <w:rFonts w:hint="eastAsia"/>
          <w:color w:val="auto"/>
        </w:rPr>
        <w:t>《国家安全监管总局、保监会、财政部关于印发〈安全生产责任保险实施办法〉的通知》（安监总办〔2017〕140号，2017年12月12日发布）</w:t>
      </w:r>
    </w:p>
    <w:p>
      <w:pPr>
        <w:ind w:firstLine="560" w:firstLineChars="200"/>
        <w:rPr>
          <w:rFonts w:hint="eastAsia"/>
          <w:color w:val="auto"/>
        </w:rPr>
      </w:pPr>
      <w:r>
        <w:rPr>
          <w:rFonts w:hint="eastAsia"/>
          <w:color w:val="auto"/>
        </w:rPr>
        <w:t>《国家安全监管总局办公厅关于修改用人单位劳动防护用品管理规范的通知》（安监总厅安健〔2018〕3号</w:t>
      </w:r>
      <w:r>
        <w:rPr>
          <w:rFonts w:hint="eastAsia" w:eastAsia="宋体"/>
          <w:color w:val="auto"/>
          <w:lang w:eastAsia="zh-CN"/>
        </w:rPr>
        <w:t>，20</w:t>
      </w:r>
      <w:r>
        <w:rPr>
          <w:rFonts w:hint="eastAsia" w:ascii="Times New Roman" w:eastAsia="宋体"/>
          <w:color w:val="auto"/>
          <w:lang w:val="en-US" w:eastAsia="zh-CN"/>
        </w:rPr>
        <w:t>18年01月15日发布</w:t>
      </w:r>
      <w:r>
        <w:rPr>
          <w:rFonts w:hint="eastAsia"/>
          <w:color w:val="auto"/>
        </w:rPr>
        <w:t>）</w:t>
      </w:r>
    </w:p>
    <w:p>
      <w:pPr>
        <w:ind w:firstLine="560" w:firstLineChars="200"/>
        <w:rPr>
          <w:rFonts w:hint="eastAsia"/>
          <w:color w:val="auto"/>
        </w:rPr>
      </w:pPr>
      <w:r>
        <w:rPr>
          <w:rFonts w:hint="eastAsia"/>
          <w:color w:val="auto"/>
        </w:rPr>
        <w:t>《国家安全监管总局关于宣布失效一批安全生产文件的通知》（安监总政法〔2018〕28号</w:t>
      </w:r>
      <w:r>
        <w:rPr>
          <w:rFonts w:hint="eastAsia" w:eastAsia="宋体"/>
          <w:color w:val="auto"/>
          <w:lang w:eastAsia="zh-CN"/>
        </w:rPr>
        <w:t>，</w:t>
      </w:r>
      <w:r>
        <w:rPr>
          <w:rFonts w:hint="eastAsia" w:ascii="Times New Roman" w:eastAsia="宋体"/>
          <w:color w:val="auto"/>
          <w:lang w:val="en-US" w:eastAsia="zh-CN"/>
        </w:rPr>
        <w:t>2018年2月27日发布</w:t>
      </w:r>
      <w:r>
        <w:rPr>
          <w:rFonts w:hint="eastAsia"/>
          <w:color w:val="auto"/>
        </w:rPr>
        <w:t>）</w:t>
      </w:r>
    </w:p>
    <w:p>
      <w:pPr>
        <w:ind w:firstLine="200"/>
        <w:rPr>
          <w:rFonts w:hint="eastAsia"/>
          <w:color w:val="auto"/>
          <w:lang w:val="en-US" w:eastAsia="zh-CN"/>
        </w:rPr>
      </w:pPr>
      <w:r>
        <w:rPr>
          <w:rFonts w:hint="eastAsia" w:ascii="Times New Roman" w:eastAsia="宋体"/>
          <w:color w:val="auto"/>
          <w:lang w:val="en-US" w:eastAsia="zh-CN"/>
        </w:rPr>
        <w:t>2. 地方性规范文件</w:t>
      </w:r>
    </w:p>
    <w:p>
      <w:pPr>
        <w:ind w:firstLine="200"/>
        <w:rPr>
          <w:rFonts w:hint="eastAsia"/>
          <w:color w:val="auto"/>
        </w:rPr>
      </w:pPr>
      <w:r>
        <w:rPr>
          <w:rFonts w:hint="eastAsia"/>
          <w:color w:val="auto"/>
        </w:rPr>
        <w:t>《江西省人民政府关于进一步加强企业安全生产工作的实施意见》（赣府发〔2010〕32号</w:t>
      </w:r>
      <w:r>
        <w:rPr>
          <w:rFonts w:hint="eastAsia" w:eastAsia="宋体"/>
          <w:color w:val="auto"/>
          <w:lang w:eastAsia="zh-CN"/>
        </w:rPr>
        <w:t>，2011</w:t>
      </w:r>
      <w:r>
        <w:rPr>
          <w:rFonts w:hint="eastAsia" w:ascii="Times New Roman" w:eastAsia="宋体"/>
          <w:color w:val="auto"/>
          <w:lang w:val="en-US" w:eastAsia="zh-CN"/>
        </w:rPr>
        <w:t>年</w:t>
      </w:r>
      <w:r>
        <w:rPr>
          <w:rFonts w:hint="eastAsia" w:eastAsia="宋体"/>
          <w:color w:val="auto"/>
          <w:lang w:eastAsia="zh-CN"/>
        </w:rPr>
        <w:t>03</w:t>
      </w:r>
      <w:r>
        <w:rPr>
          <w:rFonts w:hint="eastAsia" w:ascii="Times New Roman" w:eastAsia="宋体"/>
          <w:color w:val="auto"/>
          <w:lang w:val="en-US" w:eastAsia="zh-CN"/>
        </w:rPr>
        <w:t>月</w:t>
      </w:r>
      <w:r>
        <w:rPr>
          <w:rFonts w:hint="eastAsia" w:eastAsia="宋体"/>
          <w:color w:val="auto"/>
          <w:lang w:eastAsia="zh-CN"/>
        </w:rPr>
        <w:t>17</w:t>
      </w:r>
      <w:r>
        <w:rPr>
          <w:rFonts w:hint="eastAsia" w:ascii="Times New Roman" w:eastAsia="宋体"/>
          <w:color w:val="auto"/>
          <w:lang w:val="en-US" w:eastAsia="zh-CN"/>
        </w:rPr>
        <w:t>日发布</w:t>
      </w:r>
      <w:r>
        <w:rPr>
          <w:rFonts w:hint="eastAsia"/>
          <w:color w:val="auto"/>
        </w:rPr>
        <w:t>）</w:t>
      </w:r>
    </w:p>
    <w:p>
      <w:pPr>
        <w:ind w:firstLine="200"/>
        <w:rPr>
          <w:rFonts w:hint="eastAsia" w:eastAsia="宋体"/>
          <w:color w:val="auto"/>
          <w:lang w:eastAsia="zh-CN"/>
        </w:rPr>
      </w:pPr>
      <w:r>
        <w:rPr>
          <w:rFonts w:hint="eastAsia"/>
          <w:color w:val="auto"/>
        </w:rPr>
        <w:t>《关于认真做好建设项目职业卫生“三同时”工作的意见》</w:t>
      </w:r>
      <w:r>
        <w:rPr>
          <w:rFonts w:hint="eastAsia" w:eastAsia="宋体"/>
          <w:color w:val="auto"/>
          <w:lang w:eastAsia="zh-CN"/>
        </w:rPr>
        <w:t>（赣安监管安健字〔2012〕85号，2012</w:t>
      </w:r>
      <w:r>
        <w:rPr>
          <w:rFonts w:hint="eastAsia" w:ascii="Times New Roman" w:eastAsia="宋体"/>
          <w:color w:val="auto"/>
          <w:lang w:val="en-US" w:eastAsia="zh-CN"/>
        </w:rPr>
        <w:t>年</w:t>
      </w:r>
      <w:r>
        <w:rPr>
          <w:rFonts w:hint="eastAsia" w:eastAsia="宋体"/>
          <w:color w:val="auto"/>
          <w:lang w:eastAsia="zh-CN"/>
        </w:rPr>
        <w:t>03</w:t>
      </w:r>
      <w:r>
        <w:rPr>
          <w:rFonts w:hint="eastAsia" w:ascii="Times New Roman" w:eastAsia="宋体"/>
          <w:color w:val="auto"/>
          <w:lang w:val="en-US" w:eastAsia="zh-CN"/>
        </w:rPr>
        <w:t>月</w:t>
      </w:r>
      <w:r>
        <w:rPr>
          <w:rFonts w:hint="eastAsia" w:eastAsia="宋体"/>
          <w:color w:val="auto"/>
          <w:lang w:eastAsia="zh-CN"/>
        </w:rPr>
        <w:t>16</w:t>
      </w:r>
      <w:r>
        <w:rPr>
          <w:rFonts w:hint="eastAsia" w:ascii="Times New Roman" w:eastAsia="宋体"/>
          <w:color w:val="auto"/>
          <w:lang w:val="en-US" w:eastAsia="zh-CN"/>
        </w:rPr>
        <w:t>日发布</w:t>
      </w:r>
      <w:r>
        <w:rPr>
          <w:rFonts w:hint="eastAsia" w:eastAsia="宋体"/>
          <w:color w:val="auto"/>
          <w:lang w:eastAsia="zh-CN"/>
        </w:rPr>
        <w:t>）</w:t>
      </w:r>
    </w:p>
    <w:p>
      <w:pPr>
        <w:ind w:firstLine="200"/>
        <w:rPr>
          <w:rFonts w:hint="eastAsia"/>
          <w:color w:val="auto"/>
          <w:lang w:eastAsia="zh-CN"/>
        </w:rPr>
      </w:pPr>
      <w:r>
        <w:rPr>
          <w:rFonts w:hint="eastAsia"/>
          <w:color w:val="auto"/>
        </w:rPr>
        <w:t>《关于印发&lt;江西省关于进一步加强高危行业企业生产安全事故应急预案管理规定（暂行）&gt;的通知》</w:t>
      </w:r>
      <w:r>
        <w:rPr>
          <w:rFonts w:hint="eastAsia" w:eastAsia="宋体"/>
          <w:color w:val="auto"/>
          <w:lang w:eastAsia="zh-CN"/>
        </w:rPr>
        <w:t>（赣安监管应急字〔2012〕63号，2012</w:t>
      </w:r>
      <w:r>
        <w:rPr>
          <w:rFonts w:hint="eastAsia" w:ascii="Times New Roman" w:eastAsia="宋体"/>
          <w:color w:val="auto"/>
          <w:lang w:val="en-US" w:eastAsia="zh-CN"/>
        </w:rPr>
        <w:t>年</w:t>
      </w:r>
      <w:r>
        <w:rPr>
          <w:rFonts w:hint="eastAsia" w:eastAsia="宋体"/>
          <w:color w:val="auto"/>
          <w:lang w:eastAsia="zh-CN"/>
        </w:rPr>
        <w:t>0</w:t>
      </w:r>
      <w:r>
        <w:rPr>
          <w:rFonts w:hint="eastAsia" w:ascii="Times New Roman" w:eastAsia="宋体"/>
          <w:color w:val="auto"/>
          <w:lang w:val="en-US" w:eastAsia="zh-CN"/>
        </w:rPr>
        <w:t>3月</w:t>
      </w:r>
      <w:r>
        <w:rPr>
          <w:rFonts w:hint="eastAsia" w:eastAsia="宋体"/>
          <w:color w:val="auto"/>
          <w:lang w:eastAsia="zh-CN"/>
        </w:rPr>
        <w:t>0</w:t>
      </w:r>
      <w:r>
        <w:rPr>
          <w:rFonts w:hint="eastAsia" w:ascii="Times New Roman" w:eastAsia="宋体"/>
          <w:color w:val="auto"/>
          <w:lang w:val="en-US" w:eastAsia="zh-CN"/>
        </w:rPr>
        <w:t>5日发布</w:t>
      </w:r>
      <w:r>
        <w:rPr>
          <w:rFonts w:hint="eastAsia" w:eastAsia="宋体"/>
          <w:color w:val="auto"/>
          <w:lang w:eastAsia="zh-CN"/>
        </w:rPr>
        <w:t>）</w:t>
      </w:r>
    </w:p>
    <w:p>
      <w:pPr>
        <w:ind w:firstLine="200"/>
        <w:rPr>
          <w:rFonts w:hint="eastAsia" w:eastAsia="宋体"/>
          <w:color w:val="auto"/>
          <w:lang w:eastAsia="zh-CN"/>
        </w:rPr>
      </w:pPr>
      <w:r>
        <w:rPr>
          <w:rFonts w:hint="eastAsia" w:eastAsia="宋体"/>
          <w:color w:val="auto"/>
          <w:lang w:eastAsia="zh-CN"/>
        </w:rPr>
        <w:t>《关于印发《江西省建设项目职业卫生“三同时”监督管理暂行实施办法》的通知》（赣安监管安健字〔2012〕172号，2012年06月04日发布）</w:t>
      </w:r>
    </w:p>
    <w:p>
      <w:pPr>
        <w:ind w:firstLine="200"/>
        <w:rPr>
          <w:rFonts w:hint="eastAsia" w:eastAsia="宋体"/>
          <w:color w:val="auto"/>
          <w:lang w:eastAsia="zh-CN"/>
        </w:rPr>
      </w:pPr>
      <w:r>
        <w:rPr>
          <w:rFonts w:hint="eastAsia"/>
          <w:color w:val="auto"/>
        </w:rPr>
        <w:t>《江西省安监局转发国家安全监管总局关于加强金属非金属矿山选矿厂安全生产工作的通知》</w:t>
      </w:r>
      <w:r>
        <w:rPr>
          <w:rFonts w:hint="eastAsia" w:eastAsia="宋体"/>
          <w:color w:val="auto"/>
          <w:lang w:eastAsia="zh-CN"/>
        </w:rPr>
        <w:t>（</w:t>
      </w:r>
      <w:r>
        <w:rPr>
          <w:rFonts w:hint="eastAsia" w:ascii="Times New Roman" w:eastAsia="宋体"/>
          <w:color w:val="auto"/>
          <w:lang w:val="en-US" w:eastAsia="zh-CN"/>
        </w:rPr>
        <w:t>赣安监管一字〔2013〕19号</w:t>
      </w:r>
      <w:r>
        <w:rPr>
          <w:rFonts w:hint="eastAsia" w:eastAsia="宋体"/>
          <w:color w:val="auto"/>
          <w:lang w:eastAsia="zh-CN"/>
        </w:rPr>
        <w:t>，201</w:t>
      </w:r>
      <w:r>
        <w:rPr>
          <w:rFonts w:hint="eastAsia" w:ascii="Times New Roman" w:eastAsia="宋体"/>
          <w:color w:val="auto"/>
          <w:lang w:val="en-US" w:eastAsia="zh-CN"/>
        </w:rPr>
        <w:t>3年</w:t>
      </w:r>
      <w:r>
        <w:rPr>
          <w:rFonts w:hint="eastAsia" w:eastAsia="宋体"/>
          <w:color w:val="auto"/>
          <w:lang w:eastAsia="zh-CN"/>
        </w:rPr>
        <w:t>0</w:t>
      </w:r>
      <w:r>
        <w:rPr>
          <w:rFonts w:hint="eastAsia" w:ascii="Times New Roman" w:eastAsia="宋体"/>
          <w:color w:val="auto"/>
          <w:lang w:val="en-US" w:eastAsia="zh-CN"/>
        </w:rPr>
        <w:t>2月</w:t>
      </w:r>
      <w:r>
        <w:rPr>
          <w:rFonts w:hint="eastAsia" w:eastAsia="宋体"/>
          <w:color w:val="auto"/>
          <w:lang w:eastAsia="zh-CN"/>
        </w:rPr>
        <w:t>0</w:t>
      </w:r>
      <w:r>
        <w:rPr>
          <w:rFonts w:hint="eastAsia" w:ascii="Times New Roman" w:eastAsia="宋体"/>
          <w:color w:val="auto"/>
          <w:lang w:val="en-US" w:eastAsia="zh-CN"/>
        </w:rPr>
        <w:t>6日发布</w:t>
      </w:r>
      <w:r>
        <w:rPr>
          <w:rFonts w:hint="eastAsia" w:eastAsia="宋体"/>
          <w:color w:val="auto"/>
          <w:lang w:eastAsia="zh-CN"/>
        </w:rPr>
        <w:t>）</w:t>
      </w:r>
    </w:p>
    <w:p>
      <w:pPr>
        <w:ind w:firstLine="200"/>
        <w:rPr>
          <w:rFonts w:hint="eastAsia"/>
          <w:color w:val="auto"/>
        </w:rPr>
      </w:pPr>
      <w:r>
        <w:rPr>
          <w:rFonts w:hint="eastAsia"/>
          <w:color w:val="auto"/>
        </w:rPr>
        <w:t>《江西省安委会关于加强生产经营单位事故隐患排查治理工作的指导意见》（赣安〔2014〕32号</w:t>
      </w:r>
      <w:r>
        <w:rPr>
          <w:rFonts w:hint="eastAsia" w:eastAsia="宋体"/>
          <w:color w:val="auto"/>
          <w:lang w:eastAsia="zh-CN"/>
        </w:rPr>
        <w:t>，201</w:t>
      </w:r>
      <w:r>
        <w:rPr>
          <w:rFonts w:hint="eastAsia" w:ascii="Times New Roman" w:eastAsia="宋体"/>
          <w:color w:val="auto"/>
          <w:lang w:val="en-US" w:eastAsia="zh-CN"/>
        </w:rPr>
        <w:t>4年12月18日发布</w:t>
      </w:r>
      <w:r>
        <w:rPr>
          <w:rFonts w:hint="eastAsia"/>
          <w:color w:val="auto"/>
        </w:rPr>
        <w:t>）</w:t>
      </w:r>
    </w:p>
    <w:p>
      <w:pPr>
        <w:ind w:firstLine="200"/>
        <w:rPr>
          <w:rFonts w:hint="eastAsia"/>
          <w:color w:val="auto"/>
        </w:rPr>
      </w:pPr>
      <w:r>
        <w:rPr>
          <w:rFonts w:hint="eastAsia"/>
          <w:color w:val="auto"/>
        </w:rPr>
        <w:t>《江西省安委会办公室关于印发企业安全生产资料建档通用要求的通知》（赣安办字〔2016〕53号</w:t>
      </w:r>
      <w:r>
        <w:rPr>
          <w:rFonts w:hint="eastAsia" w:eastAsia="宋体"/>
          <w:color w:val="auto"/>
          <w:lang w:eastAsia="zh-CN"/>
        </w:rPr>
        <w:t>，201</w:t>
      </w:r>
      <w:r>
        <w:rPr>
          <w:rFonts w:hint="eastAsia" w:ascii="Times New Roman" w:eastAsia="宋体"/>
          <w:color w:val="auto"/>
          <w:lang w:val="en-US" w:eastAsia="zh-CN"/>
        </w:rPr>
        <w:t>6年12月18日发布</w:t>
      </w:r>
      <w:r>
        <w:rPr>
          <w:rFonts w:hint="eastAsia"/>
          <w:color w:val="auto"/>
        </w:rPr>
        <w:t>）</w:t>
      </w:r>
    </w:p>
    <w:p>
      <w:pPr>
        <w:ind w:firstLine="200"/>
        <w:rPr>
          <w:rFonts w:hint="eastAsia"/>
          <w:color w:val="auto"/>
        </w:rPr>
      </w:pPr>
      <w:r>
        <w:rPr>
          <w:rFonts w:hint="eastAsia"/>
          <w:color w:val="auto"/>
        </w:rPr>
        <w:t>《江西省安委会办公室关于印发江西省安全风险分级管控体系建设通用指南的通知》（赣安办字〔2016〕55号</w:t>
      </w:r>
      <w:r>
        <w:rPr>
          <w:rFonts w:hint="eastAsia" w:eastAsia="宋体"/>
          <w:color w:val="auto"/>
          <w:lang w:eastAsia="zh-CN"/>
        </w:rPr>
        <w:t>，201</w:t>
      </w:r>
      <w:r>
        <w:rPr>
          <w:rFonts w:hint="eastAsia" w:ascii="Times New Roman" w:eastAsia="宋体"/>
          <w:color w:val="auto"/>
          <w:lang w:val="en-US" w:eastAsia="zh-CN"/>
        </w:rPr>
        <w:t>6年12月26日发布</w:t>
      </w:r>
      <w:r>
        <w:rPr>
          <w:rFonts w:hint="eastAsia"/>
          <w:color w:val="auto"/>
        </w:rPr>
        <w:t>）</w:t>
      </w:r>
    </w:p>
    <w:p>
      <w:pPr>
        <w:ind w:firstLine="200"/>
        <w:rPr>
          <w:rFonts w:hint="eastAsia"/>
          <w:color w:val="auto"/>
        </w:rPr>
      </w:pPr>
      <w:r>
        <w:rPr>
          <w:rFonts w:hint="eastAsia"/>
          <w:color w:val="auto"/>
        </w:rPr>
        <w:t>《江西省安全生产委员会关于在全省高危行业领域实施安全生产责任保险制度的指导意见》（赣安〔2017〕22号</w:t>
      </w:r>
      <w:r>
        <w:rPr>
          <w:rFonts w:hint="eastAsia" w:eastAsia="宋体"/>
          <w:color w:val="auto"/>
          <w:lang w:eastAsia="zh-CN"/>
        </w:rPr>
        <w:t>，201</w:t>
      </w:r>
      <w:r>
        <w:rPr>
          <w:rFonts w:hint="eastAsia" w:ascii="Times New Roman" w:eastAsia="宋体"/>
          <w:color w:val="auto"/>
          <w:lang w:val="en-US" w:eastAsia="zh-CN"/>
        </w:rPr>
        <w:t>7年10月27日发布</w:t>
      </w:r>
      <w:r>
        <w:rPr>
          <w:rFonts w:hint="eastAsia"/>
          <w:color w:val="auto"/>
        </w:rPr>
        <w:t>）</w:t>
      </w:r>
    </w:p>
    <w:p>
      <w:pPr>
        <w:keepNext/>
        <w:keepLines/>
        <w:widowControl w:val="0"/>
        <w:bidi w:val="0"/>
        <w:spacing w:beforeAutospacing="0" w:afterAutospacing="0" w:line="360" w:lineRule="auto"/>
        <w:ind w:left="560" w:leftChars="200" w:firstLine="0" w:firstLineChars="0"/>
        <w:jc w:val="both"/>
        <w:outlineLvl w:val="2"/>
        <w:rPr>
          <w:rFonts w:hint="eastAsia" w:ascii="Times New Roman" w:hAnsi="Times New Roman" w:eastAsia="黑体" w:cs="Times New Roman"/>
          <w:b/>
          <w:color w:val="auto"/>
          <w:kern w:val="2"/>
          <w:sz w:val="28"/>
          <w:szCs w:val="24"/>
          <w:lang w:val="en-US" w:eastAsia="zh-CN" w:bidi="ar-SA"/>
        </w:rPr>
      </w:pPr>
      <w:bookmarkStart w:id="34" w:name="_Toc4800"/>
      <w:bookmarkStart w:id="35" w:name="_Toc25281"/>
      <w:bookmarkStart w:id="36" w:name="_Toc4691"/>
      <w:bookmarkStart w:id="37" w:name="_Toc1928"/>
      <w:bookmarkStart w:id="38" w:name="_Toc14363"/>
      <w:bookmarkStart w:id="39" w:name="_Toc20609"/>
      <w:bookmarkStart w:id="40" w:name="_Toc2888"/>
      <w:r>
        <w:rPr>
          <w:rFonts w:hint="eastAsia" w:ascii="Times New Roman" w:hAnsi="Times New Roman" w:eastAsia="黑体" w:cs="Times New Roman"/>
          <w:b/>
          <w:color w:val="auto"/>
          <w:kern w:val="2"/>
          <w:sz w:val="28"/>
          <w:szCs w:val="24"/>
          <w:lang w:val="en-US" w:eastAsia="zh-CN" w:bidi="ar-SA"/>
        </w:rPr>
        <w:t>1.2.</w:t>
      </w:r>
      <w:r>
        <w:rPr>
          <w:rFonts w:hint="eastAsia" w:eastAsia="黑体" w:cs="Times New Roman"/>
          <w:b/>
          <w:color w:val="auto"/>
          <w:kern w:val="2"/>
          <w:sz w:val="28"/>
          <w:szCs w:val="24"/>
          <w:lang w:val="en-US" w:eastAsia="zh-CN" w:bidi="ar-SA"/>
        </w:rPr>
        <w:t>7</w:t>
      </w:r>
      <w:r>
        <w:rPr>
          <w:rFonts w:hint="eastAsia" w:ascii="Times New Roman" w:hAnsi="Times New Roman" w:eastAsia="黑体" w:cs="Times New Roman"/>
          <w:b/>
          <w:color w:val="auto"/>
          <w:kern w:val="2"/>
          <w:sz w:val="28"/>
          <w:szCs w:val="24"/>
          <w:lang w:val="en-US" w:eastAsia="zh-CN" w:bidi="ar-SA"/>
        </w:rPr>
        <w:t xml:space="preserve"> 标准、规范</w:t>
      </w:r>
      <w:bookmarkEnd w:id="34"/>
      <w:bookmarkEnd w:id="35"/>
      <w:bookmarkEnd w:id="36"/>
      <w:bookmarkEnd w:id="37"/>
      <w:bookmarkEnd w:id="38"/>
      <w:bookmarkEnd w:id="39"/>
      <w:bookmarkEnd w:id="40"/>
    </w:p>
    <w:p>
      <w:pPr>
        <w:ind w:firstLine="200"/>
        <w:rPr>
          <w:rFonts w:hint="eastAsia"/>
          <w:color w:val="auto"/>
        </w:rPr>
      </w:pPr>
      <w:r>
        <w:rPr>
          <w:rFonts w:hint="eastAsia"/>
          <w:color w:val="auto"/>
        </w:rPr>
        <w:t xml:space="preserve">《企业职工伤亡事故分类》   </w:t>
      </w:r>
      <w:r>
        <w:rPr>
          <w:rFonts w:hint="eastAsia" w:ascii="Times New Roman" w:eastAsia="宋体"/>
          <w:color w:val="auto"/>
          <w:lang w:val="en-US" w:eastAsia="zh-CN"/>
        </w:rPr>
        <w:t xml:space="preserve">           </w:t>
      </w:r>
      <w:r>
        <w:rPr>
          <w:rFonts w:hint="eastAsia"/>
          <w:color w:val="auto"/>
        </w:rPr>
        <w:t xml:space="preserve">            GB6441-1986</w:t>
      </w:r>
    </w:p>
    <w:p>
      <w:pPr>
        <w:ind w:firstLine="200"/>
        <w:rPr>
          <w:rFonts w:hint="eastAsia"/>
          <w:color w:val="auto"/>
        </w:rPr>
      </w:pPr>
      <w:r>
        <w:rPr>
          <w:rFonts w:hint="eastAsia"/>
          <w:color w:val="auto"/>
        </w:rPr>
        <w:t>《焊接与切割安全》                                GB9448-1999</w:t>
      </w:r>
    </w:p>
    <w:p>
      <w:pPr>
        <w:ind w:firstLine="200"/>
        <w:rPr>
          <w:rFonts w:hint="eastAsia"/>
          <w:color w:val="auto"/>
        </w:rPr>
      </w:pPr>
      <w:r>
        <w:rPr>
          <w:rFonts w:hint="eastAsia"/>
          <w:color w:val="auto"/>
        </w:rPr>
        <w:t xml:space="preserve">《工业金属管道设计规范（2008版）》        </w:t>
      </w:r>
      <w:r>
        <w:rPr>
          <w:rFonts w:hint="eastAsia" w:ascii="Times New Roman" w:eastAsia="宋体"/>
          <w:color w:val="auto"/>
          <w:lang w:val="en-US" w:eastAsia="zh-CN"/>
        </w:rPr>
        <w:t xml:space="preserve"> </w:t>
      </w:r>
      <w:r>
        <w:rPr>
          <w:rFonts w:hint="eastAsia"/>
          <w:color w:val="auto"/>
        </w:rPr>
        <w:t xml:space="preserve">        GB50316-2000</w:t>
      </w:r>
    </w:p>
    <w:p>
      <w:pPr>
        <w:ind w:firstLine="200"/>
        <w:rPr>
          <w:rFonts w:hint="eastAsia"/>
          <w:color w:val="auto"/>
        </w:rPr>
      </w:pPr>
      <w:r>
        <w:rPr>
          <w:rFonts w:hint="eastAsia"/>
          <w:color w:val="auto"/>
        </w:rPr>
        <w:t>《工业管道的基本识别色、识别符号和安全标识》</w:t>
      </w:r>
      <w:r>
        <w:rPr>
          <w:rFonts w:hint="eastAsia" w:ascii="Times New Roman" w:hAnsi="Times New Roman" w:eastAsia="宋体"/>
          <w:color w:val="auto"/>
          <w:lang w:val="en-US" w:eastAsia="zh-CN"/>
        </w:rPr>
        <w:t xml:space="preserve">     </w:t>
      </w:r>
      <w:r>
        <w:rPr>
          <w:rFonts w:hint="eastAsia"/>
          <w:color w:val="auto"/>
        </w:rPr>
        <w:t xml:space="preserve"> GB7231-2003</w:t>
      </w:r>
    </w:p>
    <w:p>
      <w:pPr>
        <w:ind w:firstLine="200"/>
        <w:rPr>
          <w:rFonts w:hint="eastAsia"/>
          <w:color w:val="auto"/>
        </w:rPr>
      </w:pPr>
      <w:r>
        <w:rPr>
          <w:rFonts w:hint="eastAsia"/>
          <w:color w:val="auto"/>
        </w:rPr>
        <w:t>《建筑灭火器配置设计规范》                       GB50140-2005</w:t>
      </w:r>
    </w:p>
    <w:p>
      <w:pPr>
        <w:ind w:firstLine="200"/>
        <w:rPr>
          <w:rFonts w:hint="eastAsia"/>
          <w:color w:val="auto"/>
        </w:rPr>
      </w:pPr>
      <w:r>
        <w:rPr>
          <w:rFonts w:hint="eastAsia"/>
          <w:color w:val="auto"/>
        </w:rPr>
        <w:t>《防止静电事故通用导则》                         GB12158-2006</w:t>
      </w:r>
    </w:p>
    <w:p>
      <w:pPr>
        <w:ind w:firstLine="200"/>
        <w:rPr>
          <w:rFonts w:hint="eastAsia"/>
          <w:color w:val="auto"/>
        </w:rPr>
      </w:pPr>
      <w:r>
        <w:rPr>
          <w:rFonts w:hint="eastAsia"/>
          <w:color w:val="auto"/>
        </w:rPr>
        <w:t>《安全标志及其使用导则》                          GB2894-2008</w:t>
      </w:r>
    </w:p>
    <w:p>
      <w:pPr>
        <w:ind w:firstLine="200"/>
        <w:rPr>
          <w:rFonts w:hint="eastAsia"/>
          <w:color w:val="auto"/>
        </w:rPr>
      </w:pPr>
      <w:r>
        <w:rPr>
          <w:rFonts w:hint="eastAsia"/>
          <w:color w:val="auto"/>
        </w:rPr>
        <w:t>《工业企业厂内铁路、道路运输安全规程》            GB4387-2008</w:t>
      </w:r>
    </w:p>
    <w:p>
      <w:pPr>
        <w:ind w:firstLine="200"/>
        <w:rPr>
          <w:rFonts w:hint="eastAsia"/>
          <w:color w:val="auto"/>
        </w:rPr>
      </w:pPr>
      <w:r>
        <w:rPr>
          <w:rFonts w:hint="eastAsia"/>
          <w:color w:val="auto"/>
        </w:rPr>
        <w:t>《工业企业厂界环境噪声排放标准》                 GB12348-2008</w:t>
      </w:r>
    </w:p>
    <w:p>
      <w:pPr>
        <w:ind w:firstLine="200"/>
        <w:rPr>
          <w:rFonts w:hint="eastAsia"/>
          <w:color w:val="auto"/>
        </w:rPr>
      </w:pPr>
      <w:r>
        <w:rPr>
          <w:rFonts w:hint="eastAsia"/>
          <w:color w:val="auto"/>
        </w:rPr>
        <w:t>《安全色》                                        GB2893-2008</w:t>
      </w:r>
    </w:p>
    <w:p>
      <w:pPr>
        <w:ind w:firstLine="200"/>
        <w:rPr>
          <w:rFonts w:hint="eastAsia"/>
          <w:color w:val="auto"/>
        </w:rPr>
      </w:pPr>
      <w:r>
        <w:rPr>
          <w:rFonts w:hint="eastAsia"/>
          <w:color w:val="auto"/>
        </w:rPr>
        <w:t>《安全网》                                        GB5725-2009</w:t>
      </w:r>
    </w:p>
    <w:p>
      <w:pPr>
        <w:ind w:left="280" w:leftChars="100" w:firstLine="280" w:firstLineChars="100"/>
        <w:rPr>
          <w:rFonts w:hint="default" w:eastAsia="宋体"/>
          <w:color w:val="auto"/>
          <w:lang w:val="en-US" w:eastAsia="zh-CN"/>
        </w:rPr>
      </w:pPr>
      <w:r>
        <w:rPr>
          <w:rFonts w:hint="eastAsia"/>
          <w:color w:val="auto"/>
        </w:rPr>
        <w:t>《有色金属工业总图规划及运输设计标准》</w:t>
      </w:r>
      <w:r>
        <w:rPr>
          <w:rFonts w:hint="eastAsia"/>
          <w:color w:val="auto"/>
          <w:lang w:val="en-US" w:eastAsia="zh-CN"/>
        </w:rPr>
        <w:t xml:space="preserve">           </w:t>
      </w:r>
      <w:r>
        <w:rPr>
          <w:rFonts w:hint="eastAsia"/>
          <w:color w:val="auto"/>
        </w:rPr>
        <w:t>GB50544-20</w:t>
      </w:r>
      <w:r>
        <w:rPr>
          <w:rFonts w:hint="eastAsia"/>
          <w:color w:val="auto"/>
          <w:lang w:val="en-US" w:eastAsia="zh-CN"/>
        </w:rPr>
        <w:t>09</w:t>
      </w:r>
    </w:p>
    <w:p>
      <w:pPr>
        <w:ind w:firstLine="200"/>
        <w:rPr>
          <w:rFonts w:hint="eastAsia"/>
          <w:color w:val="auto"/>
        </w:rPr>
      </w:pPr>
      <w:r>
        <w:rPr>
          <w:rFonts w:hint="eastAsia"/>
          <w:color w:val="auto"/>
        </w:rPr>
        <w:t>《固定式钢梯及平台安全技术条件第1部分：钢直梯》  GB4053.1-2009</w:t>
      </w:r>
    </w:p>
    <w:p>
      <w:pPr>
        <w:ind w:firstLine="200"/>
        <w:rPr>
          <w:rFonts w:hint="eastAsia"/>
          <w:color w:val="auto"/>
        </w:rPr>
      </w:pPr>
      <w:r>
        <w:rPr>
          <w:rFonts w:hint="eastAsia"/>
          <w:color w:val="auto"/>
        </w:rPr>
        <w:t>《固定式钢梯及平台安全技术条件第2部分：钢斜梯》  GB4053.2-2009</w:t>
      </w:r>
    </w:p>
    <w:p>
      <w:pPr>
        <w:ind w:firstLine="200"/>
        <w:rPr>
          <w:rFonts w:hint="eastAsia"/>
          <w:color w:val="auto"/>
        </w:rPr>
      </w:pPr>
      <w:r>
        <w:rPr>
          <w:rFonts w:hint="eastAsia"/>
          <w:color w:val="auto"/>
        </w:rPr>
        <w:t>《固定式钢梯及平台安全技术条件第3部分：工业防护栏杆和钢平台》</w:t>
      </w:r>
    </w:p>
    <w:p>
      <w:pPr>
        <w:ind w:firstLine="200"/>
        <w:jc w:val="right"/>
        <w:rPr>
          <w:rFonts w:hint="eastAsia"/>
          <w:color w:val="auto"/>
        </w:rPr>
      </w:pPr>
      <w:r>
        <w:rPr>
          <w:rFonts w:hint="eastAsia"/>
          <w:color w:val="auto"/>
        </w:rPr>
        <w:t>GB4053.3-2009</w:t>
      </w:r>
    </w:p>
    <w:p>
      <w:pPr>
        <w:ind w:firstLine="200"/>
        <w:rPr>
          <w:rFonts w:hint="eastAsia"/>
          <w:color w:val="auto"/>
        </w:rPr>
      </w:pPr>
      <w:r>
        <w:rPr>
          <w:rFonts w:hint="eastAsia"/>
          <w:color w:val="auto"/>
        </w:rPr>
        <w:t>《矿山机械 安全标志 第1部分：通则》             GB25517.1-2010</w:t>
      </w:r>
    </w:p>
    <w:p>
      <w:pPr>
        <w:ind w:firstLine="200"/>
        <w:rPr>
          <w:rFonts w:hint="eastAsia"/>
          <w:color w:val="auto"/>
        </w:rPr>
      </w:pPr>
      <w:r>
        <w:rPr>
          <w:rFonts w:hint="eastAsia"/>
          <w:color w:val="auto"/>
        </w:rPr>
        <w:t>《矿山机械 安全标志 第2部分：危险图示符号》     GB25517.2-2010</w:t>
      </w:r>
    </w:p>
    <w:p>
      <w:pPr>
        <w:ind w:firstLine="200"/>
        <w:rPr>
          <w:rFonts w:hint="eastAsia"/>
          <w:color w:val="auto"/>
        </w:rPr>
      </w:pPr>
      <w:r>
        <w:rPr>
          <w:rFonts w:hint="eastAsia"/>
          <w:color w:val="auto"/>
        </w:rPr>
        <w:t>《建筑物防雷设计规范》                           GB50057-2010</w:t>
      </w:r>
    </w:p>
    <w:p>
      <w:pPr>
        <w:ind w:firstLine="200"/>
        <w:rPr>
          <w:rFonts w:hint="eastAsia"/>
          <w:color w:val="auto"/>
        </w:rPr>
      </w:pPr>
      <w:r>
        <w:rPr>
          <w:rFonts w:hint="eastAsia"/>
          <w:color w:val="auto"/>
        </w:rPr>
        <w:t>《混凝土结构设计规范（2015年版）》               GB50010-2010</w:t>
      </w:r>
    </w:p>
    <w:p>
      <w:pPr>
        <w:ind w:firstLine="200"/>
        <w:rPr>
          <w:rFonts w:hint="eastAsia"/>
          <w:color w:val="auto"/>
        </w:rPr>
      </w:pPr>
      <w:r>
        <w:rPr>
          <w:rFonts w:hint="eastAsia"/>
          <w:color w:val="auto"/>
        </w:rPr>
        <w:t>《建筑抗震设计规范（附条文说明）（2016年版）》       GB50011-2010</w:t>
      </w:r>
    </w:p>
    <w:p>
      <w:pPr>
        <w:ind w:firstLine="200"/>
        <w:rPr>
          <w:rFonts w:hint="eastAsia"/>
          <w:color w:val="auto"/>
        </w:rPr>
      </w:pPr>
      <w:r>
        <w:rPr>
          <w:rFonts w:hint="eastAsia"/>
          <w:color w:val="auto"/>
        </w:rPr>
        <w:t>《有色金属工业安装工程质量验收统一标准》         GB50654-2011</w:t>
      </w:r>
    </w:p>
    <w:p>
      <w:pPr>
        <w:ind w:firstLine="200"/>
        <w:rPr>
          <w:rFonts w:hint="eastAsia"/>
          <w:color w:val="auto"/>
        </w:rPr>
      </w:pPr>
      <w:r>
        <w:rPr>
          <w:rFonts w:hint="eastAsia"/>
          <w:color w:val="auto"/>
        </w:rPr>
        <w:t>《低压配电设计规范》                             GB50054-2011</w:t>
      </w:r>
    </w:p>
    <w:p>
      <w:pPr>
        <w:ind w:firstLine="200"/>
        <w:rPr>
          <w:rFonts w:hint="eastAsia"/>
          <w:color w:val="auto"/>
        </w:rPr>
      </w:pPr>
      <w:r>
        <w:rPr>
          <w:rFonts w:hint="eastAsia"/>
          <w:color w:val="auto"/>
        </w:rPr>
        <w:t>《通用用电设备配电设计规范》                     GB50055-2011</w:t>
      </w:r>
    </w:p>
    <w:p>
      <w:pPr>
        <w:ind w:firstLine="200"/>
        <w:rPr>
          <w:rFonts w:hint="eastAsia"/>
          <w:color w:val="auto"/>
        </w:rPr>
      </w:pPr>
      <w:r>
        <w:rPr>
          <w:rFonts w:hint="eastAsia"/>
          <w:color w:val="auto"/>
        </w:rPr>
        <w:t xml:space="preserve">《有色金属选矿厂工艺设计规范》       </w:t>
      </w:r>
      <w:r>
        <w:rPr>
          <w:rFonts w:hint="eastAsia" w:ascii="Times New Roman" w:eastAsia="宋体"/>
          <w:color w:val="auto"/>
          <w:lang w:val="en-US" w:eastAsia="zh-CN"/>
        </w:rPr>
        <w:t xml:space="preserve">     </w:t>
      </w:r>
      <w:r>
        <w:rPr>
          <w:rFonts w:hint="eastAsia"/>
          <w:color w:val="auto"/>
        </w:rPr>
        <w:t xml:space="preserve">    </w:t>
      </w:r>
      <w:r>
        <w:rPr>
          <w:rFonts w:hint="eastAsia" w:ascii="Times New Roman" w:eastAsia="宋体"/>
          <w:color w:val="auto"/>
          <w:lang w:val="en-US" w:eastAsia="zh-CN"/>
        </w:rPr>
        <w:t xml:space="preserve"> </w:t>
      </w:r>
      <w:r>
        <w:rPr>
          <w:rFonts w:hint="eastAsia"/>
          <w:color w:val="auto"/>
        </w:rPr>
        <w:t xml:space="preserve">  GB50782-2012</w:t>
      </w:r>
    </w:p>
    <w:p>
      <w:pPr>
        <w:ind w:firstLine="200"/>
        <w:rPr>
          <w:rFonts w:hint="eastAsia"/>
          <w:color w:val="auto"/>
        </w:rPr>
      </w:pPr>
      <w:r>
        <w:rPr>
          <w:rFonts w:hint="eastAsia"/>
          <w:color w:val="auto"/>
        </w:rPr>
        <w:t>《工业企业总平面设计规范》                       GB50187-2012</w:t>
      </w:r>
    </w:p>
    <w:p>
      <w:pPr>
        <w:ind w:firstLine="200"/>
        <w:rPr>
          <w:rFonts w:hint="eastAsia"/>
          <w:color w:val="auto"/>
        </w:rPr>
      </w:pPr>
      <w:r>
        <w:rPr>
          <w:rFonts w:hint="eastAsia"/>
          <w:color w:val="auto"/>
        </w:rPr>
        <w:t>《危险货物品名表》                               GB12268-2012</w:t>
      </w:r>
    </w:p>
    <w:p>
      <w:pPr>
        <w:ind w:firstLine="200"/>
        <w:rPr>
          <w:rFonts w:hint="eastAsia"/>
          <w:color w:val="auto"/>
        </w:rPr>
      </w:pPr>
      <w:r>
        <w:rPr>
          <w:rFonts w:hint="eastAsia"/>
          <w:color w:val="auto"/>
        </w:rPr>
        <w:t>《建筑结构荷载规范》                             GB50009-2012</w:t>
      </w:r>
    </w:p>
    <w:p>
      <w:pPr>
        <w:ind w:firstLine="200"/>
        <w:rPr>
          <w:rFonts w:hint="eastAsia"/>
          <w:color w:val="auto"/>
        </w:rPr>
      </w:pPr>
      <w:r>
        <w:rPr>
          <w:rFonts w:hint="eastAsia"/>
          <w:color w:val="auto"/>
        </w:rPr>
        <w:t>《建筑采光设计标准》                             GB50033-2013</w:t>
      </w:r>
    </w:p>
    <w:p>
      <w:pPr>
        <w:ind w:firstLine="200"/>
        <w:rPr>
          <w:rFonts w:hint="eastAsia"/>
          <w:color w:val="auto"/>
        </w:rPr>
      </w:pPr>
      <w:r>
        <w:rPr>
          <w:rFonts w:hint="eastAsia"/>
          <w:color w:val="auto"/>
        </w:rPr>
        <w:t>《建筑照明设计标准》             　              GB50034-2013</w:t>
      </w:r>
    </w:p>
    <w:p>
      <w:pPr>
        <w:ind w:firstLine="200"/>
        <w:rPr>
          <w:rFonts w:hint="eastAsia"/>
          <w:color w:val="auto"/>
        </w:rPr>
      </w:pPr>
      <w:r>
        <w:rPr>
          <w:rFonts w:hint="eastAsia"/>
          <w:color w:val="auto"/>
        </w:rPr>
        <w:t>《20kV及以下变电所设计规范》                    GB50053-2013</w:t>
      </w:r>
    </w:p>
    <w:p>
      <w:pPr>
        <w:ind w:firstLine="200"/>
        <w:rPr>
          <w:rFonts w:hint="eastAsia"/>
          <w:color w:val="auto"/>
        </w:rPr>
      </w:pPr>
      <w:r>
        <w:rPr>
          <w:rFonts w:hint="eastAsia"/>
          <w:color w:val="auto"/>
        </w:rPr>
        <w:t>《带式输送机 安全规范》                          GB14784-2013</w:t>
      </w:r>
    </w:p>
    <w:p>
      <w:pPr>
        <w:ind w:firstLine="200"/>
        <w:rPr>
          <w:rFonts w:hint="eastAsia"/>
          <w:color w:val="auto"/>
        </w:rPr>
      </w:pPr>
      <w:r>
        <w:rPr>
          <w:rFonts w:hint="eastAsia"/>
          <w:color w:val="auto"/>
        </w:rPr>
        <w:t>《建筑设计防火规范</w:t>
      </w:r>
      <w:r>
        <w:rPr>
          <w:rFonts w:hint="eastAsia" w:eastAsia="宋体"/>
          <w:color w:val="auto"/>
          <w:lang w:eastAsia="zh-CN"/>
        </w:rPr>
        <w:t>（</w:t>
      </w:r>
      <w:r>
        <w:rPr>
          <w:rFonts w:hint="eastAsia"/>
          <w:color w:val="auto"/>
        </w:rPr>
        <w:t>201</w:t>
      </w:r>
      <w:r>
        <w:rPr>
          <w:rFonts w:hint="eastAsia" w:ascii="Times New Roman" w:eastAsia="宋体"/>
          <w:color w:val="auto"/>
          <w:lang w:val="en-US" w:eastAsia="zh-CN"/>
        </w:rPr>
        <w:t>8</w:t>
      </w:r>
      <w:r>
        <w:rPr>
          <w:rFonts w:hint="eastAsia"/>
          <w:color w:val="auto"/>
        </w:rPr>
        <w:t>年版</w:t>
      </w:r>
      <w:r>
        <w:rPr>
          <w:rFonts w:hint="eastAsia" w:eastAsia="宋体"/>
          <w:color w:val="auto"/>
          <w:lang w:eastAsia="zh-CN"/>
        </w:rPr>
        <w:t>）》</w:t>
      </w:r>
      <w:r>
        <w:rPr>
          <w:rFonts w:hint="eastAsia"/>
          <w:color w:val="auto"/>
        </w:rPr>
        <w:t xml:space="preserve">         </w:t>
      </w:r>
      <w:r>
        <w:rPr>
          <w:rFonts w:hint="eastAsia" w:ascii="Times New Roman" w:eastAsia="宋体"/>
          <w:color w:val="auto"/>
          <w:lang w:val="en-US" w:eastAsia="zh-CN"/>
        </w:rPr>
        <w:t xml:space="preserve">   </w:t>
      </w:r>
      <w:r>
        <w:rPr>
          <w:rFonts w:hint="eastAsia"/>
          <w:color w:val="auto"/>
        </w:rPr>
        <w:t xml:space="preserve">     GB50016-2014</w:t>
      </w:r>
    </w:p>
    <w:p>
      <w:pPr>
        <w:ind w:firstLine="200"/>
        <w:rPr>
          <w:rFonts w:hint="eastAsia"/>
          <w:color w:val="auto"/>
        </w:rPr>
      </w:pPr>
      <w:r>
        <w:rPr>
          <w:rFonts w:hint="eastAsia"/>
          <w:color w:val="auto"/>
        </w:rPr>
        <w:t>《消防给水及消火栓系统技术规范》</w:t>
      </w:r>
      <w:r>
        <w:rPr>
          <w:rFonts w:hint="eastAsia"/>
          <w:color w:val="auto"/>
          <w:lang w:val="en-US" w:eastAsia="zh-CN"/>
        </w:rPr>
        <w:t xml:space="preserve">                 </w:t>
      </w:r>
      <w:r>
        <w:rPr>
          <w:rFonts w:hint="eastAsia"/>
          <w:color w:val="auto"/>
        </w:rPr>
        <w:t>GB50974-2014</w:t>
      </w:r>
    </w:p>
    <w:p>
      <w:pPr>
        <w:ind w:firstLine="200"/>
        <w:rPr>
          <w:rFonts w:hint="eastAsia"/>
          <w:color w:val="auto"/>
        </w:rPr>
      </w:pPr>
      <w:r>
        <w:rPr>
          <w:rFonts w:hint="eastAsia"/>
          <w:color w:val="auto"/>
        </w:rPr>
        <w:t>《中国地震动参数区划图》                         GB18306-2015</w:t>
      </w:r>
    </w:p>
    <w:p>
      <w:pPr>
        <w:ind w:firstLine="200"/>
        <w:rPr>
          <w:rFonts w:hint="eastAsia"/>
          <w:color w:val="auto"/>
        </w:rPr>
      </w:pPr>
      <w:r>
        <w:rPr>
          <w:rFonts w:hint="eastAsia"/>
          <w:color w:val="auto"/>
        </w:rPr>
        <w:t>《消防安全标志第1部分：标志》                   GB13495.1-2015</w:t>
      </w:r>
    </w:p>
    <w:p>
      <w:pPr>
        <w:ind w:firstLine="200"/>
        <w:rPr>
          <w:rFonts w:hint="eastAsia"/>
          <w:color w:val="auto"/>
        </w:rPr>
      </w:pPr>
      <w:r>
        <w:rPr>
          <w:rFonts w:hint="eastAsia"/>
          <w:color w:val="auto"/>
        </w:rPr>
        <w:t>《电气装置 安装工程电气设备交接试验标准》        GB50150-2016</w:t>
      </w:r>
    </w:p>
    <w:p>
      <w:pPr>
        <w:ind w:firstLine="200"/>
        <w:rPr>
          <w:rFonts w:hint="eastAsia"/>
          <w:color w:val="auto"/>
        </w:rPr>
      </w:pPr>
      <w:r>
        <w:rPr>
          <w:rFonts w:hint="eastAsia"/>
          <w:color w:val="auto"/>
        </w:rPr>
        <w:t>《钢结构设计标准（附条文说明</w:t>
      </w:r>
      <w:r>
        <w:rPr>
          <w:rFonts w:hint="eastAsia" w:ascii="宋体" w:eastAsia="宋体" w:cs="宋体"/>
          <w:color w:val="auto"/>
        </w:rPr>
        <w:t>[</w:t>
      </w:r>
      <w:r>
        <w:rPr>
          <w:rFonts w:hint="eastAsia"/>
          <w:color w:val="auto"/>
        </w:rPr>
        <w:t>另册</w:t>
      </w:r>
      <w:r>
        <w:rPr>
          <w:rFonts w:hint="eastAsia" w:ascii="宋体" w:eastAsia="宋体" w:cs="宋体"/>
          <w:color w:val="auto"/>
        </w:rPr>
        <w:t>]</w:t>
      </w:r>
      <w:r>
        <w:rPr>
          <w:rFonts w:hint="eastAsia"/>
          <w:color w:val="auto"/>
        </w:rPr>
        <w:t>）》             GB50017-2017</w:t>
      </w:r>
    </w:p>
    <w:p>
      <w:pPr>
        <w:ind w:firstLine="200"/>
        <w:rPr>
          <w:rFonts w:eastAsia="宋体"/>
          <w:color w:val="auto"/>
          <w:lang w:val="en-US" w:eastAsia="zh-CN"/>
        </w:rPr>
      </w:pPr>
      <w:r>
        <w:rPr>
          <w:rFonts w:hint="eastAsia"/>
          <w:color w:val="auto"/>
        </w:rPr>
        <w:t xml:space="preserve">《危险化学品重大危险源辨识》          </w:t>
      </w:r>
      <w:r>
        <w:rPr>
          <w:rFonts w:hint="eastAsia" w:ascii="Times New Roman" w:eastAsia="宋体"/>
          <w:color w:val="auto"/>
          <w:lang w:val="en-US" w:eastAsia="zh-CN"/>
        </w:rPr>
        <w:t xml:space="preserve">       </w:t>
      </w:r>
      <w:r>
        <w:rPr>
          <w:rFonts w:hint="eastAsia"/>
          <w:color w:val="auto"/>
        </w:rPr>
        <w:t xml:space="preserve">    GB18218-20</w:t>
      </w:r>
      <w:r>
        <w:rPr>
          <w:rFonts w:hint="eastAsia" w:ascii="Times New Roman" w:eastAsia="宋体"/>
          <w:color w:val="auto"/>
          <w:lang w:val="en-US" w:eastAsia="zh-CN"/>
        </w:rPr>
        <w:t>18</w:t>
      </w:r>
    </w:p>
    <w:p>
      <w:pPr>
        <w:ind w:firstLine="200"/>
        <w:rPr>
          <w:rFonts w:eastAsia="宋体"/>
          <w:color w:val="auto"/>
          <w:lang w:val="en-US" w:eastAsia="zh-CN"/>
        </w:rPr>
      </w:pPr>
      <w:r>
        <w:rPr>
          <w:rFonts w:hint="eastAsia"/>
          <w:color w:val="auto"/>
        </w:rPr>
        <w:t xml:space="preserve">《建筑给水排水设计标准》                 </w:t>
      </w:r>
      <w:r>
        <w:rPr>
          <w:rFonts w:hint="eastAsia" w:ascii="Times New Roman" w:eastAsia="宋体"/>
          <w:color w:val="auto"/>
          <w:lang w:val="en-US" w:eastAsia="zh-CN"/>
        </w:rPr>
        <w:t xml:space="preserve">      </w:t>
      </w:r>
      <w:r>
        <w:rPr>
          <w:rFonts w:hint="eastAsia"/>
          <w:color w:val="auto"/>
        </w:rPr>
        <w:t xml:space="preserve">  GB50015-20</w:t>
      </w:r>
      <w:r>
        <w:rPr>
          <w:rFonts w:hint="eastAsia" w:ascii="Times New Roman" w:eastAsia="宋体"/>
          <w:color w:val="auto"/>
          <w:lang w:val="en-US" w:eastAsia="zh-CN"/>
        </w:rPr>
        <w:t>19</w:t>
      </w:r>
    </w:p>
    <w:p>
      <w:pPr>
        <w:ind w:firstLine="200"/>
        <w:rPr>
          <w:rFonts w:hint="eastAsia" w:ascii="Times New Roman" w:eastAsia="宋体"/>
          <w:color w:val="auto"/>
          <w:lang w:val="en-US" w:eastAsia="zh-CN"/>
        </w:rPr>
      </w:pPr>
      <w:r>
        <w:rPr>
          <w:rFonts w:hint="eastAsia"/>
          <w:color w:val="auto"/>
        </w:rPr>
        <w:t xml:space="preserve">《头部防护 安全帽》                    </w:t>
      </w:r>
      <w:r>
        <w:rPr>
          <w:rFonts w:hint="eastAsia" w:ascii="Times New Roman" w:eastAsia="宋体"/>
          <w:color w:val="auto"/>
          <w:lang w:val="en-US" w:eastAsia="zh-CN"/>
        </w:rPr>
        <w:t xml:space="preserve">    </w:t>
      </w:r>
      <w:r>
        <w:rPr>
          <w:rFonts w:hint="eastAsia"/>
          <w:color w:val="auto"/>
        </w:rPr>
        <w:t xml:space="preserve">       GB2811-20</w:t>
      </w:r>
      <w:r>
        <w:rPr>
          <w:rFonts w:hint="eastAsia" w:ascii="Times New Roman" w:eastAsia="宋体"/>
          <w:color w:val="auto"/>
          <w:lang w:val="en-US" w:eastAsia="zh-CN"/>
        </w:rPr>
        <w:t>19</w:t>
      </w:r>
    </w:p>
    <w:p>
      <w:pPr>
        <w:ind w:firstLine="200"/>
        <w:rPr>
          <w:rFonts w:hint="eastAsia"/>
          <w:color w:val="auto"/>
        </w:rPr>
      </w:pPr>
      <w:r>
        <w:rPr>
          <w:rFonts w:hint="eastAsia"/>
          <w:color w:val="auto"/>
        </w:rPr>
        <w:t>《</w:t>
      </w:r>
      <w:r>
        <w:rPr>
          <w:rFonts w:hint="eastAsia" w:ascii="Times New Roman" w:eastAsia="宋体"/>
          <w:color w:val="auto"/>
          <w:lang w:val="en-US" w:eastAsia="zh-CN"/>
        </w:rPr>
        <w:t>矿山机电设备工程安装及验收标准</w:t>
      </w:r>
      <w:r>
        <w:rPr>
          <w:rFonts w:hint="eastAsia"/>
          <w:color w:val="auto"/>
        </w:rPr>
        <w:t xml:space="preserve">》    </w:t>
      </w:r>
      <w:r>
        <w:rPr>
          <w:rFonts w:hint="eastAsia" w:ascii="Times New Roman" w:eastAsia="宋体"/>
          <w:color w:val="auto"/>
          <w:lang w:val="en-US" w:eastAsia="zh-CN"/>
        </w:rPr>
        <w:t xml:space="preserve">    </w:t>
      </w:r>
      <w:r>
        <w:rPr>
          <w:rFonts w:hint="eastAsia"/>
          <w:color w:val="auto"/>
        </w:rPr>
        <w:t xml:space="preserve">       GB</w:t>
      </w:r>
      <w:r>
        <w:rPr>
          <w:rFonts w:hint="eastAsia"/>
          <w:color w:val="auto"/>
          <w:lang w:val="en-US" w:eastAsia="zh-CN"/>
        </w:rPr>
        <w:t>50377</w:t>
      </w:r>
      <w:r>
        <w:rPr>
          <w:rFonts w:hint="eastAsia"/>
          <w:color w:val="auto"/>
        </w:rPr>
        <w:t>-20</w:t>
      </w:r>
      <w:r>
        <w:rPr>
          <w:rFonts w:hint="eastAsia" w:ascii="Times New Roman" w:eastAsia="宋体"/>
          <w:color w:val="auto"/>
          <w:lang w:val="en-US" w:eastAsia="zh-CN"/>
        </w:rPr>
        <w:t>19</w:t>
      </w:r>
    </w:p>
    <w:p>
      <w:pPr>
        <w:ind w:firstLine="200"/>
        <w:rPr>
          <w:rFonts w:hint="eastAsia"/>
          <w:color w:val="auto"/>
        </w:rPr>
      </w:pPr>
      <w:r>
        <w:rPr>
          <w:rFonts w:hint="eastAsia"/>
          <w:color w:val="auto"/>
        </w:rPr>
        <w:t xml:space="preserve">《个体防护装备配备规范 第1部分：总则》 </w:t>
      </w:r>
      <w:r>
        <w:rPr>
          <w:rFonts w:hint="eastAsia" w:ascii="Times New Roman" w:hAnsi="Times New Roman" w:eastAsia="宋体"/>
          <w:color w:val="auto"/>
          <w:lang w:val="en-US" w:eastAsia="zh-CN"/>
        </w:rPr>
        <w:t xml:space="preserve">      </w:t>
      </w:r>
      <w:r>
        <w:rPr>
          <w:rFonts w:hint="eastAsia"/>
          <w:color w:val="auto"/>
        </w:rPr>
        <w:t xml:space="preserve"> </w:t>
      </w:r>
      <w:r>
        <w:rPr>
          <w:rFonts w:hint="eastAsia" w:ascii="Times New Roman" w:eastAsia="宋体"/>
          <w:color w:val="auto"/>
          <w:lang w:val="en-US" w:eastAsia="zh-CN"/>
        </w:rPr>
        <w:t xml:space="preserve"> </w:t>
      </w:r>
      <w:r>
        <w:rPr>
          <w:rFonts w:hint="eastAsia"/>
          <w:color w:val="auto"/>
        </w:rPr>
        <w:t xml:space="preserve"> GB39800.1-2020</w:t>
      </w:r>
    </w:p>
    <w:p>
      <w:pPr>
        <w:ind w:firstLine="200"/>
        <w:rPr>
          <w:rFonts w:hint="eastAsia"/>
          <w:color w:val="auto"/>
        </w:rPr>
      </w:pPr>
      <w:r>
        <w:rPr>
          <w:rFonts w:hint="eastAsia"/>
          <w:color w:val="auto"/>
        </w:rPr>
        <w:t>《个体防护装备配备规范 第</w:t>
      </w:r>
      <w:r>
        <w:rPr>
          <w:rFonts w:hint="eastAsia" w:ascii="Times New Roman" w:eastAsia="宋体"/>
          <w:color w:val="auto"/>
          <w:lang w:val="en-US" w:eastAsia="zh-CN"/>
        </w:rPr>
        <w:t>4</w:t>
      </w:r>
      <w:r>
        <w:rPr>
          <w:rFonts w:hint="eastAsia"/>
          <w:color w:val="auto"/>
        </w:rPr>
        <w:t>部分：</w:t>
      </w:r>
      <w:r>
        <w:rPr>
          <w:rFonts w:hint="eastAsia" w:ascii="Times New Roman" w:eastAsia="宋体"/>
          <w:color w:val="auto"/>
          <w:lang w:val="en-US" w:eastAsia="zh-CN"/>
        </w:rPr>
        <w:t>非煤矿山</w:t>
      </w:r>
      <w:r>
        <w:rPr>
          <w:rFonts w:hint="eastAsia"/>
          <w:color w:val="auto"/>
        </w:rPr>
        <w:t xml:space="preserve">》   </w:t>
      </w:r>
      <w:r>
        <w:rPr>
          <w:rFonts w:hint="eastAsia" w:ascii="Times New Roman" w:eastAsia="宋体"/>
          <w:color w:val="auto"/>
          <w:lang w:val="en-US" w:eastAsia="zh-CN"/>
        </w:rPr>
        <w:t xml:space="preserve"> </w:t>
      </w:r>
      <w:r>
        <w:rPr>
          <w:rFonts w:hint="eastAsia"/>
          <w:color w:val="auto"/>
        </w:rPr>
        <w:t xml:space="preserve"> GB39800.</w:t>
      </w:r>
      <w:r>
        <w:rPr>
          <w:rFonts w:hint="eastAsia" w:ascii="Times New Roman" w:eastAsia="宋体"/>
          <w:color w:val="auto"/>
          <w:lang w:val="en-US" w:eastAsia="zh-CN"/>
        </w:rPr>
        <w:t>4</w:t>
      </w:r>
      <w:r>
        <w:rPr>
          <w:rFonts w:hint="eastAsia"/>
          <w:color w:val="auto"/>
        </w:rPr>
        <w:t>-2020</w:t>
      </w:r>
    </w:p>
    <w:p>
      <w:pPr>
        <w:ind w:firstLine="200"/>
        <w:rPr>
          <w:rFonts w:hint="eastAsia"/>
          <w:color w:val="auto"/>
        </w:rPr>
      </w:pPr>
      <w:r>
        <w:rPr>
          <w:rFonts w:hint="eastAsia"/>
          <w:color w:val="auto"/>
        </w:rPr>
        <w:t xml:space="preserve">《坠落防护 安全带》      </w:t>
      </w:r>
      <w:r>
        <w:rPr>
          <w:rFonts w:hint="eastAsia" w:ascii="Times New Roman" w:eastAsia="宋体"/>
          <w:color w:val="auto"/>
          <w:lang w:val="en-US" w:eastAsia="zh-CN"/>
        </w:rPr>
        <w:t xml:space="preserve"> </w:t>
      </w:r>
      <w:r>
        <w:rPr>
          <w:rFonts w:hint="eastAsia"/>
          <w:color w:val="auto"/>
        </w:rPr>
        <w:t xml:space="preserve">          </w:t>
      </w:r>
      <w:r>
        <w:rPr>
          <w:rFonts w:hint="eastAsia" w:ascii="Times New Roman" w:eastAsia="宋体"/>
          <w:color w:val="auto"/>
          <w:lang w:val="en-US" w:eastAsia="zh-CN"/>
        </w:rPr>
        <w:t xml:space="preserve">  </w:t>
      </w:r>
      <w:r>
        <w:rPr>
          <w:rFonts w:hint="eastAsia"/>
          <w:color w:val="auto"/>
        </w:rPr>
        <w:t xml:space="preserve">  </w:t>
      </w:r>
      <w:r>
        <w:rPr>
          <w:rFonts w:hint="eastAsia" w:ascii="Times New Roman" w:eastAsia="宋体"/>
          <w:color w:val="auto"/>
          <w:lang w:val="en-US" w:eastAsia="zh-CN"/>
        </w:rPr>
        <w:t xml:space="preserve">       </w:t>
      </w:r>
      <w:r>
        <w:rPr>
          <w:rFonts w:hint="eastAsia"/>
          <w:color w:val="auto"/>
        </w:rPr>
        <w:t xml:space="preserve">   GB6095-2021</w:t>
      </w:r>
    </w:p>
    <w:p>
      <w:pPr>
        <w:ind w:firstLine="20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《选矿安全规程》                               GB/T18152-2000</w:t>
      </w:r>
    </w:p>
    <w:p>
      <w:pPr>
        <w:ind w:firstLine="200"/>
        <w:rPr>
          <w:rFonts w:hint="eastAsia"/>
          <w:color w:val="auto"/>
        </w:rPr>
      </w:pPr>
      <w:r>
        <w:rPr>
          <w:rFonts w:hint="eastAsia"/>
          <w:color w:val="auto"/>
        </w:rPr>
        <w:t xml:space="preserve">《矿山安全标志》                     </w:t>
      </w:r>
      <w:r>
        <w:rPr>
          <w:rFonts w:hint="eastAsia" w:ascii="Times New Roman" w:eastAsia="宋体"/>
          <w:color w:val="auto"/>
          <w:lang w:val="en-US" w:eastAsia="zh-CN"/>
        </w:rPr>
        <w:t xml:space="preserve">       </w:t>
      </w:r>
      <w:r>
        <w:rPr>
          <w:rFonts w:hint="eastAsia"/>
          <w:color w:val="auto"/>
        </w:rPr>
        <w:t xml:space="preserve">   GB/T14161-2008</w:t>
      </w:r>
    </w:p>
    <w:p>
      <w:pPr>
        <w:ind w:firstLine="200"/>
        <w:rPr>
          <w:rFonts w:hint="eastAsia"/>
          <w:color w:val="auto"/>
        </w:rPr>
      </w:pPr>
      <w:r>
        <w:rPr>
          <w:rFonts w:hint="eastAsia"/>
          <w:color w:val="auto"/>
        </w:rPr>
        <w:t>《高处作业分级》</w:t>
      </w:r>
      <w:r>
        <w:rPr>
          <w:rFonts w:hint="eastAsia" w:ascii="Times New Roman" w:eastAsia="宋体"/>
          <w:color w:val="auto"/>
          <w:lang w:val="en-US" w:eastAsia="zh-CN"/>
        </w:rPr>
        <w:t xml:space="preserve">                                </w:t>
      </w:r>
      <w:r>
        <w:rPr>
          <w:rFonts w:hint="eastAsia"/>
          <w:color w:val="auto"/>
        </w:rPr>
        <w:t>GB/T3608-2008</w:t>
      </w:r>
    </w:p>
    <w:p>
      <w:pPr>
        <w:ind w:firstLine="200"/>
        <w:rPr>
          <w:rFonts w:hint="eastAsia"/>
          <w:color w:val="auto"/>
        </w:rPr>
      </w:pPr>
      <w:r>
        <w:rPr>
          <w:rFonts w:hint="eastAsia"/>
          <w:color w:val="auto"/>
        </w:rPr>
        <w:t>《电力装置的继电保护和自动装置设计规范》       GB/T50062-2008</w:t>
      </w:r>
    </w:p>
    <w:p>
      <w:pPr>
        <w:ind w:firstLine="200"/>
        <w:rPr>
          <w:rFonts w:hint="eastAsia"/>
          <w:color w:val="auto"/>
        </w:rPr>
      </w:pPr>
      <w:r>
        <w:rPr>
          <w:rFonts w:hint="eastAsia"/>
          <w:color w:val="auto"/>
        </w:rPr>
        <w:t>《生产过程安全卫生要求总则》                   GB/T12801-2008</w:t>
      </w:r>
    </w:p>
    <w:p>
      <w:pPr>
        <w:ind w:firstLine="200"/>
        <w:rPr>
          <w:rFonts w:hint="eastAsia"/>
          <w:color w:val="auto"/>
        </w:rPr>
      </w:pPr>
      <w:r>
        <w:rPr>
          <w:rFonts w:hint="eastAsia"/>
          <w:color w:val="auto"/>
        </w:rPr>
        <w:t>《矿山安全术语》                               GB/T15259-2008</w:t>
      </w:r>
    </w:p>
    <w:p>
      <w:pPr>
        <w:ind w:firstLine="200"/>
        <w:rPr>
          <w:rFonts w:hint="eastAsia"/>
          <w:color w:val="auto"/>
        </w:rPr>
      </w:pPr>
      <w:r>
        <w:rPr>
          <w:rFonts w:hint="eastAsia"/>
          <w:color w:val="auto"/>
        </w:rPr>
        <w:t>《起重机 安全标志和危险图形符号 总则》         GB/T15052-2010</w:t>
      </w:r>
    </w:p>
    <w:p>
      <w:pPr>
        <w:ind w:firstLine="200"/>
        <w:rPr>
          <w:rFonts w:hint="eastAsia"/>
          <w:color w:val="auto"/>
        </w:rPr>
      </w:pPr>
      <w:r>
        <w:rPr>
          <w:rFonts w:hint="eastAsia"/>
          <w:color w:val="auto"/>
        </w:rPr>
        <w:t>《起重机械安全规程 第1部分：总则》             GB/T6067.1-2010</w:t>
      </w:r>
    </w:p>
    <w:p>
      <w:pPr>
        <w:ind w:firstLine="200"/>
        <w:rPr>
          <w:rFonts w:hint="eastAsia"/>
          <w:color w:val="auto"/>
        </w:rPr>
      </w:pPr>
      <w:r>
        <w:rPr>
          <w:rFonts w:hint="eastAsia"/>
          <w:color w:val="auto"/>
        </w:rPr>
        <w:t xml:space="preserve">《企业安全生产标准化基本规范》       </w:t>
      </w:r>
      <w:r>
        <w:rPr>
          <w:rFonts w:hint="eastAsia" w:ascii="Times New Roman" w:eastAsia="宋体"/>
          <w:color w:val="auto"/>
          <w:lang w:val="en-US" w:eastAsia="zh-CN"/>
        </w:rPr>
        <w:t xml:space="preserve">   </w:t>
      </w:r>
      <w:r>
        <w:rPr>
          <w:rFonts w:hint="eastAsia"/>
          <w:color w:val="auto"/>
        </w:rPr>
        <w:t xml:space="preserve">  </w:t>
      </w:r>
      <w:r>
        <w:rPr>
          <w:rFonts w:hint="eastAsia" w:ascii="Times New Roman" w:eastAsia="宋体"/>
          <w:color w:val="auto"/>
          <w:lang w:val="en-US" w:eastAsia="zh-CN"/>
        </w:rPr>
        <w:t xml:space="preserve">   </w:t>
      </w:r>
      <w:r>
        <w:rPr>
          <w:rFonts w:hint="eastAsia"/>
          <w:color w:val="auto"/>
        </w:rPr>
        <w:t xml:space="preserve">  GB/T33000-2016</w:t>
      </w:r>
    </w:p>
    <w:p>
      <w:pPr>
        <w:ind w:firstLine="200"/>
        <w:rPr>
          <w:rFonts w:hint="eastAsia"/>
          <w:color w:val="auto"/>
        </w:rPr>
      </w:pPr>
      <w:r>
        <w:rPr>
          <w:rFonts w:hint="eastAsia"/>
          <w:color w:val="auto"/>
        </w:rPr>
        <w:t>《工业循环冷却水处理设计规范》                 GB/T50050-2017</w:t>
      </w:r>
    </w:p>
    <w:p>
      <w:pPr>
        <w:ind w:firstLine="200"/>
        <w:rPr>
          <w:rFonts w:hint="eastAsia"/>
          <w:color w:val="auto"/>
        </w:rPr>
      </w:pPr>
      <w:r>
        <w:rPr>
          <w:rFonts w:hint="eastAsia"/>
          <w:color w:val="auto"/>
        </w:rPr>
        <w:t>《机械安全 防护装置 固定式和活动式防护装置的设计与制造一般要求》</w:t>
      </w:r>
      <w:r>
        <w:rPr>
          <w:rFonts w:hint="eastAsia" w:ascii="Times New Roman" w:eastAsia="宋体"/>
          <w:color w:val="auto"/>
          <w:lang w:val="en-US" w:eastAsia="zh-CN"/>
        </w:rPr>
        <w:t xml:space="preserve">                                                </w:t>
      </w:r>
      <w:r>
        <w:rPr>
          <w:rFonts w:hint="eastAsia"/>
          <w:color w:val="auto"/>
        </w:rPr>
        <w:t>GB/T8196-2018</w:t>
      </w:r>
    </w:p>
    <w:p>
      <w:pPr>
        <w:ind w:firstLine="200"/>
        <w:rPr>
          <w:rFonts w:hint="eastAsia"/>
          <w:color w:val="auto"/>
        </w:rPr>
      </w:pPr>
      <w:r>
        <w:rPr>
          <w:rFonts w:hint="eastAsia"/>
          <w:color w:val="auto"/>
        </w:rPr>
        <w:t>《生产经营单位生产安全事故应急预案编制导则》</w:t>
      </w:r>
      <w:r>
        <w:rPr>
          <w:rFonts w:hint="eastAsia" w:ascii="Times New Roman" w:hAnsi="Times New Roman" w:eastAsia="宋体"/>
          <w:color w:val="auto"/>
          <w:lang w:val="en-US" w:eastAsia="zh-CN"/>
        </w:rPr>
        <w:t xml:space="preserve">   </w:t>
      </w:r>
      <w:r>
        <w:rPr>
          <w:rFonts w:hint="eastAsia"/>
          <w:color w:val="auto"/>
        </w:rPr>
        <w:t>GB/T 29639-2020</w:t>
      </w:r>
    </w:p>
    <w:p>
      <w:pPr>
        <w:ind w:firstLine="200"/>
        <w:rPr>
          <w:rFonts w:hint="eastAsia"/>
          <w:color w:val="auto"/>
        </w:rPr>
      </w:pPr>
      <w:r>
        <w:rPr>
          <w:rFonts w:hint="eastAsia"/>
          <w:color w:val="auto"/>
        </w:rPr>
        <w:t xml:space="preserve">《厂矿道路设计规范》             </w:t>
      </w:r>
      <w:r>
        <w:rPr>
          <w:rFonts w:hint="eastAsia" w:ascii="Times New Roman" w:hAnsi="Times New Roman" w:eastAsia="宋体"/>
          <w:color w:val="auto"/>
          <w:lang w:val="en-US" w:eastAsia="zh-CN"/>
        </w:rPr>
        <w:t xml:space="preserve">     </w:t>
      </w:r>
      <w:r>
        <w:rPr>
          <w:rFonts w:hint="eastAsia"/>
          <w:color w:val="auto"/>
        </w:rPr>
        <w:t xml:space="preserve">             GBJ22-1987</w:t>
      </w:r>
    </w:p>
    <w:p>
      <w:pPr>
        <w:ind w:firstLine="200"/>
        <w:rPr>
          <w:rFonts w:hint="eastAsia"/>
          <w:color w:val="auto"/>
        </w:rPr>
      </w:pPr>
      <w:r>
        <w:rPr>
          <w:rFonts w:hint="eastAsia"/>
          <w:color w:val="auto"/>
        </w:rPr>
        <w:t>《工作场所有害因素职业接触限值第2部分：物理因素》</w:t>
      </w:r>
    </w:p>
    <w:p>
      <w:pPr>
        <w:ind w:firstLine="200"/>
        <w:jc w:val="right"/>
        <w:rPr>
          <w:rFonts w:hint="eastAsia"/>
          <w:color w:val="auto"/>
        </w:rPr>
      </w:pPr>
      <w:r>
        <w:rPr>
          <w:rFonts w:hint="eastAsia" w:ascii="Times New Roman" w:eastAsia="宋体"/>
          <w:color w:val="auto"/>
          <w:lang w:val="en-US" w:eastAsia="zh-CN"/>
        </w:rPr>
        <w:t xml:space="preserve"> </w:t>
      </w:r>
      <w:r>
        <w:rPr>
          <w:rFonts w:hint="eastAsia"/>
          <w:color w:val="auto"/>
        </w:rPr>
        <w:t>GBZ2.2-2007</w:t>
      </w:r>
    </w:p>
    <w:p>
      <w:pPr>
        <w:ind w:firstLine="200"/>
        <w:rPr>
          <w:rFonts w:hint="eastAsia"/>
          <w:color w:val="auto"/>
        </w:rPr>
      </w:pPr>
      <w:r>
        <w:rPr>
          <w:rFonts w:hint="eastAsia"/>
          <w:color w:val="auto"/>
        </w:rPr>
        <w:t xml:space="preserve">《工业企业设计卫生标准》         </w:t>
      </w:r>
      <w:r>
        <w:rPr>
          <w:rFonts w:hint="eastAsia" w:ascii="Times New Roman" w:eastAsia="宋体"/>
          <w:color w:val="auto"/>
          <w:lang w:val="en-US" w:eastAsia="zh-CN"/>
        </w:rPr>
        <w:t xml:space="preserve">          </w:t>
      </w:r>
      <w:r>
        <w:rPr>
          <w:rFonts w:hint="eastAsia"/>
          <w:color w:val="auto"/>
        </w:rPr>
        <w:t xml:space="preserve">         GBZ1-2010</w:t>
      </w:r>
    </w:p>
    <w:p>
      <w:pPr>
        <w:ind w:firstLine="200"/>
        <w:rPr>
          <w:rFonts w:hint="eastAsia"/>
          <w:color w:val="auto"/>
        </w:rPr>
      </w:pPr>
      <w:r>
        <w:rPr>
          <w:rFonts w:hint="eastAsia"/>
          <w:color w:val="auto"/>
        </w:rPr>
        <w:t>《工作场所有害因素职业接触限值 第1部分：化学有害因素》</w:t>
      </w:r>
    </w:p>
    <w:p>
      <w:pPr>
        <w:ind w:firstLine="200"/>
        <w:jc w:val="right"/>
        <w:rPr>
          <w:rFonts w:hint="eastAsia"/>
          <w:color w:val="auto"/>
        </w:rPr>
      </w:pPr>
      <w:r>
        <w:rPr>
          <w:rFonts w:hint="eastAsia"/>
          <w:color w:val="auto"/>
        </w:rPr>
        <w:t>GBZ 2.1-2019</w:t>
      </w:r>
    </w:p>
    <w:p>
      <w:pPr>
        <w:ind w:firstLine="200"/>
        <w:rPr>
          <w:rFonts w:hint="eastAsia"/>
          <w:color w:val="auto"/>
        </w:rPr>
      </w:pPr>
      <w:r>
        <w:rPr>
          <w:rFonts w:hint="eastAsia"/>
          <w:color w:val="auto"/>
        </w:rPr>
        <w:t xml:space="preserve">《矿山救护规程》                </w:t>
      </w:r>
      <w:r>
        <w:rPr>
          <w:rFonts w:hint="eastAsia" w:ascii="Times New Roman" w:eastAsia="宋体"/>
          <w:color w:val="auto"/>
          <w:lang w:val="en-US" w:eastAsia="zh-CN"/>
        </w:rPr>
        <w:t xml:space="preserve">        </w:t>
      </w:r>
      <w:r>
        <w:rPr>
          <w:rFonts w:hint="eastAsia"/>
          <w:color w:val="auto"/>
        </w:rPr>
        <w:t xml:space="preserve">         AQ1008－2007</w:t>
      </w:r>
    </w:p>
    <w:p>
      <w:pPr>
        <w:ind w:firstLine="200"/>
        <w:rPr>
          <w:rFonts w:hint="eastAsia"/>
          <w:color w:val="auto"/>
        </w:rPr>
      </w:pPr>
      <w:r>
        <w:rPr>
          <w:rFonts w:hint="eastAsia"/>
          <w:color w:val="auto"/>
        </w:rPr>
        <w:t xml:space="preserve">《安全评价通则》                  </w:t>
      </w:r>
      <w:r>
        <w:rPr>
          <w:rFonts w:hint="eastAsia" w:ascii="Times New Roman" w:eastAsia="宋体"/>
          <w:color w:val="auto"/>
          <w:lang w:val="en-US" w:eastAsia="zh-CN"/>
        </w:rPr>
        <w:t xml:space="preserve">       </w:t>
      </w:r>
      <w:r>
        <w:rPr>
          <w:rFonts w:hint="eastAsia"/>
          <w:color w:val="auto"/>
        </w:rPr>
        <w:t xml:space="preserve">         AQ8001-2007</w:t>
      </w:r>
    </w:p>
    <w:p>
      <w:pPr>
        <w:ind w:firstLine="200"/>
        <w:rPr>
          <w:rFonts w:hint="eastAsia"/>
          <w:color w:val="auto"/>
        </w:rPr>
      </w:pPr>
      <w:r>
        <w:rPr>
          <w:rFonts w:hint="eastAsia"/>
          <w:color w:val="auto"/>
        </w:rPr>
        <w:t xml:space="preserve">《安全预评价导则》       </w:t>
      </w:r>
      <w:r>
        <w:rPr>
          <w:rFonts w:hint="eastAsia" w:ascii="Times New Roman" w:eastAsia="宋体"/>
          <w:color w:val="auto"/>
          <w:lang w:val="en-US" w:eastAsia="zh-CN"/>
        </w:rPr>
        <w:t xml:space="preserve">       </w:t>
      </w:r>
      <w:r>
        <w:rPr>
          <w:rFonts w:hint="eastAsia"/>
          <w:color w:val="auto"/>
        </w:rPr>
        <w:t xml:space="preserve">                  AQ8002-2007</w:t>
      </w:r>
    </w:p>
    <w:p>
      <w:pPr>
        <w:ind w:firstLine="200"/>
        <w:rPr>
          <w:rFonts w:hint="eastAsia"/>
          <w:color w:val="auto"/>
        </w:rPr>
      </w:pPr>
      <w:r>
        <w:rPr>
          <w:rFonts w:hint="eastAsia"/>
          <w:color w:val="auto"/>
        </w:rPr>
        <w:t xml:space="preserve">《企业安全文化建设导则》           </w:t>
      </w:r>
      <w:r>
        <w:rPr>
          <w:rFonts w:hint="eastAsia" w:ascii="Times New Roman" w:eastAsia="宋体"/>
          <w:color w:val="auto"/>
          <w:lang w:val="en-US" w:eastAsia="zh-CN"/>
        </w:rPr>
        <w:t xml:space="preserve">       </w:t>
      </w:r>
      <w:r>
        <w:rPr>
          <w:rFonts w:hint="eastAsia"/>
          <w:color w:val="auto"/>
        </w:rPr>
        <w:t xml:space="preserve">      AQ/T9004-2008</w:t>
      </w:r>
    </w:p>
    <w:p>
      <w:pPr>
        <w:ind w:firstLine="200"/>
        <w:rPr>
          <w:rFonts w:hint="eastAsia"/>
          <w:color w:val="auto"/>
        </w:rPr>
      </w:pPr>
      <w:r>
        <w:rPr>
          <w:rFonts w:hint="eastAsia"/>
          <w:color w:val="auto"/>
        </w:rPr>
        <w:t xml:space="preserve">《企业安全文化建设评价准则》           </w:t>
      </w:r>
      <w:r>
        <w:rPr>
          <w:rFonts w:hint="eastAsia" w:ascii="Times New Roman" w:eastAsia="宋体"/>
          <w:color w:val="auto"/>
          <w:lang w:val="en-US" w:eastAsia="zh-CN"/>
        </w:rPr>
        <w:t xml:space="preserve">       </w:t>
      </w:r>
      <w:r>
        <w:rPr>
          <w:rFonts w:hint="eastAsia"/>
          <w:color w:val="auto"/>
        </w:rPr>
        <w:t xml:space="preserve">  AQ/T9005-2008</w:t>
      </w:r>
    </w:p>
    <w:p>
      <w:pPr>
        <w:ind w:firstLine="200"/>
        <w:rPr>
          <w:rFonts w:hint="eastAsia"/>
          <w:color w:val="auto"/>
        </w:rPr>
      </w:pPr>
      <w:r>
        <w:rPr>
          <w:rFonts w:hint="eastAsia"/>
          <w:color w:val="auto"/>
        </w:rPr>
        <w:t xml:space="preserve">《生产安全事故应急演练基本规范》       </w:t>
      </w:r>
      <w:r>
        <w:rPr>
          <w:rFonts w:hint="eastAsia" w:ascii="Times New Roman" w:eastAsia="宋体"/>
          <w:color w:val="auto"/>
          <w:lang w:val="en-US" w:eastAsia="zh-CN"/>
        </w:rPr>
        <w:t xml:space="preserve">      </w:t>
      </w:r>
      <w:r>
        <w:rPr>
          <w:rFonts w:hint="eastAsia"/>
          <w:color w:val="auto"/>
        </w:rPr>
        <w:t xml:space="preserve">   AQ/T 9007-2019</w:t>
      </w:r>
    </w:p>
    <w:p>
      <w:pPr>
        <w:ind w:firstLine="200"/>
        <w:rPr>
          <w:rFonts w:hint="eastAsia"/>
          <w:color w:val="auto"/>
        </w:rPr>
      </w:pPr>
      <w:r>
        <w:rPr>
          <w:rFonts w:hint="eastAsia"/>
          <w:color w:val="auto"/>
        </w:rPr>
        <w:t xml:space="preserve">《建筑施工高处作业安全技术规范》       </w:t>
      </w:r>
      <w:r>
        <w:rPr>
          <w:rFonts w:hint="eastAsia" w:ascii="Times New Roman" w:eastAsia="宋体"/>
          <w:color w:val="auto"/>
          <w:lang w:val="en-US" w:eastAsia="zh-CN"/>
        </w:rPr>
        <w:t xml:space="preserve">           </w:t>
      </w:r>
      <w:r>
        <w:rPr>
          <w:rFonts w:hint="eastAsia"/>
          <w:color w:val="auto"/>
        </w:rPr>
        <w:t xml:space="preserve">  JGJ80-2016</w:t>
      </w:r>
    </w:p>
    <w:p>
      <w:pPr>
        <w:ind w:firstLine="200"/>
        <w:rPr>
          <w:rFonts w:hint="eastAsia"/>
          <w:color w:val="auto"/>
        </w:rPr>
      </w:pPr>
      <w:r>
        <w:rPr>
          <w:rFonts w:hint="eastAsia"/>
          <w:color w:val="auto"/>
        </w:rPr>
        <w:t xml:space="preserve">《建筑施工安全检查标准》                </w:t>
      </w:r>
      <w:r>
        <w:rPr>
          <w:rFonts w:hint="eastAsia" w:ascii="Times New Roman" w:eastAsia="宋体"/>
          <w:color w:val="auto"/>
          <w:lang w:val="en-US" w:eastAsia="zh-CN"/>
        </w:rPr>
        <w:t xml:space="preserve">       </w:t>
      </w:r>
      <w:r>
        <w:rPr>
          <w:rFonts w:hint="eastAsia"/>
          <w:color w:val="auto"/>
        </w:rPr>
        <w:t xml:space="preserve">     JGJ59-2011</w:t>
      </w:r>
    </w:p>
    <w:p>
      <w:pPr>
        <w:ind w:firstLine="200"/>
        <w:rPr>
          <w:rFonts w:hint="eastAsia"/>
          <w:color w:val="auto"/>
        </w:rPr>
      </w:pPr>
      <w:r>
        <w:rPr>
          <w:rFonts w:hint="eastAsia"/>
          <w:color w:val="auto"/>
        </w:rPr>
        <w:t xml:space="preserve">《建筑施工扣件式钢管脚手架安全技术规范》 </w:t>
      </w:r>
      <w:r>
        <w:rPr>
          <w:rFonts w:hint="eastAsia" w:ascii="Times New Roman" w:eastAsia="宋体"/>
          <w:color w:val="auto"/>
          <w:lang w:val="en-US" w:eastAsia="zh-CN"/>
        </w:rPr>
        <w:t xml:space="preserve">       </w:t>
      </w:r>
      <w:r>
        <w:rPr>
          <w:rFonts w:hint="eastAsia"/>
          <w:color w:val="auto"/>
        </w:rPr>
        <w:t xml:space="preserve">   JGJ130-2011</w:t>
      </w:r>
    </w:p>
    <w:p>
      <w:pPr>
        <w:ind w:firstLine="200"/>
        <w:rPr>
          <w:rFonts w:hint="eastAsia"/>
          <w:color w:val="auto"/>
        </w:rPr>
      </w:pPr>
      <w:r>
        <w:rPr>
          <w:rFonts w:hint="eastAsia"/>
          <w:color w:val="auto"/>
        </w:rPr>
        <w:t>《中华人民共和国劳动部噪声作业分级》                LD80-1995</w:t>
      </w:r>
    </w:p>
    <w:p>
      <w:pPr>
        <w:pStyle w:val="4"/>
        <w:bidi w:val="0"/>
        <w:rPr>
          <w:rFonts w:hint="eastAsia"/>
          <w:color w:val="auto"/>
        </w:rPr>
      </w:pPr>
      <w:bookmarkStart w:id="41" w:name="_Toc22086"/>
      <w:bookmarkStart w:id="42" w:name="_Toc22184"/>
      <w:bookmarkStart w:id="43" w:name="_Toc15454"/>
      <w:bookmarkStart w:id="44" w:name="_Toc25829"/>
      <w:bookmarkStart w:id="45" w:name="_Toc1395"/>
      <w:r>
        <w:rPr>
          <w:rFonts w:hint="eastAsia"/>
          <w:color w:val="auto"/>
        </w:rPr>
        <w:t>1.2.</w:t>
      </w:r>
      <w:r>
        <w:rPr>
          <w:rFonts w:hint="eastAsia"/>
          <w:color w:val="auto"/>
          <w:lang w:val="en-US" w:eastAsia="zh-CN"/>
        </w:rPr>
        <w:t xml:space="preserve">8 </w:t>
      </w:r>
      <w:r>
        <w:rPr>
          <w:rFonts w:hint="eastAsia"/>
          <w:color w:val="auto"/>
        </w:rPr>
        <w:t>其他依据和主要参考资料</w:t>
      </w:r>
      <w:bookmarkEnd w:id="41"/>
      <w:bookmarkEnd w:id="42"/>
      <w:bookmarkEnd w:id="43"/>
      <w:bookmarkEnd w:id="44"/>
      <w:bookmarkEnd w:id="45"/>
    </w:p>
    <w:p>
      <w:pPr>
        <w:rPr>
          <w:rFonts w:hint="eastAsia"/>
          <w:strike w:val="0"/>
          <w:dstrike w:val="0"/>
          <w:color w:val="auto"/>
        </w:rPr>
      </w:pPr>
      <w:r>
        <w:rPr>
          <w:rFonts w:hint="eastAsia"/>
          <w:strike w:val="0"/>
          <w:dstrike w:val="0"/>
          <w:color w:val="auto"/>
        </w:rPr>
        <w:t>1、企业法人营业执照</w:t>
      </w:r>
    </w:p>
    <w:p>
      <w:pPr>
        <w:rPr>
          <w:rFonts w:hint="eastAsia"/>
          <w:strike w:val="0"/>
          <w:dstrike w:val="0"/>
          <w:color w:val="auto"/>
          <w:lang w:val="en-US" w:eastAsia="zh-CN"/>
        </w:rPr>
      </w:pPr>
      <w:r>
        <w:rPr>
          <w:rFonts w:hint="eastAsia"/>
          <w:strike w:val="0"/>
          <w:dstrike w:val="0"/>
          <w:color w:val="auto"/>
          <w:lang w:val="en-US" w:eastAsia="zh-CN"/>
        </w:rPr>
        <w:t>2、《江西省于都县小东坑钨矿实验室流程试验研究报告》（赣州有色冶金研究所，2018年6月）</w:t>
      </w:r>
    </w:p>
    <w:p>
      <w:pPr>
        <w:rPr>
          <w:rFonts w:hint="default"/>
          <w:strike w:val="0"/>
          <w:dstrike w:val="0"/>
          <w:color w:val="auto"/>
          <w:lang w:val="en-US" w:eastAsia="zh-CN"/>
        </w:rPr>
      </w:pPr>
      <w:r>
        <w:rPr>
          <w:rFonts w:hint="eastAsia"/>
          <w:strike w:val="0"/>
          <w:dstrike w:val="0"/>
          <w:color w:val="auto"/>
          <w:lang w:val="en-US" w:eastAsia="zh-CN"/>
        </w:rPr>
        <w:t>3、《江西省于都县小东坑钨矿选矿扩大流程试验研究报告》（赣州有色冶金研究所，2019年9月）</w:t>
      </w:r>
    </w:p>
    <w:p>
      <w:pPr>
        <w:rPr>
          <w:rFonts w:hint="eastAsia"/>
          <w:strike w:val="0"/>
          <w:dstrike w:val="0"/>
          <w:color w:val="auto"/>
        </w:rPr>
      </w:pPr>
      <w:r>
        <w:rPr>
          <w:rFonts w:hint="eastAsia"/>
          <w:strike w:val="0"/>
          <w:dstrike w:val="0"/>
          <w:color w:val="auto"/>
          <w:lang w:val="en-US" w:eastAsia="zh-CN"/>
        </w:rPr>
        <w:t>4</w:t>
      </w:r>
      <w:r>
        <w:rPr>
          <w:rFonts w:hint="eastAsia"/>
          <w:strike w:val="0"/>
          <w:dstrike w:val="0"/>
          <w:color w:val="auto"/>
        </w:rPr>
        <w:t>、《于都小东坑矿业有限公司小东坑钨矿区30万吨/年矿山工程建设项目可行性研究报告》（中钢集团马鞍山矿院工程勘察设计有限公司，20</w:t>
      </w:r>
      <w:r>
        <w:rPr>
          <w:rFonts w:hint="eastAsia"/>
          <w:strike w:val="0"/>
          <w:dstrike w:val="0"/>
          <w:color w:val="auto"/>
          <w:lang w:val="en-US" w:eastAsia="zh-CN"/>
        </w:rPr>
        <w:t>21</w:t>
      </w:r>
      <w:r>
        <w:rPr>
          <w:rFonts w:hint="eastAsia"/>
          <w:strike w:val="0"/>
          <w:dstrike w:val="0"/>
          <w:color w:val="auto"/>
        </w:rPr>
        <w:t>年</w:t>
      </w:r>
      <w:r>
        <w:rPr>
          <w:rFonts w:hint="eastAsia"/>
          <w:strike w:val="0"/>
          <w:dstrike w:val="0"/>
          <w:color w:val="auto"/>
          <w:lang w:val="en-US" w:eastAsia="zh-CN"/>
        </w:rPr>
        <w:t>8</w:t>
      </w:r>
      <w:r>
        <w:rPr>
          <w:rFonts w:hint="eastAsia"/>
          <w:strike w:val="0"/>
          <w:dstrike w:val="0"/>
          <w:color w:val="auto"/>
        </w:rPr>
        <w:t>月）</w:t>
      </w:r>
    </w:p>
    <w:p>
      <w:pPr>
        <w:rPr>
          <w:rFonts w:hint="eastAsia" w:eastAsia="宋体"/>
          <w:strike w:val="0"/>
          <w:dstrike w:val="0"/>
          <w:color w:val="auto"/>
          <w:lang w:val="en-US" w:eastAsia="zh-CN"/>
        </w:rPr>
      </w:pPr>
      <w:r>
        <w:rPr>
          <w:rFonts w:hint="eastAsia"/>
          <w:strike w:val="0"/>
          <w:dstrike w:val="0"/>
          <w:color w:val="auto"/>
          <w:lang w:val="en-US" w:eastAsia="zh-CN"/>
        </w:rPr>
        <w:t>5、</w:t>
      </w:r>
      <w:r>
        <w:rPr>
          <w:rFonts w:hint="eastAsia"/>
          <w:strike w:val="0"/>
          <w:dstrike w:val="0"/>
          <w:color w:val="auto"/>
        </w:rPr>
        <w:t>《江西省于都县小东坑钨矿采选项目选矿厂岩土工程勘察报告（详 勘）》（江西金新勘测工程有限公司，20</w:t>
      </w:r>
      <w:r>
        <w:rPr>
          <w:rFonts w:hint="eastAsia"/>
          <w:strike w:val="0"/>
          <w:dstrike w:val="0"/>
          <w:color w:val="auto"/>
          <w:lang w:val="en-US" w:eastAsia="zh-CN"/>
        </w:rPr>
        <w:t>21</w:t>
      </w:r>
      <w:r>
        <w:rPr>
          <w:rFonts w:hint="eastAsia"/>
          <w:strike w:val="0"/>
          <w:dstrike w:val="0"/>
          <w:color w:val="auto"/>
        </w:rPr>
        <w:t>年</w:t>
      </w:r>
      <w:r>
        <w:rPr>
          <w:rFonts w:hint="eastAsia"/>
          <w:strike w:val="0"/>
          <w:dstrike w:val="0"/>
          <w:color w:val="auto"/>
          <w:lang w:val="en-US" w:eastAsia="zh-CN"/>
        </w:rPr>
        <w:t>12</w:t>
      </w:r>
      <w:r>
        <w:rPr>
          <w:rFonts w:hint="eastAsia"/>
          <w:strike w:val="0"/>
          <w:dstrike w:val="0"/>
          <w:color w:val="auto"/>
        </w:rPr>
        <w:t>月）</w:t>
      </w:r>
    </w:p>
    <w:p>
      <w:pPr>
        <w:rPr>
          <w:rFonts w:hint="eastAsia"/>
          <w:strike w:val="0"/>
          <w:dstrike w:val="0"/>
          <w:color w:val="auto"/>
        </w:rPr>
      </w:pPr>
      <w:r>
        <w:rPr>
          <w:rFonts w:hint="eastAsia"/>
          <w:strike w:val="0"/>
          <w:dstrike w:val="0"/>
          <w:color w:val="auto"/>
          <w:lang w:val="en-US" w:eastAsia="zh-CN"/>
        </w:rPr>
        <w:t>6</w:t>
      </w:r>
      <w:r>
        <w:rPr>
          <w:rFonts w:hint="eastAsia"/>
          <w:strike w:val="0"/>
          <w:dstrike w:val="0"/>
          <w:color w:val="auto"/>
        </w:rPr>
        <w:t>、企业提供的相关技术文件、证照、图纸</w:t>
      </w:r>
    </w:p>
    <w:p>
      <w:pPr>
        <w:pStyle w:val="3"/>
        <w:bidi w:val="0"/>
        <w:rPr>
          <w:rFonts w:hint="eastAsia"/>
          <w:color w:val="auto"/>
        </w:rPr>
      </w:pPr>
      <w:bookmarkStart w:id="46" w:name="_Toc8572"/>
      <w:bookmarkStart w:id="47" w:name="_Toc1915"/>
      <w:bookmarkStart w:id="48" w:name="_Toc11894"/>
      <w:bookmarkStart w:id="49" w:name="_Toc12389"/>
      <w:bookmarkStart w:id="50" w:name="_Toc13537"/>
      <w:r>
        <w:rPr>
          <w:rFonts w:hint="eastAsia"/>
          <w:color w:val="auto"/>
        </w:rPr>
        <w:t>1.3</w:t>
      </w:r>
      <w:r>
        <w:rPr>
          <w:rFonts w:hint="eastAsia"/>
          <w:color w:val="auto"/>
          <w:lang w:val="en-US" w:eastAsia="zh-CN"/>
        </w:rPr>
        <w:t xml:space="preserve"> </w:t>
      </w:r>
      <w:r>
        <w:rPr>
          <w:rFonts w:hint="eastAsia"/>
          <w:color w:val="auto"/>
        </w:rPr>
        <w:t>评价对象、范围</w:t>
      </w:r>
      <w:bookmarkEnd w:id="46"/>
      <w:bookmarkEnd w:id="47"/>
      <w:bookmarkEnd w:id="48"/>
      <w:bookmarkEnd w:id="49"/>
      <w:bookmarkEnd w:id="50"/>
    </w:p>
    <w:p>
      <w:pPr>
        <w:rPr>
          <w:rFonts w:hint="eastAsia"/>
          <w:color w:val="auto"/>
        </w:rPr>
      </w:pPr>
      <w:r>
        <w:rPr>
          <w:rFonts w:hint="eastAsia"/>
          <w:color w:val="auto"/>
        </w:rPr>
        <w:t>评价对象：于都小东坑矿业有限公司选矿厂工程建设项目。</w:t>
      </w:r>
    </w:p>
    <w:p>
      <w:pPr>
        <w:rPr>
          <w:rFonts w:hint="eastAsia"/>
          <w:color w:val="auto"/>
        </w:rPr>
      </w:pPr>
      <w:r>
        <w:rPr>
          <w:rFonts w:hint="eastAsia"/>
          <w:color w:val="auto"/>
        </w:rPr>
        <w:t>评价范围：</w:t>
      </w:r>
      <w:r>
        <w:rPr>
          <w:rFonts w:hint="eastAsia"/>
          <w:color w:val="auto"/>
          <w:lang w:val="en-US" w:eastAsia="zh-CN"/>
        </w:rPr>
        <w:t>选矿厂新建</w:t>
      </w:r>
      <w:r>
        <w:rPr>
          <w:rFonts w:hint="eastAsia"/>
          <w:color w:val="auto"/>
        </w:rPr>
        <w:t>工程，主要包括</w:t>
      </w:r>
      <w:r>
        <w:rPr>
          <w:rFonts w:hint="default"/>
          <w:color w:val="auto"/>
          <w:lang w:val="en-US" w:eastAsia="zh-CN"/>
        </w:rPr>
        <w:t>厂址选择</w:t>
      </w:r>
      <w:r>
        <w:rPr>
          <w:rFonts w:hint="eastAsia"/>
          <w:color w:val="auto"/>
          <w:lang w:val="en-US" w:eastAsia="zh-CN"/>
        </w:rPr>
        <w:t>、</w:t>
      </w:r>
      <w:r>
        <w:rPr>
          <w:rFonts w:hint="eastAsia"/>
          <w:color w:val="auto"/>
        </w:rPr>
        <w:t>总图布置</w:t>
      </w:r>
      <w:r>
        <w:rPr>
          <w:rFonts w:hint="eastAsia"/>
          <w:color w:val="auto"/>
          <w:lang w:eastAsia="zh-CN"/>
        </w:rPr>
        <w:t>、</w:t>
      </w:r>
      <w:r>
        <w:rPr>
          <w:rFonts w:hint="eastAsia"/>
          <w:color w:val="auto"/>
        </w:rPr>
        <w:t>生产工艺流程、公用及辅助设施等。</w:t>
      </w:r>
      <w:r>
        <w:rPr>
          <w:rFonts w:hint="eastAsia"/>
          <w:color w:val="auto"/>
          <w:lang w:eastAsia="zh-CN"/>
        </w:rPr>
        <w:t>尾矿</w:t>
      </w:r>
      <w:r>
        <w:rPr>
          <w:rFonts w:hint="eastAsia"/>
          <w:color w:val="auto"/>
          <w:lang w:val="en-US" w:eastAsia="zh-CN"/>
        </w:rPr>
        <w:t>库及选矿厂</w:t>
      </w:r>
      <w:r>
        <w:rPr>
          <w:rFonts w:hint="eastAsia"/>
          <w:color w:val="auto"/>
        </w:rPr>
        <w:t>职业卫生</w:t>
      </w:r>
      <w:r>
        <w:rPr>
          <w:rFonts w:hint="eastAsia"/>
          <w:color w:val="auto"/>
          <w:lang w:eastAsia="zh-CN"/>
        </w:rPr>
        <w:t>、</w:t>
      </w:r>
      <w:r>
        <w:rPr>
          <w:rFonts w:hint="eastAsia"/>
          <w:color w:val="auto"/>
          <w:lang w:val="en-US" w:eastAsia="zh-CN"/>
        </w:rPr>
        <w:t>水土保持、环境保护等</w:t>
      </w:r>
      <w:r>
        <w:rPr>
          <w:rFonts w:hint="eastAsia"/>
          <w:color w:val="auto"/>
        </w:rPr>
        <w:t>相关内容不在</w:t>
      </w:r>
      <w:r>
        <w:rPr>
          <w:rFonts w:hint="eastAsia"/>
          <w:color w:val="auto"/>
          <w:lang w:val="en-US" w:eastAsia="zh-CN"/>
        </w:rPr>
        <w:t>本次</w:t>
      </w:r>
      <w:r>
        <w:rPr>
          <w:rFonts w:hint="eastAsia"/>
          <w:color w:val="auto"/>
        </w:rPr>
        <w:t>评价范围内。</w:t>
      </w:r>
    </w:p>
    <w:p>
      <w:pPr>
        <w:pStyle w:val="3"/>
        <w:bidi w:val="0"/>
        <w:rPr>
          <w:rFonts w:hint="eastAsia"/>
          <w:color w:val="auto"/>
        </w:rPr>
      </w:pPr>
      <w:bookmarkStart w:id="51" w:name="_Toc13136"/>
      <w:bookmarkStart w:id="52" w:name="_Toc23470"/>
      <w:bookmarkStart w:id="53" w:name="_Toc9731"/>
      <w:bookmarkStart w:id="54" w:name="_Toc19784"/>
      <w:bookmarkStart w:id="55" w:name="_Toc28657"/>
      <w:r>
        <w:rPr>
          <w:rFonts w:hint="eastAsia"/>
          <w:color w:val="auto"/>
        </w:rPr>
        <w:t>1.4</w:t>
      </w:r>
      <w:r>
        <w:rPr>
          <w:rFonts w:hint="eastAsia"/>
          <w:color w:val="auto"/>
          <w:lang w:val="en-US" w:eastAsia="zh-CN"/>
        </w:rPr>
        <w:t xml:space="preserve"> </w:t>
      </w:r>
      <w:r>
        <w:rPr>
          <w:rFonts w:hint="eastAsia"/>
          <w:color w:val="auto"/>
        </w:rPr>
        <w:t>评价程序</w:t>
      </w:r>
      <w:bookmarkEnd w:id="51"/>
      <w:bookmarkEnd w:id="52"/>
      <w:bookmarkEnd w:id="53"/>
      <w:bookmarkEnd w:id="54"/>
      <w:bookmarkEnd w:id="55"/>
    </w:p>
    <w:p>
      <w:pPr>
        <w:rPr>
          <w:rFonts w:hint="eastAsia"/>
          <w:color w:val="auto"/>
        </w:rPr>
      </w:pPr>
      <w:r>
        <w:rPr>
          <w:rFonts w:hint="eastAsia"/>
          <w:color w:val="auto"/>
        </w:rPr>
        <w:t>安全评价程序包括：前期准备；辨识与分析危险、有害因素；划分评价单元；</w:t>
      </w:r>
      <w:r>
        <w:rPr>
          <w:rFonts w:hint="eastAsia" w:ascii="Times New Roman" w:eastAsia="宋体"/>
          <w:color w:val="auto"/>
          <w:lang w:val="en-US" w:eastAsia="zh-CN"/>
        </w:rPr>
        <w:t>选择评价方法；</w:t>
      </w:r>
      <w:r>
        <w:rPr>
          <w:rFonts w:hint="eastAsia"/>
          <w:color w:val="auto"/>
        </w:rPr>
        <w:t>定性、定量评价；提出安全对策措施建议；做出评价结论；编制安全评价报告。</w:t>
      </w:r>
    </w:p>
    <w:p>
      <w:pPr>
        <w:numPr>
          <w:ilvl w:val="0"/>
          <w:numId w:val="2"/>
        </w:numPr>
        <w:rPr>
          <w:rFonts w:hint="eastAsia"/>
          <w:color w:val="auto"/>
        </w:rPr>
      </w:pPr>
      <w:r>
        <w:rPr>
          <w:rFonts w:hint="eastAsia"/>
          <w:color w:val="auto"/>
        </w:rPr>
        <w:t>前期准备</w:t>
      </w:r>
    </w:p>
    <w:p>
      <w:pPr>
        <w:rPr>
          <w:rFonts w:hint="eastAsia"/>
          <w:color w:val="auto"/>
        </w:rPr>
      </w:pPr>
      <w:r>
        <w:rPr>
          <w:rFonts w:hint="eastAsia"/>
          <w:color w:val="auto"/>
        </w:rPr>
        <w:t>明确被评价对象，备齐有关安全评价所需的设备、工具，收集国内外相关法律、法规、技术标准及建设项目资料。</w:t>
      </w:r>
    </w:p>
    <w:p>
      <w:pPr>
        <w:numPr>
          <w:ilvl w:val="0"/>
          <w:numId w:val="2"/>
        </w:numPr>
        <w:ind w:left="0" w:leftChars="0" w:firstLine="560" w:firstLineChars="200"/>
        <w:rPr>
          <w:rFonts w:hint="eastAsia"/>
          <w:color w:val="auto"/>
        </w:rPr>
      </w:pPr>
      <w:r>
        <w:rPr>
          <w:rFonts w:hint="eastAsia"/>
          <w:color w:val="auto"/>
        </w:rPr>
        <w:t>辨识与分析危险、有害因素</w:t>
      </w:r>
    </w:p>
    <w:p>
      <w:pPr>
        <w:rPr>
          <w:rFonts w:hint="eastAsia"/>
          <w:color w:val="auto"/>
        </w:rPr>
      </w:pPr>
      <w:r>
        <w:rPr>
          <w:rFonts w:hint="eastAsia"/>
          <w:color w:val="auto"/>
        </w:rPr>
        <w:t>根据评价对象的具体情况，辨识和分析危险、有害因素，确定其存在的部位、方式，以及发生作用的途径和变化规律。</w:t>
      </w:r>
    </w:p>
    <w:p>
      <w:pPr>
        <w:numPr>
          <w:ilvl w:val="0"/>
          <w:numId w:val="2"/>
        </w:numPr>
        <w:ind w:left="0" w:leftChars="0" w:firstLine="560" w:firstLineChars="200"/>
        <w:rPr>
          <w:rFonts w:hint="eastAsia"/>
          <w:color w:val="auto"/>
        </w:rPr>
      </w:pPr>
      <w:r>
        <w:rPr>
          <w:rFonts w:hint="eastAsia"/>
          <w:color w:val="auto"/>
        </w:rPr>
        <w:t>划分评价单元</w:t>
      </w:r>
    </w:p>
    <w:p>
      <w:pPr>
        <w:rPr>
          <w:rFonts w:hint="eastAsia"/>
          <w:color w:val="auto"/>
        </w:rPr>
      </w:pPr>
      <w:r>
        <w:rPr>
          <w:rFonts w:hint="eastAsia"/>
          <w:color w:val="auto"/>
        </w:rPr>
        <w:t>评价单元划分应科学、合理，便于实施评价，相对独立且具有明显的特征界限。</w:t>
      </w:r>
    </w:p>
    <w:p>
      <w:pPr>
        <w:numPr>
          <w:ilvl w:val="0"/>
          <w:numId w:val="2"/>
        </w:numPr>
        <w:ind w:left="0" w:leftChars="0" w:firstLine="560" w:firstLineChars="200"/>
        <w:rPr>
          <w:rFonts w:hint="eastAsia"/>
          <w:color w:val="auto"/>
        </w:rPr>
      </w:pPr>
      <w:r>
        <w:rPr>
          <w:rFonts w:hint="eastAsia"/>
          <w:color w:val="auto"/>
        </w:rPr>
        <w:t>选择评价方法</w:t>
      </w:r>
    </w:p>
    <w:p>
      <w:pPr>
        <w:rPr>
          <w:rFonts w:hint="eastAsia"/>
          <w:color w:val="auto"/>
        </w:rPr>
      </w:pPr>
      <w:r>
        <w:rPr>
          <w:rFonts w:hint="eastAsia"/>
          <w:color w:val="auto"/>
        </w:rPr>
        <w:t>根据被评价对象特点，选择科学、合理、适用的定性、定量评价方法。</w:t>
      </w:r>
    </w:p>
    <w:p>
      <w:pPr>
        <w:numPr>
          <w:ilvl w:val="0"/>
          <w:numId w:val="2"/>
        </w:numPr>
        <w:ind w:left="0" w:leftChars="0" w:firstLine="560" w:firstLineChars="200"/>
        <w:rPr>
          <w:rFonts w:hint="eastAsia"/>
          <w:color w:val="auto"/>
        </w:rPr>
      </w:pPr>
      <w:r>
        <w:rPr>
          <w:rFonts w:hint="eastAsia"/>
          <w:color w:val="auto"/>
        </w:rPr>
        <w:t>定性、定量评价</w:t>
      </w:r>
    </w:p>
    <w:p>
      <w:pPr>
        <w:rPr>
          <w:rFonts w:hint="eastAsia"/>
          <w:color w:val="auto"/>
        </w:rPr>
      </w:pPr>
      <w:r>
        <w:rPr>
          <w:rFonts w:hint="eastAsia"/>
          <w:color w:val="auto"/>
        </w:rPr>
        <w:t>根据评价单元的特性，选择合理的评价方法，对评价对象发生事故的可能性及其严重程度进行定性、定量评价。</w:t>
      </w:r>
    </w:p>
    <w:p>
      <w:pPr>
        <w:numPr>
          <w:ilvl w:val="0"/>
          <w:numId w:val="2"/>
        </w:numPr>
        <w:ind w:left="0" w:leftChars="0" w:firstLine="560" w:firstLineChars="200"/>
        <w:rPr>
          <w:rFonts w:hint="eastAsia"/>
          <w:color w:val="auto"/>
        </w:rPr>
      </w:pPr>
      <w:r>
        <w:rPr>
          <w:rFonts w:hint="eastAsia"/>
          <w:color w:val="auto"/>
        </w:rPr>
        <w:t>对策措施建议</w:t>
      </w:r>
    </w:p>
    <w:p>
      <w:pPr>
        <w:rPr>
          <w:rFonts w:hint="eastAsia"/>
          <w:color w:val="auto"/>
        </w:rPr>
      </w:pPr>
      <w:r>
        <w:rPr>
          <w:rFonts w:hint="eastAsia" w:eastAsia="宋体"/>
          <w:color w:val="auto"/>
          <w:lang w:eastAsia="zh-CN"/>
        </w:rPr>
        <w:t>（</w:t>
      </w:r>
      <w:r>
        <w:rPr>
          <w:rFonts w:hint="eastAsia"/>
          <w:color w:val="auto"/>
        </w:rPr>
        <w:t>1</w:t>
      </w:r>
      <w:r>
        <w:rPr>
          <w:rFonts w:hint="eastAsia" w:eastAsia="宋体"/>
          <w:color w:val="auto"/>
          <w:lang w:eastAsia="zh-CN"/>
        </w:rPr>
        <w:t>）</w:t>
      </w:r>
      <w:r>
        <w:rPr>
          <w:rFonts w:hint="eastAsia"/>
          <w:color w:val="auto"/>
        </w:rPr>
        <w:t>根据危险、有害因素辨识结果与定性、定量评价结果，遵循针对性、技术可行性、经济合理性的原则，提出消除或减弱危险、危害的技术和管理对策措施建议。</w:t>
      </w:r>
    </w:p>
    <w:p>
      <w:pPr>
        <w:rPr>
          <w:rFonts w:hint="eastAsia"/>
          <w:color w:val="auto"/>
        </w:rPr>
      </w:pPr>
      <w:r>
        <w:rPr>
          <w:rFonts w:hint="eastAsia" w:eastAsia="宋体"/>
          <w:color w:val="auto"/>
          <w:lang w:eastAsia="zh-CN"/>
        </w:rPr>
        <w:t>（</w:t>
      </w:r>
      <w:r>
        <w:rPr>
          <w:rFonts w:hint="eastAsia"/>
          <w:color w:val="auto"/>
        </w:rPr>
        <w:t>2</w:t>
      </w:r>
      <w:r>
        <w:rPr>
          <w:rFonts w:hint="eastAsia" w:eastAsia="宋体"/>
          <w:color w:val="auto"/>
          <w:lang w:eastAsia="zh-CN"/>
        </w:rPr>
        <w:t>）</w:t>
      </w:r>
      <w:r>
        <w:rPr>
          <w:rFonts w:hint="eastAsia"/>
          <w:color w:val="auto"/>
        </w:rPr>
        <w:t>对策措施建议应具体祥实、具有可操作性。按照针对性和重要性的不同，措施和建议可分为应采纳和宜采纳两种类型。</w:t>
      </w:r>
    </w:p>
    <w:p>
      <w:pPr>
        <w:rPr>
          <w:rFonts w:hint="eastAsia"/>
          <w:color w:val="auto"/>
        </w:rPr>
      </w:pPr>
      <w:r>
        <w:rPr>
          <w:rFonts w:hint="eastAsia" w:ascii="Times New Roman" w:eastAsia="宋体"/>
          <w:color w:val="auto"/>
          <w:lang w:val="en-US" w:eastAsia="zh-CN"/>
        </w:rPr>
        <w:t xml:space="preserve">7. </w:t>
      </w:r>
      <w:r>
        <w:rPr>
          <w:rFonts w:hint="eastAsia"/>
          <w:color w:val="auto"/>
        </w:rPr>
        <w:t>安全评价结论</w:t>
      </w:r>
    </w:p>
    <w:p>
      <w:pPr>
        <w:rPr>
          <w:rFonts w:hint="eastAsia"/>
          <w:color w:val="auto"/>
        </w:rPr>
      </w:pPr>
      <w:r>
        <w:rPr>
          <w:rFonts w:hint="eastAsia" w:eastAsia="宋体"/>
          <w:color w:val="auto"/>
          <w:lang w:eastAsia="zh-CN"/>
        </w:rPr>
        <w:t>（</w:t>
      </w:r>
      <w:r>
        <w:rPr>
          <w:rFonts w:hint="eastAsia"/>
          <w:color w:val="auto"/>
        </w:rPr>
        <w:t>1</w:t>
      </w:r>
      <w:r>
        <w:rPr>
          <w:rFonts w:hint="eastAsia" w:eastAsia="宋体"/>
          <w:color w:val="auto"/>
          <w:lang w:eastAsia="zh-CN"/>
        </w:rPr>
        <w:t>）</w:t>
      </w:r>
      <w:r>
        <w:rPr>
          <w:rFonts w:hint="eastAsia"/>
          <w:color w:val="auto"/>
        </w:rPr>
        <w:t>安全评价机构应根据客观、公正、真实的原则，严谨、明确地做出安全评价结论。</w:t>
      </w:r>
    </w:p>
    <w:p>
      <w:pPr>
        <w:rPr>
          <w:rFonts w:hint="eastAsia"/>
          <w:color w:val="auto"/>
        </w:rPr>
      </w:pPr>
      <w:r>
        <w:rPr>
          <w:rFonts w:hint="eastAsia" w:eastAsia="宋体"/>
          <w:color w:val="auto"/>
          <w:lang w:eastAsia="zh-CN"/>
        </w:rPr>
        <w:t>（</w:t>
      </w:r>
      <w:r>
        <w:rPr>
          <w:rFonts w:hint="eastAsia"/>
          <w:color w:val="auto"/>
        </w:rPr>
        <w:t>2</w:t>
      </w:r>
      <w:r>
        <w:rPr>
          <w:rFonts w:hint="eastAsia" w:eastAsia="宋体"/>
          <w:color w:val="auto"/>
          <w:lang w:eastAsia="zh-CN"/>
        </w:rPr>
        <w:t>）</w:t>
      </w:r>
      <w:r>
        <w:rPr>
          <w:rFonts w:hint="eastAsia"/>
          <w:color w:val="auto"/>
        </w:rPr>
        <w:t>安全评价结论的内容应包括高度概括评价结果，从风险管理角度给出评价对象在评价时与国家有关安全生产的法律法规、标准、规章、规范的符合性结论，给出事故发生的可能性和严重程度的预测性结论，以及采取安全对策措施后的安全状态等。</w:t>
      </w:r>
    </w:p>
    <w:p>
      <w:pPr>
        <w:rPr>
          <w:rFonts w:hint="eastAsia"/>
          <w:color w:val="auto"/>
        </w:rPr>
      </w:pPr>
      <w:r>
        <w:rPr>
          <w:rFonts w:hint="eastAsia" w:ascii="Times New Roman" w:eastAsia="宋体"/>
          <w:color w:val="auto"/>
          <w:lang w:val="en-US" w:eastAsia="zh-CN"/>
        </w:rPr>
        <w:t xml:space="preserve">8. </w:t>
      </w:r>
      <w:r>
        <w:rPr>
          <w:rFonts w:hint="eastAsia"/>
          <w:color w:val="auto"/>
        </w:rPr>
        <w:t>编制安全评价报告</w:t>
      </w:r>
    </w:p>
    <w:p>
      <w:pPr>
        <w:bidi w:val="0"/>
        <w:rPr>
          <w:rFonts w:hint="eastAsia"/>
          <w:color w:val="auto"/>
        </w:rPr>
      </w:pPr>
      <w:r>
        <w:rPr>
          <w:rFonts w:hint="eastAsia"/>
          <w:color w:val="auto"/>
        </w:rPr>
        <w:t>安全</w:t>
      </w:r>
      <w:r>
        <w:rPr>
          <w:rFonts w:hint="eastAsia"/>
          <w:color w:val="auto"/>
          <w:lang w:val="en-US" w:eastAsia="zh-CN"/>
        </w:rPr>
        <w:t>预</w:t>
      </w:r>
      <w:r>
        <w:rPr>
          <w:rFonts w:hint="eastAsia"/>
          <w:color w:val="auto"/>
        </w:rPr>
        <w:t>评价程序框图1-1：</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sz w:val="28"/>
        </w:rPr>
      </w:pPr>
      <w:r>
        <w:rPr>
          <w:color w:val="auto"/>
          <w:sz w:val="28"/>
        </w:rPr>
        <mc:AlternateContent>
          <mc:Choice Requires="wpg">
            <w:drawing>
              <wp:inline distT="0" distB="0" distL="114300" distR="114300">
                <wp:extent cx="3353435" cy="5900420"/>
                <wp:effectExtent l="4445" t="5080" r="13970" b="19050"/>
                <wp:docPr id="18" name="组合 18"/>
                <wp:cNvGraphicFramePr/>
                <a:graphic xmlns:a="http://schemas.openxmlformats.org/drawingml/2006/main">
                  <a:graphicData uri="http://schemas.microsoft.com/office/word/2010/wordprocessingGroup">
                    <wpg:wgp>
                      <wpg:cNvGrpSpPr/>
                      <wpg:grpSpPr>
                        <a:xfrm>
                          <a:off x="0" y="0"/>
                          <a:ext cx="3353435" cy="5900420"/>
                          <a:chOff x="4464" y="310180"/>
                          <a:chExt cx="4740" cy="8576"/>
                        </a:xfrm>
                      </wpg:grpSpPr>
                      <wps:wsp>
                        <wps:cNvPr id="24" name="文本框 1"/>
                        <wps:cNvSpPr txBox="1"/>
                        <wps:spPr>
                          <a:xfrm>
                            <a:off x="4474" y="310180"/>
                            <a:ext cx="4730" cy="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sz w:val="21"/>
                                  <w:szCs w:val="21"/>
                                </w:rPr>
                              </w:pPr>
                              <w:r>
                                <w:rPr>
                                  <w:rFonts w:hint="eastAsia"/>
                                  <w:sz w:val="24"/>
                                  <w:szCs w:val="24"/>
                                </w:rPr>
                                <w:t>前期准备</w:t>
                              </w:r>
                            </w:p>
                          </w:txbxContent>
                        </wps:txbx>
                        <wps:bodyPr upright="1"/>
                      </wps:wsp>
                      <wps:wsp>
                        <wps:cNvPr id="25" name="文本框 2"/>
                        <wps:cNvSpPr txBox="1"/>
                        <wps:spPr>
                          <a:xfrm>
                            <a:off x="4474" y="311303"/>
                            <a:ext cx="4705" cy="4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sz w:val="24"/>
                                  <w:szCs w:val="24"/>
                                </w:rPr>
                              </w:pPr>
                              <w:r>
                                <w:rPr>
                                  <w:rFonts w:hint="eastAsia"/>
                                  <w:sz w:val="24"/>
                                  <w:szCs w:val="24"/>
                                </w:rPr>
                                <w:t>辩识与分析危险、有害因素</w:t>
                              </w:r>
                            </w:p>
                          </w:txbxContent>
                        </wps:txbx>
                        <wps:bodyPr upright="1"/>
                      </wps:wsp>
                      <wps:wsp>
                        <wps:cNvPr id="26" name="文本框 3"/>
                        <wps:cNvSpPr txBox="1"/>
                        <wps:spPr>
                          <a:xfrm>
                            <a:off x="4474" y="312532"/>
                            <a:ext cx="4688" cy="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sz w:val="24"/>
                                  <w:szCs w:val="24"/>
                                </w:rPr>
                              </w:pPr>
                              <w:r>
                                <w:rPr>
                                  <w:rFonts w:hint="eastAsia"/>
                                  <w:sz w:val="24"/>
                                  <w:szCs w:val="24"/>
                                </w:rPr>
                                <w:t>划分评价单元</w:t>
                              </w:r>
                            </w:p>
                          </w:txbxContent>
                        </wps:txbx>
                        <wps:bodyPr upright="1"/>
                      </wps:wsp>
                      <wps:wsp>
                        <wps:cNvPr id="27" name="文本框 4"/>
                        <wps:cNvSpPr txBox="1"/>
                        <wps:spPr>
                          <a:xfrm>
                            <a:off x="4474" y="313655"/>
                            <a:ext cx="4688" cy="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sz w:val="24"/>
                                  <w:szCs w:val="24"/>
                                </w:rPr>
                              </w:pPr>
                              <w:r>
                                <w:rPr>
                                  <w:rFonts w:hint="eastAsia"/>
                                  <w:sz w:val="24"/>
                                  <w:szCs w:val="24"/>
                                </w:rPr>
                                <w:t>选择评价方法</w:t>
                              </w:r>
                            </w:p>
                          </w:txbxContent>
                        </wps:txbx>
                        <wps:bodyPr upright="1"/>
                      </wps:wsp>
                      <wps:wsp>
                        <wps:cNvPr id="28" name="文本框 5"/>
                        <wps:cNvSpPr txBox="1"/>
                        <wps:spPr>
                          <a:xfrm>
                            <a:off x="4474" y="314871"/>
                            <a:ext cx="4688" cy="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sz w:val="24"/>
                                  <w:szCs w:val="24"/>
                                </w:rPr>
                              </w:pPr>
                              <w:r>
                                <w:rPr>
                                  <w:rFonts w:hint="eastAsia"/>
                                  <w:sz w:val="24"/>
                                  <w:szCs w:val="24"/>
                                </w:rPr>
                                <w:t>定性、定量评价</w:t>
                              </w:r>
                            </w:p>
                          </w:txbxContent>
                        </wps:txbx>
                        <wps:bodyPr upright="1"/>
                      </wps:wsp>
                      <wps:wsp>
                        <wps:cNvPr id="29" name="文本框 6"/>
                        <wps:cNvSpPr txBox="1"/>
                        <wps:spPr>
                          <a:xfrm>
                            <a:off x="4474" y="315994"/>
                            <a:ext cx="4676" cy="4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sz w:val="24"/>
                                  <w:szCs w:val="24"/>
                                </w:rPr>
                              </w:pPr>
                              <w:r>
                                <w:rPr>
                                  <w:rFonts w:hint="eastAsia"/>
                                  <w:sz w:val="24"/>
                                  <w:szCs w:val="24"/>
                                </w:rPr>
                                <w:t>提出安全对策措施建议</w:t>
                              </w:r>
                            </w:p>
                          </w:txbxContent>
                        </wps:txbx>
                        <wps:bodyPr upright="1"/>
                      </wps:wsp>
                      <wps:wsp>
                        <wps:cNvPr id="30" name="文本框 7"/>
                        <wps:cNvSpPr txBox="1"/>
                        <wps:spPr>
                          <a:xfrm>
                            <a:off x="4474" y="317223"/>
                            <a:ext cx="4688" cy="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sz w:val="24"/>
                                  <w:szCs w:val="24"/>
                                </w:rPr>
                              </w:pPr>
                              <w:r>
                                <w:rPr>
                                  <w:rFonts w:hint="eastAsia"/>
                                  <w:sz w:val="24"/>
                                  <w:szCs w:val="24"/>
                                </w:rPr>
                                <w:t>做出评价结论</w:t>
                              </w:r>
                            </w:p>
                          </w:txbxContent>
                        </wps:txbx>
                        <wps:bodyPr upright="1"/>
                      </wps:wsp>
                      <wps:wsp>
                        <wps:cNvPr id="31" name="文本框 8"/>
                        <wps:cNvSpPr txBox="1"/>
                        <wps:spPr>
                          <a:xfrm>
                            <a:off x="4464" y="318345"/>
                            <a:ext cx="4681" cy="4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sz w:val="24"/>
                                  <w:szCs w:val="24"/>
                                </w:rPr>
                              </w:pPr>
                              <w:r>
                                <w:rPr>
                                  <w:rFonts w:hint="eastAsia"/>
                                  <w:sz w:val="24"/>
                                  <w:szCs w:val="24"/>
                                </w:rPr>
                                <w:t>编制安全</w:t>
                              </w:r>
                              <w:r>
                                <w:rPr>
                                  <w:rFonts w:hint="eastAsia"/>
                                  <w:sz w:val="24"/>
                                  <w:szCs w:val="24"/>
                                  <w:lang w:val="en-US" w:eastAsia="zh-CN"/>
                                </w:rPr>
                                <w:t>预</w:t>
                              </w:r>
                              <w:r>
                                <w:rPr>
                                  <w:rFonts w:hint="eastAsia"/>
                                  <w:sz w:val="24"/>
                                  <w:szCs w:val="24"/>
                                </w:rPr>
                                <w:t>评价报告</w:t>
                              </w:r>
                            </w:p>
                          </w:txbxContent>
                        </wps:txbx>
                        <wps:bodyPr upright="1"/>
                      </wps:wsp>
                      <wps:wsp>
                        <wps:cNvPr id="32" name="直接连接符 9"/>
                        <wps:cNvCnPr/>
                        <wps:spPr>
                          <a:xfrm>
                            <a:off x="6795" y="310587"/>
                            <a:ext cx="0" cy="714"/>
                          </a:xfrm>
                          <a:prstGeom prst="line">
                            <a:avLst/>
                          </a:prstGeom>
                          <a:ln w="9525" cap="flat" cmpd="sng">
                            <a:solidFill>
                              <a:srgbClr val="000000"/>
                            </a:solidFill>
                            <a:prstDash val="solid"/>
                            <a:headEnd type="none" w="med" len="med"/>
                            <a:tailEnd type="triangle" w="med" len="med"/>
                          </a:ln>
                        </wps:spPr>
                        <wps:bodyPr upright="1"/>
                      </wps:wsp>
                      <wps:wsp>
                        <wps:cNvPr id="33" name="直接连接符 10"/>
                        <wps:cNvCnPr/>
                        <wps:spPr>
                          <a:xfrm>
                            <a:off x="6795" y="311711"/>
                            <a:ext cx="0" cy="819"/>
                          </a:xfrm>
                          <a:prstGeom prst="line">
                            <a:avLst/>
                          </a:prstGeom>
                          <a:ln w="9525" cap="flat" cmpd="sng">
                            <a:solidFill>
                              <a:srgbClr val="000000"/>
                            </a:solidFill>
                            <a:prstDash val="solid"/>
                            <a:headEnd type="none" w="med" len="med"/>
                            <a:tailEnd type="triangle" w="med" len="med"/>
                          </a:ln>
                        </wps:spPr>
                        <wps:bodyPr upright="1"/>
                      </wps:wsp>
                      <wps:wsp>
                        <wps:cNvPr id="34" name="直接连接符 11"/>
                        <wps:cNvCnPr/>
                        <wps:spPr>
                          <a:xfrm>
                            <a:off x="6817" y="312940"/>
                            <a:ext cx="0" cy="714"/>
                          </a:xfrm>
                          <a:prstGeom prst="line">
                            <a:avLst/>
                          </a:prstGeom>
                          <a:ln w="9525" cap="flat" cmpd="sng">
                            <a:solidFill>
                              <a:srgbClr val="000000"/>
                            </a:solidFill>
                            <a:prstDash val="solid"/>
                            <a:headEnd type="none" w="med" len="med"/>
                            <a:tailEnd type="triangle" w="med" len="med"/>
                          </a:ln>
                        </wps:spPr>
                        <wps:bodyPr upright="1"/>
                      </wps:wsp>
                      <wps:wsp>
                        <wps:cNvPr id="35" name="直接连接符 12"/>
                        <wps:cNvCnPr/>
                        <wps:spPr>
                          <a:xfrm>
                            <a:off x="6817" y="314063"/>
                            <a:ext cx="0" cy="806"/>
                          </a:xfrm>
                          <a:prstGeom prst="line">
                            <a:avLst/>
                          </a:prstGeom>
                          <a:ln w="9525" cap="flat" cmpd="sng">
                            <a:solidFill>
                              <a:srgbClr val="000000"/>
                            </a:solidFill>
                            <a:prstDash val="solid"/>
                            <a:headEnd type="none" w="med" len="med"/>
                            <a:tailEnd type="triangle" w="med" len="med"/>
                          </a:ln>
                        </wps:spPr>
                        <wps:bodyPr upright="1"/>
                      </wps:wsp>
                      <wps:wsp>
                        <wps:cNvPr id="36" name="直接连接符 13"/>
                        <wps:cNvCnPr/>
                        <wps:spPr>
                          <a:xfrm>
                            <a:off x="6817" y="315278"/>
                            <a:ext cx="0" cy="714"/>
                          </a:xfrm>
                          <a:prstGeom prst="line">
                            <a:avLst/>
                          </a:prstGeom>
                          <a:ln w="9525" cap="flat" cmpd="sng">
                            <a:solidFill>
                              <a:srgbClr val="000000"/>
                            </a:solidFill>
                            <a:prstDash val="solid"/>
                            <a:headEnd type="none" w="med" len="med"/>
                            <a:tailEnd type="triangle" w="med" len="med"/>
                          </a:ln>
                        </wps:spPr>
                        <wps:bodyPr upright="1"/>
                      </wps:wsp>
                      <wps:wsp>
                        <wps:cNvPr id="37" name="直接连接符 14"/>
                        <wps:cNvCnPr/>
                        <wps:spPr>
                          <a:xfrm>
                            <a:off x="6795" y="316402"/>
                            <a:ext cx="0" cy="819"/>
                          </a:xfrm>
                          <a:prstGeom prst="line">
                            <a:avLst/>
                          </a:prstGeom>
                          <a:ln w="9525" cap="flat" cmpd="sng">
                            <a:solidFill>
                              <a:srgbClr val="000000"/>
                            </a:solidFill>
                            <a:prstDash val="solid"/>
                            <a:headEnd type="none" w="med" len="med"/>
                            <a:tailEnd type="triangle" w="med" len="med"/>
                          </a:ln>
                        </wps:spPr>
                        <wps:bodyPr upright="1"/>
                      </wps:wsp>
                      <wps:wsp>
                        <wps:cNvPr id="38" name="直接连接符 15"/>
                        <wps:cNvCnPr/>
                        <wps:spPr>
                          <a:xfrm>
                            <a:off x="6795" y="317631"/>
                            <a:ext cx="0" cy="714"/>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464.6pt;width:264.05pt;" coordorigin="4464,310180" coordsize="4740,8576" o:gfxdata="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">
                <o:lock v:ext="edit" aspectratio="f"/>
                <v:shape id="文本框 1" o:spid="_x0000_s1026" o:spt="202" type="#_x0000_t202" style="position:absolute;left:4474;top:310180;height:410;width:4730;" fillcolor="#FFFFFF" filled="t" stroked="t" coordsize="21600,21600"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left="0" w:leftChars="0" w:firstLine="0" w:firstLineChars="0"/>
                          <w:jc w:val="center"/>
                          <w:rPr>
                            <w:sz w:val="21"/>
                            <w:szCs w:val="21"/>
                          </w:rPr>
                        </w:pPr>
                        <w:r>
                          <w:rPr>
                            <w:rFonts w:hint="eastAsia"/>
                            <w:sz w:val="24"/>
                            <w:szCs w:val="24"/>
                          </w:rPr>
                          <w:t>前期准备</w:t>
                        </w:r>
                      </w:p>
                    </w:txbxContent>
                  </v:textbox>
                </v:shape>
                <v:shape id="文本框 2" o:spid="_x0000_s1026" o:spt="202" type="#_x0000_t202" style="position:absolute;left:4474;top:311303;height:411;width:4705;" fillcolor="#FFFFFF" filled="t" stroked="t" coordsize="21600,21600"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left="0" w:leftChars="0" w:firstLine="0" w:firstLineChars="0"/>
                          <w:jc w:val="center"/>
                          <w:rPr>
                            <w:sz w:val="24"/>
                            <w:szCs w:val="24"/>
                          </w:rPr>
                        </w:pPr>
                        <w:r>
                          <w:rPr>
                            <w:rFonts w:hint="eastAsia"/>
                            <w:sz w:val="24"/>
                            <w:szCs w:val="24"/>
                          </w:rPr>
                          <w:t>辩识与分析危险、有害因素</w:t>
                        </w:r>
                      </w:p>
                    </w:txbxContent>
                  </v:textbox>
                </v:shape>
                <v:shape id="文本框 3" o:spid="_x0000_s1026" o:spt="202" type="#_x0000_t202" style="position:absolute;left:4474;top:312532;height:410;width:4688;" fillcolor="#FFFFFF" filled="t" stroked="t" coordsize="21600,21600" o:gfxdata="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Si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left="0" w:leftChars="0" w:firstLine="0" w:firstLineChars="0"/>
                          <w:jc w:val="center"/>
                          <w:rPr>
                            <w:sz w:val="24"/>
                            <w:szCs w:val="24"/>
                          </w:rPr>
                        </w:pPr>
                        <w:r>
                          <w:rPr>
                            <w:rFonts w:hint="eastAsia"/>
                            <w:sz w:val="24"/>
                            <w:szCs w:val="24"/>
                          </w:rPr>
                          <w:t>划分评价单元</w:t>
                        </w:r>
                      </w:p>
                    </w:txbxContent>
                  </v:textbox>
                </v:shape>
                <v:shape id="文本框 4" o:spid="_x0000_s1026" o:spt="202" type="#_x0000_t202" style="position:absolute;left:4474;top:313655;height:410;width:4688;"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left="0" w:leftChars="0" w:firstLine="0" w:firstLineChars="0"/>
                          <w:jc w:val="center"/>
                          <w:rPr>
                            <w:sz w:val="24"/>
                            <w:szCs w:val="24"/>
                          </w:rPr>
                        </w:pPr>
                        <w:r>
                          <w:rPr>
                            <w:rFonts w:hint="eastAsia"/>
                            <w:sz w:val="24"/>
                            <w:szCs w:val="24"/>
                          </w:rPr>
                          <w:t>选择评价方法</w:t>
                        </w:r>
                      </w:p>
                    </w:txbxContent>
                  </v:textbox>
                </v:shape>
                <v:shape id="文本框 5" o:spid="_x0000_s1026" o:spt="202" type="#_x0000_t202" style="position:absolute;left:4474;top:314871;height:410;width:4688;" fillcolor="#FFFFFF" filled="t" stroked="t" coordsize="21600,21600" o:gfxdata="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hli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ind w:left="0" w:leftChars="0" w:firstLine="0" w:firstLineChars="0"/>
                          <w:jc w:val="center"/>
                          <w:rPr>
                            <w:sz w:val="24"/>
                            <w:szCs w:val="24"/>
                          </w:rPr>
                        </w:pPr>
                        <w:r>
                          <w:rPr>
                            <w:rFonts w:hint="eastAsia"/>
                            <w:sz w:val="24"/>
                            <w:szCs w:val="24"/>
                          </w:rPr>
                          <w:t>定性、定量评价</w:t>
                        </w:r>
                      </w:p>
                    </w:txbxContent>
                  </v:textbox>
                </v:shape>
                <v:shape id="文本框 6" o:spid="_x0000_s1026" o:spt="202" type="#_x0000_t202" style="position:absolute;left:4474;top:315994;height:411;width:4676;" fillcolor="#FFFFFF" filled="t" stroked="t" coordsize="21600,21600" o:gfxdata="UEsDBAoAAAAAAIdO4kAAAAAAAAAAAAAAAAAEAAAAZHJzL1BLAwQUAAAACACHTuJAJhK8+b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iF/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rz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left="0" w:leftChars="0" w:firstLine="0" w:firstLineChars="0"/>
                          <w:jc w:val="center"/>
                          <w:rPr>
                            <w:sz w:val="24"/>
                            <w:szCs w:val="24"/>
                          </w:rPr>
                        </w:pPr>
                        <w:r>
                          <w:rPr>
                            <w:rFonts w:hint="eastAsia"/>
                            <w:sz w:val="24"/>
                            <w:szCs w:val="24"/>
                          </w:rPr>
                          <w:t>提出安全对策措施建议</w:t>
                        </w:r>
                      </w:p>
                    </w:txbxContent>
                  </v:textbox>
                </v:shape>
                <v:shape id="文本框 7" o:spid="_x0000_s1026" o:spt="202" type="#_x0000_t202" style="position:absolute;left:4474;top:317223;height:410;width:4688;"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left="0" w:leftChars="0" w:firstLine="0" w:firstLineChars="0"/>
                          <w:jc w:val="center"/>
                          <w:rPr>
                            <w:sz w:val="24"/>
                            <w:szCs w:val="24"/>
                          </w:rPr>
                        </w:pPr>
                        <w:r>
                          <w:rPr>
                            <w:rFonts w:hint="eastAsia"/>
                            <w:sz w:val="24"/>
                            <w:szCs w:val="24"/>
                          </w:rPr>
                          <w:t>做出评价结论</w:t>
                        </w:r>
                      </w:p>
                    </w:txbxContent>
                  </v:textbox>
                </v:shape>
                <v:shape id="文本框 8" o:spid="_x0000_s1026" o:spt="202" type="#_x0000_t202" style="position:absolute;left:4464;top:318345;height:411;width:4681;" fillcolor="#FFFFFF" filled="t" stroked="t" coordsize="21600,21600" o:gfxdata="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0mI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left="0" w:leftChars="0" w:firstLine="0" w:firstLineChars="0"/>
                          <w:jc w:val="center"/>
                          <w:rPr>
                            <w:sz w:val="24"/>
                            <w:szCs w:val="24"/>
                          </w:rPr>
                        </w:pPr>
                        <w:r>
                          <w:rPr>
                            <w:rFonts w:hint="eastAsia"/>
                            <w:sz w:val="24"/>
                            <w:szCs w:val="24"/>
                          </w:rPr>
                          <w:t>编制安全</w:t>
                        </w:r>
                        <w:r>
                          <w:rPr>
                            <w:rFonts w:hint="eastAsia"/>
                            <w:sz w:val="24"/>
                            <w:szCs w:val="24"/>
                            <w:lang w:val="en-US" w:eastAsia="zh-CN"/>
                          </w:rPr>
                          <w:t>预</w:t>
                        </w:r>
                        <w:r>
                          <w:rPr>
                            <w:rFonts w:hint="eastAsia"/>
                            <w:sz w:val="24"/>
                            <w:szCs w:val="24"/>
                          </w:rPr>
                          <w:t>评价报告</w:t>
                        </w:r>
                      </w:p>
                    </w:txbxContent>
                  </v:textbox>
                </v:shape>
                <v:line id="直接连接符 9" o:spid="_x0000_s1026" o:spt="20" style="position:absolute;left:6795;top:310587;height:714;width:0;" filled="f" stroked="t" coordsize="21600,21600" o:gfxdata="UEsDBAoAAAAAAIdO4kAAAAAAAAAAAAAAAAAEAAAAZHJzL1BLAwQUAAAACACHTuJAvYKbJ78AAADb&#10;AAAADwAAAGRycy9kb3ducmV2LnhtbEWPT2vCQBTE7wW/w/IEb3UTh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my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0" o:spid="_x0000_s1026" o:spt="20" style="position:absolute;left:6795;top:311711;height:819;width:0;" filled="f" stroked="t" coordsize="21600,21600" o:gfxdata="UEsDBAoAAAAAAIdO4kAAAAAAAAAAAAAAAAAEAAAAZHJzL1BLAwQUAAAACACHTuJA0s4+vL4AAADb&#10;AAAADwAAAGRycy9kb3ducmV2LnhtbEWPQWvCQBSE74L/YXmCN91EoY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4+v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1" o:spid="_x0000_s1026" o:spt="20" style="position:absolute;left:6817;top:312940;height:714;width:0;" filled="f" stroked="t" coordsize="21600,21600" o:gfxdata="UEsDBAoAAAAAAIdO4kAAAAAAAAAAAAAAAAAEAAAAZHJzL1BLAwQUAAAACACHTuJAXSemyL8AAADb&#10;AAAADwAAAGRycy9kb3ducmV2LnhtbEWPT2vCQBTE7wW/w/KE3uomtki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nps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2" o:spid="_x0000_s1026" o:spt="20" style="position:absolute;left:6817;top:314063;height:806;width:0;" filled="f" stroked="t" coordsize="21600,21600" o:gfxdata="UEsDBAoAAAAAAIdO4kAAAAAAAAAAAAAAAAAEAAAAZHJzL1BLAwQUAAAACACHTuJAMmsDU78AAADb&#10;AAAADwAAAGRycy9kb3ducmV2LnhtbEWPT2vCQBTE7wW/w/KE3uomlkq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rA1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3" o:spid="_x0000_s1026" o:spt="20" style="position:absolute;left:6817;top:315278;height:714;width:0;" filled="f" stroked="t" coordsize="21600,21600" o:gfxdata="UEsDBAoAAAAAAIdO4kAAAAAAAAAAAAAAAAAEAAAAZHJzL1BLAwQUAAAACACHTuJAwrmdJL8AAADb&#10;AAAADwAAAGRycy9kb3ducmV2LnhtbEWPT2vCQBTE74LfYXmCN92kBQ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5nS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4" o:spid="_x0000_s1026" o:spt="20" style="position:absolute;left:6795;top:316402;height:819;width:0;" filled="f" stroked="t" coordsize="21600,21600" o:gfxdata="UEsDBAoAAAAAAIdO4kAAAAAAAAAAAAAAAAAEAAAAZHJzL1BLAwQUAAAACACHTuJArfU4v78AAADb&#10;AAAADwAAAGRycy9kb3ducmV2LnhtbEWPT2vCQBTE7wW/w/KE3uomF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1OL+/&#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5" o:spid="_x0000_s1026" o:spt="20" style="position:absolute;left:6795;top:317631;height:714;width:0;" filled="f" stroked="t" coordsize="21600,21600" o:gfxdata="UEsDBAoAAAAAAIdO4kAAAAAAAAAAAAAAAAAEAAAAZHJzL1BLAwQUAAAACACHTuJA3GqszbsAAADb&#10;AAAADwAAAGRycy9kb3ducmV2LnhtbEVPy4rCMBTdC/MP4Q6407QK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qsz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sz w:val="28"/>
        </w:rPr>
      </w:pPr>
      <w:r>
        <w:rPr>
          <w:rFonts w:hint="eastAsia"/>
          <w:color w:val="auto"/>
          <w:sz w:val="28"/>
        </w:rPr>
        <w:t>图1-1 安全</w:t>
      </w:r>
      <w:r>
        <w:rPr>
          <w:rFonts w:hint="eastAsia"/>
          <w:color w:val="auto"/>
          <w:sz w:val="28"/>
          <w:lang w:val="en-US" w:eastAsia="zh-CN"/>
        </w:rPr>
        <w:t>预</w:t>
      </w:r>
      <w:r>
        <w:rPr>
          <w:rFonts w:hint="eastAsia"/>
          <w:color w:val="auto"/>
          <w:sz w:val="28"/>
        </w:rPr>
        <w:t>评价程序框</w:t>
      </w:r>
    </w:p>
    <w:p>
      <w:pPr>
        <w:rPr>
          <w:rFonts w:hint="eastAsia"/>
          <w:color w:val="auto"/>
          <w:sz w:val="28"/>
        </w:rPr>
      </w:pPr>
      <w:r>
        <w:rPr>
          <w:rFonts w:hint="eastAsia"/>
          <w:color w:val="auto"/>
          <w:sz w:val="28"/>
        </w:rPr>
        <w:br w:type="page"/>
      </w:r>
    </w:p>
    <w:p>
      <w:pPr>
        <w:pStyle w:val="2"/>
        <w:numPr>
          <w:ilvl w:val="0"/>
          <w:numId w:val="1"/>
        </w:numPr>
        <w:bidi w:val="0"/>
        <w:rPr>
          <w:rFonts w:hint="default"/>
          <w:color w:val="auto"/>
          <w:lang w:val="en-US" w:eastAsia="zh-CN"/>
        </w:rPr>
      </w:pPr>
      <w:bookmarkStart w:id="56" w:name="_Toc30995"/>
      <w:bookmarkStart w:id="57" w:name="_Toc9211"/>
      <w:bookmarkStart w:id="58" w:name="_Toc11452"/>
      <w:r>
        <w:rPr>
          <w:rFonts w:hint="eastAsia"/>
          <w:color w:val="auto"/>
          <w:lang w:val="en-US" w:eastAsia="zh-CN"/>
        </w:rPr>
        <w:t>建设</w:t>
      </w:r>
      <w:r>
        <w:rPr>
          <w:rFonts w:hint="default"/>
          <w:color w:val="auto"/>
          <w:lang w:val="en-US" w:eastAsia="zh-CN"/>
        </w:rPr>
        <w:t>项目</w:t>
      </w:r>
      <w:r>
        <w:rPr>
          <w:rFonts w:hint="eastAsia"/>
          <w:color w:val="auto"/>
          <w:lang w:val="en-US" w:eastAsia="zh-CN"/>
        </w:rPr>
        <w:t>概况</w:t>
      </w:r>
      <w:bookmarkEnd w:id="56"/>
      <w:bookmarkEnd w:id="57"/>
      <w:bookmarkEnd w:id="58"/>
    </w:p>
    <w:p>
      <w:pPr>
        <w:pStyle w:val="3"/>
        <w:bidi w:val="0"/>
        <w:rPr>
          <w:rFonts w:hint="eastAsia"/>
          <w:color w:val="auto"/>
          <w:lang w:val="en-US" w:eastAsia="zh-CN"/>
        </w:rPr>
      </w:pPr>
      <w:bookmarkStart w:id="59" w:name="_Toc7829"/>
      <w:bookmarkStart w:id="60" w:name="_Toc7893"/>
      <w:bookmarkStart w:id="61" w:name="_Toc6173"/>
      <w:r>
        <w:rPr>
          <w:rFonts w:hint="eastAsia"/>
          <w:color w:val="auto"/>
          <w:lang w:val="en-US" w:eastAsia="zh-CN"/>
        </w:rPr>
        <w:t>2.1 企业简介</w:t>
      </w:r>
      <w:bookmarkEnd w:id="59"/>
      <w:bookmarkEnd w:id="60"/>
      <w:bookmarkEnd w:id="61"/>
    </w:p>
    <w:p>
      <w:pPr>
        <w:bidi w:val="0"/>
        <w:rPr>
          <w:rFonts w:hint="eastAsia" w:eastAsia="宋体"/>
          <w:color w:val="auto"/>
          <w:lang w:eastAsia="zh-CN"/>
        </w:rPr>
      </w:pPr>
      <w:r>
        <w:rPr>
          <w:rFonts w:hint="eastAsia"/>
          <w:color w:val="auto"/>
        </w:rPr>
        <w:t>于都小东坑矿业有限公司成立于2008年07月14日，注册地位于江西省赣州市于都县罗江乡筀竹村，统一社会信用代码：91360731674998356C，</w:t>
      </w:r>
      <w:r>
        <w:rPr>
          <w:rFonts w:hint="eastAsia"/>
          <w:color w:val="auto"/>
          <w:lang w:val="en-US" w:eastAsia="zh-CN"/>
        </w:rPr>
        <w:t>企业</w:t>
      </w:r>
      <w:r>
        <w:rPr>
          <w:rFonts w:hint="eastAsia"/>
          <w:color w:val="auto"/>
        </w:rPr>
        <w:t>类型</w:t>
      </w:r>
      <w:r>
        <w:rPr>
          <w:rFonts w:hint="eastAsia"/>
          <w:color w:val="auto"/>
          <w:lang w:eastAsia="zh-CN"/>
        </w:rPr>
        <w:t>：</w:t>
      </w:r>
      <w:r>
        <w:rPr>
          <w:rFonts w:hint="eastAsia"/>
          <w:color w:val="auto"/>
        </w:rPr>
        <w:t>有限责任公司</w:t>
      </w:r>
      <w:r>
        <w:rPr>
          <w:rFonts w:hint="eastAsia"/>
          <w:color w:val="auto"/>
          <w:lang w:eastAsia="zh-CN"/>
        </w:rPr>
        <w:t>（</w:t>
      </w:r>
      <w:r>
        <w:rPr>
          <w:rFonts w:hint="eastAsia"/>
          <w:color w:val="auto"/>
        </w:rPr>
        <w:t>国有控股），法定代表人：杨植根，注册资本6010万元。经营范围包括铜精矿、钨精矿、铋精矿、钼精矿、铅精矿、锌精矿和锡精矿等矿产资源的勘查、开采、加工和销售，以及废石、尾砂的加工、销售（依法须经批准的项目，经相关部门批准后方可开展经营活动）</w:t>
      </w:r>
      <w:r>
        <w:rPr>
          <w:rFonts w:hint="eastAsia"/>
          <w:color w:val="auto"/>
          <w:lang w:eastAsia="zh-CN"/>
        </w:rPr>
        <w:t>。</w:t>
      </w:r>
    </w:p>
    <w:p>
      <w:pPr>
        <w:pStyle w:val="3"/>
        <w:bidi w:val="0"/>
        <w:rPr>
          <w:rFonts w:hint="default"/>
          <w:color w:val="auto"/>
          <w:lang w:val="en-US" w:eastAsia="zh-CN"/>
        </w:rPr>
      </w:pPr>
      <w:bookmarkStart w:id="62" w:name="_Toc25263"/>
      <w:bookmarkStart w:id="63" w:name="_Toc2704"/>
      <w:r>
        <w:rPr>
          <w:rFonts w:hint="default"/>
          <w:color w:val="auto"/>
          <w:lang w:val="en-US" w:eastAsia="zh-CN"/>
        </w:rPr>
        <w:t xml:space="preserve">2.2 </w:t>
      </w:r>
      <w:r>
        <w:rPr>
          <w:rFonts w:hint="eastAsia"/>
          <w:color w:val="auto"/>
          <w:lang w:val="en-US" w:eastAsia="zh-CN"/>
        </w:rPr>
        <w:t>建设</w:t>
      </w:r>
      <w:r>
        <w:rPr>
          <w:rFonts w:hint="default"/>
          <w:color w:val="auto"/>
          <w:lang w:val="en-US" w:eastAsia="zh-CN"/>
        </w:rPr>
        <w:t>内容</w:t>
      </w:r>
      <w:bookmarkEnd w:id="62"/>
      <w:bookmarkEnd w:id="63"/>
    </w:p>
    <w:p>
      <w:pPr>
        <w:keepNext w:val="0"/>
        <w:keepLines w:val="0"/>
        <w:widowControl/>
        <w:suppressLineNumbers w:val="0"/>
        <w:jc w:val="left"/>
        <w:rPr>
          <w:rFonts w:hint="default"/>
          <w:color w:val="auto"/>
          <w:lang w:val="en-US" w:eastAsia="zh-CN"/>
        </w:rPr>
      </w:pPr>
      <w:r>
        <w:rPr>
          <w:rFonts w:hint="default"/>
          <w:color w:val="auto"/>
          <w:lang w:val="en-US" w:eastAsia="zh-CN"/>
        </w:rPr>
        <w:t>建设内容：</w:t>
      </w:r>
      <w:r>
        <w:rPr>
          <w:rFonts w:hint="eastAsia" w:ascii="宋体" w:hAnsi="宋体" w:eastAsia="宋体" w:cs="宋体"/>
          <w:color w:val="auto"/>
          <w:kern w:val="0"/>
          <w:sz w:val="28"/>
          <w:szCs w:val="28"/>
          <w:lang w:val="en-US" w:eastAsia="zh-CN" w:bidi="ar"/>
        </w:rPr>
        <w:t>选矿厂建设</w:t>
      </w:r>
      <w:r>
        <w:rPr>
          <w:rFonts w:hint="default"/>
          <w:color w:val="auto"/>
          <w:lang w:val="en-US" w:eastAsia="zh-CN"/>
        </w:rPr>
        <w:t>工程</w:t>
      </w:r>
      <w:r>
        <w:rPr>
          <w:rFonts w:hint="eastAsia"/>
          <w:color w:val="auto"/>
          <w:lang w:val="en-US" w:eastAsia="zh-CN"/>
        </w:rPr>
        <w:t>和</w:t>
      </w:r>
      <w:r>
        <w:rPr>
          <w:rFonts w:hint="default"/>
          <w:color w:val="auto"/>
          <w:lang w:val="en-US" w:eastAsia="zh-CN"/>
        </w:rPr>
        <w:t>公用及辅助设施两大部分。</w:t>
      </w:r>
    </w:p>
    <w:p>
      <w:pPr>
        <w:keepNext w:val="0"/>
        <w:keepLines w:val="0"/>
        <w:widowControl/>
        <w:suppressLineNumbers w:val="0"/>
        <w:jc w:val="left"/>
        <w:rPr>
          <w:rFonts w:hint="eastAsia"/>
          <w:color w:val="auto"/>
          <w:lang w:val="en-US" w:eastAsia="zh-CN"/>
        </w:rPr>
      </w:pPr>
      <w:r>
        <w:rPr>
          <w:rFonts w:hint="eastAsia" w:ascii="宋体" w:hAnsi="宋体" w:eastAsia="宋体" w:cs="宋体"/>
          <w:color w:val="auto"/>
          <w:kern w:val="0"/>
          <w:sz w:val="28"/>
          <w:szCs w:val="28"/>
          <w:lang w:val="en-US" w:eastAsia="zh-CN" w:bidi="ar"/>
        </w:rPr>
        <w:t>选矿厂建设</w:t>
      </w:r>
      <w:r>
        <w:rPr>
          <w:rFonts w:hint="default"/>
          <w:color w:val="auto"/>
          <w:lang w:val="en-US" w:eastAsia="zh-CN"/>
        </w:rPr>
        <w:t>工程</w:t>
      </w:r>
      <w:r>
        <w:rPr>
          <w:rFonts w:hint="eastAsia"/>
          <w:color w:val="auto"/>
          <w:lang w:val="en-US" w:eastAsia="zh-CN"/>
        </w:rPr>
        <w:t>：选矿厂组成主要由粗碎厂房、中碎厂房、除铁器室、筛洗及预选厂房、细碎厂房、筛分厂房、转运站、粉矿仓、主厂房、废石仓、药剂仓库、浓缩池等组成。</w:t>
      </w:r>
    </w:p>
    <w:p>
      <w:pPr>
        <w:keepNext w:val="0"/>
        <w:keepLines w:val="0"/>
        <w:widowControl/>
        <w:suppressLineNumbers w:val="0"/>
        <w:jc w:val="left"/>
        <w:rPr>
          <w:rFonts w:hint="default"/>
          <w:color w:val="auto"/>
          <w:lang w:val="en-US"/>
        </w:rPr>
      </w:pPr>
      <w:r>
        <w:rPr>
          <w:rFonts w:hint="eastAsia"/>
          <w:color w:val="auto"/>
          <w:lang w:val="en-US" w:eastAsia="zh-CN"/>
        </w:rPr>
        <w:t>公用及辅助设施：道路及运输系统、给排水系统、供配电系统、自动化系统、</w:t>
      </w:r>
      <w:r>
        <w:rPr>
          <w:rFonts w:hint="eastAsia" w:ascii="宋体" w:hAnsi="宋体" w:eastAsia="宋体" w:cs="宋体"/>
          <w:color w:val="auto"/>
          <w:kern w:val="0"/>
          <w:sz w:val="28"/>
          <w:szCs w:val="28"/>
          <w:lang w:val="en-US" w:eastAsia="zh-CN" w:bidi="ar"/>
        </w:rPr>
        <w:t>除尘系统等</w:t>
      </w:r>
      <w:r>
        <w:rPr>
          <w:rFonts w:hint="eastAsia"/>
          <w:color w:val="auto"/>
          <w:lang w:val="en-US" w:eastAsia="zh-CN"/>
        </w:rPr>
        <w:t>。</w:t>
      </w:r>
    </w:p>
    <w:p>
      <w:pPr>
        <w:pStyle w:val="3"/>
        <w:bidi w:val="0"/>
        <w:rPr>
          <w:rFonts w:hint="eastAsia"/>
          <w:color w:val="auto"/>
        </w:rPr>
      </w:pPr>
      <w:bookmarkStart w:id="64" w:name="_Toc12142"/>
      <w:bookmarkStart w:id="65" w:name="_Toc3833"/>
      <w:r>
        <w:rPr>
          <w:rFonts w:hint="eastAsia"/>
          <w:color w:val="auto"/>
        </w:rPr>
        <w:t>2.3 地理位置和周边环境</w:t>
      </w:r>
      <w:bookmarkEnd w:id="64"/>
      <w:bookmarkEnd w:id="65"/>
    </w:p>
    <w:p>
      <w:pPr>
        <w:pStyle w:val="4"/>
        <w:bidi w:val="0"/>
        <w:rPr>
          <w:rFonts w:hint="default"/>
          <w:color w:val="auto"/>
          <w:lang w:val="en-US" w:eastAsia="zh-CN"/>
        </w:rPr>
      </w:pPr>
      <w:bookmarkStart w:id="66" w:name="_Toc16867"/>
      <w:bookmarkStart w:id="67" w:name="_Toc6457"/>
      <w:r>
        <w:rPr>
          <w:rFonts w:hint="eastAsia"/>
          <w:color w:val="auto"/>
          <w:lang w:val="en-US" w:eastAsia="zh-CN"/>
        </w:rPr>
        <w:t>2.3.1 地理位置</w:t>
      </w:r>
      <w:bookmarkEnd w:id="66"/>
      <w:bookmarkEnd w:id="67"/>
    </w:p>
    <w:p>
      <w:pPr>
        <w:bidi w:val="0"/>
        <w:rPr>
          <w:rFonts w:hint="default"/>
          <w:color w:val="auto"/>
          <w:lang w:val="en-US" w:eastAsia="zh-CN"/>
        </w:rPr>
      </w:pPr>
      <w:r>
        <w:rPr>
          <w:rFonts w:hint="default"/>
          <w:color w:val="auto"/>
          <w:lang w:val="en-US" w:eastAsia="zh-CN"/>
        </w:rPr>
        <w:t>于都小东坑矿业有限公司</w:t>
      </w:r>
      <w:r>
        <w:rPr>
          <w:rFonts w:hint="eastAsia"/>
          <w:color w:val="auto"/>
          <w:lang w:val="en-US" w:eastAsia="zh-CN"/>
        </w:rPr>
        <w:t>选矿厂</w:t>
      </w:r>
      <w:r>
        <w:rPr>
          <w:rFonts w:hint="default"/>
          <w:color w:val="auto"/>
          <w:lang w:val="en-US" w:eastAsia="zh-CN"/>
        </w:rPr>
        <w:t>位于江西省于都县城西南（238</w:t>
      </w:r>
      <w:r>
        <w:rPr>
          <w:rFonts w:hint="eastAsia" w:ascii="宋体" w:hAnsi="宋体" w:eastAsia="宋体" w:cs="宋体"/>
          <w:color w:val="auto"/>
          <w:lang w:val="en-US" w:eastAsia="zh-CN"/>
        </w:rPr>
        <w:t>°</w:t>
      </w:r>
      <w:r>
        <w:rPr>
          <w:rFonts w:hint="default"/>
          <w:color w:val="auto"/>
          <w:lang w:val="en-US" w:eastAsia="zh-CN"/>
        </w:rPr>
        <w:t>方位）直</w:t>
      </w:r>
      <w:r>
        <w:rPr>
          <w:rFonts w:hint="eastAsia"/>
          <w:color w:val="auto"/>
          <w:lang w:val="en-US" w:eastAsia="zh-CN"/>
        </w:rPr>
        <w:t>线</w:t>
      </w:r>
      <w:r>
        <w:rPr>
          <w:rFonts w:hint="default"/>
          <w:color w:val="auto"/>
          <w:lang w:val="en-US" w:eastAsia="zh-CN"/>
        </w:rPr>
        <w:t>距</w:t>
      </w:r>
      <w:r>
        <w:rPr>
          <w:rFonts w:hint="eastAsia"/>
          <w:color w:val="auto"/>
          <w:lang w:val="en-US" w:eastAsia="zh-CN"/>
        </w:rPr>
        <w:t>离约</w:t>
      </w:r>
      <w:r>
        <w:rPr>
          <w:rFonts w:hint="default"/>
          <w:color w:val="auto"/>
          <w:lang w:val="en-US" w:eastAsia="zh-CN"/>
        </w:rPr>
        <w:t>29km处，行政区划隶属于都县罗江乡管辖，与赣县长洛毗邻。</w:t>
      </w:r>
      <w:r>
        <w:rPr>
          <w:rFonts w:hint="eastAsia"/>
          <w:color w:val="auto"/>
          <w:lang w:val="en-US" w:eastAsia="zh-CN"/>
        </w:rPr>
        <w:t>周围</w:t>
      </w:r>
      <w:r>
        <w:rPr>
          <w:rFonts w:hint="default"/>
          <w:color w:val="auto"/>
          <w:lang w:val="en-US" w:eastAsia="zh-CN"/>
        </w:rPr>
        <w:t>无省道、国道、高速公路和铁路通过</w:t>
      </w:r>
      <w:r>
        <w:rPr>
          <w:rFonts w:hint="eastAsia"/>
          <w:color w:val="auto"/>
          <w:lang w:val="en-US" w:eastAsia="zh-CN"/>
        </w:rPr>
        <w:t>，</w:t>
      </w:r>
      <w:r>
        <w:rPr>
          <w:rFonts w:hint="default"/>
          <w:color w:val="auto"/>
          <w:lang w:val="en-US" w:eastAsia="zh-CN"/>
        </w:rPr>
        <w:t>从罗江乡经三门大桥直通323国道</w:t>
      </w:r>
      <w:r>
        <w:rPr>
          <w:rFonts w:hint="eastAsia"/>
          <w:color w:val="auto"/>
          <w:lang w:val="en-US" w:eastAsia="zh-CN"/>
        </w:rPr>
        <w:t>，选矿厂</w:t>
      </w:r>
      <w:r>
        <w:rPr>
          <w:rFonts w:hint="default"/>
          <w:color w:val="auto"/>
          <w:lang w:val="en-US" w:eastAsia="zh-CN"/>
        </w:rPr>
        <w:t>至323国道约9km</w:t>
      </w:r>
      <w:r>
        <w:rPr>
          <w:rFonts w:hint="eastAsia"/>
          <w:color w:val="auto"/>
          <w:lang w:val="en-US" w:eastAsia="zh-CN"/>
        </w:rPr>
        <w:t>，</w:t>
      </w:r>
      <w:r>
        <w:rPr>
          <w:rFonts w:hint="default"/>
          <w:color w:val="auto"/>
          <w:lang w:val="en-US" w:eastAsia="zh-CN"/>
        </w:rPr>
        <w:t>三门大桥经323国道至赣州市约45km</w:t>
      </w:r>
      <w:r>
        <w:rPr>
          <w:rFonts w:hint="eastAsia"/>
          <w:color w:val="auto"/>
          <w:lang w:val="en-US" w:eastAsia="zh-CN"/>
        </w:rPr>
        <w:t>、</w:t>
      </w:r>
      <w:r>
        <w:rPr>
          <w:rFonts w:hint="default"/>
          <w:color w:val="auto"/>
          <w:lang w:val="en-US" w:eastAsia="zh-CN"/>
        </w:rPr>
        <w:t>至于都县城15km，至盘古山钨矿70km，交通便利。自于都、赣州有铁路、公路和高速公路通南昌、韶关、鹰潭、龙岩、厦门等地，已构成铁路、高速公路、普通公路的交通网络，南接广东，东通福建。项目具体地理位置见图2-1。</w:t>
      </w:r>
    </w:p>
    <w:p>
      <w:pPr>
        <w:bidi w:val="0"/>
        <w:ind w:left="0" w:leftChars="0" w:firstLine="0" w:firstLineChars="0"/>
        <w:jc w:val="center"/>
        <w:rPr>
          <w:color w:val="auto"/>
        </w:rPr>
      </w:pPr>
      <w:r>
        <w:rPr>
          <w:color w:val="auto"/>
        </w:rPr>
        <w:drawing>
          <wp:inline distT="0" distB="0" distL="114300" distR="114300">
            <wp:extent cx="5758180" cy="3677285"/>
            <wp:effectExtent l="0" t="0" r="13970" b="1841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5"/>
                    <a:stretch>
                      <a:fillRect/>
                    </a:stretch>
                  </pic:blipFill>
                  <pic:spPr>
                    <a:xfrm>
                      <a:off x="0" y="0"/>
                      <a:ext cx="5758180" cy="36772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lang w:val="en-US" w:eastAsia="zh-CN"/>
        </w:rPr>
      </w:pPr>
      <w:r>
        <w:rPr>
          <w:rFonts w:hint="eastAsia"/>
          <w:color w:val="auto"/>
          <w:lang w:val="en-US" w:eastAsia="zh-CN"/>
        </w:rPr>
        <w:t>图2-1 项目地理位置图</w:t>
      </w:r>
    </w:p>
    <w:p>
      <w:pPr>
        <w:pStyle w:val="4"/>
        <w:bidi w:val="0"/>
        <w:rPr>
          <w:rFonts w:hint="eastAsia"/>
          <w:color w:val="auto"/>
          <w:lang w:val="en-US" w:eastAsia="zh-CN"/>
        </w:rPr>
      </w:pPr>
      <w:bookmarkStart w:id="68" w:name="_Toc23086"/>
      <w:bookmarkStart w:id="69" w:name="_Toc25572"/>
      <w:r>
        <w:rPr>
          <w:rFonts w:hint="eastAsia"/>
          <w:color w:val="auto"/>
          <w:lang w:val="en-US" w:eastAsia="zh-CN"/>
        </w:rPr>
        <w:t>2.3.2 周边环境</w:t>
      </w:r>
      <w:bookmarkEnd w:id="68"/>
      <w:bookmarkEnd w:id="69"/>
    </w:p>
    <w:p>
      <w:pPr>
        <w:rPr>
          <w:rFonts w:hint="default"/>
          <w:color w:val="auto"/>
          <w:lang w:val="en-US" w:eastAsia="zh-CN"/>
        </w:rPr>
      </w:pPr>
      <w:r>
        <w:rPr>
          <w:rFonts w:hint="default"/>
          <w:color w:val="auto"/>
          <w:lang w:val="en-US" w:eastAsia="zh-CN"/>
        </w:rPr>
        <w:t>拟建场地为丘陵地貌。建筑物多位于山顶，山体成东西走向，南北两侧都为山坡，北侧山坡坡度约35～45</w:t>
      </w:r>
      <w:r>
        <w:rPr>
          <w:rFonts w:hint="eastAsia" w:ascii="宋体" w:hAnsi="宋体" w:eastAsia="宋体" w:cs="宋体"/>
          <w:color w:val="auto"/>
          <w:lang w:val="en-US" w:eastAsia="zh-CN"/>
        </w:rPr>
        <w:t>°</w:t>
      </w:r>
      <w:r>
        <w:rPr>
          <w:rFonts w:hint="default"/>
          <w:color w:val="auto"/>
          <w:lang w:val="en-US" w:eastAsia="zh-CN"/>
        </w:rPr>
        <w:t>，南侧山坡坡度约45～65</w:t>
      </w:r>
      <w:r>
        <w:rPr>
          <w:rFonts w:hint="eastAsia" w:ascii="宋体" w:hAnsi="宋体" w:eastAsia="宋体" w:cs="宋体"/>
          <w:color w:val="auto"/>
          <w:lang w:val="en-US" w:eastAsia="zh-CN"/>
        </w:rPr>
        <w:t>°</w:t>
      </w:r>
      <w:r>
        <w:rPr>
          <w:rFonts w:hint="default"/>
          <w:color w:val="auto"/>
          <w:lang w:val="en-US" w:eastAsia="zh-CN"/>
        </w:rPr>
        <w:t>植被茂盛，整体地势较为陡峭。地势落差较大，地面标高一般为390～320m，相对高差约70m。地表水发育一般。高差落差大、在拟建区域沟谷底部形成小溪流，枯水期断流。地表水主要受大气降水影响。</w:t>
      </w:r>
    </w:p>
    <w:p>
      <w:pPr>
        <w:rPr>
          <w:rFonts w:hint="default"/>
          <w:color w:val="auto"/>
          <w:lang w:val="en-US" w:eastAsia="zh-CN"/>
        </w:rPr>
      </w:pPr>
      <w:r>
        <w:rPr>
          <w:rFonts w:hint="default"/>
          <w:color w:val="auto"/>
          <w:lang w:val="en-US" w:eastAsia="zh-CN"/>
        </w:rPr>
        <w:t>选矿厂区</w:t>
      </w:r>
      <w:r>
        <w:rPr>
          <w:rFonts w:hint="eastAsia"/>
          <w:color w:val="auto"/>
          <w:lang w:val="en-US" w:eastAsia="zh-CN"/>
        </w:rPr>
        <w:t>西南侧约250m为</w:t>
      </w:r>
      <w:r>
        <w:rPr>
          <w:rFonts w:hint="default"/>
          <w:color w:val="auto"/>
          <w:lang w:val="en-US" w:eastAsia="zh-CN"/>
        </w:rPr>
        <w:t>竖井井口工业场地</w:t>
      </w:r>
      <w:r>
        <w:rPr>
          <w:rFonts w:hint="eastAsia"/>
          <w:color w:val="auto"/>
          <w:lang w:val="en-US" w:eastAsia="zh-CN"/>
        </w:rPr>
        <w:t>，东北侧约50m处为+320m井口工业场地，北侧与南侧均无建筑物。</w:t>
      </w:r>
    </w:p>
    <w:p>
      <w:pPr>
        <w:pStyle w:val="3"/>
        <w:bidi w:val="0"/>
        <w:rPr>
          <w:rFonts w:hint="default"/>
          <w:color w:val="auto"/>
          <w:lang w:val="en-US"/>
        </w:rPr>
      </w:pPr>
      <w:bookmarkStart w:id="70" w:name="_Toc7183"/>
      <w:bookmarkStart w:id="71" w:name="_Toc4351"/>
      <w:r>
        <w:rPr>
          <w:rFonts w:hint="default"/>
          <w:color w:val="auto"/>
          <w:lang w:val="en-US" w:eastAsia="zh-CN"/>
        </w:rPr>
        <w:t xml:space="preserve">2.4 </w:t>
      </w:r>
      <w:bookmarkEnd w:id="70"/>
      <w:r>
        <w:rPr>
          <w:rFonts w:hint="eastAsia"/>
          <w:color w:val="auto"/>
          <w:lang w:val="en-US" w:eastAsia="zh-CN"/>
        </w:rPr>
        <w:t>地质概况</w:t>
      </w:r>
      <w:bookmarkEnd w:id="71"/>
    </w:p>
    <w:p>
      <w:pPr>
        <w:pStyle w:val="4"/>
        <w:bidi w:val="0"/>
        <w:rPr>
          <w:rFonts w:hint="eastAsia"/>
          <w:color w:val="auto"/>
          <w:lang w:val="en-US" w:eastAsia="zh-CN"/>
        </w:rPr>
      </w:pPr>
      <w:bookmarkStart w:id="72" w:name="_Toc24940"/>
      <w:bookmarkStart w:id="73" w:name="_Toc19285"/>
      <w:bookmarkStart w:id="74" w:name="_Toc28087"/>
      <w:r>
        <w:rPr>
          <w:rFonts w:hint="eastAsia"/>
          <w:color w:val="auto"/>
          <w:lang w:val="en-US" w:eastAsia="zh-CN"/>
        </w:rPr>
        <w:t>2.4.1 气象</w:t>
      </w:r>
      <w:bookmarkEnd w:id="72"/>
      <w:bookmarkEnd w:id="73"/>
      <w:bookmarkEnd w:id="74"/>
    </w:p>
    <w:p>
      <w:pPr>
        <w:rPr>
          <w:rFonts w:hint="default"/>
          <w:color w:val="auto"/>
          <w:lang w:val="en-US" w:eastAsia="zh-CN"/>
        </w:rPr>
      </w:pPr>
      <w:r>
        <w:rPr>
          <w:rFonts w:hint="default"/>
          <w:color w:val="auto"/>
          <w:lang w:val="en-US" w:eastAsia="zh-CN"/>
        </w:rPr>
        <w:t>厂区属亚热带季风温润气候区，气候温和、雨量充沛、四季分明，多年年平均气温19.7℃，多年平均降水量1507.1mm（1980~2010年）最大年降水量2309.9mm（1975年），最小年降水量881.3mm（2003年），降水量多集中在3至6月，约占全年降水量的55.4%，多年平均日照时数1621.9小时，多年平均无霜期297天，年蒸发量1300~1400mm，多年平均无风日数69天，冬春季主导风向为北或东北，风速一般1.5~3.0m/s，夏秋季主导风向为南或西南，风速一般2.5~5.0m/s，最大可达8.0m/s</w:t>
      </w:r>
      <w:r>
        <w:rPr>
          <w:rFonts w:hint="eastAsia"/>
          <w:color w:val="auto"/>
          <w:lang w:val="en-US" w:eastAsia="zh-CN"/>
        </w:rPr>
        <w:t>。</w:t>
      </w:r>
      <w:r>
        <w:rPr>
          <w:rFonts w:hint="default"/>
          <w:color w:val="auto"/>
          <w:lang w:val="en-US" w:eastAsia="zh-CN"/>
        </w:rPr>
        <w:t>矿区四面环山，常年阴雾、湿润，温差变幅同周围地区趋小，日照时间稍短，年降雨日数与矿区周边山林地相同，受大气环流影响，与周边山林地形成局部山地小气候，有利于植物的生长萌发。</w:t>
      </w:r>
    </w:p>
    <w:p>
      <w:pPr>
        <w:pStyle w:val="4"/>
        <w:bidi w:val="0"/>
        <w:rPr>
          <w:rFonts w:hint="eastAsia"/>
          <w:color w:val="auto"/>
          <w:lang w:val="en-US" w:eastAsia="zh-CN"/>
        </w:rPr>
      </w:pPr>
      <w:bookmarkStart w:id="75" w:name="_Toc19512"/>
      <w:bookmarkStart w:id="76" w:name="_Toc17947"/>
      <w:bookmarkStart w:id="77" w:name="_Toc11187"/>
      <w:r>
        <w:rPr>
          <w:rFonts w:hint="eastAsia"/>
          <w:color w:val="auto"/>
          <w:lang w:val="en-US" w:eastAsia="zh-CN"/>
        </w:rPr>
        <w:t xml:space="preserve">2.4.2 </w:t>
      </w:r>
      <w:bookmarkEnd w:id="75"/>
      <w:bookmarkEnd w:id="76"/>
      <w:r>
        <w:rPr>
          <w:rFonts w:hint="eastAsia"/>
          <w:color w:val="auto"/>
          <w:lang w:val="en-US" w:eastAsia="zh-CN"/>
        </w:rPr>
        <w:t>场地岩土工程条件</w:t>
      </w:r>
      <w:bookmarkEnd w:id="77"/>
    </w:p>
    <w:p>
      <w:pPr>
        <w:rPr>
          <w:rFonts w:hint="eastAsia"/>
          <w:color w:val="auto"/>
          <w:lang w:val="en-US" w:eastAsia="zh-CN"/>
        </w:rPr>
      </w:pPr>
      <w:r>
        <w:rPr>
          <w:rFonts w:hint="eastAsia"/>
          <w:color w:val="auto"/>
          <w:lang w:val="en-US" w:eastAsia="zh-CN"/>
        </w:rPr>
        <w:t>以下内容主要摘自江西金新勘测工程有限公司2021年12月的《江西省于都县小东坑钨矿采选项目选矿厂岩土工程勘察报告（详勘）》</w:t>
      </w:r>
    </w:p>
    <w:p>
      <w:pPr>
        <w:rPr>
          <w:rFonts w:hint="default"/>
          <w:color w:val="auto"/>
          <w:lang w:val="en-US" w:eastAsia="zh-CN"/>
        </w:rPr>
      </w:pPr>
      <w:r>
        <w:rPr>
          <w:rFonts w:hint="default"/>
          <w:color w:val="auto"/>
          <w:lang w:val="en-US" w:eastAsia="zh-CN"/>
        </w:rPr>
        <w:t>按《岩土工程勘察规范（2009年版）》</w:t>
      </w:r>
      <w:r>
        <w:rPr>
          <w:rFonts w:hint="eastAsia"/>
          <w:color w:val="auto"/>
          <w:lang w:val="en-US" w:eastAsia="zh-CN"/>
        </w:rPr>
        <w:t>（</w:t>
      </w:r>
      <w:r>
        <w:rPr>
          <w:rFonts w:hint="default"/>
          <w:color w:val="auto"/>
          <w:lang w:val="en-US" w:eastAsia="zh-CN"/>
        </w:rPr>
        <w:t>GB50021-2001</w:t>
      </w:r>
      <w:r>
        <w:rPr>
          <w:rFonts w:hint="eastAsia"/>
          <w:color w:val="auto"/>
          <w:lang w:val="en-US" w:eastAsia="zh-CN"/>
        </w:rPr>
        <w:t>）</w:t>
      </w:r>
      <w:r>
        <w:rPr>
          <w:rFonts w:hint="default"/>
          <w:color w:val="auto"/>
          <w:lang w:val="en-US" w:eastAsia="zh-CN"/>
        </w:rPr>
        <w:t>划分，拟建工程重要性等级为三级，场地复杂程度等级为三级，地基复杂程度等级为二级，本工程岩土工程勘察等级为乙级。</w:t>
      </w:r>
    </w:p>
    <w:p>
      <w:pPr>
        <w:bidi w:val="0"/>
        <w:rPr>
          <w:rFonts w:hint="default"/>
          <w:b/>
          <w:bCs/>
          <w:color w:val="auto"/>
          <w:lang w:val="en-US" w:eastAsia="zh-CN"/>
        </w:rPr>
      </w:pPr>
      <w:r>
        <w:rPr>
          <w:rFonts w:hint="eastAsia"/>
          <w:b/>
          <w:bCs/>
          <w:color w:val="auto"/>
          <w:lang w:val="en-US" w:eastAsia="zh-CN"/>
        </w:rPr>
        <w:t xml:space="preserve">1. </w:t>
      </w:r>
      <w:r>
        <w:rPr>
          <w:rFonts w:hint="default"/>
          <w:b/>
          <w:bCs/>
          <w:color w:val="auto"/>
          <w:lang w:val="en-US" w:eastAsia="zh-CN"/>
        </w:rPr>
        <w:t>场地位置及地形地貌</w:t>
      </w:r>
    </w:p>
    <w:p>
      <w:pPr>
        <w:bidi w:val="0"/>
        <w:rPr>
          <w:rFonts w:hint="default"/>
          <w:color w:val="auto"/>
          <w:lang w:val="en-US" w:eastAsia="zh-CN"/>
        </w:rPr>
      </w:pPr>
      <w:r>
        <w:rPr>
          <w:rFonts w:hint="default"/>
          <w:color w:val="auto"/>
          <w:lang w:val="en-US" w:eastAsia="zh-CN"/>
        </w:rPr>
        <w:t>拟建工程场地位于赣州市于都县罗江乡小东坑矿区，近靠238国道，交通较便利。拟建场地为丘陵地貌。建筑物多位于山顶，山体成东西走向，南北两侧都为山坡，北侧山坡坡度约35～45</w:t>
      </w:r>
      <w:r>
        <w:rPr>
          <w:rFonts w:hint="eastAsia" w:ascii="宋体" w:hAnsi="宋体" w:eastAsia="宋体" w:cs="宋体"/>
          <w:color w:val="auto"/>
          <w:lang w:val="en-US" w:eastAsia="zh-CN"/>
        </w:rPr>
        <w:t>°</w:t>
      </w:r>
      <w:r>
        <w:rPr>
          <w:rFonts w:hint="default"/>
          <w:color w:val="auto"/>
          <w:lang w:val="en-US" w:eastAsia="zh-CN"/>
        </w:rPr>
        <w:t>，南侧山坡坡度约45～65</w:t>
      </w:r>
      <w:r>
        <w:rPr>
          <w:rFonts w:hint="eastAsia" w:ascii="宋体" w:hAnsi="宋体" w:eastAsia="宋体" w:cs="宋体"/>
          <w:color w:val="auto"/>
          <w:lang w:val="en-US" w:eastAsia="zh-CN"/>
        </w:rPr>
        <w:t>°</w:t>
      </w:r>
      <w:r>
        <w:rPr>
          <w:rFonts w:hint="default"/>
          <w:color w:val="auto"/>
          <w:lang w:val="en-US" w:eastAsia="zh-CN"/>
        </w:rPr>
        <w:t>植被茂盛，整体地势较为陡峭。地势落差较大，地面标高一般为390～320m，相对高差约70m。</w:t>
      </w:r>
    </w:p>
    <w:p>
      <w:pPr>
        <w:bidi w:val="0"/>
        <w:rPr>
          <w:rFonts w:hint="eastAsia"/>
          <w:b/>
          <w:bCs/>
          <w:color w:val="auto"/>
          <w:lang w:val="en-US" w:eastAsia="zh-CN"/>
        </w:rPr>
      </w:pPr>
      <w:r>
        <w:rPr>
          <w:rFonts w:hint="eastAsia"/>
          <w:b/>
          <w:bCs/>
          <w:color w:val="auto"/>
          <w:lang w:val="en-US" w:eastAsia="zh-CN"/>
        </w:rPr>
        <w:t>2. 区域地质</w:t>
      </w:r>
    </w:p>
    <w:p>
      <w:pPr>
        <w:bidi w:val="0"/>
        <w:rPr>
          <w:rFonts w:hint="default"/>
          <w:color w:val="auto"/>
          <w:lang w:val="en-US" w:eastAsia="zh-CN"/>
        </w:rPr>
      </w:pPr>
      <w:r>
        <w:rPr>
          <w:rFonts w:hint="default"/>
          <w:color w:val="auto"/>
          <w:lang w:val="en-US" w:eastAsia="zh-CN"/>
        </w:rPr>
        <w:t>本区属于丘陵地带，分布有寒武系下统变质石英砂岩及第四系残坡积层。无新生大断裂带通过。</w:t>
      </w:r>
    </w:p>
    <w:p>
      <w:pPr>
        <w:bidi w:val="0"/>
        <w:rPr>
          <w:rFonts w:hint="eastAsia"/>
          <w:b/>
          <w:bCs/>
          <w:color w:val="auto"/>
          <w:lang w:val="en-US" w:eastAsia="zh-CN"/>
        </w:rPr>
      </w:pPr>
      <w:r>
        <w:rPr>
          <w:rFonts w:hint="eastAsia"/>
          <w:b/>
          <w:bCs/>
          <w:color w:val="auto"/>
          <w:lang w:val="en-US" w:eastAsia="zh-CN"/>
        </w:rPr>
        <w:t>3. 地层岩性</w:t>
      </w:r>
    </w:p>
    <w:p>
      <w:pPr>
        <w:bidi w:val="0"/>
        <w:rPr>
          <w:rFonts w:hint="default"/>
          <w:color w:val="auto"/>
          <w:lang w:val="en-US" w:eastAsia="zh-CN"/>
        </w:rPr>
      </w:pPr>
      <w:r>
        <w:rPr>
          <w:rFonts w:hint="default"/>
          <w:color w:val="auto"/>
          <w:lang w:val="en-US" w:eastAsia="zh-CN"/>
        </w:rPr>
        <w:t>根据钻探揭露，场地内地层相对简单，自上而下依次为第四系填土层（Q4</w:t>
      </w:r>
      <w:r>
        <w:rPr>
          <w:rFonts w:hint="default"/>
          <w:color w:val="auto"/>
          <w:vertAlign w:val="superscript"/>
          <w:lang w:val="en-US" w:eastAsia="zh-CN"/>
        </w:rPr>
        <w:t>ml</w:t>
      </w:r>
      <w:r>
        <w:rPr>
          <w:rFonts w:hint="default"/>
          <w:color w:val="auto"/>
          <w:lang w:val="en-US" w:eastAsia="zh-CN"/>
        </w:rPr>
        <w:t>），第四系粉质粘土层（Q</w:t>
      </w:r>
      <w:r>
        <w:rPr>
          <w:rFonts w:hint="default"/>
          <w:color w:val="auto"/>
          <w:vertAlign w:val="subscript"/>
          <w:lang w:val="en-US" w:eastAsia="zh-CN"/>
        </w:rPr>
        <w:t>4</w:t>
      </w:r>
      <w:r>
        <w:rPr>
          <w:rFonts w:hint="default"/>
          <w:color w:val="auto"/>
          <w:vertAlign w:val="superscript"/>
          <w:lang w:val="en-US" w:eastAsia="zh-CN"/>
        </w:rPr>
        <w:t>dl</w:t>
      </w:r>
      <w:r>
        <w:rPr>
          <w:rFonts w:hint="default"/>
          <w:color w:val="auto"/>
          <w:lang w:val="en-US" w:eastAsia="zh-CN"/>
        </w:rPr>
        <w:t>）</w:t>
      </w:r>
      <w:r>
        <w:rPr>
          <w:rFonts w:hint="eastAsia"/>
          <w:color w:val="auto"/>
          <w:lang w:val="en-US" w:eastAsia="zh-CN"/>
        </w:rPr>
        <w:t>，</w:t>
      </w:r>
      <w:r>
        <w:rPr>
          <w:rFonts w:hint="default"/>
          <w:color w:val="auto"/>
          <w:lang w:val="en-US" w:eastAsia="zh-CN"/>
        </w:rPr>
        <w:t>下伏基岩为寒武系下统</w:t>
      </w:r>
      <w:r>
        <w:rPr>
          <w:rFonts w:hint="eastAsia"/>
          <w:color w:val="auto"/>
          <w:lang w:val="en-US" w:eastAsia="zh-CN"/>
        </w:rPr>
        <w:t>（</w:t>
      </w:r>
      <w:r>
        <w:rPr>
          <w:rFonts w:hint="default"/>
          <w:color w:val="auto"/>
          <w:lang w:val="en-US" w:eastAsia="zh-CN"/>
        </w:rPr>
        <w:t>ϵ</w:t>
      </w:r>
      <w:r>
        <w:rPr>
          <w:rFonts w:hint="eastAsia"/>
          <w:color w:val="auto"/>
          <w:lang w:val="en-US" w:eastAsia="zh-CN"/>
        </w:rPr>
        <w:t>）</w:t>
      </w:r>
      <w:r>
        <w:rPr>
          <w:rFonts w:hint="default"/>
          <w:color w:val="auto"/>
          <w:lang w:val="en-US" w:eastAsia="zh-CN"/>
        </w:rPr>
        <w:t>变质石英砂岩。揭露的地层可分为强风化变质石英砂岩以及中风化变质石英砂岩。各地层的野外特征分述如下：</w:t>
      </w:r>
    </w:p>
    <w:p>
      <w:pPr>
        <w:numPr>
          <w:ilvl w:val="0"/>
          <w:numId w:val="0"/>
        </w:numPr>
        <w:bidi w:val="0"/>
        <w:ind w:firstLine="560" w:firstLineChars="200"/>
        <w:rPr>
          <w:rFonts w:hint="eastAsia"/>
          <w:color w:val="auto"/>
          <w:lang w:val="en-US" w:eastAsia="zh-CN"/>
        </w:rPr>
      </w:pPr>
      <w:r>
        <w:rPr>
          <w:rFonts w:hint="eastAsia" w:ascii="Times New Roman" w:hAnsi="Times New Roman" w:eastAsia="宋体" w:cs="Times New Roman"/>
          <w:color w:val="auto"/>
          <w:kern w:val="2"/>
          <w:sz w:val="28"/>
          <w:szCs w:val="24"/>
          <w:lang w:val="en-US" w:eastAsia="zh-CN" w:bidi="ar-SA"/>
        </w:rPr>
        <w:t>（1）</w:t>
      </w:r>
      <w:r>
        <w:rPr>
          <w:rFonts w:hint="eastAsia"/>
          <w:color w:val="auto"/>
          <w:lang w:val="en-US" w:eastAsia="zh-CN"/>
        </w:rPr>
        <w:t>第四系冲素填土层（Q</w:t>
      </w:r>
      <w:r>
        <w:rPr>
          <w:rFonts w:hint="eastAsia"/>
          <w:color w:val="auto"/>
          <w:vertAlign w:val="subscript"/>
          <w:lang w:val="en-US" w:eastAsia="zh-CN"/>
        </w:rPr>
        <w:t>4</w:t>
      </w:r>
      <w:r>
        <w:rPr>
          <w:rFonts w:hint="eastAsia"/>
          <w:color w:val="auto"/>
          <w:vertAlign w:val="superscript"/>
          <w:lang w:val="en-US" w:eastAsia="zh-CN"/>
        </w:rPr>
        <w:t>ml</w:t>
      </w:r>
      <w:r>
        <w:rPr>
          <w:rFonts w:hint="eastAsia"/>
          <w:color w:val="auto"/>
          <w:lang w:val="en-US" w:eastAsia="zh-CN"/>
        </w:rPr>
        <w:t>）</w:t>
      </w:r>
    </w:p>
    <w:p>
      <w:pPr>
        <w:bidi w:val="0"/>
        <w:rPr>
          <w:rFonts w:hint="eastAsia"/>
          <w:color w:val="auto"/>
          <w:lang w:val="en-US" w:eastAsia="zh-CN"/>
        </w:rPr>
      </w:pPr>
      <w:r>
        <w:rPr>
          <w:rFonts w:hint="eastAsia"/>
          <w:color w:val="auto"/>
          <w:lang w:val="en-US" w:eastAsia="zh-CN"/>
        </w:rPr>
        <w:t>①素填土（1-1为地层编号）：场地内分布不均，黄褐色，主要由粘性土碎石及少量砾砂组成，稍湿，松散，新进回填，回填时间小于1年。揭露厚度0.50～3.70m，平均厚度1.81m，顶板标高：319.86～386.71米。场地有15个钻孔揭露，揭露钻孔；ZK5，ZK12，ZK14-ZK15，ZK18，ZK28，ZK32，ZK35-ZK42。现场作动探试验18次，实测平均动探击数5.6击，修正后平均标贯击数为5.8击。</w:t>
      </w:r>
    </w:p>
    <w:p>
      <w:pPr>
        <w:numPr>
          <w:ilvl w:val="0"/>
          <w:numId w:val="0"/>
        </w:numPr>
        <w:bidi w:val="0"/>
        <w:ind w:firstLine="560" w:firstLineChars="200"/>
        <w:rPr>
          <w:rFonts w:hint="default"/>
          <w:color w:val="auto"/>
          <w:lang w:val="en-US" w:eastAsia="zh-CN"/>
        </w:rPr>
      </w:pPr>
      <w:r>
        <w:rPr>
          <w:rFonts w:hint="default" w:ascii="Times New Roman" w:hAnsi="Times New Roman" w:eastAsia="宋体" w:cs="Times New Roman"/>
          <w:color w:val="auto"/>
          <w:kern w:val="2"/>
          <w:sz w:val="28"/>
          <w:szCs w:val="24"/>
          <w:lang w:val="en-US" w:eastAsia="zh-CN" w:bidi="ar-SA"/>
        </w:rPr>
        <w:t>（2）</w:t>
      </w:r>
      <w:r>
        <w:rPr>
          <w:rFonts w:hint="default"/>
          <w:color w:val="auto"/>
          <w:lang w:val="en-US" w:eastAsia="zh-CN"/>
        </w:rPr>
        <w:t>第四系残坡积粉质粘土层（Q</w:t>
      </w:r>
      <w:r>
        <w:rPr>
          <w:rFonts w:hint="default"/>
          <w:color w:val="auto"/>
          <w:vertAlign w:val="subscript"/>
          <w:lang w:val="en-US" w:eastAsia="zh-CN"/>
        </w:rPr>
        <w:t>4</w:t>
      </w:r>
      <w:r>
        <w:rPr>
          <w:rFonts w:hint="default"/>
          <w:color w:val="auto"/>
          <w:vertAlign w:val="superscript"/>
          <w:lang w:val="en-US" w:eastAsia="zh-CN"/>
        </w:rPr>
        <w:t>dl</w:t>
      </w:r>
      <w:r>
        <w:rPr>
          <w:rFonts w:hint="default"/>
          <w:color w:val="auto"/>
          <w:lang w:val="en-US" w:eastAsia="zh-CN"/>
        </w:rPr>
        <w:t>）</w:t>
      </w:r>
    </w:p>
    <w:p>
      <w:pPr>
        <w:bidi w:val="0"/>
        <w:rPr>
          <w:rFonts w:hint="default"/>
          <w:color w:val="auto"/>
          <w:lang w:val="en-US" w:eastAsia="zh-CN"/>
        </w:rPr>
      </w:pPr>
      <w:r>
        <w:rPr>
          <w:rFonts w:hint="default"/>
          <w:color w:val="auto"/>
          <w:lang w:val="en-US" w:eastAsia="zh-CN"/>
        </w:rPr>
        <w:t>②粉质粘土（1-2为地层编号）：场地内分布不均，褐黄色，可塑</w:t>
      </w:r>
      <w:r>
        <w:rPr>
          <w:rFonts w:hint="eastAsia" w:ascii="宋体" w:hAnsi="宋体" w:eastAsia="宋体" w:cs="宋体"/>
          <w:color w:val="auto"/>
          <w:lang w:val="en-US" w:eastAsia="zh-CN"/>
        </w:rPr>
        <w:t>-</w:t>
      </w:r>
      <w:r>
        <w:rPr>
          <w:rFonts w:hint="default"/>
          <w:color w:val="auto"/>
          <w:lang w:val="en-US" w:eastAsia="zh-CN"/>
        </w:rPr>
        <w:t>硬塑，以粉粘粒为主，局部夹杂角砾，含量约5～10%，无摇振反应，光泽反应稍有光滑，干强度中等，韧性中等。粘性差，为基岩风化产物。揭露厚度1.20</w:t>
      </w:r>
      <w:r>
        <w:rPr>
          <w:rFonts w:hint="eastAsia"/>
          <w:color w:val="auto"/>
          <w:lang w:val="en-US" w:eastAsia="zh-CN"/>
        </w:rPr>
        <w:t>～</w:t>
      </w:r>
      <w:r>
        <w:rPr>
          <w:rFonts w:hint="default"/>
          <w:color w:val="auto"/>
          <w:lang w:val="en-US" w:eastAsia="zh-CN"/>
        </w:rPr>
        <w:t>7.00m，平均厚度3.69m，顶板标高：322.08～390.67米。场地有26个钻孔揭露，揭露钻孔；ZK2-ZK3，ZK5- ZK8，ZK10-ZK12，ZK22-ZK26等。现场作标贯试验22次，实测平均标贯击数8.5击，修正后平均标贯击数为8.1击。</w:t>
      </w:r>
    </w:p>
    <w:p>
      <w:pPr>
        <w:bidi w:val="0"/>
        <w:rPr>
          <w:rFonts w:hint="eastAsia"/>
          <w:color w:val="auto"/>
          <w:lang w:val="en-US" w:eastAsia="zh-CN"/>
        </w:rPr>
      </w:pPr>
      <w:r>
        <w:rPr>
          <w:rFonts w:hint="eastAsia"/>
          <w:color w:val="auto"/>
          <w:lang w:val="en-US" w:eastAsia="zh-CN"/>
        </w:rPr>
        <w:t>（3）寒武系下统变质石英砂岩（</w:t>
      </w:r>
      <w:r>
        <w:rPr>
          <w:rFonts w:hint="default"/>
          <w:color w:val="auto"/>
          <w:lang w:val="en-US" w:eastAsia="zh-CN"/>
        </w:rPr>
        <w:t>ϵ</w:t>
      </w:r>
      <w:r>
        <w:rPr>
          <w:rFonts w:hint="eastAsia"/>
          <w:color w:val="auto"/>
          <w:lang w:val="en-US" w:eastAsia="zh-CN"/>
        </w:rPr>
        <w:t>）</w:t>
      </w:r>
    </w:p>
    <w:p>
      <w:pPr>
        <w:bidi w:val="0"/>
        <w:rPr>
          <w:rFonts w:hint="default"/>
          <w:color w:val="auto"/>
          <w:lang w:val="en-US" w:eastAsia="zh-CN"/>
        </w:rPr>
      </w:pPr>
      <w:r>
        <w:rPr>
          <w:rFonts w:hint="default"/>
          <w:color w:val="auto"/>
          <w:lang w:val="en-US" w:eastAsia="zh-CN"/>
        </w:rPr>
        <w:t>按其风化程度划分为强风化变质石英砂岩及中风化变质石英砂岩。各风化岩特征分述如下：</w:t>
      </w:r>
    </w:p>
    <w:p>
      <w:pPr>
        <w:bidi w:val="0"/>
        <w:rPr>
          <w:rFonts w:hint="default"/>
          <w:color w:val="auto"/>
          <w:lang w:val="en-US" w:eastAsia="zh-CN"/>
        </w:rPr>
      </w:pPr>
      <w:r>
        <w:rPr>
          <w:rFonts w:hint="default"/>
          <w:color w:val="auto"/>
          <w:lang w:val="en-US" w:eastAsia="zh-CN"/>
        </w:rPr>
        <w:t>③强风化变质石英砂岩（2-1为地层编号）：场地内大部分分布，黄褐色，变余砂状结构，块状构造，节理裂隙发育，风化不均匀，局部夹粉砂岩全风化，岩芯呈碎块。揭露厚度0.70～15.80m，平均揭露厚度8.70m，顶板标高：318.89～390.71米。场地有47个钻孔揭露，揭露钻孔；ZK2-ZK11，ZK13- ZK35，ZK37，ZK43-ZK50，ZK52。现场作重型动力触探试验60次，实测平均击数为25.73击，修正后平均击数为19.2击。</w:t>
      </w:r>
    </w:p>
    <w:p>
      <w:pPr>
        <w:bidi w:val="0"/>
        <w:rPr>
          <w:rFonts w:hint="default"/>
          <w:color w:val="auto"/>
          <w:lang w:val="en-US" w:eastAsia="zh-CN"/>
        </w:rPr>
      </w:pPr>
      <w:r>
        <w:rPr>
          <w:rFonts w:hint="default"/>
          <w:color w:val="auto"/>
          <w:lang w:val="en-US" w:eastAsia="zh-CN"/>
        </w:rPr>
        <w:t>④中风化变质石英砂岩（2-</w:t>
      </w:r>
      <w:r>
        <w:rPr>
          <w:rFonts w:hint="eastAsia"/>
          <w:color w:val="auto"/>
          <w:lang w:val="en-US" w:eastAsia="zh-CN"/>
        </w:rPr>
        <w:t>2</w:t>
      </w:r>
      <w:r>
        <w:rPr>
          <w:rFonts w:hint="default"/>
          <w:color w:val="auto"/>
          <w:lang w:val="en-US" w:eastAsia="zh-CN"/>
        </w:rPr>
        <w:t>为地层编号）：中风化，青灰色，变余砂状结构，块状构造，节理裂隙较发育，岩芯较完整，岩石质量等级为</w:t>
      </w:r>
      <w:r>
        <w:rPr>
          <w:rFonts w:hint="eastAsia" w:ascii="宋体" w:hAnsi="宋体" w:eastAsia="宋体" w:cs="宋体"/>
          <w:color w:val="auto"/>
          <w:lang w:val="en-US" w:eastAsia="zh-CN"/>
        </w:rPr>
        <w:t>Ⅲ</w:t>
      </w:r>
      <w:r>
        <w:rPr>
          <w:rFonts w:hint="default"/>
          <w:color w:val="auto"/>
          <w:lang w:val="en-US" w:eastAsia="zh-CN"/>
        </w:rPr>
        <w:t>级，坚硬，岩芯呈短柱状。RQD约63～81%。全场地分布，未穿透。揭露厚度0.05～11.10m，平均揭露厚度5.29m。顶板标高：312.58～382.81米。岩石天然单轴抗压强度标准值42.50（Mpa），为较硬岩。岩芯较完整，岩石质量等级为</w:t>
      </w:r>
      <w:r>
        <w:rPr>
          <w:rFonts w:hint="eastAsia" w:ascii="宋体" w:hAnsi="宋体" w:eastAsia="宋体" w:cs="宋体"/>
          <w:color w:val="auto"/>
          <w:lang w:val="en-US" w:eastAsia="zh-CN"/>
        </w:rPr>
        <w:t>Ⅲ</w:t>
      </w:r>
      <w:r>
        <w:rPr>
          <w:rFonts w:hint="default"/>
          <w:color w:val="auto"/>
          <w:lang w:val="en-US" w:eastAsia="zh-CN"/>
        </w:rPr>
        <w:t>级。无软弱夹层、无临空面。</w:t>
      </w:r>
    </w:p>
    <w:p>
      <w:pPr>
        <w:bidi w:val="0"/>
        <w:rPr>
          <w:rFonts w:hint="eastAsia"/>
          <w:b/>
          <w:bCs/>
          <w:color w:val="auto"/>
          <w:lang w:val="en-US" w:eastAsia="zh-CN"/>
        </w:rPr>
      </w:pPr>
      <w:r>
        <w:rPr>
          <w:rFonts w:hint="eastAsia"/>
          <w:b/>
          <w:bCs/>
          <w:color w:val="auto"/>
          <w:lang w:val="en-US" w:eastAsia="zh-CN"/>
        </w:rPr>
        <w:t>4. 岩土物理力学性质</w:t>
      </w:r>
    </w:p>
    <w:p>
      <w:pPr>
        <w:bidi w:val="0"/>
        <w:rPr>
          <w:rFonts w:hint="eastAsia"/>
          <w:color w:val="auto"/>
          <w:lang w:val="en-US" w:eastAsia="zh-CN"/>
        </w:rPr>
      </w:pPr>
      <w:r>
        <w:rPr>
          <w:rFonts w:hint="eastAsia"/>
          <w:color w:val="auto"/>
          <w:lang w:val="en-US" w:eastAsia="zh-CN"/>
        </w:rPr>
        <w:t>（1）室内试验</w:t>
      </w:r>
    </w:p>
    <w:p>
      <w:pPr>
        <w:bidi w:val="0"/>
        <w:rPr>
          <w:rFonts w:hint="default"/>
          <w:color w:val="auto"/>
          <w:lang w:val="en-US" w:eastAsia="zh-CN"/>
        </w:rPr>
      </w:pPr>
      <w:r>
        <w:rPr>
          <w:rFonts w:hint="default"/>
          <w:color w:val="auto"/>
          <w:lang w:val="en-US" w:eastAsia="zh-CN"/>
        </w:rPr>
        <w:t>1）室内土工试验</w:t>
      </w:r>
    </w:p>
    <w:p>
      <w:pPr>
        <w:bidi w:val="0"/>
        <w:rPr>
          <w:rFonts w:hint="default"/>
          <w:color w:val="auto"/>
          <w:lang w:val="en-US" w:eastAsia="zh-CN"/>
        </w:rPr>
      </w:pPr>
      <w:r>
        <w:rPr>
          <w:rFonts w:hint="default"/>
          <w:color w:val="auto"/>
          <w:lang w:val="en-US" w:eastAsia="zh-CN"/>
        </w:rPr>
        <w:t>勘察的土工试验以及土腐水腐分析报告均由江西赣南地质工程院协助完成。在钻孔中采取了18件原状土样进行了室内物理力学性质试验。</w:t>
      </w:r>
    </w:p>
    <w:p>
      <w:pPr>
        <w:bidi w:val="0"/>
        <w:rPr>
          <w:rFonts w:hint="default"/>
          <w:color w:val="auto"/>
          <w:lang w:val="en-US" w:eastAsia="zh-CN"/>
        </w:rPr>
      </w:pPr>
      <w:r>
        <w:rPr>
          <w:rFonts w:hint="eastAsia"/>
          <w:color w:val="auto"/>
          <w:lang w:val="en-US" w:eastAsia="zh-CN"/>
        </w:rPr>
        <w:t>2</w:t>
      </w:r>
      <w:r>
        <w:rPr>
          <w:rFonts w:hint="default"/>
          <w:color w:val="auto"/>
          <w:lang w:val="en-US" w:eastAsia="zh-CN"/>
        </w:rPr>
        <w:t>）室内岩石试验</w:t>
      </w:r>
    </w:p>
    <w:p>
      <w:pPr>
        <w:bidi w:val="0"/>
        <w:rPr>
          <w:rFonts w:hint="eastAsia"/>
          <w:color w:val="auto"/>
          <w:lang w:val="en-US" w:eastAsia="zh-CN"/>
        </w:rPr>
      </w:pPr>
      <w:r>
        <w:rPr>
          <w:rFonts w:hint="default"/>
          <w:color w:val="auto"/>
          <w:lang w:val="en-US" w:eastAsia="zh-CN"/>
        </w:rPr>
        <w:t>为了研究场地内岩石的物理力学性质，勘察在钻孔中采取18组岩石试样进行了岩石室内物理力学性质试验，其试验成果详见</w:t>
      </w:r>
      <w:r>
        <w:rPr>
          <w:rFonts w:hint="eastAsia"/>
          <w:color w:val="auto"/>
          <w:lang w:val="en-US" w:eastAsia="zh-CN"/>
        </w:rPr>
        <w:t>“</w:t>
      </w:r>
      <w:r>
        <w:rPr>
          <w:rFonts w:hint="default"/>
          <w:color w:val="auto"/>
          <w:lang w:val="en-US" w:eastAsia="zh-CN"/>
        </w:rPr>
        <w:t>岩石室内试验成果</w:t>
      </w:r>
      <w:r>
        <w:rPr>
          <w:rFonts w:hint="eastAsia"/>
          <w:color w:val="auto"/>
          <w:lang w:val="en-US" w:eastAsia="zh-CN"/>
        </w:rPr>
        <w:t>”</w:t>
      </w:r>
      <w:r>
        <w:rPr>
          <w:rFonts w:hint="default"/>
          <w:color w:val="auto"/>
          <w:lang w:val="en-US" w:eastAsia="zh-CN"/>
        </w:rPr>
        <w:t>。场地内岩石的主要物理力学性质指标统计于下表</w:t>
      </w:r>
      <w:r>
        <w:rPr>
          <w:rFonts w:hint="eastAsia"/>
          <w:color w:val="auto"/>
          <w:lang w:val="en-US" w:eastAsia="zh-CN"/>
        </w:rPr>
        <w:t>2-1</w:t>
      </w:r>
      <w:r>
        <w:rPr>
          <w:rFonts w:hint="default"/>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default"/>
          <w:color w:val="auto"/>
          <w:lang w:val="en-US" w:eastAsia="zh-CN"/>
        </w:rPr>
        <w:t>表</w:t>
      </w:r>
      <w:r>
        <w:rPr>
          <w:rFonts w:hint="eastAsia"/>
          <w:color w:val="auto"/>
          <w:lang w:val="en-US" w:eastAsia="zh-CN"/>
        </w:rPr>
        <w:t xml:space="preserve">2-1 </w:t>
      </w:r>
      <w:r>
        <w:rPr>
          <w:rFonts w:hint="default"/>
          <w:color w:val="auto"/>
          <w:lang w:val="en-US" w:eastAsia="zh-CN"/>
        </w:rPr>
        <w:t>岩石天然单轴抗压试验统计表</w:t>
      </w:r>
    </w:p>
    <w:tbl>
      <w:tblPr>
        <w:tblStyle w:val="15"/>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0"/>
        <w:gridCol w:w="960"/>
        <w:gridCol w:w="1104"/>
        <w:gridCol w:w="916"/>
        <w:gridCol w:w="820"/>
        <w:gridCol w:w="1180"/>
        <w:gridCol w:w="1140"/>
        <w:gridCol w:w="1120"/>
        <w:gridCol w:w="1240"/>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40" w:type="dxa"/>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名称</w:t>
            </w:r>
          </w:p>
        </w:tc>
        <w:tc>
          <w:tcPr>
            <w:tcW w:w="960" w:type="dxa"/>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样品编号</w:t>
            </w:r>
          </w:p>
        </w:tc>
        <w:tc>
          <w:tcPr>
            <w:tcW w:w="1104" w:type="dxa"/>
            <w:vMerge w:val="restar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取样位置</w:t>
            </w:r>
          </w:p>
        </w:tc>
        <w:tc>
          <w:tcPr>
            <w:tcW w:w="916" w:type="dxa"/>
            <w:vMerge w:val="restar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平均值</w:t>
            </w:r>
            <w:r>
              <w:rPr>
                <w:rFonts w:hint="default" w:ascii="Times New Roman" w:hAnsi="Times New Roman" w:eastAsia="宋体" w:cs="Times New Roman"/>
                <w:color w:val="auto"/>
                <w:kern w:val="0"/>
                <w:sz w:val="21"/>
                <w:szCs w:val="21"/>
              </w:rPr>
              <w:br w:type="textWrapping"/>
            </w:r>
            <w:r>
              <w:rPr>
                <w:rFonts w:hint="default" w:ascii="Times New Roman" w:hAnsi="Times New Roman" w:eastAsia="宋体" w:cs="Times New Roman"/>
                <w:color w:val="auto"/>
                <w:kern w:val="0"/>
                <w:sz w:val="21"/>
                <w:szCs w:val="21"/>
              </w:rPr>
              <w:t>Фm（Mpa）</w:t>
            </w:r>
          </w:p>
        </w:tc>
        <w:tc>
          <w:tcPr>
            <w:tcW w:w="820" w:type="dxa"/>
            <w:vMerge w:val="restar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样本数</w:t>
            </w:r>
          </w:p>
        </w:tc>
        <w:tc>
          <w:tcPr>
            <w:tcW w:w="1180" w:type="dxa"/>
            <w:vMerge w:val="restar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标准差σf</w:t>
            </w:r>
          </w:p>
        </w:tc>
        <w:tc>
          <w:tcPr>
            <w:tcW w:w="1140" w:type="dxa"/>
            <w:vMerge w:val="restar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变异系数δ</w:t>
            </w:r>
          </w:p>
        </w:tc>
        <w:tc>
          <w:tcPr>
            <w:tcW w:w="1120" w:type="dxa"/>
            <w:vMerge w:val="restar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修正系数</w:t>
            </w:r>
            <w:r>
              <w:rPr>
                <w:rFonts w:hint="default" w:ascii="Times New Roman" w:hAnsi="Times New Roman" w:eastAsia="宋体" w:cs="Times New Roman"/>
                <w:color w:val="auto"/>
                <w:kern w:val="0"/>
                <w:sz w:val="21"/>
                <w:szCs w:val="21"/>
              </w:rPr>
              <w:br w:type="textWrapping"/>
            </w:r>
            <w:r>
              <w:rPr>
                <w:rFonts w:hint="default" w:ascii="Times New Roman" w:hAnsi="Times New Roman" w:eastAsia="宋体" w:cs="Times New Roman"/>
                <w:color w:val="auto"/>
                <w:kern w:val="0"/>
                <w:sz w:val="21"/>
                <w:szCs w:val="21"/>
              </w:rPr>
              <w:t>γs</w:t>
            </w:r>
          </w:p>
        </w:tc>
        <w:tc>
          <w:tcPr>
            <w:tcW w:w="1240" w:type="dxa"/>
            <w:vMerge w:val="restar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标准值Фk（Mpa）</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75" w:hRule="atLeast"/>
          <w:jc w:val="center"/>
        </w:trPr>
        <w:tc>
          <w:tcPr>
            <w:tcW w:w="7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96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0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91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8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2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96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0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91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8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2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27" w:hRule="exact"/>
          <w:jc w:val="center"/>
        </w:trPr>
        <w:tc>
          <w:tcPr>
            <w:tcW w:w="740" w:type="dxa"/>
            <w:vMerge w:val="restart"/>
            <w:shd w:val="clear" w:color="auto" w:fill="auto"/>
            <w:noWrap w:val="0"/>
            <w:textDirection w:val="tbRlV"/>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中风化变质石英砂岩</w:t>
            </w:r>
          </w:p>
        </w:tc>
        <w:tc>
          <w:tcPr>
            <w:tcW w:w="96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ZK1-1</w:t>
            </w:r>
          </w:p>
        </w:tc>
        <w:tc>
          <w:tcPr>
            <w:tcW w:w="1104"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2.70-3.00</w:t>
            </w:r>
          </w:p>
        </w:tc>
        <w:tc>
          <w:tcPr>
            <w:tcW w:w="91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41.21</w:t>
            </w:r>
          </w:p>
        </w:tc>
        <w:tc>
          <w:tcPr>
            <w:tcW w:w="820" w:type="dxa"/>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18</w:t>
            </w:r>
          </w:p>
        </w:tc>
        <w:tc>
          <w:tcPr>
            <w:tcW w:w="1180" w:type="dxa"/>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1.77</w:t>
            </w:r>
          </w:p>
        </w:tc>
        <w:tc>
          <w:tcPr>
            <w:tcW w:w="1140" w:type="dxa"/>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0.041</w:t>
            </w:r>
          </w:p>
        </w:tc>
        <w:tc>
          <w:tcPr>
            <w:tcW w:w="1120" w:type="dxa"/>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1.197</w:t>
            </w:r>
          </w:p>
        </w:tc>
        <w:tc>
          <w:tcPr>
            <w:tcW w:w="1240" w:type="dxa"/>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42.50 </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27" w:hRule="exact"/>
          <w:jc w:val="center"/>
        </w:trPr>
        <w:tc>
          <w:tcPr>
            <w:tcW w:w="740"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96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ZK2-2</w:t>
            </w:r>
          </w:p>
        </w:tc>
        <w:tc>
          <w:tcPr>
            <w:tcW w:w="1104"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6.20-6.50</w:t>
            </w:r>
          </w:p>
        </w:tc>
        <w:tc>
          <w:tcPr>
            <w:tcW w:w="91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42.33</w:t>
            </w:r>
          </w:p>
        </w:tc>
        <w:tc>
          <w:tcPr>
            <w:tcW w:w="8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2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27" w:hRule="exact"/>
          <w:jc w:val="center"/>
        </w:trPr>
        <w:tc>
          <w:tcPr>
            <w:tcW w:w="740"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96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ZK8-2</w:t>
            </w:r>
          </w:p>
        </w:tc>
        <w:tc>
          <w:tcPr>
            <w:tcW w:w="1104"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19.4-19.7</w:t>
            </w:r>
          </w:p>
        </w:tc>
        <w:tc>
          <w:tcPr>
            <w:tcW w:w="91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46.62</w:t>
            </w:r>
          </w:p>
        </w:tc>
        <w:tc>
          <w:tcPr>
            <w:tcW w:w="8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2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27" w:hRule="exact"/>
          <w:jc w:val="center"/>
        </w:trPr>
        <w:tc>
          <w:tcPr>
            <w:tcW w:w="740"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96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ZK10-1</w:t>
            </w:r>
          </w:p>
        </w:tc>
        <w:tc>
          <w:tcPr>
            <w:tcW w:w="1104"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4.30-4.60</w:t>
            </w:r>
          </w:p>
        </w:tc>
        <w:tc>
          <w:tcPr>
            <w:tcW w:w="91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41.70</w:t>
            </w:r>
          </w:p>
        </w:tc>
        <w:tc>
          <w:tcPr>
            <w:tcW w:w="8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2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27" w:hRule="exact"/>
          <w:jc w:val="center"/>
        </w:trPr>
        <w:tc>
          <w:tcPr>
            <w:tcW w:w="740"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96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ZK11-2</w:t>
            </w:r>
          </w:p>
        </w:tc>
        <w:tc>
          <w:tcPr>
            <w:tcW w:w="1104"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4.00-4.30</w:t>
            </w:r>
          </w:p>
        </w:tc>
        <w:tc>
          <w:tcPr>
            <w:tcW w:w="91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41.91</w:t>
            </w:r>
          </w:p>
        </w:tc>
        <w:tc>
          <w:tcPr>
            <w:tcW w:w="8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2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27" w:hRule="exact"/>
          <w:jc w:val="center"/>
        </w:trPr>
        <w:tc>
          <w:tcPr>
            <w:tcW w:w="740"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96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ZK13-1</w:t>
            </w:r>
          </w:p>
        </w:tc>
        <w:tc>
          <w:tcPr>
            <w:tcW w:w="1104"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3.20-3.50</w:t>
            </w:r>
          </w:p>
        </w:tc>
        <w:tc>
          <w:tcPr>
            <w:tcW w:w="91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41.48</w:t>
            </w:r>
          </w:p>
        </w:tc>
        <w:tc>
          <w:tcPr>
            <w:tcW w:w="8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2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27" w:hRule="exact"/>
          <w:jc w:val="center"/>
        </w:trPr>
        <w:tc>
          <w:tcPr>
            <w:tcW w:w="740"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96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ZK13-2</w:t>
            </w:r>
          </w:p>
        </w:tc>
        <w:tc>
          <w:tcPr>
            <w:tcW w:w="1104"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6.80-7.10</w:t>
            </w:r>
          </w:p>
        </w:tc>
        <w:tc>
          <w:tcPr>
            <w:tcW w:w="91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42.56</w:t>
            </w:r>
          </w:p>
        </w:tc>
        <w:tc>
          <w:tcPr>
            <w:tcW w:w="8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2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27" w:hRule="exact"/>
          <w:jc w:val="center"/>
        </w:trPr>
        <w:tc>
          <w:tcPr>
            <w:tcW w:w="740"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96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ZK18-2</w:t>
            </w:r>
          </w:p>
        </w:tc>
        <w:tc>
          <w:tcPr>
            <w:tcW w:w="1104"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15.2-15.5</w:t>
            </w:r>
          </w:p>
        </w:tc>
        <w:tc>
          <w:tcPr>
            <w:tcW w:w="91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45.18</w:t>
            </w:r>
          </w:p>
        </w:tc>
        <w:tc>
          <w:tcPr>
            <w:tcW w:w="8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2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27" w:hRule="exact"/>
          <w:jc w:val="center"/>
        </w:trPr>
        <w:tc>
          <w:tcPr>
            <w:tcW w:w="740"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96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ZK22-2</w:t>
            </w:r>
          </w:p>
        </w:tc>
        <w:tc>
          <w:tcPr>
            <w:tcW w:w="1104"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15.6-15.9</w:t>
            </w:r>
          </w:p>
        </w:tc>
        <w:tc>
          <w:tcPr>
            <w:tcW w:w="91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45.33</w:t>
            </w:r>
          </w:p>
        </w:tc>
        <w:tc>
          <w:tcPr>
            <w:tcW w:w="8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2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27" w:hRule="exact"/>
          <w:jc w:val="center"/>
        </w:trPr>
        <w:tc>
          <w:tcPr>
            <w:tcW w:w="740"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96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ZK24-2</w:t>
            </w:r>
          </w:p>
        </w:tc>
        <w:tc>
          <w:tcPr>
            <w:tcW w:w="1104"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4.60-4.90</w:t>
            </w:r>
          </w:p>
        </w:tc>
        <w:tc>
          <w:tcPr>
            <w:tcW w:w="91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42.04</w:t>
            </w:r>
          </w:p>
        </w:tc>
        <w:tc>
          <w:tcPr>
            <w:tcW w:w="8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2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27" w:hRule="exact"/>
          <w:jc w:val="center"/>
        </w:trPr>
        <w:tc>
          <w:tcPr>
            <w:tcW w:w="740"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96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ZK28-2</w:t>
            </w:r>
          </w:p>
        </w:tc>
        <w:tc>
          <w:tcPr>
            <w:tcW w:w="1104"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15.4-15.7</w:t>
            </w:r>
          </w:p>
        </w:tc>
        <w:tc>
          <w:tcPr>
            <w:tcW w:w="91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45.76</w:t>
            </w:r>
          </w:p>
        </w:tc>
        <w:tc>
          <w:tcPr>
            <w:tcW w:w="8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2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27" w:hRule="exact"/>
          <w:jc w:val="center"/>
        </w:trPr>
        <w:tc>
          <w:tcPr>
            <w:tcW w:w="740"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96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ZK31-2</w:t>
            </w:r>
          </w:p>
        </w:tc>
        <w:tc>
          <w:tcPr>
            <w:tcW w:w="1104"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13.2-13.5</w:t>
            </w:r>
          </w:p>
        </w:tc>
        <w:tc>
          <w:tcPr>
            <w:tcW w:w="91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44.34</w:t>
            </w:r>
          </w:p>
        </w:tc>
        <w:tc>
          <w:tcPr>
            <w:tcW w:w="8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2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27" w:hRule="exact"/>
          <w:jc w:val="center"/>
        </w:trPr>
        <w:tc>
          <w:tcPr>
            <w:tcW w:w="740"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96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ZK32-3</w:t>
            </w:r>
          </w:p>
        </w:tc>
        <w:tc>
          <w:tcPr>
            <w:tcW w:w="1104"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14.6-14.9</w:t>
            </w:r>
          </w:p>
        </w:tc>
        <w:tc>
          <w:tcPr>
            <w:tcW w:w="91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44.60</w:t>
            </w:r>
          </w:p>
        </w:tc>
        <w:tc>
          <w:tcPr>
            <w:tcW w:w="8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2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27" w:hRule="exact"/>
          <w:jc w:val="center"/>
        </w:trPr>
        <w:tc>
          <w:tcPr>
            <w:tcW w:w="740"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96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ZK37-1</w:t>
            </w:r>
          </w:p>
        </w:tc>
        <w:tc>
          <w:tcPr>
            <w:tcW w:w="1104"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4.20-4.50</w:t>
            </w:r>
          </w:p>
        </w:tc>
        <w:tc>
          <w:tcPr>
            <w:tcW w:w="91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41.84</w:t>
            </w:r>
          </w:p>
        </w:tc>
        <w:tc>
          <w:tcPr>
            <w:tcW w:w="8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2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27" w:hRule="exact"/>
          <w:jc w:val="center"/>
        </w:trPr>
        <w:tc>
          <w:tcPr>
            <w:tcW w:w="740"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96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ZK42-1</w:t>
            </w:r>
          </w:p>
        </w:tc>
        <w:tc>
          <w:tcPr>
            <w:tcW w:w="1104"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4.40-4.70</w:t>
            </w:r>
          </w:p>
        </w:tc>
        <w:tc>
          <w:tcPr>
            <w:tcW w:w="91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41.61</w:t>
            </w:r>
          </w:p>
        </w:tc>
        <w:tc>
          <w:tcPr>
            <w:tcW w:w="8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2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27" w:hRule="exact"/>
          <w:jc w:val="center"/>
        </w:trPr>
        <w:tc>
          <w:tcPr>
            <w:tcW w:w="740"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96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ZK44-2</w:t>
            </w:r>
          </w:p>
        </w:tc>
        <w:tc>
          <w:tcPr>
            <w:tcW w:w="1104"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14.5-14.8</w:t>
            </w:r>
          </w:p>
        </w:tc>
        <w:tc>
          <w:tcPr>
            <w:tcW w:w="91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44.46</w:t>
            </w:r>
          </w:p>
        </w:tc>
        <w:tc>
          <w:tcPr>
            <w:tcW w:w="8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2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76" w:hRule="exact"/>
          <w:jc w:val="center"/>
        </w:trPr>
        <w:tc>
          <w:tcPr>
            <w:tcW w:w="740"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96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ZK51-1</w:t>
            </w:r>
          </w:p>
        </w:tc>
        <w:tc>
          <w:tcPr>
            <w:tcW w:w="1104"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3.30-3.60</w:t>
            </w:r>
          </w:p>
        </w:tc>
        <w:tc>
          <w:tcPr>
            <w:tcW w:w="91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41.33</w:t>
            </w:r>
          </w:p>
        </w:tc>
        <w:tc>
          <w:tcPr>
            <w:tcW w:w="8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2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740"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96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ZK52-1</w:t>
            </w:r>
          </w:p>
        </w:tc>
        <w:tc>
          <w:tcPr>
            <w:tcW w:w="1104"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12.5-12.8</w:t>
            </w:r>
          </w:p>
        </w:tc>
        <w:tc>
          <w:tcPr>
            <w:tcW w:w="91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43.98</w:t>
            </w:r>
          </w:p>
        </w:tc>
        <w:tc>
          <w:tcPr>
            <w:tcW w:w="8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124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r>
    </w:tbl>
    <w:p>
      <w:pPr>
        <w:autoSpaceDE w:val="0"/>
        <w:autoSpaceDN w:val="0"/>
        <w:adjustRightInd w:val="0"/>
        <w:spacing w:line="640" w:lineRule="exact"/>
        <w:ind w:firstLine="120" w:firstLineChars="50"/>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pict>
          <v:shape id="对象 33" o:spid="_x0000_s1026" o:spt="75" type="#_x0000_t75" style="position:absolute;left:0pt;margin-left:105pt;margin-top:4pt;height:32.9pt;width:111.95pt;z-index:251671552;mso-width-relative:page;mso-height-relative:page;" o:ole="t" filled="f" o:preferrelative="t" stroked="f" coordsize="21600,21600">
            <v:path/>
            <v:fill on="f" focussize="0,0"/>
            <v:stroke on="f"/>
            <v:imagedata r:id="rId27" o:title=""/>
            <o:lock v:ext="edit" aspectratio="t"/>
          </v:shape>
          <o:OLEObject Type="Embed" ProgID="" ShapeID="对象 33" DrawAspect="Content" ObjectID="_1468075725" r:id="rId26">
            <o:LockedField>false</o:LockedField>
          </o:OLEObject>
        </w:pict>
      </w:r>
      <w:r>
        <w:rPr>
          <w:rFonts w:hint="default" w:ascii="Times New Roman" w:hAnsi="Times New Roman" w:cs="Times New Roman"/>
          <w:color w:val="auto"/>
          <w:sz w:val="24"/>
          <w:szCs w:val="24"/>
        </w:rPr>
        <w:t>注：表中修正系数</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 xml:space="preserve">                </w:t>
      </w:r>
      <w:r>
        <w:rPr>
          <w:rFonts w:hint="eastAsia" w:ascii="Times New Roman" w:hAnsi="Times New Roman" w:cs="Times New Roman"/>
          <w:color w:val="auto"/>
          <w:sz w:val="24"/>
          <w:szCs w:val="24"/>
          <w:lang w:val="en-US" w:eastAsia="zh-CN"/>
        </w:rPr>
        <w:t xml:space="preserve"> </w:t>
      </w:r>
      <w:r>
        <w:rPr>
          <w:rFonts w:hint="eastAsia" w:ascii="Times New Roman" w:hAnsi="Times New Roman" w:cs="Times New Roman"/>
          <w:color w:val="auto"/>
          <w:sz w:val="24"/>
          <w:szCs w:val="24"/>
          <w:lang w:eastAsia="zh-CN"/>
        </w:rPr>
        <w:t>。</w:t>
      </w:r>
    </w:p>
    <w:p>
      <w:pPr>
        <w:bidi w:val="0"/>
        <w:rPr>
          <w:rFonts w:hint="eastAsia"/>
          <w:color w:val="auto"/>
          <w:lang w:val="en-US" w:eastAsia="zh-CN"/>
        </w:rPr>
      </w:pPr>
      <w:r>
        <w:rPr>
          <w:rFonts w:hint="eastAsia"/>
          <w:color w:val="auto"/>
          <w:lang w:val="en-US" w:eastAsia="zh-CN"/>
        </w:rPr>
        <w:t>（2）原位测试</w:t>
      </w:r>
    </w:p>
    <w:p>
      <w:pPr>
        <w:bidi w:val="0"/>
        <w:rPr>
          <w:rFonts w:hint="default"/>
          <w:color w:val="auto"/>
          <w:lang w:val="en-US" w:eastAsia="zh-CN"/>
        </w:rPr>
      </w:pPr>
      <w:r>
        <w:rPr>
          <w:rFonts w:hint="default"/>
          <w:color w:val="auto"/>
          <w:lang w:val="en-US" w:eastAsia="zh-CN"/>
        </w:rPr>
        <w:t>1）标准贯入试验</w:t>
      </w:r>
    </w:p>
    <w:p>
      <w:pPr>
        <w:bidi w:val="0"/>
        <w:rPr>
          <w:rFonts w:hint="default"/>
          <w:color w:val="auto"/>
          <w:lang w:val="en-US" w:eastAsia="zh-CN"/>
        </w:rPr>
      </w:pPr>
      <w:r>
        <w:rPr>
          <w:rFonts w:hint="default"/>
          <w:color w:val="auto"/>
          <w:lang w:val="en-US" w:eastAsia="zh-CN"/>
        </w:rPr>
        <w:t>为查明场地内土层的工程性能，勘察在16孔中共进行了19次标准贯入试验，将实测锤击数标绘于</w:t>
      </w:r>
      <w:r>
        <w:rPr>
          <w:rFonts w:hint="eastAsia"/>
          <w:color w:val="auto"/>
          <w:lang w:val="en-US" w:eastAsia="zh-CN"/>
        </w:rPr>
        <w:t>“</w:t>
      </w:r>
      <w:r>
        <w:rPr>
          <w:rFonts w:hint="default"/>
          <w:color w:val="auto"/>
          <w:lang w:val="en-US" w:eastAsia="zh-CN"/>
        </w:rPr>
        <w:t>工程地质剖面图</w:t>
      </w:r>
      <w:r>
        <w:rPr>
          <w:rFonts w:hint="eastAsia"/>
          <w:color w:val="auto"/>
          <w:lang w:val="en-US" w:eastAsia="zh-CN"/>
        </w:rPr>
        <w:t>”</w:t>
      </w:r>
      <w:r>
        <w:rPr>
          <w:rFonts w:hint="default"/>
          <w:color w:val="auto"/>
          <w:lang w:val="en-US" w:eastAsia="zh-CN"/>
        </w:rPr>
        <w:t>和</w:t>
      </w:r>
      <w:r>
        <w:rPr>
          <w:rFonts w:hint="eastAsia"/>
          <w:color w:val="auto"/>
          <w:lang w:val="en-US" w:eastAsia="zh-CN"/>
        </w:rPr>
        <w:t>“</w:t>
      </w:r>
      <w:r>
        <w:rPr>
          <w:rFonts w:hint="default"/>
          <w:color w:val="auto"/>
          <w:lang w:val="en-US" w:eastAsia="zh-CN"/>
        </w:rPr>
        <w:t>钻孔柱状图</w:t>
      </w:r>
      <w:r>
        <w:rPr>
          <w:rFonts w:hint="eastAsia"/>
          <w:color w:val="auto"/>
          <w:lang w:val="en-US" w:eastAsia="zh-CN"/>
        </w:rPr>
        <w:t>”</w:t>
      </w:r>
      <w:r>
        <w:rPr>
          <w:rFonts w:hint="default"/>
          <w:color w:val="auto"/>
          <w:lang w:val="en-US" w:eastAsia="zh-CN"/>
        </w:rPr>
        <w:t>中。测试结果统计如下表</w:t>
      </w:r>
      <w:r>
        <w:rPr>
          <w:rFonts w:hint="eastAsia"/>
          <w:color w:val="auto"/>
          <w:lang w:val="en-US" w:eastAsia="zh-CN"/>
        </w:rPr>
        <w:t>2-2</w:t>
      </w:r>
      <w:r>
        <w:rPr>
          <w:rFonts w:hint="default"/>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default"/>
          <w:color w:val="auto"/>
          <w:lang w:val="en-US" w:eastAsia="zh-CN"/>
        </w:rPr>
        <w:t>表</w:t>
      </w:r>
      <w:r>
        <w:rPr>
          <w:rFonts w:hint="eastAsia"/>
          <w:color w:val="auto"/>
          <w:lang w:val="en-US" w:eastAsia="zh-CN"/>
        </w:rPr>
        <w:t xml:space="preserve">2-2 </w:t>
      </w:r>
      <w:r>
        <w:rPr>
          <w:rFonts w:hint="default"/>
          <w:color w:val="auto"/>
          <w:lang w:val="en-US" w:eastAsia="zh-CN"/>
        </w:rPr>
        <w:t>标准贯入试验锤击数统计表</w:t>
      </w:r>
    </w:p>
    <w:tbl>
      <w:tblPr>
        <w:tblStyle w:val="15"/>
        <w:tblW w:w="9701"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33"/>
        <w:gridCol w:w="900"/>
        <w:gridCol w:w="900"/>
        <w:gridCol w:w="900"/>
        <w:gridCol w:w="900"/>
        <w:gridCol w:w="900"/>
        <w:gridCol w:w="1080"/>
        <w:gridCol w:w="1080"/>
        <w:gridCol w:w="808"/>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2233"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指标</w:t>
            </w:r>
          </w:p>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地层</w:t>
            </w:r>
          </w:p>
        </w:tc>
        <w:tc>
          <w:tcPr>
            <w:tcW w:w="7468" w:type="dxa"/>
            <w:gridSpan w:val="8"/>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标准贯入试验实验锤击数N</w:t>
            </w:r>
            <w:r>
              <w:rPr>
                <w:rFonts w:hint="default" w:ascii="Times New Roman" w:hAnsi="Times New Roman" w:eastAsia="宋体" w:cs="Times New Roman"/>
                <w:color w:val="auto"/>
                <w:sz w:val="21"/>
                <w:szCs w:val="21"/>
                <w:vertAlign w:val="subscript"/>
              </w:rPr>
              <w:t>63.5</w:t>
            </w:r>
            <w:r>
              <w:rPr>
                <w:rFonts w:hint="default" w:ascii="Times New Roman" w:hAnsi="Times New Roman" w:eastAsia="宋体" w:cs="Times New Roman"/>
                <w:color w:val="auto"/>
                <w:sz w:val="21"/>
                <w:szCs w:val="21"/>
              </w:rPr>
              <w:t>(击)（修正后）</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223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sz w:val="21"/>
                <w:szCs w:val="21"/>
              </w:rPr>
            </w:pPr>
          </w:p>
        </w:tc>
        <w:tc>
          <w:tcPr>
            <w:tcW w:w="90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统计</w:t>
            </w:r>
          </w:p>
          <w:p>
            <w:pPr>
              <w:keepNext w:val="0"/>
              <w:keepLines w:val="0"/>
              <w:pageBreakBefore w:val="0"/>
              <w:widowControl/>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个数</w:t>
            </w:r>
          </w:p>
        </w:tc>
        <w:tc>
          <w:tcPr>
            <w:tcW w:w="90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最小</w:t>
            </w:r>
          </w:p>
          <w:p>
            <w:pPr>
              <w:keepNext w:val="0"/>
              <w:keepLines w:val="0"/>
              <w:pageBreakBefore w:val="0"/>
              <w:widowControl/>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值</w:t>
            </w:r>
          </w:p>
        </w:tc>
        <w:tc>
          <w:tcPr>
            <w:tcW w:w="90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最大</w:t>
            </w:r>
          </w:p>
          <w:p>
            <w:pPr>
              <w:keepNext w:val="0"/>
              <w:keepLines w:val="0"/>
              <w:pageBreakBefore w:val="0"/>
              <w:widowControl/>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值</w:t>
            </w:r>
          </w:p>
        </w:tc>
        <w:tc>
          <w:tcPr>
            <w:tcW w:w="90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平均值Ф</w:t>
            </w:r>
            <w:r>
              <w:rPr>
                <w:rFonts w:hint="default" w:ascii="Times New Roman" w:hAnsi="Times New Roman" w:eastAsia="宋体" w:cs="Times New Roman"/>
                <w:color w:val="auto"/>
                <w:kern w:val="0"/>
                <w:sz w:val="21"/>
                <w:szCs w:val="21"/>
                <w:vertAlign w:val="subscript"/>
              </w:rPr>
              <w:t>m</w:t>
            </w:r>
          </w:p>
        </w:tc>
        <w:tc>
          <w:tcPr>
            <w:tcW w:w="90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标准差σ</w:t>
            </w:r>
            <w:r>
              <w:rPr>
                <w:rFonts w:hint="default" w:ascii="Times New Roman" w:hAnsi="Times New Roman" w:eastAsia="宋体" w:cs="Times New Roman"/>
                <w:color w:val="auto"/>
                <w:kern w:val="0"/>
                <w:sz w:val="21"/>
                <w:szCs w:val="21"/>
                <w:vertAlign w:val="subscript"/>
              </w:rPr>
              <w:t>f</w:t>
            </w:r>
          </w:p>
        </w:tc>
        <w:tc>
          <w:tcPr>
            <w:tcW w:w="108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变异系数δ</w:t>
            </w:r>
          </w:p>
        </w:tc>
        <w:tc>
          <w:tcPr>
            <w:tcW w:w="108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修正系数γ</w:t>
            </w:r>
            <w:r>
              <w:rPr>
                <w:rFonts w:hint="default" w:ascii="Times New Roman" w:hAnsi="Times New Roman" w:eastAsia="宋体" w:cs="Times New Roman"/>
                <w:color w:val="auto"/>
                <w:kern w:val="0"/>
                <w:sz w:val="21"/>
                <w:szCs w:val="21"/>
                <w:vertAlign w:val="subscript"/>
              </w:rPr>
              <w:t>s0</w:t>
            </w:r>
          </w:p>
        </w:tc>
        <w:tc>
          <w:tcPr>
            <w:tcW w:w="80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标准值Ф</w:t>
            </w:r>
            <w:r>
              <w:rPr>
                <w:rFonts w:hint="default" w:ascii="Times New Roman" w:hAnsi="Times New Roman" w:eastAsia="宋体" w:cs="Times New Roman"/>
                <w:color w:val="auto"/>
                <w:kern w:val="0"/>
                <w:sz w:val="21"/>
                <w:szCs w:val="21"/>
                <w:vertAlign w:val="subscript"/>
              </w:rPr>
              <w:t>k</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8" w:hRule="exact"/>
          <w:jc w:val="center"/>
        </w:trPr>
        <w:tc>
          <w:tcPr>
            <w:tcW w:w="223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②</w:t>
            </w:r>
            <w:r>
              <w:rPr>
                <w:rFonts w:hint="default" w:ascii="Times New Roman" w:hAnsi="Times New Roman" w:eastAsia="宋体" w:cs="Times New Roman"/>
                <w:color w:val="auto"/>
                <w:kern w:val="0"/>
                <w:sz w:val="21"/>
                <w:szCs w:val="21"/>
                <w:lang w:val="zh-CN"/>
              </w:rPr>
              <w:t>粉质粘土</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11.0</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8.10</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1.25</w:t>
            </w:r>
          </w:p>
        </w:tc>
        <w:tc>
          <w:tcPr>
            <w:tcW w:w="108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0.154</w:t>
            </w:r>
          </w:p>
        </w:tc>
        <w:tc>
          <w:tcPr>
            <w:tcW w:w="108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0.942</w:t>
            </w:r>
          </w:p>
        </w:tc>
        <w:tc>
          <w:tcPr>
            <w:tcW w:w="808"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w:t>
            </w:r>
          </w:p>
        </w:tc>
      </w:tr>
    </w:tbl>
    <w:p>
      <w:pPr>
        <w:autoSpaceDE w:val="0"/>
        <w:autoSpaceDN w:val="0"/>
        <w:adjustRightInd w:val="0"/>
        <w:spacing w:line="640" w:lineRule="exact"/>
        <w:ind w:firstLine="120" w:firstLineChars="50"/>
        <w:rPr>
          <w:rFonts w:hint="eastAsia" w:ascii="Times New Roman" w:hAnsi="Times New Roman" w:cs="Times New Roman"/>
          <w:color w:val="auto"/>
          <w:sz w:val="24"/>
          <w:szCs w:val="24"/>
        </w:rPr>
      </w:pPr>
      <w:r>
        <w:rPr>
          <w:rFonts w:hint="default" w:ascii="Times New Roman" w:hAnsi="Times New Roman" w:cs="Times New Roman"/>
          <w:color w:val="auto"/>
          <w:sz w:val="24"/>
          <w:szCs w:val="24"/>
        </w:rPr>
        <w:pict>
          <v:shape id="_x0000_s1027" o:spid="_x0000_s1027" o:spt="75" type="#_x0000_t75" style="position:absolute;left:0pt;margin-left:103.25pt;margin-top:3.45pt;height:32.9pt;width:111.95pt;z-index:251672576;mso-width-relative:page;mso-height-relative:page;" o:ole="t" filled="f" o:preferrelative="t" stroked="f" coordsize="21600,21600">
            <v:path/>
            <v:fill on="f" focussize="0,0"/>
            <v:stroke on="f"/>
            <v:imagedata r:id="rId27" o:title=""/>
            <o:lock v:ext="edit" aspectratio="t"/>
          </v:shape>
          <o:OLEObject Type="Embed" ProgID="" ShapeID="_x0000_s1027" DrawAspect="Content" ObjectID="_1468075726" r:id="rId28">
            <o:LockedField>false</o:LockedField>
          </o:OLEObject>
        </w:pict>
      </w:r>
      <w:r>
        <w:rPr>
          <w:rFonts w:hint="eastAsia" w:ascii="Times New Roman" w:hAnsi="Times New Roman" w:cs="Times New Roman"/>
          <w:color w:val="auto"/>
          <w:sz w:val="24"/>
          <w:szCs w:val="24"/>
        </w:rPr>
        <w:t>注：表中修正系数</w:t>
      </w:r>
      <w:r>
        <w:rPr>
          <w:rFonts w:hint="eastAsia" w:cs="Times New Roman"/>
          <w:color w:val="auto"/>
          <w:sz w:val="24"/>
          <w:szCs w:val="24"/>
          <w:lang w:val="en-US" w:eastAsia="zh-CN"/>
        </w:rPr>
        <w:t xml:space="preserve">   </w:t>
      </w:r>
      <w:r>
        <w:rPr>
          <w:rFonts w:hint="default" w:ascii="Times New Roman" w:hAnsi="Times New Roman" w:cs="Times New Roman"/>
          <w:color w:val="auto"/>
          <w:sz w:val="24"/>
          <w:szCs w:val="24"/>
        </w:rPr>
        <w:t xml:space="preserve">                </w:t>
      </w:r>
      <w:r>
        <w:rPr>
          <w:rFonts w:hint="eastAsia" w:ascii="Times New Roman" w:hAnsi="Times New Roman" w:cs="Times New Roman"/>
          <w:color w:val="auto"/>
          <w:sz w:val="24"/>
          <w:szCs w:val="24"/>
        </w:rPr>
        <w:t>。</w:t>
      </w:r>
    </w:p>
    <w:p>
      <w:pPr>
        <w:bidi w:val="0"/>
        <w:rPr>
          <w:rFonts w:hint="default"/>
          <w:color w:val="auto"/>
          <w:lang w:val="en-US" w:eastAsia="zh-CN"/>
        </w:rPr>
      </w:pPr>
      <w:r>
        <w:rPr>
          <w:rFonts w:hint="eastAsia"/>
          <w:color w:val="auto"/>
          <w:lang w:val="en-US" w:eastAsia="zh-CN"/>
        </w:rPr>
        <w:t>2</w:t>
      </w:r>
      <w:r>
        <w:rPr>
          <w:rFonts w:hint="default"/>
          <w:color w:val="auto"/>
          <w:lang w:val="en-US" w:eastAsia="zh-CN"/>
        </w:rPr>
        <w:t>）重型圆锥动力触探试验</w:t>
      </w:r>
    </w:p>
    <w:p>
      <w:pPr>
        <w:bidi w:val="0"/>
        <w:rPr>
          <w:rFonts w:hint="default"/>
          <w:color w:val="auto"/>
          <w:lang w:val="en-US" w:eastAsia="zh-CN"/>
        </w:rPr>
      </w:pPr>
      <w:r>
        <w:rPr>
          <w:rFonts w:hint="default"/>
          <w:color w:val="auto"/>
          <w:lang w:val="en-US" w:eastAsia="zh-CN"/>
        </w:rPr>
        <w:t>为查明场地内①素填土及③强风化变质石英砂岩的工程性能，勘察在19孔中共进行了78次重型圆锥动力触探试验，将实测锤击数标绘于</w:t>
      </w:r>
      <w:r>
        <w:rPr>
          <w:rFonts w:hint="eastAsia"/>
          <w:color w:val="auto"/>
          <w:lang w:val="en-US" w:eastAsia="zh-CN"/>
        </w:rPr>
        <w:t>“</w:t>
      </w:r>
      <w:r>
        <w:rPr>
          <w:rFonts w:hint="default"/>
          <w:color w:val="auto"/>
          <w:lang w:val="en-US" w:eastAsia="zh-CN"/>
        </w:rPr>
        <w:t>工程地质剖面图</w:t>
      </w:r>
      <w:r>
        <w:rPr>
          <w:rFonts w:hint="eastAsia"/>
          <w:color w:val="auto"/>
          <w:lang w:val="en-US" w:eastAsia="zh-CN"/>
        </w:rPr>
        <w:t>”</w:t>
      </w:r>
      <w:r>
        <w:rPr>
          <w:rFonts w:hint="default"/>
          <w:color w:val="auto"/>
          <w:lang w:val="en-US" w:eastAsia="zh-CN"/>
        </w:rPr>
        <w:t>和</w:t>
      </w:r>
      <w:r>
        <w:rPr>
          <w:rFonts w:hint="eastAsia"/>
          <w:color w:val="auto"/>
          <w:lang w:val="en-US" w:eastAsia="zh-CN"/>
        </w:rPr>
        <w:t>“</w:t>
      </w:r>
      <w:r>
        <w:rPr>
          <w:rFonts w:hint="default"/>
          <w:color w:val="auto"/>
          <w:lang w:val="en-US" w:eastAsia="zh-CN"/>
        </w:rPr>
        <w:t>钻孔柱状图</w:t>
      </w:r>
      <w:r>
        <w:rPr>
          <w:rFonts w:hint="eastAsia"/>
          <w:color w:val="auto"/>
          <w:lang w:val="en-US" w:eastAsia="zh-CN"/>
        </w:rPr>
        <w:t>”</w:t>
      </w:r>
      <w:r>
        <w:rPr>
          <w:rFonts w:hint="default"/>
          <w:color w:val="auto"/>
          <w:lang w:val="en-US" w:eastAsia="zh-CN"/>
        </w:rPr>
        <w:t>中。测试结果统计如下表</w:t>
      </w:r>
      <w:r>
        <w:rPr>
          <w:rFonts w:hint="eastAsia"/>
          <w:color w:val="auto"/>
          <w:lang w:val="en-US" w:eastAsia="zh-CN"/>
        </w:rPr>
        <w:t>2-3</w:t>
      </w:r>
      <w:r>
        <w:rPr>
          <w:rFonts w:hint="default"/>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default"/>
          <w:color w:val="auto"/>
          <w:lang w:val="en-US" w:eastAsia="zh-CN"/>
        </w:rPr>
        <w:t>表</w:t>
      </w:r>
      <w:r>
        <w:rPr>
          <w:rFonts w:hint="eastAsia"/>
          <w:color w:val="auto"/>
          <w:lang w:val="en-US" w:eastAsia="zh-CN"/>
        </w:rPr>
        <w:t xml:space="preserve">2-3 </w:t>
      </w:r>
      <w:r>
        <w:rPr>
          <w:rFonts w:hint="default"/>
          <w:color w:val="auto"/>
          <w:lang w:val="en-US" w:eastAsia="zh-CN"/>
        </w:rPr>
        <w:t>重型圆锥动力触探试验锤击数统计表</w:t>
      </w:r>
    </w:p>
    <w:tbl>
      <w:tblPr>
        <w:tblStyle w:val="15"/>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9"/>
        <w:gridCol w:w="719"/>
        <w:gridCol w:w="926"/>
        <w:gridCol w:w="926"/>
        <w:gridCol w:w="887"/>
        <w:gridCol w:w="1060"/>
        <w:gridCol w:w="1020"/>
        <w:gridCol w:w="1020"/>
        <w:gridCol w:w="1028"/>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1879"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指标</w:t>
            </w:r>
          </w:p>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地层</w:t>
            </w:r>
          </w:p>
        </w:tc>
        <w:tc>
          <w:tcPr>
            <w:tcW w:w="7586" w:type="dxa"/>
            <w:gridSpan w:val="8"/>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重型圆锥动力触探试验修正锤击数N63.5</w:t>
            </w:r>
            <w:r>
              <w:rPr>
                <w:rFonts w:hint="eastAsia" w:cs="Times New Roman"/>
                <w:color w:val="auto"/>
                <w:kern w:val="0"/>
                <w:sz w:val="21"/>
                <w:szCs w:val="21"/>
                <w:lang w:eastAsia="zh-CN"/>
              </w:rPr>
              <w:t>（</w:t>
            </w:r>
            <w:r>
              <w:rPr>
                <w:rFonts w:hint="eastAsia" w:ascii="Times New Roman" w:hAnsi="Times New Roman" w:eastAsia="宋体" w:cs="Times New Roman"/>
                <w:color w:val="auto"/>
                <w:kern w:val="0"/>
                <w:sz w:val="21"/>
                <w:szCs w:val="21"/>
              </w:rPr>
              <w:t>击</w:t>
            </w:r>
            <w:r>
              <w:rPr>
                <w:rFonts w:hint="eastAsia" w:cs="Times New Roman"/>
                <w:color w:val="auto"/>
                <w:kern w:val="0"/>
                <w:sz w:val="21"/>
                <w:szCs w:val="21"/>
                <w:lang w:eastAsia="zh-CN"/>
              </w:rPr>
              <w:t>）</w:t>
            </w:r>
            <w:r>
              <w:rPr>
                <w:rFonts w:hint="eastAsia" w:ascii="Times New Roman" w:hAnsi="Times New Roman" w:eastAsia="宋体" w:cs="Times New Roman"/>
                <w:color w:val="auto"/>
                <w:kern w:val="0"/>
                <w:sz w:val="21"/>
                <w:szCs w:val="21"/>
              </w:rPr>
              <w:t>（修正值）</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1879"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p>
        </w:tc>
        <w:tc>
          <w:tcPr>
            <w:tcW w:w="719"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统计</w:t>
            </w:r>
          </w:p>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个数</w:t>
            </w:r>
          </w:p>
        </w:tc>
        <w:tc>
          <w:tcPr>
            <w:tcW w:w="926"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最小</w:t>
            </w:r>
          </w:p>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值</w:t>
            </w:r>
          </w:p>
        </w:tc>
        <w:tc>
          <w:tcPr>
            <w:tcW w:w="926"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最大</w:t>
            </w:r>
          </w:p>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值</w:t>
            </w:r>
          </w:p>
        </w:tc>
        <w:tc>
          <w:tcPr>
            <w:tcW w:w="887"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平均值Фm</w:t>
            </w:r>
          </w:p>
        </w:tc>
        <w:tc>
          <w:tcPr>
            <w:tcW w:w="106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标准差σf</w:t>
            </w:r>
          </w:p>
        </w:tc>
        <w:tc>
          <w:tcPr>
            <w:tcW w:w="102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变异系数δ</w:t>
            </w:r>
          </w:p>
        </w:tc>
        <w:tc>
          <w:tcPr>
            <w:tcW w:w="102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修正系数γs</w:t>
            </w:r>
            <w:r>
              <w:rPr>
                <w:rFonts w:hint="eastAsia" w:ascii="Times New Roman" w:hAnsi="Times New Roman" w:eastAsia="宋体" w:cs="Times New Roman"/>
                <w:color w:val="auto"/>
                <w:kern w:val="0"/>
                <w:sz w:val="21"/>
                <w:szCs w:val="21"/>
              </w:rPr>
              <w:t>0</w:t>
            </w:r>
          </w:p>
        </w:tc>
        <w:tc>
          <w:tcPr>
            <w:tcW w:w="1028"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标准值Фk</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868" w:hRule="exact"/>
          <w:jc w:val="center"/>
        </w:trPr>
        <w:tc>
          <w:tcPr>
            <w:tcW w:w="1879"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①素填土</w:t>
            </w:r>
          </w:p>
        </w:tc>
        <w:tc>
          <w:tcPr>
            <w:tcW w:w="719"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18</w:t>
            </w:r>
          </w:p>
        </w:tc>
        <w:tc>
          <w:tcPr>
            <w:tcW w:w="926"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3.0</w:t>
            </w:r>
          </w:p>
        </w:tc>
        <w:tc>
          <w:tcPr>
            <w:tcW w:w="926"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10.9</w:t>
            </w:r>
          </w:p>
        </w:tc>
        <w:tc>
          <w:tcPr>
            <w:tcW w:w="887"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5.80</w:t>
            </w:r>
          </w:p>
        </w:tc>
        <w:tc>
          <w:tcPr>
            <w:tcW w:w="106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2.143</w:t>
            </w:r>
          </w:p>
        </w:tc>
        <w:tc>
          <w:tcPr>
            <w:tcW w:w="102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0.367</w:t>
            </w:r>
          </w:p>
        </w:tc>
        <w:tc>
          <w:tcPr>
            <w:tcW w:w="102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0.867</w:t>
            </w:r>
          </w:p>
        </w:tc>
        <w:tc>
          <w:tcPr>
            <w:tcW w:w="1028"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4.9</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748" w:hRule="exact"/>
          <w:jc w:val="center"/>
        </w:trPr>
        <w:tc>
          <w:tcPr>
            <w:tcW w:w="1879"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③强风化变质石英砂岩</w:t>
            </w:r>
          </w:p>
        </w:tc>
        <w:tc>
          <w:tcPr>
            <w:tcW w:w="719"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60</w:t>
            </w:r>
          </w:p>
        </w:tc>
        <w:tc>
          <w:tcPr>
            <w:tcW w:w="926"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17.0</w:t>
            </w:r>
          </w:p>
        </w:tc>
        <w:tc>
          <w:tcPr>
            <w:tcW w:w="926"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22.4</w:t>
            </w:r>
          </w:p>
        </w:tc>
        <w:tc>
          <w:tcPr>
            <w:tcW w:w="887"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19.20</w:t>
            </w:r>
          </w:p>
        </w:tc>
        <w:tc>
          <w:tcPr>
            <w:tcW w:w="106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1.253</w:t>
            </w:r>
          </w:p>
        </w:tc>
        <w:tc>
          <w:tcPr>
            <w:tcW w:w="102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0.065</w:t>
            </w:r>
          </w:p>
        </w:tc>
        <w:tc>
          <w:tcPr>
            <w:tcW w:w="102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0.986</w:t>
            </w:r>
          </w:p>
        </w:tc>
        <w:tc>
          <w:tcPr>
            <w:tcW w:w="1028"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18.9</w:t>
            </w:r>
          </w:p>
        </w:tc>
      </w:tr>
    </w:tbl>
    <w:p>
      <w:pPr>
        <w:numPr>
          <w:ilvl w:val="0"/>
          <w:numId w:val="0"/>
        </w:numPr>
        <w:bidi w:val="0"/>
        <w:ind w:firstLine="562" w:firstLineChars="200"/>
        <w:rPr>
          <w:rFonts w:hint="default"/>
          <w:b/>
          <w:bCs/>
          <w:color w:val="auto"/>
          <w:lang w:val="en-US" w:eastAsia="zh-CN"/>
        </w:rPr>
      </w:pPr>
      <w:r>
        <w:rPr>
          <w:rFonts w:hint="default" w:ascii="Times New Roman" w:hAnsi="Times New Roman" w:eastAsia="宋体" w:cs="Times New Roman"/>
          <w:b/>
          <w:bCs/>
          <w:color w:val="auto"/>
          <w:kern w:val="2"/>
          <w:sz w:val="28"/>
          <w:szCs w:val="24"/>
          <w:lang w:val="en-US" w:eastAsia="zh-CN" w:bidi="ar-SA"/>
        </w:rPr>
        <w:t>5.</w:t>
      </w:r>
      <w:r>
        <w:rPr>
          <w:rFonts w:hint="default"/>
          <w:b/>
          <w:bCs/>
          <w:color w:val="auto"/>
          <w:lang w:val="en-US" w:eastAsia="zh-CN"/>
        </w:rPr>
        <w:t>不良地质作用及不利埋藏物</w:t>
      </w:r>
    </w:p>
    <w:p>
      <w:pPr>
        <w:bidi w:val="0"/>
        <w:rPr>
          <w:rFonts w:hint="default"/>
          <w:color w:val="auto"/>
          <w:lang w:val="en-US" w:eastAsia="zh-CN"/>
        </w:rPr>
      </w:pPr>
      <w:r>
        <w:rPr>
          <w:rFonts w:hint="default"/>
          <w:color w:val="auto"/>
          <w:lang w:val="en-US" w:eastAsia="zh-CN"/>
        </w:rPr>
        <w:t>在勘察深度范围内，拟建场地内未发现岩溶、滑坡、断层、塌陷、岩体崩塌、泥石流等影响建筑物稳定性的不良地质现象及地质灾害隐患。未发现埋藏的河道、沟浜、墓穴、防空洞、孤石等对工程不利的埋藏物。但场地主要建筑多位于山顶，南北两侧都为山坡，山坡主要岩性为粉质黏土，雨季易发生滑坡，需进行加固处理。</w:t>
      </w:r>
    </w:p>
    <w:p>
      <w:pPr>
        <w:numPr>
          <w:ilvl w:val="0"/>
          <w:numId w:val="0"/>
        </w:numPr>
        <w:bidi w:val="0"/>
        <w:ind w:left="0" w:leftChars="0" w:firstLine="562" w:firstLineChars="200"/>
        <w:rPr>
          <w:rFonts w:hint="default"/>
          <w:b/>
          <w:bCs/>
          <w:color w:val="auto"/>
          <w:lang w:val="en-US" w:eastAsia="zh-CN"/>
        </w:rPr>
      </w:pPr>
      <w:r>
        <w:rPr>
          <w:rFonts w:hint="default" w:ascii="Times New Roman" w:hAnsi="Times New Roman" w:eastAsia="宋体" w:cs="Times New Roman"/>
          <w:b/>
          <w:bCs/>
          <w:color w:val="auto"/>
          <w:kern w:val="2"/>
          <w:sz w:val="28"/>
          <w:szCs w:val="24"/>
          <w:lang w:val="en-US" w:eastAsia="zh-CN" w:bidi="ar-SA"/>
        </w:rPr>
        <w:t>6.</w:t>
      </w:r>
      <w:r>
        <w:rPr>
          <w:rFonts w:hint="default"/>
          <w:b/>
          <w:bCs/>
          <w:color w:val="auto"/>
          <w:lang w:val="en-US" w:eastAsia="zh-CN"/>
        </w:rPr>
        <w:t>水文地质条件</w:t>
      </w:r>
    </w:p>
    <w:p>
      <w:pPr>
        <w:numPr>
          <w:ilvl w:val="0"/>
          <w:numId w:val="0"/>
        </w:numPr>
        <w:bidi w:val="0"/>
        <w:ind w:leftChars="200"/>
        <w:rPr>
          <w:rFonts w:hint="eastAsia"/>
          <w:color w:val="auto"/>
          <w:lang w:val="en-US" w:eastAsia="zh-CN"/>
        </w:rPr>
      </w:pPr>
      <w:r>
        <w:rPr>
          <w:rFonts w:hint="eastAsia"/>
          <w:color w:val="auto"/>
          <w:lang w:val="en-US" w:eastAsia="zh-CN"/>
        </w:rPr>
        <w:t>（1）地表水</w:t>
      </w:r>
    </w:p>
    <w:p>
      <w:pPr>
        <w:bidi w:val="0"/>
        <w:rPr>
          <w:rFonts w:hint="default"/>
          <w:color w:val="auto"/>
          <w:lang w:val="en-US" w:eastAsia="zh-CN"/>
        </w:rPr>
      </w:pPr>
      <w:r>
        <w:rPr>
          <w:rFonts w:hint="default"/>
          <w:color w:val="auto"/>
          <w:lang w:val="en-US" w:eastAsia="zh-CN"/>
        </w:rPr>
        <w:t>本区地表水发育一般。高差落差大、在拟建区域沟谷底部形成小溪流，枯水期断流。地表水主要受大气降水影响。</w:t>
      </w:r>
    </w:p>
    <w:p>
      <w:pPr>
        <w:numPr>
          <w:ilvl w:val="0"/>
          <w:numId w:val="0"/>
        </w:numPr>
        <w:bidi w:val="0"/>
        <w:ind w:firstLine="560" w:firstLineChars="200"/>
        <w:rPr>
          <w:rFonts w:hint="eastAsia"/>
          <w:color w:val="auto"/>
          <w:lang w:val="en-US" w:eastAsia="zh-CN"/>
        </w:rPr>
      </w:pPr>
      <w:r>
        <w:rPr>
          <w:rFonts w:hint="eastAsia" w:ascii="Times New Roman" w:hAnsi="Times New Roman" w:eastAsia="宋体" w:cs="Times New Roman"/>
          <w:color w:val="auto"/>
          <w:kern w:val="2"/>
          <w:sz w:val="28"/>
          <w:szCs w:val="24"/>
          <w:lang w:val="en-US" w:eastAsia="zh-CN" w:bidi="ar-SA"/>
        </w:rPr>
        <w:t>（2）</w:t>
      </w:r>
      <w:r>
        <w:rPr>
          <w:rFonts w:hint="eastAsia"/>
          <w:color w:val="auto"/>
          <w:lang w:val="en-US" w:eastAsia="zh-CN"/>
        </w:rPr>
        <w:t>地下水</w:t>
      </w:r>
    </w:p>
    <w:p>
      <w:pPr>
        <w:bidi w:val="0"/>
        <w:rPr>
          <w:rFonts w:hint="default"/>
          <w:color w:val="auto"/>
          <w:lang w:val="en-US" w:eastAsia="zh-CN"/>
        </w:rPr>
      </w:pPr>
      <w:r>
        <w:rPr>
          <w:rFonts w:hint="default"/>
          <w:color w:val="auto"/>
          <w:lang w:val="en-US" w:eastAsia="zh-CN"/>
        </w:rPr>
        <w:t>1）孔隙性含水层：主要分布于第四系的填土层及山坡堆积层（粉质粘土）中，填土层常蕴藏成丰富的孔隙潜水；而坡残积粘性土的透水性较差，埋藏一般较浅，受大气降水补给，其类型为孔隙性潜水，部分补给下卧基岩裂隙水，同时向低洼处排泄。</w:t>
      </w:r>
    </w:p>
    <w:p>
      <w:pPr>
        <w:bidi w:val="0"/>
        <w:rPr>
          <w:rFonts w:hint="default"/>
          <w:color w:val="auto"/>
          <w:lang w:val="en-US" w:eastAsia="zh-CN"/>
        </w:rPr>
      </w:pPr>
      <w:r>
        <w:rPr>
          <w:rFonts w:hint="default"/>
          <w:color w:val="auto"/>
          <w:lang w:val="en-US" w:eastAsia="zh-CN"/>
        </w:rPr>
        <w:t>2）裂隙含水层：分布于断裂破碎带及基岩裂隙中，受构造裂隙控制，弱富水性，主要受孔隙性潜水补给，透水性随深度增加而减弱。</w:t>
      </w:r>
    </w:p>
    <w:p>
      <w:pPr>
        <w:bidi w:val="0"/>
        <w:rPr>
          <w:rFonts w:hint="default"/>
          <w:color w:val="auto"/>
          <w:lang w:val="en-US" w:eastAsia="zh-CN"/>
        </w:rPr>
      </w:pPr>
      <w:r>
        <w:rPr>
          <w:rFonts w:hint="default"/>
          <w:color w:val="auto"/>
          <w:lang w:val="en-US" w:eastAsia="zh-CN"/>
        </w:rPr>
        <w:t>3）地层透水性</w:t>
      </w:r>
      <w:r>
        <w:rPr>
          <w:rFonts w:hint="default"/>
          <w:color w:val="auto"/>
          <w:lang w:val="en-US" w:eastAsia="zh-CN"/>
        </w:rPr>
        <w:tab/>
      </w:r>
    </w:p>
    <w:p>
      <w:pPr>
        <w:bidi w:val="0"/>
        <w:rPr>
          <w:rFonts w:hint="eastAsia"/>
          <w:color w:val="auto"/>
          <w:lang w:val="en-US" w:eastAsia="zh-CN"/>
        </w:rPr>
      </w:pPr>
      <w:r>
        <w:rPr>
          <w:rFonts w:hint="default"/>
          <w:color w:val="auto"/>
          <w:lang w:val="en-US" w:eastAsia="zh-CN"/>
        </w:rPr>
        <w:t>根据本次现场周边工程的抽水压水试验结合地区工程经验综合判定：①素填土；属强透水性地层；②粉质粘土：中等透水性地层；③强风化变质石英砂岩属于中等透水性地层；④中风化变质石英砂岩属于弱透水性地层</w:t>
      </w:r>
      <w:r>
        <w:rPr>
          <w:rFonts w:hint="eastAsia"/>
          <w:color w:val="auto"/>
          <w:lang w:val="en-US" w:eastAsia="zh-CN"/>
        </w:rPr>
        <w:t>。</w:t>
      </w:r>
    </w:p>
    <w:p>
      <w:pPr>
        <w:numPr>
          <w:ilvl w:val="0"/>
          <w:numId w:val="0"/>
        </w:numPr>
        <w:bidi w:val="0"/>
        <w:ind w:left="0" w:leftChars="0" w:firstLine="560" w:firstLineChars="200"/>
        <w:rPr>
          <w:rFonts w:hint="default"/>
          <w:color w:val="auto"/>
          <w:lang w:val="en-US" w:eastAsia="zh-CN"/>
        </w:rPr>
      </w:pPr>
      <w:r>
        <w:rPr>
          <w:rFonts w:hint="default" w:ascii="Times New Roman" w:hAnsi="Times New Roman" w:eastAsia="宋体" w:cs="Times New Roman"/>
          <w:color w:val="auto"/>
          <w:kern w:val="2"/>
          <w:sz w:val="28"/>
          <w:szCs w:val="24"/>
          <w:lang w:val="en-US" w:eastAsia="zh-CN" w:bidi="ar-SA"/>
        </w:rPr>
        <w:t>（3）</w:t>
      </w:r>
      <w:r>
        <w:rPr>
          <w:rFonts w:hint="default"/>
          <w:color w:val="auto"/>
          <w:lang w:val="en-US" w:eastAsia="zh-CN"/>
        </w:rPr>
        <w:t>水对建筑材料的腐蚀性</w:t>
      </w:r>
    </w:p>
    <w:p>
      <w:pPr>
        <w:bidi w:val="0"/>
        <w:rPr>
          <w:rFonts w:hint="eastAsia"/>
          <w:color w:val="auto"/>
          <w:lang w:val="en-US" w:eastAsia="zh-CN"/>
        </w:rPr>
      </w:pPr>
      <w:r>
        <w:rPr>
          <w:rFonts w:hint="default"/>
          <w:color w:val="auto"/>
          <w:lang w:val="en-US" w:eastAsia="zh-CN"/>
        </w:rPr>
        <w:t>本次勘察在ZK30孔及ZK37孔钻孔各取一组地下水进行水质简分析及侵蚀性</w:t>
      </w:r>
      <w:r>
        <w:rPr>
          <w:rFonts w:hint="eastAsia"/>
          <w:color w:val="auto"/>
          <w:lang w:val="en-US" w:eastAsia="zh-CN"/>
        </w:rPr>
        <w:t>；</w:t>
      </w:r>
      <w:r>
        <w:rPr>
          <w:rFonts w:hint="default"/>
          <w:color w:val="auto"/>
          <w:lang w:val="en-US" w:eastAsia="zh-CN"/>
        </w:rPr>
        <w:t>根据《岩土工程勘察规范（2009年版）》（GB50021</w:t>
      </w:r>
      <w:r>
        <w:rPr>
          <w:rFonts w:hint="eastAsia"/>
          <w:color w:val="auto"/>
          <w:lang w:val="en-US" w:eastAsia="zh-CN"/>
        </w:rPr>
        <w:t>-</w:t>
      </w:r>
      <w:r>
        <w:rPr>
          <w:rFonts w:hint="default"/>
          <w:color w:val="auto"/>
          <w:lang w:val="en-US" w:eastAsia="zh-CN"/>
        </w:rPr>
        <w:t>2001）附录G表G.0.1判定场地环境属</w:t>
      </w:r>
      <w:r>
        <w:rPr>
          <w:rFonts w:hint="eastAsia" w:ascii="宋体" w:hAnsi="宋体" w:eastAsia="宋体" w:cs="宋体"/>
          <w:color w:val="auto"/>
          <w:lang w:val="en-US" w:eastAsia="zh-CN"/>
        </w:rPr>
        <w:t>Ⅱ</w:t>
      </w:r>
      <w:r>
        <w:rPr>
          <w:rFonts w:hint="default"/>
          <w:color w:val="auto"/>
          <w:lang w:val="en-US" w:eastAsia="zh-CN"/>
        </w:rPr>
        <w:t>类，拟建场地主要含水层属强透水层（A型），场地直接临水，根据《岩土工程勘察规范（2009年版）》（GB50021</w:t>
      </w:r>
      <w:r>
        <w:rPr>
          <w:rFonts w:hint="eastAsia"/>
          <w:color w:val="auto"/>
          <w:lang w:val="en-US" w:eastAsia="zh-CN"/>
        </w:rPr>
        <w:t>-</w:t>
      </w:r>
      <w:r>
        <w:rPr>
          <w:rFonts w:hint="default"/>
          <w:color w:val="auto"/>
          <w:lang w:val="en-US" w:eastAsia="zh-CN"/>
        </w:rPr>
        <w:t>2001）对地下水的腐蚀性评价见表2-</w:t>
      </w:r>
      <w:r>
        <w:rPr>
          <w:rFonts w:hint="eastAsia"/>
          <w:color w:val="auto"/>
          <w:lang w:val="en-US" w:eastAsia="zh-CN"/>
        </w:rPr>
        <w:t>4：</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default"/>
          <w:color w:val="auto"/>
          <w:lang w:val="en-US" w:eastAsia="zh-CN"/>
        </w:rPr>
        <w:t>表</w:t>
      </w:r>
      <w:r>
        <w:rPr>
          <w:rFonts w:hint="eastAsia"/>
          <w:color w:val="auto"/>
          <w:lang w:val="en-US" w:eastAsia="zh-CN"/>
        </w:rPr>
        <w:t xml:space="preserve">2-4 </w:t>
      </w:r>
      <w:r>
        <w:rPr>
          <w:rFonts w:hint="default"/>
          <w:color w:val="auto"/>
          <w:lang w:val="en-US" w:eastAsia="zh-CN"/>
        </w:rPr>
        <w:t>地下水腐蚀性评价表</w:t>
      </w:r>
    </w:p>
    <w:tbl>
      <w:tblPr>
        <w:tblStyle w:val="15"/>
        <w:tblW w:w="10335"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2"/>
        <w:gridCol w:w="1004"/>
        <w:gridCol w:w="1258"/>
        <w:gridCol w:w="969"/>
        <w:gridCol w:w="1073"/>
        <w:gridCol w:w="789"/>
        <w:gridCol w:w="850"/>
        <w:gridCol w:w="1025"/>
        <w:gridCol w:w="671"/>
        <w:gridCol w:w="967"/>
        <w:gridCol w:w="657"/>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1072"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判定标准</w:t>
            </w:r>
          </w:p>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及孔号</w:t>
            </w:r>
          </w:p>
        </w:tc>
        <w:tc>
          <w:tcPr>
            <w:tcW w:w="7639" w:type="dxa"/>
            <w:gridSpan w:val="8"/>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对混凝土结构腐蚀性评价</w:t>
            </w:r>
          </w:p>
        </w:tc>
        <w:tc>
          <w:tcPr>
            <w:tcW w:w="1624" w:type="dxa"/>
            <w:gridSpan w:val="2"/>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对钢筋混凝土中钢筋</w:t>
            </w:r>
          </w:p>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的腐蚀性评价</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07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4304" w:type="dxa"/>
            <w:gridSpan w:val="4"/>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按环境类型（Ⅱ类）</w:t>
            </w:r>
          </w:p>
        </w:tc>
        <w:tc>
          <w:tcPr>
            <w:tcW w:w="2664" w:type="dxa"/>
            <w:gridSpan w:val="3"/>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按地层渗透性（A）类</w:t>
            </w:r>
          </w:p>
        </w:tc>
        <w:tc>
          <w:tcPr>
            <w:tcW w:w="671"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评价</w:t>
            </w:r>
          </w:p>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结果</w:t>
            </w:r>
          </w:p>
        </w:tc>
        <w:tc>
          <w:tcPr>
            <w:tcW w:w="1624"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15" w:hRule="atLeast"/>
          <w:jc w:val="center"/>
        </w:trPr>
        <w:tc>
          <w:tcPr>
            <w:tcW w:w="1072" w:type="dxa"/>
            <w:noWrap/>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1004"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SO</w:t>
            </w:r>
            <w:r>
              <w:rPr>
                <w:rFonts w:hint="eastAsia" w:ascii="Times New Roman" w:hAnsi="Times New Roman" w:eastAsia="宋体" w:cs="Times New Roman"/>
                <w:color w:val="auto"/>
                <w:kern w:val="0"/>
                <w:sz w:val="21"/>
                <w:szCs w:val="21"/>
                <w:vertAlign w:val="subscript"/>
              </w:rPr>
              <w:t>4</w:t>
            </w:r>
            <w:r>
              <w:rPr>
                <w:rFonts w:hint="eastAsia" w:ascii="Times New Roman" w:hAnsi="Times New Roman" w:eastAsia="宋体" w:cs="Times New Roman"/>
                <w:color w:val="auto"/>
                <w:kern w:val="0"/>
                <w:sz w:val="21"/>
                <w:szCs w:val="21"/>
                <w:vertAlign w:val="superscript"/>
              </w:rPr>
              <w:t>2-</w:t>
            </w:r>
          </w:p>
        </w:tc>
        <w:tc>
          <w:tcPr>
            <w:tcW w:w="1258"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Mg</w:t>
            </w:r>
            <w:r>
              <w:rPr>
                <w:rFonts w:hint="eastAsia" w:ascii="Times New Roman" w:hAnsi="Times New Roman" w:eastAsia="宋体" w:cs="Times New Roman"/>
                <w:color w:val="auto"/>
                <w:kern w:val="0"/>
                <w:sz w:val="21"/>
                <w:szCs w:val="21"/>
                <w:vertAlign w:val="superscript"/>
              </w:rPr>
              <w:t>2+</w:t>
            </w:r>
          </w:p>
        </w:tc>
        <w:tc>
          <w:tcPr>
            <w:tcW w:w="969"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NH</w:t>
            </w:r>
            <w:r>
              <w:rPr>
                <w:rFonts w:hint="eastAsia" w:ascii="Times New Roman" w:hAnsi="Times New Roman" w:eastAsia="宋体" w:cs="Times New Roman"/>
                <w:color w:val="auto"/>
                <w:kern w:val="0"/>
                <w:sz w:val="21"/>
                <w:szCs w:val="21"/>
                <w:vertAlign w:val="superscript"/>
              </w:rPr>
              <w:t>4+</w:t>
            </w:r>
          </w:p>
        </w:tc>
        <w:tc>
          <w:tcPr>
            <w:tcW w:w="107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总矿化度</w:t>
            </w:r>
          </w:p>
        </w:tc>
        <w:tc>
          <w:tcPr>
            <w:tcW w:w="789"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PH值</w:t>
            </w:r>
          </w:p>
        </w:tc>
        <w:tc>
          <w:tcPr>
            <w:tcW w:w="85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侵蚀性CO</w:t>
            </w:r>
            <w:r>
              <w:rPr>
                <w:rFonts w:hint="eastAsia" w:ascii="Times New Roman" w:hAnsi="Times New Roman" w:eastAsia="宋体" w:cs="Times New Roman"/>
                <w:color w:val="auto"/>
                <w:kern w:val="0"/>
                <w:sz w:val="21"/>
                <w:szCs w:val="21"/>
                <w:vertAlign w:val="superscript"/>
              </w:rPr>
              <w:t>2</w:t>
            </w:r>
          </w:p>
        </w:tc>
        <w:tc>
          <w:tcPr>
            <w:tcW w:w="1025"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HCO</w:t>
            </w:r>
            <w:r>
              <w:rPr>
                <w:rFonts w:hint="eastAsia" w:ascii="Times New Roman" w:hAnsi="Times New Roman" w:eastAsia="宋体" w:cs="Times New Roman"/>
                <w:color w:val="auto"/>
                <w:kern w:val="0"/>
                <w:sz w:val="21"/>
                <w:szCs w:val="21"/>
                <w:vertAlign w:val="subscript"/>
              </w:rPr>
              <w:t>3</w:t>
            </w:r>
            <w:r>
              <w:rPr>
                <w:rFonts w:hint="eastAsia" w:ascii="Times New Roman" w:hAnsi="Times New Roman" w:eastAsia="宋体" w:cs="Times New Roman"/>
                <w:color w:val="auto"/>
                <w:kern w:val="0"/>
                <w:sz w:val="21"/>
                <w:szCs w:val="21"/>
                <w:vertAlign w:val="superscript"/>
              </w:rPr>
              <w:t>1-</w:t>
            </w:r>
          </w:p>
        </w:tc>
        <w:tc>
          <w:tcPr>
            <w:tcW w:w="67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967"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Cl</w:t>
            </w:r>
            <w:r>
              <w:rPr>
                <w:rFonts w:hint="eastAsia" w:ascii="Times New Roman" w:hAnsi="Times New Roman" w:eastAsia="宋体" w:cs="Times New Roman"/>
                <w:color w:val="auto"/>
                <w:kern w:val="0"/>
                <w:sz w:val="21"/>
                <w:szCs w:val="21"/>
                <w:vertAlign w:val="superscript"/>
              </w:rPr>
              <w:t>-</w:t>
            </w:r>
          </w:p>
        </w:tc>
        <w:tc>
          <w:tcPr>
            <w:tcW w:w="657"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评价</w:t>
            </w:r>
          </w:p>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结果</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072" w:type="dxa"/>
            <w:noWrap/>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1004"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mg/L</w:t>
            </w:r>
          </w:p>
        </w:tc>
        <w:tc>
          <w:tcPr>
            <w:tcW w:w="1258"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mg/L</w:t>
            </w:r>
          </w:p>
        </w:tc>
        <w:tc>
          <w:tcPr>
            <w:tcW w:w="969"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mg/L</w:t>
            </w:r>
          </w:p>
        </w:tc>
        <w:tc>
          <w:tcPr>
            <w:tcW w:w="107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mg/L</w:t>
            </w:r>
          </w:p>
        </w:tc>
        <w:tc>
          <w:tcPr>
            <w:tcW w:w="789"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c>
          <w:tcPr>
            <w:tcW w:w="85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mg/L</w:t>
            </w:r>
          </w:p>
        </w:tc>
        <w:tc>
          <w:tcPr>
            <w:tcW w:w="1025"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mmol/L</w:t>
            </w:r>
          </w:p>
        </w:tc>
        <w:tc>
          <w:tcPr>
            <w:tcW w:w="671" w:type="dxa"/>
            <w:noWrap/>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967"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mg/L</w:t>
            </w:r>
          </w:p>
        </w:tc>
        <w:tc>
          <w:tcPr>
            <w:tcW w:w="657"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1072"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微腐蚀性</w:t>
            </w:r>
          </w:p>
        </w:tc>
        <w:tc>
          <w:tcPr>
            <w:tcW w:w="1004"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＜300</w:t>
            </w:r>
          </w:p>
        </w:tc>
        <w:tc>
          <w:tcPr>
            <w:tcW w:w="1258"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＜2000</w:t>
            </w:r>
          </w:p>
        </w:tc>
        <w:tc>
          <w:tcPr>
            <w:tcW w:w="969"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＜500</w:t>
            </w:r>
          </w:p>
        </w:tc>
        <w:tc>
          <w:tcPr>
            <w:tcW w:w="107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＜20000</w:t>
            </w:r>
          </w:p>
        </w:tc>
        <w:tc>
          <w:tcPr>
            <w:tcW w:w="789"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&gt;6.5</w:t>
            </w:r>
          </w:p>
        </w:tc>
        <w:tc>
          <w:tcPr>
            <w:tcW w:w="85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＜15</w:t>
            </w:r>
          </w:p>
        </w:tc>
        <w:tc>
          <w:tcPr>
            <w:tcW w:w="1025"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&gt;1.0</w:t>
            </w:r>
          </w:p>
        </w:tc>
        <w:tc>
          <w:tcPr>
            <w:tcW w:w="671"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c>
          <w:tcPr>
            <w:tcW w:w="967"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＜10000</w:t>
            </w:r>
          </w:p>
        </w:tc>
        <w:tc>
          <w:tcPr>
            <w:tcW w:w="657"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41" w:hRule="atLeast"/>
          <w:jc w:val="center"/>
        </w:trPr>
        <w:tc>
          <w:tcPr>
            <w:tcW w:w="1072"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弱腐蚀性</w:t>
            </w:r>
          </w:p>
        </w:tc>
        <w:tc>
          <w:tcPr>
            <w:tcW w:w="1004"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300~1500</w:t>
            </w:r>
          </w:p>
        </w:tc>
        <w:tc>
          <w:tcPr>
            <w:tcW w:w="1258"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2000~3000</w:t>
            </w:r>
          </w:p>
        </w:tc>
        <w:tc>
          <w:tcPr>
            <w:tcW w:w="969"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500~800</w:t>
            </w:r>
          </w:p>
        </w:tc>
        <w:tc>
          <w:tcPr>
            <w:tcW w:w="107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20000~</w:t>
            </w:r>
          </w:p>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50000</w:t>
            </w:r>
          </w:p>
        </w:tc>
        <w:tc>
          <w:tcPr>
            <w:tcW w:w="789"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6.5~</w:t>
            </w:r>
          </w:p>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5.0</w:t>
            </w:r>
          </w:p>
        </w:tc>
        <w:tc>
          <w:tcPr>
            <w:tcW w:w="85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15~30</w:t>
            </w:r>
          </w:p>
        </w:tc>
        <w:tc>
          <w:tcPr>
            <w:tcW w:w="1025"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1.0-0.5</w:t>
            </w:r>
          </w:p>
        </w:tc>
        <w:tc>
          <w:tcPr>
            <w:tcW w:w="671"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c>
          <w:tcPr>
            <w:tcW w:w="967"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宋体" w:hAnsi="宋体" w:eastAsia="宋体" w:cs="宋体"/>
                <w:color w:val="auto"/>
                <w:kern w:val="0"/>
                <w:sz w:val="21"/>
                <w:szCs w:val="21"/>
              </w:rPr>
            </w:pPr>
            <w:r>
              <w:rPr>
                <w:rFonts w:hint="eastAsia" w:ascii="Times New Roman" w:hAnsi="Times New Roman" w:eastAsia="宋体" w:cs="Times New Roman"/>
                <w:color w:val="auto"/>
                <w:kern w:val="0"/>
                <w:sz w:val="21"/>
                <w:szCs w:val="21"/>
              </w:rPr>
              <w:t>10000</w:t>
            </w:r>
            <w:r>
              <w:rPr>
                <w:rFonts w:hint="eastAsia" w:ascii="宋体" w:hAnsi="宋体" w:eastAsia="宋体" w:cs="宋体"/>
                <w:color w:val="auto"/>
                <w:kern w:val="0"/>
                <w:sz w:val="21"/>
                <w:szCs w:val="21"/>
              </w:rPr>
              <w:t>-</w:t>
            </w:r>
          </w:p>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20000</w:t>
            </w:r>
          </w:p>
        </w:tc>
        <w:tc>
          <w:tcPr>
            <w:tcW w:w="657"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072"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ZK4-S</w:t>
            </w:r>
          </w:p>
        </w:tc>
        <w:tc>
          <w:tcPr>
            <w:tcW w:w="1004"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3.00</w:t>
            </w:r>
          </w:p>
        </w:tc>
        <w:tc>
          <w:tcPr>
            <w:tcW w:w="1258"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13.63</w:t>
            </w:r>
          </w:p>
        </w:tc>
        <w:tc>
          <w:tcPr>
            <w:tcW w:w="969"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0.2</w:t>
            </w:r>
          </w:p>
        </w:tc>
        <w:tc>
          <w:tcPr>
            <w:tcW w:w="107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216</w:t>
            </w:r>
          </w:p>
        </w:tc>
        <w:tc>
          <w:tcPr>
            <w:tcW w:w="789"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6.63</w:t>
            </w:r>
          </w:p>
        </w:tc>
        <w:tc>
          <w:tcPr>
            <w:tcW w:w="85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26.33</w:t>
            </w:r>
          </w:p>
        </w:tc>
        <w:tc>
          <w:tcPr>
            <w:tcW w:w="1025"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1.200</w:t>
            </w:r>
          </w:p>
        </w:tc>
        <w:tc>
          <w:tcPr>
            <w:tcW w:w="671"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弱</w:t>
            </w:r>
          </w:p>
        </w:tc>
        <w:tc>
          <w:tcPr>
            <w:tcW w:w="967"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12.58</w:t>
            </w:r>
          </w:p>
        </w:tc>
        <w:tc>
          <w:tcPr>
            <w:tcW w:w="657"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微</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072" w:type="dxa"/>
            <w:noWrap/>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ZK7-S1</w:t>
            </w:r>
          </w:p>
        </w:tc>
        <w:tc>
          <w:tcPr>
            <w:tcW w:w="1004"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5.00</w:t>
            </w:r>
          </w:p>
        </w:tc>
        <w:tc>
          <w:tcPr>
            <w:tcW w:w="1258"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15.48</w:t>
            </w:r>
          </w:p>
        </w:tc>
        <w:tc>
          <w:tcPr>
            <w:tcW w:w="969"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0.2</w:t>
            </w:r>
          </w:p>
        </w:tc>
        <w:tc>
          <w:tcPr>
            <w:tcW w:w="107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w:t>
            </w:r>
          </w:p>
        </w:tc>
        <w:tc>
          <w:tcPr>
            <w:tcW w:w="789"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6.72</w:t>
            </w:r>
          </w:p>
        </w:tc>
        <w:tc>
          <w:tcPr>
            <w:tcW w:w="85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28.19</w:t>
            </w:r>
          </w:p>
        </w:tc>
        <w:tc>
          <w:tcPr>
            <w:tcW w:w="1025"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1.35</w:t>
            </w:r>
          </w:p>
        </w:tc>
        <w:tc>
          <w:tcPr>
            <w:tcW w:w="671"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弱</w:t>
            </w:r>
          </w:p>
        </w:tc>
        <w:tc>
          <w:tcPr>
            <w:tcW w:w="967"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13.06</w:t>
            </w:r>
          </w:p>
        </w:tc>
        <w:tc>
          <w:tcPr>
            <w:tcW w:w="657"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微</w:t>
            </w:r>
          </w:p>
        </w:tc>
      </w:tr>
    </w:tbl>
    <w:p>
      <w:pPr>
        <w:bidi w:val="0"/>
        <w:rPr>
          <w:rFonts w:hint="default"/>
          <w:color w:val="auto"/>
          <w:lang w:val="en-US" w:eastAsia="zh-CN"/>
        </w:rPr>
      </w:pPr>
      <w:r>
        <w:rPr>
          <w:rFonts w:hint="default"/>
          <w:color w:val="auto"/>
          <w:lang w:val="en-US" w:eastAsia="zh-CN"/>
        </w:rPr>
        <w:t>根据表2-</w:t>
      </w:r>
      <w:r>
        <w:rPr>
          <w:rFonts w:hint="eastAsia"/>
          <w:color w:val="auto"/>
          <w:lang w:val="en-US" w:eastAsia="zh-CN"/>
        </w:rPr>
        <w:t>4</w:t>
      </w:r>
      <w:r>
        <w:rPr>
          <w:rFonts w:hint="default"/>
          <w:color w:val="auto"/>
          <w:lang w:val="en-US" w:eastAsia="zh-CN"/>
        </w:rPr>
        <w:t>的结果表明：场地内地下水对混凝土结构具弱腐蚀性，对钢筋混凝土中的钢筋具微腐蚀性，应按《工业建筑防腐蚀设计</w:t>
      </w:r>
      <w:r>
        <w:rPr>
          <w:rFonts w:hint="eastAsia"/>
          <w:color w:val="auto"/>
          <w:lang w:val="en-US" w:eastAsia="zh-CN"/>
        </w:rPr>
        <w:t>标准</w:t>
      </w:r>
      <w:r>
        <w:rPr>
          <w:rFonts w:hint="default"/>
          <w:color w:val="auto"/>
          <w:lang w:val="en-US" w:eastAsia="zh-CN"/>
        </w:rPr>
        <w:t>》（GB/T 50046</w:t>
      </w:r>
      <w:r>
        <w:rPr>
          <w:rFonts w:hint="eastAsia"/>
          <w:color w:val="auto"/>
          <w:lang w:val="en-US" w:eastAsia="zh-CN"/>
        </w:rPr>
        <w:t>-</w:t>
      </w:r>
      <w:r>
        <w:rPr>
          <w:rFonts w:hint="default"/>
          <w:color w:val="auto"/>
          <w:lang w:val="en-US" w:eastAsia="zh-CN"/>
        </w:rPr>
        <w:t>2018）中的规定采取相应的防护措施。</w:t>
      </w:r>
    </w:p>
    <w:p>
      <w:pPr>
        <w:numPr>
          <w:ilvl w:val="0"/>
          <w:numId w:val="0"/>
        </w:numPr>
        <w:bidi w:val="0"/>
        <w:ind w:firstLine="560" w:firstLineChars="200"/>
        <w:rPr>
          <w:rFonts w:hint="default"/>
          <w:color w:val="auto"/>
          <w:lang w:val="en-US" w:eastAsia="zh-CN"/>
        </w:rPr>
      </w:pPr>
      <w:r>
        <w:rPr>
          <w:rFonts w:hint="default" w:ascii="Times New Roman" w:hAnsi="Times New Roman" w:eastAsia="宋体" w:cs="Times New Roman"/>
          <w:color w:val="auto"/>
          <w:kern w:val="2"/>
          <w:sz w:val="28"/>
          <w:szCs w:val="24"/>
          <w:lang w:val="en-US" w:eastAsia="zh-CN" w:bidi="ar-SA"/>
        </w:rPr>
        <w:t>（4）</w:t>
      </w:r>
      <w:r>
        <w:rPr>
          <w:rFonts w:hint="default"/>
          <w:color w:val="auto"/>
          <w:lang w:val="en-US" w:eastAsia="zh-CN"/>
        </w:rPr>
        <w:t>土对建筑材料的腐蚀性</w:t>
      </w:r>
    </w:p>
    <w:p>
      <w:pPr>
        <w:bidi w:val="0"/>
        <w:rPr>
          <w:rFonts w:hint="eastAsia"/>
          <w:color w:val="auto"/>
          <w:lang w:val="en-US" w:eastAsia="zh-CN"/>
        </w:rPr>
      </w:pPr>
      <w:r>
        <w:rPr>
          <w:rFonts w:hint="eastAsia"/>
          <w:color w:val="auto"/>
          <w:lang w:val="en-US" w:eastAsia="zh-CN"/>
        </w:rPr>
        <w:t>场地环境类型为Ⅱ类，地层渗透性为A类。</w:t>
      </w:r>
    </w:p>
    <w:p>
      <w:pPr>
        <w:bidi w:val="0"/>
        <w:rPr>
          <w:rFonts w:hint="eastAsia"/>
          <w:color w:val="auto"/>
          <w:lang w:val="en-US" w:eastAsia="zh-CN"/>
        </w:rPr>
      </w:pPr>
      <w:r>
        <w:rPr>
          <w:rFonts w:hint="eastAsia"/>
          <w:color w:val="auto"/>
          <w:lang w:val="en-US" w:eastAsia="zh-CN"/>
        </w:rPr>
        <w:t>本次勘察采取了1个土样作腐蚀性分析，“土腐蚀性分析报告”（编号：F2021000067</w:t>
      </w:r>
      <w:r>
        <w:rPr>
          <w:rFonts w:hint="default" w:ascii="Times New Roman" w:hAnsi="Times New Roman" w:eastAsia="宋体" w:cs="Times New Roman"/>
          <w:color w:val="auto"/>
          <w:lang w:val="en-US" w:eastAsia="zh-CN"/>
        </w:rPr>
        <w:t>-</w:t>
      </w:r>
      <w:r>
        <w:rPr>
          <w:rFonts w:hint="eastAsia"/>
          <w:color w:val="auto"/>
          <w:lang w:val="en-US" w:eastAsia="zh-CN"/>
        </w:rPr>
        <w:t>3）。参照《岩土工程勘察规范（2009年版）》（GB50021-2001）有关标准判定，具体评价结果如表</w:t>
      </w:r>
      <w:r>
        <w:rPr>
          <w:rFonts w:hint="default"/>
          <w:color w:val="auto"/>
          <w:lang w:val="en-US" w:eastAsia="zh-CN"/>
        </w:rPr>
        <w:t>2-</w:t>
      </w:r>
      <w:r>
        <w:rPr>
          <w:rFonts w:hint="eastAsia"/>
          <w:color w:val="auto"/>
          <w:lang w:val="en-US" w:eastAsia="zh-CN"/>
        </w:rPr>
        <w:t>5：</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default"/>
          <w:color w:val="auto"/>
          <w:lang w:val="en-US" w:eastAsia="zh-CN"/>
        </w:rPr>
        <w:t>表</w:t>
      </w:r>
      <w:r>
        <w:rPr>
          <w:rFonts w:hint="eastAsia"/>
          <w:color w:val="auto"/>
          <w:lang w:val="en-US" w:eastAsia="zh-CN"/>
        </w:rPr>
        <w:t xml:space="preserve">2-5 </w:t>
      </w:r>
      <w:r>
        <w:rPr>
          <w:rFonts w:hint="default"/>
          <w:color w:val="auto"/>
          <w:lang w:val="en-US" w:eastAsia="zh-CN"/>
        </w:rPr>
        <w:t>土的腐蚀性评价</w:t>
      </w:r>
    </w:p>
    <w:tbl>
      <w:tblPr>
        <w:tblStyle w:val="15"/>
        <w:tblW w:w="9663"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
      <w:tblGrid>
        <w:gridCol w:w="1651"/>
        <w:gridCol w:w="973"/>
        <w:gridCol w:w="1187"/>
        <w:gridCol w:w="2025"/>
        <w:gridCol w:w="1134"/>
        <w:gridCol w:w="850"/>
        <w:gridCol w:w="1843"/>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Ex>
        <w:trPr>
          <w:cantSplit/>
          <w:trHeight w:val="397" w:hRule="exact"/>
          <w:jc w:val="center"/>
        </w:trPr>
        <w:tc>
          <w:tcPr>
            <w:tcW w:w="1651" w:type="dxa"/>
            <w:vMerge w:val="restart"/>
            <w:noWrap w:val="0"/>
            <w:tcMar>
              <w:top w:w="30" w:type="dxa"/>
              <w:left w:w="30" w:type="dxa"/>
              <w:bottom w:w="0" w:type="dxa"/>
              <w:right w:w="30" w:type="dxa"/>
            </w:tcMar>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判定标准及孔号</w:t>
            </w:r>
          </w:p>
        </w:tc>
        <w:tc>
          <w:tcPr>
            <w:tcW w:w="5319" w:type="dxa"/>
            <w:gridSpan w:val="4"/>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对混凝土结构腐蚀性评价</w:t>
            </w:r>
          </w:p>
        </w:tc>
        <w:tc>
          <w:tcPr>
            <w:tcW w:w="2693" w:type="dxa"/>
            <w:gridSpan w:val="2"/>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对钢筋混凝土中钢筋的</w:t>
            </w:r>
          </w:p>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腐蚀性评价</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cantSplit/>
          <w:trHeight w:val="397" w:hRule="exact"/>
          <w:jc w:val="center"/>
        </w:trPr>
        <w:tc>
          <w:tcPr>
            <w:tcW w:w="1651" w:type="dxa"/>
            <w:vMerge w:val="continue"/>
            <w:noWrap w:val="0"/>
            <w:tcMar>
              <w:top w:w="30" w:type="dxa"/>
              <w:left w:w="30" w:type="dxa"/>
              <w:bottom w:w="0" w:type="dxa"/>
              <w:right w:w="30" w:type="dxa"/>
            </w:tcMar>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2160" w:type="dxa"/>
            <w:gridSpan w:val="2"/>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按环境类型（Ⅱ类）</w:t>
            </w:r>
          </w:p>
        </w:tc>
        <w:tc>
          <w:tcPr>
            <w:tcW w:w="2025"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按地层渗透性（A）类</w:t>
            </w:r>
          </w:p>
        </w:tc>
        <w:tc>
          <w:tcPr>
            <w:tcW w:w="1134"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评价结果</w:t>
            </w:r>
          </w:p>
        </w:tc>
        <w:tc>
          <w:tcPr>
            <w:tcW w:w="2693"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Ex>
        <w:trPr>
          <w:cantSplit/>
          <w:trHeight w:val="397" w:hRule="exact"/>
          <w:jc w:val="center"/>
        </w:trPr>
        <w:tc>
          <w:tcPr>
            <w:tcW w:w="1651" w:type="dxa"/>
            <w:vMerge w:val="continue"/>
            <w:noWrap w:val="0"/>
            <w:tcMar>
              <w:top w:w="30" w:type="dxa"/>
              <w:left w:w="30" w:type="dxa"/>
              <w:bottom w:w="0" w:type="dxa"/>
              <w:right w:w="30" w:type="dxa"/>
            </w:tcMar>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97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SO</w:t>
            </w:r>
            <w:r>
              <w:rPr>
                <w:rFonts w:hint="eastAsia" w:ascii="Times New Roman" w:hAnsi="Times New Roman" w:eastAsia="宋体" w:cs="Times New Roman"/>
                <w:color w:val="auto"/>
                <w:kern w:val="0"/>
                <w:sz w:val="21"/>
                <w:szCs w:val="21"/>
                <w:vertAlign w:val="subscript"/>
              </w:rPr>
              <w:t>4</w:t>
            </w:r>
            <w:r>
              <w:rPr>
                <w:rFonts w:hint="eastAsia" w:ascii="Times New Roman" w:hAnsi="Times New Roman" w:eastAsia="宋体" w:cs="Times New Roman"/>
                <w:color w:val="auto"/>
                <w:kern w:val="0"/>
                <w:sz w:val="21"/>
                <w:szCs w:val="21"/>
                <w:vertAlign w:val="superscript"/>
              </w:rPr>
              <w:t>2-</w:t>
            </w:r>
          </w:p>
        </w:tc>
        <w:tc>
          <w:tcPr>
            <w:tcW w:w="1187"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Mg</w:t>
            </w:r>
            <w:r>
              <w:rPr>
                <w:rFonts w:hint="eastAsia" w:ascii="Times New Roman" w:hAnsi="Times New Roman" w:eastAsia="宋体" w:cs="Times New Roman"/>
                <w:color w:val="auto"/>
                <w:kern w:val="0"/>
                <w:sz w:val="21"/>
                <w:szCs w:val="21"/>
                <w:vertAlign w:val="superscript"/>
              </w:rPr>
              <w:t>2+</w:t>
            </w:r>
          </w:p>
        </w:tc>
        <w:tc>
          <w:tcPr>
            <w:tcW w:w="2025"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PH值</w:t>
            </w:r>
          </w:p>
        </w:tc>
        <w:tc>
          <w:tcPr>
            <w:tcW w:w="1134"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85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Cl</w:t>
            </w:r>
            <w:r>
              <w:rPr>
                <w:rFonts w:hint="eastAsia" w:ascii="Times New Roman" w:hAnsi="Times New Roman" w:eastAsia="宋体" w:cs="Times New Roman"/>
                <w:color w:val="auto"/>
                <w:kern w:val="0"/>
                <w:sz w:val="21"/>
                <w:szCs w:val="21"/>
                <w:vertAlign w:val="superscript"/>
              </w:rPr>
              <w:t>-</w:t>
            </w:r>
          </w:p>
        </w:tc>
        <w:tc>
          <w:tcPr>
            <w:tcW w:w="1843"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评价结果</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cantSplit/>
          <w:trHeight w:val="397" w:hRule="exact"/>
          <w:jc w:val="center"/>
        </w:trPr>
        <w:tc>
          <w:tcPr>
            <w:tcW w:w="1651" w:type="dxa"/>
            <w:vMerge w:val="continue"/>
            <w:noWrap w:val="0"/>
            <w:tcMar>
              <w:top w:w="30" w:type="dxa"/>
              <w:left w:w="30" w:type="dxa"/>
              <w:bottom w:w="0" w:type="dxa"/>
              <w:right w:w="30" w:type="dxa"/>
            </w:tcMar>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97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mg/kg</w:t>
            </w:r>
          </w:p>
        </w:tc>
        <w:tc>
          <w:tcPr>
            <w:tcW w:w="1187"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mg/kg</w:t>
            </w:r>
          </w:p>
        </w:tc>
        <w:tc>
          <w:tcPr>
            <w:tcW w:w="2025"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c>
          <w:tcPr>
            <w:tcW w:w="1134"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85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mg/kg</w:t>
            </w:r>
          </w:p>
        </w:tc>
        <w:tc>
          <w:tcPr>
            <w:tcW w:w="184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Ex>
        <w:trPr>
          <w:cantSplit/>
          <w:trHeight w:val="397" w:hRule="exact"/>
          <w:jc w:val="center"/>
        </w:trPr>
        <w:tc>
          <w:tcPr>
            <w:tcW w:w="1651" w:type="dxa"/>
            <w:noWrap w:val="0"/>
            <w:tcMar>
              <w:top w:w="30" w:type="dxa"/>
              <w:left w:w="30" w:type="dxa"/>
              <w:bottom w:w="0" w:type="dxa"/>
              <w:right w:w="30" w:type="dxa"/>
            </w:tcMar>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微腐蚀性规定</w:t>
            </w:r>
          </w:p>
        </w:tc>
        <w:tc>
          <w:tcPr>
            <w:tcW w:w="973" w:type="dxa"/>
            <w:noWrap w:val="0"/>
            <w:tcMar>
              <w:top w:w="30" w:type="dxa"/>
              <w:left w:w="30" w:type="dxa"/>
              <w:bottom w:w="0" w:type="dxa"/>
              <w:right w:w="30" w:type="dxa"/>
            </w:tcMar>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＜300</w:t>
            </w:r>
          </w:p>
        </w:tc>
        <w:tc>
          <w:tcPr>
            <w:tcW w:w="1187" w:type="dxa"/>
            <w:noWrap w:val="0"/>
            <w:tcMar>
              <w:top w:w="30" w:type="dxa"/>
              <w:left w:w="30" w:type="dxa"/>
              <w:bottom w:w="0" w:type="dxa"/>
              <w:right w:w="30" w:type="dxa"/>
            </w:tcMar>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＜2000</w:t>
            </w:r>
          </w:p>
        </w:tc>
        <w:tc>
          <w:tcPr>
            <w:tcW w:w="2025" w:type="dxa"/>
            <w:noWrap w:val="0"/>
            <w:tcMar>
              <w:top w:w="30" w:type="dxa"/>
              <w:left w:w="30" w:type="dxa"/>
              <w:bottom w:w="0" w:type="dxa"/>
              <w:right w:w="30" w:type="dxa"/>
            </w:tcMar>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＞6.5</w:t>
            </w:r>
          </w:p>
        </w:tc>
        <w:tc>
          <w:tcPr>
            <w:tcW w:w="1134"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c>
          <w:tcPr>
            <w:tcW w:w="850" w:type="dxa"/>
            <w:noWrap w:val="0"/>
            <w:tcMar>
              <w:top w:w="30" w:type="dxa"/>
              <w:left w:w="30" w:type="dxa"/>
              <w:bottom w:w="0" w:type="dxa"/>
              <w:right w:w="30" w:type="dxa"/>
            </w:tcMar>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＜400</w:t>
            </w:r>
          </w:p>
        </w:tc>
        <w:tc>
          <w:tcPr>
            <w:tcW w:w="184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cantSplit/>
          <w:trHeight w:val="397" w:hRule="exact"/>
          <w:jc w:val="center"/>
        </w:trPr>
        <w:tc>
          <w:tcPr>
            <w:tcW w:w="1651" w:type="dxa"/>
            <w:noWrap w:val="0"/>
            <w:tcMar>
              <w:top w:w="30" w:type="dxa"/>
              <w:left w:w="30" w:type="dxa"/>
              <w:bottom w:w="0" w:type="dxa"/>
              <w:right w:w="30" w:type="dxa"/>
            </w:tcMar>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弱腐蚀性规定</w:t>
            </w:r>
          </w:p>
        </w:tc>
        <w:tc>
          <w:tcPr>
            <w:tcW w:w="973" w:type="dxa"/>
            <w:noWrap w:val="0"/>
            <w:tcMar>
              <w:top w:w="30" w:type="dxa"/>
              <w:left w:w="30" w:type="dxa"/>
              <w:bottom w:w="0" w:type="dxa"/>
              <w:right w:w="30" w:type="dxa"/>
            </w:tcMar>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300~1500</w:t>
            </w:r>
          </w:p>
        </w:tc>
        <w:tc>
          <w:tcPr>
            <w:tcW w:w="1187" w:type="dxa"/>
            <w:noWrap w:val="0"/>
            <w:tcMar>
              <w:top w:w="30" w:type="dxa"/>
              <w:left w:w="30" w:type="dxa"/>
              <w:bottom w:w="0" w:type="dxa"/>
              <w:right w:w="30" w:type="dxa"/>
            </w:tcMar>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2000~3000</w:t>
            </w:r>
          </w:p>
        </w:tc>
        <w:tc>
          <w:tcPr>
            <w:tcW w:w="2025" w:type="dxa"/>
            <w:noWrap w:val="0"/>
            <w:tcMar>
              <w:top w:w="30" w:type="dxa"/>
              <w:left w:w="30" w:type="dxa"/>
              <w:bottom w:w="0" w:type="dxa"/>
              <w:right w:w="30" w:type="dxa"/>
            </w:tcMar>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6.5-5.0</w:t>
            </w:r>
          </w:p>
        </w:tc>
        <w:tc>
          <w:tcPr>
            <w:tcW w:w="1134"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c>
          <w:tcPr>
            <w:tcW w:w="850" w:type="dxa"/>
            <w:noWrap w:val="0"/>
            <w:tcMar>
              <w:top w:w="30" w:type="dxa"/>
              <w:left w:w="30" w:type="dxa"/>
              <w:bottom w:w="0" w:type="dxa"/>
              <w:right w:w="30" w:type="dxa"/>
            </w:tcMar>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400~700</w:t>
            </w:r>
          </w:p>
        </w:tc>
        <w:tc>
          <w:tcPr>
            <w:tcW w:w="184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cantSplit/>
          <w:trHeight w:val="397" w:hRule="exact"/>
          <w:jc w:val="center"/>
        </w:trPr>
        <w:tc>
          <w:tcPr>
            <w:tcW w:w="1651" w:type="dxa"/>
            <w:noWrap w:val="0"/>
            <w:tcMar>
              <w:top w:w="30" w:type="dxa"/>
              <w:left w:w="30" w:type="dxa"/>
              <w:bottom w:w="0" w:type="dxa"/>
              <w:right w:w="30" w:type="dxa"/>
            </w:tcMar>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ZK1-2</w:t>
            </w:r>
          </w:p>
        </w:tc>
        <w:tc>
          <w:tcPr>
            <w:tcW w:w="973" w:type="dxa"/>
            <w:noWrap w:val="0"/>
            <w:tcMar>
              <w:top w:w="30" w:type="dxa"/>
              <w:left w:w="30" w:type="dxa"/>
              <w:bottom w:w="0" w:type="dxa"/>
              <w:right w:w="30" w:type="dxa"/>
            </w:tcMar>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15.02</w:t>
            </w:r>
          </w:p>
        </w:tc>
        <w:tc>
          <w:tcPr>
            <w:tcW w:w="1187" w:type="dxa"/>
            <w:noWrap w:val="0"/>
            <w:tcMar>
              <w:top w:w="30" w:type="dxa"/>
              <w:left w:w="30" w:type="dxa"/>
              <w:bottom w:w="0" w:type="dxa"/>
              <w:right w:w="30" w:type="dxa"/>
            </w:tcMar>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116.32</w:t>
            </w:r>
          </w:p>
        </w:tc>
        <w:tc>
          <w:tcPr>
            <w:tcW w:w="2025" w:type="dxa"/>
            <w:noWrap w:val="0"/>
            <w:tcMar>
              <w:top w:w="30" w:type="dxa"/>
              <w:left w:w="30" w:type="dxa"/>
              <w:bottom w:w="0" w:type="dxa"/>
              <w:right w:w="30" w:type="dxa"/>
            </w:tcMar>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6.72</w:t>
            </w:r>
          </w:p>
        </w:tc>
        <w:tc>
          <w:tcPr>
            <w:tcW w:w="1134"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微</w:t>
            </w:r>
          </w:p>
        </w:tc>
        <w:tc>
          <w:tcPr>
            <w:tcW w:w="850" w:type="dxa"/>
            <w:noWrap w:val="0"/>
            <w:tcMar>
              <w:top w:w="30" w:type="dxa"/>
              <w:left w:w="30" w:type="dxa"/>
              <w:bottom w:w="0" w:type="dxa"/>
              <w:right w:w="30" w:type="dxa"/>
            </w:tcMar>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65.23</w:t>
            </w:r>
          </w:p>
        </w:tc>
        <w:tc>
          <w:tcPr>
            <w:tcW w:w="184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微</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cantSplit/>
          <w:trHeight w:val="397" w:hRule="exact"/>
          <w:jc w:val="center"/>
        </w:trPr>
        <w:tc>
          <w:tcPr>
            <w:tcW w:w="1651" w:type="dxa"/>
            <w:noWrap w:val="0"/>
            <w:tcMar>
              <w:top w:w="30" w:type="dxa"/>
              <w:left w:w="30" w:type="dxa"/>
              <w:bottom w:w="0" w:type="dxa"/>
              <w:right w:w="30" w:type="dxa"/>
            </w:tcMar>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ZK32-2</w:t>
            </w:r>
          </w:p>
        </w:tc>
        <w:tc>
          <w:tcPr>
            <w:tcW w:w="973" w:type="dxa"/>
            <w:noWrap w:val="0"/>
            <w:tcMar>
              <w:top w:w="30" w:type="dxa"/>
              <w:left w:w="30" w:type="dxa"/>
              <w:bottom w:w="0" w:type="dxa"/>
              <w:right w:w="30" w:type="dxa"/>
            </w:tcMar>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5.46</w:t>
            </w:r>
          </w:p>
        </w:tc>
        <w:tc>
          <w:tcPr>
            <w:tcW w:w="1187" w:type="dxa"/>
            <w:noWrap w:val="0"/>
            <w:tcMar>
              <w:top w:w="30" w:type="dxa"/>
              <w:left w:w="30" w:type="dxa"/>
              <w:bottom w:w="0" w:type="dxa"/>
              <w:right w:w="30" w:type="dxa"/>
            </w:tcMar>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108.49</w:t>
            </w:r>
          </w:p>
        </w:tc>
        <w:tc>
          <w:tcPr>
            <w:tcW w:w="2025" w:type="dxa"/>
            <w:noWrap w:val="0"/>
            <w:tcMar>
              <w:top w:w="30" w:type="dxa"/>
              <w:left w:w="30" w:type="dxa"/>
              <w:bottom w:w="0" w:type="dxa"/>
              <w:right w:w="30" w:type="dxa"/>
            </w:tcMar>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6.65</w:t>
            </w:r>
          </w:p>
        </w:tc>
        <w:tc>
          <w:tcPr>
            <w:tcW w:w="1134"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微</w:t>
            </w:r>
          </w:p>
        </w:tc>
        <w:tc>
          <w:tcPr>
            <w:tcW w:w="850" w:type="dxa"/>
            <w:noWrap w:val="0"/>
            <w:tcMar>
              <w:top w:w="30" w:type="dxa"/>
              <w:left w:w="30" w:type="dxa"/>
              <w:bottom w:w="0" w:type="dxa"/>
              <w:right w:w="30" w:type="dxa"/>
            </w:tcMar>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79.02</w:t>
            </w:r>
          </w:p>
        </w:tc>
        <w:tc>
          <w:tcPr>
            <w:tcW w:w="184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微</w:t>
            </w:r>
          </w:p>
        </w:tc>
      </w:tr>
    </w:tbl>
    <w:p>
      <w:pPr>
        <w:bidi w:val="0"/>
        <w:rPr>
          <w:rFonts w:hint="default"/>
          <w:color w:val="auto"/>
          <w:lang w:val="en-US" w:eastAsia="zh-CN"/>
        </w:rPr>
      </w:pPr>
      <w:r>
        <w:rPr>
          <w:rFonts w:hint="default"/>
          <w:color w:val="auto"/>
          <w:lang w:val="en-US" w:eastAsia="zh-CN"/>
        </w:rPr>
        <w:t>根据上表判定结果，场地环境类型属</w:t>
      </w:r>
      <w:r>
        <w:rPr>
          <w:rFonts w:hint="eastAsia" w:ascii="宋体" w:hAnsi="宋体" w:eastAsia="宋体" w:cs="宋体"/>
          <w:color w:val="auto"/>
          <w:lang w:val="en-US" w:eastAsia="zh-CN"/>
        </w:rPr>
        <w:t>Ⅱ</w:t>
      </w:r>
      <w:r>
        <w:rPr>
          <w:rFonts w:hint="default"/>
          <w:color w:val="auto"/>
          <w:lang w:val="en-US" w:eastAsia="zh-CN"/>
        </w:rPr>
        <w:t>类，按强透水土层A考虑，场地土对钢筋混凝土结构中的钢筋腐蚀性等级为微腐蚀性，对钢结构具微腐蚀性</w:t>
      </w:r>
      <w:r>
        <w:rPr>
          <w:rFonts w:hint="eastAsia"/>
          <w:color w:val="auto"/>
          <w:lang w:val="en-US" w:eastAsia="zh-CN"/>
        </w:rPr>
        <w:t>，</w:t>
      </w:r>
      <w:r>
        <w:rPr>
          <w:rFonts w:hint="default"/>
          <w:color w:val="auto"/>
          <w:lang w:val="en-US" w:eastAsia="zh-CN"/>
        </w:rPr>
        <w:t>应按《工业建筑防腐蚀设计</w:t>
      </w:r>
      <w:r>
        <w:rPr>
          <w:rFonts w:hint="eastAsia"/>
          <w:color w:val="auto"/>
          <w:lang w:val="en-US" w:eastAsia="zh-CN"/>
        </w:rPr>
        <w:t>标准</w:t>
      </w:r>
      <w:r>
        <w:rPr>
          <w:rFonts w:hint="default"/>
          <w:color w:val="auto"/>
          <w:lang w:val="en-US" w:eastAsia="zh-CN"/>
        </w:rPr>
        <w:t>》（GB/T 50046</w:t>
      </w:r>
      <w:r>
        <w:rPr>
          <w:rFonts w:hint="eastAsia"/>
          <w:color w:val="auto"/>
          <w:lang w:val="en-US" w:eastAsia="zh-CN"/>
        </w:rPr>
        <w:t>-</w:t>
      </w:r>
      <w:r>
        <w:rPr>
          <w:rFonts w:hint="default"/>
          <w:color w:val="auto"/>
          <w:lang w:val="en-US" w:eastAsia="zh-CN"/>
        </w:rPr>
        <w:t>2018）中的规定采取相应的防护措施。</w:t>
      </w:r>
    </w:p>
    <w:p>
      <w:pPr>
        <w:numPr>
          <w:ilvl w:val="0"/>
          <w:numId w:val="2"/>
        </w:numPr>
        <w:bidi w:val="0"/>
        <w:ind w:left="0" w:leftChars="0" w:firstLine="562" w:firstLineChars="200"/>
        <w:rPr>
          <w:rFonts w:hint="default"/>
          <w:b/>
          <w:bCs/>
          <w:color w:val="auto"/>
          <w:lang w:val="en-US" w:eastAsia="zh-CN"/>
        </w:rPr>
      </w:pPr>
      <w:r>
        <w:rPr>
          <w:rFonts w:hint="default"/>
          <w:b/>
          <w:bCs/>
          <w:color w:val="auto"/>
          <w:lang w:val="en-US" w:eastAsia="zh-CN"/>
        </w:rPr>
        <w:t>地震效应</w:t>
      </w:r>
    </w:p>
    <w:p>
      <w:pPr>
        <w:numPr>
          <w:ilvl w:val="0"/>
          <w:numId w:val="0"/>
        </w:numPr>
        <w:bidi w:val="0"/>
        <w:ind w:leftChars="200"/>
        <w:rPr>
          <w:rFonts w:hint="default"/>
          <w:color w:val="auto"/>
          <w:lang w:val="en-US" w:eastAsia="zh-CN"/>
        </w:rPr>
      </w:pPr>
      <w:r>
        <w:rPr>
          <w:rFonts w:hint="eastAsia"/>
          <w:color w:val="auto"/>
          <w:lang w:val="en-US" w:eastAsia="zh-CN"/>
        </w:rPr>
        <w:t>（1）</w:t>
      </w:r>
      <w:r>
        <w:rPr>
          <w:rFonts w:hint="default"/>
          <w:color w:val="auto"/>
          <w:lang w:val="en-US" w:eastAsia="zh-CN"/>
        </w:rPr>
        <w:t>抗震设防烈度</w:t>
      </w:r>
    </w:p>
    <w:p>
      <w:pPr>
        <w:bidi w:val="0"/>
        <w:rPr>
          <w:rFonts w:hint="default"/>
          <w:color w:val="auto"/>
          <w:lang w:val="en-US" w:eastAsia="zh-CN"/>
        </w:rPr>
      </w:pPr>
      <w:r>
        <w:rPr>
          <w:rFonts w:hint="default"/>
          <w:color w:val="auto"/>
          <w:lang w:val="en-US" w:eastAsia="zh-CN"/>
        </w:rPr>
        <w:t>根据《建筑抗震设计规范（附条文说明）（2016年版） 》（GB50011-2010）和《中国地震动参数区划图》（GB18306-2015），江西省赣州市于都县抗震设防基本烈度为</w:t>
      </w:r>
      <w:r>
        <w:rPr>
          <w:rFonts w:hint="eastAsia" w:ascii="宋体" w:hAnsi="宋体" w:eastAsia="宋体" w:cs="宋体"/>
          <w:color w:val="auto"/>
          <w:lang w:val="en-US" w:eastAsia="zh-CN"/>
        </w:rPr>
        <w:t>Ⅵ</w:t>
      </w:r>
      <w:r>
        <w:rPr>
          <w:rFonts w:hint="default"/>
          <w:color w:val="auto"/>
          <w:lang w:val="en-US" w:eastAsia="zh-CN"/>
        </w:rPr>
        <w:t>度，设计基本地震加速度值为0.05g，地震动反应谱周期为0.35s，设计地震分组为第一组。场地内无砂土可不进行液化判别，场地内无软土可不考虑软土震陷影响。</w:t>
      </w:r>
    </w:p>
    <w:p>
      <w:pPr>
        <w:numPr>
          <w:ilvl w:val="0"/>
          <w:numId w:val="0"/>
        </w:numPr>
        <w:bidi w:val="0"/>
        <w:ind w:firstLine="560" w:firstLineChars="200"/>
        <w:rPr>
          <w:rFonts w:hint="default"/>
          <w:color w:val="auto"/>
          <w:lang w:val="en-US" w:eastAsia="zh-CN"/>
        </w:rPr>
      </w:pPr>
      <w:r>
        <w:rPr>
          <w:rFonts w:hint="default" w:ascii="Times New Roman" w:hAnsi="Times New Roman" w:eastAsia="宋体" w:cs="Times New Roman"/>
          <w:color w:val="auto"/>
          <w:kern w:val="2"/>
          <w:sz w:val="28"/>
          <w:szCs w:val="24"/>
          <w:lang w:val="en-US" w:eastAsia="zh-CN" w:bidi="ar-SA"/>
        </w:rPr>
        <w:t>（2）</w:t>
      </w:r>
      <w:r>
        <w:rPr>
          <w:rFonts w:hint="default"/>
          <w:color w:val="auto"/>
          <w:lang w:val="en-US" w:eastAsia="zh-CN"/>
        </w:rPr>
        <w:t>建筑物抗震设防类别</w:t>
      </w:r>
    </w:p>
    <w:p>
      <w:pPr>
        <w:bidi w:val="0"/>
        <w:rPr>
          <w:rFonts w:hint="default"/>
          <w:color w:val="auto"/>
          <w:lang w:val="en-US" w:eastAsia="zh-CN"/>
        </w:rPr>
      </w:pPr>
      <w:r>
        <w:rPr>
          <w:rFonts w:hint="default"/>
          <w:color w:val="auto"/>
          <w:lang w:val="en-US" w:eastAsia="zh-CN"/>
        </w:rPr>
        <w:t>依据</w:t>
      </w:r>
      <w:r>
        <w:rPr>
          <w:rFonts w:hint="eastAsia"/>
          <w:color w:val="auto"/>
          <w:lang w:val="en-US" w:eastAsia="zh-CN"/>
        </w:rPr>
        <w:t>“</w:t>
      </w:r>
      <w:r>
        <w:rPr>
          <w:rFonts w:hint="default"/>
          <w:color w:val="auto"/>
          <w:lang w:val="en-US" w:eastAsia="zh-CN"/>
        </w:rPr>
        <w:t>《建筑工程抗震设防分类标准》</w:t>
      </w:r>
      <w:r>
        <w:rPr>
          <w:rFonts w:hint="eastAsia"/>
          <w:color w:val="auto"/>
          <w:lang w:val="en-US" w:eastAsia="zh-CN"/>
        </w:rPr>
        <w:t>（</w:t>
      </w:r>
      <w:r>
        <w:rPr>
          <w:rFonts w:hint="default"/>
          <w:color w:val="auto"/>
          <w:lang w:val="en-US" w:eastAsia="zh-CN"/>
        </w:rPr>
        <w:t>GB 50223-2008</w:t>
      </w:r>
      <w:r>
        <w:rPr>
          <w:rFonts w:hint="eastAsia"/>
          <w:color w:val="auto"/>
          <w:lang w:val="en-US" w:eastAsia="zh-CN"/>
        </w:rPr>
        <w:t>）”</w:t>
      </w:r>
      <w:r>
        <w:rPr>
          <w:rFonts w:hint="default"/>
          <w:color w:val="auto"/>
          <w:lang w:val="en-US" w:eastAsia="zh-CN"/>
        </w:rPr>
        <w:t>本工程抗震设防类别为标准设防类（丙类）。依据赣建抗</w:t>
      </w:r>
      <w:r>
        <w:rPr>
          <w:rFonts w:hint="eastAsia" w:ascii="宋体" w:hAnsi="宋体" w:eastAsia="宋体" w:cs="宋体"/>
          <w:color w:val="auto"/>
          <w:lang w:val="en-US" w:eastAsia="zh-CN"/>
        </w:rPr>
        <w:t>[</w:t>
      </w:r>
      <w:r>
        <w:rPr>
          <w:rFonts w:hint="default"/>
          <w:color w:val="auto"/>
          <w:lang w:val="en-US" w:eastAsia="zh-CN"/>
        </w:rPr>
        <w:t>2009</w:t>
      </w:r>
      <w:r>
        <w:rPr>
          <w:rFonts w:hint="eastAsia" w:ascii="宋体" w:hAnsi="宋体" w:eastAsia="宋体" w:cs="宋体"/>
          <w:color w:val="auto"/>
          <w:lang w:val="en-US" w:eastAsia="zh-CN"/>
        </w:rPr>
        <w:t>]</w:t>
      </w:r>
      <w:r>
        <w:rPr>
          <w:rFonts w:hint="default"/>
          <w:color w:val="auto"/>
          <w:lang w:val="en-US" w:eastAsia="zh-CN"/>
        </w:rPr>
        <w:t>1号文件要求，相应的抗震设防标准建议按6度进行抗震设防。</w:t>
      </w:r>
    </w:p>
    <w:p>
      <w:pPr>
        <w:bidi w:val="0"/>
        <w:rPr>
          <w:rFonts w:ascii="宋体" w:hAnsi="宋体"/>
          <w:color w:val="auto"/>
          <w:szCs w:val="24"/>
        </w:rPr>
      </w:pPr>
      <w:r>
        <w:rPr>
          <w:rFonts w:hint="default" w:ascii="Times New Roman" w:hAnsi="Times New Roman" w:eastAsia="宋体" w:cs="Times New Roman"/>
          <w:color w:val="auto"/>
          <w:kern w:val="2"/>
          <w:sz w:val="28"/>
          <w:szCs w:val="24"/>
          <w:lang w:val="en-US" w:eastAsia="zh-CN" w:bidi="ar-SA"/>
        </w:rPr>
        <w:t>（</w:t>
      </w:r>
      <w:r>
        <w:rPr>
          <w:rFonts w:hint="eastAsia" w:cs="Times New Roman"/>
          <w:color w:val="auto"/>
          <w:kern w:val="2"/>
          <w:sz w:val="28"/>
          <w:szCs w:val="24"/>
          <w:lang w:val="en-US" w:eastAsia="zh-CN" w:bidi="ar-SA"/>
        </w:rPr>
        <w:t>3</w:t>
      </w:r>
      <w:r>
        <w:rPr>
          <w:rFonts w:hint="default" w:ascii="Times New Roman" w:hAnsi="Times New Roman" w:eastAsia="宋体" w:cs="Times New Roman"/>
          <w:color w:val="auto"/>
          <w:kern w:val="2"/>
          <w:sz w:val="28"/>
          <w:szCs w:val="24"/>
          <w:lang w:val="en-US" w:eastAsia="zh-CN" w:bidi="ar-SA"/>
        </w:rPr>
        <w:t>）</w:t>
      </w:r>
      <w:r>
        <w:rPr>
          <w:rFonts w:hint="eastAsia" w:ascii="宋体" w:hAnsi="宋体"/>
          <w:color w:val="auto"/>
          <w:szCs w:val="24"/>
        </w:rPr>
        <w:t>场地类别</w:t>
      </w:r>
      <w:r>
        <w:rPr>
          <w:rFonts w:ascii="宋体" w:hAnsi="宋体"/>
          <w:color w:val="auto"/>
          <w:szCs w:val="24"/>
        </w:rPr>
        <w:t>的划分</w:t>
      </w:r>
    </w:p>
    <w:p>
      <w:pPr>
        <w:bidi w:val="0"/>
        <w:rPr>
          <w:rFonts w:hint="default"/>
          <w:color w:val="auto"/>
          <w:lang w:val="en-US" w:eastAsia="zh-CN"/>
        </w:rPr>
      </w:pPr>
      <w:r>
        <w:rPr>
          <w:rFonts w:hint="default"/>
          <w:color w:val="auto"/>
          <w:lang w:val="en-US" w:eastAsia="zh-CN"/>
        </w:rPr>
        <w:t>场地覆盖层厚度分布厚度一般0.5～7.00m，经公式估算出土层的等效剪切波速Vse=270m/s（ZK18），得出场地土类型为中硬土，综合判定场地类别为</w:t>
      </w:r>
      <w:r>
        <w:rPr>
          <w:rFonts w:hint="eastAsia" w:ascii="宋体" w:hAnsi="宋体" w:eastAsia="宋体" w:cs="宋体"/>
          <w:color w:val="auto"/>
          <w:lang w:val="en-US" w:eastAsia="zh-CN"/>
        </w:rPr>
        <w:t>Ⅱ</w:t>
      </w:r>
      <w:r>
        <w:rPr>
          <w:rFonts w:hint="default"/>
          <w:color w:val="auto"/>
          <w:lang w:val="en-US" w:eastAsia="zh-CN"/>
        </w:rPr>
        <w:t>类场地。</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default"/>
          <w:color w:val="auto"/>
          <w:lang w:val="en-US" w:eastAsia="zh-CN"/>
        </w:rPr>
        <w:t>表</w:t>
      </w:r>
      <w:r>
        <w:rPr>
          <w:rFonts w:hint="eastAsia"/>
          <w:color w:val="auto"/>
          <w:lang w:val="en-US" w:eastAsia="zh-CN"/>
        </w:rPr>
        <w:t xml:space="preserve">2-6 </w:t>
      </w:r>
      <w:r>
        <w:rPr>
          <w:rFonts w:hint="default"/>
          <w:color w:val="auto"/>
          <w:lang w:val="en-US" w:eastAsia="zh-CN"/>
        </w:rPr>
        <w:t>各岩土层的剪切波速和类型</w:t>
      </w:r>
    </w:p>
    <w:tbl>
      <w:tblPr>
        <w:tblStyle w:val="15"/>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68"/>
        <w:gridCol w:w="2153"/>
        <w:gridCol w:w="1545"/>
        <w:gridCol w:w="2314"/>
        <w:gridCol w:w="1607"/>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422" w:hRule="exact"/>
          <w:jc w:val="center"/>
        </w:trPr>
        <w:tc>
          <w:tcPr>
            <w:tcW w:w="1668"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层号</w:t>
            </w:r>
          </w:p>
        </w:tc>
        <w:tc>
          <w:tcPr>
            <w:tcW w:w="215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岩土名称</w:t>
            </w:r>
          </w:p>
        </w:tc>
        <w:tc>
          <w:tcPr>
            <w:tcW w:w="1545"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状态</w:t>
            </w:r>
          </w:p>
        </w:tc>
        <w:tc>
          <w:tcPr>
            <w:tcW w:w="2314"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剪切波速v（m/s）</w:t>
            </w:r>
          </w:p>
        </w:tc>
        <w:tc>
          <w:tcPr>
            <w:tcW w:w="1607"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土的类型</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427" w:hRule="exact"/>
          <w:jc w:val="center"/>
        </w:trPr>
        <w:tc>
          <w:tcPr>
            <w:tcW w:w="1668"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1-1</w:t>
            </w:r>
          </w:p>
        </w:tc>
        <w:tc>
          <w:tcPr>
            <w:tcW w:w="215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素填土</w:t>
            </w:r>
          </w:p>
        </w:tc>
        <w:tc>
          <w:tcPr>
            <w:tcW w:w="1545"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松散</w:t>
            </w:r>
          </w:p>
        </w:tc>
        <w:tc>
          <w:tcPr>
            <w:tcW w:w="2314"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100</w:t>
            </w:r>
          </w:p>
        </w:tc>
        <w:tc>
          <w:tcPr>
            <w:tcW w:w="1607"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软弱土</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427" w:hRule="exact"/>
          <w:jc w:val="center"/>
        </w:trPr>
        <w:tc>
          <w:tcPr>
            <w:tcW w:w="1668"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1-2</w:t>
            </w:r>
          </w:p>
        </w:tc>
        <w:tc>
          <w:tcPr>
            <w:tcW w:w="215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粉质粘土</w:t>
            </w:r>
          </w:p>
        </w:tc>
        <w:tc>
          <w:tcPr>
            <w:tcW w:w="1545"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可塑</w:t>
            </w:r>
          </w:p>
        </w:tc>
        <w:tc>
          <w:tcPr>
            <w:tcW w:w="2314"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130</w:t>
            </w:r>
          </w:p>
        </w:tc>
        <w:tc>
          <w:tcPr>
            <w:tcW w:w="1607"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软弱土</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427" w:hRule="exact"/>
          <w:jc w:val="center"/>
        </w:trPr>
        <w:tc>
          <w:tcPr>
            <w:tcW w:w="1668"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2-1</w:t>
            </w:r>
          </w:p>
        </w:tc>
        <w:tc>
          <w:tcPr>
            <w:tcW w:w="215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强风化变质石英砂岩</w:t>
            </w:r>
          </w:p>
        </w:tc>
        <w:tc>
          <w:tcPr>
            <w:tcW w:w="1545"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较破碎</w:t>
            </w:r>
          </w:p>
        </w:tc>
        <w:tc>
          <w:tcPr>
            <w:tcW w:w="2314"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600</w:t>
            </w:r>
          </w:p>
        </w:tc>
        <w:tc>
          <w:tcPr>
            <w:tcW w:w="1607"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较硬岩</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483" w:hRule="exact"/>
          <w:jc w:val="center"/>
        </w:trPr>
        <w:tc>
          <w:tcPr>
            <w:tcW w:w="1668"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2-2</w:t>
            </w:r>
          </w:p>
        </w:tc>
        <w:tc>
          <w:tcPr>
            <w:tcW w:w="215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中</w:t>
            </w:r>
            <w:r>
              <w:rPr>
                <w:rFonts w:hint="eastAsia" w:ascii="Times New Roman" w:hAnsi="Times New Roman" w:eastAsia="宋体" w:cs="Times New Roman"/>
                <w:color w:val="auto"/>
                <w:kern w:val="0"/>
                <w:sz w:val="21"/>
                <w:szCs w:val="21"/>
              </w:rPr>
              <w:t>风化变质石英砂岩</w:t>
            </w:r>
          </w:p>
        </w:tc>
        <w:tc>
          <w:tcPr>
            <w:tcW w:w="1545"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较完整</w:t>
            </w:r>
          </w:p>
        </w:tc>
        <w:tc>
          <w:tcPr>
            <w:tcW w:w="2314"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1000</w:t>
            </w:r>
          </w:p>
        </w:tc>
        <w:tc>
          <w:tcPr>
            <w:tcW w:w="1607"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bookmarkStart w:id="78" w:name="OLE_LINK1"/>
            <w:bookmarkStart w:id="79" w:name="OLE_LINK5"/>
            <w:r>
              <w:rPr>
                <w:rFonts w:hint="eastAsia" w:ascii="Times New Roman" w:hAnsi="Times New Roman" w:eastAsia="宋体" w:cs="Times New Roman"/>
                <w:color w:val="auto"/>
                <w:kern w:val="0"/>
                <w:sz w:val="21"/>
                <w:szCs w:val="21"/>
              </w:rPr>
              <w:t>较硬岩</w:t>
            </w:r>
            <w:bookmarkEnd w:id="78"/>
            <w:bookmarkEnd w:id="79"/>
          </w:p>
        </w:tc>
      </w:tr>
    </w:tbl>
    <w:p>
      <w:pPr>
        <w:bidi w:val="0"/>
        <w:rPr>
          <w:rFonts w:hint="default"/>
          <w:color w:val="auto"/>
          <w:lang w:val="en-US" w:eastAsia="zh-CN"/>
        </w:rPr>
      </w:pPr>
      <w:r>
        <w:rPr>
          <w:rFonts w:hint="eastAsia"/>
          <w:color w:val="auto"/>
          <w:lang w:val="en-US" w:eastAsia="zh-CN"/>
        </w:rPr>
        <w:t>（4）抗震有利、不利、危险地段的划分</w:t>
      </w:r>
    </w:p>
    <w:p>
      <w:pPr>
        <w:bidi w:val="0"/>
        <w:rPr>
          <w:rFonts w:hint="default"/>
          <w:color w:val="auto"/>
          <w:lang w:val="en-US" w:eastAsia="zh-CN"/>
        </w:rPr>
      </w:pPr>
      <w:r>
        <w:rPr>
          <w:rFonts w:hint="default"/>
          <w:color w:val="auto"/>
          <w:lang w:val="en-US" w:eastAsia="zh-CN"/>
        </w:rPr>
        <w:t>依据</w:t>
      </w:r>
      <w:r>
        <w:rPr>
          <w:rFonts w:hint="eastAsia"/>
          <w:color w:val="auto"/>
          <w:lang w:val="en-US" w:eastAsia="zh-CN"/>
        </w:rPr>
        <w:t>“</w:t>
      </w:r>
      <w:r>
        <w:rPr>
          <w:rFonts w:hint="default"/>
          <w:color w:val="auto"/>
          <w:lang w:val="en-US" w:eastAsia="zh-CN"/>
        </w:rPr>
        <w:t>《建筑抗震设计规范（附条文说明）（2016年版）》</w:t>
      </w:r>
      <w:r>
        <w:rPr>
          <w:rFonts w:hint="eastAsia"/>
          <w:color w:val="auto"/>
          <w:lang w:val="en-US" w:eastAsia="zh-CN"/>
        </w:rPr>
        <w:t>（</w:t>
      </w:r>
      <w:r>
        <w:rPr>
          <w:rFonts w:hint="default"/>
          <w:color w:val="auto"/>
          <w:lang w:val="en-US" w:eastAsia="zh-CN"/>
        </w:rPr>
        <w:t>GB50011-2010</w:t>
      </w:r>
      <w:r>
        <w:rPr>
          <w:rFonts w:hint="eastAsia"/>
          <w:color w:val="auto"/>
          <w:lang w:val="en-US" w:eastAsia="zh-CN"/>
        </w:rPr>
        <w:t>）</w:t>
      </w:r>
      <w:r>
        <w:rPr>
          <w:rFonts w:hint="default"/>
          <w:color w:val="auto"/>
          <w:lang w:val="en-US" w:eastAsia="zh-CN"/>
        </w:rPr>
        <w:t>4.1.1条表4.1.1</w:t>
      </w:r>
      <w:r>
        <w:rPr>
          <w:rFonts w:hint="eastAsia"/>
          <w:color w:val="auto"/>
          <w:lang w:val="en-US" w:eastAsia="zh-CN"/>
        </w:rPr>
        <w:t>”</w:t>
      </w:r>
      <w:r>
        <w:rPr>
          <w:rFonts w:hint="default"/>
          <w:color w:val="auto"/>
          <w:lang w:val="en-US" w:eastAsia="zh-CN"/>
        </w:rPr>
        <w:t>，拟建建筑场地为：场地地形起伏较大，建筑物多位于山顶，南北两侧都在边坡边缘，判定为抗震不利地段。</w:t>
      </w:r>
    </w:p>
    <w:p>
      <w:pPr>
        <w:pStyle w:val="4"/>
        <w:bidi w:val="0"/>
        <w:rPr>
          <w:rFonts w:hint="eastAsia"/>
          <w:color w:val="auto"/>
          <w:lang w:val="en-US" w:eastAsia="zh-CN"/>
        </w:rPr>
      </w:pPr>
      <w:bookmarkStart w:id="80" w:name="_Toc2982"/>
      <w:r>
        <w:rPr>
          <w:rFonts w:hint="eastAsia"/>
          <w:color w:val="auto"/>
          <w:lang w:val="en-US" w:eastAsia="zh-CN"/>
        </w:rPr>
        <w:t>2.4.3 岩土工程分析与评价</w:t>
      </w:r>
      <w:bookmarkEnd w:id="80"/>
    </w:p>
    <w:p>
      <w:pPr>
        <w:rPr>
          <w:rFonts w:hint="eastAsia"/>
          <w:b/>
          <w:bCs/>
          <w:color w:val="auto"/>
          <w:lang w:val="en-US" w:eastAsia="zh-CN"/>
        </w:rPr>
      </w:pPr>
      <w:r>
        <w:rPr>
          <w:rFonts w:hint="eastAsia"/>
          <w:b/>
          <w:bCs/>
          <w:color w:val="auto"/>
          <w:lang w:val="en-US" w:eastAsia="zh-CN"/>
        </w:rPr>
        <w:t>1. 场地稳定性及适宜性评价</w:t>
      </w:r>
    </w:p>
    <w:p>
      <w:pPr>
        <w:rPr>
          <w:rFonts w:hint="eastAsia"/>
          <w:color w:val="auto"/>
          <w:lang w:val="en-US" w:eastAsia="zh-CN"/>
        </w:rPr>
      </w:pPr>
      <w:r>
        <w:rPr>
          <w:rFonts w:hint="eastAsia"/>
          <w:color w:val="auto"/>
          <w:lang w:val="en-US" w:eastAsia="zh-CN"/>
        </w:rPr>
        <w:t>（1）地形地貌</w:t>
      </w:r>
    </w:p>
    <w:p>
      <w:pPr>
        <w:rPr>
          <w:rFonts w:hint="eastAsia"/>
          <w:color w:val="auto"/>
          <w:lang w:val="en-US" w:eastAsia="zh-CN"/>
        </w:rPr>
      </w:pPr>
      <w:r>
        <w:rPr>
          <w:rFonts w:hint="default"/>
          <w:color w:val="auto"/>
          <w:lang w:val="en-US" w:eastAsia="zh-CN"/>
        </w:rPr>
        <w:t>拟建场地位于矿山竖井东面400米处，建筑物多位于山顶，山体成东西走向，北侧山坡坡度约35～45</w:t>
      </w:r>
      <w:r>
        <w:rPr>
          <w:rFonts w:hint="eastAsia" w:ascii="宋体" w:hAnsi="宋体" w:eastAsia="宋体" w:cs="宋体"/>
          <w:color w:val="auto"/>
          <w:lang w:val="en-US" w:eastAsia="zh-CN"/>
        </w:rPr>
        <w:t>°</w:t>
      </w:r>
      <w:r>
        <w:rPr>
          <w:rFonts w:hint="default"/>
          <w:color w:val="auto"/>
          <w:lang w:val="en-US" w:eastAsia="zh-CN"/>
        </w:rPr>
        <w:t>，南侧山坡坡度约45-65</w:t>
      </w:r>
      <w:r>
        <w:rPr>
          <w:rFonts w:hint="eastAsia" w:ascii="宋体" w:hAnsi="宋体" w:eastAsia="宋体" w:cs="宋体"/>
          <w:color w:val="auto"/>
          <w:lang w:val="en-US" w:eastAsia="zh-CN"/>
        </w:rPr>
        <w:t>°</w:t>
      </w:r>
      <w:r>
        <w:rPr>
          <w:rFonts w:hint="default"/>
          <w:color w:val="auto"/>
          <w:lang w:val="en-US" w:eastAsia="zh-CN"/>
        </w:rPr>
        <w:t>。海拔标高390～320m，南侧沟宽约5.0～8.0m，山坡植被较发育，第四系土层覆盖较厚</w:t>
      </w:r>
      <w:r>
        <w:rPr>
          <w:rFonts w:hint="eastAsia"/>
          <w:color w:val="auto"/>
          <w:lang w:val="en-US" w:eastAsia="zh-CN"/>
        </w:rPr>
        <w:t>。</w:t>
      </w:r>
    </w:p>
    <w:p>
      <w:pPr>
        <w:numPr>
          <w:ilvl w:val="0"/>
          <w:numId w:val="3"/>
        </w:numPr>
        <w:rPr>
          <w:rFonts w:hint="eastAsia"/>
          <w:color w:val="auto"/>
        </w:rPr>
      </w:pPr>
      <w:r>
        <w:rPr>
          <w:rFonts w:hint="eastAsia"/>
          <w:color w:val="auto"/>
        </w:rPr>
        <w:t>地层岩性</w:t>
      </w:r>
    </w:p>
    <w:p>
      <w:pPr>
        <w:bidi w:val="0"/>
        <w:rPr>
          <w:rFonts w:hint="default"/>
          <w:color w:val="auto"/>
          <w:lang w:val="en-US" w:eastAsia="zh-CN"/>
        </w:rPr>
      </w:pPr>
      <w:r>
        <w:rPr>
          <w:rFonts w:hint="default"/>
          <w:color w:val="auto"/>
          <w:lang w:val="en-US" w:eastAsia="zh-CN"/>
        </w:rPr>
        <w:t>据ZK1-ZK52钻孔揭露。库区主要分布二种岩土层：一是第四系全新统：素填土层（Q</w:t>
      </w:r>
      <w:r>
        <w:rPr>
          <w:rFonts w:hint="default"/>
          <w:color w:val="auto"/>
          <w:vertAlign w:val="subscript"/>
          <w:lang w:val="en-US" w:eastAsia="zh-CN"/>
        </w:rPr>
        <w:t>4</w:t>
      </w:r>
      <w:r>
        <w:rPr>
          <w:rFonts w:hint="default"/>
          <w:color w:val="auto"/>
          <w:vertAlign w:val="superscript"/>
          <w:lang w:val="en-US" w:eastAsia="zh-CN"/>
        </w:rPr>
        <w:t>ml</w:t>
      </w:r>
      <w:r>
        <w:rPr>
          <w:rFonts w:hint="default"/>
          <w:color w:val="auto"/>
          <w:lang w:val="en-US" w:eastAsia="zh-CN"/>
        </w:rPr>
        <w:t>）及残坡积粉质粘土层（Q</w:t>
      </w:r>
      <w:r>
        <w:rPr>
          <w:rFonts w:hint="default"/>
          <w:color w:val="auto"/>
          <w:vertAlign w:val="subscript"/>
          <w:lang w:val="en-US" w:eastAsia="zh-CN"/>
        </w:rPr>
        <w:t>4</w:t>
      </w:r>
      <w:r>
        <w:rPr>
          <w:rFonts w:hint="default"/>
          <w:color w:val="auto"/>
          <w:vertAlign w:val="superscript"/>
          <w:lang w:val="en-US" w:eastAsia="zh-CN"/>
        </w:rPr>
        <w:t>dl</w:t>
      </w:r>
      <w:r>
        <w:rPr>
          <w:rFonts w:hint="default"/>
          <w:color w:val="auto"/>
          <w:lang w:val="en-US" w:eastAsia="zh-CN"/>
        </w:rPr>
        <w:t>）；二是寒武系下统变质石英砂岩（ϵ1），分述如下：</w:t>
      </w:r>
    </w:p>
    <w:p>
      <w:pPr>
        <w:bidi w:val="0"/>
        <w:rPr>
          <w:rFonts w:hint="default"/>
          <w:color w:val="auto"/>
          <w:lang w:val="en-US" w:eastAsia="zh-CN"/>
        </w:rPr>
      </w:pPr>
      <w:r>
        <w:rPr>
          <w:rFonts w:hint="eastAsia"/>
          <w:color w:val="auto"/>
          <w:lang w:val="en-US" w:eastAsia="zh-CN"/>
        </w:rPr>
        <w:t>1）</w:t>
      </w:r>
      <w:r>
        <w:rPr>
          <w:rFonts w:hint="default"/>
          <w:color w:val="auto"/>
          <w:lang w:val="en-US" w:eastAsia="zh-CN"/>
        </w:rPr>
        <w:t>第四系全新统</w:t>
      </w:r>
    </w:p>
    <w:p>
      <w:pPr>
        <w:bidi w:val="0"/>
        <w:rPr>
          <w:rFonts w:hint="default"/>
          <w:color w:val="auto"/>
          <w:lang w:val="en-US" w:eastAsia="zh-CN"/>
        </w:rPr>
      </w:pPr>
      <w:r>
        <w:rPr>
          <w:rFonts w:hint="default"/>
          <w:color w:val="auto"/>
          <w:lang w:val="en-US" w:eastAsia="zh-CN"/>
        </w:rPr>
        <w:t>①素填土层（Q</w:t>
      </w:r>
      <w:r>
        <w:rPr>
          <w:rFonts w:hint="default"/>
          <w:color w:val="auto"/>
          <w:vertAlign w:val="subscript"/>
          <w:lang w:val="en-US" w:eastAsia="zh-CN"/>
        </w:rPr>
        <w:t>4</w:t>
      </w:r>
      <w:r>
        <w:rPr>
          <w:rFonts w:hint="eastAsia"/>
          <w:color w:val="auto"/>
          <w:vertAlign w:val="superscript"/>
          <w:lang w:val="en-US" w:eastAsia="zh-CN"/>
        </w:rPr>
        <w:t>m</w:t>
      </w:r>
      <w:r>
        <w:rPr>
          <w:rFonts w:hint="default"/>
          <w:color w:val="auto"/>
          <w:vertAlign w:val="superscript"/>
          <w:lang w:val="en-US" w:eastAsia="zh-CN"/>
        </w:rPr>
        <w:t>l</w:t>
      </w:r>
      <w:r>
        <w:rPr>
          <w:rFonts w:hint="default"/>
          <w:color w:val="auto"/>
          <w:lang w:val="en-US" w:eastAsia="zh-CN"/>
        </w:rPr>
        <w:t>）：分布不均匀，大部分分布于北侧沟谷附近，黄褐色，主要由粘性土碎石及少量砾砂组成，稍湿，松散。揭露厚度0.50-3.70m，平均厚度1.81m，顶板标高：319.86～386.71米。承载力特征值fak=100KPa。</w:t>
      </w:r>
    </w:p>
    <w:p>
      <w:pPr>
        <w:bidi w:val="0"/>
        <w:rPr>
          <w:rFonts w:hint="default"/>
          <w:color w:val="auto"/>
          <w:lang w:val="en-US" w:eastAsia="zh-CN"/>
        </w:rPr>
      </w:pPr>
      <w:r>
        <w:rPr>
          <w:rFonts w:hint="default"/>
          <w:color w:val="auto"/>
          <w:lang w:val="en-US" w:eastAsia="zh-CN"/>
        </w:rPr>
        <w:t>②粉质粘土层（Q</w:t>
      </w:r>
      <w:r>
        <w:rPr>
          <w:rFonts w:hint="default"/>
          <w:color w:val="auto"/>
          <w:vertAlign w:val="subscript"/>
          <w:lang w:val="en-US" w:eastAsia="zh-CN"/>
        </w:rPr>
        <w:t>4</w:t>
      </w:r>
      <w:r>
        <w:rPr>
          <w:rFonts w:hint="default"/>
          <w:color w:val="auto"/>
          <w:vertAlign w:val="superscript"/>
          <w:lang w:val="en-US" w:eastAsia="zh-CN"/>
        </w:rPr>
        <w:t>dl</w:t>
      </w:r>
      <w:r>
        <w:rPr>
          <w:rFonts w:hint="default"/>
          <w:color w:val="auto"/>
          <w:lang w:val="en-US" w:eastAsia="zh-CN"/>
        </w:rPr>
        <w:t>）：分布不均匀，主要分布于山顶及山顶两侧山坡，褐黄色，可塑～硬塑，以粉粘粒为主，局部夹杂角砾，含量约5～10%，无摇振反应，光泽反应稍有光滑，干强度中等，韧性中等。粘性差，为基岩风化产物。揭露厚度1.20～7.00m，平均厚度3.69m，顶板标高：322.08～390.67m。承载力特征值fak=160KPa。</w:t>
      </w:r>
    </w:p>
    <w:p>
      <w:pPr>
        <w:bidi w:val="0"/>
        <w:rPr>
          <w:rFonts w:hint="default"/>
          <w:color w:val="auto"/>
          <w:lang w:val="en-US" w:eastAsia="zh-CN"/>
        </w:rPr>
      </w:pPr>
      <w:r>
        <w:rPr>
          <w:rFonts w:hint="eastAsia"/>
          <w:color w:val="auto"/>
          <w:lang w:val="en-US" w:eastAsia="zh-CN"/>
        </w:rPr>
        <w:t>2）</w:t>
      </w:r>
      <w:r>
        <w:rPr>
          <w:rFonts w:hint="default"/>
          <w:color w:val="auto"/>
          <w:lang w:val="en-US" w:eastAsia="zh-CN"/>
        </w:rPr>
        <w:t>寒武系下统</w:t>
      </w:r>
    </w:p>
    <w:p>
      <w:pPr>
        <w:bidi w:val="0"/>
        <w:rPr>
          <w:rFonts w:hint="default"/>
          <w:color w:val="auto"/>
          <w:lang w:val="en-US" w:eastAsia="zh-CN"/>
        </w:rPr>
      </w:pPr>
      <w:r>
        <w:rPr>
          <w:rFonts w:hint="default"/>
          <w:color w:val="auto"/>
          <w:lang w:val="en-US" w:eastAsia="zh-CN"/>
        </w:rPr>
        <w:t>出露于整个拟建区，岩层风化较剧烈，风化不均匀，风化层厚度较大，节理裂隙较发育。按其风化程度可分为强风化带、中风化带，分述如下：</w:t>
      </w:r>
    </w:p>
    <w:p>
      <w:pPr>
        <w:bidi w:val="0"/>
        <w:rPr>
          <w:rFonts w:hint="default"/>
          <w:color w:val="auto"/>
          <w:lang w:val="en-US" w:eastAsia="zh-CN"/>
        </w:rPr>
      </w:pPr>
      <w:r>
        <w:rPr>
          <w:rFonts w:hint="default"/>
          <w:color w:val="auto"/>
          <w:lang w:val="en-US" w:eastAsia="zh-CN"/>
        </w:rPr>
        <w:t>①强风化带：黄褐色，变余砂状结构，块状构造，节理裂隙发育，风化不均匀，局部夹粉砂岩全风化，岩芯呈碎块。分布不均匀。揭露厚度0.70～15.80m，平均揭露厚度8.70m，顶板标高：318.89～390.71米。承载力特征值fak=400KPa。</w:t>
      </w:r>
    </w:p>
    <w:p>
      <w:pPr>
        <w:bidi w:val="0"/>
        <w:rPr>
          <w:rFonts w:hint="default"/>
          <w:color w:val="auto"/>
          <w:lang w:val="en-US" w:eastAsia="zh-CN"/>
        </w:rPr>
      </w:pPr>
      <w:r>
        <w:rPr>
          <w:rFonts w:hint="default"/>
          <w:color w:val="auto"/>
          <w:lang w:val="en-US" w:eastAsia="zh-CN"/>
        </w:rPr>
        <w:t>②中风化带：中风化，青灰色，变余砂状结构，块状构造，节理裂隙较发育，岩芯较完整，坚硬，岩芯呈短柱状。RQD约63～81%。全场地分布，未穿透。揭露厚度0.05～11.10m，平均揭露厚度5.29m。顶板标高：312.58～382.81米。岩石天然单轴抗压强度标准值42.50（Mpa），中风化变质石英砂岩承载力特征值fa=2000KPa。</w:t>
      </w:r>
    </w:p>
    <w:p>
      <w:pPr>
        <w:bidi w:val="0"/>
        <w:rPr>
          <w:rFonts w:hint="eastAsia"/>
          <w:color w:val="auto"/>
          <w:lang w:val="en-US" w:eastAsia="zh-CN"/>
        </w:rPr>
      </w:pPr>
      <w:r>
        <w:rPr>
          <w:rFonts w:hint="eastAsia"/>
          <w:color w:val="auto"/>
          <w:lang w:val="en-US" w:eastAsia="zh-CN"/>
        </w:rPr>
        <w:t>（3）岩土体主要物理力学指标</w:t>
      </w:r>
    </w:p>
    <w:p>
      <w:pPr>
        <w:bidi w:val="0"/>
        <w:rPr>
          <w:rFonts w:hint="eastAsia"/>
          <w:color w:val="auto"/>
          <w:lang w:val="en-US" w:eastAsia="zh-CN"/>
        </w:rPr>
      </w:pPr>
      <w:r>
        <w:rPr>
          <w:rFonts w:hint="default"/>
          <w:color w:val="auto"/>
          <w:lang w:val="en-US" w:eastAsia="zh-CN"/>
        </w:rPr>
        <w:t>基坑开挖设计参数建议采用下表</w:t>
      </w:r>
      <w:r>
        <w:rPr>
          <w:rFonts w:hint="eastAsia"/>
          <w:color w:val="auto"/>
          <w:lang w:val="en-US" w:eastAsia="zh-CN"/>
        </w:rPr>
        <w:t>2-7</w:t>
      </w:r>
      <w:r>
        <w:rPr>
          <w:rFonts w:hint="default"/>
          <w:color w:val="auto"/>
          <w:lang w:val="en-US" w:eastAsia="zh-CN"/>
        </w:rPr>
        <w:t>数值</w:t>
      </w:r>
      <w:r>
        <w:rPr>
          <w:rFonts w:hint="eastAsia"/>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default"/>
          <w:color w:val="auto"/>
          <w:lang w:val="en-US" w:eastAsia="zh-CN"/>
        </w:rPr>
        <w:t>表</w:t>
      </w:r>
      <w:r>
        <w:rPr>
          <w:rFonts w:hint="eastAsia" w:ascii="Times New Roman" w:eastAsia="宋体"/>
          <w:color w:val="auto"/>
          <w:lang w:val="en-US" w:eastAsia="zh-CN"/>
        </w:rPr>
        <w:t>2-</w:t>
      </w:r>
      <w:r>
        <w:rPr>
          <w:rFonts w:hint="eastAsia"/>
          <w:color w:val="auto"/>
          <w:lang w:val="en-US" w:eastAsia="zh-CN"/>
        </w:rPr>
        <w:t>7</w:t>
      </w:r>
      <w:r>
        <w:rPr>
          <w:rFonts w:hint="eastAsia" w:ascii="Times New Roman" w:eastAsia="宋体"/>
          <w:color w:val="auto"/>
          <w:lang w:val="en-US" w:eastAsia="zh-CN"/>
        </w:rPr>
        <w:t xml:space="preserve"> </w:t>
      </w:r>
      <w:r>
        <w:rPr>
          <w:rFonts w:hint="default"/>
          <w:color w:val="auto"/>
          <w:lang w:val="en-US" w:eastAsia="zh-CN"/>
        </w:rPr>
        <w:t>基槽开挖岩土设计参数建议值</w:t>
      </w:r>
    </w:p>
    <w:tbl>
      <w:tblPr>
        <w:tblStyle w:val="15"/>
        <w:tblW w:w="9853"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22" w:type="dxa"/>
          <w:bottom w:w="0" w:type="dxa"/>
          <w:right w:w="22" w:type="dxa"/>
        </w:tblCellMar>
      </w:tblPr>
      <w:tblGrid>
        <w:gridCol w:w="2172"/>
        <w:gridCol w:w="967"/>
        <w:gridCol w:w="819"/>
        <w:gridCol w:w="843"/>
        <w:gridCol w:w="746"/>
        <w:gridCol w:w="1423"/>
        <w:gridCol w:w="912"/>
        <w:gridCol w:w="1061"/>
        <w:gridCol w:w="910"/>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22" w:type="dxa"/>
            <w:bottom w:w="0" w:type="dxa"/>
            <w:right w:w="22" w:type="dxa"/>
          </w:tblCellMar>
        </w:tblPrEx>
        <w:trPr>
          <w:trHeight w:val="598" w:hRule="atLeast"/>
          <w:jc w:val="center"/>
        </w:trPr>
        <w:tc>
          <w:tcPr>
            <w:tcW w:w="2172"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指标</w:t>
            </w:r>
          </w:p>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地层</w:t>
            </w:r>
          </w:p>
        </w:tc>
        <w:tc>
          <w:tcPr>
            <w:tcW w:w="967"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天然</w:t>
            </w:r>
          </w:p>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重度γ</w:t>
            </w:r>
          </w:p>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（kN/m</w:t>
            </w:r>
            <w:r>
              <w:rPr>
                <w:rFonts w:hint="eastAsia" w:ascii="Times New Roman" w:hAnsi="Times New Roman" w:eastAsia="宋体" w:cs="Times New Roman"/>
                <w:color w:val="auto"/>
                <w:kern w:val="0"/>
                <w:sz w:val="21"/>
                <w:szCs w:val="21"/>
                <w:vertAlign w:val="superscript"/>
              </w:rPr>
              <w:t>3</w:t>
            </w:r>
            <w:r>
              <w:rPr>
                <w:rFonts w:hint="eastAsia" w:ascii="Times New Roman" w:hAnsi="Times New Roman" w:eastAsia="宋体" w:cs="Times New Roman"/>
                <w:color w:val="auto"/>
                <w:kern w:val="0"/>
                <w:sz w:val="21"/>
                <w:szCs w:val="21"/>
              </w:rPr>
              <w:t>）</w:t>
            </w:r>
          </w:p>
        </w:tc>
        <w:tc>
          <w:tcPr>
            <w:tcW w:w="819"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承载力特征值</w:t>
            </w:r>
          </w:p>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fak(kPa)</w:t>
            </w:r>
          </w:p>
        </w:tc>
        <w:tc>
          <w:tcPr>
            <w:tcW w:w="843"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压缩</w:t>
            </w:r>
          </w:p>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模量</w:t>
            </w:r>
          </w:p>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Es(MPa)</w:t>
            </w:r>
          </w:p>
        </w:tc>
        <w:tc>
          <w:tcPr>
            <w:tcW w:w="2169" w:type="dxa"/>
            <w:gridSpan w:val="2"/>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抗剪强度</w:t>
            </w:r>
          </w:p>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(快剪)</w:t>
            </w:r>
          </w:p>
        </w:tc>
        <w:tc>
          <w:tcPr>
            <w:tcW w:w="912"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天然单轴抗压强度</w:t>
            </w:r>
          </w:p>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(MPa)</w:t>
            </w:r>
          </w:p>
        </w:tc>
        <w:tc>
          <w:tcPr>
            <w:tcW w:w="1061"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抗剪强度c′(MPa)</w:t>
            </w:r>
          </w:p>
        </w:tc>
        <w:tc>
          <w:tcPr>
            <w:tcW w:w="910"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抗剪强度φ(°)</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22" w:type="dxa"/>
            <w:bottom w:w="0" w:type="dxa"/>
            <w:right w:w="22" w:type="dxa"/>
          </w:tblCellMar>
        </w:tblPrEx>
        <w:trPr>
          <w:trHeight w:val="1045" w:hRule="atLeast"/>
          <w:jc w:val="center"/>
        </w:trPr>
        <w:tc>
          <w:tcPr>
            <w:tcW w:w="217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967"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819"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84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746"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凝聚力</w:t>
            </w:r>
          </w:p>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C(kPa)</w:t>
            </w:r>
          </w:p>
        </w:tc>
        <w:tc>
          <w:tcPr>
            <w:tcW w:w="142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内摩</w:t>
            </w:r>
          </w:p>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擦角</w:t>
            </w:r>
          </w:p>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φ(度)</w:t>
            </w:r>
          </w:p>
        </w:tc>
        <w:tc>
          <w:tcPr>
            <w:tcW w:w="91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106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910"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22" w:type="dxa"/>
            <w:bottom w:w="0" w:type="dxa"/>
            <w:right w:w="22" w:type="dxa"/>
          </w:tblCellMar>
        </w:tblPrEx>
        <w:trPr>
          <w:trHeight w:val="431" w:hRule="exact"/>
          <w:jc w:val="center"/>
        </w:trPr>
        <w:tc>
          <w:tcPr>
            <w:tcW w:w="2172"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素填土①</w:t>
            </w:r>
          </w:p>
        </w:tc>
        <w:tc>
          <w:tcPr>
            <w:tcW w:w="967"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18.0</w:t>
            </w:r>
          </w:p>
        </w:tc>
        <w:tc>
          <w:tcPr>
            <w:tcW w:w="819"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100</w:t>
            </w:r>
          </w:p>
        </w:tc>
        <w:tc>
          <w:tcPr>
            <w:tcW w:w="84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4</w:t>
            </w:r>
          </w:p>
        </w:tc>
        <w:tc>
          <w:tcPr>
            <w:tcW w:w="746"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11</w:t>
            </w:r>
          </w:p>
        </w:tc>
        <w:tc>
          <w:tcPr>
            <w:tcW w:w="142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12</w:t>
            </w:r>
          </w:p>
        </w:tc>
        <w:tc>
          <w:tcPr>
            <w:tcW w:w="912"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1061"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91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22" w:type="dxa"/>
            <w:bottom w:w="0" w:type="dxa"/>
            <w:right w:w="22" w:type="dxa"/>
          </w:tblCellMar>
        </w:tblPrEx>
        <w:trPr>
          <w:trHeight w:val="431" w:hRule="exact"/>
          <w:jc w:val="center"/>
        </w:trPr>
        <w:tc>
          <w:tcPr>
            <w:tcW w:w="2172"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粉质黏土②</w:t>
            </w:r>
          </w:p>
        </w:tc>
        <w:tc>
          <w:tcPr>
            <w:tcW w:w="967"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17.9</w:t>
            </w:r>
          </w:p>
        </w:tc>
        <w:tc>
          <w:tcPr>
            <w:tcW w:w="819"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160</w:t>
            </w:r>
          </w:p>
        </w:tc>
        <w:tc>
          <w:tcPr>
            <w:tcW w:w="84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5.72</w:t>
            </w:r>
          </w:p>
        </w:tc>
        <w:tc>
          <w:tcPr>
            <w:tcW w:w="746"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21.7</w:t>
            </w:r>
          </w:p>
        </w:tc>
        <w:tc>
          <w:tcPr>
            <w:tcW w:w="142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15.7</w:t>
            </w:r>
          </w:p>
        </w:tc>
        <w:tc>
          <w:tcPr>
            <w:tcW w:w="912"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1061"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91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22" w:type="dxa"/>
            <w:bottom w:w="0" w:type="dxa"/>
            <w:right w:w="22" w:type="dxa"/>
          </w:tblCellMar>
        </w:tblPrEx>
        <w:trPr>
          <w:trHeight w:val="431" w:hRule="exact"/>
          <w:jc w:val="center"/>
        </w:trPr>
        <w:tc>
          <w:tcPr>
            <w:tcW w:w="2172"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强风化变质石英砂岩③</w:t>
            </w:r>
          </w:p>
        </w:tc>
        <w:tc>
          <w:tcPr>
            <w:tcW w:w="967"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23</w:t>
            </w:r>
          </w:p>
        </w:tc>
        <w:tc>
          <w:tcPr>
            <w:tcW w:w="819"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400</w:t>
            </w:r>
          </w:p>
        </w:tc>
        <w:tc>
          <w:tcPr>
            <w:tcW w:w="84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746"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142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912"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1061"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2.5</w:t>
            </w:r>
          </w:p>
        </w:tc>
        <w:tc>
          <w:tcPr>
            <w:tcW w:w="91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22" w:type="dxa"/>
            <w:bottom w:w="0" w:type="dxa"/>
            <w:right w:w="22" w:type="dxa"/>
          </w:tblCellMar>
        </w:tblPrEx>
        <w:trPr>
          <w:trHeight w:val="539" w:hRule="exact"/>
          <w:jc w:val="center"/>
        </w:trPr>
        <w:tc>
          <w:tcPr>
            <w:tcW w:w="2172"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中风化变质石英砂岩④</w:t>
            </w:r>
          </w:p>
        </w:tc>
        <w:tc>
          <w:tcPr>
            <w:tcW w:w="967"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25</w:t>
            </w:r>
          </w:p>
        </w:tc>
        <w:tc>
          <w:tcPr>
            <w:tcW w:w="819"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2000</w:t>
            </w:r>
          </w:p>
        </w:tc>
        <w:tc>
          <w:tcPr>
            <w:tcW w:w="84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746"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1423"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p>
        </w:tc>
        <w:tc>
          <w:tcPr>
            <w:tcW w:w="912"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42.50</w:t>
            </w:r>
          </w:p>
        </w:tc>
        <w:tc>
          <w:tcPr>
            <w:tcW w:w="1061"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4.78</w:t>
            </w:r>
          </w:p>
        </w:tc>
        <w:tc>
          <w:tcPr>
            <w:tcW w:w="910" w:type="dxa"/>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36</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b/>
          <w:bCs/>
          <w:color w:val="auto"/>
          <w:sz w:val="21"/>
          <w:szCs w:val="21"/>
          <w:lang w:val="en-US" w:eastAsia="zh-CN"/>
        </w:rPr>
      </w:pPr>
      <w:r>
        <w:rPr>
          <w:rFonts w:hint="default"/>
          <w:b/>
          <w:bCs/>
          <w:color w:val="auto"/>
          <w:sz w:val="21"/>
          <w:szCs w:val="21"/>
          <w:lang w:val="en-US" w:eastAsia="zh-CN"/>
        </w:rPr>
        <w:t>注：1）采用上表数值时建议采用载荷试验校核其承载力特征值。</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b/>
          <w:bCs/>
          <w:color w:val="auto"/>
          <w:sz w:val="21"/>
          <w:szCs w:val="21"/>
          <w:lang w:val="en-US" w:eastAsia="zh-CN"/>
        </w:rPr>
      </w:pPr>
      <w:r>
        <w:rPr>
          <w:rFonts w:hint="default"/>
          <w:b/>
          <w:bCs/>
          <w:color w:val="auto"/>
          <w:sz w:val="21"/>
          <w:szCs w:val="21"/>
          <w:lang w:val="en-US" w:eastAsia="zh-CN"/>
        </w:rPr>
        <w:t>2）表中数据由实测值及经验值采取。</w:t>
      </w:r>
    </w:p>
    <w:p>
      <w:pPr>
        <w:bidi w:val="0"/>
        <w:rPr>
          <w:rFonts w:hint="default"/>
          <w:b/>
          <w:bCs/>
          <w:color w:val="auto"/>
          <w:lang w:val="en-US" w:eastAsia="zh-CN"/>
        </w:rPr>
      </w:pPr>
      <w:r>
        <w:rPr>
          <w:rFonts w:hint="eastAsia"/>
          <w:b/>
          <w:bCs/>
          <w:color w:val="auto"/>
          <w:lang w:val="en-US" w:eastAsia="zh-CN"/>
        </w:rPr>
        <w:t xml:space="preserve">2. </w:t>
      </w:r>
      <w:r>
        <w:rPr>
          <w:rFonts w:hint="default"/>
          <w:b/>
          <w:bCs/>
          <w:color w:val="auto"/>
          <w:lang w:val="en-US" w:eastAsia="zh-CN"/>
        </w:rPr>
        <w:t>基础选型及持力层选择</w:t>
      </w:r>
      <w:r>
        <w:rPr>
          <w:rFonts w:hint="default"/>
          <w:b/>
          <w:bCs/>
          <w:color w:val="auto"/>
          <w:lang w:val="en-US" w:eastAsia="zh-CN"/>
        </w:rPr>
        <w:tab/>
      </w:r>
    </w:p>
    <w:p>
      <w:pPr>
        <w:bidi w:val="0"/>
        <w:rPr>
          <w:rFonts w:hint="default"/>
          <w:color w:val="auto"/>
          <w:lang w:val="en-US" w:eastAsia="zh-CN"/>
        </w:rPr>
      </w:pPr>
      <w:r>
        <w:rPr>
          <w:rFonts w:hint="eastAsia"/>
          <w:color w:val="auto"/>
          <w:lang w:val="en-US" w:eastAsia="zh-CN"/>
        </w:rPr>
        <w:t>（1）</w:t>
      </w:r>
      <w:r>
        <w:rPr>
          <w:rFonts w:hint="default"/>
          <w:color w:val="auto"/>
          <w:lang w:val="en-US" w:eastAsia="zh-CN"/>
        </w:rPr>
        <w:t>素填土①：分布不均匀</w:t>
      </w:r>
      <w:r>
        <w:rPr>
          <w:rFonts w:hint="eastAsia"/>
          <w:color w:val="auto"/>
          <w:lang w:val="en-US" w:eastAsia="zh-CN"/>
        </w:rPr>
        <w:t>，</w:t>
      </w:r>
      <w:r>
        <w:rPr>
          <w:rFonts w:hint="default"/>
          <w:color w:val="auto"/>
          <w:lang w:val="en-US" w:eastAsia="zh-CN"/>
        </w:rPr>
        <w:t>结构松散，未完成自重固结，未经处理未不宜作为基础持力层。</w:t>
      </w:r>
    </w:p>
    <w:p>
      <w:pPr>
        <w:bidi w:val="0"/>
        <w:rPr>
          <w:rFonts w:hint="default"/>
          <w:color w:val="auto"/>
          <w:lang w:val="en-US" w:eastAsia="zh-CN"/>
        </w:rPr>
      </w:pPr>
      <w:r>
        <w:rPr>
          <w:rFonts w:hint="eastAsia"/>
          <w:color w:val="auto"/>
          <w:lang w:val="en-US" w:eastAsia="zh-CN"/>
        </w:rPr>
        <w:t>（2）</w:t>
      </w:r>
      <w:r>
        <w:rPr>
          <w:rFonts w:hint="default"/>
          <w:color w:val="auto"/>
          <w:lang w:val="en-US" w:eastAsia="zh-CN"/>
        </w:rPr>
        <w:t>粉质粘土②：分布不均匀</w:t>
      </w:r>
      <w:r>
        <w:rPr>
          <w:rFonts w:hint="eastAsia"/>
          <w:color w:val="auto"/>
          <w:lang w:val="en-US" w:eastAsia="zh-CN"/>
        </w:rPr>
        <w:t>，</w:t>
      </w:r>
      <w:r>
        <w:rPr>
          <w:rFonts w:hint="default"/>
          <w:color w:val="auto"/>
          <w:lang w:val="en-US" w:eastAsia="zh-CN"/>
        </w:rPr>
        <w:t>主要分布于山顶及山顶两侧山坡，可塑～硬塑，局部夹杂角砾，承载力一般，可作为（粉矿仓、转运站、废石仓、细泥浓缩池、尾矿浓缩池、选矿药剂室、变电所、配电室）的基础持力层。</w:t>
      </w:r>
    </w:p>
    <w:p>
      <w:pPr>
        <w:bidi w:val="0"/>
        <w:rPr>
          <w:rFonts w:hint="default"/>
          <w:color w:val="auto"/>
          <w:lang w:val="en-US" w:eastAsia="zh-CN"/>
        </w:rPr>
      </w:pPr>
      <w:r>
        <w:rPr>
          <w:rFonts w:hint="eastAsia"/>
          <w:color w:val="auto"/>
          <w:lang w:val="en-US" w:eastAsia="zh-CN"/>
        </w:rPr>
        <w:t>（3）</w:t>
      </w:r>
      <w:r>
        <w:rPr>
          <w:rFonts w:hint="default"/>
          <w:color w:val="auto"/>
          <w:lang w:val="en-US" w:eastAsia="zh-CN"/>
        </w:rPr>
        <w:t>强风化变质石英砂岩②：分布不均匀，厚度起伏性大，连续性一般，但为揭露该层的钻孔均直接揭露中风化层，稳定性均好，工程性能好，可作为（主厂房、粗碎厂房、中细碎厂房、细碎厂房、筛洗及预选厂房、选砂车间、筛分厂房）的基础持力层。</w:t>
      </w:r>
    </w:p>
    <w:p>
      <w:pPr>
        <w:bidi w:val="0"/>
        <w:rPr>
          <w:rFonts w:hint="default"/>
          <w:color w:val="auto"/>
          <w:lang w:val="en-US" w:eastAsia="zh-CN"/>
        </w:rPr>
      </w:pPr>
      <w:r>
        <w:rPr>
          <w:rFonts w:hint="eastAsia"/>
          <w:color w:val="auto"/>
          <w:lang w:val="en-US" w:eastAsia="zh-CN"/>
        </w:rPr>
        <w:t>（4）</w:t>
      </w:r>
      <w:r>
        <w:rPr>
          <w:rFonts w:hint="default"/>
          <w:color w:val="auto"/>
          <w:lang w:val="en-US" w:eastAsia="zh-CN"/>
        </w:rPr>
        <w:t>中风化变质石英砂岩④：为较硬岩，岩石天然单轴抗压强度标准值42.50（Mpa），岩芯较完整，岩石质量等级为</w:t>
      </w:r>
      <w:r>
        <w:rPr>
          <w:rFonts w:hint="eastAsia" w:ascii="宋体" w:hAnsi="宋体" w:eastAsia="宋体" w:cs="宋体"/>
          <w:color w:val="auto"/>
          <w:lang w:val="en-US" w:eastAsia="zh-CN"/>
        </w:rPr>
        <w:t>Ⅲ</w:t>
      </w:r>
      <w:r>
        <w:rPr>
          <w:rFonts w:hint="default"/>
          <w:color w:val="auto"/>
          <w:lang w:val="en-US" w:eastAsia="zh-CN"/>
        </w:rPr>
        <w:t>级。强度较高，变形性较小，埋藏较深，岩面起伏大，中厚层状，稳定性及连续性好，无软弱结构面，无洞穴、但部分地方埋藏深，适宜作为载荷较大桩基础持力层。</w:t>
      </w:r>
    </w:p>
    <w:p>
      <w:pPr>
        <w:bidi w:val="0"/>
        <w:rPr>
          <w:rFonts w:hint="eastAsia"/>
          <w:b/>
          <w:bCs/>
          <w:color w:val="auto"/>
          <w:lang w:val="en-US" w:eastAsia="zh-CN"/>
        </w:rPr>
      </w:pPr>
      <w:r>
        <w:rPr>
          <w:rFonts w:hint="eastAsia"/>
          <w:b/>
          <w:bCs/>
          <w:color w:val="auto"/>
          <w:lang w:val="en-US" w:eastAsia="zh-CN"/>
        </w:rPr>
        <w:t>3. 结论与建议</w:t>
      </w:r>
    </w:p>
    <w:p>
      <w:pPr>
        <w:bidi w:val="0"/>
        <w:rPr>
          <w:rFonts w:hint="default"/>
          <w:color w:val="auto"/>
          <w:lang w:val="en-US" w:eastAsia="zh-CN"/>
        </w:rPr>
      </w:pPr>
      <w:r>
        <w:rPr>
          <w:rFonts w:hint="eastAsia"/>
          <w:color w:val="auto"/>
          <w:lang w:val="en-US" w:eastAsia="zh-CN"/>
        </w:rPr>
        <w:t>（1）</w:t>
      </w:r>
      <w:r>
        <w:rPr>
          <w:rFonts w:hint="default"/>
          <w:color w:val="auto"/>
          <w:lang w:val="en-US" w:eastAsia="zh-CN"/>
        </w:rPr>
        <w:t>根据小东坑矿区区域地质资料得知无新生大断裂带通过。在勘察深度范围内，拟建场地内未发现岩溶、滑坡、断层、塌陷、岩体崩塌、泥石流等影响建筑物稳定性的不良地质现象及地质灾害隐患。未发现埋藏的河道、沟浜、墓穴、防空洞、孤石等对工程不利的埋藏物。</w:t>
      </w:r>
    </w:p>
    <w:p>
      <w:pPr>
        <w:bidi w:val="0"/>
        <w:rPr>
          <w:rFonts w:hint="default"/>
          <w:color w:val="auto"/>
          <w:lang w:val="en-US" w:eastAsia="zh-CN"/>
        </w:rPr>
      </w:pPr>
      <w:r>
        <w:rPr>
          <w:rFonts w:hint="eastAsia"/>
          <w:color w:val="auto"/>
          <w:lang w:val="en-US" w:eastAsia="zh-CN"/>
        </w:rPr>
        <w:t>（2）</w:t>
      </w:r>
      <w:r>
        <w:rPr>
          <w:rFonts w:hint="default"/>
          <w:color w:val="auto"/>
          <w:lang w:val="en-US" w:eastAsia="zh-CN"/>
        </w:rPr>
        <w:t>根据勘察结果，按照《建筑抗震设计规范（附条文说明）（2016年版）》</w:t>
      </w:r>
      <w:r>
        <w:rPr>
          <w:rFonts w:hint="eastAsia"/>
          <w:color w:val="auto"/>
          <w:lang w:val="en-US" w:eastAsia="zh-CN"/>
        </w:rPr>
        <w:t>（</w:t>
      </w:r>
      <w:r>
        <w:rPr>
          <w:rFonts w:hint="default"/>
          <w:color w:val="auto"/>
          <w:lang w:val="en-US" w:eastAsia="zh-CN"/>
        </w:rPr>
        <w:t>GB50011-2010</w:t>
      </w:r>
      <w:r>
        <w:rPr>
          <w:rFonts w:hint="eastAsia"/>
          <w:color w:val="auto"/>
          <w:lang w:val="en-US" w:eastAsia="zh-CN"/>
        </w:rPr>
        <w:t>）</w:t>
      </w:r>
      <w:r>
        <w:rPr>
          <w:rFonts w:hint="default"/>
          <w:color w:val="auto"/>
          <w:lang w:val="en-US" w:eastAsia="zh-CN"/>
        </w:rPr>
        <w:t>和《中国地震动参数区划图》</w:t>
      </w:r>
      <w:r>
        <w:rPr>
          <w:rFonts w:hint="eastAsia"/>
          <w:color w:val="auto"/>
          <w:lang w:val="en-US" w:eastAsia="zh-CN"/>
        </w:rPr>
        <w:t>（</w:t>
      </w:r>
      <w:r>
        <w:rPr>
          <w:rFonts w:hint="default"/>
          <w:color w:val="auto"/>
          <w:lang w:val="en-US" w:eastAsia="zh-CN"/>
        </w:rPr>
        <w:t>GB18306-2015</w:t>
      </w:r>
      <w:r>
        <w:rPr>
          <w:rFonts w:hint="eastAsia"/>
          <w:color w:val="auto"/>
          <w:lang w:val="en-US" w:eastAsia="zh-CN"/>
        </w:rPr>
        <w:t>）</w:t>
      </w:r>
      <w:r>
        <w:rPr>
          <w:rFonts w:hint="default"/>
          <w:color w:val="auto"/>
          <w:lang w:val="en-US" w:eastAsia="zh-CN"/>
        </w:rPr>
        <w:t>有关规定</w:t>
      </w:r>
      <w:r>
        <w:rPr>
          <w:rFonts w:hint="eastAsia"/>
          <w:color w:val="auto"/>
          <w:lang w:val="en-US" w:eastAsia="zh-CN"/>
        </w:rPr>
        <w:t>，</w:t>
      </w:r>
      <w:r>
        <w:rPr>
          <w:rFonts w:hint="default"/>
          <w:color w:val="auto"/>
          <w:lang w:val="en-US" w:eastAsia="zh-CN"/>
        </w:rPr>
        <w:t>拟建场地抗震设防烈度为</w:t>
      </w:r>
      <w:r>
        <w:rPr>
          <w:rFonts w:hint="eastAsia" w:ascii="宋体" w:hAnsi="宋体" w:eastAsia="宋体" w:cs="宋体"/>
          <w:color w:val="auto"/>
          <w:lang w:val="en-US" w:eastAsia="zh-CN"/>
        </w:rPr>
        <w:t>Ⅵ</w:t>
      </w:r>
      <w:r>
        <w:rPr>
          <w:rFonts w:hint="default"/>
          <w:color w:val="auto"/>
          <w:lang w:val="en-US" w:eastAsia="zh-CN"/>
        </w:rPr>
        <w:t>度，设计基本地震加速度值为0.05g，设计地震分组为第一组，建筑场地类别为</w:t>
      </w:r>
      <w:r>
        <w:rPr>
          <w:rFonts w:hint="eastAsia" w:ascii="宋体" w:hAnsi="宋体" w:eastAsia="宋体" w:cs="宋体"/>
          <w:color w:val="auto"/>
          <w:lang w:val="en-US" w:eastAsia="zh-CN"/>
        </w:rPr>
        <w:t>Ⅱ</w:t>
      </w:r>
      <w:r>
        <w:rPr>
          <w:rFonts w:hint="default"/>
          <w:color w:val="auto"/>
          <w:lang w:val="en-US" w:eastAsia="zh-CN"/>
        </w:rPr>
        <w:t>类，设计特征周期为0.35s，可不考虑砂土液化及软土震陷影响，但场地地形起伏较大，建筑物多位于山顶，南北两侧都在边坡边缘。属对建筑抗震不地利段。</w:t>
      </w:r>
    </w:p>
    <w:p>
      <w:pPr>
        <w:bidi w:val="0"/>
        <w:rPr>
          <w:rFonts w:hint="default"/>
          <w:color w:val="auto"/>
          <w:lang w:val="en-US" w:eastAsia="zh-CN"/>
        </w:rPr>
      </w:pPr>
      <w:r>
        <w:rPr>
          <w:rFonts w:hint="eastAsia"/>
          <w:color w:val="auto"/>
          <w:lang w:val="en-US" w:eastAsia="zh-CN"/>
        </w:rPr>
        <w:t>（3）</w:t>
      </w:r>
      <w:r>
        <w:rPr>
          <w:rFonts w:hint="default"/>
          <w:color w:val="auto"/>
          <w:lang w:val="en-US" w:eastAsia="zh-CN"/>
        </w:rPr>
        <w:t>根据勘察结果，综合考虑场地岩土工程条件及拟建建</w:t>
      </w:r>
      <w:r>
        <w:rPr>
          <w:rFonts w:hint="eastAsia"/>
          <w:color w:val="auto"/>
          <w:lang w:val="en-US" w:eastAsia="zh-CN"/>
        </w:rPr>
        <w:t>（</w:t>
      </w:r>
      <w:r>
        <w:rPr>
          <w:rFonts w:hint="default"/>
          <w:color w:val="auto"/>
          <w:lang w:val="en-US" w:eastAsia="zh-CN"/>
        </w:rPr>
        <w:t>构</w:t>
      </w:r>
      <w:r>
        <w:rPr>
          <w:rFonts w:hint="eastAsia"/>
          <w:color w:val="auto"/>
          <w:lang w:val="en-US" w:eastAsia="zh-CN"/>
        </w:rPr>
        <w:t>）</w:t>
      </w:r>
      <w:r>
        <w:rPr>
          <w:rFonts w:hint="default"/>
          <w:color w:val="auto"/>
          <w:lang w:val="en-US" w:eastAsia="zh-CN"/>
        </w:rPr>
        <w:t>筑物的结构和荷载特点，其基础型式及持力层的建议详见前述</w:t>
      </w:r>
      <w:r>
        <w:rPr>
          <w:rFonts w:hint="eastAsia"/>
          <w:color w:val="auto"/>
          <w:lang w:val="en-US" w:eastAsia="zh-CN"/>
        </w:rPr>
        <w:t>2.4.2</w:t>
      </w:r>
      <w:r>
        <w:rPr>
          <w:rFonts w:hint="default"/>
          <w:color w:val="auto"/>
          <w:lang w:val="en-US" w:eastAsia="zh-CN"/>
        </w:rPr>
        <w:t>。</w:t>
      </w:r>
    </w:p>
    <w:p>
      <w:pPr>
        <w:bidi w:val="0"/>
        <w:rPr>
          <w:rFonts w:hint="default"/>
          <w:color w:val="auto"/>
          <w:lang w:val="en-US" w:eastAsia="zh-CN"/>
        </w:rPr>
      </w:pPr>
      <w:r>
        <w:rPr>
          <w:rFonts w:hint="eastAsia"/>
          <w:color w:val="auto"/>
          <w:lang w:val="en-US" w:eastAsia="zh-CN"/>
        </w:rPr>
        <w:t>（4）</w:t>
      </w:r>
      <w:r>
        <w:rPr>
          <w:rFonts w:hint="default"/>
          <w:color w:val="auto"/>
          <w:lang w:val="en-US" w:eastAsia="zh-CN"/>
        </w:rPr>
        <w:t>根据勘察结果，场地水对混凝土结构具弱腐蚀性，对混凝土结构中的钢筋具微腐蚀性。建议按国家标准《工业建筑防腐蚀设计标准》（GB/T 50046-2018）中有关规定采取相应的防护措施。</w:t>
      </w:r>
    </w:p>
    <w:p>
      <w:pPr>
        <w:bidi w:val="0"/>
        <w:rPr>
          <w:rFonts w:hint="default"/>
          <w:color w:val="auto"/>
          <w:lang w:val="en-US" w:eastAsia="zh-CN"/>
        </w:rPr>
      </w:pPr>
      <w:r>
        <w:rPr>
          <w:rFonts w:hint="eastAsia"/>
          <w:color w:val="auto"/>
          <w:lang w:val="en-US" w:eastAsia="zh-CN"/>
        </w:rPr>
        <w:t>（5）</w:t>
      </w:r>
      <w:r>
        <w:rPr>
          <w:rFonts w:hint="default"/>
          <w:color w:val="auto"/>
          <w:lang w:val="en-US" w:eastAsia="zh-CN"/>
        </w:rPr>
        <w:t>根据勘察结果，场地土对混凝土结构具弱微蚀性，对混凝土结构中的钢筋具微腐蚀性。建议按国家标准《工业建筑防腐蚀设计标准》（GB/T 50046-2018）中有关规定采取相应的防护措施。</w:t>
      </w:r>
    </w:p>
    <w:p>
      <w:pPr>
        <w:bidi w:val="0"/>
        <w:rPr>
          <w:rFonts w:hint="default"/>
          <w:color w:val="auto"/>
          <w:lang w:val="en-US" w:eastAsia="zh-CN"/>
        </w:rPr>
      </w:pPr>
      <w:r>
        <w:rPr>
          <w:rFonts w:hint="eastAsia"/>
          <w:color w:val="auto"/>
          <w:lang w:val="en-US" w:eastAsia="zh-CN"/>
        </w:rPr>
        <w:t>（6）</w:t>
      </w:r>
      <w:r>
        <w:rPr>
          <w:rFonts w:hint="default"/>
          <w:color w:val="auto"/>
          <w:lang w:val="en-US" w:eastAsia="zh-CN"/>
        </w:rPr>
        <w:t>建议加强验槽工作，以便及时发现和解决有关的岩土工程问题。</w:t>
      </w:r>
    </w:p>
    <w:p>
      <w:pPr>
        <w:pStyle w:val="3"/>
        <w:bidi w:val="0"/>
        <w:rPr>
          <w:rFonts w:hint="eastAsia"/>
          <w:color w:val="auto"/>
          <w:lang w:val="en-US" w:eastAsia="zh-CN"/>
        </w:rPr>
      </w:pPr>
      <w:bookmarkStart w:id="81" w:name="_Toc21967"/>
      <w:bookmarkStart w:id="82" w:name="_Toc6952"/>
      <w:r>
        <w:rPr>
          <w:rFonts w:hint="eastAsia"/>
          <w:color w:val="auto"/>
          <w:lang w:val="en-US" w:eastAsia="zh-CN"/>
        </w:rPr>
        <w:t>2.5 选矿厂规模及产品方案</w:t>
      </w:r>
      <w:bookmarkEnd w:id="81"/>
      <w:bookmarkEnd w:id="82"/>
    </w:p>
    <w:p>
      <w:pPr>
        <w:rPr>
          <w:rFonts w:hint="default"/>
          <w:color w:val="auto"/>
          <w:lang w:val="en-US" w:eastAsia="zh-CN"/>
        </w:rPr>
      </w:pPr>
      <w:r>
        <w:rPr>
          <w:rFonts w:hint="eastAsia"/>
          <w:color w:val="auto"/>
          <w:lang w:val="en-US" w:eastAsia="zh-CN"/>
        </w:rPr>
        <w:t xml:space="preserve">1. </w:t>
      </w:r>
      <w:r>
        <w:rPr>
          <w:rFonts w:hint="default"/>
          <w:color w:val="auto"/>
          <w:lang w:val="en-US" w:eastAsia="zh-CN"/>
        </w:rPr>
        <w:t>选矿厂规模</w:t>
      </w:r>
    </w:p>
    <w:p>
      <w:pPr>
        <w:rPr>
          <w:rFonts w:hint="default"/>
          <w:color w:val="auto"/>
          <w:lang w:val="en-US" w:eastAsia="zh-CN"/>
        </w:rPr>
      </w:pPr>
      <w:r>
        <w:rPr>
          <w:rFonts w:hint="default"/>
          <w:color w:val="auto"/>
          <w:lang w:val="en-US" w:eastAsia="zh-CN"/>
        </w:rPr>
        <w:t>年处理原矿30万t。</w:t>
      </w:r>
    </w:p>
    <w:p>
      <w:pPr>
        <w:rPr>
          <w:rFonts w:hint="default"/>
          <w:color w:val="auto"/>
          <w:lang w:val="en-US" w:eastAsia="zh-CN"/>
        </w:rPr>
      </w:pPr>
      <w:r>
        <w:rPr>
          <w:rFonts w:hint="eastAsia"/>
          <w:color w:val="auto"/>
          <w:lang w:val="en-US" w:eastAsia="zh-CN"/>
        </w:rPr>
        <w:t xml:space="preserve">2. </w:t>
      </w:r>
      <w:r>
        <w:rPr>
          <w:rFonts w:hint="default"/>
          <w:color w:val="auto"/>
          <w:lang w:val="en-US" w:eastAsia="zh-CN"/>
        </w:rPr>
        <w:t>产品方案</w:t>
      </w:r>
    </w:p>
    <w:p>
      <w:pPr>
        <w:rPr>
          <w:rFonts w:hint="default"/>
          <w:color w:val="auto"/>
          <w:lang w:val="en-US" w:eastAsia="zh-CN"/>
        </w:rPr>
      </w:pPr>
      <w:r>
        <w:rPr>
          <w:rFonts w:hint="default"/>
          <w:color w:val="auto"/>
          <w:lang w:val="en-US" w:eastAsia="zh-CN"/>
        </w:rPr>
        <w:t>黑钨精矿（WO</w:t>
      </w:r>
      <w:r>
        <w:rPr>
          <w:rFonts w:hint="default"/>
          <w:color w:val="auto"/>
          <w:vertAlign w:val="subscript"/>
          <w:lang w:val="en-US" w:eastAsia="zh-CN"/>
        </w:rPr>
        <w:t>3</w:t>
      </w:r>
      <w:r>
        <w:rPr>
          <w:rFonts w:hint="default"/>
          <w:color w:val="auto"/>
          <w:lang w:val="en-US" w:eastAsia="zh-CN"/>
        </w:rPr>
        <w:t>品位为65%）；白钨精矿（WO</w:t>
      </w:r>
      <w:r>
        <w:rPr>
          <w:rFonts w:hint="default"/>
          <w:color w:val="auto"/>
          <w:vertAlign w:val="subscript"/>
          <w:lang w:val="en-US" w:eastAsia="zh-CN"/>
        </w:rPr>
        <w:t>3</w:t>
      </w:r>
      <w:r>
        <w:rPr>
          <w:rFonts w:hint="default"/>
          <w:color w:val="auto"/>
          <w:lang w:val="en-US" w:eastAsia="zh-CN"/>
        </w:rPr>
        <w:t>品位为65%）；铜精矿（Cu品位为12%）；铋精矿（Bi品位为11%）；锡精矿（Sn品位为14%）。</w:t>
      </w:r>
    </w:p>
    <w:p>
      <w:pPr>
        <w:pStyle w:val="3"/>
        <w:bidi w:val="0"/>
        <w:rPr>
          <w:rFonts w:hint="default"/>
          <w:color w:val="auto"/>
          <w:lang w:val="en-US" w:eastAsia="zh-CN"/>
        </w:rPr>
      </w:pPr>
      <w:bookmarkStart w:id="83" w:name="_Toc15142"/>
      <w:bookmarkStart w:id="84" w:name="_Toc23426"/>
      <w:r>
        <w:rPr>
          <w:rFonts w:hint="default"/>
          <w:color w:val="auto"/>
          <w:lang w:val="en-US" w:eastAsia="zh-CN"/>
        </w:rPr>
        <w:t>2.</w:t>
      </w:r>
      <w:r>
        <w:rPr>
          <w:rFonts w:hint="eastAsia"/>
          <w:color w:val="auto"/>
          <w:lang w:val="en-US" w:eastAsia="zh-CN"/>
        </w:rPr>
        <w:t>6</w:t>
      </w:r>
      <w:r>
        <w:rPr>
          <w:rFonts w:hint="default"/>
          <w:color w:val="auto"/>
          <w:lang w:val="en-US" w:eastAsia="zh-CN"/>
        </w:rPr>
        <w:t xml:space="preserve"> 建设项目总体布置</w:t>
      </w:r>
      <w:bookmarkEnd w:id="83"/>
      <w:bookmarkEnd w:id="84"/>
    </w:p>
    <w:p>
      <w:pPr>
        <w:pStyle w:val="4"/>
        <w:bidi w:val="0"/>
        <w:rPr>
          <w:rFonts w:hint="eastAsia"/>
          <w:color w:val="auto"/>
          <w:lang w:val="en-US" w:eastAsia="zh-CN"/>
        </w:rPr>
      </w:pPr>
      <w:bookmarkStart w:id="85" w:name="_Toc5891"/>
      <w:bookmarkStart w:id="86" w:name="_Toc26650"/>
      <w:r>
        <w:rPr>
          <w:rFonts w:hint="eastAsia"/>
          <w:color w:val="auto"/>
          <w:lang w:val="en-US" w:eastAsia="zh-CN"/>
        </w:rPr>
        <w:t>2.6.1 总平面布置</w:t>
      </w:r>
      <w:bookmarkEnd w:id="85"/>
      <w:bookmarkEnd w:id="86"/>
    </w:p>
    <w:p>
      <w:pPr>
        <w:rPr>
          <w:rFonts w:hint="default"/>
          <w:color w:val="auto"/>
          <w:lang w:val="en-US" w:eastAsia="zh-CN"/>
        </w:rPr>
      </w:pPr>
      <w:r>
        <w:rPr>
          <w:rFonts w:hint="default"/>
          <w:color w:val="auto"/>
          <w:lang w:val="en-US" w:eastAsia="zh-CN"/>
        </w:rPr>
        <w:t>选矿厂区布置在竖井井口工业场地东北侧约250m，</w:t>
      </w:r>
      <w:r>
        <w:rPr>
          <w:rFonts w:hint="eastAsia"/>
          <w:color w:val="auto"/>
          <w:lang w:val="en-US" w:eastAsia="zh-CN"/>
        </w:rPr>
        <w:t>标高为</w:t>
      </w:r>
      <w:r>
        <w:rPr>
          <w:rFonts w:hint="default"/>
          <w:color w:val="auto"/>
          <w:lang w:val="en-US" w:eastAsia="zh-CN"/>
        </w:rPr>
        <w:t>+385m～+325m。</w:t>
      </w:r>
    </w:p>
    <w:p>
      <w:pPr>
        <w:rPr>
          <w:rFonts w:hint="default"/>
          <w:color w:val="auto"/>
          <w:lang w:val="en-US" w:eastAsia="zh-CN"/>
        </w:rPr>
      </w:pPr>
      <w:r>
        <w:rPr>
          <w:rFonts w:hint="default"/>
          <w:color w:val="auto"/>
          <w:lang w:val="en-US" w:eastAsia="zh-CN"/>
        </w:rPr>
        <w:t>选矿厂车间主要</w:t>
      </w:r>
      <w:r>
        <w:rPr>
          <w:rFonts w:hint="eastAsia"/>
          <w:color w:val="auto"/>
          <w:lang w:val="en-US" w:eastAsia="zh-CN"/>
        </w:rPr>
        <w:t>由：</w:t>
      </w:r>
      <w:r>
        <w:rPr>
          <w:rFonts w:hint="default"/>
          <w:color w:val="auto"/>
          <w:lang w:val="en-US" w:eastAsia="zh-CN"/>
        </w:rPr>
        <w:t>粗碎厂房、中碎厂房、除铁器室、筛洗及预选厂房、细碎厂房、筛分厂房、转运站、粉矿仓、主厂房、废石仓、药剂仓库、浓缩池等组成。</w:t>
      </w:r>
    </w:p>
    <w:p>
      <w:pPr>
        <w:numPr>
          <w:ilvl w:val="0"/>
          <w:numId w:val="4"/>
        </w:numPr>
        <w:rPr>
          <w:rFonts w:hint="default"/>
          <w:color w:val="auto"/>
          <w:lang w:val="en-US" w:eastAsia="zh-CN"/>
        </w:rPr>
      </w:pPr>
      <w:r>
        <w:rPr>
          <w:rFonts w:hint="default"/>
          <w:color w:val="auto"/>
          <w:lang w:val="en-US" w:eastAsia="zh-CN"/>
        </w:rPr>
        <w:t>粗碎厂房、中碎厂房、细碎厂房、筛分厂房建于同一标高。</w:t>
      </w:r>
    </w:p>
    <w:p>
      <w:pPr>
        <w:numPr>
          <w:ilvl w:val="0"/>
          <w:numId w:val="4"/>
        </w:numPr>
        <w:rPr>
          <w:rFonts w:hint="default"/>
          <w:color w:val="auto"/>
          <w:lang w:val="en-US" w:eastAsia="zh-CN"/>
        </w:rPr>
      </w:pPr>
      <w:r>
        <w:rPr>
          <w:rFonts w:hint="default"/>
          <w:color w:val="auto"/>
          <w:lang w:val="en-US" w:eastAsia="zh-CN"/>
        </w:rPr>
        <w:t>主厂房充分利用地形，采用台阶式布置</w:t>
      </w:r>
      <w:r>
        <w:rPr>
          <w:rFonts w:hint="eastAsia"/>
          <w:color w:val="auto"/>
          <w:lang w:val="en-US" w:eastAsia="zh-CN"/>
        </w:rPr>
        <w:t>，</w:t>
      </w:r>
      <w:r>
        <w:rPr>
          <w:rFonts w:hint="default"/>
          <w:color w:val="auto"/>
          <w:lang w:val="en-US" w:eastAsia="zh-CN"/>
        </w:rPr>
        <w:t>尽量使物料顺地形自流。</w:t>
      </w:r>
    </w:p>
    <w:p>
      <w:pPr>
        <w:bidi w:val="0"/>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主厂房H-G跨设置重选跳汰和磨矿设备。</w:t>
      </w:r>
    </w:p>
    <w:p>
      <w:pPr>
        <w:bidi w:val="0"/>
        <w:rPr>
          <w:rFonts w:hint="default"/>
          <w:color w:val="auto"/>
          <w:lang w:val="en-US" w:eastAsia="zh-CN"/>
        </w:rPr>
      </w:pP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主厂房G-F跨和F-E跨设置重选摇床设备。</w:t>
      </w:r>
    </w:p>
    <w:p>
      <w:pPr>
        <w:bidi w:val="0"/>
        <w:rPr>
          <w:rFonts w:hint="default"/>
          <w:color w:val="auto"/>
          <w:lang w:val="en-US" w:eastAsia="zh-CN"/>
        </w:rPr>
      </w:pPr>
      <w:r>
        <w:rPr>
          <w:rFonts w:hint="eastAsia"/>
          <w:color w:val="auto"/>
          <w:lang w:val="en-US" w:eastAsia="zh-CN"/>
        </w:rPr>
        <w:t>（</w:t>
      </w:r>
      <w:r>
        <w:rPr>
          <w:rFonts w:hint="default"/>
          <w:color w:val="auto"/>
          <w:lang w:val="en-US" w:eastAsia="zh-CN"/>
        </w:rPr>
        <w:t>3</w:t>
      </w:r>
      <w:r>
        <w:rPr>
          <w:rFonts w:hint="eastAsia"/>
          <w:color w:val="auto"/>
          <w:lang w:val="en-US" w:eastAsia="zh-CN"/>
        </w:rPr>
        <w:t>）</w:t>
      </w:r>
      <w:r>
        <w:rPr>
          <w:rFonts w:hint="default"/>
          <w:color w:val="auto"/>
          <w:lang w:val="en-US" w:eastAsia="zh-CN"/>
        </w:rPr>
        <w:t>主厂房E-D跨设置细泥选别设备。</w:t>
      </w:r>
    </w:p>
    <w:p>
      <w:pPr>
        <w:bidi w:val="0"/>
        <w:rPr>
          <w:rFonts w:hint="default"/>
          <w:color w:val="auto"/>
          <w:lang w:val="en-US" w:eastAsia="zh-CN"/>
        </w:rPr>
      </w:pPr>
      <w:r>
        <w:rPr>
          <w:rFonts w:hint="eastAsia"/>
          <w:color w:val="auto"/>
          <w:lang w:val="en-US" w:eastAsia="zh-CN"/>
        </w:rPr>
        <w:t>（</w:t>
      </w:r>
      <w:r>
        <w:rPr>
          <w:rFonts w:hint="default"/>
          <w:color w:val="auto"/>
          <w:lang w:val="en-US" w:eastAsia="zh-CN"/>
        </w:rPr>
        <w:t>4</w:t>
      </w:r>
      <w:r>
        <w:rPr>
          <w:rFonts w:hint="eastAsia"/>
          <w:color w:val="auto"/>
          <w:lang w:val="en-US" w:eastAsia="zh-CN"/>
        </w:rPr>
        <w:t>）</w:t>
      </w:r>
      <w:r>
        <w:rPr>
          <w:rFonts w:hint="default"/>
          <w:color w:val="auto"/>
          <w:lang w:val="en-US" w:eastAsia="zh-CN"/>
        </w:rPr>
        <w:t>主厂房D-C跨设置重选精矿磨矿选别设备</w:t>
      </w:r>
    </w:p>
    <w:p>
      <w:pPr>
        <w:bidi w:val="0"/>
        <w:rPr>
          <w:rFonts w:hint="default"/>
          <w:color w:val="auto"/>
          <w:lang w:val="en-US" w:eastAsia="zh-CN"/>
        </w:rPr>
      </w:pPr>
      <w:r>
        <w:rPr>
          <w:rFonts w:hint="eastAsia"/>
          <w:color w:val="auto"/>
          <w:lang w:val="en-US" w:eastAsia="zh-CN"/>
        </w:rPr>
        <w:t>（</w:t>
      </w:r>
      <w:r>
        <w:rPr>
          <w:rFonts w:hint="default"/>
          <w:color w:val="auto"/>
          <w:lang w:val="en-US" w:eastAsia="zh-CN"/>
        </w:rPr>
        <w:t>5</w:t>
      </w:r>
      <w:r>
        <w:rPr>
          <w:rFonts w:hint="eastAsia"/>
          <w:color w:val="auto"/>
          <w:lang w:val="en-US" w:eastAsia="zh-CN"/>
        </w:rPr>
        <w:t>）</w:t>
      </w:r>
      <w:r>
        <w:rPr>
          <w:rFonts w:hint="default"/>
          <w:color w:val="auto"/>
          <w:lang w:val="en-US" w:eastAsia="zh-CN"/>
        </w:rPr>
        <w:t>主厂房C-B跨设置精矿脱水设备。</w:t>
      </w:r>
    </w:p>
    <w:p>
      <w:pPr>
        <w:bidi w:val="0"/>
        <w:rPr>
          <w:rFonts w:hint="default"/>
          <w:color w:val="auto"/>
          <w:lang w:val="en-US" w:eastAsia="zh-CN"/>
        </w:rPr>
      </w:pPr>
      <w:r>
        <w:rPr>
          <w:rFonts w:hint="eastAsia"/>
          <w:color w:val="auto"/>
          <w:lang w:val="en-US" w:eastAsia="zh-CN"/>
        </w:rPr>
        <w:t>（</w:t>
      </w:r>
      <w:r>
        <w:rPr>
          <w:rFonts w:hint="default"/>
          <w:color w:val="auto"/>
          <w:lang w:val="en-US" w:eastAsia="zh-CN"/>
        </w:rPr>
        <w:t>6</w:t>
      </w:r>
      <w:r>
        <w:rPr>
          <w:rFonts w:hint="eastAsia"/>
          <w:color w:val="auto"/>
          <w:lang w:val="en-US" w:eastAsia="zh-CN"/>
        </w:rPr>
        <w:t>）</w:t>
      </w:r>
      <w:r>
        <w:rPr>
          <w:rFonts w:hint="default"/>
          <w:color w:val="auto"/>
          <w:lang w:val="en-US" w:eastAsia="zh-CN"/>
        </w:rPr>
        <w:t>主厂房B-A跨设置精矿仓。</w:t>
      </w:r>
    </w:p>
    <w:p>
      <w:pPr>
        <w:numPr>
          <w:ilvl w:val="0"/>
          <w:numId w:val="4"/>
        </w:numPr>
        <w:rPr>
          <w:rFonts w:hint="default"/>
          <w:color w:val="auto"/>
          <w:lang w:val="en-US" w:eastAsia="zh-CN"/>
        </w:rPr>
      </w:pPr>
      <w:r>
        <w:rPr>
          <w:rFonts w:hint="default"/>
          <w:color w:val="auto"/>
          <w:lang w:val="en-US" w:eastAsia="zh-CN"/>
        </w:rPr>
        <w:t>药剂仓库和制备间靠近主厂房，方便存储和浮选用药。</w:t>
      </w:r>
    </w:p>
    <w:p>
      <w:pPr>
        <w:numPr>
          <w:ilvl w:val="0"/>
          <w:numId w:val="4"/>
        </w:numPr>
        <w:rPr>
          <w:rFonts w:hint="default"/>
          <w:color w:val="auto"/>
          <w:lang w:val="en-US" w:eastAsia="zh-CN"/>
        </w:rPr>
      </w:pPr>
      <w:r>
        <w:rPr>
          <w:rFonts w:hint="default"/>
          <w:color w:val="auto"/>
          <w:lang w:val="en-US" w:eastAsia="zh-CN"/>
        </w:rPr>
        <w:t>尾矿浓缩和尾矿选砂厂房位于主厂房最低点标高以下，方便尾矿浆自流。</w:t>
      </w:r>
    </w:p>
    <w:p>
      <w:pPr>
        <w:pStyle w:val="4"/>
        <w:bidi w:val="0"/>
        <w:rPr>
          <w:rFonts w:hint="eastAsia"/>
          <w:color w:val="auto"/>
          <w:lang w:val="en-US" w:eastAsia="zh-CN"/>
        </w:rPr>
      </w:pPr>
      <w:bookmarkStart w:id="87" w:name="_Toc29573"/>
      <w:bookmarkStart w:id="88" w:name="_Toc21316"/>
      <w:r>
        <w:rPr>
          <w:rFonts w:hint="eastAsia"/>
          <w:color w:val="auto"/>
          <w:lang w:val="en-US" w:eastAsia="zh-CN"/>
        </w:rPr>
        <w:t>2.6.2 竖向布置</w:t>
      </w:r>
      <w:bookmarkEnd w:id="87"/>
      <w:bookmarkEnd w:id="88"/>
    </w:p>
    <w:p>
      <w:pPr>
        <w:rPr>
          <w:rFonts w:hint="default"/>
          <w:color w:val="auto"/>
          <w:lang w:val="en-US" w:eastAsia="zh-CN"/>
        </w:rPr>
      </w:pPr>
      <w:r>
        <w:rPr>
          <w:rFonts w:hint="default"/>
          <w:color w:val="auto"/>
          <w:lang w:val="en-US" w:eastAsia="zh-CN"/>
        </w:rPr>
        <w:t>选矿工业场地中粗破厂房、筛分厂房、中细碎厂房、选厂配电室均位于标高为+378m台阶</w:t>
      </w:r>
      <w:r>
        <w:rPr>
          <w:rFonts w:hint="eastAsia"/>
          <w:color w:val="auto"/>
          <w:lang w:val="en-US" w:eastAsia="zh-CN"/>
        </w:rPr>
        <w:t>，</w:t>
      </w:r>
      <w:r>
        <w:rPr>
          <w:rFonts w:hint="default"/>
          <w:color w:val="auto"/>
          <w:lang w:val="en-US" w:eastAsia="zh-CN"/>
        </w:rPr>
        <w:t>筛洗及预选厂房标高为+370.5m，根据选矿工艺要求，主厂房采用台阶式布置，共包括9个台阶，从西向东标高依次为+370m、+367m、+366m、+363.5m、+358.5m、+355m、+350m、+348m、+345m，为了解决主厂房内各车间连接道路纵坡较大的问题，利用基建过程中的废石将选厂北侧低洼处填平</w:t>
      </w:r>
      <w:r>
        <w:rPr>
          <w:rFonts w:hint="eastAsia"/>
          <w:color w:val="auto"/>
          <w:lang w:val="en-US" w:eastAsia="zh-CN"/>
        </w:rPr>
        <w:t>，</w:t>
      </w:r>
      <w:r>
        <w:rPr>
          <w:rFonts w:hint="default"/>
          <w:color w:val="auto"/>
          <w:lang w:val="en-US" w:eastAsia="zh-CN"/>
        </w:rPr>
        <w:t>并新建5条支路分别与主厂房的+367m平台、+363m平台、+358m平台、+350m平台、+348m平台连接，从而保证运输的顺畅。</w:t>
      </w:r>
    </w:p>
    <w:p>
      <w:pPr>
        <w:pStyle w:val="4"/>
        <w:bidi w:val="0"/>
        <w:rPr>
          <w:rFonts w:hint="default"/>
          <w:color w:val="auto"/>
          <w:lang w:val="en-US" w:eastAsia="zh-CN"/>
        </w:rPr>
      </w:pPr>
      <w:bookmarkStart w:id="89" w:name="_Toc24289"/>
      <w:bookmarkStart w:id="90" w:name="_Toc25826"/>
      <w:r>
        <w:rPr>
          <w:rFonts w:hint="default"/>
          <w:color w:val="auto"/>
          <w:lang w:val="en-US" w:eastAsia="zh-CN"/>
        </w:rPr>
        <w:t>2.</w:t>
      </w:r>
      <w:r>
        <w:rPr>
          <w:rFonts w:hint="eastAsia"/>
          <w:color w:val="auto"/>
          <w:lang w:val="en-US" w:eastAsia="zh-CN"/>
        </w:rPr>
        <w:t>6</w:t>
      </w:r>
      <w:r>
        <w:rPr>
          <w:rFonts w:hint="default"/>
          <w:color w:val="auto"/>
          <w:lang w:val="en-US" w:eastAsia="zh-CN"/>
        </w:rPr>
        <w:t>.</w:t>
      </w:r>
      <w:r>
        <w:rPr>
          <w:rFonts w:hint="eastAsia"/>
          <w:color w:val="auto"/>
          <w:lang w:val="en-US" w:eastAsia="zh-CN"/>
        </w:rPr>
        <w:t>3</w:t>
      </w:r>
      <w:r>
        <w:rPr>
          <w:rFonts w:hint="default"/>
          <w:color w:val="auto"/>
          <w:lang w:val="en-US" w:eastAsia="zh-CN"/>
        </w:rPr>
        <w:t xml:space="preserve"> 主要建构筑物</w:t>
      </w:r>
      <w:bookmarkEnd w:id="89"/>
      <w:bookmarkEnd w:id="90"/>
    </w:p>
    <w:p>
      <w:pPr>
        <w:rPr>
          <w:rFonts w:hint="eastAsia"/>
          <w:color w:val="auto"/>
          <w:lang w:val="en-US" w:eastAsia="zh-CN"/>
        </w:rPr>
      </w:pPr>
      <w:r>
        <w:rPr>
          <w:rFonts w:hint="eastAsia"/>
          <w:color w:val="auto"/>
          <w:lang w:val="en-US" w:eastAsia="zh-CN"/>
        </w:rPr>
        <w:t>一、建筑设计</w:t>
      </w:r>
    </w:p>
    <w:p>
      <w:pPr>
        <w:rPr>
          <w:rFonts w:hint="default"/>
          <w:color w:val="auto"/>
          <w:lang w:val="en-US" w:eastAsia="zh-CN"/>
        </w:rPr>
      </w:pPr>
      <w:r>
        <w:rPr>
          <w:rFonts w:hint="eastAsia"/>
          <w:color w:val="auto"/>
          <w:lang w:val="en-US" w:eastAsia="zh-CN"/>
        </w:rPr>
        <w:t xml:space="preserve">1. </w:t>
      </w:r>
      <w:r>
        <w:rPr>
          <w:rFonts w:hint="default"/>
          <w:color w:val="auto"/>
          <w:lang w:val="en-US" w:eastAsia="zh-CN"/>
        </w:rPr>
        <w:t>本工程建筑物的建筑等级为二级，建筑耐火等级为二级。建筑生产类别为戊类。</w:t>
      </w:r>
    </w:p>
    <w:p>
      <w:pPr>
        <w:rPr>
          <w:rFonts w:hint="default"/>
          <w:color w:val="auto"/>
          <w:lang w:val="en-US" w:eastAsia="zh-CN"/>
        </w:rPr>
      </w:pPr>
      <w:r>
        <w:rPr>
          <w:rFonts w:hint="eastAsia"/>
          <w:color w:val="auto"/>
          <w:lang w:val="en-US" w:eastAsia="zh-CN"/>
        </w:rPr>
        <w:t xml:space="preserve">2. </w:t>
      </w:r>
      <w:r>
        <w:rPr>
          <w:rFonts w:hint="default"/>
          <w:color w:val="auto"/>
          <w:lang w:val="en-US" w:eastAsia="zh-CN"/>
        </w:rPr>
        <w:t>本工程砖混及混凝土框架结构墙体采用240厚烧结多孔砖。</w:t>
      </w:r>
    </w:p>
    <w:p>
      <w:pPr>
        <w:rPr>
          <w:rFonts w:hint="default"/>
          <w:color w:val="auto"/>
          <w:lang w:val="en-US" w:eastAsia="zh-CN"/>
        </w:rPr>
      </w:pPr>
      <w:r>
        <w:rPr>
          <w:rFonts w:hint="eastAsia"/>
          <w:color w:val="auto"/>
          <w:lang w:val="en-US" w:eastAsia="zh-CN"/>
        </w:rPr>
        <w:t xml:space="preserve">3. </w:t>
      </w:r>
      <w:r>
        <w:rPr>
          <w:rFonts w:hint="default"/>
          <w:color w:val="auto"/>
          <w:lang w:val="en-US" w:eastAsia="zh-CN"/>
        </w:rPr>
        <w:t>门窗</w:t>
      </w:r>
      <w:r>
        <w:rPr>
          <w:rFonts w:hint="eastAsia"/>
          <w:color w:val="auto"/>
          <w:lang w:val="en-US" w:eastAsia="zh-CN"/>
        </w:rPr>
        <w:t>：</w:t>
      </w:r>
      <w:r>
        <w:rPr>
          <w:rFonts w:hint="default"/>
          <w:color w:val="auto"/>
          <w:lang w:val="en-US" w:eastAsia="zh-CN"/>
        </w:rPr>
        <w:t>均采用塑钢窗，门采用木门及钢木大门。</w:t>
      </w:r>
    </w:p>
    <w:p>
      <w:pPr>
        <w:rPr>
          <w:rFonts w:hint="default"/>
          <w:color w:val="auto"/>
          <w:lang w:val="en-US" w:eastAsia="zh-CN"/>
        </w:rPr>
      </w:pPr>
      <w:r>
        <w:rPr>
          <w:rFonts w:hint="eastAsia"/>
          <w:color w:val="auto"/>
          <w:lang w:val="en-US" w:eastAsia="zh-CN"/>
        </w:rPr>
        <w:t xml:space="preserve">4. </w:t>
      </w:r>
      <w:r>
        <w:rPr>
          <w:rFonts w:hint="default"/>
          <w:color w:val="auto"/>
          <w:lang w:val="en-US" w:eastAsia="zh-CN"/>
        </w:rPr>
        <w:t>屋面防水、隔热及保温</w:t>
      </w:r>
      <w:r>
        <w:rPr>
          <w:rFonts w:hint="eastAsia"/>
          <w:color w:val="auto"/>
          <w:lang w:val="en-US" w:eastAsia="zh-CN"/>
        </w:rPr>
        <w:t>：</w:t>
      </w:r>
      <w:r>
        <w:rPr>
          <w:rFonts w:hint="default"/>
          <w:color w:val="auto"/>
          <w:lang w:val="en-US" w:eastAsia="zh-CN"/>
        </w:rPr>
        <w:t>根据建</w:t>
      </w:r>
      <w:r>
        <w:rPr>
          <w:rFonts w:hint="eastAsia"/>
          <w:color w:val="auto"/>
          <w:lang w:val="en-US" w:eastAsia="zh-CN"/>
        </w:rPr>
        <w:t>（</w:t>
      </w:r>
      <w:r>
        <w:rPr>
          <w:rFonts w:hint="default"/>
          <w:color w:val="auto"/>
          <w:lang w:val="en-US" w:eastAsia="zh-CN"/>
        </w:rPr>
        <w:t>构</w:t>
      </w:r>
      <w:r>
        <w:rPr>
          <w:rFonts w:hint="eastAsia"/>
          <w:color w:val="auto"/>
          <w:lang w:val="en-US" w:eastAsia="zh-CN"/>
        </w:rPr>
        <w:t>）</w:t>
      </w:r>
      <w:r>
        <w:rPr>
          <w:rFonts w:hint="default"/>
          <w:color w:val="auto"/>
          <w:lang w:val="en-US" w:eastAsia="zh-CN"/>
        </w:rPr>
        <w:t>筑物的使用要求采用卷材柔性防水屋面，建筑高度</w:t>
      </w:r>
      <w:r>
        <w:rPr>
          <w:rFonts w:hint="eastAsia" w:ascii="宋体" w:hAnsi="宋体" w:eastAsia="宋体" w:cs="宋体"/>
          <w:color w:val="auto"/>
          <w:lang w:val="en-US" w:eastAsia="zh-CN"/>
        </w:rPr>
        <w:t>＞</w:t>
      </w:r>
      <w:r>
        <w:rPr>
          <w:rFonts w:hint="default"/>
          <w:color w:val="auto"/>
          <w:lang w:val="en-US" w:eastAsia="zh-CN"/>
        </w:rPr>
        <w:t>5m时，屋面为有组织排水，建筑高度</w:t>
      </w:r>
      <w:r>
        <w:rPr>
          <w:rFonts w:hint="eastAsia" w:ascii="宋体" w:hAnsi="宋体" w:eastAsia="宋体" w:cs="宋体"/>
          <w:color w:val="auto"/>
          <w:lang w:val="en-US" w:eastAsia="zh-CN"/>
        </w:rPr>
        <w:t>≤</w:t>
      </w:r>
      <w:r>
        <w:rPr>
          <w:rFonts w:hint="default"/>
          <w:color w:val="auto"/>
          <w:lang w:val="en-US" w:eastAsia="zh-CN"/>
        </w:rPr>
        <w:t>5m时，屋面为自由落水。现浇钢筋混凝土屋面板</w:t>
      </w:r>
      <w:r>
        <w:rPr>
          <w:rFonts w:hint="eastAsia"/>
          <w:color w:val="auto"/>
          <w:lang w:val="en-US" w:eastAsia="zh-CN"/>
        </w:rPr>
        <w:t>，</w:t>
      </w:r>
      <w:r>
        <w:rPr>
          <w:rFonts w:hint="default"/>
          <w:color w:val="auto"/>
          <w:lang w:val="en-US" w:eastAsia="zh-CN"/>
        </w:rPr>
        <w:t>水泥砂浆找平层。</w:t>
      </w:r>
    </w:p>
    <w:p>
      <w:pPr>
        <w:rPr>
          <w:rFonts w:hint="default"/>
          <w:color w:val="auto"/>
          <w:lang w:val="en-US" w:eastAsia="zh-CN"/>
        </w:rPr>
      </w:pPr>
      <w:r>
        <w:rPr>
          <w:rFonts w:hint="eastAsia"/>
          <w:color w:val="auto"/>
          <w:lang w:val="en-US" w:eastAsia="zh-CN"/>
        </w:rPr>
        <w:t xml:space="preserve">5. </w:t>
      </w:r>
      <w:r>
        <w:rPr>
          <w:rFonts w:hint="default"/>
          <w:color w:val="auto"/>
          <w:lang w:val="en-US" w:eastAsia="zh-CN"/>
        </w:rPr>
        <w:t>防腐蚀</w:t>
      </w:r>
      <w:r>
        <w:rPr>
          <w:rFonts w:hint="eastAsia"/>
          <w:color w:val="auto"/>
          <w:lang w:val="en-US" w:eastAsia="zh-CN"/>
        </w:rPr>
        <w:t>：</w:t>
      </w:r>
      <w:r>
        <w:rPr>
          <w:rFonts w:hint="default"/>
          <w:color w:val="auto"/>
          <w:lang w:val="en-US" w:eastAsia="zh-CN"/>
        </w:rPr>
        <w:t>场地土对钢筋混凝土结构中的钢筋腐蚀性等级为微腐蚀性，对钢结构具微腐蚀性，应按《工业建筑防腐蚀设计标准》（GB/T 50046-2018）中的规定采取相应的防护措施。</w:t>
      </w:r>
    </w:p>
    <w:p>
      <w:pPr>
        <w:rPr>
          <w:rFonts w:hint="eastAsia"/>
          <w:color w:val="auto"/>
          <w:lang w:val="en-US" w:eastAsia="zh-CN"/>
        </w:rPr>
      </w:pPr>
      <w:r>
        <w:rPr>
          <w:rFonts w:hint="eastAsia"/>
          <w:color w:val="auto"/>
          <w:lang w:val="en-US" w:eastAsia="zh-CN"/>
        </w:rPr>
        <w:t xml:space="preserve">6. </w:t>
      </w:r>
      <w:r>
        <w:rPr>
          <w:rFonts w:hint="default"/>
          <w:color w:val="auto"/>
          <w:lang w:val="en-US" w:eastAsia="zh-CN"/>
        </w:rPr>
        <w:t>装饰工程</w:t>
      </w:r>
      <w:r>
        <w:rPr>
          <w:rFonts w:hint="eastAsia"/>
          <w:color w:val="auto"/>
          <w:lang w:val="en-US" w:eastAsia="zh-CN"/>
        </w:rPr>
        <w:t>：</w:t>
      </w:r>
      <w:r>
        <w:rPr>
          <w:rFonts w:hint="default"/>
          <w:color w:val="auto"/>
          <w:lang w:val="en-US" w:eastAsia="zh-CN"/>
        </w:rPr>
        <w:t>按国家有关装修等级标准及适用范围进行考虑。一般厂房内墙面水泥砂浆抹平，厂房外墙水泥混合砂浆墙面</w:t>
      </w:r>
      <w:r>
        <w:rPr>
          <w:rFonts w:hint="eastAsia"/>
          <w:color w:val="auto"/>
          <w:lang w:val="en-US" w:eastAsia="zh-CN"/>
        </w:rPr>
        <w:t>。</w:t>
      </w:r>
    </w:p>
    <w:p>
      <w:pPr>
        <w:rPr>
          <w:rFonts w:hint="default"/>
          <w:color w:val="auto"/>
          <w:lang w:val="en-US" w:eastAsia="zh-CN"/>
        </w:rPr>
      </w:pPr>
      <w:r>
        <w:rPr>
          <w:rFonts w:hint="eastAsia"/>
          <w:color w:val="auto"/>
          <w:lang w:val="en-US" w:eastAsia="zh-CN"/>
        </w:rPr>
        <w:t>7. 防雷：本工程地面需要防雷的建筑物按三类防雷设计，并充分利用建筑物内金属体做防雷及接地装置。</w:t>
      </w:r>
    </w:p>
    <w:p>
      <w:pPr>
        <w:rPr>
          <w:rFonts w:hint="default"/>
          <w:color w:val="auto"/>
          <w:lang w:val="en-US" w:eastAsia="zh-CN"/>
        </w:rPr>
      </w:pPr>
      <w:r>
        <w:rPr>
          <w:rFonts w:hint="eastAsia"/>
          <w:color w:val="auto"/>
          <w:lang w:val="en-US" w:eastAsia="zh-CN"/>
        </w:rPr>
        <w:t>二、</w:t>
      </w:r>
      <w:r>
        <w:rPr>
          <w:rFonts w:hint="default"/>
          <w:color w:val="auto"/>
          <w:lang w:val="en-US" w:eastAsia="zh-CN"/>
        </w:rPr>
        <w:t>选矿厂</w:t>
      </w:r>
    </w:p>
    <w:p>
      <w:pPr>
        <w:rPr>
          <w:rFonts w:hint="default"/>
          <w:color w:val="auto"/>
          <w:lang w:val="en-US" w:eastAsia="zh-CN"/>
        </w:rPr>
      </w:pPr>
      <w:r>
        <w:rPr>
          <w:rFonts w:hint="eastAsia"/>
          <w:color w:val="auto"/>
          <w:lang w:val="en-US" w:eastAsia="zh-CN"/>
        </w:rPr>
        <w:t xml:space="preserve">1. </w:t>
      </w:r>
      <w:r>
        <w:rPr>
          <w:rFonts w:hint="default"/>
          <w:color w:val="auto"/>
          <w:lang w:val="en-US" w:eastAsia="zh-CN"/>
        </w:rPr>
        <w:t>粗碎厂房</w:t>
      </w:r>
      <w:r>
        <w:rPr>
          <w:rFonts w:hint="eastAsia"/>
          <w:color w:val="auto"/>
          <w:lang w:val="en-US" w:eastAsia="zh-CN"/>
        </w:rPr>
        <w:t>：</w:t>
      </w:r>
      <w:r>
        <w:rPr>
          <w:rFonts w:hint="default"/>
          <w:color w:val="auto"/>
          <w:lang w:val="en-US" w:eastAsia="zh-CN"/>
        </w:rPr>
        <w:t>钢排架结构，地下部分为钢筋混凝土结构，尺寸为</w:t>
      </w:r>
      <w:r>
        <w:rPr>
          <w:rFonts w:hint="eastAsia"/>
          <w:color w:val="auto"/>
          <w:lang w:val="en-US" w:eastAsia="zh-CN"/>
        </w:rPr>
        <w:t>（</w:t>
      </w:r>
      <w:r>
        <w:rPr>
          <w:rFonts w:hint="default"/>
          <w:color w:val="auto"/>
          <w:lang w:val="en-US" w:eastAsia="zh-CN"/>
        </w:rPr>
        <w:t>9</w:t>
      </w:r>
      <w:r>
        <w:rPr>
          <w:rFonts w:hint="eastAsia" w:asciiTheme="minorEastAsia" w:hAnsiTheme="minorEastAsia" w:eastAsiaTheme="minorEastAsia" w:cstheme="minorEastAsia"/>
          <w:color w:val="auto"/>
          <w:lang w:val="en-US" w:eastAsia="zh-CN"/>
        </w:rPr>
        <w:t>×</w:t>
      </w:r>
      <w:r>
        <w:rPr>
          <w:rFonts w:hint="default"/>
          <w:color w:val="auto"/>
          <w:lang w:val="en-US" w:eastAsia="zh-CN"/>
        </w:rPr>
        <w:t>15+7.5</w:t>
      </w:r>
      <w:r>
        <w:rPr>
          <w:rFonts w:hint="eastAsia" w:ascii="宋体" w:hAnsi="宋体" w:eastAsia="宋体" w:cs="宋体"/>
          <w:color w:val="auto"/>
          <w:lang w:val="en-US" w:eastAsia="zh-CN"/>
        </w:rPr>
        <w:t>×</w:t>
      </w:r>
      <w:r>
        <w:rPr>
          <w:rFonts w:hint="default"/>
          <w:color w:val="auto"/>
          <w:lang w:val="en-US" w:eastAsia="zh-CN"/>
        </w:rPr>
        <w:t>6</w:t>
      </w:r>
      <w:r>
        <w:rPr>
          <w:rFonts w:hint="eastAsia"/>
          <w:color w:val="auto"/>
          <w:lang w:val="en-US" w:eastAsia="zh-CN"/>
        </w:rPr>
        <w:t>），</w:t>
      </w:r>
      <w:r>
        <w:rPr>
          <w:rFonts w:hint="default"/>
          <w:color w:val="auto"/>
          <w:lang w:val="en-US" w:eastAsia="zh-CN"/>
        </w:rPr>
        <w:t>面积为286.2</w:t>
      </w:r>
      <w:r>
        <w:rPr>
          <w:rFonts w:hint="eastAsia"/>
          <w:color w:val="auto"/>
          <w:lang w:val="en-US" w:eastAsia="zh-CN"/>
        </w:rPr>
        <w:t>m</w:t>
      </w:r>
      <w:r>
        <w:rPr>
          <w:rFonts w:hint="eastAsia"/>
          <w:color w:val="auto"/>
          <w:vertAlign w:val="superscript"/>
          <w:lang w:val="en-US" w:eastAsia="zh-CN"/>
        </w:rPr>
        <w:t>2</w:t>
      </w:r>
      <w:r>
        <w:rPr>
          <w:rFonts w:hint="eastAsia"/>
          <w:color w:val="auto"/>
          <w:lang w:val="en-US" w:eastAsia="zh-CN"/>
        </w:rPr>
        <w:t>，</w:t>
      </w:r>
      <w:r>
        <w:rPr>
          <w:rFonts w:hint="default"/>
          <w:color w:val="auto"/>
          <w:lang w:val="en-US" w:eastAsia="zh-CN"/>
        </w:rPr>
        <w:t>地上部分高13m</w:t>
      </w:r>
      <w:r>
        <w:rPr>
          <w:rFonts w:hint="eastAsia"/>
          <w:color w:val="auto"/>
          <w:lang w:val="en-US" w:eastAsia="zh-CN"/>
        </w:rPr>
        <w:t>，</w:t>
      </w:r>
      <w:r>
        <w:rPr>
          <w:rFonts w:hint="default"/>
          <w:color w:val="auto"/>
          <w:lang w:val="en-US" w:eastAsia="zh-CN"/>
        </w:rPr>
        <w:t>地下部分高8.5m</w:t>
      </w:r>
      <w:r>
        <w:rPr>
          <w:rFonts w:hint="eastAsia"/>
          <w:color w:val="auto"/>
          <w:lang w:val="en-US" w:eastAsia="zh-CN"/>
        </w:rPr>
        <w:t>，</w:t>
      </w:r>
      <w:r>
        <w:rPr>
          <w:rFonts w:hint="default"/>
          <w:color w:val="auto"/>
          <w:lang w:val="en-US" w:eastAsia="zh-CN"/>
        </w:rPr>
        <w:t>采用钢筋混凝土基础，钢柱</w:t>
      </w:r>
      <w:r>
        <w:rPr>
          <w:rFonts w:hint="eastAsia"/>
          <w:color w:val="auto"/>
          <w:lang w:val="en-US" w:eastAsia="zh-CN"/>
        </w:rPr>
        <w:t>，</w:t>
      </w:r>
      <w:r>
        <w:rPr>
          <w:rFonts w:hint="default"/>
          <w:color w:val="auto"/>
          <w:lang w:val="en-US" w:eastAsia="zh-CN"/>
        </w:rPr>
        <w:t>彩钢板屋面结构。围护结构采用彩钢板。</w:t>
      </w:r>
    </w:p>
    <w:p>
      <w:pPr>
        <w:rPr>
          <w:rFonts w:hint="default"/>
          <w:color w:val="auto"/>
          <w:lang w:val="en-US" w:eastAsia="zh-CN"/>
        </w:rPr>
      </w:pPr>
      <w:r>
        <w:rPr>
          <w:rFonts w:hint="eastAsia"/>
          <w:color w:val="auto"/>
          <w:lang w:val="en-US" w:eastAsia="zh-CN"/>
        </w:rPr>
        <w:t xml:space="preserve">2. </w:t>
      </w:r>
      <w:r>
        <w:rPr>
          <w:rFonts w:hint="default"/>
          <w:color w:val="auto"/>
          <w:lang w:val="en-US" w:eastAsia="zh-CN"/>
        </w:rPr>
        <w:t>筛洗及预选厂房</w:t>
      </w:r>
      <w:r>
        <w:rPr>
          <w:rFonts w:hint="eastAsia"/>
          <w:color w:val="auto"/>
          <w:lang w:val="en-US" w:eastAsia="zh-CN"/>
        </w:rPr>
        <w:t>：</w:t>
      </w:r>
      <w:r>
        <w:rPr>
          <w:rFonts w:hint="default"/>
          <w:color w:val="auto"/>
          <w:lang w:val="en-US" w:eastAsia="zh-CN"/>
        </w:rPr>
        <w:t>钢排架结构，尺寸为</w:t>
      </w:r>
      <w:r>
        <w:rPr>
          <w:rFonts w:hint="eastAsia"/>
          <w:color w:val="auto"/>
          <w:lang w:val="en-US" w:eastAsia="zh-CN"/>
        </w:rPr>
        <w:t>（</w:t>
      </w:r>
      <w:r>
        <w:rPr>
          <w:rFonts w:hint="default"/>
          <w:color w:val="auto"/>
          <w:lang w:val="en-US" w:eastAsia="zh-CN"/>
        </w:rPr>
        <w:t>27</w:t>
      </w:r>
      <w:r>
        <w:rPr>
          <w:rFonts w:hint="eastAsia" w:ascii="宋体" w:hAnsi="宋体" w:eastAsia="宋体" w:cs="宋体"/>
          <w:color w:val="auto"/>
          <w:lang w:val="en-US" w:eastAsia="zh-CN"/>
        </w:rPr>
        <w:t>×</w:t>
      </w:r>
      <w:r>
        <w:rPr>
          <w:rFonts w:hint="default"/>
          <w:color w:val="auto"/>
          <w:lang w:val="en-US" w:eastAsia="zh-CN"/>
        </w:rPr>
        <w:t>22.5</w:t>
      </w:r>
      <w:r>
        <w:rPr>
          <w:rFonts w:hint="eastAsia"/>
          <w:color w:val="auto"/>
          <w:lang w:val="en-US" w:eastAsia="zh-CN"/>
        </w:rPr>
        <w:t>），</w:t>
      </w:r>
      <w:r>
        <w:rPr>
          <w:rFonts w:hint="default"/>
          <w:color w:val="auto"/>
          <w:lang w:val="en-US" w:eastAsia="zh-CN"/>
        </w:rPr>
        <w:t>面积为1200</w:t>
      </w:r>
      <w:r>
        <w:rPr>
          <w:rFonts w:hint="eastAsia"/>
          <w:color w:val="auto"/>
          <w:lang w:val="en-US" w:eastAsia="zh-CN"/>
        </w:rPr>
        <w:t>m</w:t>
      </w:r>
      <w:r>
        <w:rPr>
          <w:rFonts w:hint="eastAsia"/>
          <w:color w:val="auto"/>
          <w:vertAlign w:val="superscript"/>
          <w:lang w:val="en-US" w:eastAsia="zh-CN"/>
        </w:rPr>
        <w:t>2</w:t>
      </w:r>
      <w:r>
        <w:rPr>
          <w:rFonts w:hint="default"/>
          <w:color w:val="auto"/>
          <w:lang w:val="en-US" w:eastAsia="zh-CN"/>
        </w:rPr>
        <w:t>，高为21m</w:t>
      </w:r>
      <w:r>
        <w:rPr>
          <w:rFonts w:hint="eastAsia"/>
          <w:color w:val="auto"/>
          <w:lang w:val="en-US" w:eastAsia="zh-CN"/>
        </w:rPr>
        <w:t>，</w:t>
      </w:r>
      <w:r>
        <w:rPr>
          <w:rFonts w:hint="default"/>
          <w:color w:val="auto"/>
          <w:lang w:val="en-US" w:eastAsia="zh-CN"/>
        </w:rPr>
        <w:t>采用钢筋混凝土基础，钢柱，彩钢板屋面结构，围护结构采用彩钢板。</w:t>
      </w:r>
    </w:p>
    <w:p>
      <w:pPr>
        <w:rPr>
          <w:rFonts w:hint="default"/>
          <w:color w:val="auto"/>
          <w:lang w:val="en-US" w:eastAsia="zh-CN"/>
        </w:rPr>
      </w:pPr>
      <w:r>
        <w:rPr>
          <w:rFonts w:hint="eastAsia"/>
          <w:color w:val="auto"/>
          <w:lang w:val="en-US" w:eastAsia="zh-CN"/>
        </w:rPr>
        <w:t xml:space="preserve">3. </w:t>
      </w:r>
      <w:r>
        <w:rPr>
          <w:rFonts w:hint="default"/>
          <w:color w:val="auto"/>
          <w:lang w:val="en-US" w:eastAsia="zh-CN"/>
        </w:rPr>
        <w:t>除铁器室</w:t>
      </w:r>
      <w:r>
        <w:rPr>
          <w:rFonts w:hint="eastAsia"/>
          <w:color w:val="auto"/>
          <w:lang w:val="en-US" w:eastAsia="zh-CN"/>
        </w:rPr>
        <w:t>：</w:t>
      </w:r>
      <w:r>
        <w:rPr>
          <w:rFonts w:hint="default"/>
          <w:color w:val="auto"/>
          <w:lang w:val="en-US" w:eastAsia="zh-CN"/>
        </w:rPr>
        <w:t>钢结构，尺寸为</w:t>
      </w:r>
      <w:r>
        <w:rPr>
          <w:rFonts w:hint="eastAsia"/>
          <w:color w:val="auto"/>
          <w:lang w:val="en-US" w:eastAsia="zh-CN"/>
        </w:rPr>
        <w:t>（</w:t>
      </w:r>
      <w:r>
        <w:rPr>
          <w:rFonts w:hint="default"/>
          <w:color w:val="auto"/>
          <w:lang w:val="en-US" w:eastAsia="zh-CN"/>
        </w:rPr>
        <w:t>6</w:t>
      </w:r>
      <w:r>
        <w:rPr>
          <w:rFonts w:hint="eastAsia" w:ascii="宋体" w:hAnsi="宋体" w:eastAsia="宋体" w:cs="宋体"/>
          <w:color w:val="auto"/>
          <w:lang w:val="en-US" w:eastAsia="zh-CN"/>
        </w:rPr>
        <w:t>×</w:t>
      </w:r>
      <w:r>
        <w:rPr>
          <w:rFonts w:hint="default"/>
          <w:color w:val="auto"/>
          <w:lang w:val="en-US" w:eastAsia="zh-CN"/>
        </w:rPr>
        <w:t>7.5</w:t>
      </w:r>
      <w:r>
        <w:rPr>
          <w:rFonts w:hint="eastAsia"/>
          <w:color w:val="auto"/>
          <w:lang w:val="en-US" w:eastAsia="zh-CN"/>
        </w:rPr>
        <w:t>），</w:t>
      </w:r>
      <w:r>
        <w:rPr>
          <w:rFonts w:hint="default"/>
          <w:color w:val="auto"/>
          <w:lang w:val="en-US" w:eastAsia="zh-CN"/>
        </w:rPr>
        <w:t>面积为90</w:t>
      </w:r>
      <w:r>
        <w:rPr>
          <w:rFonts w:hint="eastAsia"/>
          <w:color w:val="auto"/>
          <w:lang w:val="en-US" w:eastAsia="zh-CN"/>
        </w:rPr>
        <w:t>m</w:t>
      </w:r>
      <w:r>
        <w:rPr>
          <w:rFonts w:hint="eastAsia"/>
          <w:color w:val="auto"/>
          <w:vertAlign w:val="superscript"/>
          <w:lang w:val="en-US" w:eastAsia="zh-CN"/>
        </w:rPr>
        <w:t>2</w:t>
      </w:r>
      <w:r>
        <w:rPr>
          <w:rFonts w:hint="default"/>
          <w:color w:val="auto"/>
          <w:lang w:val="en-US" w:eastAsia="zh-CN"/>
        </w:rPr>
        <w:t>，高6m</w:t>
      </w:r>
      <w:r>
        <w:rPr>
          <w:rFonts w:hint="eastAsia"/>
          <w:color w:val="auto"/>
          <w:lang w:val="en-US" w:eastAsia="zh-CN"/>
        </w:rPr>
        <w:t>，</w:t>
      </w:r>
      <w:r>
        <w:rPr>
          <w:rFonts w:hint="default"/>
          <w:color w:val="auto"/>
          <w:lang w:val="en-US" w:eastAsia="zh-CN"/>
        </w:rPr>
        <w:t>采用钢筋混凝土基础，钢柱，彩钢板屋面结构。</w:t>
      </w:r>
    </w:p>
    <w:p>
      <w:pPr>
        <w:rPr>
          <w:rFonts w:hint="default"/>
          <w:color w:val="auto"/>
          <w:lang w:val="en-US" w:eastAsia="zh-CN"/>
        </w:rPr>
      </w:pPr>
      <w:r>
        <w:rPr>
          <w:rFonts w:hint="eastAsia"/>
          <w:color w:val="auto"/>
          <w:lang w:val="en-US" w:eastAsia="zh-CN"/>
        </w:rPr>
        <w:t xml:space="preserve">4. </w:t>
      </w:r>
      <w:r>
        <w:rPr>
          <w:rFonts w:hint="default"/>
          <w:color w:val="auto"/>
          <w:lang w:val="en-US" w:eastAsia="zh-CN"/>
        </w:rPr>
        <w:t>中细碎车间</w:t>
      </w:r>
      <w:r>
        <w:rPr>
          <w:rFonts w:hint="eastAsia"/>
          <w:color w:val="auto"/>
          <w:lang w:val="en-US" w:eastAsia="zh-CN"/>
        </w:rPr>
        <w:t>：</w:t>
      </w:r>
      <w:r>
        <w:rPr>
          <w:rFonts w:hint="default"/>
          <w:color w:val="auto"/>
          <w:lang w:val="en-US" w:eastAsia="zh-CN"/>
        </w:rPr>
        <w:t>钢排架结构，尺寸为</w:t>
      </w:r>
      <w:r>
        <w:rPr>
          <w:rFonts w:hint="eastAsia"/>
          <w:color w:val="auto"/>
          <w:lang w:val="en-US" w:eastAsia="zh-CN"/>
        </w:rPr>
        <w:t>（</w:t>
      </w:r>
      <w:r>
        <w:rPr>
          <w:rFonts w:hint="default"/>
          <w:color w:val="auto"/>
          <w:lang w:val="en-US" w:eastAsia="zh-CN"/>
        </w:rPr>
        <w:t>12</w:t>
      </w:r>
      <w:r>
        <w:rPr>
          <w:rFonts w:hint="eastAsia" w:ascii="宋体" w:hAnsi="宋体" w:eastAsia="宋体" w:cs="宋体"/>
          <w:color w:val="auto"/>
          <w:lang w:val="en-US" w:eastAsia="zh-CN"/>
        </w:rPr>
        <w:t>×</w:t>
      </w:r>
      <w:r>
        <w:rPr>
          <w:rFonts w:hint="default"/>
          <w:color w:val="auto"/>
          <w:lang w:val="en-US" w:eastAsia="zh-CN"/>
        </w:rPr>
        <w:t>12</w:t>
      </w:r>
      <w:r>
        <w:rPr>
          <w:rFonts w:hint="eastAsia"/>
          <w:color w:val="auto"/>
          <w:lang w:val="en-US" w:eastAsia="zh-CN"/>
        </w:rPr>
        <w:t>），</w:t>
      </w:r>
      <w:r>
        <w:rPr>
          <w:rFonts w:hint="default"/>
          <w:color w:val="auto"/>
          <w:lang w:val="en-US" w:eastAsia="zh-CN"/>
        </w:rPr>
        <w:t>面积为276m</w:t>
      </w:r>
      <w:r>
        <w:rPr>
          <w:rFonts w:hint="eastAsia"/>
          <w:color w:val="auto"/>
          <w:vertAlign w:val="superscript"/>
          <w:lang w:val="en-US" w:eastAsia="zh-CN"/>
        </w:rPr>
        <w:t>2</w:t>
      </w:r>
      <w:r>
        <w:rPr>
          <w:rFonts w:hint="default"/>
          <w:color w:val="auto"/>
          <w:lang w:val="en-US" w:eastAsia="zh-CN"/>
        </w:rPr>
        <w:t>，高13m，采用钢筋混凝土基础</w:t>
      </w:r>
      <w:r>
        <w:rPr>
          <w:rFonts w:hint="eastAsia"/>
          <w:color w:val="auto"/>
          <w:lang w:val="en-US" w:eastAsia="zh-CN"/>
        </w:rPr>
        <w:t>，</w:t>
      </w:r>
      <w:r>
        <w:rPr>
          <w:rFonts w:hint="default"/>
          <w:color w:val="auto"/>
          <w:lang w:val="en-US" w:eastAsia="zh-CN"/>
        </w:rPr>
        <w:t>钢柱，彩钢板屋面结构，围护采用彩钢板。</w:t>
      </w:r>
    </w:p>
    <w:p>
      <w:pPr>
        <w:rPr>
          <w:rFonts w:hint="default"/>
          <w:color w:val="auto"/>
          <w:lang w:val="en-US" w:eastAsia="zh-CN"/>
        </w:rPr>
      </w:pPr>
      <w:r>
        <w:rPr>
          <w:rFonts w:hint="eastAsia"/>
          <w:color w:val="auto"/>
          <w:lang w:val="en-US" w:eastAsia="zh-CN"/>
        </w:rPr>
        <w:t xml:space="preserve">5. </w:t>
      </w:r>
      <w:r>
        <w:rPr>
          <w:rFonts w:hint="default"/>
          <w:color w:val="auto"/>
          <w:lang w:val="en-US" w:eastAsia="zh-CN"/>
        </w:rPr>
        <w:t>筛分厂房</w:t>
      </w:r>
      <w:r>
        <w:rPr>
          <w:rFonts w:hint="eastAsia"/>
          <w:color w:val="auto"/>
          <w:lang w:val="en-US" w:eastAsia="zh-CN"/>
        </w:rPr>
        <w:t>：</w:t>
      </w:r>
      <w:r>
        <w:rPr>
          <w:rFonts w:hint="default"/>
          <w:color w:val="auto"/>
          <w:lang w:val="en-US" w:eastAsia="zh-CN"/>
        </w:rPr>
        <w:t>钢排架结构，尺寸为</w:t>
      </w:r>
      <w:r>
        <w:rPr>
          <w:rFonts w:hint="eastAsia"/>
          <w:color w:val="auto"/>
          <w:lang w:val="en-US" w:eastAsia="zh-CN"/>
        </w:rPr>
        <w:t>（</w:t>
      </w:r>
      <w:r>
        <w:rPr>
          <w:rFonts w:hint="default"/>
          <w:color w:val="auto"/>
          <w:lang w:val="en-US" w:eastAsia="zh-CN"/>
        </w:rPr>
        <w:t>12</w:t>
      </w:r>
      <w:r>
        <w:rPr>
          <w:rFonts w:hint="eastAsia" w:ascii="宋体" w:hAnsi="宋体" w:eastAsia="宋体" w:cs="宋体"/>
          <w:color w:val="auto"/>
          <w:lang w:val="en-US" w:eastAsia="zh-CN"/>
        </w:rPr>
        <w:t>×</w:t>
      </w:r>
      <w:r>
        <w:rPr>
          <w:rFonts w:hint="default"/>
          <w:color w:val="auto"/>
          <w:lang w:val="en-US" w:eastAsia="zh-CN"/>
        </w:rPr>
        <w:t>12+6</w:t>
      </w:r>
      <w:r>
        <w:rPr>
          <w:rFonts w:hint="eastAsia" w:ascii="宋体" w:hAnsi="宋体" w:eastAsia="宋体" w:cs="宋体"/>
          <w:color w:val="auto"/>
          <w:lang w:val="en-US" w:eastAsia="zh-CN"/>
        </w:rPr>
        <w:t>×</w:t>
      </w:r>
      <w:r>
        <w:rPr>
          <w:rFonts w:hint="default"/>
          <w:color w:val="auto"/>
          <w:lang w:val="en-US" w:eastAsia="zh-CN"/>
        </w:rPr>
        <w:t>6</w:t>
      </w:r>
      <w:r>
        <w:rPr>
          <w:rFonts w:hint="eastAsia"/>
          <w:color w:val="auto"/>
          <w:lang w:val="en-US" w:eastAsia="zh-CN"/>
        </w:rPr>
        <w:t>），</w:t>
      </w:r>
      <w:r>
        <w:rPr>
          <w:rFonts w:hint="default"/>
          <w:color w:val="auto"/>
          <w:lang w:val="en-US" w:eastAsia="zh-CN"/>
        </w:rPr>
        <w:t>面积307.8m</w:t>
      </w:r>
      <w:r>
        <w:rPr>
          <w:rFonts w:hint="eastAsia"/>
          <w:color w:val="auto"/>
          <w:vertAlign w:val="superscript"/>
          <w:lang w:val="en-US" w:eastAsia="zh-CN"/>
        </w:rPr>
        <w:t>2</w:t>
      </w:r>
      <w:r>
        <w:rPr>
          <w:rFonts w:hint="default"/>
          <w:color w:val="auto"/>
          <w:lang w:val="en-US" w:eastAsia="zh-CN"/>
        </w:rPr>
        <w:t>，高16m，钢筋混凝土基础，钢柱，彩钢板屋面结构，围护采用彩钢板。</w:t>
      </w:r>
    </w:p>
    <w:p>
      <w:pPr>
        <w:rPr>
          <w:rFonts w:hint="default"/>
          <w:color w:val="auto"/>
          <w:lang w:val="en-US" w:eastAsia="zh-CN"/>
        </w:rPr>
      </w:pPr>
      <w:r>
        <w:rPr>
          <w:rFonts w:hint="eastAsia"/>
          <w:color w:val="auto"/>
          <w:lang w:val="en-US" w:eastAsia="zh-CN"/>
        </w:rPr>
        <w:t xml:space="preserve">6. </w:t>
      </w:r>
      <w:r>
        <w:rPr>
          <w:rFonts w:hint="default"/>
          <w:color w:val="auto"/>
          <w:lang w:val="en-US" w:eastAsia="zh-CN"/>
        </w:rPr>
        <w:t>细碎厂房</w:t>
      </w:r>
      <w:r>
        <w:rPr>
          <w:rFonts w:hint="eastAsia"/>
          <w:color w:val="auto"/>
          <w:lang w:val="en-US" w:eastAsia="zh-CN"/>
        </w:rPr>
        <w:t>：</w:t>
      </w:r>
      <w:r>
        <w:rPr>
          <w:rFonts w:hint="default"/>
          <w:color w:val="auto"/>
          <w:lang w:val="en-US" w:eastAsia="zh-CN"/>
        </w:rPr>
        <w:t>钢排架结构，尺寸为</w:t>
      </w:r>
      <w:r>
        <w:rPr>
          <w:rFonts w:hint="eastAsia"/>
          <w:color w:val="auto"/>
          <w:lang w:val="en-US" w:eastAsia="zh-CN"/>
        </w:rPr>
        <w:t>（</w:t>
      </w:r>
      <w:r>
        <w:rPr>
          <w:rFonts w:hint="default"/>
          <w:color w:val="auto"/>
          <w:lang w:val="en-US" w:eastAsia="zh-CN"/>
        </w:rPr>
        <w:t>12</w:t>
      </w:r>
      <w:r>
        <w:rPr>
          <w:rFonts w:hint="eastAsia" w:ascii="宋体" w:hAnsi="宋体" w:eastAsia="宋体" w:cs="宋体"/>
          <w:color w:val="auto"/>
          <w:lang w:val="en-US" w:eastAsia="zh-CN"/>
        </w:rPr>
        <w:t>×</w:t>
      </w:r>
      <w:r>
        <w:rPr>
          <w:rFonts w:hint="default"/>
          <w:color w:val="auto"/>
          <w:lang w:val="en-US" w:eastAsia="zh-CN"/>
        </w:rPr>
        <w:t>12+6</w:t>
      </w:r>
      <w:r>
        <w:rPr>
          <w:rFonts w:hint="eastAsia" w:ascii="宋体" w:hAnsi="宋体" w:eastAsia="宋体" w:cs="宋体"/>
          <w:color w:val="auto"/>
          <w:lang w:val="en-US" w:eastAsia="zh-CN"/>
        </w:rPr>
        <w:t>×</w:t>
      </w:r>
      <w:r>
        <w:rPr>
          <w:rFonts w:hint="default"/>
          <w:color w:val="auto"/>
          <w:lang w:val="en-US" w:eastAsia="zh-CN"/>
        </w:rPr>
        <w:t>6</w:t>
      </w:r>
      <w:r>
        <w:rPr>
          <w:rFonts w:hint="eastAsia"/>
          <w:color w:val="auto"/>
          <w:lang w:val="en-US" w:eastAsia="zh-CN"/>
        </w:rPr>
        <w:t>），</w:t>
      </w:r>
      <w:r>
        <w:rPr>
          <w:rFonts w:hint="default"/>
          <w:color w:val="auto"/>
          <w:lang w:val="en-US" w:eastAsia="zh-CN"/>
        </w:rPr>
        <w:t>面积288m</w:t>
      </w:r>
      <w:r>
        <w:rPr>
          <w:rFonts w:hint="eastAsia"/>
          <w:color w:val="auto"/>
          <w:vertAlign w:val="superscript"/>
          <w:lang w:val="en-US" w:eastAsia="zh-CN"/>
        </w:rPr>
        <w:t>2</w:t>
      </w:r>
      <w:r>
        <w:rPr>
          <w:rFonts w:hint="default"/>
          <w:color w:val="auto"/>
          <w:lang w:val="en-US" w:eastAsia="zh-CN"/>
        </w:rPr>
        <w:t>，高16m，钢筋混凝土基础，钢柱，彩钢板屋面结构，围护采用彩钢板。</w:t>
      </w:r>
    </w:p>
    <w:p>
      <w:pPr>
        <w:rPr>
          <w:rFonts w:hint="default"/>
          <w:color w:val="auto"/>
          <w:lang w:val="en-US" w:eastAsia="zh-CN"/>
        </w:rPr>
      </w:pPr>
      <w:r>
        <w:rPr>
          <w:rFonts w:hint="eastAsia"/>
          <w:color w:val="auto"/>
          <w:lang w:val="en-US" w:eastAsia="zh-CN"/>
        </w:rPr>
        <w:t xml:space="preserve">7. </w:t>
      </w:r>
      <w:r>
        <w:rPr>
          <w:rFonts w:hint="default"/>
          <w:color w:val="auto"/>
          <w:lang w:val="en-US" w:eastAsia="zh-CN"/>
        </w:rPr>
        <w:t>转运站</w:t>
      </w:r>
      <w:r>
        <w:rPr>
          <w:rFonts w:hint="eastAsia"/>
          <w:color w:val="auto"/>
          <w:lang w:val="en-US" w:eastAsia="zh-CN"/>
        </w:rPr>
        <w:t>：</w:t>
      </w:r>
      <w:r>
        <w:rPr>
          <w:rFonts w:hint="default"/>
          <w:color w:val="auto"/>
          <w:lang w:val="en-US" w:eastAsia="zh-CN"/>
        </w:rPr>
        <w:t>钢结构，尺寸为</w:t>
      </w:r>
      <w:r>
        <w:rPr>
          <w:rFonts w:hint="eastAsia"/>
          <w:color w:val="auto"/>
          <w:lang w:val="en-US" w:eastAsia="zh-CN"/>
        </w:rPr>
        <w:t>（</w:t>
      </w:r>
      <w:r>
        <w:rPr>
          <w:rFonts w:hint="default"/>
          <w:color w:val="auto"/>
          <w:lang w:val="en-US" w:eastAsia="zh-CN"/>
        </w:rPr>
        <w:t>7.5</w:t>
      </w:r>
      <w:r>
        <w:rPr>
          <w:rFonts w:hint="eastAsia" w:ascii="宋体" w:hAnsi="宋体" w:eastAsia="宋体" w:cs="宋体"/>
          <w:color w:val="auto"/>
          <w:lang w:val="en-US" w:eastAsia="zh-CN"/>
        </w:rPr>
        <w:t>×</w:t>
      </w:r>
      <w:r>
        <w:rPr>
          <w:rFonts w:hint="default"/>
          <w:color w:val="auto"/>
          <w:lang w:val="en-US" w:eastAsia="zh-CN"/>
        </w:rPr>
        <w:t>7.5</w:t>
      </w:r>
      <w:r>
        <w:rPr>
          <w:rFonts w:hint="eastAsia"/>
          <w:color w:val="auto"/>
          <w:lang w:val="en-US" w:eastAsia="zh-CN"/>
        </w:rPr>
        <w:t>），</w:t>
      </w:r>
      <w:r>
        <w:rPr>
          <w:rFonts w:hint="default"/>
          <w:color w:val="auto"/>
          <w:lang w:val="en-US" w:eastAsia="zh-CN"/>
        </w:rPr>
        <w:t>面积为159m</w:t>
      </w:r>
      <w:r>
        <w:rPr>
          <w:rFonts w:hint="eastAsia"/>
          <w:color w:val="auto"/>
          <w:vertAlign w:val="superscript"/>
          <w:lang w:val="en-US" w:eastAsia="zh-CN"/>
        </w:rPr>
        <w:t>2</w:t>
      </w:r>
      <w:r>
        <w:rPr>
          <w:rFonts w:hint="default"/>
          <w:color w:val="auto"/>
          <w:lang w:val="en-US" w:eastAsia="zh-CN"/>
        </w:rPr>
        <w:t>，高23m</w:t>
      </w:r>
      <w:r>
        <w:rPr>
          <w:rFonts w:hint="eastAsia"/>
          <w:color w:val="auto"/>
          <w:lang w:val="en-US" w:eastAsia="zh-CN"/>
        </w:rPr>
        <w:t>，</w:t>
      </w:r>
      <w:r>
        <w:rPr>
          <w:rFonts w:hint="default"/>
          <w:color w:val="auto"/>
          <w:lang w:val="en-US" w:eastAsia="zh-CN"/>
        </w:rPr>
        <w:t>采用钢筋混凝土基础，钢柱，彩钢板屋面结构。</w:t>
      </w:r>
    </w:p>
    <w:p>
      <w:pPr>
        <w:rPr>
          <w:rFonts w:hint="default"/>
          <w:color w:val="auto"/>
          <w:lang w:val="en-US" w:eastAsia="zh-CN"/>
        </w:rPr>
      </w:pPr>
      <w:r>
        <w:rPr>
          <w:rFonts w:hint="eastAsia"/>
          <w:color w:val="auto"/>
          <w:lang w:val="en-US" w:eastAsia="zh-CN"/>
        </w:rPr>
        <w:t xml:space="preserve">8. </w:t>
      </w:r>
      <w:r>
        <w:rPr>
          <w:rFonts w:hint="default"/>
          <w:color w:val="auto"/>
          <w:lang w:val="en-US" w:eastAsia="zh-CN"/>
        </w:rPr>
        <w:t>粉矿仓</w:t>
      </w:r>
      <w:r>
        <w:rPr>
          <w:rFonts w:hint="eastAsia"/>
          <w:color w:val="auto"/>
          <w:lang w:val="en-US" w:eastAsia="zh-CN"/>
        </w:rPr>
        <w:t>：</w:t>
      </w:r>
      <w:r>
        <w:rPr>
          <w:rFonts w:hint="default"/>
          <w:color w:val="auto"/>
          <w:lang w:val="en-US" w:eastAsia="zh-CN"/>
        </w:rPr>
        <w:t>尺寸为</w:t>
      </w:r>
      <w:r>
        <w:rPr>
          <w:rFonts w:hint="eastAsia"/>
          <w:color w:val="auto"/>
          <w:lang w:val="en-US" w:eastAsia="zh-CN"/>
        </w:rPr>
        <w:t>（</w:t>
      </w:r>
      <w:r>
        <w:rPr>
          <w:rFonts w:hint="default"/>
          <w:color w:val="auto"/>
          <w:lang w:val="en-US" w:eastAsia="zh-CN"/>
        </w:rPr>
        <w:t>7.5</w:t>
      </w:r>
      <w:r>
        <w:rPr>
          <w:rFonts w:hint="eastAsia" w:ascii="宋体" w:hAnsi="宋体" w:eastAsia="宋体" w:cs="宋体"/>
          <w:color w:val="auto"/>
          <w:lang w:val="en-US" w:eastAsia="zh-CN"/>
        </w:rPr>
        <w:t>×</w:t>
      </w:r>
      <w:r>
        <w:rPr>
          <w:rFonts w:hint="default"/>
          <w:color w:val="auto"/>
          <w:lang w:val="en-US" w:eastAsia="zh-CN"/>
        </w:rPr>
        <w:t>15</w:t>
      </w:r>
      <w:r>
        <w:rPr>
          <w:rFonts w:hint="eastAsia"/>
          <w:color w:val="auto"/>
          <w:lang w:val="en-US" w:eastAsia="zh-CN"/>
        </w:rPr>
        <w:t>）</w:t>
      </w:r>
      <w:r>
        <w:rPr>
          <w:rFonts w:hint="default"/>
          <w:color w:val="auto"/>
          <w:lang w:val="en-US" w:eastAsia="zh-CN"/>
        </w:rPr>
        <w:t>，面积为450m</w:t>
      </w:r>
      <w:r>
        <w:rPr>
          <w:rFonts w:hint="eastAsia"/>
          <w:color w:val="auto"/>
          <w:vertAlign w:val="superscript"/>
          <w:lang w:val="en-US" w:eastAsia="zh-CN"/>
        </w:rPr>
        <w:t>2</w:t>
      </w:r>
      <w:r>
        <w:rPr>
          <w:rFonts w:hint="default"/>
          <w:color w:val="auto"/>
          <w:lang w:val="en-US" w:eastAsia="zh-CN"/>
        </w:rPr>
        <w:t>，高24m，为钢筋混凝土结构。采用钢筋混凝土基础，钢筋混凝土墙柱，混凝土屋面结构。</w:t>
      </w:r>
    </w:p>
    <w:p>
      <w:pPr>
        <w:rPr>
          <w:rFonts w:hint="default"/>
          <w:color w:val="auto"/>
          <w:lang w:val="en-US" w:eastAsia="zh-CN"/>
        </w:rPr>
      </w:pPr>
      <w:r>
        <w:rPr>
          <w:rFonts w:hint="eastAsia"/>
          <w:color w:val="auto"/>
          <w:lang w:val="en-US" w:eastAsia="zh-CN"/>
        </w:rPr>
        <w:t xml:space="preserve">9. </w:t>
      </w:r>
      <w:r>
        <w:rPr>
          <w:rFonts w:hint="default"/>
          <w:color w:val="auto"/>
          <w:lang w:val="en-US" w:eastAsia="zh-CN"/>
        </w:rPr>
        <w:t>主厂房</w:t>
      </w:r>
      <w:r>
        <w:rPr>
          <w:rFonts w:hint="eastAsia"/>
          <w:color w:val="auto"/>
          <w:lang w:val="en-US" w:eastAsia="zh-CN"/>
        </w:rPr>
        <w:t>：</w:t>
      </w:r>
      <w:r>
        <w:rPr>
          <w:rFonts w:hint="default"/>
          <w:color w:val="auto"/>
          <w:lang w:val="en-US" w:eastAsia="zh-CN"/>
        </w:rPr>
        <w:t>钢排架结构，尺寸为</w:t>
      </w:r>
      <w:r>
        <w:rPr>
          <w:rFonts w:hint="eastAsia"/>
          <w:color w:val="auto"/>
          <w:lang w:val="en-US" w:eastAsia="zh-CN"/>
        </w:rPr>
        <w:t>（（</w:t>
      </w:r>
      <w:r>
        <w:rPr>
          <w:rFonts w:hint="default"/>
          <w:color w:val="auto"/>
          <w:lang w:val="en-US" w:eastAsia="zh-CN"/>
        </w:rPr>
        <w:t>27+36+12</w:t>
      </w:r>
      <w:r>
        <w:rPr>
          <w:rFonts w:hint="eastAsia"/>
          <w:color w:val="auto"/>
          <w:lang w:val="en-US" w:eastAsia="zh-CN"/>
        </w:rPr>
        <w:t>）</w:t>
      </w:r>
      <w:r>
        <w:rPr>
          <w:rFonts w:hint="eastAsia" w:ascii="宋体" w:hAnsi="宋体" w:eastAsia="宋体" w:cs="宋体"/>
          <w:color w:val="auto"/>
          <w:lang w:val="en-US" w:eastAsia="zh-CN"/>
        </w:rPr>
        <w:t>×</w:t>
      </w:r>
      <w:r>
        <w:rPr>
          <w:rFonts w:hint="default"/>
          <w:color w:val="auto"/>
          <w:lang w:val="en-US" w:eastAsia="zh-CN"/>
        </w:rPr>
        <w:t>60</w:t>
      </w:r>
      <w:r>
        <w:rPr>
          <w:rFonts w:hint="eastAsia"/>
          <w:color w:val="auto"/>
          <w:lang w:val="en-US" w:eastAsia="zh-CN"/>
        </w:rPr>
        <w:t>），</w:t>
      </w:r>
      <w:r>
        <w:rPr>
          <w:rFonts w:hint="default"/>
          <w:color w:val="auto"/>
          <w:lang w:val="en-US" w:eastAsia="zh-CN"/>
        </w:rPr>
        <w:t>面积为7870m</w:t>
      </w:r>
      <w:r>
        <w:rPr>
          <w:rFonts w:hint="eastAsia"/>
          <w:color w:val="auto"/>
          <w:vertAlign w:val="superscript"/>
          <w:lang w:val="en-US" w:eastAsia="zh-CN"/>
        </w:rPr>
        <w:t>2</w:t>
      </w:r>
      <w:r>
        <w:rPr>
          <w:rFonts w:hint="default"/>
          <w:color w:val="auto"/>
          <w:lang w:val="en-US" w:eastAsia="zh-CN"/>
        </w:rPr>
        <w:t>，高分别为17.5m，12m，14m。采用钢筋混凝土基础，钢柱，彩钢板屋面结构，围护结构采用彩钢板。</w:t>
      </w:r>
    </w:p>
    <w:p>
      <w:pPr>
        <w:rPr>
          <w:rFonts w:hint="default"/>
          <w:color w:val="auto"/>
          <w:lang w:val="en-US" w:eastAsia="zh-CN"/>
        </w:rPr>
      </w:pPr>
      <w:r>
        <w:rPr>
          <w:rFonts w:hint="default"/>
          <w:color w:val="auto"/>
          <w:lang w:val="en-US" w:eastAsia="zh-CN"/>
        </w:rPr>
        <w:t>10</w:t>
      </w:r>
      <w:r>
        <w:rPr>
          <w:rFonts w:hint="eastAsia"/>
          <w:color w:val="auto"/>
          <w:lang w:val="en-US" w:eastAsia="zh-CN"/>
        </w:rPr>
        <w:t xml:space="preserve">. </w:t>
      </w:r>
      <w:r>
        <w:rPr>
          <w:rFonts w:hint="default"/>
          <w:color w:val="auto"/>
          <w:lang w:val="en-US" w:eastAsia="zh-CN"/>
        </w:rPr>
        <w:t>细泥浓缩池</w:t>
      </w:r>
      <w:r>
        <w:rPr>
          <w:rFonts w:hint="eastAsia"/>
          <w:color w:val="auto"/>
          <w:lang w:val="en-US" w:eastAsia="zh-CN"/>
        </w:rPr>
        <w:t>：</w:t>
      </w:r>
      <w:r>
        <w:rPr>
          <w:rFonts w:hint="default"/>
          <w:color w:val="auto"/>
          <w:lang w:val="en-US" w:eastAsia="zh-CN"/>
        </w:rPr>
        <w:t>钢筋混凝土结构，直径</w:t>
      </w:r>
      <w:r>
        <w:rPr>
          <w:rFonts w:hint="default" w:ascii="Times New Roman" w:hAnsi="Times New Roman" w:eastAsia="宋体" w:cs="Times New Roman"/>
          <w:color w:val="auto"/>
          <w:lang w:val="en-US" w:eastAsia="zh-CN"/>
        </w:rPr>
        <w:t>Ф</w:t>
      </w:r>
      <w:r>
        <w:rPr>
          <w:rFonts w:hint="default"/>
          <w:color w:val="auto"/>
          <w:lang w:val="en-US" w:eastAsia="zh-CN"/>
        </w:rPr>
        <w:t>=18m，面积为255m</w:t>
      </w:r>
      <w:r>
        <w:rPr>
          <w:rFonts w:hint="default"/>
          <w:color w:val="auto"/>
          <w:vertAlign w:val="superscript"/>
          <w:lang w:val="en-US" w:eastAsia="zh-CN"/>
        </w:rPr>
        <w:t>2</w:t>
      </w:r>
      <w:r>
        <w:rPr>
          <w:rFonts w:hint="default"/>
          <w:color w:val="auto"/>
          <w:lang w:val="en-US" w:eastAsia="zh-CN"/>
        </w:rPr>
        <w:t>，采用钢筋混凝土基础，钢筋混凝土仓壁</w:t>
      </w:r>
      <w:r>
        <w:rPr>
          <w:rFonts w:hint="eastAsia"/>
          <w:color w:val="auto"/>
          <w:lang w:val="en-US" w:eastAsia="zh-CN"/>
        </w:rPr>
        <w:t>。</w:t>
      </w:r>
    </w:p>
    <w:p>
      <w:pPr>
        <w:rPr>
          <w:rFonts w:hint="default"/>
          <w:color w:val="auto"/>
          <w:lang w:val="en-US" w:eastAsia="zh-CN"/>
        </w:rPr>
      </w:pPr>
      <w:r>
        <w:rPr>
          <w:rFonts w:hint="default"/>
          <w:color w:val="auto"/>
          <w:lang w:val="en-US" w:eastAsia="zh-CN"/>
        </w:rPr>
        <w:t>11</w:t>
      </w:r>
      <w:r>
        <w:rPr>
          <w:rFonts w:hint="eastAsia"/>
          <w:color w:val="auto"/>
          <w:lang w:val="en-US" w:eastAsia="zh-CN"/>
        </w:rPr>
        <w:t xml:space="preserve">. </w:t>
      </w:r>
      <w:r>
        <w:rPr>
          <w:rFonts w:hint="default"/>
          <w:color w:val="auto"/>
          <w:lang w:val="en-US" w:eastAsia="zh-CN"/>
        </w:rPr>
        <w:t>尾矿浓缩池</w:t>
      </w:r>
      <w:r>
        <w:rPr>
          <w:rFonts w:hint="eastAsia"/>
          <w:color w:val="auto"/>
          <w:lang w:val="en-US" w:eastAsia="zh-CN"/>
        </w:rPr>
        <w:t>：</w:t>
      </w:r>
      <w:r>
        <w:rPr>
          <w:rFonts w:hint="default"/>
          <w:color w:val="auto"/>
          <w:lang w:val="en-US" w:eastAsia="zh-CN"/>
        </w:rPr>
        <w:t>钢筋混凝土结构，直径</w:t>
      </w:r>
      <w:r>
        <w:rPr>
          <w:rFonts w:hint="default" w:ascii="Times New Roman" w:hAnsi="Times New Roman" w:eastAsia="宋体" w:cs="Times New Roman"/>
          <w:color w:val="auto"/>
          <w:lang w:val="en-US" w:eastAsia="zh-CN"/>
        </w:rPr>
        <w:t>Ф</w:t>
      </w:r>
      <w:r>
        <w:rPr>
          <w:rFonts w:hint="default"/>
          <w:color w:val="auto"/>
          <w:lang w:val="en-US" w:eastAsia="zh-CN"/>
        </w:rPr>
        <w:t>=20m，面积为314m</w:t>
      </w:r>
      <w:r>
        <w:rPr>
          <w:rFonts w:hint="default"/>
          <w:color w:val="auto"/>
          <w:vertAlign w:val="superscript"/>
          <w:lang w:val="en-US" w:eastAsia="zh-CN"/>
        </w:rPr>
        <w:t>2</w:t>
      </w:r>
      <w:r>
        <w:rPr>
          <w:rFonts w:hint="eastAsia"/>
          <w:color w:val="auto"/>
          <w:lang w:val="en-US" w:eastAsia="zh-CN"/>
        </w:rPr>
        <w:t>，</w:t>
      </w:r>
      <w:r>
        <w:rPr>
          <w:rFonts w:hint="default"/>
          <w:color w:val="auto"/>
          <w:lang w:val="en-US" w:eastAsia="zh-CN"/>
        </w:rPr>
        <w:t>采用钢筋混凝土基础，钢筋混凝土仓壁。</w:t>
      </w:r>
    </w:p>
    <w:p>
      <w:pPr>
        <w:rPr>
          <w:rFonts w:hint="default"/>
          <w:color w:val="auto"/>
          <w:lang w:val="en-US" w:eastAsia="zh-CN"/>
        </w:rPr>
      </w:pPr>
      <w:r>
        <w:rPr>
          <w:rFonts w:hint="default"/>
          <w:color w:val="auto"/>
          <w:lang w:val="en-US" w:eastAsia="zh-CN"/>
        </w:rPr>
        <w:t>12</w:t>
      </w:r>
      <w:r>
        <w:rPr>
          <w:rFonts w:hint="eastAsia"/>
          <w:color w:val="auto"/>
          <w:lang w:val="en-US" w:eastAsia="zh-CN"/>
        </w:rPr>
        <w:t xml:space="preserve">. </w:t>
      </w:r>
      <w:r>
        <w:rPr>
          <w:rFonts w:hint="default"/>
          <w:color w:val="auto"/>
          <w:lang w:val="en-US" w:eastAsia="zh-CN"/>
        </w:rPr>
        <w:t>废石仓：尺寸为（7.5</w:t>
      </w:r>
      <w:r>
        <w:rPr>
          <w:rFonts w:hint="eastAsia" w:ascii="宋体" w:hAnsi="宋体" w:eastAsia="宋体" w:cs="宋体"/>
          <w:color w:val="auto"/>
          <w:lang w:val="en-US" w:eastAsia="zh-CN"/>
        </w:rPr>
        <w:t>×</w:t>
      </w:r>
      <w:r>
        <w:rPr>
          <w:rFonts w:hint="default"/>
          <w:color w:val="auto"/>
          <w:lang w:val="en-US" w:eastAsia="zh-CN"/>
        </w:rPr>
        <w:t>7.5），面积为170m</w:t>
      </w:r>
      <w:r>
        <w:rPr>
          <w:rFonts w:hint="default"/>
          <w:color w:val="auto"/>
          <w:vertAlign w:val="superscript"/>
          <w:lang w:val="en-US" w:eastAsia="zh-CN"/>
        </w:rPr>
        <w:t>2</w:t>
      </w:r>
      <w:r>
        <w:rPr>
          <w:rFonts w:hint="default"/>
          <w:color w:val="auto"/>
          <w:lang w:val="en-US" w:eastAsia="zh-CN"/>
        </w:rPr>
        <w:t>，高21m</w:t>
      </w:r>
      <w:r>
        <w:rPr>
          <w:rFonts w:hint="eastAsia"/>
          <w:color w:val="auto"/>
          <w:lang w:val="en-US" w:eastAsia="zh-CN"/>
        </w:rPr>
        <w:t>，</w:t>
      </w:r>
      <w:r>
        <w:rPr>
          <w:rFonts w:hint="default"/>
          <w:color w:val="auto"/>
          <w:lang w:val="en-US" w:eastAsia="zh-CN"/>
        </w:rPr>
        <w:t>为钢筋混凝土结构。采用钢筋混凝土基础，钢筋混凝土墙柱，混凝土屋面结构。</w:t>
      </w:r>
    </w:p>
    <w:p>
      <w:pPr>
        <w:rPr>
          <w:rFonts w:hint="default"/>
          <w:color w:val="auto"/>
          <w:lang w:val="en-US" w:eastAsia="zh-CN"/>
        </w:rPr>
      </w:pPr>
      <w:r>
        <w:rPr>
          <w:rFonts w:hint="default"/>
          <w:color w:val="auto"/>
          <w:lang w:val="en-US" w:eastAsia="zh-CN"/>
        </w:rPr>
        <w:t>13</w:t>
      </w:r>
      <w:r>
        <w:rPr>
          <w:rFonts w:hint="eastAsia"/>
          <w:color w:val="auto"/>
          <w:lang w:val="en-US" w:eastAsia="zh-CN"/>
        </w:rPr>
        <w:t xml:space="preserve">. </w:t>
      </w:r>
      <w:r>
        <w:rPr>
          <w:rFonts w:hint="default"/>
          <w:color w:val="auto"/>
          <w:lang w:val="en-US" w:eastAsia="zh-CN"/>
        </w:rPr>
        <w:t>尾矿选砂车间：钢排架结构，尺寸为</w:t>
      </w:r>
      <w:r>
        <w:rPr>
          <w:rFonts w:hint="eastAsia"/>
          <w:color w:val="auto"/>
          <w:lang w:val="en-US" w:eastAsia="zh-CN"/>
        </w:rPr>
        <w:t>（</w:t>
      </w:r>
      <w:r>
        <w:rPr>
          <w:rFonts w:hint="default"/>
          <w:color w:val="auto"/>
          <w:lang w:val="en-US" w:eastAsia="zh-CN"/>
        </w:rPr>
        <w:t>10</w:t>
      </w:r>
      <w:r>
        <w:rPr>
          <w:rFonts w:hint="eastAsia" w:ascii="宋体" w:hAnsi="宋体" w:eastAsia="宋体" w:cs="宋体"/>
          <w:color w:val="auto"/>
          <w:lang w:val="en-US" w:eastAsia="zh-CN"/>
        </w:rPr>
        <w:t>×</w:t>
      </w:r>
      <w:r>
        <w:rPr>
          <w:rFonts w:hint="default"/>
          <w:color w:val="auto"/>
          <w:lang w:val="en-US" w:eastAsia="zh-CN"/>
        </w:rPr>
        <w:t>20</w:t>
      </w:r>
      <w:r>
        <w:rPr>
          <w:rFonts w:hint="eastAsia"/>
          <w:color w:val="auto"/>
          <w:lang w:val="en-US" w:eastAsia="zh-CN"/>
        </w:rPr>
        <w:t>），</w:t>
      </w:r>
      <w:r>
        <w:rPr>
          <w:rFonts w:hint="default"/>
          <w:color w:val="auto"/>
          <w:lang w:val="en-US" w:eastAsia="zh-CN"/>
        </w:rPr>
        <w:t>面积200m，高9m，采用钢筋混凝土基础</w:t>
      </w:r>
      <w:r>
        <w:rPr>
          <w:rFonts w:hint="eastAsia"/>
          <w:color w:val="auto"/>
          <w:lang w:val="en-US" w:eastAsia="zh-CN"/>
        </w:rPr>
        <w:t>，</w:t>
      </w:r>
      <w:r>
        <w:rPr>
          <w:rFonts w:hint="default"/>
          <w:color w:val="auto"/>
          <w:lang w:val="en-US" w:eastAsia="zh-CN"/>
        </w:rPr>
        <w:t>钢柱，彩钢板屋面结构</w:t>
      </w:r>
      <w:r>
        <w:rPr>
          <w:rFonts w:hint="eastAsia"/>
          <w:color w:val="auto"/>
          <w:lang w:val="en-US" w:eastAsia="zh-CN"/>
        </w:rPr>
        <w:t>，</w:t>
      </w:r>
      <w:r>
        <w:rPr>
          <w:rFonts w:hint="default"/>
          <w:color w:val="auto"/>
          <w:lang w:val="en-US" w:eastAsia="zh-CN"/>
        </w:rPr>
        <w:t>围护结构采用彩钢板。</w:t>
      </w:r>
    </w:p>
    <w:p>
      <w:pPr>
        <w:rPr>
          <w:rFonts w:hint="default"/>
          <w:color w:val="auto"/>
          <w:lang w:val="en-US" w:eastAsia="zh-CN"/>
        </w:rPr>
      </w:pPr>
      <w:r>
        <w:rPr>
          <w:rFonts w:hint="default"/>
          <w:color w:val="auto"/>
          <w:lang w:val="en-US" w:eastAsia="zh-CN"/>
        </w:rPr>
        <w:t>14</w:t>
      </w:r>
      <w:r>
        <w:rPr>
          <w:rFonts w:hint="eastAsia"/>
          <w:color w:val="auto"/>
          <w:lang w:val="en-US" w:eastAsia="zh-CN"/>
        </w:rPr>
        <w:t xml:space="preserve">. </w:t>
      </w:r>
      <w:r>
        <w:rPr>
          <w:rFonts w:hint="default"/>
          <w:color w:val="auto"/>
          <w:lang w:val="en-US" w:eastAsia="zh-CN"/>
        </w:rPr>
        <w:t>药剂仓库：钢排架结构，尺寸为</w:t>
      </w:r>
      <w:r>
        <w:rPr>
          <w:rFonts w:hint="eastAsia"/>
          <w:color w:val="auto"/>
          <w:lang w:val="en-US" w:eastAsia="zh-CN"/>
        </w:rPr>
        <w:t>（</w:t>
      </w:r>
      <w:r>
        <w:rPr>
          <w:rFonts w:hint="default"/>
          <w:color w:val="auto"/>
          <w:lang w:val="en-US" w:eastAsia="zh-CN"/>
        </w:rPr>
        <w:t>7.5</w:t>
      </w:r>
      <w:r>
        <w:rPr>
          <w:rFonts w:hint="eastAsia" w:ascii="宋体" w:hAnsi="宋体" w:eastAsia="宋体" w:cs="宋体"/>
          <w:color w:val="auto"/>
          <w:lang w:val="en-US" w:eastAsia="zh-CN"/>
        </w:rPr>
        <w:t>×</w:t>
      </w:r>
      <w:r>
        <w:rPr>
          <w:rFonts w:hint="default"/>
          <w:color w:val="auto"/>
          <w:lang w:val="en-US" w:eastAsia="zh-CN"/>
        </w:rPr>
        <w:t>22.5</w:t>
      </w:r>
      <w:r>
        <w:rPr>
          <w:rFonts w:hint="eastAsia"/>
          <w:color w:val="auto"/>
          <w:lang w:val="en-US" w:eastAsia="zh-CN"/>
        </w:rPr>
        <w:t>），</w:t>
      </w:r>
      <w:r>
        <w:rPr>
          <w:rFonts w:hint="default"/>
          <w:color w:val="auto"/>
          <w:lang w:val="en-US" w:eastAsia="zh-CN"/>
        </w:rPr>
        <w:t>面积169m</w:t>
      </w:r>
      <w:r>
        <w:rPr>
          <w:rFonts w:hint="default"/>
          <w:color w:val="auto"/>
          <w:vertAlign w:val="superscript"/>
          <w:lang w:val="en-US" w:eastAsia="zh-CN"/>
        </w:rPr>
        <w:t>2</w:t>
      </w:r>
      <w:r>
        <w:rPr>
          <w:rFonts w:hint="default"/>
          <w:color w:val="auto"/>
          <w:lang w:val="en-US" w:eastAsia="zh-CN"/>
        </w:rPr>
        <w:t>，高9m，采用钢筋混凝土基础，钢柱，彩钢板屋面结构，围护结构采用彩钢板。</w:t>
      </w:r>
    </w:p>
    <w:p>
      <w:pPr>
        <w:rPr>
          <w:rFonts w:hint="default"/>
          <w:color w:val="auto"/>
          <w:lang w:val="en-US" w:eastAsia="zh-CN"/>
        </w:rPr>
      </w:pPr>
      <w:r>
        <w:rPr>
          <w:rFonts w:hint="default"/>
          <w:color w:val="auto"/>
          <w:lang w:val="en-US" w:eastAsia="zh-CN"/>
        </w:rPr>
        <w:t>15</w:t>
      </w:r>
      <w:r>
        <w:rPr>
          <w:rFonts w:hint="eastAsia"/>
          <w:color w:val="auto"/>
          <w:lang w:val="en-US" w:eastAsia="zh-CN"/>
        </w:rPr>
        <w:t xml:space="preserve">. </w:t>
      </w:r>
      <w:r>
        <w:rPr>
          <w:rFonts w:hint="default"/>
          <w:color w:val="auto"/>
          <w:lang w:val="en-US" w:eastAsia="zh-CN"/>
        </w:rPr>
        <w:t>通廊：通廊系联系各单体的纽带，起矿体运输功能。共9条</w:t>
      </w:r>
      <w:r>
        <w:rPr>
          <w:rFonts w:hint="eastAsia"/>
          <w:color w:val="auto"/>
          <w:lang w:val="en-US" w:eastAsia="zh-CN"/>
        </w:rPr>
        <w:t>：</w:t>
      </w:r>
      <w:r>
        <w:rPr>
          <w:rFonts w:hint="default"/>
          <w:color w:val="auto"/>
          <w:lang w:val="en-US" w:eastAsia="zh-CN"/>
        </w:rPr>
        <w:t>总长为330m，宽为3.2m。通廊采用钢筋混凝土基础，其它梁、板、柱均为钢结构，围护结构采用彩钢板。</w:t>
      </w:r>
    </w:p>
    <w:p>
      <w:pPr>
        <w:rPr>
          <w:rFonts w:hint="eastAsia"/>
          <w:color w:val="auto"/>
          <w:lang w:val="en-US" w:eastAsia="zh-CN"/>
        </w:rPr>
      </w:pPr>
      <w:r>
        <w:rPr>
          <w:rFonts w:hint="default"/>
          <w:color w:val="auto"/>
          <w:lang w:val="en-US" w:eastAsia="zh-CN"/>
        </w:rPr>
        <w:t>16</w:t>
      </w:r>
      <w:r>
        <w:rPr>
          <w:rFonts w:hint="eastAsia"/>
          <w:color w:val="auto"/>
          <w:lang w:val="en-US" w:eastAsia="zh-CN"/>
        </w:rPr>
        <w:t xml:space="preserve">. </w:t>
      </w:r>
      <w:r>
        <w:rPr>
          <w:rFonts w:hint="default"/>
          <w:color w:val="auto"/>
          <w:lang w:val="en-US" w:eastAsia="zh-CN"/>
        </w:rPr>
        <w:t>卸矿平台</w:t>
      </w:r>
      <w:r>
        <w:rPr>
          <w:rFonts w:hint="eastAsia"/>
          <w:color w:val="auto"/>
          <w:lang w:val="en-US" w:eastAsia="zh-CN"/>
        </w:rPr>
        <w:t>：</w:t>
      </w:r>
      <w:r>
        <w:rPr>
          <w:rFonts w:hint="default"/>
          <w:color w:val="auto"/>
          <w:lang w:val="en-US" w:eastAsia="zh-CN"/>
        </w:rPr>
        <w:t>尺寸为</w:t>
      </w:r>
      <w:r>
        <w:rPr>
          <w:rFonts w:hint="eastAsia"/>
          <w:color w:val="auto"/>
          <w:lang w:val="en-US" w:eastAsia="zh-CN"/>
        </w:rPr>
        <w:t>（</w:t>
      </w:r>
      <w:r>
        <w:rPr>
          <w:rFonts w:hint="default"/>
          <w:color w:val="auto"/>
          <w:lang w:val="en-US" w:eastAsia="zh-CN"/>
        </w:rPr>
        <w:t>5</w:t>
      </w:r>
      <w:r>
        <w:rPr>
          <w:rFonts w:hint="eastAsia" w:ascii="宋体" w:hAnsi="宋体" w:eastAsia="宋体" w:cs="宋体"/>
          <w:color w:val="auto"/>
          <w:lang w:val="en-US" w:eastAsia="zh-CN"/>
        </w:rPr>
        <w:t>×</w:t>
      </w:r>
      <w:r>
        <w:rPr>
          <w:rFonts w:hint="default"/>
          <w:color w:val="auto"/>
          <w:lang w:val="en-US" w:eastAsia="zh-CN"/>
        </w:rPr>
        <w:t>50</w:t>
      </w:r>
      <w:r>
        <w:rPr>
          <w:rFonts w:hint="eastAsia"/>
          <w:color w:val="auto"/>
          <w:lang w:val="en-US" w:eastAsia="zh-CN"/>
        </w:rPr>
        <w:t>）</w:t>
      </w:r>
      <w:r>
        <w:rPr>
          <w:rFonts w:hint="default"/>
          <w:color w:val="auto"/>
          <w:lang w:val="en-US" w:eastAsia="zh-CN"/>
        </w:rPr>
        <w:t>，面积为250m</w:t>
      </w:r>
      <w:r>
        <w:rPr>
          <w:rFonts w:hint="default"/>
          <w:color w:val="auto"/>
          <w:vertAlign w:val="superscript"/>
          <w:lang w:val="en-US" w:eastAsia="zh-CN"/>
        </w:rPr>
        <w:t>2</w:t>
      </w:r>
      <w:r>
        <w:rPr>
          <w:rFonts w:hint="default"/>
          <w:color w:val="auto"/>
          <w:lang w:val="en-US" w:eastAsia="zh-CN"/>
        </w:rPr>
        <w:t>，高5m，为钢筋混凝土</w:t>
      </w:r>
      <w:r>
        <w:rPr>
          <w:rFonts w:hint="eastAsia"/>
          <w:color w:val="auto"/>
          <w:lang w:val="en-US" w:eastAsia="zh-CN"/>
        </w:rPr>
        <w:t>结构，采用钢筋混凝土基础，钢筋混凝土墙柱，混凝土平台结构。</w:t>
      </w:r>
    </w:p>
    <w:p>
      <w:pPr>
        <w:rPr>
          <w:rFonts w:hint="eastAsia"/>
          <w:color w:val="auto"/>
          <w:lang w:val="en-US" w:eastAsia="zh-CN"/>
        </w:rPr>
      </w:pPr>
      <w:r>
        <w:rPr>
          <w:rFonts w:hint="eastAsia"/>
          <w:color w:val="auto"/>
          <w:lang w:val="en-US" w:eastAsia="zh-CN"/>
        </w:rPr>
        <w:t>三、给排水工程</w:t>
      </w:r>
    </w:p>
    <w:p>
      <w:pPr>
        <w:rPr>
          <w:rFonts w:hint="eastAsia"/>
          <w:color w:val="auto"/>
          <w:lang w:val="en-US" w:eastAsia="zh-CN"/>
        </w:rPr>
      </w:pPr>
      <w:r>
        <w:rPr>
          <w:rFonts w:hint="eastAsia"/>
          <w:color w:val="auto"/>
          <w:lang w:val="en-US" w:eastAsia="zh-CN"/>
        </w:rPr>
        <w:t>1.</w:t>
      </w:r>
      <w:r>
        <w:rPr>
          <w:rFonts w:hint="eastAsia" w:ascii="宋体" w:hAnsi="宋体" w:eastAsia="宋体" w:cs="宋体"/>
          <w:color w:val="auto"/>
          <w:lang w:val="en-US" w:eastAsia="zh-CN"/>
        </w:rPr>
        <w:t xml:space="preserve"> </w:t>
      </w:r>
      <w:r>
        <w:rPr>
          <w:rFonts w:hint="eastAsia"/>
          <w:color w:val="auto"/>
          <w:lang w:val="en-US" w:eastAsia="zh-CN"/>
        </w:rPr>
        <w:t>+315m选矿循环水池：钢筋混凝土构筑物，长×宽20m×15m，面积为300m</w:t>
      </w:r>
      <w:r>
        <w:rPr>
          <w:rFonts w:hint="eastAsia"/>
          <w:color w:val="auto"/>
          <w:vertAlign w:val="superscript"/>
          <w:lang w:val="en-US" w:eastAsia="zh-CN"/>
        </w:rPr>
        <w:t>2</w:t>
      </w:r>
      <w:r>
        <w:rPr>
          <w:rFonts w:hint="eastAsia"/>
          <w:color w:val="auto"/>
          <w:lang w:val="en-US" w:eastAsia="zh-CN"/>
        </w:rPr>
        <w:t>，高为4.5m。基础和墙壁为钢筋混凝土结构。</w:t>
      </w:r>
    </w:p>
    <w:p>
      <w:pPr>
        <w:rPr>
          <w:rFonts w:hint="eastAsia"/>
          <w:color w:val="auto"/>
          <w:lang w:val="en-US" w:eastAsia="zh-CN"/>
        </w:rPr>
      </w:pPr>
      <w:r>
        <w:rPr>
          <w:rFonts w:hint="eastAsia"/>
          <w:color w:val="auto"/>
          <w:lang w:val="en-US" w:eastAsia="zh-CN"/>
        </w:rPr>
        <w:t>2.</w:t>
      </w:r>
      <w:r>
        <w:rPr>
          <w:rFonts w:hint="eastAsia" w:ascii="宋体" w:hAnsi="宋体" w:eastAsia="宋体" w:cs="宋体"/>
          <w:color w:val="auto"/>
          <w:lang w:val="en-US" w:eastAsia="zh-CN"/>
        </w:rPr>
        <w:t xml:space="preserve"> </w:t>
      </w:r>
      <w:r>
        <w:rPr>
          <w:rFonts w:hint="eastAsia"/>
          <w:color w:val="auto"/>
          <w:lang w:val="en-US" w:eastAsia="zh-CN"/>
        </w:rPr>
        <w:t>+315m选矿循环水池泵房：砖混结构，长×宽15m×6m，面积为90</w:t>
      </w:r>
      <w:r>
        <w:rPr>
          <w:rFonts w:hint="default"/>
          <w:color w:val="auto"/>
          <w:lang w:val="en-US" w:eastAsia="zh-CN"/>
        </w:rPr>
        <w:t>m</w:t>
      </w:r>
      <w:r>
        <w:rPr>
          <w:rFonts w:hint="default"/>
          <w:color w:val="auto"/>
          <w:vertAlign w:val="superscript"/>
          <w:lang w:val="en-US" w:eastAsia="zh-CN"/>
        </w:rPr>
        <w:t>2</w:t>
      </w:r>
      <w:r>
        <w:rPr>
          <w:rFonts w:hint="eastAsia"/>
          <w:color w:val="auto"/>
          <w:lang w:val="en-US" w:eastAsia="zh-CN"/>
        </w:rPr>
        <w:t>，高为5m。采用条形基础，240砖墙，钢筋混凝土屋面结构。</w:t>
      </w:r>
    </w:p>
    <w:p>
      <w:pPr>
        <w:rPr>
          <w:rFonts w:hint="eastAsia"/>
          <w:color w:val="auto"/>
          <w:lang w:val="en-US" w:eastAsia="zh-CN"/>
        </w:rPr>
      </w:pPr>
      <w:r>
        <w:rPr>
          <w:rFonts w:hint="eastAsia"/>
          <w:color w:val="auto"/>
          <w:lang w:val="en-US" w:eastAsia="zh-CN"/>
        </w:rPr>
        <w:t>3. 尾矿库水池：钢筋混凝土构筑物，长×宽15m×10m，面积为150</w:t>
      </w:r>
      <w:r>
        <w:rPr>
          <w:rFonts w:hint="default"/>
          <w:color w:val="auto"/>
          <w:lang w:val="en-US" w:eastAsia="zh-CN"/>
        </w:rPr>
        <w:t>m</w:t>
      </w:r>
      <w:r>
        <w:rPr>
          <w:rFonts w:hint="default"/>
          <w:color w:val="auto"/>
          <w:vertAlign w:val="superscript"/>
          <w:lang w:val="en-US" w:eastAsia="zh-CN"/>
        </w:rPr>
        <w:t>2</w:t>
      </w:r>
      <w:r>
        <w:rPr>
          <w:rFonts w:hint="eastAsia"/>
          <w:color w:val="auto"/>
          <w:lang w:val="en-US" w:eastAsia="zh-CN"/>
        </w:rPr>
        <w:t>，高为4.5m。基础和墙壁为钢筋混凝土结构。</w:t>
      </w:r>
    </w:p>
    <w:p>
      <w:pPr>
        <w:rPr>
          <w:rFonts w:hint="default"/>
          <w:color w:val="auto"/>
          <w:lang w:val="en-US" w:eastAsia="zh-CN"/>
        </w:rPr>
      </w:pPr>
      <w:r>
        <w:rPr>
          <w:rFonts w:hint="eastAsia"/>
          <w:color w:val="auto"/>
          <w:lang w:val="en-US" w:eastAsia="zh-CN"/>
        </w:rPr>
        <w:t>4. 尾矿库泵房（含值班及仓库）：砖混结构，长×宽15m×6m，面积为90</w:t>
      </w:r>
      <w:r>
        <w:rPr>
          <w:rFonts w:hint="default"/>
          <w:color w:val="auto"/>
          <w:lang w:val="en-US" w:eastAsia="zh-CN"/>
        </w:rPr>
        <w:t>m</w:t>
      </w:r>
      <w:r>
        <w:rPr>
          <w:rFonts w:hint="default"/>
          <w:color w:val="auto"/>
          <w:vertAlign w:val="superscript"/>
          <w:lang w:val="en-US" w:eastAsia="zh-CN"/>
        </w:rPr>
        <w:t>2</w:t>
      </w:r>
      <w:r>
        <w:rPr>
          <w:rFonts w:hint="eastAsia"/>
          <w:color w:val="auto"/>
          <w:lang w:val="en-US" w:eastAsia="zh-CN"/>
        </w:rPr>
        <w:t>，高为5m。采用条形基础，240砖墙，钢筋混凝土屋面结构。</w:t>
      </w:r>
    </w:p>
    <w:p>
      <w:pPr>
        <w:rPr>
          <w:rFonts w:hint="eastAsia"/>
          <w:color w:val="auto"/>
          <w:lang w:val="en-US" w:eastAsia="zh-CN"/>
        </w:rPr>
      </w:pPr>
      <w:r>
        <w:rPr>
          <w:rFonts w:hint="eastAsia"/>
          <w:color w:val="auto"/>
          <w:lang w:val="en-US" w:eastAsia="zh-CN"/>
        </w:rPr>
        <w:t>5.</w:t>
      </w:r>
      <w:r>
        <w:rPr>
          <w:rFonts w:hint="eastAsia" w:ascii="宋体" w:hAnsi="宋体" w:eastAsia="宋体" w:cs="宋体"/>
          <w:color w:val="auto"/>
          <w:lang w:val="en-US" w:eastAsia="zh-CN"/>
        </w:rPr>
        <w:t xml:space="preserve"> </w:t>
      </w:r>
      <w:r>
        <w:rPr>
          <w:rFonts w:hint="eastAsia"/>
          <w:color w:val="auto"/>
          <w:lang w:val="en-US" w:eastAsia="zh-CN"/>
        </w:rPr>
        <w:t>+440m新水池：钢筋混凝土构筑物，长×宽16m×12.5m，面积为200</w:t>
      </w:r>
      <w:r>
        <w:rPr>
          <w:rFonts w:hint="default"/>
          <w:color w:val="auto"/>
          <w:lang w:val="en-US" w:eastAsia="zh-CN"/>
        </w:rPr>
        <w:t>m</w:t>
      </w:r>
      <w:r>
        <w:rPr>
          <w:rFonts w:hint="default"/>
          <w:color w:val="auto"/>
          <w:vertAlign w:val="superscript"/>
          <w:lang w:val="en-US" w:eastAsia="zh-CN"/>
        </w:rPr>
        <w:t>2</w:t>
      </w:r>
      <w:r>
        <w:rPr>
          <w:rFonts w:hint="eastAsia"/>
          <w:color w:val="auto"/>
          <w:lang w:val="en-US" w:eastAsia="zh-CN"/>
        </w:rPr>
        <w:t>，高为4.5m。基础和墙壁为钢筋混凝土结构。</w:t>
      </w:r>
    </w:p>
    <w:p>
      <w:pPr>
        <w:rPr>
          <w:rFonts w:hint="eastAsia"/>
          <w:color w:val="auto"/>
          <w:lang w:val="en-US" w:eastAsia="zh-CN"/>
        </w:rPr>
      </w:pPr>
      <w:r>
        <w:rPr>
          <w:rFonts w:hint="eastAsia"/>
          <w:color w:val="auto"/>
          <w:lang w:val="en-US" w:eastAsia="zh-CN"/>
        </w:rPr>
        <w:t>四、供配电设施</w:t>
      </w:r>
    </w:p>
    <w:p>
      <w:pPr>
        <w:rPr>
          <w:rFonts w:hint="default"/>
          <w:color w:val="auto"/>
          <w:lang w:val="en-US" w:eastAsia="zh-CN"/>
        </w:rPr>
      </w:pPr>
      <w:r>
        <w:rPr>
          <w:rFonts w:hint="default"/>
          <w:color w:val="auto"/>
          <w:lang w:val="en-US" w:eastAsia="zh-CN"/>
        </w:rPr>
        <w:t>选厂变电所</w:t>
      </w:r>
      <w:r>
        <w:rPr>
          <w:rFonts w:hint="eastAsia"/>
          <w:color w:val="auto"/>
          <w:lang w:val="en-US" w:eastAsia="zh-CN"/>
        </w:rPr>
        <w:t>：</w:t>
      </w:r>
      <w:r>
        <w:rPr>
          <w:rFonts w:hint="default"/>
          <w:color w:val="auto"/>
          <w:lang w:val="en-US" w:eastAsia="zh-CN"/>
        </w:rPr>
        <w:t>砖混结构，长</w:t>
      </w:r>
      <w:r>
        <w:rPr>
          <w:rFonts w:hint="eastAsia"/>
          <w:color w:val="auto"/>
          <w:lang w:val="en-US" w:eastAsia="zh-CN"/>
        </w:rPr>
        <w:t>×</w:t>
      </w:r>
      <w:r>
        <w:rPr>
          <w:rFonts w:hint="default"/>
          <w:color w:val="auto"/>
          <w:lang w:val="en-US" w:eastAsia="zh-CN"/>
        </w:rPr>
        <w:t>宽1</w:t>
      </w:r>
      <w:r>
        <w:rPr>
          <w:rFonts w:hint="eastAsia"/>
          <w:color w:val="auto"/>
          <w:lang w:val="en-US" w:eastAsia="zh-CN"/>
        </w:rPr>
        <w:t>8</w:t>
      </w:r>
      <w:r>
        <w:rPr>
          <w:rFonts w:hint="default"/>
          <w:color w:val="auto"/>
          <w:lang w:val="en-US" w:eastAsia="zh-CN"/>
        </w:rPr>
        <w:t>m</w:t>
      </w:r>
      <w:r>
        <w:rPr>
          <w:rFonts w:hint="eastAsia"/>
          <w:color w:val="auto"/>
          <w:lang w:val="en-US" w:eastAsia="zh-CN"/>
        </w:rPr>
        <w:t>×</w:t>
      </w:r>
      <w:r>
        <w:rPr>
          <w:rFonts w:hint="default"/>
          <w:color w:val="auto"/>
          <w:lang w:val="en-US" w:eastAsia="zh-CN"/>
        </w:rPr>
        <w:t>1</w:t>
      </w:r>
      <w:r>
        <w:rPr>
          <w:rFonts w:hint="eastAsia"/>
          <w:color w:val="auto"/>
          <w:lang w:val="en-US" w:eastAsia="zh-CN"/>
        </w:rPr>
        <w:t>7</w:t>
      </w:r>
      <w:r>
        <w:rPr>
          <w:rFonts w:hint="default"/>
          <w:color w:val="auto"/>
          <w:lang w:val="en-US" w:eastAsia="zh-CN"/>
        </w:rPr>
        <w:t>m，面积为306m</w:t>
      </w:r>
      <w:r>
        <w:rPr>
          <w:rFonts w:hint="default"/>
          <w:color w:val="auto"/>
          <w:vertAlign w:val="superscript"/>
          <w:lang w:val="en-US" w:eastAsia="zh-CN"/>
        </w:rPr>
        <w:t>2</w:t>
      </w:r>
      <w:r>
        <w:rPr>
          <w:rFonts w:hint="eastAsia"/>
          <w:color w:val="auto"/>
          <w:lang w:val="en-US" w:eastAsia="zh-CN"/>
        </w:rPr>
        <w:t>，</w:t>
      </w:r>
      <w:r>
        <w:rPr>
          <w:rFonts w:hint="default"/>
          <w:color w:val="auto"/>
          <w:lang w:val="en-US" w:eastAsia="zh-CN"/>
        </w:rPr>
        <w:t>高为5.5m。采用条形基础，240砖墙，钢筋混凝土屋面结构。</w:t>
      </w:r>
    </w:p>
    <w:p>
      <w:pPr>
        <w:rPr>
          <w:rFonts w:hint="default"/>
          <w:color w:val="auto"/>
          <w:lang w:val="en-US" w:eastAsia="zh-CN"/>
        </w:rPr>
      </w:pPr>
      <w:r>
        <w:rPr>
          <w:rFonts w:hint="default"/>
          <w:color w:val="auto"/>
          <w:lang w:val="en-US" w:eastAsia="zh-CN"/>
        </w:rPr>
        <w:t>主要建构筑物见表</w:t>
      </w:r>
      <w:r>
        <w:rPr>
          <w:rFonts w:hint="eastAsia"/>
          <w:color w:val="auto"/>
          <w:lang w:val="en-US" w:eastAsia="zh-CN"/>
        </w:rPr>
        <w:t>2-8</w:t>
      </w:r>
      <w:r>
        <w:rPr>
          <w:rFonts w:hint="default"/>
          <w:color w:val="auto"/>
          <w:lang w:val="en-US" w:eastAsia="zh-CN"/>
        </w:rPr>
        <w:t>。</w:t>
      </w:r>
    </w:p>
    <w:p>
      <w:pPr>
        <w:rPr>
          <w:rFonts w:hint="default"/>
          <w:color w:val="auto"/>
          <w:lang w:val="en-US" w:eastAsia="zh-CN"/>
        </w:rPr>
      </w:pPr>
      <w:r>
        <w:rPr>
          <w:rFonts w:hint="default"/>
          <w:color w:val="auto"/>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sectPr>
          <w:footerReference r:id="rId7" w:type="default"/>
          <w:pgSz w:w="11906" w:h="16839"/>
          <w:pgMar w:top="1417" w:right="1417" w:bottom="1417" w:left="1417" w:header="850" w:footer="992" w:gutter="0"/>
          <w:pgNumType w:fmt="decimal" w:start="1"/>
          <w:cols w:space="425" w:num="1"/>
          <w:rtlGutter w:val="0"/>
          <w:docGrid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表2-8 建筑物、构筑物一览表</w:t>
      </w:r>
    </w:p>
    <w:tbl>
      <w:tblPr>
        <w:tblStyle w:val="34"/>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96"/>
        <w:gridCol w:w="2641"/>
        <w:gridCol w:w="1709"/>
        <w:gridCol w:w="1197"/>
        <w:gridCol w:w="592"/>
        <w:gridCol w:w="592"/>
        <w:gridCol w:w="592"/>
        <w:gridCol w:w="1012"/>
        <w:gridCol w:w="1150"/>
        <w:gridCol w:w="596"/>
        <w:gridCol w:w="966"/>
        <w:gridCol w:w="1150"/>
        <w:gridCol w:w="684"/>
        <w:gridCol w:w="1150"/>
        <w:gridCol w:w="1150"/>
        <w:gridCol w:w="1155"/>
        <w:gridCol w:w="1990"/>
        <w:gridCol w:w="1150"/>
        <w:gridCol w:w="9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142"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序号</w:t>
            </w:r>
          </w:p>
        </w:tc>
        <w:tc>
          <w:tcPr>
            <w:tcW w:w="629"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名    称</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平面尺寸</w:t>
            </w:r>
          </w:p>
        </w:tc>
        <w:tc>
          <w:tcPr>
            <w:tcW w:w="285"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高度</w:t>
            </w:r>
          </w:p>
        </w:tc>
        <w:tc>
          <w:tcPr>
            <w:tcW w:w="141"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建筑 等级</w:t>
            </w:r>
          </w:p>
        </w:tc>
        <w:tc>
          <w:tcPr>
            <w:tcW w:w="141"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耐火 等级</w:t>
            </w:r>
          </w:p>
        </w:tc>
        <w:tc>
          <w:tcPr>
            <w:tcW w:w="141"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设防 烈度</w:t>
            </w:r>
          </w:p>
        </w:tc>
        <w:tc>
          <w:tcPr>
            <w:tcW w:w="3109" w:type="pct"/>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建  筑  结  构  特  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42"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629"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长×宽</w:t>
            </w:r>
          </w:p>
        </w:tc>
        <w:tc>
          <w:tcPr>
            <w:tcW w:w="285"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14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14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14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建筑</w:t>
            </w:r>
          </w:p>
        </w:tc>
        <w:tc>
          <w:tcPr>
            <w:tcW w:w="416" w:type="pct"/>
            <w:gridSpan w:val="2"/>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墙体</w:t>
            </w:r>
          </w:p>
        </w:tc>
        <w:tc>
          <w:tcPr>
            <w:tcW w:w="230"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基础</w:t>
            </w:r>
          </w:p>
        </w:tc>
        <w:tc>
          <w:tcPr>
            <w:tcW w:w="274"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柱子</w:t>
            </w:r>
          </w:p>
        </w:tc>
        <w:tc>
          <w:tcPr>
            <w:tcW w:w="163"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吊车</w:t>
            </w:r>
          </w:p>
        </w:tc>
        <w:tc>
          <w:tcPr>
            <w:tcW w:w="274"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平台</w:t>
            </w:r>
          </w:p>
        </w:tc>
        <w:tc>
          <w:tcPr>
            <w:tcW w:w="549"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屋面</w:t>
            </w:r>
          </w:p>
        </w:tc>
        <w:tc>
          <w:tcPr>
            <w:tcW w:w="474"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门窗</w:t>
            </w:r>
          </w:p>
        </w:tc>
        <w:tc>
          <w:tcPr>
            <w:tcW w:w="274"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结构</w:t>
            </w:r>
          </w:p>
        </w:tc>
        <w:tc>
          <w:tcPr>
            <w:tcW w:w="210"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142"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629"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407"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（m×m）</w:t>
            </w:r>
          </w:p>
        </w:tc>
        <w:tc>
          <w:tcPr>
            <w:tcW w:w="285"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m</w:t>
            </w:r>
          </w:p>
        </w:tc>
        <w:tc>
          <w:tcPr>
            <w:tcW w:w="14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14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14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面积</w:t>
            </w:r>
          </w:p>
        </w:tc>
        <w:tc>
          <w:tcPr>
            <w:tcW w:w="416" w:type="pct"/>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3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163"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549"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系统</w:t>
            </w:r>
          </w:p>
        </w:tc>
        <w:tc>
          <w:tcPr>
            <w:tcW w:w="474"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1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14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629"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407"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85"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141"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141"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141"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m</w:t>
            </w:r>
            <w:r>
              <w:rPr>
                <w:rFonts w:hint="default" w:ascii="Times New Roman" w:hAnsi="Times New Roman" w:eastAsia="宋体" w:cs="Times New Roman"/>
                <w:color w:val="auto"/>
                <w:sz w:val="21"/>
                <w:szCs w:val="21"/>
                <w:vertAlign w:val="superscript"/>
                <w:lang w:val="en-US" w:eastAsia="en-US"/>
              </w:rPr>
              <w:t>2</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外墙</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内墙</w:t>
            </w:r>
          </w:p>
        </w:tc>
        <w:tc>
          <w:tcPr>
            <w:tcW w:w="230"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163"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楼板</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梁</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板</w:t>
            </w:r>
          </w:p>
        </w:tc>
        <w:tc>
          <w:tcPr>
            <w:tcW w:w="47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体系</w:t>
            </w:r>
          </w:p>
        </w:tc>
        <w:tc>
          <w:tcPr>
            <w:tcW w:w="210"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1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选矿厂</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1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4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1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粗碎厂房</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9×15+6×7.5</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13</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6</w:t>
            </w: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286.2</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夹芯彩钢板</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独立基础</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1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4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塑钢窗，平开门</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钢排架</w:t>
            </w:r>
          </w:p>
        </w:tc>
        <w:tc>
          <w:tcPr>
            <w:tcW w:w="2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1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筛洗及预选厂房</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27×22.5</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21</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6</w:t>
            </w: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1200</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夹芯彩钢板</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独立基础</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1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4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塑钢窗，平开门</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钢排架</w:t>
            </w:r>
          </w:p>
        </w:tc>
        <w:tc>
          <w:tcPr>
            <w:tcW w:w="2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1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3</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除铁器室</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6×7.5</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6</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6</w:t>
            </w: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90</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夹芯彩钢板</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独立基础</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1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4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塑钢窗，平开门</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钢排架</w:t>
            </w:r>
          </w:p>
        </w:tc>
        <w:tc>
          <w:tcPr>
            <w:tcW w:w="2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1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4</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中细碎车间</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12×12</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13</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6</w:t>
            </w: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276</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夹芯彩钢板</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独立基础</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1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4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塑钢窗，平开门</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钢排架</w:t>
            </w:r>
          </w:p>
        </w:tc>
        <w:tc>
          <w:tcPr>
            <w:tcW w:w="2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1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5</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筛分厂房</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12×12+6×6</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16</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6</w:t>
            </w: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307.8</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夹芯彩钢板</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独立基础</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1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4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塑钢窗，平开门</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钢排架</w:t>
            </w:r>
          </w:p>
        </w:tc>
        <w:tc>
          <w:tcPr>
            <w:tcW w:w="2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1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6</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细碎厂房</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12×12+6×6</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16</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6</w:t>
            </w: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288</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夹芯彩钢板</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独立基础</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1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4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塑钢窗，平开门</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钢排架</w:t>
            </w:r>
          </w:p>
        </w:tc>
        <w:tc>
          <w:tcPr>
            <w:tcW w:w="2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1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7</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转运站</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7.5×7.5</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23</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6</w:t>
            </w: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159</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夹芯彩钢板</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独立基础</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1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4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塑钢窗，平开门</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钢排架</w:t>
            </w:r>
          </w:p>
        </w:tc>
        <w:tc>
          <w:tcPr>
            <w:tcW w:w="2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1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8</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粉矿仓</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7.5×15</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24</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6</w:t>
            </w: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450</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筏板基础</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1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4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塑钢窗，平开门</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2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1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9</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主厂房</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（27+36+12）×60</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17.5</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6</w:t>
            </w: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7870</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夹芯彩钢板</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独立基础</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1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4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塑钢窗，平开门</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钢排架</w:t>
            </w:r>
          </w:p>
        </w:tc>
        <w:tc>
          <w:tcPr>
            <w:tcW w:w="2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1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10</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细泥浓缩池</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Φ=18</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6</w:t>
            </w: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255</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筏板基础</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1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4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2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1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11</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尾矿浓缩池</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Φ=20</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6</w:t>
            </w: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314</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筏板基础</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1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4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2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1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12</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废石仓</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7.5×7.5</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15</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6</w:t>
            </w: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170</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筏板基础</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1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4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塑钢窗，平开门</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2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1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13</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尾矿选砂车间</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10×20</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9</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6</w:t>
            </w: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200</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夹芯彩钢板</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独立基础</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1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4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塑钢窗，平开门</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钢排架</w:t>
            </w:r>
          </w:p>
        </w:tc>
        <w:tc>
          <w:tcPr>
            <w:tcW w:w="2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1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14</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药剂仓库</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7.5×22.5</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9</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6</w:t>
            </w: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169</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夹芯彩钢板</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独立基础</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1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4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塑钢窗，平开门</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钢排架</w:t>
            </w:r>
          </w:p>
        </w:tc>
        <w:tc>
          <w:tcPr>
            <w:tcW w:w="2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1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15</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通廊</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共9条</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6</w:t>
            </w: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总长330m</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夹芯彩钢板</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独立基础</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1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钢结构</w:t>
            </w:r>
          </w:p>
        </w:tc>
        <w:tc>
          <w:tcPr>
            <w:tcW w:w="4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排架</w:t>
            </w:r>
          </w:p>
        </w:tc>
        <w:tc>
          <w:tcPr>
            <w:tcW w:w="2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1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16</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卸矿平台</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5×50</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5</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6</w:t>
            </w: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250</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独立基础</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1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4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2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1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给排水工程</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1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4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c>
          <w:tcPr>
            <w:tcW w:w="2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4" w:hRule="atLeast"/>
          <w:jc w:val="center"/>
        </w:trPr>
        <w:tc>
          <w:tcPr>
            <w:tcW w:w="1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循环水池</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20×15</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4.5</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6</w:t>
            </w: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300</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筏板基础</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1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4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2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2" w:hRule="atLeast"/>
          <w:jc w:val="center"/>
        </w:trPr>
        <w:tc>
          <w:tcPr>
            <w:tcW w:w="1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循环水池泵房</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15×6</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5</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6</w:t>
            </w: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90</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240</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240</w:t>
            </w:r>
          </w:p>
        </w:tc>
        <w:tc>
          <w:tcPr>
            <w:tcW w:w="2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条形基础</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1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4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塑钢窗，平开门</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砖混</w:t>
            </w:r>
          </w:p>
        </w:tc>
        <w:tc>
          <w:tcPr>
            <w:tcW w:w="2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1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尾矿库水池</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15×10</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深 4.5m</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6</w:t>
            </w: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150</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筏板基础</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1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4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2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jc w:val="center"/>
        </w:trPr>
        <w:tc>
          <w:tcPr>
            <w:tcW w:w="1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尾矿库泵房（含值班及仓库）</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15×6</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5</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6</w:t>
            </w: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72</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240</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240</w:t>
            </w:r>
          </w:p>
        </w:tc>
        <w:tc>
          <w:tcPr>
            <w:tcW w:w="2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条形基础</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1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4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塑钢窗，平开门</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砖混</w:t>
            </w:r>
          </w:p>
        </w:tc>
        <w:tc>
          <w:tcPr>
            <w:tcW w:w="2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jc w:val="center"/>
        </w:trPr>
        <w:tc>
          <w:tcPr>
            <w:tcW w:w="1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+440m 新水池</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12.5×16</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深 4.5m</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6</w:t>
            </w: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200</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筏板基础</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1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4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钢筋混凝土</w:t>
            </w:r>
          </w:p>
        </w:tc>
        <w:tc>
          <w:tcPr>
            <w:tcW w:w="2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jc w:val="center"/>
        </w:trPr>
        <w:tc>
          <w:tcPr>
            <w:tcW w:w="1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三</w:t>
            </w: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供配电设施</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1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4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1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rPr>
              <w:t>选厂变电所</w:t>
            </w:r>
          </w:p>
        </w:tc>
        <w:tc>
          <w:tcPr>
            <w:tcW w:w="4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rPr>
              <w:t>17×18</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rPr>
              <w:t>5.5</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rPr>
              <w:t>2</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rPr>
              <w:t>6</w:t>
            </w:r>
          </w:p>
        </w:tc>
        <w:tc>
          <w:tcPr>
            <w:tcW w:w="2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rPr>
              <w:t>306</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rPr>
              <w:t>240</w:t>
            </w:r>
          </w:p>
        </w:tc>
        <w:tc>
          <w:tcPr>
            <w:tcW w:w="1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rPr>
              <w:t>240</w:t>
            </w:r>
          </w:p>
        </w:tc>
        <w:tc>
          <w:tcPr>
            <w:tcW w:w="2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rPr>
              <w:t>条形基础</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1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rPr>
              <w:t>钢筋混凝土</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rPr>
              <w:t>钢筋混凝土</w:t>
            </w:r>
          </w:p>
        </w:tc>
        <w:tc>
          <w:tcPr>
            <w:tcW w:w="4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rPr>
              <w:t>塑钢窗，平开门</w:t>
            </w:r>
          </w:p>
        </w:tc>
        <w:tc>
          <w:tcPr>
            <w:tcW w:w="2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rPr>
              <w:t>砖混</w:t>
            </w:r>
          </w:p>
        </w:tc>
        <w:tc>
          <w:tcPr>
            <w:tcW w:w="2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rPr>
            </w:pP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sectPr>
          <w:headerReference r:id="rId8" w:type="default"/>
          <w:footerReference r:id="rId9" w:type="default"/>
          <w:type w:val="continuous"/>
          <w:pgSz w:w="23811" w:h="16838" w:orient="landscape"/>
          <w:pgMar w:top="1417" w:right="1417" w:bottom="1417" w:left="1417" w:header="850" w:footer="992" w:gutter="0"/>
          <w:pgNumType w:fmt="decimal" w:start="29"/>
          <w:cols w:space="425" w:num="1"/>
          <w:rtlGutter w:val="0"/>
          <w:docGrid w:linePitch="312" w:charSpace="0"/>
        </w:sectPr>
      </w:pPr>
    </w:p>
    <w:p>
      <w:pPr>
        <w:pStyle w:val="4"/>
        <w:bidi w:val="0"/>
        <w:rPr>
          <w:rFonts w:hint="default"/>
          <w:color w:val="auto"/>
          <w:lang w:val="en-US" w:eastAsia="zh-CN"/>
        </w:rPr>
      </w:pPr>
      <w:bookmarkStart w:id="91" w:name="_Toc26279"/>
      <w:bookmarkStart w:id="92" w:name="_Toc25814"/>
      <w:r>
        <w:rPr>
          <w:rFonts w:hint="default"/>
          <w:color w:val="auto"/>
          <w:lang w:val="en-US" w:eastAsia="zh-CN"/>
        </w:rPr>
        <w:t>2.</w:t>
      </w:r>
      <w:r>
        <w:rPr>
          <w:rFonts w:hint="eastAsia"/>
          <w:color w:val="auto"/>
          <w:lang w:val="en-US" w:eastAsia="zh-CN"/>
        </w:rPr>
        <w:t>6</w:t>
      </w:r>
      <w:r>
        <w:rPr>
          <w:rFonts w:hint="default"/>
          <w:color w:val="auto"/>
          <w:lang w:val="en-US" w:eastAsia="zh-CN"/>
        </w:rPr>
        <w:t>.</w:t>
      </w:r>
      <w:r>
        <w:rPr>
          <w:rFonts w:hint="eastAsia"/>
          <w:color w:val="auto"/>
          <w:lang w:val="en-US" w:eastAsia="zh-CN"/>
        </w:rPr>
        <w:t>4</w:t>
      </w:r>
      <w:r>
        <w:rPr>
          <w:rFonts w:hint="default"/>
          <w:color w:val="auto"/>
          <w:lang w:val="en-US" w:eastAsia="zh-CN"/>
        </w:rPr>
        <w:t xml:space="preserve"> 道路</w:t>
      </w:r>
      <w:bookmarkEnd w:id="91"/>
      <w:bookmarkEnd w:id="92"/>
    </w:p>
    <w:p>
      <w:pPr>
        <w:rPr>
          <w:rFonts w:hint="default"/>
          <w:color w:val="auto"/>
          <w:lang w:val="en-US" w:eastAsia="zh-CN"/>
        </w:rPr>
      </w:pPr>
      <w:r>
        <w:rPr>
          <w:rFonts w:hint="eastAsia"/>
          <w:color w:val="auto"/>
          <w:lang w:val="en-US" w:eastAsia="zh-CN"/>
        </w:rPr>
        <w:t>1. 厂区道路</w:t>
      </w:r>
    </w:p>
    <w:p>
      <w:pPr>
        <w:rPr>
          <w:rFonts w:hint="default"/>
          <w:color w:val="auto"/>
          <w:lang w:val="en-US" w:eastAsia="zh-CN"/>
        </w:rPr>
      </w:pPr>
      <w:r>
        <w:rPr>
          <w:rFonts w:hint="default"/>
          <w:color w:val="auto"/>
          <w:lang w:val="en-US" w:eastAsia="zh-CN"/>
        </w:rPr>
        <w:t>选矿工业场地道路采用混凝土路面，路面宽度为6m，路面结构</w:t>
      </w:r>
      <w:r>
        <w:rPr>
          <w:rFonts w:hint="eastAsia"/>
          <w:color w:val="auto"/>
          <w:lang w:val="en-US" w:eastAsia="zh-CN"/>
        </w:rPr>
        <w:t>：</w:t>
      </w:r>
      <w:r>
        <w:rPr>
          <w:rFonts w:hint="default"/>
          <w:color w:val="auto"/>
          <w:lang w:val="en-US" w:eastAsia="zh-CN"/>
        </w:rPr>
        <w:t>C25混凝土路面厚25cm，水泥稳定碎石基层厚20cm，天然沙砾垫层15cm，地基夯实。最小转弯半径</w:t>
      </w:r>
      <w:r>
        <w:rPr>
          <w:rFonts w:hint="eastAsia"/>
          <w:color w:val="auto"/>
          <w:lang w:val="en-US" w:eastAsia="zh-CN"/>
        </w:rPr>
        <w:t>（</w:t>
      </w:r>
      <w:r>
        <w:rPr>
          <w:rFonts w:hint="default"/>
          <w:color w:val="auto"/>
          <w:lang w:val="en-US" w:eastAsia="zh-CN"/>
        </w:rPr>
        <w:t>内缘</w:t>
      </w:r>
      <w:r>
        <w:rPr>
          <w:rFonts w:hint="eastAsia"/>
          <w:color w:val="auto"/>
          <w:lang w:val="en-US" w:eastAsia="zh-CN"/>
        </w:rPr>
        <w:t>）</w:t>
      </w:r>
      <w:r>
        <w:rPr>
          <w:rFonts w:hint="default"/>
          <w:color w:val="auto"/>
          <w:lang w:val="en-US" w:eastAsia="zh-CN"/>
        </w:rPr>
        <w:t>9.0m。</w:t>
      </w:r>
    </w:p>
    <w:p>
      <w:pPr>
        <w:rPr>
          <w:rFonts w:hint="eastAsia"/>
          <w:color w:val="auto"/>
          <w:lang w:val="en-US" w:eastAsia="zh-CN"/>
        </w:rPr>
      </w:pPr>
      <w:r>
        <w:rPr>
          <w:rFonts w:hint="eastAsia"/>
          <w:color w:val="auto"/>
          <w:lang w:val="en-US" w:eastAsia="zh-CN"/>
        </w:rPr>
        <w:t>2. 外部道路</w:t>
      </w:r>
    </w:p>
    <w:p>
      <w:pPr>
        <w:rPr>
          <w:rFonts w:hint="default"/>
          <w:color w:val="auto"/>
          <w:lang w:val="en-US" w:eastAsia="zh-CN"/>
        </w:rPr>
      </w:pPr>
      <w:r>
        <w:rPr>
          <w:rFonts w:hint="default"/>
          <w:color w:val="auto"/>
          <w:lang w:val="en-US" w:eastAsia="zh-CN"/>
        </w:rPr>
        <w:t>由于自罗江桥到矿区公路为砂石道路，路面较窄，坡陡弯多，转弯半径小，大型车辆无法通行，加之道路经过居民聚居区，对村民影响大。为解决矿区往外部的交通问题，</w:t>
      </w:r>
      <w:r>
        <w:rPr>
          <w:rFonts w:hint="eastAsia"/>
          <w:color w:val="auto"/>
          <w:lang w:val="en-US" w:eastAsia="zh-CN"/>
        </w:rPr>
        <w:t>拟</w:t>
      </w:r>
      <w:r>
        <w:rPr>
          <w:rFonts w:hint="default"/>
          <w:color w:val="auto"/>
          <w:lang w:val="en-US" w:eastAsia="zh-CN"/>
        </w:rPr>
        <w:t>从罗江乡笙竹村新建一条公路到小东坑矿区。</w:t>
      </w:r>
    </w:p>
    <w:p>
      <w:pPr>
        <w:rPr>
          <w:rFonts w:hint="default"/>
          <w:color w:val="auto"/>
          <w:lang w:val="en-US" w:eastAsia="zh-CN"/>
        </w:rPr>
      </w:pPr>
      <w:r>
        <w:rPr>
          <w:rFonts w:hint="default"/>
          <w:color w:val="auto"/>
          <w:lang w:val="en-US" w:eastAsia="zh-CN"/>
        </w:rPr>
        <w:t>该外部道路按四级公路设</w:t>
      </w:r>
      <w:r>
        <w:rPr>
          <w:rFonts w:hint="eastAsia"/>
          <w:color w:val="auto"/>
          <w:lang w:val="en-US" w:eastAsia="zh-CN"/>
        </w:rPr>
        <w:t>置</w:t>
      </w:r>
      <w:r>
        <w:rPr>
          <w:rFonts w:hint="default"/>
          <w:color w:val="auto"/>
          <w:lang w:val="en-US" w:eastAsia="zh-CN"/>
        </w:rPr>
        <w:t>，计算行车速度30km/h。混凝土路面宽5m，路基宽6m，长2538m，曲线半径100m，最大纵坡9%。</w:t>
      </w:r>
    </w:p>
    <w:p>
      <w:pPr>
        <w:pStyle w:val="4"/>
        <w:bidi w:val="0"/>
        <w:rPr>
          <w:rFonts w:hint="eastAsia"/>
          <w:color w:val="auto"/>
          <w:lang w:val="en-US" w:eastAsia="zh-CN"/>
        </w:rPr>
      </w:pPr>
      <w:bookmarkStart w:id="93" w:name="_Toc22969"/>
      <w:bookmarkStart w:id="94" w:name="_Toc28356"/>
      <w:r>
        <w:rPr>
          <w:rFonts w:hint="eastAsia"/>
          <w:color w:val="auto"/>
          <w:lang w:val="en-US" w:eastAsia="zh-CN"/>
        </w:rPr>
        <w:t>2.6.5 给排水</w:t>
      </w:r>
      <w:bookmarkEnd w:id="93"/>
      <w:bookmarkEnd w:id="94"/>
    </w:p>
    <w:p>
      <w:pPr>
        <w:rPr>
          <w:rFonts w:hint="eastAsia"/>
          <w:color w:val="auto"/>
          <w:lang w:val="en-US" w:eastAsia="zh-CN"/>
        </w:rPr>
      </w:pPr>
      <w:r>
        <w:rPr>
          <w:rFonts w:hint="eastAsia"/>
          <w:color w:val="auto"/>
          <w:lang w:val="en-US" w:eastAsia="zh-CN"/>
        </w:rPr>
        <w:t>1. 给水</w:t>
      </w:r>
    </w:p>
    <w:p>
      <w:pPr>
        <w:rPr>
          <w:rFonts w:hint="default"/>
          <w:color w:val="auto"/>
          <w:lang w:val="en-US" w:eastAsia="zh-CN"/>
        </w:rPr>
      </w:pPr>
      <w:r>
        <w:rPr>
          <w:rFonts w:hint="eastAsia"/>
          <w:color w:val="auto"/>
          <w:lang w:val="en-US" w:eastAsia="zh-CN"/>
        </w:rPr>
        <w:t>（1）</w:t>
      </w:r>
      <w:r>
        <w:rPr>
          <w:rFonts w:hint="default"/>
          <w:color w:val="auto"/>
          <w:lang w:val="en-US" w:eastAsia="zh-CN"/>
        </w:rPr>
        <w:t>给水标准及给水水量</w:t>
      </w:r>
    </w:p>
    <w:p>
      <w:pPr>
        <w:rPr>
          <w:rFonts w:hint="default"/>
          <w:color w:val="auto"/>
          <w:lang w:val="en-US" w:eastAsia="zh-CN"/>
        </w:rPr>
      </w:pPr>
      <w:r>
        <w:rPr>
          <w:rFonts w:hint="default"/>
          <w:color w:val="auto"/>
          <w:lang w:val="en-US" w:eastAsia="zh-CN"/>
        </w:rPr>
        <w:t>1）给水标准</w:t>
      </w:r>
    </w:p>
    <w:p>
      <w:pPr>
        <w:rPr>
          <w:rFonts w:hint="default"/>
          <w:color w:val="auto"/>
          <w:lang w:val="en-US" w:eastAsia="zh-CN"/>
        </w:rPr>
      </w:pPr>
      <w:r>
        <w:rPr>
          <w:rFonts w:hint="default"/>
          <w:color w:val="auto"/>
          <w:lang w:val="en-US" w:eastAsia="zh-CN"/>
        </w:rPr>
        <w:t>选矿生产及生产辅助设施给水标准按生产工艺要求决定。</w:t>
      </w:r>
    </w:p>
    <w:p>
      <w:pPr>
        <w:rPr>
          <w:rFonts w:hint="default"/>
          <w:color w:val="auto"/>
          <w:lang w:val="en-US" w:eastAsia="zh-CN"/>
        </w:rPr>
      </w:pPr>
      <w:r>
        <w:rPr>
          <w:rFonts w:hint="default"/>
          <w:color w:val="auto"/>
          <w:lang w:val="en-US" w:eastAsia="zh-CN"/>
        </w:rPr>
        <w:t>生活给水标准</w:t>
      </w:r>
      <w:r>
        <w:rPr>
          <w:rFonts w:hint="eastAsia"/>
          <w:color w:val="auto"/>
          <w:lang w:val="en-US" w:eastAsia="zh-CN"/>
        </w:rPr>
        <w:t>：</w:t>
      </w:r>
      <w:r>
        <w:rPr>
          <w:rFonts w:hint="default"/>
          <w:color w:val="auto"/>
          <w:lang w:val="en-US" w:eastAsia="zh-CN"/>
        </w:rPr>
        <w:t>住宿区用水标准为0.2m</w:t>
      </w:r>
      <w:r>
        <w:rPr>
          <w:rFonts w:hint="default"/>
          <w:color w:val="auto"/>
          <w:vertAlign w:val="superscript"/>
          <w:lang w:val="en-US" w:eastAsia="zh-CN"/>
        </w:rPr>
        <w:t>3</w:t>
      </w:r>
      <w:r>
        <w:rPr>
          <w:rFonts w:hint="default"/>
          <w:color w:val="auto"/>
          <w:lang w:val="en-US" w:eastAsia="zh-CN"/>
        </w:rPr>
        <w:t>/d</w:t>
      </w:r>
      <w:r>
        <w:rPr>
          <w:rFonts w:hint="eastAsia" w:ascii="宋体" w:hAnsi="宋体" w:eastAsia="宋体" w:cs="宋体"/>
          <w:color w:val="auto"/>
          <w:lang w:val="en-US" w:eastAsia="zh-CN"/>
        </w:rPr>
        <w:t>·</w:t>
      </w:r>
      <w:r>
        <w:rPr>
          <w:rFonts w:hint="default"/>
          <w:color w:val="auto"/>
          <w:lang w:val="en-US" w:eastAsia="zh-CN"/>
        </w:rPr>
        <w:t>人</w:t>
      </w:r>
      <w:r>
        <w:rPr>
          <w:rFonts w:hint="eastAsia"/>
          <w:color w:val="auto"/>
          <w:lang w:val="en-US" w:eastAsia="zh-CN"/>
        </w:rPr>
        <w:t>；</w:t>
      </w:r>
      <w:r>
        <w:rPr>
          <w:rFonts w:hint="default"/>
          <w:color w:val="auto"/>
          <w:lang w:val="en-US" w:eastAsia="zh-CN"/>
        </w:rPr>
        <w:t>浴室用水标准为60L/人</w:t>
      </w:r>
      <w:r>
        <w:rPr>
          <w:rFonts w:hint="eastAsia" w:ascii="宋体" w:hAnsi="宋体" w:eastAsia="宋体" w:cs="宋体"/>
          <w:color w:val="auto"/>
          <w:lang w:val="en-US" w:eastAsia="zh-CN"/>
        </w:rPr>
        <w:t>·</w:t>
      </w:r>
      <w:r>
        <w:rPr>
          <w:rFonts w:hint="default"/>
          <w:color w:val="auto"/>
          <w:lang w:val="en-US" w:eastAsia="zh-CN"/>
        </w:rPr>
        <w:t>次</w:t>
      </w:r>
      <w:r>
        <w:rPr>
          <w:rFonts w:hint="eastAsia"/>
          <w:color w:val="auto"/>
          <w:lang w:val="en-US" w:eastAsia="zh-CN"/>
        </w:rPr>
        <w:t>；</w:t>
      </w:r>
      <w:r>
        <w:rPr>
          <w:rFonts w:hint="default"/>
          <w:color w:val="auto"/>
          <w:lang w:val="en-US" w:eastAsia="zh-CN"/>
        </w:rPr>
        <w:t>办公楼用水标准为40L/人</w:t>
      </w:r>
      <w:r>
        <w:rPr>
          <w:rFonts w:hint="eastAsia" w:ascii="宋体" w:hAnsi="宋体" w:eastAsia="宋体" w:cs="宋体"/>
          <w:color w:val="auto"/>
          <w:lang w:val="en-US" w:eastAsia="zh-CN"/>
        </w:rPr>
        <w:t>·</w:t>
      </w:r>
      <w:r>
        <w:rPr>
          <w:rFonts w:hint="default"/>
          <w:color w:val="auto"/>
          <w:lang w:val="en-US" w:eastAsia="zh-CN"/>
        </w:rPr>
        <w:t>班</w:t>
      </w:r>
      <w:r>
        <w:rPr>
          <w:rFonts w:hint="eastAsia"/>
          <w:color w:val="auto"/>
          <w:lang w:val="en-US" w:eastAsia="zh-CN"/>
        </w:rPr>
        <w:t>；</w:t>
      </w:r>
      <w:r>
        <w:rPr>
          <w:rFonts w:hint="default"/>
          <w:color w:val="auto"/>
          <w:lang w:val="en-US" w:eastAsia="zh-CN"/>
        </w:rPr>
        <w:t>食堂用水标准为15L/人</w:t>
      </w:r>
      <w:r>
        <w:rPr>
          <w:rFonts w:hint="eastAsia" w:ascii="宋体" w:hAnsi="宋体" w:eastAsia="宋体" w:cs="宋体"/>
          <w:color w:val="auto"/>
          <w:lang w:val="en-US" w:eastAsia="zh-CN"/>
        </w:rPr>
        <w:t>·</w:t>
      </w:r>
      <w:r>
        <w:rPr>
          <w:rFonts w:hint="default"/>
          <w:color w:val="auto"/>
          <w:lang w:val="en-US" w:eastAsia="zh-CN"/>
        </w:rPr>
        <w:t>餐</w:t>
      </w:r>
      <w:r>
        <w:rPr>
          <w:rFonts w:hint="eastAsia"/>
          <w:color w:val="auto"/>
          <w:lang w:val="en-US" w:eastAsia="zh-CN"/>
        </w:rPr>
        <w:t>；</w:t>
      </w:r>
      <w:r>
        <w:rPr>
          <w:rFonts w:hint="default"/>
          <w:color w:val="auto"/>
          <w:lang w:val="en-US" w:eastAsia="zh-CN"/>
        </w:rPr>
        <w:t>公厕用水标准20L/人</w:t>
      </w:r>
      <w:r>
        <w:rPr>
          <w:rFonts w:hint="eastAsia" w:ascii="宋体" w:hAnsi="宋体" w:eastAsia="宋体" w:cs="宋体"/>
          <w:color w:val="auto"/>
          <w:lang w:val="en-US" w:eastAsia="zh-CN"/>
        </w:rPr>
        <w:t>·</w:t>
      </w:r>
      <w:r>
        <w:rPr>
          <w:rFonts w:hint="default"/>
          <w:color w:val="auto"/>
          <w:lang w:val="en-US" w:eastAsia="zh-CN"/>
        </w:rPr>
        <w:t>次。</w:t>
      </w:r>
    </w:p>
    <w:p>
      <w:pPr>
        <w:rPr>
          <w:rFonts w:hint="default"/>
          <w:color w:val="auto"/>
          <w:lang w:val="en-US" w:eastAsia="zh-CN"/>
        </w:rPr>
      </w:pPr>
      <w:r>
        <w:rPr>
          <w:rFonts w:hint="default"/>
          <w:color w:val="auto"/>
          <w:lang w:val="en-US" w:eastAsia="zh-CN"/>
        </w:rPr>
        <w:t>消防用水标准</w:t>
      </w:r>
      <w:r>
        <w:rPr>
          <w:rFonts w:hint="eastAsia"/>
          <w:color w:val="auto"/>
          <w:lang w:val="en-US" w:eastAsia="zh-CN"/>
        </w:rPr>
        <w:t>：</w:t>
      </w:r>
      <w:r>
        <w:rPr>
          <w:rFonts w:hint="default"/>
          <w:color w:val="auto"/>
          <w:lang w:val="en-US" w:eastAsia="zh-CN"/>
        </w:rPr>
        <w:t>选厂室外消防用水量为15L/s</w:t>
      </w:r>
      <w:r>
        <w:rPr>
          <w:rFonts w:hint="eastAsia"/>
          <w:color w:val="auto"/>
          <w:lang w:val="en-US" w:eastAsia="zh-CN"/>
        </w:rPr>
        <w:t>，</w:t>
      </w:r>
      <w:r>
        <w:rPr>
          <w:rFonts w:hint="default"/>
          <w:color w:val="auto"/>
          <w:lang w:val="en-US" w:eastAsia="zh-CN"/>
        </w:rPr>
        <w:t>室内消防用水量为10L/s</w:t>
      </w:r>
      <w:r>
        <w:rPr>
          <w:rFonts w:hint="eastAsia"/>
          <w:color w:val="auto"/>
          <w:lang w:val="en-US" w:eastAsia="zh-CN"/>
        </w:rPr>
        <w:t>，</w:t>
      </w:r>
      <w:r>
        <w:rPr>
          <w:rFonts w:hint="default"/>
          <w:color w:val="auto"/>
          <w:lang w:val="en-US" w:eastAsia="zh-CN"/>
        </w:rPr>
        <w:t>火灾延续时间为2h。生活区室外消防用水量为15L/s，室内消防用水量为 15L/s，火灾延续时间为2h。坑口工业场地消防水量为15L/s，火灾延续时间2h</w:t>
      </w:r>
      <w:r>
        <w:rPr>
          <w:rFonts w:hint="eastAsia"/>
          <w:color w:val="auto"/>
          <w:lang w:val="en-US" w:eastAsia="zh-CN"/>
        </w:rPr>
        <w:t>；</w:t>
      </w:r>
      <w:r>
        <w:rPr>
          <w:rFonts w:hint="default"/>
          <w:color w:val="auto"/>
          <w:lang w:val="en-US" w:eastAsia="zh-CN"/>
        </w:rPr>
        <w:t>井下消防用水20L/s，火灾延续时间3h。</w:t>
      </w:r>
    </w:p>
    <w:p>
      <w:pPr>
        <w:numPr>
          <w:ilvl w:val="0"/>
          <w:numId w:val="5"/>
        </w:numPr>
        <w:rPr>
          <w:rFonts w:hint="default"/>
          <w:color w:val="auto"/>
          <w:lang w:val="en-US" w:eastAsia="zh-CN"/>
        </w:rPr>
      </w:pPr>
      <w:r>
        <w:rPr>
          <w:rFonts w:hint="default"/>
          <w:color w:val="auto"/>
          <w:lang w:val="en-US" w:eastAsia="zh-CN"/>
        </w:rPr>
        <w:t>给水水量</w:t>
      </w:r>
    </w:p>
    <w:p>
      <w:pPr>
        <w:bidi w:val="0"/>
        <w:rPr>
          <w:rFonts w:hint="default"/>
          <w:color w:val="auto"/>
          <w:lang w:val="en-US" w:eastAsia="zh-CN"/>
        </w:rPr>
      </w:pPr>
      <w:r>
        <w:rPr>
          <w:rFonts w:hint="default"/>
          <w:color w:val="auto"/>
          <w:lang w:val="en-US" w:eastAsia="zh-CN"/>
        </w:rPr>
        <w:t>生产用水量</w:t>
      </w:r>
      <w:r>
        <w:rPr>
          <w:rFonts w:hint="eastAsia"/>
          <w:color w:val="auto"/>
          <w:lang w:val="en-US" w:eastAsia="zh-CN"/>
        </w:rPr>
        <w:t>：</w:t>
      </w:r>
      <w:r>
        <w:rPr>
          <w:rFonts w:hint="default"/>
          <w:color w:val="auto"/>
          <w:lang w:val="en-US" w:eastAsia="zh-CN"/>
        </w:rPr>
        <w:t>选厂生产总用水量为523.63m</w:t>
      </w:r>
      <w:r>
        <w:rPr>
          <w:rFonts w:hint="eastAsia"/>
          <w:color w:val="auto"/>
          <w:vertAlign w:val="superscript"/>
          <w:lang w:val="en-US" w:eastAsia="zh-CN"/>
        </w:rPr>
        <w:t>3</w:t>
      </w:r>
      <w:r>
        <w:rPr>
          <w:rFonts w:hint="default"/>
          <w:color w:val="auto"/>
          <w:lang w:val="en-US" w:eastAsia="zh-CN"/>
        </w:rPr>
        <w:t>/h</w:t>
      </w:r>
      <w:r>
        <w:rPr>
          <w:rFonts w:hint="eastAsia"/>
          <w:color w:val="auto"/>
          <w:lang w:val="en-US" w:eastAsia="zh-CN"/>
        </w:rPr>
        <w:t>，</w:t>
      </w:r>
      <w:r>
        <w:rPr>
          <w:rFonts w:hint="default"/>
          <w:color w:val="auto"/>
          <w:lang w:val="en-US" w:eastAsia="zh-CN"/>
        </w:rPr>
        <w:t>其中循环水量为 462.35m</w:t>
      </w:r>
      <w:r>
        <w:rPr>
          <w:rFonts w:hint="eastAsia"/>
          <w:color w:val="auto"/>
          <w:vertAlign w:val="superscript"/>
          <w:lang w:val="en-US" w:eastAsia="zh-CN"/>
        </w:rPr>
        <w:t>3</w:t>
      </w:r>
      <w:r>
        <w:rPr>
          <w:rFonts w:hint="default"/>
          <w:color w:val="auto"/>
          <w:lang w:val="en-US" w:eastAsia="zh-CN"/>
        </w:rPr>
        <w:t>/h</w:t>
      </w:r>
      <w:r>
        <w:rPr>
          <w:rFonts w:hint="eastAsia"/>
          <w:color w:val="auto"/>
          <w:lang w:val="en-US" w:eastAsia="zh-CN"/>
        </w:rPr>
        <w:t>，</w:t>
      </w:r>
      <w:r>
        <w:rPr>
          <w:rFonts w:hint="default"/>
          <w:color w:val="auto"/>
          <w:lang w:val="en-US" w:eastAsia="zh-CN"/>
        </w:rPr>
        <w:t>新水量为61.28m</w:t>
      </w:r>
      <w:r>
        <w:rPr>
          <w:rFonts w:hint="eastAsia"/>
          <w:color w:val="auto"/>
          <w:vertAlign w:val="superscript"/>
          <w:lang w:val="en-US" w:eastAsia="zh-CN"/>
        </w:rPr>
        <w:t>3</w:t>
      </w:r>
      <w:r>
        <w:rPr>
          <w:rFonts w:hint="default"/>
          <w:color w:val="auto"/>
          <w:lang w:val="en-US" w:eastAsia="zh-CN"/>
        </w:rPr>
        <w:t>/h，选矿工业水重复利用率</w:t>
      </w:r>
      <w:r>
        <w:rPr>
          <w:rFonts w:hint="eastAsia"/>
          <w:color w:val="auto"/>
          <w:lang w:val="en-US" w:eastAsia="zh-CN"/>
        </w:rPr>
        <w:t>为85</w:t>
      </w:r>
      <w:r>
        <w:rPr>
          <w:rFonts w:hint="default"/>
          <w:color w:val="auto"/>
          <w:lang w:val="en-US" w:eastAsia="zh-CN"/>
        </w:rPr>
        <w:t>%</w:t>
      </w:r>
      <w:r>
        <w:rPr>
          <w:rFonts w:hint="eastAsia"/>
          <w:color w:val="auto"/>
          <w:lang w:val="en-US" w:eastAsia="zh-CN"/>
        </w:rPr>
        <w:t>以上</w:t>
      </w:r>
      <w:r>
        <w:rPr>
          <w:rFonts w:hint="default"/>
          <w:color w:val="auto"/>
          <w:lang w:val="en-US" w:eastAsia="zh-CN"/>
        </w:rPr>
        <w:t>。</w:t>
      </w:r>
    </w:p>
    <w:p>
      <w:pPr>
        <w:bidi w:val="0"/>
        <w:rPr>
          <w:rFonts w:hint="default"/>
          <w:color w:val="auto"/>
          <w:lang w:val="en-US" w:eastAsia="zh-CN"/>
        </w:rPr>
      </w:pPr>
      <w:r>
        <w:rPr>
          <w:rFonts w:hint="default"/>
          <w:color w:val="auto"/>
          <w:lang w:val="en-US" w:eastAsia="zh-CN"/>
        </w:rPr>
        <w:t>（2）给水水源</w:t>
      </w:r>
    </w:p>
    <w:p>
      <w:pPr>
        <w:bidi w:val="0"/>
        <w:rPr>
          <w:rFonts w:hint="default"/>
          <w:color w:val="auto"/>
          <w:lang w:val="en-US" w:eastAsia="zh-CN"/>
        </w:rPr>
      </w:pPr>
      <w:r>
        <w:rPr>
          <w:rFonts w:hint="eastAsia"/>
          <w:color w:val="auto"/>
          <w:lang w:val="en-US" w:eastAsia="zh-CN"/>
        </w:rPr>
        <w:t>1）</w:t>
      </w:r>
      <w:r>
        <w:rPr>
          <w:rFonts w:hint="default"/>
          <w:color w:val="auto"/>
          <w:lang w:val="en-US" w:eastAsia="zh-CN"/>
        </w:rPr>
        <w:t>选厂给水系统</w:t>
      </w:r>
    </w:p>
    <w:p>
      <w:pPr>
        <w:bidi w:val="0"/>
        <w:rPr>
          <w:rFonts w:hint="default"/>
          <w:color w:val="auto"/>
          <w:lang w:val="en-US" w:eastAsia="zh-CN"/>
        </w:rPr>
      </w:pPr>
      <w:r>
        <w:rPr>
          <w:rFonts w:hint="default"/>
          <w:color w:val="auto"/>
          <w:lang w:val="en-US" w:eastAsia="zh-CN"/>
        </w:rPr>
        <w:t>选厂生产新水取自标高为+440m新水水池，新水水池尺寸</w:t>
      </w:r>
      <w:r>
        <w:rPr>
          <w:rFonts w:hint="eastAsia"/>
          <w:color w:val="auto"/>
          <w:lang w:val="en-US" w:eastAsia="zh-CN"/>
        </w:rPr>
        <w:t>：L×B×H=</w:t>
      </w:r>
      <w:r>
        <w:rPr>
          <w:rFonts w:hint="default"/>
          <w:color w:val="auto"/>
          <w:lang w:val="en-US" w:eastAsia="zh-CN"/>
        </w:rPr>
        <w:t>16m</w:t>
      </w:r>
      <w:r>
        <w:rPr>
          <w:rFonts w:hint="eastAsia" w:ascii="宋体" w:hAnsi="宋体" w:eastAsia="宋体" w:cs="宋体"/>
          <w:color w:val="auto"/>
          <w:lang w:val="en-US" w:eastAsia="zh-CN"/>
        </w:rPr>
        <w:t>×</w:t>
      </w:r>
      <w:r>
        <w:rPr>
          <w:rFonts w:hint="default"/>
          <w:color w:val="auto"/>
          <w:lang w:val="en-US" w:eastAsia="zh-CN"/>
        </w:rPr>
        <w:t>12.5m</w:t>
      </w:r>
      <w:r>
        <w:rPr>
          <w:rFonts w:hint="default" w:ascii="宋体" w:hAnsi="宋体" w:eastAsia="宋体" w:cs="宋体"/>
          <w:color w:val="auto"/>
          <w:lang w:val="en-US" w:eastAsia="zh-CN"/>
        </w:rPr>
        <w:t>×</w:t>
      </w:r>
      <w:r>
        <w:rPr>
          <w:rFonts w:hint="default"/>
          <w:color w:val="auto"/>
          <w:lang w:val="en-US" w:eastAsia="zh-CN"/>
        </w:rPr>
        <w:t>4.5m，新水水池</w:t>
      </w:r>
      <w:r>
        <w:rPr>
          <w:rFonts w:hint="eastAsia"/>
          <w:color w:val="auto"/>
          <w:lang w:val="en-US" w:eastAsia="zh-CN"/>
        </w:rPr>
        <w:t>除去壁厚</w:t>
      </w:r>
      <w:r>
        <w:rPr>
          <w:rFonts w:hint="default"/>
          <w:color w:val="auto"/>
          <w:lang w:val="en-US" w:eastAsia="zh-CN"/>
        </w:rPr>
        <w:t>容积</w:t>
      </w:r>
      <w:r>
        <w:rPr>
          <w:rFonts w:hint="eastAsia"/>
          <w:color w:val="auto"/>
          <w:lang w:val="en-US" w:eastAsia="zh-CN"/>
        </w:rPr>
        <w:t>为</w:t>
      </w:r>
      <w:r>
        <w:rPr>
          <w:rFonts w:hint="default"/>
          <w:color w:val="auto"/>
          <w:lang w:val="en-US" w:eastAsia="zh-CN"/>
        </w:rPr>
        <w:t>800m</w:t>
      </w:r>
      <w:r>
        <w:rPr>
          <w:rFonts w:hint="eastAsia"/>
          <w:color w:val="auto"/>
          <w:vertAlign w:val="superscript"/>
          <w:lang w:val="en-US" w:eastAsia="zh-CN"/>
        </w:rPr>
        <w:t>3</w:t>
      </w:r>
      <w:r>
        <w:rPr>
          <w:rFonts w:hint="default"/>
          <w:color w:val="auto"/>
          <w:lang w:val="en-US" w:eastAsia="zh-CN"/>
        </w:rPr>
        <w:t>，新水水池采取地上式结构。选厂新水利用重力自流至选厂各新水用水点，本系统的主要用水点有</w:t>
      </w:r>
      <w:r>
        <w:rPr>
          <w:rFonts w:hint="eastAsia"/>
          <w:color w:val="auto"/>
          <w:lang w:val="en-US" w:eastAsia="zh-CN"/>
        </w:rPr>
        <w:t>：</w:t>
      </w:r>
      <w:r>
        <w:rPr>
          <w:rFonts w:hint="default"/>
          <w:color w:val="auto"/>
          <w:lang w:val="en-US" w:eastAsia="zh-CN"/>
        </w:rPr>
        <w:t>渣浆泵水封水、设备冷却水、除尘、冲洗地坪用水、选厂用水。</w:t>
      </w:r>
    </w:p>
    <w:p>
      <w:pPr>
        <w:bidi w:val="0"/>
        <w:rPr>
          <w:rFonts w:hint="default"/>
          <w:color w:val="auto"/>
          <w:lang w:val="en-US" w:eastAsia="zh-CN"/>
        </w:rPr>
      </w:pPr>
      <w:r>
        <w:rPr>
          <w:rFonts w:hint="default"/>
          <w:color w:val="auto"/>
          <w:lang w:val="en-US" w:eastAsia="zh-CN"/>
        </w:rPr>
        <w:t>选厂循环用水取自循环水池。</w:t>
      </w:r>
    </w:p>
    <w:p>
      <w:pPr>
        <w:numPr>
          <w:ilvl w:val="0"/>
          <w:numId w:val="0"/>
        </w:numPr>
        <w:bidi w:val="0"/>
        <w:ind w:leftChars="200"/>
        <w:rPr>
          <w:rFonts w:hint="default"/>
          <w:color w:val="auto"/>
          <w:lang w:val="en-US" w:eastAsia="zh-CN"/>
        </w:rPr>
      </w:pPr>
      <w:r>
        <w:rPr>
          <w:rFonts w:hint="eastAsia"/>
          <w:color w:val="auto"/>
          <w:lang w:val="en-US" w:eastAsia="zh-CN"/>
        </w:rPr>
        <w:t>2）</w:t>
      </w:r>
      <w:r>
        <w:rPr>
          <w:rFonts w:hint="default"/>
          <w:color w:val="auto"/>
          <w:lang w:val="en-US" w:eastAsia="zh-CN"/>
        </w:rPr>
        <w:t>消防及供水施救给水系统</w:t>
      </w:r>
    </w:p>
    <w:p>
      <w:pPr>
        <w:bidi w:val="0"/>
        <w:rPr>
          <w:rFonts w:hint="default"/>
          <w:color w:val="auto"/>
          <w:lang w:val="en-US" w:eastAsia="zh-CN"/>
        </w:rPr>
      </w:pPr>
      <w:r>
        <w:rPr>
          <w:rFonts w:hint="default"/>
          <w:color w:val="auto"/>
          <w:lang w:val="en-US" w:eastAsia="zh-CN"/>
        </w:rPr>
        <w:t>地面建筑物消防根据《建筑设计防火规范》</w:t>
      </w:r>
      <w:r>
        <w:rPr>
          <w:rFonts w:hint="eastAsia"/>
          <w:color w:val="auto"/>
          <w:lang w:val="en-US" w:eastAsia="zh-CN"/>
        </w:rPr>
        <w:t>（</w:t>
      </w:r>
      <w:r>
        <w:rPr>
          <w:rFonts w:hint="default"/>
          <w:color w:val="auto"/>
          <w:lang w:val="en-US" w:eastAsia="zh-CN"/>
        </w:rPr>
        <w:t>GB50016-20</w:t>
      </w:r>
      <w:r>
        <w:rPr>
          <w:rFonts w:hint="eastAsia"/>
          <w:color w:val="auto"/>
          <w:lang w:val="en-US" w:eastAsia="zh-CN"/>
        </w:rPr>
        <w:t>14）、《消防给水及消火栓系统技术规范》（GB50974-2014）的</w:t>
      </w:r>
      <w:r>
        <w:rPr>
          <w:rFonts w:hint="default"/>
          <w:color w:val="auto"/>
          <w:lang w:val="en-US" w:eastAsia="zh-CN"/>
        </w:rPr>
        <w:t>规定，按同时发生一次火灾考虑，最大消防需水量为选矿主厂房，戊类建筑，室内消防水量为10L/</w:t>
      </w:r>
      <w:r>
        <w:rPr>
          <w:rFonts w:hint="eastAsia"/>
          <w:color w:val="auto"/>
          <w:lang w:val="en-US" w:eastAsia="zh-CN"/>
        </w:rPr>
        <w:t>s</w:t>
      </w:r>
      <w:r>
        <w:rPr>
          <w:rFonts w:hint="default"/>
          <w:color w:val="auto"/>
          <w:lang w:val="en-US" w:eastAsia="zh-CN"/>
        </w:rPr>
        <w:t>，室外消防水量15L/s，火灾延续时间为2h，坑口工业场地消防水量为15L/s，火灾延续时间2h</w:t>
      </w:r>
      <w:r>
        <w:rPr>
          <w:rFonts w:hint="eastAsia"/>
          <w:color w:val="auto"/>
          <w:lang w:val="en-US" w:eastAsia="zh-CN"/>
        </w:rPr>
        <w:t>；</w:t>
      </w:r>
      <w:r>
        <w:rPr>
          <w:rFonts w:hint="default"/>
          <w:color w:val="auto"/>
          <w:lang w:val="en-US" w:eastAsia="zh-CN"/>
        </w:rPr>
        <w:t>井下消防用水20L/s，火灾延续时间3h。则一次灭火用水量为216</w:t>
      </w:r>
      <w:r>
        <w:rPr>
          <w:rFonts w:hint="eastAsia"/>
          <w:color w:val="auto"/>
          <w:lang w:val="en-US" w:eastAsia="zh-CN"/>
        </w:rPr>
        <w:t>m</w:t>
      </w:r>
      <w:r>
        <w:rPr>
          <w:rFonts w:hint="eastAsia"/>
          <w:color w:val="auto"/>
          <w:vertAlign w:val="superscript"/>
          <w:lang w:val="en-US" w:eastAsia="zh-CN"/>
        </w:rPr>
        <w:t>3</w:t>
      </w:r>
      <w:r>
        <w:rPr>
          <w:rFonts w:hint="default"/>
          <w:color w:val="auto"/>
          <w:lang w:val="en-US" w:eastAsia="zh-CN"/>
        </w:rPr>
        <w:t>，确定水池消防容积为300</w:t>
      </w:r>
      <w:r>
        <w:rPr>
          <w:rFonts w:hint="eastAsia"/>
          <w:color w:val="auto"/>
          <w:lang w:val="en-US" w:eastAsia="zh-CN"/>
        </w:rPr>
        <w:t>m</w:t>
      </w:r>
      <w:r>
        <w:rPr>
          <w:rFonts w:hint="eastAsia"/>
          <w:color w:val="auto"/>
          <w:vertAlign w:val="superscript"/>
          <w:lang w:val="en-US" w:eastAsia="zh-CN"/>
        </w:rPr>
        <w:t>3</w:t>
      </w:r>
      <w:r>
        <w:rPr>
          <w:rFonts w:hint="default"/>
          <w:color w:val="auto"/>
          <w:lang w:val="en-US" w:eastAsia="zh-CN"/>
        </w:rPr>
        <w:t>。地面消防用水由+440m新水水池自流供给。</w:t>
      </w:r>
      <w:r>
        <w:rPr>
          <w:rFonts w:hint="eastAsia"/>
          <w:color w:val="auto"/>
          <w:lang w:val="en-US" w:eastAsia="zh-CN"/>
        </w:rPr>
        <w:t>厂房内设若干</w:t>
      </w:r>
      <w:r>
        <w:rPr>
          <w:rFonts w:hint="default"/>
          <w:color w:val="auto"/>
          <w:lang w:val="en-US" w:eastAsia="zh-CN"/>
        </w:rPr>
        <w:t>室内消火栓或建筑灭火器</w:t>
      </w:r>
      <w:r>
        <w:rPr>
          <w:rFonts w:hint="eastAsia"/>
          <w:color w:val="auto"/>
          <w:lang w:val="en-US" w:eastAsia="zh-CN"/>
        </w:rPr>
        <w:t>（</w:t>
      </w:r>
      <w:r>
        <w:rPr>
          <w:rFonts w:hint="default"/>
          <w:color w:val="auto"/>
          <w:lang w:val="en-US" w:eastAsia="zh-CN"/>
        </w:rPr>
        <w:t>磷酸铵盐干粉灭火器</w:t>
      </w:r>
      <w:r>
        <w:rPr>
          <w:rFonts w:hint="eastAsia"/>
          <w:color w:val="auto"/>
          <w:lang w:val="en-US" w:eastAsia="zh-CN"/>
        </w:rPr>
        <w:t>）</w:t>
      </w:r>
      <w:r>
        <w:rPr>
          <w:rFonts w:hint="default"/>
          <w:color w:val="auto"/>
          <w:lang w:val="en-US" w:eastAsia="zh-CN"/>
        </w:rPr>
        <w:t>。</w:t>
      </w:r>
    </w:p>
    <w:p>
      <w:pPr>
        <w:numPr>
          <w:ilvl w:val="0"/>
          <w:numId w:val="5"/>
        </w:numPr>
        <w:bidi w:val="0"/>
        <w:ind w:left="0" w:leftChars="0" w:firstLine="560" w:firstLineChars="200"/>
        <w:rPr>
          <w:rFonts w:hint="default"/>
          <w:color w:val="auto"/>
          <w:lang w:val="en-US" w:eastAsia="zh-CN"/>
        </w:rPr>
      </w:pPr>
      <w:r>
        <w:rPr>
          <w:rFonts w:hint="default"/>
          <w:color w:val="auto"/>
          <w:lang w:val="en-US" w:eastAsia="zh-CN"/>
        </w:rPr>
        <w:t>水量平衡：见表</w:t>
      </w:r>
      <w:r>
        <w:rPr>
          <w:rFonts w:hint="eastAsia"/>
          <w:color w:val="auto"/>
          <w:lang w:val="en-US" w:eastAsia="zh-CN"/>
        </w:rPr>
        <w:t>2-9</w:t>
      </w:r>
      <w:r>
        <w:rPr>
          <w:rFonts w:hint="default"/>
          <w:color w:val="auto"/>
          <w:lang w:val="en-US" w:eastAsia="zh-CN"/>
        </w:rPr>
        <w:t>。</w:t>
      </w:r>
    </w:p>
    <w:p>
      <w:pPr>
        <w:rPr>
          <w:rFonts w:hint="default"/>
          <w:color w:val="auto"/>
          <w:lang w:val="en-US" w:eastAsia="zh-CN"/>
        </w:rPr>
      </w:pPr>
      <w:r>
        <w:rPr>
          <w:rFonts w:hint="default"/>
          <w:color w:val="auto"/>
          <w:lang w:val="en-US" w:eastAsia="zh-CN"/>
        </w:rPr>
        <w:br w:type="page"/>
      </w:r>
    </w:p>
    <w:p>
      <w:pPr>
        <w:numPr>
          <w:ilvl w:val="0"/>
          <w:numId w:val="0"/>
        </w:numPr>
        <w:bidi w:val="0"/>
        <w:ind w:leftChars="200"/>
        <w:rPr>
          <w:rFonts w:hint="default"/>
          <w:color w:val="auto"/>
          <w:lang w:val="en-US" w:eastAsia="zh-CN"/>
        </w:rPr>
        <w:sectPr>
          <w:headerReference r:id="rId10" w:type="default"/>
          <w:footerReference r:id="rId11" w:type="default"/>
          <w:pgSz w:w="11906" w:h="16839"/>
          <w:pgMar w:top="1417" w:right="1417" w:bottom="1417" w:left="1417" w:header="850" w:footer="992" w:gutter="0"/>
          <w:pgNumType w:fmt="decimal" w:start="30"/>
          <w:cols w:space="425" w:num="1"/>
          <w:rtlGutter w:val="0"/>
          <w:docGrid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 xml:space="preserve">表2-9 </w:t>
      </w:r>
      <w:r>
        <w:rPr>
          <w:rFonts w:hint="default"/>
          <w:color w:val="auto"/>
          <w:lang w:val="en-US" w:eastAsia="zh-CN"/>
        </w:rPr>
        <w:t>水量平衡表</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496"/>
        <w:gridCol w:w="1084"/>
        <w:gridCol w:w="1314"/>
        <w:gridCol w:w="990"/>
        <w:gridCol w:w="1104"/>
        <w:gridCol w:w="1397"/>
        <w:gridCol w:w="927"/>
        <w:gridCol w:w="6"/>
        <w:gridCol w:w="1058"/>
        <w:gridCol w:w="1047"/>
        <w:gridCol w:w="754"/>
        <w:gridCol w:w="956"/>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250"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526"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车间及用水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设备名称</w:t>
            </w:r>
          </w:p>
        </w:tc>
        <w:tc>
          <w:tcPr>
            <w:tcW w:w="381"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总用水量（m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/d）</w:t>
            </w:r>
          </w:p>
        </w:tc>
        <w:tc>
          <w:tcPr>
            <w:tcW w:w="462"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小时用水量（m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r>
              <w:rPr>
                <w:rFonts w:hint="eastAsia" w:cs="Times New Roman"/>
                <w:color w:val="auto"/>
                <w:sz w:val="21"/>
                <w:szCs w:val="21"/>
                <w:vertAlign w:val="baseline"/>
                <w:lang w:val="en-US" w:eastAsia="zh-CN"/>
              </w:rPr>
              <w:t>h</w:t>
            </w:r>
            <w:r>
              <w:rPr>
                <w:rFonts w:hint="default" w:ascii="Times New Roman" w:hAnsi="Times New Roman" w:eastAsia="宋体" w:cs="Times New Roman"/>
                <w:color w:val="auto"/>
                <w:sz w:val="21"/>
                <w:szCs w:val="21"/>
                <w:vertAlign w:val="baseline"/>
                <w:lang w:val="en-US" w:eastAsia="zh-CN"/>
              </w:rPr>
              <w:t>）</w:t>
            </w:r>
          </w:p>
        </w:tc>
        <w:tc>
          <w:tcPr>
            <w:tcW w:w="348"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水质</w:t>
            </w:r>
          </w:p>
        </w:tc>
        <w:tc>
          <w:tcPr>
            <w:tcW w:w="388"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水温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91"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水压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（MPa）</w:t>
            </w:r>
          </w:p>
        </w:tc>
        <w:tc>
          <w:tcPr>
            <w:tcW w:w="700"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给水量（m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c>
          <w:tcPr>
            <w:tcW w:w="633"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排水量（m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c>
          <w:tcPr>
            <w:tcW w:w="33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排水水质</w:t>
            </w:r>
          </w:p>
        </w:tc>
        <w:tc>
          <w:tcPr>
            <w:tcW w:w="480"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250"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526"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8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6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4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8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9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28"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生产新水</w:t>
            </w:r>
          </w:p>
        </w:tc>
        <w:tc>
          <w:tcPr>
            <w:tcW w:w="37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循环水</w:t>
            </w:r>
          </w:p>
        </w:tc>
        <w:tc>
          <w:tcPr>
            <w:tcW w:w="3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回水</w:t>
            </w:r>
          </w:p>
        </w:tc>
        <w:tc>
          <w:tcPr>
            <w:tcW w:w="26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损失</w:t>
            </w:r>
          </w:p>
        </w:tc>
        <w:tc>
          <w:tcPr>
            <w:tcW w:w="33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80"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250"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52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选矿用水</w:t>
            </w:r>
          </w:p>
        </w:tc>
        <w:tc>
          <w:tcPr>
            <w:tcW w:w="38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6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4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8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9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2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74"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3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80"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250"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52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工艺用水</w:t>
            </w:r>
          </w:p>
        </w:tc>
        <w:tc>
          <w:tcPr>
            <w:tcW w:w="38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11186. 64</w:t>
            </w:r>
          </w:p>
        </w:tc>
        <w:tc>
          <w:tcPr>
            <w:tcW w:w="46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466. 11</w:t>
            </w:r>
          </w:p>
        </w:tc>
        <w:tc>
          <w:tcPr>
            <w:tcW w:w="34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生产水</w:t>
            </w:r>
          </w:p>
        </w:tc>
        <w:tc>
          <w:tcPr>
            <w:tcW w:w="38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常温</w:t>
            </w:r>
          </w:p>
        </w:tc>
        <w:tc>
          <w:tcPr>
            <w:tcW w:w="49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0.3～0.5</w:t>
            </w:r>
          </w:p>
        </w:tc>
        <w:tc>
          <w:tcPr>
            <w:tcW w:w="32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20.72</w:t>
            </w:r>
          </w:p>
        </w:tc>
        <w:tc>
          <w:tcPr>
            <w:tcW w:w="374"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445.39</w:t>
            </w:r>
          </w:p>
        </w:tc>
        <w:tc>
          <w:tcPr>
            <w:tcW w:w="3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432.73</w:t>
            </w:r>
          </w:p>
        </w:tc>
        <w:tc>
          <w:tcPr>
            <w:tcW w:w="26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4.62</w:t>
            </w:r>
          </w:p>
        </w:tc>
        <w:tc>
          <w:tcPr>
            <w:tcW w:w="33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细废石、粗粒尾矿、</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精矿带走</w:t>
            </w:r>
          </w:p>
        </w:tc>
        <w:tc>
          <w:tcPr>
            <w:tcW w:w="480"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原矿自带水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1.72m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250"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52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渣浆泵水封水</w:t>
            </w:r>
          </w:p>
        </w:tc>
        <w:tc>
          <w:tcPr>
            <w:tcW w:w="38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w:t>
            </w:r>
          </w:p>
        </w:tc>
        <w:tc>
          <w:tcPr>
            <w:tcW w:w="46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4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生产水</w:t>
            </w:r>
          </w:p>
        </w:tc>
        <w:tc>
          <w:tcPr>
            <w:tcW w:w="38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常温</w:t>
            </w:r>
          </w:p>
        </w:tc>
        <w:tc>
          <w:tcPr>
            <w:tcW w:w="49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0.6</w:t>
            </w:r>
          </w:p>
        </w:tc>
        <w:tc>
          <w:tcPr>
            <w:tcW w:w="32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74"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26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6</w:t>
            </w:r>
          </w:p>
        </w:tc>
        <w:tc>
          <w:tcPr>
            <w:tcW w:w="33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80"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50"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52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设备冷却水</w:t>
            </w:r>
          </w:p>
        </w:tc>
        <w:tc>
          <w:tcPr>
            <w:tcW w:w="38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72</w:t>
            </w:r>
          </w:p>
        </w:tc>
        <w:tc>
          <w:tcPr>
            <w:tcW w:w="46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34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生产水</w:t>
            </w:r>
          </w:p>
        </w:tc>
        <w:tc>
          <w:tcPr>
            <w:tcW w:w="38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常温</w:t>
            </w:r>
          </w:p>
        </w:tc>
        <w:tc>
          <w:tcPr>
            <w:tcW w:w="49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w:t>
            </w:r>
          </w:p>
        </w:tc>
        <w:tc>
          <w:tcPr>
            <w:tcW w:w="32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374"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26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33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80"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50"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52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除尘用水</w:t>
            </w:r>
          </w:p>
        </w:tc>
        <w:tc>
          <w:tcPr>
            <w:tcW w:w="38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102.72</w:t>
            </w:r>
          </w:p>
        </w:tc>
        <w:tc>
          <w:tcPr>
            <w:tcW w:w="46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4.28</w:t>
            </w:r>
          </w:p>
        </w:tc>
        <w:tc>
          <w:tcPr>
            <w:tcW w:w="34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生产水</w:t>
            </w:r>
          </w:p>
        </w:tc>
        <w:tc>
          <w:tcPr>
            <w:tcW w:w="38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常温</w:t>
            </w:r>
          </w:p>
        </w:tc>
        <w:tc>
          <w:tcPr>
            <w:tcW w:w="49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w:t>
            </w:r>
          </w:p>
        </w:tc>
        <w:tc>
          <w:tcPr>
            <w:tcW w:w="32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r>
              <w:rPr>
                <w:rFonts w:hint="default" w:ascii="Times New Roman" w:hAnsi="Times New Roman" w:eastAsia="宋体" w:cs="Times New Roman"/>
                <w:color w:val="auto"/>
                <w:sz w:val="21"/>
                <w:szCs w:val="21"/>
                <w:vertAlign w:val="baseline"/>
                <w:lang w:val="en-US" w:eastAsia="zh-CN"/>
              </w:rPr>
              <w:t>. 28</w:t>
            </w:r>
          </w:p>
        </w:tc>
        <w:tc>
          <w:tcPr>
            <w:tcW w:w="374"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2.28</w:t>
            </w:r>
          </w:p>
        </w:tc>
        <w:tc>
          <w:tcPr>
            <w:tcW w:w="26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33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80"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50"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52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地坪冲洗水</w:t>
            </w:r>
          </w:p>
        </w:tc>
        <w:tc>
          <w:tcPr>
            <w:tcW w:w="38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48</w:t>
            </w:r>
          </w:p>
        </w:tc>
        <w:tc>
          <w:tcPr>
            <w:tcW w:w="46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34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生产水</w:t>
            </w:r>
          </w:p>
        </w:tc>
        <w:tc>
          <w:tcPr>
            <w:tcW w:w="38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常温</w:t>
            </w:r>
          </w:p>
        </w:tc>
        <w:tc>
          <w:tcPr>
            <w:tcW w:w="49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cs="Times New Roman"/>
                <w:color w:val="auto"/>
                <w:sz w:val="21"/>
                <w:szCs w:val="21"/>
                <w:vertAlign w:val="baseline"/>
                <w:lang w:val="en-US" w:eastAsia="zh-CN"/>
              </w:rPr>
              <w:t>2</w:t>
            </w:r>
          </w:p>
        </w:tc>
        <w:tc>
          <w:tcPr>
            <w:tcW w:w="32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374"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26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33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80"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50"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6</w:t>
            </w:r>
          </w:p>
        </w:tc>
        <w:tc>
          <w:tcPr>
            <w:tcW w:w="52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其他未预见用水</w:t>
            </w:r>
          </w:p>
        </w:tc>
        <w:tc>
          <w:tcPr>
            <w:tcW w:w="38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917.76</w:t>
            </w:r>
          </w:p>
        </w:tc>
        <w:tc>
          <w:tcPr>
            <w:tcW w:w="46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38.24</w:t>
            </w:r>
          </w:p>
        </w:tc>
        <w:tc>
          <w:tcPr>
            <w:tcW w:w="34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生产水</w:t>
            </w:r>
          </w:p>
        </w:tc>
        <w:tc>
          <w:tcPr>
            <w:tcW w:w="38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常温</w:t>
            </w:r>
          </w:p>
        </w:tc>
        <w:tc>
          <w:tcPr>
            <w:tcW w:w="49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0.3～0.5</w:t>
            </w:r>
          </w:p>
        </w:tc>
        <w:tc>
          <w:tcPr>
            <w:tcW w:w="32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374"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33. 24</w:t>
            </w:r>
          </w:p>
        </w:tc>
        <w:tc>
          <w:tcPr>
            <w:tcW w:w="3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38.24</w:t>
            </w:r>
          </w:p>
        </w:tc>
        <w:tc>
          <w:tcPr>
            <w:tcW w:w="33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80"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250"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w:t>
            </w:r>
          </w:p>
        </w:tc>
        <w:tc>
          <w:tcPr>
            <w:tcW w:w="52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尾矿库回水</w:t>
            </w:r>
          </w:p>
        </w:tc>
        <w:tc>
          <w:tcPr>
            <w:tcW w:w="38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6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4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生产水</w:t>
            </w:r>
          </w:p>
        </w:tc>
        <w:tc>
          <w:tcPr>
            <w:tcW w:w="38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常温</w:t>
            </w:r>
          </w:p>
        </w:tc>
        <w:tc>
          <w:tcPr>
            <w:tcW w:w="49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w:t>
            </w:r>
          </w:p>
        </w:tc>
        <w:tc>
          <w:tcPr>
            <w:tcW w:w="32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74"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21.34</w:t>
            </w:r>
          </w:p>
        </w:tc>
        <w:tc>
          <w:tcPr>
            <w:tcW w:w="26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9.14</w:t>
            </w:r>
          </w:p>
        </w:tc>
        <w:tc>
          <w:tcPr>
            <w:tcW w:w="33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80"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250"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52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小计</w:t>
            </w:r>
          </w:p>
        </w:tc>
        <w:tc>
          <w:tcPr>
            <w:tcW w:w="38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12567.12</w:t>
            </w:r>
          </w:p>
        </w:tc>
        <w:tc>
          <w:tcPr>
            <w:tcW w:w="46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523.63</w:t>
            </w:r>
          </w:p>
        </w:tc>
        <w:tc>
          <w:tcPr>
            <w:tcW w:w="34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8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9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2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45</w:t>
            </w:r>
          </w:p>
        </w:tc>
        <w:tc>
          <w:tcPr>
            <w:tcW w:w="374"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478.63</w:t>
            </w:r>
          </w:p>
        </w:tc>
        <w:tc>
          <w:tcPr>
            <w:tcW w:w="3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462.35</w:t>
            </w:r>
          </w:p>
        </w:tc>
        <w:tc>
          <w:tcPr>
            <w:tcW w:w="26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63</w:t>
            </w:r>
          </w:p>
        </w:tc>
        <w:tc>
          <w:tcPr>
            <w:tcW w:w="33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80"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原矿自带水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1.72m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/h</w:t>
            </w:r>
          </w:p>
        </w:tc>
      </w:tr>
    </w:tbl>
    <w:p>
      <w:pPr>
        <w:rPr>
          <w:rFonts w:hint="eastAsia"/>
          <w:color w:val="auto"/>
          <w:lang w:val="en-US" w:eastAsia="zh-CN"/>
        </w:rPr>
        <w:sectPr>
          <w:headerReference r:id="rId12" w:type="default"/>
          <w:footerReference r:id="rId13" w:type="default"/>
          <w:type w:val="continuous"/>
          <w:pgSz w:w="16839" w:h="11906" w:orient="landscape"/>
          <w:pgMar w:top="1417" w:right="1417" w:bottom="1417" w:left="1417" w:header="850" w:footer="992" w:gutter="0"/>
          <w:pgNumType w:fmt="decimal" w:start="32"/>
          <w:cols w:space="425" w:num="1"/>
          <w:rtlGutter w:val="0"/>
          <w:docGrid w:linePitch="312" w:charSpace="0"/>
        </w:sectPr>
      </w:pPr>
    </w:p>
    <w:p>
      <w:pPr>
        <w:pageBreakBefore w:val="0"/>
        <w:widowControl w:val="0"/>
        <w:kinsoku/>
        <w:wordWrap/>
        <w:overflowPunct/>
        <w:topLinePunct w:val="0"/>
        <w:autoSpaceDE/>
        <w:autoSpaceDN/>
        <w:bidi w:val="0"/>
        <w:adjustRightInd/>
        <w:snapToGrid/>
        <w:spacing w:line="600" w:lineRule="exact"/>
        <w:textAlignment w:val="auto"/>
        <w:rPr>
          <w:rFonts w:hint="eastAsia"/>
          <w:color w:val="auto"/>
          <w:lang w:val="en-US" w:eastAsia="zh-CN"/>
        </w:rPr>
      </w:pPr>
      <w:r>
        <w:rPr>
          <w:rFonts w:hint="eastAsia"/>
          <w:color w:val="auto"/>
          <w:lang w:val="en-US" w:eastAsia="zh-CN"/>
        </w:rPr>
        <w:t>2. 排水</w:t>
      </w:r>
    </w:p>
    <w:p>
      <w:pPr>
        <w:pageBreakBefore w:val="0"/>
        <w:widowControl w:val="0"/>
        <w:kinsoku/>
        <w:wordWrap/>
        <w:overflowPunct/>
        <w:topLinePunct w:val="0"/>
        <w:autoSpaceDE/>
        <w:autoSpaceDN/>
        <w:bidi w:val="0"/>
        <w:adjustRightInd/>
        <w:snapToGrid/>
        <w:spacing w:line="600" w:lineRule="exact"/>
        <w:textAlignment w:val="auto"/>
        <w:rPr>
          <w:rFonts w:hint="default"/>
          <w:color w:val="auto"/>
          <w:lang w:val="en-US" w:eastAsia="zh-CN"/>
        </w:rPr>
      </w:pPr>
      <w:r>
        <w:rPr>
          <w:rFonts w:hint="eastAsia"/>
          <w:color w:val="auto"/>
          <w:lang w:val="en-US" w:eastAsia="zh-CN"/>
        </w:rPr>
        <w:t>选矿厂</w:t>
      </w:r>
      <w:r>
        <w:rPr>
          <w:rFonts w:hint="default"/>
          <w:color w:val="auto"/>
          <w:lang w:val="en-US" w:eastAsia="zh-CN"/>
        </w:rPr>
        <w:t>所在气候地夏季多雨、有时瞬时暴雨强度大。因此在各个场地周围设矩形排水明沟汇集场地和坡面雨水</w:t>
      </w:r>
      <w:r>
        <w:rPr>
          <w:rFonts w:hint="eastAsia"/>
          <w:color w:val="auto"/>
          <w:lang w:val="en-US" w:eastAsia="zh-CN"/>
        </w:rPr>
        <w:t>，</w:t>
      </w:r>
      <w:r>
        <w:rPr>
          <w:rFonts w:hint="default"/>
          <w:color w:val="auto"/>
          <w:lang w:val="en-US" w:eastAsia="zh-CN"/>
        </w:rPr>
        <w:t>经明沟汇集的雨水排至矿区东侧溪谷。</w:t>
      </w:r>
    </w:p>
    <w:p>
      <w:pPr>
        <w:pageBreakBefore w:val="0"/>
        <w:widowControl w:val="0"/>
        <w:kinsoku/>
        <w:wordWrap/>
        <w:overflowPunct/>
        <w:topLinePunct w:val="0"/>
        <w:autoSpaceDE/>
        <w:autoSpaceDN/>
        <w:bidi w:val="0"/>
        <w:adjustRightInd/>
        <w:snapToGrid/>
        <w:spacing w:line="600" w:lineRule="exact"/>
        <w:textAlignment w:val="auto"/>
        <w:rPr>
          <w:rFonts w:hint="default"/>
          <w:color w:val="auto"/>
          <w:lang w:val="en-US" w:eastAsia="zh-CN"/>
        </w:rPr>
      </w:pPr>
      <w:r>
        <w:rPr>
          <w:rFonts w:hint="default"/>
          <w:color w:val="auto"/>
          <w:lang w:val="en-US" w:eastAsia="zh-CN"/>
        </w:rPr>
        <w:t>根据选矿工艺中产生的</w:t>
      </w:r>
      <w:r>
        <w:rPr>
          <w:rFonts w:hint="eastAsia"/>
          <w:color w:val="auto"/>
          <w:lang w:val="en-US" w:eastAsia="zh-CN"/>
        </w:rPr>
        <w:t>废</w:t>
      </w:r>
      <w:r>
        <w:rPr>
          <w:rFonts w:hint="default"/>
          <w:color w:val="auto"/>
          <w:lang w:val="en-US" w:eastAsia="zh-CN"/>
        </w:rPr>
        <w:t>水分别流至细泥浓缩池和尾矿浓缩池，两个池内的溢流水经管道自流到尾矿库水池。</w:t>
      </w:r>
    </w:p>
    <w:p>
      <w:pPr>
        <w:pageBreakBefore w:val="0"/>
        <w:widowControl w:val="0"/>
        <w:kinsoku/>
        <w:wordWrap/>
        <w:overflowPunct/>
        <w:topLinePunct w:val="0"/>
        <w:autoSpaceDE/>
        <w:autoSpaceDN/>
        <w:bidi w:val="0"/>
        <w:adjustRightInd/>
        <w:snapToGrid/>
        <w:spacing w:line="600" w:lineRule="exact"/>
        <w:textAlignment w:val="auto"/>
        <w:rPr>
          <w:rFonts w:hint="eastAsia"/>
          <w:color w:val="auto"/>
          <w:lang w:val="en-US" w:eastAsia="zh-CN"/>
        </w:rPr>
      </w:pPr>
      <w:r>
        <w:rPr>
          <w:rFonts w:hint="eastAsia"/>
          <w:color w:val="auto"/>
          <w:lang w:val="en-US" w:eastAsia="zh-CN"/>
        </w:rPr>
        <w:t>3. 废水处理</w:t>
      </w:r>
    </w:p>
    <w:p>
      <w:pPr>
        <w:pageBreakBefore w:val="0"/>
        <w:widowControl w:val="0"/>
        <w:kinsoku/>
        <w:wordWrap/>
        <w:overflowPunct/>
        <w:topLinePunct w:val="0"/>
        <w:autoSpaceDE/>
        <w:autoSpaceDN/>
        <w:bidi w:val="0"/>
        <w:adjustRightInd/>
        <w:snapToGrid/>
        <w:spacing w:line="600" w:lineRule="exact"/>
        <w:textAlignment w:val="auto"/>
        <w:rPr>
          <w:rFonts w:hint="default"/>
          <w:color w:val="auto"/>
          <w:lang w:val="en-US" w:eastAsia="zh-CN"/>
        </w:rPr>
      </w:pPr>
      <w:r>
        <w:rPr>
          <w:rFonts w:hint="default"/>
          <w:color w:val="auto"/>
          <w:lang w:val="en-US" w:eastAsia="zh-CN"/>
        </w:rPr>
        <w:t>选矿厂废水主要来自洗矿废水、破碎系统废水、选矿废水和冲洗废水。根据本项目钨矿选别的特点，钨矿浮选矿量较小，所用浮选药剂用量也不大</w:t>
      </w:r>
      <w:r>
        <w:rPr>
          <w:rFonts w:hint="eastAsia"/>
          <w:color w:val="auto"/>
          <w:lang w:val="en-US" w:eastAsia="zh-CN"/>
        </w:rPr>
        <w:t>，</w:t>
      </w:r>
      <w:r>
        <w:rPr>
          <w:rFonts w:hint="default"/>
          <w:color w:val="auto"/>
          <w:lang w:val="en-US" w:eastAsia="zh-CN"/>
        </w:rPr>
        <w:t>因此选矿废水中残留药剂对于整个矿山水系统影响也不大。当然，在后期长时间生产过程中也存在浮选残留药剂富集的现象，对于该问题，建议建设单位进行浮选回水试验，查明残留药剂品种及含量，进而确定对选别工艺影响最小的残留药剂去除率，选择经济合理的处理工艺。</w:t>
      </w:r>
    </w:p>
    <w:p>
      <w:pPr>
        <w:pageBreakBefore w:val="0"/>
        <w:widowControl w:val="0"/>
        <w:kinsoku/>
        <w:wordWrap/>
        <w:overflowPunct/>
        <w:topLinePunct w:val="0"/>
        <w:autoSpaceDE/>
        <w:autoSpaceDN/>
        <w:bidi w:val="0"/>
        <w:adjustRightInd/>
        <w:snapToGrid/>
        <w:spacing w:line="600" w:lineRule="exact"/>
        <w:textAlignment w:val="auto"/>
        <w:rPr>
          <w:rFonts w:hint="default"/>
          <w:color w:val="auto"/>
          <w:lang w:val="en-US" w:eastAsia="zh-CN"/>
        </w:rPr>
      </w:pPr>
      <w:r>
        <w:rPr>
          <w:rFonts w:hint="default"/>
          <w:color w:val="auto"/>
          <w:lang w:val="en-US" w:eastAsia="zh-CN"/>
        </w:rPr>
        <w:t>除了残留药剂</w:t>
      </w:r>
      <w:r>
        <w:rPr>
          <w:rFonts w:hint="eastAsia"/>
          <w:color w:val="auto"/>
          <w:lang w:val="en-US" w:eastAsia="zh-CN"/>
        </w:rPr>
        <w:t>，</w:t>
      </w:r>
      <w:r>
        <w:rPr>
          <w:rFonts w:hint="default"/>
          <w:color w:val="auto"/>
          <w:lang w:val="en-US" w:eastAsia="zh-CN"/>
        </w:rPr>
        <w:t>根据选矿工艺特点及参考国内类似钨矿山的生产实践</w:t>
      </w:r>
      <w:r>
        <w:rPr>
          <w:rFonts w:hint="eastAsia"/>
          <w:color w:val="auto"/>
          <w:lang w:val="en-US" w:eastAsia="zh-CN"/>
        </w:rPr>
        <w:t>，</w:t>
      </w:r>
      <w:r>
        <w:rPr>
          <w:rFonts w:hint="default"/>
          <w:color w:val="auto"/>
          <w:lang w:val="en-US" w:eastAsia="zh-CN"/>
        </w:rPr>
        <w:t>矿山选矿废水往往呈弱酸性</w:t>
      </w:r>
      <w:r>
        <w:rPr>
          <w:rFonts w:hint="eastAsia"/>
          <w:color w:val="auto"/>
          <w:lang w:val="en-US" w:eastAsia="zh-CN"/>
        </w:rPr>
        <w:t>，</w:t>
      </w:r>
      <w:r>
        <w:rPr>
          <w:rFonts w:hint="default"/>
          <w:color w:val="auto"/>
          <w:lang w:val="en-US" w:eastAsia="zh-CN"/>
        </w:rPr>
        <w:t>并含有一定量的悬浮物和镉、铜、铅等重金属离子。为此，可采用自然沉淀+石灰乳法的处理方法。即</w:t>
      </w:r>
      <w:r>
        <w:rPr>
          <w:rFonts w:hint="eastAsia"/>
          <w:color w:val="auto"/>
          <w:lang w:val="en-US" w:eastAsia="zh-CN"/>
        </w:rPr>
        <w:t>：</w:t>
      </w:r>
      <w:r>
        <w:rPr>
          <w:rFonts w:hint="default"/>
          <w:color w:val="auto"/>
          <w:lang w:val="en-US" w:eastAsia="zh-CN"/>
        </w:rPr>
        <w:t>首先通过沉淀去除较大可沉降颗粒，然后加入石灰乳调节废水PH值，使废水中悬浮物含量和金属离子含量大幅降低</w:t>
      </w:r>
      <w:r>
        <w:rPr>
          <w:rFonts w:hint="eastAsia"/>
          <w:color w:val="auto"/>
          <w:lang w:val="en-US" w:eastAsia="zh-CN"/>
        </w:rPr>
        <w:t>，</w:t>
      </w:r>
      <w:r>
        <w:rPr>
          <w:rFonts w:hint="default"/>
          <w:color w:val="auto"/>
          <w:lang w:val="en-US" w:eastAsia="zh-CN"/>
        </w:rPr>
        <w:t>水质达到选矿工艺要求的水质标准后大部分</w:t>
      </w:r>
      <w:r>
        <w:rPr>
          <w:rFonts w:hint="default"/>
          <w:color w:val="auto"/>
          <w:spacing w:val="-6"/>
          <w:sz w:val="28"/>
          <w:lang w:val="en-US" w:eastAsia="zh-CN"/>
        </w:rPr>
        <w:t>经管道泵入选厂高位水池作为选矿生产用水循环使用，剩余部分进入废水处理站生化系统进一步处理后外排产生的污泥定期清理送专门处理机构处理。</w:t>
      </w:r>
    </w:p>
    <w:p>
      <w:pPr>
        <w:pStyle w:val="4"/>
        <w:pageBreakBefore w:val="0"/>
        <w:widowControl w:val="0"/>
        <w:kinsoku/>
        <w:wordWrap/>
        <w:overflowPunct/>
        <w:topLinePunct w:val="0"/>
        <w:autoSpaceDE/>
        <w:autoSpaceDN/>
        <w:bidi w:val="0"/>
        <w:adjustRightInd/>
        <w:snapToGrid/>
        <w:spacing w:line="600" w:lineRule="exact"/>
        <w:textAlignment w:val="auto"/>
        <w:rPr>
          <w:rFonts w:hint="eastAsia"/>
          <w:color w:val="auto"/>
          <w:lang w:val="en-US" w:eastAsia="zh-CN"/>
        </w:rPr>
      </w:pPr>
      <w:bookmarkStart w:id="95" w:name="_Toc31497"/>
      <w:bookmarkStart w:id="96" w:name="_Toc27012"/>
      <w:r>
        <w:rPr>
          <w:rFonts w:hint="eastAsia"/>
          <w:color w:val="auto"/>
          <w:lang w:val="en-US" w:eastAsia="zh-CN"/>
        </w:rPr>
        <w:t>2.6.6 供配电</w:t>
      </w:r>
      <w:bookmarkEnd w:id="95"/>
      <w:bookmarkEnd w:id="96"/>
    </w:p>
    <w:p>
      <w:pPr>
        <w:pageBreakBefore w:val="0"/>
        <w:widowControl w:val="0"/>
        <w:kinsoku/>
        <w:wordWrap/>
        <w:overflowPunct/>
        <w:topLinePunct w:val="0"/>
        <w:autoSpaceDE/>
        <w:autoSpaceDN/>
        <w:bidi w:val="0"/>
        <w:adjustRightInd/>
        <w:snapToGrid/>
        <w:spacing w:line="600" w:lineRule="exact"/>
        <w:textAlignment w:val="auto"/>
        <w:rPr>
          <w:rFonts w:hint="default"/>
          <w:color w:val="auto"/>
          <w:lang w:val="en-US" w:eastAsia="zh-CN"/>
        </w:rPr>
      </w:pPr>
      <w:r>
        <w:rPr>
          <w:rFonts w:hint="eastAsia"/>
          <w:color w:val="auto"/>
          <w:lang w:val="en-US" w:eastAsia="zh-CN"/>
        </w:rPr>
        <w:t xml:space="preserve">1. </w:t>
      </w:r>
      <w:r>
        <w:rPr>
          <w:rFonts w:hint="default"/>
          <w:color w:val="auto"/>
          <w:lang w:val="en-US" w:eastAsia="zh-CN"/>
        </w:rPr>
        <w:t>选矿电力负荷</w:t>
      </w:r>
    </w:p>
    <w:p>
      <w:pPr>
        <w:pageBreakBefore w:val="0"/>
        <w:widowControl w:val="0"/>
        <w:kinsoku/>
        <w:wordWrap/>
        <w:overflowPunct/>
        <w:topLinePunct w:val="0"/>
        <w:autoSpaceDE/>
        <w:autoSpaceDN/>
        <w:bidi w:val="0"/>
        <w:adjustRightInd/>
        <w:snapToGrid/>
        <w:spacing w:line="600" w:lineRule="exact"/>
        <w:textAlignment w:val="auto"/>
        <w:rPr>
          <w:rFonts w:hint="default"/>
          <w:color w:val="auto"/>
          <w:lang w:val="en-US" w:eastAsia="zh-CN"/>
        </w:rPr>
      </w:pPr>
      <w:r>
        <w:rPr>
          <w:rFonts w:hint="default"/>
          <w:color w:val="auto"/>
          <w:lang w:val="en-US" w:eastAsia="zh-CN"/>
        </w:rPr>
        <w:t>总装机容量为1718.00k</w:t>
      </w:r>
      <w:r>
        <w:rPr>
          <w:rFonts w:hint="eastAsia"/>
          <w:color w:val="auto"/>
          <w:lang w:val="en-US" w:eastAsia="zh-CN"/>
        </w:rPr>
        <w:t>W</w:t>
      </w:r>
      <w:r>
        <w:rPr>
          <w:rFonts w:hint="default"/>
          <w:color w:val="auto"/>
          <w:lang w:val="en-US" w:eastAsia="zh-CN"/>
        </w:rPr>
        <w:t>，工作容量为1558.80k</w:t>
      </w:r>
      <w:r>
        <w:rPr>
          <w:rFonts w:hint="eastAsia"/>
          <w:color w:val="auto"/>
          <w:lang w:val="en-US" w:eastAsia="zh-CN"/>
        </w:rPr>
        <w:t>W</w:t>
      </w:r>
      <w:r>
        <w:rPr>
          <w:rFonts w:hint="default"/>
          <w:color w:val="auto"/>
          <w:lang w:val="en-US" w:eastAsia="zh-CN"/>
        </w:rPr>
        <w:t>。计算有功功率Pjs=948.61k</w:t>
      </w:r>
      <w:r>
        <w:rPr>
          <w:rFonts w:hint="eastAsia"/>
          <w:color w:val="auto"/>
          <w:lang w:val="en-US" w:eastAsia="zh-CN"/>
        </w:rPr>
        <w:t>W</w:t>
      </w:r>
      <w:r>
        <w:rPr>
          <w:rFonts w:hint="default"/>
          <w:color w:val="auto"/>
          <w:lang w:val="en-US" w:eastAsia="zh-CN"/>
        </w:rPr>
        <w:t>，计算无功功率Qjs=451.97kvar，计算视在功率Sjs=1050.78kVA，计算功率因数</w:t>
      </w:r>
      <w:r>
        <w:rPr>
          <w:rFonts w:hint="eastAsia"/>
          <w:color w:val="auto"/>
          <w:lang w:val="en-US" w:eastAsia="zh-CN"/>
        </w:rPr>
        <w:t>：</w:t>
      </w:r>
      <w:r>
        <w:rPr>
          <w:rFonts w:hint="default"/>
          <w:color w:val="auto"/>
          <w:lang w:val="en-US" w:eastAsia="zh-CN"/>
        </w:rPr>
        <w:t>cos</w:t>
      </w:r>
      <w:r>
        <w:rPr>
          <w:rFonts w:hint="default" w:ascii="Times New Roman" w:hAnsi="Times New Roman" w:cs="Times New Roman"/>
          <w:color w:val="auto"/>
          <w:lang w:val="en-US" w:eastAsia="zh-CN"/>
        </w:rPr>
        <w:t>Φ</w:t>
      </w:r>
      <w:r>
        <w:rPr>
          <w:rFonts w:hint="default"/>
          <w:color w:val="auto"/>
          <w:lang w:val="en-US" w:eastAsia="zh-CN"/>
        </w:rPr>
        <w:t>=0.90。</w:t>
      </w:r>
    </w:p>
    <w:p>
      <w:pPr>
        <w:pageBreakBefore w:val="0"/>
        <w:widowControl w:val="0"/>
        <w:kinsoku/>
        <w:wordWrap/>
        <w:overflowPunct/>
        <w:topLinePunct w:val="0"/>
        <w:autoSpaceDE/>
        <w:autoSpaceDN/>
        <w:bidi w:val="0"/>
        <w:adjustRightInd/>
        <w:snapToGrid/>
        <w:spacing w:line="600" w:lineRule="exact"/>
        <w:textAlignment w:val="auto"/>
        <w:rPr>
          <w:rFonts w:hint="default"/>
          <w:color w:val="auto"/>
          <w:lang w:val="en-US" w:eastAsia="zh-CN"/>
        </w:rPr>
      </w:pPr>
      <w:r>
        <w:rPr>
          <w:rFonts w:hint="default"/>
          <w:color w:val="auto"/>
          <w:lang w:val="en-US" w:eastAsia="zh-CN"/>
        </w:rPr>
        <w:t>选矿年电能消耗量483.55</w:t>
      </w:r>
      <w:r>
        <w:rPr>
          <w:rFonts w:hint="eastAsia" w:ascii="宋体" w:hAnsi="宋体" w:eastAsia="宋体" w:cs="宋体"/>
          <w:color w:val="auto"/>
          <w:lang w:val="en-US" w:eastAsia="zh-CN"/>
        </w:rPr>
        <w:t>×</w:t>
      </w:r>
      <w:r>
        <w:rPr>
          <w:rFonts w:hint="default"/>
          <w:color w:val="auto"/>
          <w:lang w:val="en-US" w:eastAsia="zh-CN"/>
        </w:rPr>
        <w:t>10</w:t>
      </w:r>
      <w:r>
        <w:rPr>
          <w:rFonts w:hint="eastAsia"/>
          <w:color w:val="auto"/>
          <w:vertAlign w:val="superscript"/>
          <w:lang w:val="en-US" w:eastAsia="zh-CN"/>
        </w:rPr>
        <w:t>4</w:t>
      </w:r>
      <w:r>
        <w:rPr>
          <w:rFonts w:hint="default"/>
          <w:color w:val="auto"/>
          <w:lang w:val="en-US" w:eastAsia="zh-CN"/>
        </w:rPr>
        <w:t>k</w:t>
      </w:r>
      <w:r>
        <w:rPr>
          <w:rFonts w:hint="eastAsia"/>
          <w:color w:val="auto"/>
          <w:lang w:val="en-US" w:eastAsia="zh-CN"/>
        </w:rPr>
        <w:t>W</w:t>
      </w:r>
      <w:r>
        <w:rPr>
          <w:rFonts w:hint="default"/>
          <w:color w:val="auto"/>
          <w:lang w:val="en-US" w:eastAsia="zh-CN"/>
        </w:rPr>
        <w:t>h，每吨矿耗电量16.12k</w:t>
      </w:r>
      <w:r>
        <w:rPr>
          <w:rFonts w:hint="eastAsia"/>
          <w:color w:val="auto"/>
          <w:lang w:val="en-US" w:eastAsia="zh-CN"/>
        </w:rPr>
        <w:t>W</w:t>
      </w:r>
      <w:r>
        <w:rPr>
          <w:rFonts w:hint="default"/>
          <w:color w:val="auto"/>
          <w:lang w:val="en-US" w:eastAsia="zh-CN"/>
        </w:rPr>
        <w:t>h。</w:t>
      </w:r>
    </w:p>
    <w:p>
      <w:pPr>
        <w:pageBreakBefore w:val="0"/>
        <w:widowControl w:val="0"/>
        <w:kinsoku/>
        <w:wordWrap/>
        <w:overflowPunct/>
        <w:topLinePunct w:val="0"/>
        <w:autoSpaceDE/>
        <w:autoSpaceDN/>
        <w:bidi w:val="0"/>
        <w:adjustRightInd/>
        <w:snapToGrid/>
        <w:spacing w:line="600" w:lineRule="exact"/>
        <w:textAlignment w:val="auto"/>
        <w:rPr>
          <w:rFonts w:hint="default"/>
          <w:color w:val="auto"/>
          <w:lang w:val="en-US" w:eastAsia="zh-CN"/>
        </w:rPr>
      </w:pPr>
      <w:r>
        <w:rPr>
          <w:rFonts w:hint="default"/>
          <w:color w:val="auto"/>
          <w:lang w:val="en-US" w:eastAsia="zh-CN"/>
        </w:rPr>
        <w:t>选矿部分负荷计算见表</w:t>
      </w:r>
      <w:r>
        <w:rPr>
          <w:rFonts w:hint="eastAsia"/>
          <w:color w:val="auto"/>
          <w:lang w:val="en-US" w:eastAsia="zh-CN"/>
        </w:rPr>
        <w:t>2-10</w:t>
      </w:r>
      <w:r>
        <w:rPr>
          <w:rFonts w:hint="default"/>
          <w:color w:val="auto"/>
          <w:lang w:val="en-US" w:eastAsia="zh-CN"/>
        </w:rPr>
        <w:t>。</w:t>
      </w:r>
    </w:p>
    <w:p>
      <w:pPr>
        <w:bidi w:val="0"/>
        <w:rPr>
          <w:rFonts w:hint="default"/>
          <w:color w:val="auto"/>
          <w:lang w:val="en-US" w:eastAsia="zh-CN"/>
        </w:rPr>
      </w:pPr>
    </w:p>
    <w:p>
      <w:pPr>
        <w:bidi w:val="0"/>
        <w:rPr>
          <w:rFonts w:hint="default"/>
          <w:color w:val="auto"/>
          <w:lang w:val="en-US" w:eastAsia="zh-CN"/>
        </w:rPr>
        <w:sectPr>
          <w:headerReference r:id="rId14" w:type="default"/>
          <w:footerReference r:id="rId15" w:type="default"/>
          <w:pgSz w:w="11906" w:h="16839"/>
          <w:pgMar w:top="1417" w:right="1417" w:bottom="1417" w:left="1417" w:header="850" w:footer="992" w:gutter="0"/>
          <w:pgNumType w:fmt="decimal" w:start="33"/>
          <w:cols w:space="425" w:num="1"/>
          <w:rtlGutter w:val="0"/>
          <w:docGrid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 xml:space="preserve">表2-10 </w:t>
      </w:r>
      <w:r>
        <w:rPr>
          <w:rFonts w:hint="default"/>
          <w:color w:val="auto"/>
          <w:lang w:val="en-US" w:eastAsia="zh-CN"/>
        </w:rPr>
        <w:t>选矿部分</w:t>
      </w:r>
      <w:r>
        <w:rPr>
          <w:rFonts w:hint="eastAsia"/>
          <w:color w:val="auto"/>
          <w:lang w:val="en-US" w:eastAsia="zh-CN"/>
        </w:rPr>
        <w:t>电力负荷计算表</w:t>
      </w:r>
    </w:p>
    <w:tbl>
      <w:tblPr>
        <w:tblStyle w:val="34"/>
        <w:tblW w:w="141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1"/>
        <w:gridCol w:w="3157"/>
        <w:gridCol w:w="688"/>
        <w:gridCol w:w="689"/>
        <w:gridCol w:w="1029"/>
        <w:gridCol w:w="1034"/>
        <w:gridCol w:w="689"/>
        <w:gridCol w:w="801"/>
        <w:gridCol w:w="688"/>
        <w:gridCol w:w="1029"/>
        <w:gridCol w:w="1149"/>
        <w:gridCol w:w="1032"/>
        <w:gridCol w:w="12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921" w:type="dxa"/>
            <w:vMerge w:val="restart"/>
            <w:tcBorders>
              <w:bottom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序  号</w:t>
            </w:r>
          </w:p>
        </w:tc>
        <w:tc>
          <w:tcPr>
            <w:tcW w:w="3157"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用电设备组名称</w:t>
            </w:r>
          </w:p>
        </w:tc>
        <w:tc>
          <w:tcPr>
            <w:tcW w:w="3440" w:type="dxa"/>
            <w:gridSpan w:val="4"/>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3"/>
                <w:kern w:val="0"/>
                <w:sz w:val="21"/>
                <w:szCs w:val="21"/>
                <w:lang w:val="en-US" w:eastAsia="en-US" w:bidi="ar-SA"/>
              </w:rPr>
              <w:t>用</w:t>
            </w:r>
            <w:r>
              <w:rPr>
                <w:rFonts w:hint="default" w:ascii="Times New Roman" w:hAnsi="Times New Roman" w:eastAsia="宋体" w:cs="Times New Roman"/>
                <w:snapToGrid w:val="0"/>
                <w:color w:val="auto"/>
                <w:spacing w:val="33"/>
                <w:kern w:val="0"/>
                <w:sz w:val="21"/>
                <w:szCs w:val="21"/>
                <w:lang w:val="en-US" w:eastAsia="en-US" w:bidi="ar-SA"/>
              </w:rPr>
              <w:t xml:space="preserve"> </w:t>
            </w:r>
            <w:r>
              <w:rPr>
                <w:rFonts w:hint="default" w:ascii="Times New Roman" w:hAnsi="Times New Roman" w:eastAsia="宋体" w:cs="Times New Roman"/>
                <w:snapToGrid w:val="0"/>
                <w:color w:val="auto"/>
                <w:spacing w:val="-13"/>
                <w:kern w:val="0"/>
                <w:sz w:val="21"/>
                <w:szCs w:val="21"/>
                <w:lang w:val="en-US" w:eastAsia="en-US" w:bidi="ar-SA"/>
              </w:rPr>
              <w:t>电</w:t>
            </w:r>
            <w:r>
              <w:rPr>
                <w:rFonts w:hint="default" w:ascii="Times New Roman" w:hAnsi="Times New Roman" w:eastAsia="宋体" w:cs="Times New Roman"/>
                <w:snapToGrid w:val="0"/>
                <w:color w:val="auto"/>
                <w:spacing w:val="10"/>
                <w:kern w:val="0"/>
                <w:sz w:val="21"/>
                <w:szCs w:val="21"/>
                <w:lang w:val="en-US" w:eastAsia="en-US" w:bidi="ar-SA"/>
              </w:rPr>
              <w:t xml:space="preserve"> </w:t>
            </w:r>
            <w:r>
              <w:rPr>
                <w:rFonts w:hint="default" w:ascii="Times New Roman" w:hAnsi="Times New Roman" w:eastAsia="宋体" w:cs="Times New Roman"/>
                <w:snapToGrid w:val="0"/>
                <w:color w:val="auto"/>
                <w:spacing w:val="-13"/>
                <w:kern w:val="0"/>
                <w:sz w:val="21"/>
                <w:szCs w:val="21"/>
                <w:lang w:val="en-US" w:eastAsia="en-US" w:bidi="ar-SA"/>
              </w:rPr>
              <w:t>设</w:t>
            </w:r>
            <w:r>
              <w:rPr>
                <w:rFonts w:hint="default" w:ascii="Times New Roman" w:hAnsi="Times New Roman" w:eastAsia="宋体" w:cs="Times New Roman"/>
                <w:snapToGrid w:val="0"/>
                <w:color w:val="auto"/>
                <w:spacing w:val="9"/>
                <w:kern w:val="0"/>
                <w:sz w:val="21"/>
                <w:szCs w:val="21"/>
                <w:lang w:val="en-US" w:eastAsia="en-US" w:bidi="ar-SA"/>
              </w:rPr>
              <w:t xml:space="preserve"> </w:t>
            </w:r>
            <w:r>
              <w:rPr>
                <w:rFonts w:hint="default" w:ascii="Times New Roman" w:hAnsi="Times New Roman" w:eastAsia="宋体" w:cs="Times New Roman"/>
                <w:snapToGrid w:val="0"/>
                <w:color w:val="auto"/>
                <w:spacing w:val="-13"/>
                <w:kern w:val="0"/>
                <w:sz w:val="21"/>
                <w:szCs w:val="21"/>
                <w:lang w:val="en-US" w:eastAsia="en-US" w:bidi="ar-SA"/>
              </w:rPr>
              <w:t>备</w:t>
            </w:r>
          </w:p>
        </w:tc>
        <w:tc>
          <w:tcPr>
            <w:tcW w:w="2178"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计</w:t>
            </w:r>
            <w:r>
              <w:rPr>
                <w:rFonts w:hint="default" w:ascii="Times New Roman" w:hAnsi="Times New Roman" w:eastAsia="宋体" w:cs="Times New Roman"/>
                <w:snapToGrid w:val="0"/>
                <w:color w:val="auto"/>
                <w:spacing w:val="10"/>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算</w:t>
            </w:r>
            <w:r>
              <w:rPr>
                <w:rFonts w:hint="default" w:ascii="Times New Roman" w:hAnsi="Times New Roman" w:eastAsia="宋体" w:cs="Times New Roman"/>
                <w:snapToGrid w:val="0"/>
                <w:color w:val="auto"/>
                <w:spacing w:val="11"/>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系</w:t>
            </w:r>
            <w:r>
              <w:rPr>
                <w:rFonts w:hint="default" w:ascii="Times New Roman" w:hAnsi="Times New Roman" w:eastAsia="宋体" w:cs="Times New Roman"/>
                <w:snapToGrid w:val="0"/>
                <w:color w:val="auto"/>
                <w:spacing w:val="8"/>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数</w:t>
            </w:r>
          </w:p>
        </w:tc>
        <w:tc>
          <w:tcPr>
            <w:tcW w:w="3210"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计</w:t>
            </w:r>
            <w:r>
              <w:rPr>
                <w:rFonts w:hint="default" w:ascii="Times New Roman" w:hAnsi="Times New Roman" w:eastAsia="宋体" w:cs="Times New Roman"/>
                <w:snapToGrid w:val="0"/>
                <w:color w:val="auto"/>
                <w:spacing w:val="10"/>
                <w:kern w:val="0"/>
                <w:sz w:val="21"/>
                <w:szCs w:val="21"/>
                <w:lang w:val="en-US" w:eastAsia="en-US" w:bidi="ar-SA"/>
              </w:rPr>
              <w:t xml:space="preserve"> </w:t>
            </w:r>
            <w:r>
              <w:rPr>
                <w:rFonts w:hint="default" w:ascii="Times New Roman" w:hAnsi="Times New Roman" w:eastAsia="宋体" w:cs="Times New Roman"/>
                <w:snapToGrid w:val="0"/>
                <w:color w:val="auto"/>
                <w:spacing w:val="-8"/>
                <w:kern w:val="0"/>
                <w:sz w:val="21"/>
                <w:szCs w:val="21"/>
                <w:lang w:val="en-US" w:eastAsia="en-US" w:bidi="ar-SA"/>
              </w:rPr>
              <w:t>算</w:t>
            </w:r>
            <w:r>
              <w:rPr>
                <w:rFonts w:hint="default" w:ascii="Times New Roman" w:hAnsi="Times New Roman" w:eastAsia="宋体" w:cs="Times New Roman"/>
                <w:snapToGrid w:val="0"/>
                <w:color w:val="auto"/>
                <w:spacing w:val="15"/>
                <w:kern w:val="0"/>
                <w:sz w:val="21"/>
                <w:szCs w:val="21"/>
                <w:lang w:val="en-US" w:eastAsia="en-US" w:bidi="ar-SA"/>
              </w:rPr>
              <w:t xml:space="preserve"> </w:t>
            </w:r>
            <w:r>
              <w:rPr>
                <w:rFonts w:hint="default" w:ascii="Times New Roman" w:hAnsi="Times New Roman" w:eastAsia="宋体" w:cs="Times New Roman"/>
                <w:snapToGrid w:val="0"/>
                <w:color w:val="auto"/>
                <w:spacing w:val="-8"/>
                <w:kern w:val="0"/>
                <w:sz w:val="21"/>
                <w:szCs w:val="21"/>
                <w:lang w:val="en-US" w:eastAsia="en-US" w:bidi="ar-SA"/>
              </w:rPr>
              <w:t>负</w:t>
            </w:r>
            <w:r>
              <w:rPr>
                <w:rFonts w:hint="default" w:ascii="Times New Roman" w:hAnsi="Times New Roman" w:eastAsia="宋体" w:cs="Times New Roman"/>
                <w:snapToGrid w:val="0"/>
                <w:color w:val="auto"/>
                <w:spacing w:val="5"/>
                <w:kern w:val="0"/>
                <w:sz w:val="21"/>
                <w:szCs w:val="21"/>
                <w:lang w:val="en-US" w:eastAsia="en-US" w:bidi="ar-SA"/>
              </w:rPr>
              <w:t xml:space="preserve"> </w:t>
            </w:r>
            <w:r>
              <w:rPr>
                <w:rFonts w:hint="default" w:ascii="Times New Roman" w:hAnsi="Times New Roman" w:eastAsia="宋体" w:cs="Times New Roman"/>
                <w:snapToGrid w:val="0"/>
                <w:color w:val="auto"/>
                <w:spacing w:val="-8"/>
                <w:kern w:val="0"/>
                <w:sz w:val="21"/>
                <w:szCs w:val="21"/>
                <w:lang w:val="en-US" w:eastAsia="en-US" w:bidi="ar-SA"/>
              </w:rPr>
              <w:t>荷</w:t>
            </w:r>
          </w:p>
        </w:tc>
        <w:tc>
          <w:tcPr>
            <w:tcW w:w="127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备</w:t>
            </w:r>
            <w:r>
              <w:rPr>
                <w:rFonts w:hint="default" w:ascii="Times New Roman" w:hAnsi="Times New Roman" w:eastAsia="宋体" w:cs="Times New Roman"/>
                <w:snapToGrid w:val="0"/>
                <w:color w:val="auto"/>
                <w:spacing w:val="2"/>
                <w:kern w:val="0"/>
                <w:sz w:val="21"/>
                <w:szCs w:val="21"/>
                <w:lang w:val="en-US" w:eastAsia="en-US" w:bidi="ar-SA"/>
              </w:rPr>
              <w:t xml:space="preserve">    </w:t>
            </w:r>
            <w:r>
              <w:rPr>
                <w:rFonts w:hint="default" w:ascii="Times New Roman" w:hAnsi="Times New Roman" w:eastAsia="宋体" w:cs="Times New Roman"/>
                <w:snapToGrid w:val="0"/>
                <w:color w:val="auto"/>
                <w:spacing w:val="-5"/>
                <w:kern w:val="0"/>
                <w:sz w:val="21"/>
                <w:szCs w:val="21"/>
                <w:lang w:val="en-US" w:eastAsia="en-US" w:bidi="ar-SA"/>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jc w:val="center"/>
        </w:trPr>
        <w:tc>
          <w:tcPr>
            <w:tcW w:w="921" w:type="dxa"/>
            <w:vMerge w:val="continue"/>
            <w:tcBorders>
              <w:top w:val="nil"/>
              <w:bottom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3157"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377"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数量（台）</w:t>
            </w:r>
          </w:p>
        </w:tc>
        <w:tc>
          <w:tcPr>
            <w:tcW w:w="2063"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容量（kW）</w:t>
            </w:r>
          </w:p>
        </w:tc>
        <w:tc>
          <w:tcPr>
            <w:tcW w:w="68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Kx</w:t>
            </w:r>
          </w:p>
        </w:tc>
        <w:tc>
          <w:tcPr>
            <w:tcW w:w="801"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COSφ</w:t>
            </w:r>
          </w:p>
        </w:tc>
        <w:tc>
          <w:tcPr>
            <w:tcW w:w="688"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Tgφ</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P</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Q</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S</w:t>
            </w:r>
          </w:p>
        </w:tc>
        <w:tc>
          <w:tcPr>
            <w:tcW w:w="1272"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jc w:val="center"/>
        </w:trPr>
        <w:tc>
          <w:tcPr>
            <w:tcW w:w="921" w:type="dxa"/>
            <w:vMerge w:val="continue"/>
            <w:tcBorders>
              <w:top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3157"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安装</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工作</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安装</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工作</w:t>
            </w:r>
          </w:p>
        </w:tc>
        <w:tc>
          <w:tcPr>
            <w:tcW w:w="68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（kW）</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（kvar）</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（kVA）</w:t>
            </w:r>
          </w:p>
        </w:tc>
        <w:tc>
          <w:tcPr>
            <w:tcW w:w="127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14:textOutline w14:w="3835" w14:cap="flat" w14:cmpd="sng">
                  <w14:solidFill>
                    <w14:srgbClr w14:val="000000"/>
                  </w14:solidFill>
                  <w14:prstDash w14:val="solid"/>
                  <w14:miter w14:val="0"/>
                </w14:textOutline>
              </w:rPr>
              <w:t>一</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14:textOutline w14:w="3835" w14:cap="flat" w14:cmpd="sng">
                  <w14:solidFill>
                    <w14:srgbClr w14:val="000000"/>
                  </w14:solidFill>
                  <w14:prstDash w14:val="solid"/>
                  <w14:miter w14:val="0"/>
                </w14:textOutline>
              </w:rPr>
              <w:t>选矿部分</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14:textOutline w14:w="3835" w14:cap="flat" w14:cmpd="sng">
                  <w14:solidFill>
                    <w14:srgbClr w14:val="000000"/>
                  </w14:solidFill>
                  <w14:prstDash w14:val="solid"/>
                  <w14:miter w14:val="0"/>
                </w14:textOutline>
              </w:rPr>
              <w:t>（一）</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14:textOutline w14:w="3835" w14:cap="flat" w14:cmpd="sng">
                  <w14:solidFill>
                    <w14:srgbClr w14:val="000000"/>
                  </w14:solidFill>
                  <w14:prstDash w14:val="solid"/>
                  <w14:miter w14:val="0"/>
                </w14:textOutline>
              </w:rPr>
              <w:t>选厂变电所</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原矿仓</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大块破碎机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58.00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58.00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0.88</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37.70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33.18</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50.22</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0"/>
                <w:kern w:val="0"/>
                <w:sz w:val="21"/>
                <w:szCs w:val="21"/>
                <w:lang w:val="en-US" w:eastAsia="en-US" w:bidi="ar-SA"/>
              </w:rPr>
              <w:t>自带电控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牵引整流装置</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63.00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63.00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44.10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27.34</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51.89</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（2）</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粗碎车间</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HPF1040</w:t>
            </w:r>
            <w:r>
              <w:rPr>
                <w:rFonts w:hint="default" w:ascii="Times New Roman" w:hAnsi="Times New Roman" w:eastAsia="宋体" w:cs="Times New Roman"/>
                <w:snapToGrid w:val="0"/>
                <w:color w:val="auto"/>
                <w:spacing w:val="-40"/>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棒条振动给料机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15.00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15.00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0.88</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9.75</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8.58</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12.99</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变频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PE600×900</w:t>
            </w:r>
            <w:r>
              <w:rPr>
                <w:rFonts w:hint="default" w:ascii="Times New Roman" w:hAnsi="Times New Roman" w:eastAsia="宋体" w:cs="Times New Roman"/>
                <w:snapToGrid w:val="0"/>
                <w:color w:val="auto"/>
                <w:spacing w:val="-42"/>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颚式破碎机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75.00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75.00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0.88</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48.75</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42.90</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64.94</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软起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除尘风机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5.50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5.50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4.40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2.73</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5.18</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电动单梁起重机（Q=10t）</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14.60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14.60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0.30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4.38</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2.72</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5.15</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5</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40P-SP</w:t>
            </w:r>
            <w:r>
              <w:rPr>
                <w:rFonts w:hint="default" w:ascii="Times New Roman" w:hAnsi="Times New Roman" w:eastAsia="宋体" w:cs="Times New Roman"/>
                <w:snapToGrid w:val="0"/>
                <w:color w:val="auto"/>
                <w:spacing w:val="-41"/>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液下泵</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7.50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7.50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0.40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2.25</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3.75</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（3）</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除铁器室</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RCDC-6</w:t>
            </w:r>
            <w:r>
              <w:rPr>
                <w:rFonts w:hint="default" w:ascii="Times New Roman" w:hAnsi="Times New Roman" w:eastAsia="宋体" w:cs="Times New Roman"/>
                <w:snapToGrid w:val="0"/>
                <w:color w:val="auto"/>
                <w:spacing w:val="-31"/>
                <w:kern w:val="0"/>
                <w:sz w:val="21"/>
                <w:szCs w:val="21"/>
                <w:lang w:val="en-US" w:eastAsia="en-US" w:bidi="ar-SA"/>
              </w:rPr>
              <w:t xml:space="preserve"> </w:t>
            </w:r>
            <w:r>
              <w:rPr>
                <w:rFonts w:hint="default" w:ascii="Times New Roman" w:hAnsi="Times New Roman" w:eastAsia="宋体" w:cs="Times New Roman"/>
                <w:snapToGrid w:val="0"/>
                <w:color w:val="auto"/>
                <w:spacing w:val="-3"/>
                <w:kern w:val="0"/>
                <w:sz w:val="21"/>
                <w:szCs w:val="21"/>
                <w:lang w:val="en-US" w:eastAsia="en-US" w:bidi="ar-SA"/>
              </w:rPr>
              <w:t>除铁器</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9.50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9.50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0.15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0.50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1.73</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1.43</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2.47</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2.85</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电动葫芦</w:t>
            </w:r>
            <w:r>
              <w:rPr>
                <w:rFonts w:hint="default" w:ascii="Times New Roman" w:hAnsi="Times New Roman" w:eastAsia="宋体" w:cs="Times New Roman"/>
                <w:snapToGrid w:val="0"/>
                <w:color w:val="auto"/>
                <w:spacing w:val="-44"/>
                <w:kern w:val="0"/>
                <w:sz w:val="21"/>
                <w:szCs w:val="21"/>
                <w:lang w:val="en-US" w:eastAsia="en-US" w:bidi="ar-SA"/>
              </w:rPr>
              <w:t xml:space="preserve"> </w:t>
            </w:r>
            <w:r>
              <w:rPr>
                <w:rFonts w:hint="default" w:ascii="Times New Roman" w:hAnsi="Times New Roman" w:eastAsia="宋体" w:cs="Times New Roman"/>
                <w:snapToGrid w:val="0"/>
                <w:color w:val="auto"/>
                <w:spacing w:val="-4"/>
                <w:kern w:val="0"/>
                <w:sz w:val="21"/>
                <w:szCs w:val="21"/>
                <w:lang w:val="en-US" w:eastAsia="en-US" w:bidi="ar-SA"/>
              </w:rPr>
              <w:t>MD13-9</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5.30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5.30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0.30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1.59</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0.99</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1.87</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（4）</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中细碎厂房</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1#胶带输送机</w:t>
            </w:r>
            <w:r>
              <w:rPr>
                <w:rFonts w:hint="default" w:ascii="Times New Roman" w:hAnsi="Times New Roman" w:eastAsia="宋体" w:cs="Times New Roman"/>
                <w:snapToGrid w:val="0"/>
                <w:color w:val="auto"/>
                <w:spacing w:val="-43"/>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TD75-8050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15.00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15.00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0.88</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9.75</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8.58</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12.99</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jc w:val="center"/>
        </w:trPr>
        <w:tc>
          <w:tcPr>
            <w:tcW w:w="921" w:type="dxa"/>
            <w:vMerge w:val="restart"/>
            <w:tcBorders>
              <w:bottom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序  号</w:t>
            </w:r>
          </w:p>
        </w:tc>
        <w:tc>
          <w:tcPr>
            <w:tcW w:w="3157"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用电设备组名称</w:t>
            </w:r>
          </w:p>
        </w:tc>
        <w:tc>
          <w:tcPr>
            <w:tcW w:w="3440" w:type="dxa"/>
            <w:gridSpan w:val="4"/>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3"/>
                <w:kern w:val="0"/>
                <w:sz w:val="21"/>
                <w:szCs w:val="21"/>
                <w:lang w:val="en-US" w:eastAsia="en-US" w:bidi="ar-SA"/>
              </w:rPr>
              <w:t>用</w:t>
            </w:r>
            <w:r>
              <w:rPr>
                <w:rFonts w:hint="default" w:ascii="Times New Roman" w:hAnsi="Times New Roman" w:eastAsia="宋体" w:cs="Times New Roman"/>
                <w:snapToGrid w:val="0"/>
                <w:color w:val="auto"/>
                <w:spacing w:val="33"/>
                <w:kern w:val="0"/>
                <w:sz w:val="21"/>
                <w:szCs w:val="21"/>
                <w:lang w:val="en-US" w:eastAsia="en-US" w:bidi="ar-SA"/>
              </w:rPr>
              <w:t xml:space="preserve"> </w:t>
            </w:r>
            <w:r>
              <w:rPr>
                <w:rFonts w:hint="default" w:ascii="Times New Roman" w:hAnsi="Times New Roman" w:eastAsia="宋体" w:cs="Times New Roman"/>
                <w:snapToGrid w:val="0"/>
                <w:color w:val="auto"/>
                <w:spacing w:val="-13"/>
                <w:kern w:val="0"/>
                <w:sz w:val="21"/>
                <w:szCs w:val="21"/>
                <w:lang w:val="en-US" w:eastAsia="en-US" w:bidi="ar-SA"/>
              </w:rPr>
              <w:t>电</w:t>
            </w:r>
            <w:r>
              <w:rPr>
                <w:rFonts w:hint="default" w:ascii="Times New Roman" w:hAnsi="Times New Roman" w:eastAsia="宋体" w:cs="Times New Roman"/>
                <w:snapToGrid w:val="0"/>
                <w:color w:val="auto"/>
                <w:spacing w:val="10"/>
                <w:kern w:val="0"/>
                <w:sz w:val="21"/>
                <w:szCs w:val="21"/>
                <w:lang w:val="en-US" w:eastAsia="en-US" w:bidi="ar-SA"/>
              </w:rPr>
              <w:t xml:space="preserve"> </w:t>
            </w:r>
            <w:r>
              <w:rPr>
                <w:rFonts w:hint="default" w:ascii="Times New Roman" w:hAnsi="Times New Roman" w:eastAsia="宋体" w:cs="Times New Roman"/>
                <w:snapToGrid w:val="0"/>
                <w:color w:val="auto"/>
                <w:spacing w:val="-13"/>
                <w:kern w:val="0"/>
                <w:sz w:val="21"/>
                <w:szCs w:val="21"/>
                <w:lang w:val="en-US" w:eastAsia="en-US" w:bidi="ar-SA"/>
              </w:rPr>
              <w:t>设</w:t>
            </w:r>
            <w:r>
              <w:rPr>
                <w:rFonts w:hint="default" w:ascii="Times New Roman" w:hAnsi="Times New Roman" w:eastAsia="宋体" w:cs="Times New Roman"/>
                <w:snapToGrid w:val="0"/>
                <w:color w:val="auto"/>
                <w:spacing w:val="9"/>
                <w:kern w:val="0"/>
                <w:sz w:val="21"/>
                <w:szCs w:val="21"/>
                <w:lang w:val="en-US" w:eastAsia="en-US" w:bidi="ar-SA"/>
              </w:rPr>
              <w:t xml:space="preserve"> </w:t>
            </w:r>
            <w:r>
              <w:rPr>
                <w:rFonts w:hint="default" w:ascii="Times New Roman" w:hAnsi="Times New Roman" w:eastAsia="宋体" w:cs="Times New Roman"/>
                <w:snapToGrid w:val="0"/>
                <w:color w:val="auto"/>
                <w:spacing w:val="-13"/>
                <w:kern w:val="0"/>
                <w:sz w:val="21"/>
                <w:szCs w:val="21"/>
                <w:lang w:val="en-US" w:eastAsia="en-US" w:bidi="ar-SA"/>
              </w:rPr>
              <w:t>备</w:t>
            </w:r>
          </w:p>
        </w:tc>
        <w:tc>
          <w:tcPr>
            <w:tcW w:w="2178"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计</w:t>
            </w:r>
            <w:r>
              <w:rPr>
                <w:rFonts w:hint="default" w:ascii="Times New Roman" w:hAnsi="Times New Roman" w:eastAsia="宋体" w:cs="Times New Roman"/>
                <w:snapToGrid w:val="0"/>
                <w:color w:val="auto"/>
                <w:spacing w:val="10"/>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算</w:t>
            </w:r>
            <w:r>
              <w:rPr>
                <w:rFonts w:hint="default" w:ascii="Times New Roman" w:hAnsi="Times New Roman" w:eastAsia="宋体" w:cs="Times New Roman"/>
                <w:snapToGrid w:val="0"/>
                <w:color w:val="auto"/>
                <w:spacing w:val="11"/>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系</w:t>
            </w:r>
            <w:r>
              <w:rPr>
                <w:rFonts w:hint="default" w:ascii="Times New Roman" w:hAnsi="Times New Roman" w:eastAsia="宋体" w:cs="Times New Roman"/>
                <w:snapToGrid w:val="0"/>
                <w:color w:val="auto"/>
                <w:spacing w:val="8"/>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数</w:t>
            </w:r>
          </w:p>
        </w:tc>
        <w:tc>
          <w:tcPr>
            <w:tcW w:w="3210"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计</w:t>
            </w:r>
            <w:r>
              <w:rPr>
                <w:rFonts w:hint="default" w:ascii="Times New Roman" w:hAnsi="Times New Roman" w:eastAsia="宋体" w:cs="Times New Roman"/>
                <w:snapToGrid w:val="0"/>
                <w:color w:val="auto"/>
                <w:spacing w:val="10"/>
                <w:kern w:val="0"/>
                <w:sz w:val="21"/>
                <w:szCs w:val="21"/>
                <w:lang w:val="en-US" w:eastAsia="en-US" w:bidi="ar-SA"/>
              </w:rPr>
              <w:t xml:space="preserve"> </w:t>
            </w:r>
            <w:r>
              <w:rPr>
                <w:rFonts w:hint="default" w:ascii="Times New Roman" w:hAnsi="Times New Roman" w:eastAsia="宋体" w:cs="Times New Roman"/>
                <w:snapToGrid w:val="0"/>
                <w:color w:val="auto"/>
                <w:spacing w:val="-8"/>
                <w:kern w:val="0"/>
                <w:sz w:val="21"/>
                <w:szCs w:val="21"/>
                <w:lang w:val="en-US" w:eastAsia="en-US" w:bidi="ar-SA"/>
              </w:rPr>
              <w:t>算</w:t>
            </w:r>
            <w:r>
              <w:rPr>
                <w:rFonts w:hint="default" w:ascii="Times New Roman" w:hAnsi="Times New Roman" w:eastAsia="宋体" w:cs="Times New Roman"/>
                <w:snapToGrid w:val="0"/>
                <w:color w:val="auto"/>
                <w:spacing w:val="15"/>
                <w:kern w:val="0"/>
                <w:sz w:val="21"/>
                <w:szCs w:val="21"/>
                <w:lang w:val="en-US" w:eastAsia="en-US" w:bidi="ar-SA"/>
              </w:rPr>
              <w:t xml:space="preserve"> </w:t>
            </w:r>
            <w:r>
              <w:rPr>
                <w:rFonts w:hint="default" w:ascii="Times New Roman" w:hAnsi="Times New Roman" w:eastAsia="宋体" w:cs="Times New Roman"/>
                <w:snapToGrid w:val="0"/>
                <w:color w:val="auto"/>
                <w:spacing w:val="-8"/>
                <w:kern w:val="0"/>
                <w:sz w:val="21"/>
                <w:szCs w:val="21"/>
                <w:lang w:val="en-US" w:eastAsia="en-US" w:bidi="ar-SA"/>
              </w:rPr>
              <w:t>负</w:t>
            </w:r>
            <w:r>
              <w:rPr>
                <w:rFonts w:hint="default" w:ascii="Times New Roman" w:hAnsi="Times New Roman" w:eastAsia="宋体" w:cs="Times New Roman"/>
                <w:snapToGrid w:val="0"/>
                <w:color w:val="auto"/>
                <w:spacing w:val="5"/>
                <w:kern w:val="0"/>
                <w:sz w:val="21"/>
                <w:szCs w:val="21"/>
                <w:lang w:val="en-US" w:eastAsia="en-US" w:bidi="ar-SA"/>
              </w:rPr>
              <w:t xml:space="preserve"> </w:t>
            </w:r>
            <w:r>
              <w:rPr>
                <w:rFonts w:hint="default" w:ascii="Times New Roman" w:hAnsi="Times New Roman" w:eastAsia="宋体" w:cs="Times New Roman"/>
                <w:snapToGrid w:val="0"/>
                <w:color w:val="auto"/>
                <w:spacing w:val="-8"/>
                <w:kern w:val="0"/>
                <w:sz w:val="21"/>
                <w:szCs w:val="21"/>
                <w:lang w:val="en-US" w:eastAsia="en-US" w:bidi="ar-SA"/>
              </w:rPr>
              <w:t>荷</w:t>
            </w:r>
          </w:p>
        </w:tc>
        <w:tc>
          <w:tcPr>
            <w:tcW w:w="127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备</w:t>
            </w:r>
            <w:r>
              <w:rPr>
                <w:rFonts w:hint="default" w:ascii="Times New Roman" w:hAnsi="Times New Roman" w:eastAsia="宋体" w:cs="Times New Roman"/>
                <w:snapToGrid w:val="0"/>
                <w:color w:val="auto"/>
                <w:spacing w:val="2"/>
                <w:kern w:val="0"/>
                <w:sz w:val="21"/>
                <w:szCs w:val="21"/>
                <w:lang w:val="en-US" w:eastAsia="en-US" w:bidi="ar-SA"/>
              </w:rPr>
              <w:t xml:space="preserve">    </w:t>
            </w:r>
            <w:r>
              <w:rPr>
                <w:rFonts w:hint="default" w:ascii="Times New Roman" w:hAnsi="Times New Roman" w:eastAsia="宋体" w:cs="Times New Roman"/>
                <w:snapToGrid w:val="0"/>
                <w:color w:val="auto"/>
                <w:spacing w:val="-5"/>
                <w:kern w:val="0"/>
                <w:sz w:val="21"/>
                <w:szCs w:val="21"/>
                <w:lang w:val="en-US" w:eastAsia="en-US" w:bidi="ar-SA"/>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jc w:val="center"/>
        </w:trPr>
        <w:tc>
          <w:tcPr>
            <w:tcW w:w="921" w:type="dxa"/>
            <w:vMerge w:val="continue"/>
            <w:tcBorders>
              <w:top w:val="nil"/>
              <w:bottom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3157"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377"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数量（台）</w:t>
            </w:r>
          </w:p>
        </w:tc>
        <w:tc>
          <w:tcPr>
            <w:tcW w:w="2063"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容量（kW）</w:t>
            </w:r>
          </w:p>
        </w:tc>
        <w:tc>
          <w:tcPr>
            <w:tcW w:w="68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Kx</w:t>
            </w:r>
          </w:p>
        </w:tc>
        <w:tc>
          <w:tcPr>
            <w:tcW w:w="801"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COSφ</w:t>
            </w:r>
          </w:p>
        </w:tc>
        <w:tc>
          <w:tcPr>
            <w:tcW w:w="688"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Tgφ</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P</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Q</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S</w:t>
            </w:r>
          </w:p>
        </w:tc>
        <w:tc>
          <w:tcPr>
            <w:tcW w:w="1272"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jc w:val="center"/>
        </w:trPr>
        <w:tc>
          <w:tcPr>
            <w:tcW w:w="921" w:type="dxa"/>
            <w:vMerge w:val="continue"/>
            <w:tcBorders>
              <w:top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3157"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安装</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工作</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安装</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工作</w:t>
            </w:r>
          </w:p>
        </w:tc>
        <w:tc>
          <w:tcPr>
            <w:tcW w:w="68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（kW）</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（kvar）</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（kVA）</w:t>
            </w:r>
          </w:p>
        </w:tc>
        <w:tc>
          <w:tcPr>
            <w:tcW w:w="127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PEX250×1200</w:t>
            </w:r>
            <w:r>
              <w:rPr>
                <w:rFonts w:hint="default" w:ascii="Times New Roman" w:hAnsi="Times New Roman" w:eastAsia="宋体" w:cs="Times New Roman"/>
                <w:snapToGrid w:val="0"/>
                <w:color w:val="auto"/>
                <w:spacing w:val="-39"/>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细碎型颚式破碎</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37.00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37.00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0.88</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24.05</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21.16</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32.04</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mc:AlternateContent>
                <mc:Choice Requires="wps">
                  <w:drawing>
                    <wp:anchor distT="0" distB="0" distL="114300" distR="114300" simplePos="0" relativeHeight="251668480" behindDoc="0" locked="0" layoutInCell="1" allowOverlap="1">
                      <wp:simplePos x="0" y="0"/>
                      <wp:positionH relativeFrom="rightMargin">
                        <wp:posOffset>-1943735</wp:posOffset>
                      </wp:positionH>
                      <wp:positionV relativeFrom="topMargin">
                        <wp:posOffset>-69850</wp:posOffset>
                      </wp:positionV>
                      <wp:extent cx="154940" cy="16002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54940" cy="160020"/>
                              </a:xfrm>
                              <a:prstGeom prst="rect">
                                <a:avLst/>
                              </a:prstGeom>
                              <a:noFill/>
                              <a:ln>
                                <a:noFill/>
                              </a:ln>
                            </wps:spPr>
                            <wps:txbx>
                              <w:txbxContent>
                                <w:p>
                                  <w:pPr>
                                    <w:kinsoku w:val="0"/>
                                    <w:autoSpaceDE w:val="0"/>
                                    <w:autoSpaceDN w:val="0"/>
                                    <w:adjustRightInd w:val="0"/>
                                    <w:snapToGrid w:val="0"/>
                                    <w:spacing w:before="19" w:line="186" w:lineRule="auto"/>
                                    <w:ind w:left="20"/>
                                    <w:jc w:val="left"/>
                                    <w:textAlignment w:val="baseline"/>
                                    <w:rPr>
                                      <w:rFonts w:ascii="宋体" w:hAnsi="宋体" w:eastAsia="宋体" w:cs="宋体"/>
                                      <w:snapToGrid w:val="0"/>
                                      <w:color w:val="000000"/>
                                      <w:kern w:val="0"/>
                                      <w:sz w:val="21"/>
                                      <w:szCs w:val="21"/>
                                      <w:lang w:val="en-US" w:eastAsia="en-US" w:bidi="ar-SA"/>
                                    </w:rPr>
                                  </w:pPr>
                                  <w:r>
                                    <w:rPr>
                                      <w:rFonts w:ascii="宋体" w:hAnsi="宋体" w:eastAsia="宋体" w:cs="宋体"/>
                                      <w:snapToGrid w:val="0"/>
                                      <w:color w:val="000000"/>
                                      <w:kern w:val="0"/>
                                      <w:sz w:val="21"/>
                                      <w:szCs w:val="21"/>
                                      <w:lang w:val="en-US" w:eastAsia="en-US" w:bidi="ar-SA"/>
                                    </w:rPr>
                                    <w:t>机</w:t>
                                  </w:r>
                                </w:p>
                              </w:txbxContent>
                            </wps:txbx>
                            <wps:bodyPr lIns="0" tIns="0" rIns="0" bIns="0" upright="1"/>
                          </wps:wsp>
                        </a:graphicData>
                      </a:graphic>
                    </wp:anchor>
                  </w:drawing>
                </mc:Choice>
                <mc:Fallback>
                  <w:pict>
                    <v:shape id="_x0000_s1026" o:spid="_x0000_s1026" o:spt="202" type="#_x0000_t202" style="position:absolute;left:0pt;margin-left:4.7pt;margin-top:-5.25pt;height:12.6pt;width:12.2pt;mso-position-horizontal-relative:page;mso-position-vertical-relative:page;z-index:251668480;mso-width-relative:page;mso-height-relative:page;" filled="f" stroked="f" coordsize="21600,21600" o:gfxdata="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djBfZAAAADAEAAA8AAAAAAAAAAQAgAAAAIgAAAGRycy9kb3ducmV2LnhtbFBLAQIU&#10;ABQAAAAIAIdO4kCg9KsruQEAAHMDAAAOAAAAAAAAAAEAIAAAACgBAABkcnMvZTJvRG9jLnhtbFBL&#10;BQYAAAAABgAGAFkBAABTBQAAAAA=&#10;">
                      <v:fill on="f" focussize="0,0"/>
                      <v:stroke on="f"/>
                      <v:imagedata o:title=""/>
                      <o:lock v:ext="edit" aspectratio="f"/>
                      <v:textbox inset="0mm,0mm,0mm,0mm">
                        <w:txbxContent>
                          <w:p>
                            <w:pPr>
                              <w:kinsoku w:val="0"/>
                              <w:autoSpaceDE w:val="0"/>
                              <w:autoSpaceDN w:val="0"/>
                              <w:adjustRightInd w:val="0"/>
                              <w:snapToGrid w:val="0"/>
                              <w:spacing w:before="19" w:line="186" w:lineRule="auto"/>
                              <w:ind w:left="20"/>
                              <w:jc w:val="left"/>
                              <w:textAlignment w:val="baseline"/>
                              <w:rPr>
                                <w:rFonts w:ascii="宋体" w:hAnsi="宋体" w:eastAsia="宋体" w:cs="宋体"/>
                                <w:snapToGrid w:val="0"/>
                                <w:color w:val="000000"/>
                                <w:kern w:val="0"/>
                                <w:sz w:val="21"/>
                                <w:szCs w:val="21"/>
                                <w:lang w:val="en-US" w:eastAsia="en-US" w:bidi="ar-SA"/>
                              </w:rPr>
                            </w:pPr>
                            <w:r>
                              <w:rPr>
                                <w:rFonts w:ascii="宋体" w:hAnsi="宋体" w:eastAsia="宋体" w:cs="宋体"/>
                                <w:snapToGrid w:val="0"/>
                                <w:color w:val="000000"/>
                                <w:kern w:val="0"/>
                                <w:sz w:val="21"/>
                                <w:szCs w:val="21"/>
                                <w:lang w:val="en-US" w:eastAsia="en-US" w:bidi="ar-SA"/>
                              </w:rPr>
                              <w:t>机</w:t>
                            </w:r>
                          </w:p>
                        </w:txbxContent>
                      </v:textbox>
                    </v:shape>
                  </w:pict>
                </mc:Fallback>
              </mc:AlternateContent>
            </w:r>
            <w:r>
              <w:rPr>
                <w:rFonts w:hint="default" w:ascii="Times New Roman" w:hAnsi="Times New Roman" w:eastAsia="宋体" w:cs="Times New Roman"/>
                <w:snapToGrid w:val="0"/>
                <w:color w:val="auto"/>
                <w:spacing w:val="-2"/>
                <w:kern w:val="0"/>
                <w:sz w:val="21"/>
                <w:szCs w:val="21"/>
                <w:lang w:val="en-US" w:eastAsia="en-US" w:bidi="ar-SA"/>
              </w:rPr>
              <w:t>40P-SP</w:t>
            </w:r>
            <w:r>
              <w:rPr>
                <w:rFonts w:hint="default" w:ascii="Times New Roman" w:hAnsi="Times New Roman" w:eastAsia="宋体" w:cs="Times New Roman"/>
                <w:snapToGrid w:val="0"/>
                <w:color w:val="auto"/>
                <w:spacing w:val="-41"/>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液下泵</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7.50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7.50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0.40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2.25</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3.75</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电动单梁起重机（Q=5t）</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9.90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9.90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0.30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2.97</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1.84</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3.49</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5</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除尘风机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5.50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5.50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4.40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2.73</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5.18</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（5）</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筛洗及预选厂房</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2#胶带输送机</w:t>
            </w:r>
            <w:r>
              <w:rPr>
                <w:rFonts w:hint="default" w:ascii="Times New Roman" w:hAnsi="Times New Roman" w:eastAsia="宋体" w:cs="Times New Roman"/>
                <w:snapToGrid w:val="0"/>
                <w:color w:val="auto"/>
                <w:spacing w:val="-46"/>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TD75-8050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15.00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15.00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0.88</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9.75</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8.58</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12.99</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2YKR1645H</w:t>
            </w:r>
            <w:r>
              <w:rPr>
                <w:rFonts w:hint="default" w:ascii="Times New Roman" w:hAnsi="Times New Roman" w:eastAsia="宋体" w:cs="Times New Roman"/>
                <w:snapToGrid w:val="0"/>
                <w:color w:val="auto"/>
                <w:spacing w:val="-35"/>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双层振动筛</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18.50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18.50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0.50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1.17</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9.25</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10.82</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14.24</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3#胶带输送机</w:t>
            </w:r>
            <w:r>
              <w:rPr>
                <w:rFonts w:hint="default" w:ascii="Times New Roman" w:hAnsi="Times New Roman" w:eastAsia="宋体" w:cs="Times New Roman"/>
                <w:snapToGrid w:val="0"/>
                <w:color w:val="auto"/>
                <w:spacing w:val="-47"/>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TD75-6550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5.50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5.50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0.88</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3.58</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3.15</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4.76</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4#胶带输送机</w:t>
            </w:r>
            <w:r>
              <w:rPr>
                <w:rFonts w:hint="default" w:ascii="Times New Roman" w:hAnsi="Times New Roman" w:eastAsia="宋体" w:cs="Times New Roman"/>
                <w:snapToGrid w:val="0"/>
                <w:color w:val="auto"/>
                <w:spacing w:val="-42"/>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TD75-6550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5.50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5.50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0.88</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3.58</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3.15</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4.76</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5</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FLG-1000</w:t>
            </w:r>
            <w:r>
              <w:rPr>
                <w:rFonts w:hint="default" w:ascii="Times New Roman" w:hAnsi="Times New Roman" w:eastAsia="宋体" w:cs="Times New Roman"/>
                <w:snapToGrid w:val="0"/>
                <w:color w:val="auto"/>
                <w:spacing w:val="-41"/>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高堰式螺旋分级机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5.50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5.50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0.88</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3.58</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3.15</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4.76</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6</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SIXS-1200</w:t>
            </w:r>
            <w:r>
              <w:rPr>
                <w:rFonts w:hint="default" w:ascii="Times New Roman" w:hAnsi="Times New Roman" w:eastAsia="宋体" w:cs="Times New Roman"/>
                <w:snapToGrid w:val="0"/>
                <w:color w:val="auto"/>
                <w:spacing w:val="-26"/>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型智能矿石分选机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100.00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100.00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80.00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60.00</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100.00</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0"/>
                <w:kern w:val="0"/>
                <w:sz w:val="21"/>
                <w:szCs w:val="21"/>
                <w:lang w:val="en-US" w:eastAsia="en-US" w:bidi="ar-SA"/>
              </w:rPr>
              <w:t>自带电控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7</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40P-SP</w:t>
            </w:r>
            <w:r>
              <w:rPr>
                <w:rFonts w:hint="default" w:ascii="Times New Roman" w:hAnsi="Times New Roman" w:eastAsia="宋体" w:cs="Times New Roman"/>
                <w:snapToGrid w:val="0"/>
                <w:color w:val="auto"/>
                <w:spacing w:val="-41"/>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液下泵</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7.50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7.50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0.40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2.25</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3.75</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8</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电动单梁起重机（Q=5t）</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10.70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10.70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0.30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3.21</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1.99</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3.78</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（6）</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细碎车间</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6#胶带输送机</w:t>
            </w:r>
            <w:r>
              <w:rPr>
                <w:rFonts w:hint="default" w:ascii="Times New Roman" w:hAnsi="Times New Roman" w:eastAsia="宋体" w:cs="Times New Roman"/>
                <w:snapToGrid w:val="0"/>
                <w:color w:val="auto"/>
                <w:spacing w:val="-45"/>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TD75-6550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15.00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15.00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0.88</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9.75</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8.58</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12.99</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电液扇形闸门</w:t>
            </w:r>
            <w:r>
              <w:rPr>
                <w:rFonts w:hint="default" w:ascii="Times New Roman" w:hAnsi="Times New Roman" w:eastAsia="宋体" w:cs="Times New Roman"/>
                <w:snapToGrid w:val="0"/>
                <w:color w:val="auto"/>
                <w:spacing w:val="-32"/>
                <w:kern w:val="0"/>
                <w:sz w:val="21"/>
                <w:szCs w:val="21"/>
                <w:lang w:val="en-US" w:eastAsia="en-US" w:bidi="ar-SA"/>
              </w:rPr>
              <w:t xml:space="preserve"> </w:t>
            </w:r>
            <w:r>
              <w:rPr>
                <w:rFonts w:hint="default" w:ascii="Times New Roman" w:hAnsi="Times New Roman" w:eastAsia="宋体" w:cs="Times New Roman"/>
                <w:snapToGrid w:val="0"/>
                <w:color w:val="auto"/>
                <w:spacing w:val="-3"/>
                <w:kern w:val="0"/>
                <w:sz w:val="21"/>
                <w:szCs w:val="21"/>
                <w:lang w:val="en-US" w:eastAsia="en-US" w:bidi="ar-SA"/>
              </w:rPr>
              <w:t>DSZ-800×1000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0.50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1.17</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1.50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1.76</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2.31</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可移动胶带输送机</w:t>
            </w:r>
            <w:r>
              <w:rPr>
                <w:rFonts w:hint="default" w:ascii="Times New Roman" w:hAnsi="Times New Roman" w:eastAsia="宋体" w:cs="Times New Roman"/>
                <w:snapToGrid w:val="0"/>
                <w:color w:val="auto"/>
                <w:spacing w:val="-46"/>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TD75-6550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7.50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7.50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0.88</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4.88</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4.29</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6.49</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jc w:val="center"/>
        </w:trPr>
        <w:tc>
          <w:tcPr>
            <w:tcW w:w="921" w:type="dxa"/>
            <w:vMerge w:val="restart"/>
            <w:tcBorders>
              <w:bottom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序  号</w:t>
            </w:r>
          </w:p>
        </w:tc>
        <w:tc>
          <w:tcPr>
            <w:tcW w:w="3157"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用电设备组名称</w:t>
            </w:r>
          </w:p>
        </w:tc>
        <w:tc>
          <w:tcPr>
            <w:tcW w:w="3440" w:type="dxa"/>
            <w:gridSpan w:val="4"/>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3"/>
                <w:kern w:val="0"/>
                <w:sz w:val="21"/>
                <w:szCs w:val="21"/>
                <w:lang w:val="en-US" w:eastAsia="en-US" w:bidi="ar-SA"/>
              </w:rPr>
              <w:t>用</w:t>
            </w:r>
            <w:r>
              <w:rPr>
                <w:rFonts w:hint="default" w:ascii="Times New Roman" w:hAnsi="Times New Roman" w:eastAsia="宋体" w:cs="Times New Roman"/>
                <w:snapToGrid w:val="0"/>
                <w:color w:val="auto"/>
                <w:spacing w:val="33"/>
                <w:kern w:val="0"/>
                <w:sz w:val="21"/>
                <w:szCs w:val="21"/>
                <w:lang w:val="en-US" w:eastAsia="en-US" w:bidi="ar-SA"/>
              </w:rPr>
              <w:t xml:space="preserve"> </w:t>
            </w:r>
            <w:r>
              <w:rPr>
                <w:rFonts w:hint="default" w:ascii="Times New Roman" w:hAnsi="Times New Roman" w:eastAsia="宋体" w:cs="Times New Roman"/>
                <w:snapToGrid w:val="0"/>
                <w:color w:val="auto"/>
                <w:spacing w:val="-13"/>
                <w:kern w:val="0"/>
                <w:sz w:val="21"/>
                <w:szCs w:val="21"/>
                <w:lang w:val="en-US" w:eastAsia="en-US" w:bidi="ar-SA"/>
              </w:rPr>
              <w:t>电</w:t>
            </w:r>
            <w:r>
              <w:rPr>
                <w:rFonts w:hint="default" w:ascii="Times New Roman" w:hAnsi="Times New Roman" w:eastAsia="宋体" w:cs="Times New Roman"/>
                <w:snapToGrid w:val="0"/>
                <w:color w:val="auto"/>
                <w:spacing w:val="10"/>
                <w:kern w:val="0"/>
                <w:sz w:val="21"/>
                <w:szCs w:val="21"/>
                <w:lang w:val="en-US" w:eastAsia="en-US" w:bidi="ar-SA"/>
              </w:rPr>
              <w:t xml:space="preserve"> </w:t>
            </w:r>
            <w:r>
              <w:rPr>
                <w:rFonts w:hint="default" w:ascii="Times New Roman" w:hAnsi="Times New Roman" w:eastAsia="宋体" w:cs="Times New Roman"/>
                <w:snapToGrid w:val="0"/>
                <w:color w:val="auto"/>
                <w:spacing w:val="-13"/>
                <w:kern w:val="0"/>
                <w:sz w:val="21"/>
                <w:szCs w:val="21"/>
                <w:lang w:val="en-US" w:eastAsia="en-US" w:bidi="ar-SA"/>
              </w:rPr>
              <w:t>设</w:t>
            </w:r>
            <w:r>
              <w:rPr>
                <w:rFonts w:hint="default" w:ascii="Times New Roman" w:hAnsi="Times New Roman" w:eastAsia="宋体" w:cs="Times New Roman"/>
                <w:snapToGrid w:val="0"/>
                <w:color w:val="auto"/>
                <w:spacing w:val="9"/>
                <w:kern w:val="0"/>
                <w:sz w:val="21"/>
                <w:szCs w:val="21"/>
                <w:lang w:val="en-US" w:eastAsia="en-US" w:bidi="ar-SA"/>
              </w:rPr>
              <w:t xml:space="preserve"> </w:t>
            </w:r>
            <w:r>
              <w:rPr>
                <w:rFonts w:hint="default" w:ascii="Times New Roman" w:hAnsi="Times New Roman" w:eastAsia="宋体" w:cs="Times New Roman"/>
                <w:snapToGrid w:val="0"/>
                <w:color w:val="auto"/>
                <w:spacing w:val="-13"/>
                <w:kern w:val="0"/>
                <w:sz w:val="21"/>
                <w:szCs w:val="21"/>
                <w:lang w:val="en-US" w:eastAsia="en-US" w:bidi="ar-SA"/>
              </w:rPr>
              <w:t>备</w:t>
            </w:r>
          </w:p>
        </w:tc>
        <w:tc>
          <w:tcPr>
            <w:tcW w:w="2178"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计</w:t>
            </w:r>
            <w:r>
              <w:rPr>
                <w:rFonts w:hint="default" w:ascii="Times New Roman" w:hAnsi="Times New Roman" w:eastAsia="宋体" w:cs="Times New Roman"/>
                <w:snapToGrid w:val="0"/>
                <w:color w:val="auto"/>
                <w:spacing w:val="10"/>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算</w:t>
            </w:r>
            <w:r>
              <w:rPr>
                <w:rFonts w:hint="default" w:ascii="Times New Roman" w:hAnsi="Times New Roman" w:eastAsia="宋体" w:cs="Times New Roman"/>
                <w:snapToGrid w:val="0"/>
                <w:color w:val="auto"/>
                <w:spacing w:val="11"/>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系</w:t>
            </w:r>
            <w:r>
              <w:rPr>
                <w:rFonts w:hint="default" w:ascii="Times New Roman" w:hAnsi="Times New Roman" w:eastAsia="宋体" w:cs="Times New Roman"/>
                <w:snapToGrid w:val="0"/>
                <w:color w:val="auto"/>
                <w:spacing w:val="8"/>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数</w:t>
            </w:r>
          </w:p>
        </w:tc>
        <w:tc>
          <w:tcPr>
            <w:tcW w:w="3210"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计</w:t>
            </w:r>
            <w:r>
              <w:rPr>
                <w:rFonts w:hint="default" w:ascii="Times New Roman" w:hAnsi="Times New Roman" w:eastAsia="宋体" w:cs="Times New Roman"/>
                <w:snapToGrid w:val="0"/>
                <w:color w:val="auto"/>
                <w:spacing w:val="10"/>
                <w:kern w:val="0"/>
                <w:sz w:val="21"/>
                <w:szCs w:val="21"/>
                <w:lang w:val="en-US" w:eastAsia="en-US" w:bidi="ar-SA"/>
              </w:rPr>
              <w:t xml:space="preserve"> </w:t>
            </w:r>
            <w:r>
              <w:rPr>
                <w:rFonts w:hint="default" w:ascii="Times New Roman" w:hAnsi="Times New Roman" w:eastAsia="宋体" w:cs="Times New Roman"/>
                <w:snapToGrid w:val="0"/>
                <w:color w:val="auto"/>
                <w:spacing w:val="-8"/>
                <w:kern w:val="0"/>
                <w:sz w:val="21"/>
                <w:szCs w:val="21"/>
                <w:lang w:val="en-US" w:eastAsia="en-US" w:bidi="ar-SA"/>
              </w:rPr>
              <w:t>算</w:t>
            </w:r>
            <w:r>
              <w:rPr>
                <w:rFonts w:hint="default" w:ascii="Times New Roman" w:hAnsi="Times New Roman" w:eastAsia="宋体" w:cs="Times New Roman"/>
                <w:snapToGrid w:val="0"/>
                <w:color w:val="auto"/>
                <w:spacing w:val="15"/>
                <w:kern w:val="0"/>
                <w:sz w:val="21"/>
                <w:szCs w:val="21"/>
                <w:lang w:val="en-US" w:eastAsia="en-US" w:bidi="ar-SA"/>
              </w:rPr>
              <w:t xml:space="preserve"> </w:t>
            </w:r>
            <w:r>
              <w:rPr>
                <w:rFonts w:hint="default" w:ascii="Times New Roman" w:hAnsi="Times New Roman" w:eastAsia="宋体" w:cs="Times New Roman"/>
                <w:snapToGrid w:val="0"/>
                <w:color w:val="auto"/>
                <w:spacing w:val="-8"/>
                <w:kern w:val="0"/>
                <w:sz w:val="21"/>
                <w:szCs w:val="21"/>
                <w:lang w:val="en-US" w:eastAsia="en-US" w:bidi="ar-SA"/>
              </w:rPr>
              <w:t>负</w:t>
            </w:r>
            <w:r>
              <w:rPr>
                <w:rFonts w:hint="default" w:ascii="Times New Roman" w:hAnsi="Times New Roman" w:eastAsia="宋体" w:cs="Times New Roman"/>
                <w:snapToGrid w:val="0"/>
                <w:color w:val="auto"/>
                <w:spacing w:val="5"/>
                <w:kern w:val="0"/>
                <w:sz w:val="21"/>
                <w:szCs w:val="21"/>
                <w:lang w:val="en-US" w:eastAsia="en-US" w:bidi="ar-SA"/>
              </w:rPr>
              <w:t xml:space="preserve"> </w:t>
            </w:r>
            <w:r>
              <w:rPr>
                <w:rFonts w:hint="default" w:ascii="Times New Roman" w:hAnsi="Times New Roman" w:eastAsia="宋体" w:cs="Times New Roman"/>
                <w:snapToGrid w:val="0"/>
                <w:color w:val="auto"/>
                <w:spacing w:val="-8"/>
                <w:kern w:val="0"/>
                <w:sz w:val="21"/>
                <w:szCs w:val="21"/>
                <w:lang w:val="en-US" w:eastAsia="en-US" w:bidi="ar-SA"/>
              </w:rPr>
              <w:t>荷</w:t>
            </w:r>
          </w:p>
        </w:tc>
        <w:tc>
          <w:tcPr>
            <w:tcW w:w="127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备</w:t>
            </w:r>
            <w:r>
              <w:rPr>
                <w:rFonts w:hint="default" w:ascii="Times New Roman" w:hAnsi="Times New Roman" w:eastAsia="宋体" w:cs="Times New Roman"/>
                <w:snapToGrid w:val="0"/>
                <w:color w:val="auto"/>
                <w:spacing w:val="2"/>
                <w:kern w:val="0"/>
                <w:sz w:val="21"/>
                <w:szCs w:val="21"/>
                <w:lang w:val="en-US" w:eastAsia="en-US" w:bidi="ar-SA"/>
              </w:rPr>
              <w:t xml:space="preserve">    </w:t>
            </w:r>
            <w:r>
              <w:rPr>
                <w:rFonts w:hint="default" w:ascii="Times New Roman" w:hAnsi="Times New Roman" w:eastAsia="宋体" w:cs="Times New Roman"/>
                <w:snapToGrid w:val="0"/>
                <w:color w:val="auto"/>
                <w:spacing w:val="-5"/>
                <w:kern w:val="0"/>
                <w:sz w:val="21"/>
                <w:szCs w:val="21"/>
                <w:lang w:val="en-US" w:eastAsia="en-US" w:bidi="ar-SA"/>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jc w:val="center"/>
        </w:trPr>
        <w:tc>
          <w:tcPr>
            <w:tcW w:w="921" w:type="dxa"/>
            <w:vMerge w:val="continue"/>
            <w:tcBorders>
              <w:top w:val="nil"/>
              <w:bottom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3157"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377"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数量（台）</w:t>
            </w:r>
          </w:p>
        </w:tc>
        <w:tc>
          <w:tcPr>
            <w:tcW w:w="2063"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容量（kW）</w:t>
            </w:r>
          </w:p>
        </w:tc>
        <w:tc>
          <w:tcPr>
            <w:tcW w:w="68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Kx</w:t>
            </w:r>
          </w:p>
        </w:tc>
        <w:tc>
          <w:tcPr>
            <w:tcW w:w="801"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COSφ</w:t>
            </w:r>
          </w:p>
        </w:tc>
        <w:tc>
          <w:tcPr>
            <w:tcW w:w="688"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Tgφ</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P</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Q</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S</w:t>
            </w:r>
          </w:p>
        </w:tc>
        <w:tc>
          <w:tcPr>
            <w:tcW w:w="1272"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jc w:val="center"/>
        </w:trPr>
        <w:tc>
          <w:tcPr>
            <w:tcW w:w="921" w:type="dxa"/>
            <w:vMerge w:val="continue"/>
            <w:tcBorders>
              <w:top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3157"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安装</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工作</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安装</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工作</w:t>
            </w:r>
          </w:p>
        </w:tc>
        <w:tc>
          <w:tcPr>
            <w:tcW w:w="68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（kW）</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（kvar）</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（kVA）</w:t>
            </w:r>
          </w:p>
        </w:tc>
        <w:tc>
          <w:tcPr>
            <w:tcW w:w="127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CH420</w:t>
            </w:r>
            <w:r>
              <w:rPr>
                <w:rFonts w:hint="default" w:ascii="Times New Roman" w:hAnsi="Times New Roman" w:eastAsia="宋体" w:cs="Times New Roman"/>
                <w:snapToGrid w:val="0"/>
                <w:color w:val="auto"/>
                <w:spacing w:val="-28"/>
                <w:kern w:val="0"/>
                <w:sz w:val="21"/>
                <w:szCs w:val="21"/>
                <w:lang w:val="en-US" w:eastAsia="en-US" w:bidi="ar-SA"/>
              </w:rPr>
              <w:t xml:space="preserve"> </w:t>
            </w:r>
            <w:r>
              <w:rPr>
                <w:rFonts w:hint="default" w:ascii="Times New Roman" w:hAnsi="Times New Roman" w:eastAsia="宋体" w:cs="Times New Roman"/>
                <w:snapToGrid w:val="0"/>
                <w:color w:val="auto"/>
                <w:spacing w:val="-3"/>
                <w:kern w:val="0"/>
                <w:sz w:val="21"/>
                <w:szCs w:val="21"/>
                <w:lang w:val="en-US" w:eastAsia="en-US" w:bidi="ar-SA"/>
              </w:rPr>
              <w:t>圆锥破碎机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90.00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90.00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0.88</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58.50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51.48</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77.93</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软起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5</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40P-SP</w:t>
            </w:r>
            <w:r>
              <w:rPr>
                <w:rFonts w:hint="default" w:ascii="Times New Roman" w:hAnsi="Times New Roman" w:eastAsia="宋体" w:cs="Times New Roman"/>
                <w:snapToGrid w:val="0"/>
                <w:color w:val="auto"/>
                <w:spacing w:val="-41"/>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液下泵</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7.50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7.50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0.40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2.25</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3.75</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6</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电动单梁起重机（Q=5t）</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10.70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10.70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0.30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3.21</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1.99</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3.78</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5</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除尘风机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5.50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5.50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4.40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2.73</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5.18</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（7）</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筛分车间</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5#胶带输送机</w:t>
            </w:r>
            <w:r>
              <w:rPr>
                <w:rFonts w:hint="default" w:ascii="Times New Roman" w:hAnsi="Times New Roman" w:eastAsia="宋体" w:cs="Times New Roman"/>
                <w:snapToGrid w:val="0"/>
                <w:color w:val="auto"/>
                <w:spacing w:val="-47"/>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TD75-6550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7.50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7.50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0.88</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4.88</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4.29</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6.49</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7#胶带输送机</w:t>
            </w:r>
            <w:r>
              <w:rPr>
                <w:rFonts w:hint="default" w:ascii="Times New Roman" w:hAnsi="Times New Roman" w:eastAsia="宋体" w:cs="Times New Roman"/>
                <w:snapToGrid w:val="0"/>
                <w:color w:val="auto"/>
                <w:spacing w:val="-47"/>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TD75-6550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11.00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11.00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0.50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1.17</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5.50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6.44</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8.47</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2YKR1645H</w:t>
            </w:r>
            <w:r>
              <w:rPr>
                <w:rFonts w:hint="default" w:ascii="Times New Roman" w:hAnsi="Times New Roman" w:eastAsia="宋体" w:cs="Times New Roman"/>
                <w:snapToGrid w:val="0"/>
                <w:color w:val="auto"/>
                <w:spacing w:val="-35"/>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双层振动筛</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18.50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18.50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0.88</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12.03</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10.58</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16.02</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电动葫芦</w:t>
            </w:r>
            <w:r>
              <w:rPr>
                <w:rFonts w:hint="default" w:ascii="Times New Roman" w:hAnsi="Times New Roman" w:eastAsia="宋体" w:cs="Times New Roman"/>
                <w:snapToGrid w:val="0"/>
                <w:color w:val="auto"/>
                <w:spacing w:val="-41"/>
                <w:kern w:val="0"/>
                <w:sz w:val="21"/>
                <w:szCs w:val="21"/>
                <w:lang w:val="en-US" w:eastAsia="en-US" w:bidi="ar-SA"/>
              </w:rPr>
              <w:t xml:space="preserve"> </w:t>
            </w:r>
            <w:r>
              <w:rPr>
                <w:rFonts w:hint="default" w:ascii="Times New Roman" w:hAnsi="Times New Roman" w:eastAsia="宋体" w:cs="Times New Roman"/>
                <w:snapToGrid w:val="0"/>
                <w:color w:val="auto"/>
                <w:spacing w:val="-3"/>
                <w:kern w:val="0"/>
                <w:sz w:val="21"/>
                <w:szCs w:val="21"/>
                <w:lang w:val="en-US" w:eastAsia="en-US" w:bidi="ar-SA"/>
              </w:rPr>
              <w:t>MD12-12D</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3.40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3.40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2.72</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1.69</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3.20</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5</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电动单梁起重机（Q=5t）</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9.90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9.90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0.30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2.97</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1.84</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3.49</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5</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除尘风机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5.50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5.50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4.40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2.73</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5.18</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（8）</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转运站</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8#胶带输送机</w:t>
            </w:r>
            <w:r>
              <w:rPr>
                <w:rFonts w:hint="default" w:ascii="Times New Roman" w:hAnsi="Times New Roman" w:eastAsia="宋体" w:cs="Times New Roman"/>
                <w:snapToGrid w:val="0"/>
                <w:color w:val="auto"/>
                <w:spacing w:val="-44"/>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TD75-6550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11.00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11.00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0.88</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7.15</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6.29</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9.52</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电动葫芦</w:t>
            </w:r>
            <w:r>
              <w:rPr>
                <w:rFonts w:hint="default" w:ascii="Times New Roman" w:hAnsi="Times New Roman" w:eastAsia="宋体" w:cs="Times New Roman"/>
                <w:snapToGrid w:val="0"/>
                <w:color w:val="auto"/>
                <w:spacing w:val="-45"/>
                <w:kern w:val="0"/>
                <w:sz w:val="21"/>
                <w:szCs w:val="21"/>
                <w:lang w:val="en-US" w:eastAsia="en-US" w:bidi="ar-SA"/>
              </w:rPr>
              <w:t xml:space="preserve"> </w:t>
            </w:r>
            <w:r>
              <w:rPr>
                <w:rFonts w:hint="default" w:ascii="Times New Roman" w:hAnsi="Times New Roman" w:eastAsia="宋体" w:cs="Times New Roman"/>
                <w:snapToGrid w:val="0"/>
                <w:color w:val="auto"/>
                <w:spacing w:val="-3"/>
                <w:kern w:val="0"/>
                <w:sz w:val="21"/>
                <w:szCs w:val="21"/>
                <w:lang w:val="en-US" w:eastAsia="en-US" w:bidi="ar-SA"/>
              </w:rPr>
              <w:t>MD12-24D</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3.80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3.80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0.30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1.14</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0.71</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1.34</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（9）</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粉矿仓</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9#胶带输送机</w:t>
            </w:r>
            <w:r>
              <w:rPr>
                <w:rFonts w:hint="default" w:ascii="Times New Roman" w:hAnsi="Times New Roman" w:eastAsia="宋体" w:cs="Times New Roman"/>
                <w:snapToGrid w:val="0"/>
                <w:color w:val="auto"/>
                <w:spacing w:val="-44"/>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TD75-6550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7.50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7.50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0.88</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4.88</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4.29</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6.49</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电动葫芦</w:t>
            </w:r>
            <w:r>
              <w:rPr>
                <w:rFonts w:hint="default" w:ascii="Times New Roman" w:hAnsi="Times New Roman" w:eastAsia="宋体" w:cs="Times New Roman"/>
                <w:snapToGrid w:val="0"/>
                <w:color w:val="auto"/>
                <w:spacing w:val="-45"/>
                <w:kern w:val="0"/>
                <w:sz w:val="21"/>
                <w:szCs w:val="21"/>
                <w:lang w:val="en-US" w:eastAsia="en-US" w:bidi="ar-SA"/>
              </w:rPr>
              <w:t xml:space="preserve"> </w:t>
            </w:r>
            <w:r>
              <w:rPr>
                <w:rFonts w:hint="default" w:ascii="Times New Roman" w:hAnsi="Times New Roman" w:eastAsia="宋体" w:cs="Times New Roman"/>
                <w:snapToGrid w:val="0"/>
                <w:color w:val="auto"/>
                <w:spacing w:val="-3"/>
                <w:kern w:val="0"/>
                <w:sz w:val="21"/>
                <w:szCs w:val="21"/>
                <w:lang w:val="en-US" w:eastAsia="en-US" w:bidi="ar-SA"/>
              </w:rPr>
              <w:t>MD12-24D</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3.80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3.80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0.30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1.14</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0.71</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1.34</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jc w:val="center"/>
        </w:trPr>
        <w:tc>
          <w:tcPr>
            <w:tcW w:w="921" w:type="dxa"/>
            <w:vMerge w:val="restart"/>
            <w:tcBorders>
              <w:bottom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序  号</w:t>
            </w:r>
          </w:p>
        </w:tc>
        <w:tc>
          <w:tcPr>
            <w:tcW w:w="3157"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用电设备组名称</w:t>
            </w:r>
          </w:p>
        </w:tc>
        <w:tc>
          <w:tcPr>
            <w:tcW w:w="3440" w:type="dxa"/>
            <w:gridSpan w:val="4"/>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3"/>
                <w:kern w:val="0"/>
                <w:sz w:val="21"/>
                <w:szCs w:val="21"/>
                <w:lang w:val="en-US" w:eastAsia="en-US" w:bidi="ar-SA"/>
              </w:rPr>
              <w:t>用</w:t>
            </w:r>
            <w:r>
              <w:rPr>
                <w:rFonts w:hint="default" w:ascii="Times New Roman" w:hAnsi="Times New Roman" w:eastAsia="宋体" w:cs="Times New Roman"/>
                <w:snapToGrid w:val="0"/>
                <w:color w:val="auto"/>
                <w:spacing w:val="33"/>
                <w:kern w:val="0"/>
                <w:sz w:val="21"/>
                <w:szCs w:val="21"/>
                <w:lang w:val="en-US" w:eastAsia="en-US" w:bidi="ar-SA"/>
              </w:rPr>
              <w:t xml:space="preserve"> </w:t>
            </w:r>
            <w:r>
              <w:rPr>
                <w:rFonts w:hint="default" w:ascii="Times New Roman" w:hAnsi="Times New Roman" w:eastAsia="宋体" w:cs="Times New Roman"/>
                <w:snapToGrid w:val="0"/>
                <w:color w:val="auto"/>
                <w:spacing w:val="-13"/>
                <w:kern w:val="0"/>
                <w:sz w:val="21"/>
                <w:szCs w:val="21"/>
                <w:lang w:val="en-US" w:eastAsia="en-US" w:bidi="ar-SA"/>
              </w:rPr>
              <w:t>电</w:t>
            </w:r>
            <w:r>
              <w:rPr>
                <w:rFonts w:hint="default" w:ascii="Times New Roman" w:hAnsi="Times New Roman" w:eastAsia="宋体" w:cs="Times New Roman"/>
                <w:snapToGrid w:val="0"/>
                <w:color w:val="auto"/>
                <w:spacing w:val="10"/>
                <w:kern w:val="0"/>
                <w:sz w:val="21"/>
                <w:szCs w:val="21"/>
                <w:lang w:val="en-US" w:eastAsia="en-US" w:bidi="ar-SA"/>
              </w:rPr>
              <w:t xml:space="preserve"> </w:t>
            </w:r>
            <w:r>
              <w:rPr>
                <w:rFonts w:hint="default" w:ascii="Times New Roman" w:hAnsi="Times New Roman" w:eastAsia="宋体" w:cs="Times New Roman"/>
                <w:snapToGrid w:val="0"/>
                <w:color w:val="auto"/>
                <w:spacing w:val="-13"/>
                <w:kern w:val="0"/>
                <w:sz w:val="21"/>
                <w:szCs w:val="21"/>
                <w:lang w:val="en-US" w:eastAsia="en-US" w:bidi="ar-SA"/>
              </w:rPr>
              <w:t>设</w:t>
            </w:r>
            <w:r>
              <w:rPr>
                <w:rFonts w:hint="default" w:ascii="Times New Roman" w:hAnsi="Times New Roman" w:eastAsia="宋体" w:cs="Times New Roman"/>
                <w:snapToGrid w:val="0"/>
                <w:color w:val="auto"/>
                <w:spacing w:val="9"/>
                <w:kern w:val="0"/>
                <w:sz w:val="21"/>
                <w:szCs w:val="21"/>
                <w:lang w:val="en-US" w:eastAsia="en-US" w:bidi="ar-SA"/>
              </w:rPr>
              <w:t xml:space="preserve"> </w:t>
            </w:r>
            <w:r>
              <w:rPr>
                <w:rFonts w:hint="default" w:ascii="Times New Roman" w:hAnsi="Times New Roman" w:eastAsia="宋体" w:cs="Times New Roman"/>
                <w:snapToGrid w:val="0"/>
                <w:color w:val="auto"/>
                <w:spacing w:val="-13"/>
                <w:kern w:val="0"/>
                <w:sz w:val="21"/>
                <w:szCs w:val="21"/>
                <w:lang w:val="en-US" w:eastAsia="en-US" w:bidi="ar-SA"/>
              </w:rPr>
              <w:t>备</w:t>
            </w:r>
          </w:p>
        </w:tc>
        <w:tc>
          <w:tcPr>
            <w:tcW w:w="2178"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计</w:t>
            </w:r>
            <w:r>
              <w:rPr>
                <w:rFonts w:hint="default" w:ascii="Times New Roman" w:hAnsi="Times New Roman" w:eastAsia="宋体" w:cs="Times New Roman"/>
                <w:snapToGrid w:val="0"/>
                <w:color w:val="auto"/>
                <w:spacing w:val="10"/>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算</w:t>
            </w:r>
            <w:r>
              <w:rPr>
                <w:rFonts w:hint="default" w:ascii="Times New Roman" w:hAnsi="Times New Roman" w:eastAsia="宋体" w:cs="Times New Roman"/>
                <w:snapToGrid w:val="0"/>
                <w:color w:val="auto"/>
                <w:spacing w:val="11"/>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系</w:t>
            </w:r>
            <w:r>
              <w:rPr>
                <w:rFonts w:hint="default" w:ascii="Times New Roman" w:hAnsi="Times New Roman" w:eastAsia="宋体" w:cs="Times New Roman"/>
                <w:snapToGrid w:val="0"/>
                <w:color w:val="auto"/>
                <w:spacing w:val="8"/>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数</w:t>
            </w:r>
          </w:p>
        </w:tc>
        <w:tc>
          <w:tcPr>
            <w:tcW w:w="3210"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计</w:t>
            </w:r>
            <w:r>
              <w:rPr>
                <w:rFonts w:hint="default" w:ascii="Times New Roman" w:hAnsi="Times New Roman" w:eastAsia="宋体" w:cs="Times New Roman"/>
                <w:snapToGrid w:val="0"/>
                <w:color w:val="auto"/>
                <w:spacing w:val="10"/>
                <w:kern w:val="0"/>
                <w:sz w:val="21"/>
                <w:szCs w:val="21"/>
                <w:lang w:val="en-US" w:eastAsia="en-US" w:bidi="ar-SA"/>
              </w:rPr>
              <w:t xml:space="preserve"> </w:t>
            </w:r>
            <w:r>
              <w:rPr>
                <w:rFonts w:hint="default" w:ascii="Times New Roman" w:hAnsi="Times New Roman" w:eastAsia="宋体" w:cs="Times New Roman"/>
                <w:snapToGrid w:val="0"/>
                <w:color w:val="auto"/>
                <w:spacing w:val="-8"/>
                <w:kern w:val="0"/>
                <w:sz w:val="21"/>
                <w:szCs w:val="21"/>
                <w:lang w:val="en-US" w:eastAsia="en-US" w:bidi="ar-SA"/>
              </w:rPr>
              <w:t>算</w:t>
            </w:r>
            <w:r>
              <w:rPr>
                <w:rFonts w:hint="default" w:ascii="Times New Roman" w:hAnsi="Times New Roman" w:eastAsia="宋体" w:cs="Times New Roman"/>
                <w:snapToGrid w:val="0"/>
                <w:color w:val="auto"/>
                <w:spacing w:val="15"/>
                <w:kern w:val="0"/>
                <w:sz w:val="21"/>
                <w:szCs w:val="21"/>
                <w:lang w:val="en-US" w:eastAsia="en-US" w:bidi="ar-SA"/>
              </w:rPr>
              <w:t xml:space="preserve"> </w:t>
            </w:r>
            <w:r>
              <w:rPr>
                <w:rFonts w:hint="default" w:ascii="Times New Roman" w:hAnsi="Times New Roman" w:eastAsia="宋体" w:cs="Times New Roman"/>
                <w:snapToGrid w:val="0"/>
                <w:color w:val="auto"/>
                <w:spacing w:val="-8"/>
                <w:kern w:val="0"/>
                <w:sz w:val="21"/>
                <w:szCs w:val="21"/>
                <w:lang w:val="en-US" w:eastAsia="en-US" w:bidi="ar-SA"/>
              </w:rPr>
              <w:t>负</w:t>
            </w:r>
            <w:r>
              <w:rPr>
                <w:rFonts w:hint="default" w:ascii="Times New Roman" w:hAnsi="Times New Roman" w:eastAsia="宋体" w:cs="Times New Roman"/>
                <w:snapToGrid w:val="0"/>
                <w:color w:val="auto"/>
                <w:spacing w:val="5"/>
                <w:kern w:val="0"/>
                <w:sz w:val="21"/>
                <w:szCs w:val="21"/>
                <w:lang w:val="en-US" w:eastAsia="en-US" w:bidi="ar-SA"/>
              </w:rPr>
              <w:t xml:space="preserve"> </w:t>
            </w:r>
            <w:r>
              <w:rPr>
                <w:rFonts w:hint="default" w:ascii="Times New Roman" w:hAnsi="Times New Roman" w:eastAsia="宋体" w:cs="Times New Roman"/>
                <w:snapToGrid w:val="0"/>
                <w:color w:val="auto"/>
                <w:spacing w:val="-8"/>
                <w:kern w:val="0"/>
                <w:sz w:val="21"/>
                <w:szCs w:val="21"/>
                <w:lang w:val="en-US" w:eastAsia="en-US" w:bidi="ar-SA"/>
              </w:rPr>
              <w:t>荷</w:t>
            </w:r>
          </w:p>
        </w:tc>
        <w:tc>
          <w:tcPr>
            <w:tcW w:w="127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备</w:t>
            </w:r>
            <w:r>
              <w:rPr>
                <w:rFonts w:hint="default" w:ascii="Times New Roman" w:hAnsi="Times New Roman" w:eastAsia="宋体" w:cs="Times New Roman"/>
                <w:snapToGrid w:val="0"/>
                <w:color w:val="auto"/>
                <w:spacing w:val="2"/>
                <w:kern w:val="0"/>
                <w:sz w:val="21"/>
                <w:szCs w:val="21"/>
                <w:lang w:val="en-US" w:eastAsia="en-US" w:bidi="ar-SA"/>
              </w:rPr>
              <w:t xml:space="preserve">    </w:t>
            </w:r>
            <w:r>
              <w:rPr>
                <w:rFonts w:hint="default" w:ascii="Times New Roman" w:hAnsi="Times New Roman" w:eastAsia="宋体" w:cs="Times New Roman"/>
                <w:snapToGrid w:val="0"/>
                <w:color w:val="auto"/>
                <w:spacing w:val="-5"/>
                <w:kern w:val="0"/>
                <w:sz w:val="21"/>
                <w:szCs w:val="21"/>
                <w:lang w:val="en-US" w:eastAsia="en-US" w:bidi="ar-SA"/>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jc w:val="center"/>
        </w:trPr>
        <w:tc>
          <w:tcPr>
            <w:tcW w:w="921" w:type="dxa"/>
            <w:vMerge w:val="continue"/>
            <w:tcBorders>
              <w:top w:val="nil"/>
              <w:bottom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3157"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377"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数量（台）</w:t>
            </w:r>
          </w:p>
        </w:tc>
        <w:tc>
          <w:tcPr>
            <w:tcW w:w="2063"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容量（kW）</w:t>
            </w:r>
          </w:p>
        </w:tc>
        <w:tc>
          <w:tcPr>
            <w:tcW w:w="68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Kx</w:t>
            </w:r>
          </w:p>
        </w:tc>
        <w:tc>
          <w:tcPr>
            <w:tcW w:w="801"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COSφ</w:t>
            </w:r>
          </w:p>
        </w:tc>
        <w:tc>
          <w:tcPr>
            <w:tcW w:w="688"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Tgφ</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P</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Q</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S</w:t>
            </w:r>
          </w:p>
        </w:tc>
        <w:tc>
          <w:tcPr>
            <w:tcW w:w="1272"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jc w:val="center"/>
        </w:trPr>
        <w:tc>
          <w:tcPr>
            <w:tcW w:w="921" w:type="dxa"/>
            <w:vMerge w:val="continue"/>
            <w:tcBorders>
              <w:top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3157"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安装</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工作</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安装</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工作</w:t>
            </w:r>
          </w:p>
        </w:tc>
        <w:tc>
          <w:tcPr>
            <w:tcW w:w="68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（kW）</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（kvar）</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（kVA）</w:t>
            </w:r>
          </w:p>
        </w:tc>
        <w:tc>
          <w:tcPr>
            <w:tcW w:w="127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600x600</w:t>
            </w:r>
            <w:r>
              <w:rPr>
                <w:rFonts w:hint="default" w:ascii="Times New Roman" w:hAnsi="Times New Roman" w:eastAsia="宋体" w:cs="Times New Roman"/>
                <w:snapToGrid w:val="0"/>
                <w:color w:val="auto"/>
                <w:spacing w:val="-36"/>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摆式给料机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0.50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1.17</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3.51</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4.62</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变频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（10）</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主厂房</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10#胶带运输机</w:t>
            </w:r>
            <w:r>
              <w:rPr>
                <w:rFonts w:hint="default" w:ascii="Times New Roman" w:hAnsi="Times New Roman" w:eastAsia="宋体" w:cs="Times New Roman"/>
                <w:snapToGrid w:val="0"/>
                <w:color w:val="auto"/>
                <w:spacing w:val="-40"/>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TD75-6550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11.00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11.00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0.88</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7.15</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6.29</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9.52</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2ZKR1230</w:t>
            </w:r>
            <w:r>
              <w:rPr>
                <w:rFonts w:hint="default" w:ascii="Times New Roman" w:hAnsi="Times New Roman" w:eastAsia="宋体" w:cs="Times New Roman"/>
                <w:snapToGrid w:val="0"/>
                <w:color w:val="auto"/>
                <w:spacing w:val="-41"/>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振动筛</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22.00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22.00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0.50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1.17</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11.00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12.87</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16.93</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LTC-69/2</w:t>
            </w:r>
            <w:r>
              <w:rPr>
                <w:rFonts w:hint="default" w:ascii="Times New Roman" w:hAnsi="Times New Roman" w:eastAsia="宋体" w:cs="Times New Roman"/>
                <w:snapToGrid w:val="0"/>
                <w:color w:val="auto"/>
                <w:spacing w:val="-44"/>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侧动隔膜跳汰机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1.02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1.80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1.84</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2.57</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JT2-2</w:t>
            </w:r>
            <w:r>
              <w:rPr>
                <w:rFonts w:hint="default" w:ascii="Times New Roman" w:hAnsi="Times New Roman" w:eastAsia="宋体" w:cs="Times New Roman"/>
                <w:snapToGrid w:val="0"/>
                <w:color w:val="auto"/>
                <w:spacing w:val="-47"/>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锯齿波跳汰机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1.02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3.60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3.67</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5.14</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5</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JT5-2</w:t>
            </w:r>
            <w:r>
              <w:rPr>
                <w:rFonts w:hint="default" w:ascii="Times New Roman" w:hAnsi="Times New Roman" w:eastAsia="宋体" w:cs="Times New Roman"/>
                <w:snapToGrid w:val="0"/>
                <w:color w:val="auto"/>
                <w:spacing w:val="-47"/>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锯齿波跳汰机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15.00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15.00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1.02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9.00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9.18</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12.86</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6</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300×300</w:t>
            </w:r>
            <w:r>
              <w:rPr>
                <w:rFonts w:hint="default" w:ascii="Times New Roman" w:hAnsi="Times New Roman" w:eastAsia="宋体" w:cs="Times New Roman"/>
                <w:snapToGrid w:val="0"/>
                <w:color w:val="auto"/>
                <w:spacing w:val="-41"/>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摆式给料机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0.50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1.17</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1.50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1.76</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2.31</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变频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7</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300×450</w:t>
            </w:r>
            <w:r>
              <w:rPr>
                <w:rFonts w:hint="default" w:ascii="Times New Roman" w:hAnsi="Times New Roman" w:eastAsia="宋体" w:cs="Times New Roman"/>
                <w:snapToGrid w:val="0"/>
                <w:color w:val="auto"/>
                <w:spacing w:val="-37"/>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旁动隔膜跳汰机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1.10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1.10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1.02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0.66</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0.67</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0.94</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8</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FLG-300</w:t>
            </w:r>
            <w:r>
              <w:rPr>
                <w:rFonts w:hint="default" w:ascii="Times New Roman" w:hAnsi="Times New Roman" w:eastAsia="宋体" w:cs="Times New Roman"/>
                <w:snapToGrid w:val="0"/>
                <w:color w:val="auto"/>
                <w:spacing w:val="-26"/>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高堰式螺旋分级机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2.20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2.20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1.76</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1.32</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2.20</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9</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2PG-300</w:t>
            </w:r>
            <w:r>
              <w:rPr>
                <w:rFonts w:hint="default" w:ascii="Times New Roman" w:hAnsi="Times New Roman" w:eastAsia="宋体" w:cs="Times New Roman"/>
                <w:snapToGrid w:val="0"/>
                <w:color w:val="auto"/>
                <w:spacing w:val="-37"/>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对辊破碎机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4.40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4.40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0.88</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2.86</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2.52</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3.81</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10</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FLC-1500</w:t>
            </w:r>
            <w:r>
              <w:rPr>
                <w:rFonts w:hint="default" w:ascii="Times New Roman" w:hAnsi="Times New Roman" w:eastAsia="宋体" w:cs="Times New Roman"/>
                <w:snapToGrid w:val="0"/>
                <w:color w:val="auto"/>
                <w:spacing w:val="-41"/>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高堰式螺旋分级机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11.00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11.00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8.80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6.60</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11.00</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11</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MBY1530</w:t>
            </w:r>
            <w:r>
              <w:rPr>
                <w:rFonts w:hint="default" w:ascii="Times New Roman" w:hAnsi="Times New Roman" w:eastAsia="宋体" w:cs="Times New Roman"/>
                <w:snapToGrid w:val="0"/>
                <w:color w:val="auto"/>
                <w:spacing w:val="-40"/>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湿式棒磨机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90.00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90.00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72.00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54.00</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90.00</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12</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磨矿产品输送泵</w:t>
            </w:r>
            <w:r>
              <w:rPr>
                <w:rFonts w:hint="default" w:ascii="Times New Roman" w:hAnsi="Times New Roman" w:eastAsia="宋体" w:cs="Times New Roman"/>
                <w:snapToGrid w:val="0"/>
                <w:color w:val="auto"/>
                <w:spacing w:val="-32"/>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65ZBD-315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37.00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18.50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15.73</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9.75</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18.50</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变频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13</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6-S</w:t>
            </w:r>
            <w:r>
              <w:rPr>
                <w:rFonts w:hint="default" w:ascii="Times New Roman" w:hAnsi="Times New Roman" w:eastAsia="宋体" w:cs="Times New Roman"/>
                <w:snapToGrid w:val="0"/>
                <w:color w:val="auto"/>
                <w:spacing w:val="-36"/>
                <w:kern w:val="0"/>
                <w:sz w:val="21"/>
                <w:szCs w:val="21"/>
                <w:lang w:val="en-US" w:eastAsia="en-US" w:bidi="ar-SA"/>
              </w:rPr>
              <w:t xml:space="preserve"> </w:t>
            </w:r>
            <w:r>
              <w:rPr>
                <w:rFonts w:hint="default" w:ascii="Times New Roman" w:hAnsi="Times New Roman" w:eastAsia="宋体" w:cs="Times New Roman"/>
                <w:snapToGrid w:val="0"/>
                <w:color w:val="auto"/>
                <w:spacing w:val="-3"/>
                <w:kern w:val="0"/>
                <w:sz w:val="21"/>
                <w:szCs w:val="21"/>
                <w:lang w:val="en-US" w:eastAsia="en-US" w:bidi="ar-SA"/>
              </w:rPr>
              <w:t>型摇床（粗砂型）</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2"/>
                <w:kern w:val="0"/>
                <w:sz w:val="21"/>
                <w:szCs w:val="21"/>
                <w:lang w:val="en-US" w:eastAsia="en-US" w:bidi="ar-SA"/>
              </w:rPr>
              <w:t>14</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14</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15.40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15.40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1.02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9.24</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9.42</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13.20</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变频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14</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6-S</w:t>
            </w:r>
            <w:r>
              <w:rPr>
                <w:rFonts w:hint="default" w:ascii="Times New Roman" w:hAnsi="Times New Roman" w:eastAsia="宋体" w:cs="Times New Roman"/>
                <w:snapToGrid w:val="0"/>
                <w:color w:val="auto"/>
                <w:spacing w:val="-36"/>
                <w:kern w:val="0"/>
                <w:sz w:val="21"/>
                <w:szCs w:val="21"/>
                <w:lang w:val="en-US" w:eastAsia="en-US" w:bidi="ar-SA"/>
              </w:rPr>
              <w:t xml:space="preserve"> </w:t>
            </w:r>
            <w:r>
              <w:rPr>
                <w:rFonts w:hint="default" w:ascii="Times New Roman" w:hAnsi="Times New Roman" w:eastAsia="宋体" w:cs="Times New Roman"/>
                <w:snapToGrid w:val="0"/>
                <w:color w:val="auto"/>
                <w:spacing w:val="-3"/>
                <w:kern w:val="0"/>
                <w:sz w:val="21"/>
                <w:szCs w:val="21"/>
                <w:lang w:val="en-US" w:eastAsia="en-US" w:bidi="ar-SA"/>
              </w:rPr>
              <w:t>型摇床（细砂型）</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12</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12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13.20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13.20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1.02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7.92</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8.08</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11.31</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变频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15</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摇床中矿输送泵</w:t>
            </w:r>
            <w:r>
              <w:rPr>
                <w:rFonts w:hint="default" w:ascii="Times New Roman" w:hAnsi="Times New Roman" w:eastAsia="宋体" w:cs="Times New Roman"/>
                <w:snapToGrid w:val="0"/>
                <w:color w:val="auto"/>
                <w:spacing w:val="-29"/>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50ZBD-315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22.00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22.00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18.70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11.59</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22.00</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jc w:val="center"/>
        </w:trPr>
        <w:tc>
          <w:tcPr>
            <w:tcW w:w="921" w:type="dxa"/>
            <w:vMerge w:val="restart"/>
            <w:tcBorders>
              <w:bottom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序  号</w:t>
            </w:r>
          </w:p>
        </w:tc>
        <w:tc>
          <w:tcPr>
            <w:tcW w:w="3157"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用电设备组名称</w:t>
            </w:r>
          </w:p>
        </w:tc>
        <w:tc>
          <w:tcPr>
            <w:tcW w:w="3440" w:type="dxa"/>
            <w:gridSpan w:val="4"/>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3"/>
                <w:kern w:val="0"/>
                <w:sz w:val="21"/>
                <w:szCs w:val="21"/>
                <w:lang w:val="en-US" w:eastAsia="en-US" w:bidi="ar-SA"/>
              </w:rPr>
              <w:t>用</w:t>
            </w:r>
            <w:r>
              <w:rPr>
                <w:rFonts w:hint="default" w:ascii="Times New Roman" w:hAnsi="Times New Roman" w:eastAsia="宋体" w:cs="Times New Roman"/>
                <w:snapToGrid w:val="0"/>
                <w:color w:val="auto"/>
                <w:spacing w:val="33"/>
                <w:kern w:val="0"/>
                <w:sz w:val="21"/>
                <w:szCs w:val="21"/>
                <w:lang w:val="en-US" w:eastAsia="en-US" w:bidi="ar-SA"/>
              </w:rPr>
              <w:t xml:space="preserve"> </w:t>
            </w:r>
            <w:r>
              <w:rPr>
                <w:rFonts w:hint="default" w:ascii="Times New Roman" w:hAnsi="Times New Roman" w:eastAsia="宋体" w:cs="Times New Roman"/>
                <w:snapToGrid w:val="0"/>
                <w:color w:val="auto"/>
                <w:spacing w:val="-13"/>
                <w:kern w:val="0"/>
                <w:sz w:val="21"/>
                <w:szCs w:val="21"/>
                <w:lang w:val="en-US" w:eastAsia="en-US" w:bidi="ar-SA"/>
              </w:rPr>
              <w:t>电</w:t>
            </w:r>
            <w:r>
              <w:rPr>
                <w:rFonts w:hint="default" w:ascii="Times New Roman" w:hAnsi="Times New Roman" w:eastAsia="宋体" w:cs="Times New Roman"/>
                <w:snapToGrid w:val="0"/>
                <w:color w:val="auto"/>
                <w:spacing w:val="10"/>
                <w:kern w:val="0"/>
                <w:sz w:val="21"/>
                <w:szCs w:val="21"/>
                <w:lang w:val="en-US" w:eastAsia="en-US" w:bidi="ar-SA"/>
              </w:rPr>
              <w:t xml:space="preserve"> </w:t>
            </w:r>
            <w:r>
              <w:rPr>
                <w:rFonts w:hint="default" w:ascii="Times New Roman" w:hAnsi="Times New Roman" w:eastAsia="宋体" w:cs="Times New Roman"/>
                <w:snapToGrid w:val="0"/>
                <w:color w:val="auto"/>
                <w:spacing w:val="-13"/>
                <w:kern w:val="0"/>
                <w:sz w:val="21"/>
                <w:szCs w:val="21"/>
                <w:lang w:val="en-US" w:eastAsia="en-US" w:bidi="ar-SA"/>
              </w:rPr>
              <w:t>设</w:t>
            </w:r>
            <w:r>
              <w:rPr>
                <w:rFonts w:hint="default" w:ascii="Times New Roman" w:hAnsi="Times New Roman" w:eastAsia="宋体" w:cs="Times New Roman"/>
                <w:snapToGrid w:val="0"/>
                <w:color w:val="auto"/>
                <w:spacing w:val="9"/>
                <w:kern w:val="0"/>
                <w:sz w:val="21"/>
                <w:szCs w:val="21"/>
                <w:lang w:val="en-US" w:eastAsia="en-US" w:bidi="ar-SA"/>
              </w:rPr>
              <w:t xml:space="preserve"> </w:t>
            </w:r>
            <w:r>
              <w:rPr>
                <w:rFonts w:hint="default" w:ascii="Times New Roman" w:hAnsi="Times New Roman" w:eastAsia="宋体" w:cs="Times New Roman"/>
                <w:snapToGrid w:val="0"/>
                <w:color w:val="auto"/>
                <w:spacing w:val="-13"/>
                <w:kern w:val="0"/>
                <w:sz w:val="21"/>
                <w:szCs w:val="21"/>
                <w:lang w:val="en-US" w:eastAsia="en-US" w:bidi="ar-SA"/>
              </w:rPr>
              <w:t>备</w:t>
            </w:r>
          </w:p>
        </w:tc>
        <w:tc>
          <w:tcPr>
            <w:tcW w:w="2178"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计</w:t>
            </w:r>
            <w:r>
              <w:rPr>
                <w:rFonts w:hint="default" w:ascii="Times New Roman" w:hAnsi="Times New Roman" w:eastAsia="宋体" w:cs="Times New Roman"/>
                <w:snapToGrid w:val="0"/>
                <w:color w:val="auto"/>
                <w:spacing w:val="10"/>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算</w:t>
            </w:r>
            <w:r>
              <w:rPr>
                <w:rFonts w:hint="default" w:ascii="Times New Roman" w:hAnsi="Times New Roman" w:eastAsia="宋体" w:cs="Times New Roman"/>
                <w:snapToGrid w:val="0"/>
                <w:color w:val="auto"/>
                <w:spacing w:val="11"/>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系</w:t>
            </w:r>
            <w:r>
              <w:rPr>
                <w:rFonts w:hint="default" w:ascii="Times New Roman" w:hAnsi="Times New Roman" w:eastAsia="宋体" w:cs="Times New Roman"/>
                <w:snapToGrid w:val="0"/>
                <w:color w:val="auto"/>
                <w:spacing w:val="8"/>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数</w:t>
            </w:r>
          </w:p>
        </w:tc>
        <w:tc>
          <w:tcPr>
            <w:tcW w:w="3210"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计</w:t>
            </w:r>
            <w:r>
              <w:rPr>
                <w:rFonts w:hint="default" w:ascii="Times New Roman" w:hAnsi="Times New Roman" w:eastAsia="宋体" w:cs="Times New Roman"/>
                <w:snapToGrid w:val="0"/>
                <w:color w:val="auto"/>
                <w:spacing w:val="10"/>
                <w:kern w:val="0"/>
                <w:sz w:val="21"/>
                <w:szCs w:val="21"/>
                <w:lang w:val="en-US" w:eastAsia="en-US" w:bidi="ar-SA"/>
              </w:rPr>
              <w:t xml:space="preserve"> </w:t>
            </w:r>
            <w:r>
              <w:rPr>
                <w:rFonts w:hint="default" w:ascii="Times New Roman" w:hAnsi="Times New Roman" w:eastAsia="宋体" w:cs="Times New Roman"/>
                <w:snapToGrid w:val="0"/>
                <w:color w:val="auto"/>
                <w:spacing w:val="-8"/>
                <w:kern w:val="0"/>
                <w:sz w:val="21"/>
                <w:szCs w:val="21"/>
                <w:lang w:val="en-US" w:eastAsia="en-US" w:bidi="ar-SA"/>
              </w:rPr>
              <w:t>算</w:t>
            </w:r>
            <w:r>
              <w:rPr>
                <w:rFonts w:hint="default" w:ascii="Times New Roman" w:hAnsi="Times New Roman" w:eastAsia="宋体" w:cs="Times New Roman"/>
                <w:snapToGrid w:val="0"/>
                <w:color w:val="auto"/>
                <w:spacing w:val="15"/>
                <w:kern w:val="0"/>
                <w:sz w:val="21"/>
                <w:szCs w:val="21"/>
                <w:lang w:val="en-US" w:eastAsia="en-US" w:bidi="ar-SA"/>
              </w:rPr>
              <w:t xml:space="preserve"> </w:t>
            </w:r>
            <w:r>
              <w:rPr>
                <w:rFonts w:hint="default" w:ascii="Times New Roman" w:hAnsi="Times New Roman" w:eastAsia="宋体" w:cs="Times New Roman"/>
                <w:snapToGrid w:val="0"/>
                <w:color w:val="auto"/>
                <w:spacing w:val="-8"/>
                <w:kern w:val="0"/>
                <w:sz w:val="21"/>
                <w:szCs w:val="21"/>
                <w:lang w:val="en-US" w:eastAsia="en-US" w:bidi="ar-SA"/>
              </w:rPr>
              <w:t>负</w:t>
            </w:r>
            <w:r>
              <w:rPr>
                <w:rFonts w:hint="default" w:ascii="Times New Roman" w:hAnsi="Times New Roman" w:eastAsia="宋体" w:cs="Times New Roman"/>
                <w:snapToGrid w:val="0"/>
                <w:color w:val="auto"/>
                <w:spacing w:val="5"/>
                <w:kern w:val="0"/>
                <w:sz w:val="21"/>
                <w:szCs w:val="21"/>
                <w:lang w:val="en-US" w:eastAsia="en-US" w:bidi="ar-SA"/>
              </w:rPr>
              <w:t xml:space="preserve"> </w:t>
            </w:r>
            <w:r>
              <w:rPr>
                <w:rFonts w:hint="default" w:ascii="Times New Roman" w:hAnsi="Times New Roman" w:eastAsia="宋体" w:cs="Times New Roman"/>
                <w:snapToGrid w:val="0"/>
                <w:color w:val="auto"/>
                <w:spacing w:val="-8"/>
                <w:kern w:val="0"/>
                <w:sz w:val="21"/>
                <w:szCs w:val="21"/>
                <w:lang w:val="en-US" w:eastAsia="en-US" w:bidi="ar-SA"/>
              </w:rPr>
              <w:t>荷</w:t>
            </w:r>
          </w:p>
        </w:tc>
        <w:tc>
          <w:tcPr>
            <w:tcW w:w="127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备</w:t>
            </w:r>
            <w:r>
              <w:rPr>
                <w:rFonts w:hint="default" w:ascii="Times New Roman" w:hAnsi="Times New Roman" w:eastAsia="宋体" w:cs="Times New Roman"/>
                <w:snapToGrid w:val="0"/>
                <w:color w:val="auto"/>
                <w:spacing w:val="2"/>
                <w:kern w:val="0"/>
                <w:sz w:val="21"/>
                <w:szCs w:val="21"/>
                <w:lang w:val="en-US" w:eastAsia="en-US" w:bidi="ar-SA"/>
              </w:rPr>
              <w:t xml:space="preserve">    </w:t>
            </w:r>
            <w:r>
              <w:rPr>
                <w:rFonts w:hint="default" w:ascii="Times New Roman" w:hAnsi="Times New Roman" w:eastAsia="宋体" w:cs="Times New Roman"/>
                <w:snapToGrid w:val="0"/>
                <w:color w:val="auto"/>
                <w:spacing w:val="-5"/>
                <w:kern w:val="0"/>
                <w:sz w:val="21"/>
                <w:szCs w:val="21"/>
                <w:lang w:val="en-US" w:eastAsia="en-US" w:bidi="ar-SA"/>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921" w:type="dxa"/>
            <w:vMerge w:val="continue"/>
            <w:tcBorders>
              <w:top w:val="nil"/>
              <w:bottom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3157"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377"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数量（台）</w:t>
            </w:r>
          </w:p>
        </w:tc>
        <w:tc>
          <w:tcPr>
            <w:tcW w:w="2063"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容量（kW）</w:t>
            </w:r>
          </w:p>
        </w:tc>
        <w:tc>
          <w:tcPr>
            <w:tcW w:w="68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Kx</w:t>
            </w:r>
          </w:p>
        </w:tc>
        <w:tc>
          <w:tcPr>
            <w:tcW w:w="801"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COSφ</w:t>
            </w:r>
          </w:p>
        </w:tc>
        <w:tc>
          <w:tcPr>
            <w:tcW w:w="688"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Tgφ</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P</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Q</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S</w:t>
            </w:r>
          </w:p>
        </w:tc>
        <w:tc>
          <w:tcPr>
            <w:tcW w:w="1272"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jc w:val="center"/>
        </w:trPr>
        <w:tc>
          <w:tcPr>
            <w:tcW w:w="921" w:type="dxa"/>
            <w:vMerge w:val="continue"/>
            <w:tcBorders>
              <w:top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3157"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安装</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工作</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安装</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工作</w:t>
            </w:r>
          </w:p>
        </w:tc>
        <w:tc>
          <w:tcPr>
            <w:tcW w:w="68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（kW）</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（kvar）</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（kVA）</w:t>
            </w:r>
          </w:p>
        </w:tc>
        <w:tc>
          <w:tcPr>
            <w:tcW w:w="127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16</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圆筒脱渣筛</w:t>
            </w:r>
            <w:r>
              <w:rPr>
                <w:rFonts w:hint="default" w:ascii="Times New Roman" w:hAnsi="Times New Roman" w:eastAsia="宋体" w:cs="Times New Roman"/>
                <w:snapToGrid w:val="0"/>
                <w:color w:val="auto"/>
                <w:spacing w:val="-35"/>
                <w:kern w:val="0"/>
                <w:sz w:val="21"/>
                <w:szCs w:val="21"/>
                <w:lang w:val="en-US" w:eastAsia="en-US" w:bidi="ar-SA"/>
              </w:rPr>
              <w:t xml:space="preserve"> </w:t>
            </w:r>
            <w:r>
              <w:rPr>
                <w:rFonts w:hint="default" w:ascii="Times New Roman" w:hAnsi="Times New Roman" w:eastAsia="宋体" w:cs="Times New Roman"/>
                <w:snapToGrid w:val="0"/>
                <w:color w:val="auto"/>
                <w:spacing w:val="-3"/>
                <w:kern w:val="0"/>
                <w:sz w:val="21"/>
                <w:szCs w:val="21"/>
                <w:lang w:val="en-US" w:eastAsia="en-US" w:bidi="ar-SA"/>
              </w:rPr>
              <w:t>SL-1200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2.20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2.20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0.50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1.17</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1.10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1.29</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1.69</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17</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BJ-1500×1500</w:t>
            </w:r>
            <w:r>
              <w:rPr>
                <w:rFonts w:hint="default" w:ascii="Times New Roman" w:hAnsi="Times New Roman" w:eastAsia="宋体" w:cs="Times New Roman"/>
                <w:snapToGrid w:val="0"/>
                <w:color w:val="auto"/>
                <w:spacing w:val="-40"/>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搅拌槽</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1.02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1.80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1.84</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2.57</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变频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18</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离心粗选精矿输送泵</w:t>
            </w:r>
            <w:r>
              <w:rPr>
                <w:rFonts w:hint="default" w:ascii="Times New Roman" w:hAnsi="Times New Roman" w:eastAsia="宋体" w:cs="Times New Roman"/>
                <w:snapToGrid w:val="0"/>
                <w:color w:val="auto"/>
                <w:spacing w:val="-36"/>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25PNJ</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2.55</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1.58</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变频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19</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离心精选尾矿输送泵</w:t>
            </w:r>
            <w:r>
              <w:rPr>
                <w:rFonts w:hint="default" w:ascii="Times New Roman" w:hAnsi="Times New Roman" w:eastAsia="宋体" w:cs="Times New Roman"/>
                <w:snapToGrid w:val="0"/>
                <w:color w:val="auto"/>
                <w:spacing w:val="-36"/>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2PNJ</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22.00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11.00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9.35</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5.80</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11.00</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变频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20</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浓缩机底流输送泵</w:t>
            </w:r>
            <w:r>
              <w:rPr>
                <w:rFonts w:hint="default" w:ascii="Times New Roman" w:hAnsi="Times New Roman" w:eastAsia="宋体" w:cs="Times New Roman"/>
                <w:snapToGrid w:val="0"/>
                <w:color w:val="auto"/>
                <w:spacing w:val="-33"/>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25PNJ</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2.55</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1.58</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变频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21</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6-S</w:t>
            </w:r>
            <w:r>
              <w:rPr>
                <w:rFonts w:hint="default" w:ascii="Times New Roman" w:hAnsi="Times New Roman" w:eastAsia="宋体" w:cs="Times New Roman"/>
                <w:snapToGrid w:val="0"/>
                <w:color w:val="auto"/>
                <w:spacing w:val="-36"/>
                <w:kern w:val="0"/>
                <w:sz w:val="21"/>
                <w:szCs w:val="21"/>
                <w:lang w:val="en-US" w:eastAsia="en-US" w:bidi="ar-SA"/>
              </w:rPr>
              <w:t xml:space="preserve"> </w:t>
            </w:r>
            <w:r>
              <w:rPr>
                <w:rFonts w:hint="default" w:ascii="Times New Roman" w:hAnsi="Times New Roman" w:eastAsia="宋体" w:cs="Times New Roman"/>
                <w:snapToGrid w:val="0"/>
                <w:color w:val="auto"/>
                <w:spacing w:val="-3"/>
                <w:kern w:val="0"/>
                <w:sz w:val="21"/>
                <w:szCs w:val="21"/>
                <w:lang w:val="en-US" w:eastAsia="en-US" w:bidi="ar-SA"/>
              </w:rPr>
              <w:t>型摇床（矿泥型）</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8</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8</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8.80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8.80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1.02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5.28</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5.39</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7.54</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22</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FLG-750</w:t>
            </w:r>
            <w:r>
              <w:rPr>
                <w:rFonts w:hint="default" w:ascii="Times New Roman" w:hAnsi="Times New Roman" w:eastAsia="宋体" w:cs="Times New Roman"/>
                <w:snapToGrid w:val="0"/>
                <w:color w:val="auto"/>
                <w:spacing w:val="-41"/>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沉没式螺旋分级机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2.40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1.80</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23</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高频振动筛给料输送泵</w:t>
            </w:r>
            <w:r>
              <w:rPr>
                <w:rFonts w:hint="default" w:ascii="Times New Roman" w:hAnsi="Times New Roman" w:eastAsia="宋体" w:cs="Times New Roman"/>
                <w:snapToGrid w:val="0"/>
                <w:color w:val="auto"/>
                <w:spacing w:val="-37"/>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25PNJ</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2.55</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1.58</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变频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24</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GPS-1400</w:t>
            </w:r>
            <w:r>
              <w:rPr>
                <w:rFonts w:hint="default" w:ascii="Times New Roman" w:hAnsi="Times New Roman" w:eastAsia="宋体" w:cs="Times New Roman"/>
                <w:snapToGrid w:val="0"/>
                <w:color w:val="auto"/>
                <w:spacing w:val="-32"/>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高频振动筛</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0.50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1.17</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1.50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1.76</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2.31</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25</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FLG-300</w:t>
            </w:r>
            <w:r>
              <w:rPr>
                <w:rFonts w:hint="default" w:ascii="Times New Roman" w:hAnsi="Times New Roman" w:eastAsia="宋体" w:cs="Times New Roman"/>
                <w:snapToGrid w:val="0"/>
                <w:color w:val="auto"/>
                <w:spacing w:val="-26"/>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高堰式螺旋分级机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6.60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6.60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5.28</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3.96</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6.60</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26</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给药搅拌桶∅600×1200mm</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3.40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3.40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1.02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2.04</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2.08</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2.91</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27</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1800×4000</w:t>
            </w:r>
            <w:r>
              <w:rPr>
                <w:rFonts w:hint="default" w:ascii="Times New Roman" w:hAnsi="Times New Roman" w:eastAsia="宋体" w:cs="Times New Roman"/>
                <w:snapToGrid w:val="0"/>
                <w:color w:val="auto"/>
                <w:spacing w:val="-39"/>
                <w:kern w:val="0"/>
                <w:sz w:val="21"/>
                <w:szCs w:val="21"/>
                <w:lang w:val="en-US" w:eastAsia="en-US" w:bidi="ar-SA"/>
              </w:rPr>
              <w:t xml:space="preserve"> </w:t>
            </w:r>
            <w:r>
              <w:rPr>
                <w:rFonts w:hint="default" w:ascii="Times New Roman" w:hAnsi="Times New Roman" w:eastAsia="宋体" w:cs="Times New Roman"/>
                <w:snapToGrid w:val="0"/>
                <w:color w:val="auto"/>
                <w:spacing w:val="-3"/>
                <w:kern w:val="0"/>
                <w:sz w:val="21"/>
                <w:szCs w:val="21"/>
                <w:lang w:val="en-US" w:eastAsia="en-US" w:bidi="ar-SA"/>
              </w:rPr>
              <w:t>枱浮床</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3.30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1.10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1.02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0.66</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0.67</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0.94</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28</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枱浮中矿输送泵</w:t>
            </w:r>
            <w:r>
              <w:rPr>
                <w:rFonts w:hint="default" w:ascii="Times New Roman" w:hAnsi="Times New Roman" w:eastAsia="宋体" w:cs="Times New Roman"/>
                <w:snapToGrid w:val="0"/>
                <w:color w:val="auto"/>
                <w:spacing w:val="-37"/>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25PNJ</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2.55</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1.58</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变频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29</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MQY0909</w:t>
            </w:r>
            <w:r>
              <w:rPr>
                <w:rFonts w:hint="default" w:ascii="Times New Roman" w:hAnsi="Times New Roman" w:eastAsia="宋体" w:cs="Times New Roman"/>
                <w:snapToGrid w:val="0"/>
                <w:color w:val="auto"/>
                <w:spacing w:val="-40"/>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湿式球磨机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18.50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18.50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14.80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11.10</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18.50</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30</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磨矿产品输送泵</w:t>
            </w:r>
            <w:r>
              <w:rPr>
                <w:rFonts w:hint="default" w:ascii="Times New Roman" w:hAnsi="Times New Roman" w:eastAsia="宋体" w:cs="Times New Roman"/>
                <w:snapToGrid w:val="0"/>
                <w:color w:val="auto"/>
                <w:spacing w:val="-39"/>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25PNJ</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2.55</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1.58</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变频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31</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BJN-2500×2500</w:t>
            </w:r>
            <w:r>
              <w:rPr>
                <w:rFonts w:hint="default" w:ascii="Times New Roman" w:hAnsi="Times New Roman" w:eastAsia="宋体" w:cs="Times New Roman"/>
                <w:snapToGrid w:val="0"/>
                <w:color w:val="auto"/>
                <w:spacing w:val="-37"/>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高浓度搅拌槽</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15.00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15.00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1.02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9.00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9.18</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12.86</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32</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BJ-1000×1000</w:t>
            </w:r>
            <w:r>
              <w:rPr>
                <w:rFonts w:hint="default" w:ascii="Times New Roman" w:hAnsi="Times New Roman" w:eastAsia="宋体" w:cs="Times New Roman"/>
                <w:snapToGrid w:val="0"/>
                <w:color w:val="auto"/>
                <w:spacing w:val="-40"/>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搅拌槽</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1.02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3.60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3.67</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5.14</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jc w:val="center"/>
        </w:trPr>
        <w:tc>
          <w:tcPr>
            <w:tcW w:w="921" w:type="dxa"/>
            <w:vMerge w:val="restart"/>
            <w:tcBorders>
              <w:bottom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序  号</w:t>
            </w:r>
          </w:p>
        </w:tc>
        <w:tc>
          <w:tcPr>
            <w:tcW w:w="3157"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用电设备组名称</w:t>
            </w:r>
          </w:p>
        </w:tc>
        <w:tc>
          <w:tcPr>
            <w:tcW w:w="3440" w:type="dxa"/>
            <w:gridSpan w:val="4"/>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3"/>
                <w:kern w:val="0"/>
                <w:sz w:val="21"/>
                <w:szCs w:val="21"/>
                <w:lang w:val="en-US" w:eastAsia="en-US" w:bidi="ar-SA"/>
              </w:rPr>
              <w:t>用</w:t>
            </w:r>
            <w:r>
              <w:rPr>
                <w:rFonts w:hint="default" w:ascii="Times New Roman" w:hAnsi="Times New Roman" w:eastAsia="宋体" w:cs="Times New Roman"/>
                <w:snapToGrid w:val="0"/>
                <w:color w:val="auto"/>
                <w:spacing w:val="33"/>
                <w:kern w:val="0"/>
                <w:sz w:val="21"/>
                <w:szCs w:val="21"/>
                <w:lang w:val="en-US" w:eastAsia="en-US" w:bidi="ar-SA"/>
              </w:rPr>
              <w:t xml:space="preserve"> </w:t>
            </w:r>
            <w:r>
              <w:rPr>
                <w:rFonts w:hint="default" w:ascii="Times New Roman" w:hAnsi="Times New Roman" w:eastAsia="宋体" w:cs="Times New Roman"/>
                <w:snapToGrid w:val="0"/>
                <w:color w:val="auto"/>
                <w:spacing w:val="-13"/>
                <w:kern w:val="0"/>
                <w:sz w:val="21"/>
                <w:szCs w:val="21"/>
                <w:lang w:val="en-US" w:eastAsia="en-US" w:bidi="ar-SA"/>
              </w:rPr>
              <w:t>电</w:t>
            </w:r>
            <w:r>
              <w:rPr>
                <w:rFonts w:hint="default" w:ascii="Times New Roman" w:hAnsi="Times New Roman" w:eastAsia="宋体" w:cs="Times New Roman"/>
                <w:snapToGrid w:val="0"/>
                <w:color w:val="auto"/>
                <w:spacing w:val="10"/>
                <w:kern w:val="0"/>
                <w:sz w:val="21"/>
                <w:szCs w:val="21"/>
                <w:lang w:val="en-US" w:eastAsia="en-US" w:bidi="ar-SA"/>
              </w:rPr>
              <w:t xml:space="preserve"> </w:t>
            </w:r>
            <w:r>
              <w:rPr>
                <w:rFonts w:hint="default" w:ascii="Times New Roman" w:hAnsi="Times New Roman" w:eastAsia="宋体" w:cs="Times New Roman"/>
                <w:snapToGrid w:val="0"/>
                <w:color w:val="auto"/>
                <w:spacing w:val="-13"/>
                <w:kern w:val="0"/>
                <w:sz w:val="21"/>
                <w:szCs w:val="21"/>
                <w:lang w:val="en-US" w:eastAsia="en-US" w:bidi="ar-SA"/>
              </w:rPr>
              <w:t>设</w:t>
            </w:r>
            <w:r>
              <w:rPr>
                <w:rFonts w:hint="default" w:ascii="Times New Roman" w:hAnsi="Times New Roman" w:eastAsia="宋体" w:cs="Times New Roman"/>
                <w:snapToGrid w:val="0"/>
                <w:color w:val="auto"/>
                <w:spacing w:val="9"/>
                <w:kern w:val="0"/>
                <w:sz w:val="21"/>
                <w:szCs w:val="21"/>
                <w:lang w:val="en-US" w:eastAsia="en-US" w:bidi="ar-SA"/>
              </w:rPr>
              <w:t xml:space="preserve"> </w:t>
            </w:r>
            <w:r>
              <w:rPr>
                <w:rFonts w:hint="default" w:ascii="Times New Roman" w:hAnsi="Times New Roman" w:eastAsia="宋体" w:cs="Times New Roman"/>
                <w:snapToGrid w:val="0"/>
                <w:color w:val="auto"/>
                <w:spacing w:val="-13"/>
                <w:kern w:val="0"/>
                <w:sz w:val="21"/>
                <w:szCs w:val="21"/>
                <w:lang w:val="en-US" w:eastAsia="en-US" w:bidi="ar-SA"/>
              </w:rPr>
              <w:t>备</w:t>
            </w:r>
          </w:p>
        </w:tc>
        <w:tc>
          <w:tcPr>
            <w:tcW w:w="2178"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计</w:t>
            </w:r>
            <w:r>
              <w:rPr>
                <w:rFonts w:hint="default" w:ascii="Times New Roman" w:hAnsi="Times New Roman" w:eastAsia="宋体" w:cs="Times New Roman"/>
                <w:snapToGrid w:val="0"/>
                <w:color w:val="auto"/>
                <w:spacing w:val="10"/>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算</w:t>
            </w:r>
            <w:r>
              <w:rPr>
                <w:rFonts w:hint="default" w:ascii="Times New Roman" w:hAnsi="Times New Roman" w:eastAsia="宋体" w:cs="Times New Roman"/>
                <w:snapToGrid w:val="0"/>
                <w:color w:val="auto"/>
                <w:spacing w:val="11"/>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系</w:t>
            </w:r>
            <w:r>
              <w:rPr>
                <w:rFonts w:hint="default" w:ascii="Times New Roman" w:hAnsi="Times New Roman" w:eastAsia="宋体" w:cs="Times New Roman"/>
                <w:snapToGrid w:val="0"/>
                <w:color w:val="auto"/>
                <w:spacing w:val="8"/>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数</w:t>
            </w:r>
          </w:p>
        </w:tc>
        <w:tc>
          <w:tcPr>
            <w:tcW w:w="3210"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计</w:t>
            </w:r>
            <w:r>
              <w:rPr>
                <w:rFonts w:hint="default" w:ascii="Times New Roman" w:hAnsi="Times New Roman" w:eastAsia="宋体" w:cs="Times New Roman"/>
                <w:snapToGrid w:val="0"/>
                <w:color w:val="auto"/>
                <w:spacing w:val="10"/>
                <w:kern w:val="0"/>
                <w:sz w:val="21"/>
                <w:szCs w:val="21"/>
                <w:lang w:val="en-US" w:eastAsia="en-US" w:bidi="ar-SA"/>
              </w:rPr>
              <w:t xml:space="preserve"> </w:t>
            </w:r>
            <w:r>
              <w:rPr>
                <w:rFonts w:hint="default" w:ascii="Times New Roman" w:hAnsi="Times New Roman" w:eastAsia="宋体" w:cs="Times New Roman"/>
                <w:snapToGrid w:val="0"/>
                <w:color w:val="auto"/>
                <w:spacing w:val="-8"/>
                <w:kern w:val="0"/>
                <w:sz w:val="21"/>
                <w:szCs w:val="21"/>
                <w:lang w:val="en-US" w:eastAsia="en-US" w:bidi="ar-SA"/>
              </w:rPr>
              <w:t>算</w:t>
            </w:r>
            <w:r>
              <w:rPr>
                <w:rFonts w:hint="default" w:ascii="Times New Roman" w:hAnsi="Times New Roman" w:eastAsia="宋体" w:cs="Times New Roman"/>
                <w:snapToGrid w:val="0"/>
                <w:color w:val="auto"/>
                <w:spacing w:val="15"/>
                <w:kern w:val="0"/>
                <w:sz w:val="21"/>
                <w:szCs w:val="21"/>
                <w:lang w:val="en-US" w:eastAsia="en-US" w:bidi="ar-SA"/>
              </w:rPr>
              <w:t xml:space="preserve"> </w:t>
            </w:r>
            <w:r>
              <w:rPr>
                <w:rFonts w:hint="default" w:ascii="Times New Roman" w:hAnsi="Times New Roman" w:eastAsia="宋体" w:cs="Times New Roman"/>
                <w:snapToGrid w:val="0"/>
                <w:color w:val="auto"/>
                <w:spacing w:val="-8"/>
                <w:kern w:val="0"/>
                <w:sz w:val="21"/>
                <w:szCs w:val="21"/>
                <w:lang w:val="en-US" w:eastAsia="en-US" w:bidi="ar-SA"/>
              </w:rPr>
              <w:t>负</w:t>
            </w:r>
            <w:r>
              <w:rPr>
                <w:rFonts w:hint="default" w:ascii="Times New Roman" w:hAnsi="Times New Roman" w:eastAsia="宋体" w:cs="Times New Roman"/>
                <w:snapToGrid w:val="0"/>
                <w:color w:val="auto"/>
                <w:spacing w:val="5"/>
                <w:kern w:val="0"/>
                <w:sz w:val="21"/>
                <w:szCs w:val="21"/>
                <w:lang w:val="en-US" w:eastAsia="en-US" w:bidi="ar-SA"/>
              </w:rPr>
              <w:t xml:space="preserve"> </w:t>
            </w:r>
            <w:r>
              <w:rPr>
                <w:rFonts w:hint="default" w:ascii="Times New Roman" w:hAnsi="Times New Roman" w:eastAsia="宋体" w:cs="Times New Roman"/>
                <w:snapToGrid w:val="0"/>
                <w:color w:val="auto"/>
                <w:spacing w:val="-8"/>
                <w:kern w:val="0"/>
                <w:sz w:val="21"/>
                <w:szCs w:val="21"/>
                <w:lang w:val="en-US" w:eastAsia="en-US" w:bidi="ar-SA"/>
              </w:rPr>
              <w:t>荷</w:t>
            </w:r>
          </w:p>
        </w:tc>
        <w:tc>
          <w:tcPr>
            <w:tcW w:w="127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备</w:t>
            </w:r>
            <w:r>
              <w:rPr>
                <w:rFonts w:hint="default" w:ascii="Times New Roman" w:hAnsi="Times New Roman" w:eastAsia="宋体" w:cs="Times New Roman"/>
                <w:snapToGrid w:val="0"/>
                <w:color w:val="auto"/>
                <w:spacing w:val="2"/>
                <w:kern w:val="0"/>
                <w:sz w:val="21"/>
                <w:szCs w:val="21"/>
                <w:lang w:val="en-US" w:eastAsia="en-US" w:bidi="ar-SA"/>
              </w:rPr>
              <w:t xml:space="preserve">    </w:t>
            </w:r>
            <w:r>
              <w:rPr>
                <w:rFonts w:hint="default" w:ascii="Times New Roman" w:hAnsi="Times New Roman" w:eastAsia="宋体" w:cs="Times New Roman"/>
                <w:snapToGrid w:val="0"/>
                <w:color w:val="auto"/>
                <w:spacing w:val="-5"/>
                <w:kern w:val="0"/>
                <w:sz w:val="21"/>
                <w:szCs w:val="21"/>
                <w:lang w:val="en-US" w:eastAsia="en-US" w:bidi="ar-SA"/>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jc w:val="center"/>
        </w:trPr>
        <w:tc>
          <w:tcPr>
            <w:tcW w:w="921" w:type="dxa"/>
            <w:vMerge w:val="continue"/>
            <w:tcBorders>
              <w:top w:val="nil"/>
              <w:bottom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3157"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377"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数量（台）</w:t>
            </w:r>
          </w:p>
        </w:tc>
        <w:tc>
          <w:tcPr>
            <w:tcW w:w="2063"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容量（kW）</w:t>
            </w:r>
          </w:p>
        </w:tc>
        <w:tc>
          <w:tcPr>
            <w:tcW w:w="68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Kx</w:t>
            </w:r>
          </w:p>
        </w:tc>
        <w:tc>
          <w:tcPr>
            <w:tcW w:w="801"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COSφ</w:t>
            </w:r>
          </w:p>
        </w:tc>
        <w:tc>
          <w:tcPr>
            <w:tcW w:w="688"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Tgφ</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P</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Q</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S</w:t>
            </w:r>
          </w:p>
        </w:tc>
        <w:tc>
          <w:tcPr>
            <w:tcW w:w="1272"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921" w:type="dxa"/>
            <w:vMerge w:val="continue"/>
            <w:tcBorders>
              <w:top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3157"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安装</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工作</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安装</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工作</w:t>
            </w:r>
          </w:p>
        </w:tc>
        <w:tc>
          <w:tcPr>
            <w:tcW w:w="68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（kW）</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（kvar）</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（kVA）</w:t>
            </w:r>
          </w:p>
        </w:tc>
        <w:tc>
          <w:tcPr>
            <w:tcW w:w="127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33</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矿浆输送泵</w:t>
            </w:r>
            <w:r>
              <w:rPr>
                <w:rFonts w:hint="default" w:ascii="Times New Roman" w:hAnsi="Times New Roman" w:eastAsia="宋体" w:cs="Times New Roman"/>
                <w:snapToGrid w:val="0"/>
                <w:color w:val="auto"/>
                <w:spacing w:val="-39"/>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25PNJ</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12.00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5.10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3.16</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6.00</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变频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34</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SF-0.15</w:t>
            </w:r>
            <w:r>
              <w:rPr>
                <w:rFonts w:hint="default" w:ascii="Times New Roman" w:hAnsi="Times New Roman" w:eastAsia="宋体" w:cs="Times New Roman"/>
                <w:snapToGrid w:val="0"/>
                <w:color w:val="auto"/>
                <w:spacing w:val="-40"/>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浮选机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27</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27</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59.40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59.40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0.90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53.46</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40.10</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66.83</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35</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1800×4000</w:t>
            </w:r>
            <w:r>
              <w:rPr>
                <w:rFonts w:hint="default" w:ascii="Times New Roman" w:hAnsi="Times New Roman" w:eastAsia="宋体" w:cs="Times New Roman"/>
                <w:snapToGrid w:val="0"/>
                <w:color w:val="auto"/>
                <w:spacing w:val="-39"/>
                <w:kern w:val="0"/>
                <w:sz w:val="21"/>
                <w:szCs w:val="21"/>
                <w:lang w:val="en-US" w:eastAsia="en-US" w:bidi="ar-SA"/>
              </w:rPr>
              <w:t xml:space="preserve"> </w:t>
            </w:r>
            <w:r>
              <w:rPr>
                <w:rFonts w:hint="default" w:ascii="Times New Roman" w:hAnsi="Times New Roman" w:eastAsia="宋体" w:cs="Times New Roman"/>
                <w:snapToGrid w:val="0"/>
                <w:color w:val="auto"/>
                <w:spacing w:val="-3"/>
                <w:kern w:val="0"/>
                <w:sz w:val="21"/>
                <w:szCs w:val="21"/>
                <w:lang w:val="en-US" w:eastAsia="en-US" w:bidi="ar-SA"/>
              </w:rPr>
              <w:t>枱浮床</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6.80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6.80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1.02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4.08</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4.16</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5.83</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36</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渣浆泵</w:t>
            </w:r>
            <w:r>
              <w:rPr>
                <w:rFonts w:hint="default" w:ascii="Times New Roman" w:hAnsi="Times New Roman" w:eastAsia="宋体" w:cs="Times New Roman"/>
                <w:snapToGrid w:val="0"/>
                <w:color w:val="auto"/>
                <w:spacing w:val="-36"/>
                <w:kern w:val="0"/>
                <w:sz w:val="21"/>
                <w:szCs w:val="21"/>
                <w:lang w:val="en-US" w:eastAsia="en-US" w:bidi="ar-SA"/>
              </w:rPr>
              <w:t xml:space="preserve"> </w:t>
            </w:r>
            <w:r>
              <w:rPr>
                <w:rFonts w:hint="default" w:ascii="Times New Roman" w:hAnsi="Times New Roman" w:eastAsia="宋体" w:cs="Times New Roman"/>
                <w:snapToGrid w:val="0"/>
                <w:color w:val="auto"/>
                <w:spacing w:val="-3"/>
                <w:kern w:val="0"/>
                <w:sz w:val="21"/>
                <w:szCs w:val="21"/>
                <w:lang w:val="en-US" w:eastAsia="en-US" w:bidi="ar-SA"/>
              </w:rPr>
              <w:t>25PNJ</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6</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18.00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7.65</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4.74</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9.00</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变频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37</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6-S</w:t>
            </w:r>
            <w:r>
              <w:rPr>
                <w:rFonts w:hint="default" w:ascii="Times New Roman" w:hAnsi="Times New Roman" w:eastAsia="宋体" w:cs="Times New Roman"/>
                <w:snapToGrid w:val="0"/>
                <w:color w:val="auto"/>
                <w:spacing w:val="-37"/>
                <w:kern w:val="0"/>
                <w:sz w:val="21"/>
                <w:szCs w:val="21"/>
                <w:lang w:val="en-US" w:eastAsia="en-US" w:bidi="ar-SA"/>
              </w:rPr>
              <w:t xml:space="preserve"> </w:t>
            </w:r>
            <w:r>
              <w:rPr>
                <w:rFonts w:hint="default" w:ascii="Times New Roman" w:hAnsi="Times New Roman" w:eastAsia="宋体" w:cs="Times New Roman"/>
                <w:snapToGrid w:val="0"/>
                <w:color w:val="auto"/>
                <w:spacing w:val="-4"/>
                <w:kern w:val="0"/>
                <w:sz w:val="21"/>
                <w:szCs w:val="21"/>
                <w:lang w:val="en-US" w:eastAsia="en-US" w:bidi="ar-SA"/>
              </w:rPr>
              <w:t>型摇床</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3.30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3.30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1.02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1.98</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2.02</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2.83</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变频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38</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DU-2m2</w:t>
            </w:r>
            <w:r>
              <w:rPr>
                <w:rFonts w:hint="default" w:ascii="Times New Roman" w:hAnsi="Times New Roman" w:eastAsia="宋体" w:cs="Times New Roman"/>
                <w:snapToGrid w:val="0"/>
                <w:color w:val="auto"/>
                <w:spacing w:val="-42"/>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水平真空带式过滤机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0.88</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21.00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18.48</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27.97</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39</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单层连续式微波干燥设备</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45.00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45.00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0.95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0.33</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36.00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11.88</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37.91</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40</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GXJ815</w:t>
            </w:r>
            <w:r>
              <w:rPr>
                <w:rFonts w:hint="default" w:ascii="Times New Roman" w:hAnsi="Times New Roman" w:eastAsia="宋体" w:cs="Times New Roman"/>
                <w:snapToGrid w:val="0"/>
                <w:color w:val="auto"/>
                <w:spacing w:val="-39"/>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磁选机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15.00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15.00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1.02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9.00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9.18</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12.86</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41</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NZS2.5</w:t>
            </w:r>
            <w:r>
              <w:rPr>
                <w:rFonts w:hint="default" w:ascii="Times New Roman" w:hAnsi="Times New Roman" w:eastAsia="宋体" w:cs="Times New Roman"/>
                <w:snapToGrid w:val="0"/>
                <w:color w:val="auto"/>
                <w:spacing w:val="-44"/>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浓缩机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1.10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1.10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1.02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0.66</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0.67</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0.94</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42</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TC-4</w:t>
            </w:r>
            <w:r>
              <w:rPr>
                <w:rFonts w:hint="default" w:ascii="Times New Roman" w:hAnsi="Times New Roman" w:eastAsia="宋体" w:cs="Times New Roman"/>
                <w:snapToGrid w:val="0"/>
                <w:color w:val="auto"/>
                <w:spacing w:val="-31"/>
                <w:kern w:val="0"/>
                <w:sz w:val="21"/>
                <w:szCs w:val="21"/>
                <w:lang w:val="en-US" w:eastAsia="en-US" w:bidi="ar-SA"/>
              </w:rPr>
              <w:t xml:space="preserve"> </w:t>
            </w:r>
            <w:r>
              <w:rPr>
                <w:rFonts w:hint="default" w:ascii="Times New Roman" w:hAnsi="Times New Roman" w:eastAsia="宋体" w:cs="Times New Roman"/>
                <w:snapToGrid w:val="0"/>
                <w:color w:val="auto"/>
                <w:spacing w:val="-3"/>
                <w:kern w:val="0"/>
                <w:sz w:val="21"/>
                <w:szCs w:val="21"/>
                <w:lang w:val="en-US" w:eastAsia="en-US" w:bidi="ar-SA"/>
              </w:rPr>
              <w:t>陶瓷过滤机</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10.00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10.00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0.88</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7.00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6.16</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9.32</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43</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40P-SP</w:t>
            </w:r>
            <w:r>
              <w:rPr>
                <w:rFonts w:hint="default" w:ascii="Times New Roman" w:hAnsi="Times New Roman" w:eastAsia="宋体" w:cs="Times New Roman"/>
                <w:snapToGrid w:val="0"/>
                <w:color w:val="auto"/>
                <w:spacing w:val="-41"/>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液下泵</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6</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6</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45.00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45.00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0.40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18.00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13.50</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22.50</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44</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∅1000</w:t>
            </w:r>
            <w:r>
              <w:rPr>
                <w:rFonts w:hint="default" w:ascii="Times New Roman" w:hAnsi="Times New Roman" w:eastAsia="宋体" w:cs="Times New Roman"/>
                <w:snapToGrid w:val="0"/>
                <w:color w:val="auto"/>
                <w:spacing w:val="-36"/>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药剂搅拌槽</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1.02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3.60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3.67</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5.14</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45</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电动单梁起重机（Q=10t）</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17.60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17.60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0.50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8.80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5.46</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10.35</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46</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电动单梁起重机（Q=5t）</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6</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6</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59.40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59.40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0.30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17.82</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11.05</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20.97</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（11）</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废石仓</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11#胶带运输机</w:t>
            </w:r>
            <w:r>
              <w:rPr>
                <w:rFonts w:hint="default" w:ascii="Times New Roman" w:hAnsi="Times New Roman" w:eastAsia="宋体" w:cs="Times New Roman"/>
                <w:snapToGrid w:val="0"/>
                <w:color w:val="auto"/>
                <w:spacing w:val="-40"/>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TD75-6550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11.00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11.00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0.88</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7.15</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6.29</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9.52</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TDSZ-40 电液动扇形闸门</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1.50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1.50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0.30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0.45</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0.28</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0.53</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921" w:type="dxa"/>
            <w:vMerge w:val="restart"/>
            <w:tcBorders>
              <w:bottom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序  号</w:t>
            </w:r>
          </w:p>
        </w:tc>
        <w:tc>
          <w:tcPr>
            <w:tcW w:w="3157"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用电设备组名称</w:t>
            </w:r>
          </w:p>
        </w:tc>
        <w:tc>
          <w:tcPr>
            <w:tcW w:w="3440" w:type="dxa"/>
            <w:gridSpan w:val="4"/>
            <w:vAlign w:val="center"/>
          </w:tcPr>
          <w:p>
            <w:pPr>
              <w:keepNext w:val="0"/>
              <w:keepLines w:val="0"/>
              <w:pageBreakBefore w:val="0"/>
              <w:widowControl/>
              <w:kinsoku w:val="0"/>
              <w:wordWrap/>
              <w:overflowPunct/>
              <w:topLinePunct w:val="0"/>
              <w:autoSpaceDE w:val="0"/>
              <w:autoSpaceDN w:val="0"/>
              <w:bidi w:val="0"/>
              <w:adjustRightInd w:val="0"/>
              <w:snapToGrid w:val="0"/>
              <w:spacing w:before="0" w:line="5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3"/>
                <w:kern w:val="0"/>
                <w:sz w:val="21"/>
                <w:szCs w:val="21"/>
                <w:lang w:val="en-US" w:eastAsia="en-US" w:bidi="ar-SA"/>
              </w:rPr>
              <w:t>用</w:t>
            </w:r>
            <w:r>
              <w:rPr>
                <w:rFonts w:hint="default" w:ascii="Times New Roman" w:hAnsi="Times New Roman" w:eastAsia="宋体" w:cs="Times New Roman"/>
                <w:snapToGrid w:val="0"/>
                <w:color w:val="auto"/>
                <w:spacing w:val="33"/>
                <w:kern w:val="0"/>
                <w:sz w:val="21"/>
                <w:szCs w:val="21"/>
                <w:lang w:val="en-US" w:eastAsia="en-US" w:bidi="ar-SA"/>
              </w:rPr>
              <w:t xml:space="preserve"> </w:t>
            </w:r>
            <w:r>
              <w:rPr>
                <w:rFonts w:hint="default" w:ascii="Times New Roman" w:hAnsi="Times New Roman" w:eastAsia="宋体" w:cs="Times New Roman"/>
                <w:snapToGrid w:val="0"/>
                <w:color w:val="auto"/>
                <w:spacing w:val="-13"/>
                <w:kern w:val="0"/>
                <w:sz w:val="21"/>
                <w:szCs w:val="21"/>
                <w:lang w:val="en-US" w:eastAsia="en-US" w:bidi="ar-SA"/>
              </w:rPr>
              <w:t>电</w:t>
            </w:r>
            <w:r>
              <w:rPr>
                <w:rFonts w:hint="default" w:ascii="Times New Roman" w:hAnsi="Times New Roman" w:eastAsia="宋体" w:cs="Times New Roman"/>
                <w:snapToGrid w:val="0"/>
                <w:color w:val="auto"/>
                <w:spacing w:val="10"/>
                <w:kern w:val="0"/>
                <w:sz w:val="21"/>
                <w:szCs w:val="21"/>
                <w:lang w:val="en-US" w:eastAsia="en-US" w:bidi="ar-SA"/>
              </w:rPr>
              <w:t xml:space="preserve"> </w:t>
            </w:r>
            <w:r>
              <w:rPr>
                <w:rFonts w:hint="default" w:ascii="Times New Roman" w:hAnsi="Times New Roman" w:eastAsia="宋体" w:cs="Times New Roman"/>
                <w:snapToGrid w:val="0"/>
                <w:color w:val="auto"/>
                <w:spacing w:val="-13"/>
                <w:kern w:val="0"/>
                <w:sz w:val="21"/>
                <w:szCs w:val="21"/>
                <w:lang w:val="en-US" w:eastAsia="en-US" w:bidi="ar-SA"/>
              </w:rPr>
              <w:t>设</w:t>
            </w:r>
            <w:r>
              <w:rPr>
                <w:rFonts w:hint="default" w:ascii="Times New Roman" w:hAnsi="Times New Roman" w:eastAsia="宋体" w:cs="Times New Roman"/>
                <w:snapToGrid w:val="0"/>
                <w:color w:val="auto"/>
                <w:spacing w:val="9"/>
                <w:kern w:val="0"/>
                <w:sz w:val="21"/>
                <w:szCs w:val="21"/>
                <w:lang w:val="en-US" w:eastAsia="en-US" w:bidi="ar-SA"/>
              </w:rPr>
              <w:t xml:space="preserve"> </w:t>
            </w:r>
            <w:r>
              <w:rPr>
                <w:rFonts w:hint="default" w:ascii="Times New Roman" w:hAnsi="Times New Roman" w:eastAsia="宋体" w:cs="Times New Roman"/>
                <w:snapToGrid w:val="0"/>
                <w:color w:val="auto"/>
                <w:spacing w:val="-13"/>
                <w:kern w:val="0"/>
                <w:sz w:val="21"/>
                <w:szCs w:val="21"/>
                <w:lang w:val="en-US" w:eastAsia="en-US" w:bidi="ar-SA"/>
              </w:rPr>
              <w:t>备</w:t>
            </w:r>
          </w:p>
        </w:tc>
        <w:tc>
          <w:tcPr>
            <w:tcW w:w="2178"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before="0" w:line="5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计</w:t>
            </w:r>
            <w:r>
              <w:rPr>
                <w:rFonts w:hint="default" w:ascii="Times New Roman" w:hAnsi="Times New Roman" w:eastAsia="宋体" w:cs="Times New Roman"/>
                <w:snapToGrid w:val="0"/>
                <w:color w:val="auto"/>
                <w:spacing w:val="10"/>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算</w:t>
            </w:r>
            <w:r>
              <w:rPr>
                <w:rFonts w:hint="default" w:ascii="Times New Roman" w:hAnsi="Times New Roman" w:eastAsia="宋体" w:cs="Times New Roman"/>
                <w:snapToGrid w:val="0"/>
                <w:color w:val="auto"/>
                <w:spacing w:val="11"/>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系</w:t>
            </w:r>
            <w:r>
              <w:rPr>
                <w:rFonts w:hint="default" w:ascii="Times New Roman" w:hAnsi="Times New Roman" w:eastAsia="宋体" w:cs="Times New Roman"/>
                <w:snapToGrid w:val="0"/>
                <w:color w:val="auto"/>
                <w:spacing w:val="8"/>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数</w:t>
            </w:r>
          </w:p>
        </w:tc>
        <w:tc>
          <w:tcPr>
            <w:tcW w:w="3210"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before="0" w:line="5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计</w:t>
            </w:r>
            <w:r>
              <w:rPr>
                <w:rFonts w:hint="default" w:ascii="Times New Roman" w:hAnsi="Times New Roman" w:eastAsia="宋体" w:cs="Times New Roman"/>
                <w:snapToGrid w:val="0"/>
                <w:color w:val="auto"/>
                <w:spacing w:val="10"/>
                <w:kern w:val="0"/>
                <w:sz w:val="21"/>
                <w:szCs w:val="21"/>
                <w:lang w:val="en-US" w:eastAsia="en-US" w:bidi="ar-SA"/>
              </w:rPr>
              <w:t xml:space="preserve"> </w:t>
            </w:r>
            <w:r>
              <w:rPr>
                <w:rFonts w:hint="default" w:ascii="Times New Roman" w:hAnsi="Times New Roman" w:eastAsia="宋体" w:cs="Times New Roman"/>
                <w:snapToGrid w:val="0"/>
                <w:color w:val="auto"/>
                <w:spacing w:val="-8"/>
                <w:kern w:val="0"/>
                <w:sz w:val="21"/>
                <w:szCs w:val="21"/>
                <w:lang w:val="en-US" w:eastAsia="en-US" w:bidi="ar-SA"/>
              </w:rPr>
              <w:t>算</w:t>
            </w:r>
            <w:r>
              <w:rPr>
                <w:rFonts w:hint="default" w:ascii="Times New Roman" w:hAnsi="Times New Roman" w:eastAsia="宋体" w:cs="Times New Roman"/>
                <w:snapToGrid w:val="0"/>
                <w:color w:val="auto"/>
                <w:spacing w:val="15"/>
                <w:kern w:val="0"/>
                <w:sz w:val="21"/>
                <w:szCs w:val="21"/>
                <w:lang w:val="en-US" w:eastAsia="en-US" w:bidi="ar-SA"/>
              </w:rPr>
              <w:t xml:space="preserve"> </w:t>
            </w:r>
            <w:r>
              <w:rPr>
                <w:rFonts w:hint="default" w:ascii="Times New Roman" w:hAnsi="Times New Roman" w:eastAsia="宋体" w:cs="Times New Roman"/>
                <w:snapToGrid w:val="0"/>
                <w:color w:val="auto"/>
                <w:spacing w:val="-8"/>
                <w:kern w:val="0"/>
                <w:sz w:val="21"/>
                <w:szCs w:val="21"/>
                <w:lang w:val="en-US" w:eastAsia="en-US" w:bidi="ar-SA"/>
              </w:rPr>
              <w:t>负</w:t>
            </w:r>
            <w:r>
              <w:rPr>
                <w:rFonts w:hint="default" w:ascii="Times New Roman" w:hAnsi="Times New Roman" w:eastAsia="宋体" w:cs="Times New Roman"/>
                <w:snapToGrid w:val="0"/>
                <w:color w:val="auto"/>
                <w:spacing w:val="5"/>
                <w:kern w:val="0"/>
                <w:sz w:val="21"/>
                <w:szCs w:val="21"/>
                <w:lang w:val="en-US" w:eastAsia="en-US" w:bidi="ar-SA"/>
              </w:rPr>
              <w:t xml:space="preserve"> </w:t>
            </w:r>
            <w:r>
              <w:rPr>
                <w:rFonts w:hint="default" w:ascii="Times New Roman" w:hAnsi="Times New Roman" w:eastAsia="宋体" w:cs="Times New Roman"/>
                <w:snapToGrid w:val="0"/>
                <w:color w:val="auto"/>
                <w:spacing w:val="-8"/>
                <w:kern w:val="0"/>
                <w:sz w:val="21"/>
                <w:szCs w:val="21"/>
                <w:lang w:val="en-US" w:eastAsia="en-US" w:bidi="ar-SA"/>
              </w:rPr>
              <w:t>荷</w:t>
            </w:r>
          </w:p>
        </w:tc>
        <w:tc>
          <w:tcPr>
            <w:tcW w:w="127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5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备</w:t>
            </w:r>
            <w:r>
              <w:rPr>
                <w:rFonts w:hint="default" w:ascii="Times New Roman" w:hAnsi="Times New Roman" w:eastAsia="宋体" w:cs="Times New Roman"/>
                <w:snapToGrid w:val="0"/>
                <w:color w:val="auto"/>
                <w:spacing w:val="2"/>
                <w:kern w:val="0"/>
                <w:sz w:val="21"/>
                <w:szCs w:val="21"/>
                <w:lang w:val="en-US" w:eastAsia="en-US" w:bidi="ar-SA"/>
              </w:rPr>
              <w:t xml:space="preserve">    </w:t>
            </w:r>
            <w:r>
              <w:rPr>
                <w:rFonts w:hint="default" w:ascii="Times New Roman" w:hAnsi="Times New Roman" w:eastAsia="宋体" w:cs="Times New Roman"/>
                <w:snapToGrid w:val="0"/>
                <w:color w:val="auto"/>
                <w:spacing w:val="-5"/>
                <w:kern w:val="0"/>
                <w:sz w:val="21"/>
                <w:szCs w:val="21"/>
                <w:lang w:val="en-US" w:eastAsia="en-US" w:bidi="ar-SA"/>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921" w:type="dxa"/>
            <w:vMerge w:val="continue"/>
            <w:tcBorders>
              <w:top w:val="nil"/>
              <w:bottom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3157"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377"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before="0" w:line="5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数量（台）</w:t>
            </w:r>
          </w:p>
        </w:tc>
        <w:tc>
          <w:tcPr>
            <w:tcW w:w="2063"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before="0" w:line="5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容量（kW）</w:t>
            </w:r>
          </w:p>
        </w:tc>
        <w:tc>
          <w:tcPr>
            <w:tcW w:w="68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5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Kx</w:t>
            </w:r>
          </w:p>
        </w:tc>
        <w:tc>
          <w:tcPr>
            <w:tcW w:w="801"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5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COSφ</w:t>
            </w:r>
          </w:p>
        </w:tc>
        <w:tc>
          <w:tcPr>
            <w:tcW w:w="688"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5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Tgφ</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5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P</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5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Q</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5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S</w:t>
            </w:r>
          </w:p>
        </w:tc>
        <w:tc>
          <w:tcPr>
            <w:tcW w:w="1272"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5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921" w:type="dxa"/>
            <w:vMerge w:val="continue"/>
            <w:tcBorders>
              <w:top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3157"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安装</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5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工作</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5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安装</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5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工作</w:t>
            </w:r>
          </w:p>
        </w:tc>
        <w:tc>
          <w:tcPr>
            <w:tcW w:w="68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5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5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5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5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（kW）</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5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（kvar）</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5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（kVA）</w:t>
            </w:r>
          </w:p>
        </w:tc>
        <w:tc>
          <w:tcPr>
            <w:tcW w:w="127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5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电动葫芦</w:t>
            </w:r>
            <w:r>
              <w:rPr>
                <w:rFonts w:hint="default" w:ascii="Times New Roman" w:hAnsi="Times New Roman" w:eastAsia="宋体" w:cs="Times New Roman"/>
                <w:snapToGrid w:val="0"/>
                <w:color w:val="auto"/>
                <w:spacing w:val="-45"/>
                <w:kern w:val="0"/>
                <w:sz w:val="21"/>
                <w:szCs w:val="21"/>
                <w:lang w:val="en-US" w:eastAsia="en-US" w:bidi="ar-SA"/>
              </w:rPr>
              <w:t xml:space="preserve"> </w:t>
            </w:r>
            <w:r>
              <w:rPr>
                <w:rFonts w:hint="default" w:ascii="Times New Roman" w:hAnsi="Times New Roman" w:eastAsia="宋体" w:cs="Times New Roman"/>
                <w:snapToGrid w:val="0"/>
                <w:color w:val="auto"/>
                <w:spacing w:val="-3"/>
                <w:kern w:val="0"/>
                <w:sz w:val="21"/>
                <w:szCs w:val="21"/>
                <w:lang w:val="en-US" w:eastAsia="en-US" w:bidi="ar-SA"/>
              </w:rPr>
              <w:t>MD12-24D</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3.80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3.80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0.30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1.14</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0.71</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1.34</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（12）</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照明及其它</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51.00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31.62</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60.01</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小计</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202</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192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1509.60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1447.90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945.40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738.05</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1199.37</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乘同时系数</w:t>
            </w:r>
            <w:r>
              <w:rPr>
                <w:rFonts w:hint="default" w:ascii="Times New Roman" w:hAnsi="Times New Roman" w:eastAsia="宋体" w:cs="Times New Roman"/>
                <w:snapToGrid w:val="0"/>
                <w:color w:val="auto"/>
                <w:spacing w:val="-34"/>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0.9，0.93</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850.86</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686.39</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1093.20</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补偿</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-350.00</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补偿后</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0.93</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850.86</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336.39</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914.94</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2×630kVA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变损</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9.15</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45.75</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折算至</w:t>
            </w:r>
            <w:r>
              <w:rPr>
                <w:rFonts w:hint="default" w:ascii="Times New Roman" w:hAnsi="Times New Roman" w:eastAsia="宋体" w:cs="Times New Roman"/>
                <w:snapToGrid w:val="0"/>
                <w:color w:val="auto"/>
                <w:spacing w:val="-22"/>
                <w:kern w:val="0"/>
                <w:sz w:val="21"/>
                <w:szCs w:val="21"/>
                <w:lang w:val="en-US" w:eastAsia="en-US" w:bidi="ar-SA"/>
              </w:rPr>
              <w:t xml:space="preserve"> </w:t>
            </w:r>
            <w:r>
              <w:rPr>
                <w:rFonts w:hint="default" w:ascii="Times New Roman" w:hAnsi="Times New Roman" w:eastAsia="宋体" w:cs="Times New Roman"/>
                <w:snapToGrid w:val="0"/>
                <w:color w:val="auto"/>
                <w:spacing w:val="-5"/>
                <w:kern w:val="0"/>
                <w:sz w:val="21"/>
                <w:szCs w:val="21"/>
                <w:lang w:val="en-US" w:eastAsia="en-US" w:bidi="ar-SA"/>
              </w:rPr>
              <w:t>10kV</w:t>
            </w:r>
            <w:r>
              <w:rPr>
                <w:rFonts w:hint="default" w:ascii="Times New Roman" w:hAnsi="Times New Roman" w:eastAsia="宋体" w:cs="Times New Roman"/>
                <w:snapToGrid w:val="0"/>
                <w:color w:val="auto"/>
                <w:spacing w:val="-46"/>
                <w:kern w:val="0"/>
                <w:sz w:val="21"/>
                <w:szCs w:val="21"/>
                <w:lang w:val="en-US" w:eastAsia="en-US" w:bidi="ar-SA"/>
              </w:rPr>
              <w:t xml:space="preserve"> </w:t>
            </w:r>
            <w:r>
              <w:rPr>
                <w:rFonts w:hint="default" w:ascii="Times New Roman" w:hAnsi="Times New Roman" w:eastAsia="宋体" w:cs="Times New Roman"/>
                <w:snapToGrid w:val="0"/>
                <w:color w:val="auto"/>
                <w:spacing w:val="-5"/>
                <w:kern w:val="0"/>
                <w:sz w:val="21"/>
                <w:szCs w:val="21"/>
                <w:lang w:val="en-US" w:eastAsia="en-US" w:bidi="ar-SA"/>
              </w:rPr>
              <w:t>侧</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0.91</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860.00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382.13</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941.08</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14:textOutline w14:w="3835" w14:cap="flat" w14:cmpd="sng">
                  <w14:solidFill>
                    <w14:srgbClr w14:val="000000"/>
                  </w14:solidFill>
                  <w14:prstDash w14:val="solid"/>
                  <w14:miter w14:val="0"/>
                </w14:textOutline>
              </w:rPr>
              <w:t>（二）</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14:textOutline w14:w="3835" w14:cap="flat" w14:cmpd="sng">
                  <w14:solidFill>
                    <w14:srgbClr w14:val="000000"/>
                  </w14:solidFill>
                  <w14:prstDash w14:val="solid"/>
                  <w14:miter w14:val="0"/>
                </w14:textOutline>
              </w:rPr>
              <w:t>水源地泵房变电所</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多级离心泵</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180.00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90.00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72.00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54.00</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90.00</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变频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潜水排污泵</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15.00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7.50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0.75</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4.50</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7.50</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电动葫芦</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3.40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3.40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0.30</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1.02</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0.63</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1.20</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照明及其它</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10.00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10.00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0.85</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0.62</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8.50</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5.27</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10.00</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小计</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5</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208.40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110.90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87.52</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64.40</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108.66</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1×160kVA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变损</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1.09</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5.43</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60" w:lineRule="exact"/>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折算至</w:t>
            </w:r>
            <w:r>
              <w:rPr>
                <w:rFonts w:hint="default" w:ascii="Times New Roman" w:hAnsi="Times New Roman" w:eastAsia="宋体" w:cs="Times New Roman"/>
                <w:snapToGrid w:val="0"/>
                <w:color w:val="auto"/>
                <w:spacing w:val="-22"/>
                <w:kern w:val="0"/>
                <w:sz w:val="21"/>
                <w:szCs w:val="21"/>
                <w:lang w:val="en-US" w:eastAsia="en-US" w:bidi="ar-SA"/>
              </w:rPr>
              <w:t xml:space="preserve"> </w:t>
            </w:r>
            <w:r>
              <w:rPr>
                <w:rFonts w:hint="default" w:ascii="Times New Roman" w:hAnsi="Times New Roman" w:eastAsia="宋体" w:cs="Times New Roman"/>
                <w:snapToGrid w:val="0"/>
                <w:color w:val="auto"/>
                <w:spacing w:val="-5"/>
                <w:kern w:val="0"/>
                <w:sz w:val="21"/>
                <w:szCs w:val="21"/>
                <w:lang w:val="en-US" w:eastAsia="en-US" w:bidi="ar-SA"/>
              </w:rPr>
              <w:t>10kV</w:t>
            </w:r>
            <w:r>
              <w:rPr>
                <w:rFonts w:hint="default" w:ascii="Times New Roman" w:hAnsi="Times New Roman" w:eastAsia="宋体" w:cs="Times New Roman"/>
                <w:snapToGrid w:val="0"/>
                <w:color w:val="auto"/>
                <w:spacing w:val="-46"/>
                <w:kern w:val="0"/>
                <w:sz w:val="21"/>
                <w:szCs w:val="21"/>
                <w:lang w:val="en-US" w:eastAsia="en-US" w:bidi="ar-SA"/>
              </w:rPr>
              <w:t xml:space="preserve"> </w:t>
            </w:r>
            <w:r>
              <w:rPr>
                <w:rFonts w:hint="default" w:ascii="Times New Roman" w:hAnsi="Times New Roman" w:eastAsia="宋体" w:cs="Times New Roman"/>
                <w:snapToGrid w:val="0"/>
                <w:color w:val="auto"/>
                <w:spacing w:val="-5"/>
                <w:kern w:val="0"/>
                <w:sz w:val="21"/>
                <w:szCs w:val="21"/>
                <w:lang w:val="en-US" w:eastAsia="en-US" w:bidi="ar-SA"/>
              </w:rPr>
              <w:t>侧</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0.79</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88.61</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69.84</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112.82</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9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14:textOutline w14:w="3835" w14:cap="flat" w14:cmpd="sng">
                  <w14:solidFill>
                    <w14:srgbClr w14:val="000000"/>
                  </w14:solidFill>
                  <w14:prstDash w14:val="solid"/>
                  <w14:miter w14:val="0"/>
                </w14:textOutline>
              </w:rPr>
              <w:t>（三）</w:t>
            </w:r>
          </w:p>
        </w:tc>
        <w:tc>
          <w:tcPr>
            <w:tcW w:w="31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14:textOutline w14:w="3835" w14:cap="flat" w14:cmpd="sng">
                  <w14:solidFill>
                    <w14:srgbClr w14:val="000000"/>
                  </w14:solidFill>
                  <w14:prstDash w14:val="solid"/>
                  <w14:miter w14:val="0"/>
                </w14:textOutline>
              </w:rPr>
              <w:t>选矿合计</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207</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195</w:t>
            </w: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1718.00</w:t>
            </w:r>
          </w:p>
        </w:tc>
        <w:tc>
          <w:tcPr>
            <w:tcW w:w="10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1558.80</w:t>
            </w:r>
          </w:p>
        </w:tc>
        <w:tc>
          <w:tcPr>
            <w:tcW w:w="68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0.90</w:t>
            </w:r>
          </w:p>
        </w:tc>
        <w:tc>
          <w:tcPr>
            <w:tcW w:w="6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948.61</w:t>
            </w:r>
          </w:p>
        </w:tc>
        <w:tc>
          <w:tcPr>
            <w:tcW w:w="11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451.97</w:t>
            </w:r>
          </w:p>
        </w:tc>
        <w:tc>
          <w:tcPr>
            <w:tcW w:w="103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1050.78</w:t>
            </w:r>
          </w:p>
        </w:tc>
        <w:tc>
          <w:tcPr>
            <w:tcW w:w="12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sectPr>
          <w:headerReference r:id="rId16" w:type="default"/>
          <w:footerReference r:id="rId17" w:type="default"/>
          <w:pgSz w:w="16839" w:h="11906" w:orient="landscape"/>
          <w:pgMar w:top="1417" w:right="1417" w:bottom="1417" w:left="1417" w:header="850" w:footer="992" w:gutter="0"/>
          <w:pgNumType w:fmt="decimal" w:start="35"/>
          <w:cols w:space="425" w:num="1"/>
          <w:rtlGutter w:val="0"/>
          <w:docGrid w:linePitch="312" w:charSpace="0"/>
        </w:sectPr>
      </w:pPr>
    </w:p>
    <w:p>
      <w:pPr>
        <w:bidi w:val="0"/>
        <w:rPr>
          <w:rFonts w:hint="default"/>
          <w:color w:val="auto"/>
          <w:lang w:val="en-US" w:eastAsia="zh-CN"/>
        </w:rPr>
      </w:pPr>
      <w:r>
        <w:rPr>
          <w:rFonts w:hint="eastAsia"/>
          <w:color w:val="auto"/>
          <w:lang w:val="en-US" w:eastAsia="zh-CN"/>
        </w:rPr>
        <w:t xml:space="preserve">2. </w:t>
      </w:r>
      <w:r>
        <w:rPr>
          <w:rFonts w:hint="default"/>
          <w:color w:val="auto"/>
          <w:lang w:val="en-US" w:eastAsia="zh-CN"/>
        </w:rPr>
        <w:t>供配电系统</w:t>
      </w:r>
    </w:p>
    <w:p>
      <w:pPr>
        <w:bidi w:val="0"/>
        <w:rPr>
          <w:rFonts w:hint="default"/>
          <w:color w:val="auto"/>
          <w:lang w:val="en-US" w:eastAsia="zh-CN"/>
        </w:rPr>
      </w:pPr>
      <w:r>
        <w:rPr>
          <w:rFonts w:hint="default"/>
          <w:color w:val="auto"/>
          <w:lang w:val="en-US" w:eastAsia="zh-CN"/>
        </w:rPr>
        <w:t>根据负荷容量、用电设备特性、供电距离、电源接入方案等因素确定本项目供电电压如下</w:t>
      </w:r>
      <w:r>
        <w:rPr>
          <w:rFonts w:hint="eastAsia"/>
          <w:color w:val="auto"/>
          <w:lang w:val="en-US" w:eastAsia="zh-CN"/>
        </w:rPr>
        <w:t>：</w:t>
      </w:r>
      <w:r>
        <w:rPr>
          <w:rFonts w:hint="default"/>
          <w:color w:val="auto"/>
          <w:lang w:val="en-US" w:eastAsia="zh-CN"/>
        </w:rPr>
        <w:t>高压供电电源电压为~10kv</w:t>
      </w:r>
      <w:r>
        <w:rPr>
          <w:rFonts w:hint="eastAsia"/>
          <w:color w:val="auto"/>
          <w:lang w:val="en-US" w:eastAsia="zh-CN"/>
        </w:rPr>
        <w:t>；</w:t>
      </w:r>
      <w:r>
        <w:rPr>
          <w:rFonts w:hint="default"/>
          <w:color w:val="auto"/>
          <w:lang w:val="en-US" w:eastAsia="zh-CN"/>
        </w:rPr>
        <w:t>高压配电系统电压为~10kV</w:t>
      </w:r>
      <w:r>
        <w:rPr>
          <w:rFonts w:hint="eastAsia"/>
          <w:color w:val="auto"/>
          <w:lang w:val="en-US" w:eastAsia="zh-CN"/>
        </w:rPr>
        <w:t>；</w:t>
      </w:r>
      <w:r>
        <w:rPr>
          <w:rFonts w:hint="default"/>
          <w:color w:val="auto"/>
          <w:lang w:val="en-US" w:eastAsia="zh-CN"/>
        </w:rPr>
        <w:t>低压配电系统电压为~380/220V</w:t>
      </w:r>
      <w:r>
        <w:rPr>
          <w:rFonts w:hint="eastAsia"/>
          <w:color w:val="auto"/>
          <w:lang w:val="en-US" w:eastAsia="zh-CN"/>
        </w:rPr>
        <w:t>；</w:t>
      </w:r>
      <w:r>
        <w:rPr>
          <w:rFonts w:hint="default"/>
          <w:color w:val="auto"/>
          <w:lang w:val="en-US" w:eastAsia="zh-CN"/>
        </w:rPr>
        <w:t>变配电所控制、保护、信号电源电压为~220V</w:t>
      </w:r>
      <w:r>
        <w:rPr>
          <w:rFonts w:hint="eastAsia"/>
          <w:color w:val="auto"/>
          <w:lang w:val="en-US" w:eastAsia="zh-CN"/>
        </w:rPr>
        <w:t>；</w:t>
      </w:r>
      <w:r>
        <w:rPr>
          <w:rFonts w:hint="default"/>
          <w:color w:val="auto"/>
          <w:lang w:val="en-US" w:eastAsia="zh-CN"/>
        </w:rPr>
        <w:t>地面照明及电动机控制电压为~220V。</w:t>
      </w:r>
    </w:p>
    <w:p>
      <w:pPr>
        <w:bidi w:val="0"/>
        <w:rPr>
          <w:rFonts w:hint="eastAsia"/>
          <w:color w:val="auto"/>
          <w:lang w:val="en-US" w:eastAsia="zh-CN"/>
        </w:rPr>
      </w:pPr>
      <w:r>
        <w:rPr>
          <w:rFonts w:hint="default"/>
          <w:color w:val="auto"/>
          <w:lang w:val="en-US" w:eastAsia="zh-CN"/>
        </w:rPr>
        <w:t>本工程在采矿工业场地地面+405m竖井井口平台设</w:t>
      </w:r>
      <w:r>
        <w:rPr>
          <w:rFonts w:hint="eastAsia"/>
          <w:color w:val="auto"/>
          <w:lang w:val="en-US" w:eastAsia="zh-CN"/>
        </w:rPr>
        <w:t>有</w:t>
      </w:r>
      <w:r>
        <w:rPr>
          <w:rFonts w:hint="default"/>
          <w:color w:val="auto"/>
          <w:lang w:val="en-US" w:eastAsia="zh-CN"/>
        </w:rPr>
        <w:t>一座10kV总配电所。由该配电所以10kV电缆对+320m变电所</w:t>
      </w:r>
      <w:r>
        <w:rPr>
          <w:rFonts w:hint="eastAsia"/>
          <w:color w:val="auto"/>
          <w:lang w:val="en-US" w:eastAsia="zh-CN"/>
        </w:rPr>
        <w:t>（</w:t>
      </w:r>
      <w:r>
        <w:rPr>
          <w:rFonts w:hint="default"/>
          <w:color w:val="auto"/>
          <w:lang w:val="en-US" w:eastAsia="zh-CN"/>
        </w:rPr>
        <w:t>含循环水泵房、尾矿库、水源地工业场地</w:t>
      </w:r>
      <w:r>
        <w:rPr>
          <w:rFonts w:hint="eastAsia"/>
          <w:color w:val="auto"/>
          <w:lang w:val="en-US" w:eastAsia="zh-CN"/>
        </w:rPr>
        <w:t>）</w:t>
      </w:r>
      <w:r>
        <w:rPr>
          <w:rFonts w:hint="default"/>
          <w:color w:val="auto"/>
          <w:lang w:val="en-US" w:eastAsia="zh-CN"/>
        </w:rPr>
        <w:t>、选厂工业场地供电</w:t>
      </w:r>
      <w:r>
        <w:rPr>
          <w:rFonts w:hint="eastAsia"/>
          <w:color w:val="auto"/>
          <w:lang w:val="en-US" w:eastAsia="zh-CN"/>
        </w:rPr>
        <w:t>。</w:t>
      </w:r>
    </w:p>
    <w:p>
      <w:pPr>
        <w:bidi w:val="0"/>
        <w:rPr>
          <w:rFonts w:hint="default"/>
          <w:color w:val="auto"/>
          <w:lang w:val="en-US" w:eastAsia="zh-CN"/>
        </w:rPr>
      </w:pPr>
      <w:r>
        <w:rPr>
          <w:rFonts w:hint="default"/>
          <w:color w:val="auto"/>
          <w:lang w:val="en-US" w:eastAsia="zh-CN"/>
        </w:rPr>
        <w:t>10kV侧为中性点不接地系统。</w:t>
      </w:r>
    </w:p>
    <w:p>
      <w:pPr>
        <w:bidi w:val="0"/>
        <w:rPr>
          <w:rFonts w:hint="eastAsia"/>
          <w:color w:val="auto"/>
          <w:lang w:val="en-US" w:eastAsia="zh-CN"/>
        </w:rPr>
      </w:pPr>
      <w:r>
        <w:rPr>
          <w:rFonts w:hint="eastAsia"/>
          <w:color w:val="auto"/>
          <w:lang w:val="en-US" w:eastAsia="zh-CN"/>
        </w:rPr>
        <w:t>3. 继电保护</w:t>
      </w:r>
    </w:p>
    <w:p>
      <w:pPr>
        <w:bidi w:val="0"/>
        <w:rPr>
          <w:rFonts w:hint="default"/>
          <w:color w:val="auto"/>
          <w:lang w:val="en-US" w:eastAsia="zh-CN"/>
        </w:rPr>
      </w:pPr>
      <w:r>
        <w:rPr>
          <w:rFonts w:hint="default"/>
          <w:color w:val="auto"/>
          <w:lang w:val="en-US" w:eastAsia="zh-CN"/>
        </w:rPr>
        <w:t>10kV配电所其综合自动化装置采用分布式。在进线、馈线回路装设线路监控保护单元</w:t>
      </w:r>
      <w:r>
        <w:rPr>
          <w:rFonts w:hint="eastAsia"/>
          <w:color w:val="auto"/>
          <w:lang w:val="en-US" w:eastAsia="zh-CN"/>
        </w:rPr>
        <w:t>；</w:t>
      </w:r>
      <w:r>
        <w:rPr>
          <w:rFonts w:hint="default"/>
          <w:color w:val="auto"/>
          <w:lang w:val="en-US" w:eastAsia="zh-CN"/>
        </w:rPr>
        <w:t>在变压器回路装设变压器监控保护单元</w:t>
      </w:r>
      <w:r>
        <w:rPr>
          <w:rFonts w:hint="eastAsia"/>
          <w:color w:val="auto"/>
          <w:lang w:val="en-US" w:eastAsia="zh-CN"/>
        </w:rPr>
        <w:t>；</w:t>
      </w:r>
      <w:r>
        <w:rPr>
          <w:rFonts w:hint="default"/>
          <w:color w:val="auto"/>
          <w:lang w:val="en-US" w:eastAsia="zh-CN"/>
        </w:rPr>
        <w:t>在电动机回路装设电动机监控保护单元</w:t>
      </w:r>
      <w:r>
        <w:rPr>
          <w:rFonts w:hint="eastAsia"/>
          <w:color w:val="auto"/>
          <w:lang w:val="en-US" w:eastAsia="zh-CN"/>
        </w:rPr>
        <w:t>；</w:t>
      </w:r>
      <w:r>
        <w:rPr>
          <w:rFonts w:hint="default"/>
          <w:color w:val="auto"/>
          <w:lang w:val="en-US" w:eastAsia="zh-CN"/>
        </w:rPr>
        <w:t>在电容器回路安装电容器监控保护单元</w:t>
      </w:r>
      <w:r>
        <w:rPr>
          <w:rFonts w:hint="eastAsia"/>
          <w:color w:val="auto"/>
          <w:lang w:val="en-US" w:eastAsia="zh-CN"/>
        </w:rPr>
        <w:t>；</w:t>
      </w:r>
      <w:r>
        <w:rPr>
          <w:rFonts w:hint="default"/>
          <w:color w:val="auto"/>
          <w:lang w:val="en-US" w:eastAsia="zh-CN"/>
        </w:rPr>
        <w:t>在</w:t>
      </w:r>
      <w:r>
        <w:rPr>
          <w:rFonts w:hint="eastAsia" w:ascii="宋体" w:hAnsi="宋体" w:eastAsia="宋体" w:cs="宋体"/>
          <w:color w:val="auto"/>
          <w:lang w:val="en-US" w:eastAsia="zh-CN"/>
        </w:rPr>
        <w:t>I</w:t>
      </w:r>
      <w:r>
        <w:rPr>
          <w:rFonts w:hint="default"/>
          <w:color w:val="auto"/>
          <w:lang w:val="en-US" w:eastAsia="zh-CN"/>
        </w:rPr>
        <w:t>段PT柜上安装PT测量及切换单元</w:t>
      </w:r>
      <w:r>
        <w:rPr>
          <w:rFonts w:hint="eastAsia"/>
          <w:color w:val="auto"/>
          <w:lang w:val="en-US" w:eastAsia="zh-CN"/>
        </w:rPr>
        <w:t>；</w:t>
      </w:r>
      <w:r>
        <w:rPr>
          <w:rFonts w:hint="default"/>
          <w:color w:val="auto"/>
          <w:lang w:val="en-US" w:eastAsia="zh-CN"/>
        </w:rPr>
        <w:t>在</w:t>
      </w:r>
      <w:r>
        <w:rPr>
          <w:rFonts w:hint="eastAsia" w:ascii="宋体" w:hAnsi="宋体" w:eastAsia="宋体" w:cs="宋体"/>
          <w:color w:val="auto"/>
          <w:lang w:val="en-US" w:eastAsia="zh-CN"/>
        </w:rPr>
        <w:t>I</w:t>
      </w:r>
      <w:r>
        <w:rPr>
          <w:rFonts w:hint="default"/>
          <w:color w:val="auto"/>
          <w:lang w:val="en-US" w:eastAsia="zh-CN"/>
        </w:rPr>
        <w:t>段PT柜上安装PT测量单元</w:t>
      </w:r>
      <w:r>
        <w:rPr>
          <w:rFonts w:hint="eastAsia"/>
          <w:color w:val="auto"/>
          <w:lang w:val="en-US" w:eastAsia="zh-CN"/>
        </w:rPr>
        <w:t>；</w:t>
      </w:r>
      <w:r>
        <w:rPr>
          <w:rFonts w:hint="default"/>
          <w:color w:val="auto"/>
          <w:lang w:val="en-US" w:eastAsia="zh-CN"/>
        </w:rPr>
        <w:t>在母联柜上安装母线分段监控保护及综合备自投单元</w:t>
      </w:r>
      <w:r>
        <w:rPr>
          <w:rFonts w:hint="eastAsia"/>
          <w:color w:val="auto"/>
          <w:lang w:val="en-US" w:eastAsia="zh-CN"/>
        </w:rPr>
        <w:t>；</w:t>
      </w:r>
      <w:r>
        <w:rPr>
          <w:rFonts w:hint="default"/>
          <w:color w:val="auto"/>
          <w:lang w:val="en-US" w:eastAsia="zh-CN"/>
        </w:rPr>
        <w:t>各站在控制室内设置一台智能式直流电源装置和一套监控系统。各站监控系统通过数据通讯方式与上一级变电所和下一级变电站进行数据传输。</w:t>
      </w:r>
    </w:p>
    <w:p>
      <w:pPr>
        <w:bidi w:val="0"/>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10kV进线、馈线</w:t>
      </w:r>
      <w:r>
        <w:rPr>
          <w:rFonts w:hint="eastAsia"/>
          <w:color w:val="auto"/>
          <w:lang w:val="en-US" w:eastAsia="zh-CN"/>
        </w:rPr>
        <w:t>：</w:t>
      </w:r>
      <w:r>
        <w:rPr>
          <w:rFonts w:hint="default"/>
          <w:color w:val="auto"/>
          <w:lang w:val="en-US" w:eastAsia="zh-CN"/>
        </w:rPr>
        <w:t>延时速断保护、过电流保护、PT断线报警、控制回路断线报警。</w:t>
      </w:r>
    </w:p>
    <w:p>
      <w:pPr>
        <w:bidi w:val="0"/>
        <w:rPr>
          <w:rFonts w:hint="default"/>
          <w:color w:val="auto"/>
          <w:lang w:val="en-US" w:eastAsia="zh-CN"/>
        </w:rPr>
      </w:pP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母联</w:t>
      </w:r>
      <w:r>
        <w:rPr>
          <w:rFonts w:hint="eastAsia"/>
          <w:color w:val="auto"/>
          <w:lang w:val="en-US" w:eastAsia="zh-CN"/>
        </w:rPr>
        <w:t>：</w:t>
      </w:r>
      <w:r>
        <w:rPr>
          <w:rFonts w:hint="default"/>
          <w:color w:val="auto"/>
          <w:lang w:val="en-US" w:eastAsia="zh-CN"/>
        </w:rPr>
        <w:t>速断</w:t>
      </w:r>
      <w:r>
        <w:rPr>
          <w:rFonts w:hint="eastAsia"/>
          <w:color w:val="auto"/>
          <w:lang w:val="en-US" w:eastAsia="zh-CN"/>
        </w:rPr>
        <w:t>（</w:t>
      </w:r>
      <w:r>
        <w:rPr>
          <w:rFonts w:hint="default"/>
          <w:color w:val="auto"/>
          <w:lang w:val="en-US" w:eastAsia="zh-CN"/>
        </w:rPr>
        <w:t>合闸瞬间投入</w:t>
      </w:r>
      <w:r>
        <w:rPr>
          <w:rFonts w:hint="eastAsia"/>
          <w:color w:val="auto"/>
          <w:lang w:val="en-US" w:eastAsia="zh-CN"/>
        </w:rPr>
        <w:t>）</w:t>
      </w:r>
      <w:r>
        <w:rPr>
          <w:rFonts w:hint="default"/>
          <w:color w:val="auto"/>
          <w:lang w:val="en-US" w:eastAsia="zh-CN"/>
        </w:rPr>
        <w:t>保护、过流保护、与两进线电流闭锁的备自投装置。</w:t>
      </w:r>
    </w:p>
    <w:p>
      <w:pPr>
        <w:bidi w:val="0"/>
        <w:rPr>
          <w:rFonts w:hint="default"/>
          <w:color w:val="auto"/>
          <w:lang w:val="en-US" w:eastAsia="zh-CN"/>
        </w:rPr>
      </w:pPr>
      <w:r>
        <w:rPr>
          <w:rFonts w:hint="eastAsia"/>
          <w:color w:val="auto"/>
          <w:lang w:val="en-US" w:eastAsia="zh-CN"/>
        </w:rPr>
        <w:t>（</w:t>
      </w:r>
      <w:r>
        <w:rPr>
          <w:rFonts w:hint="default"/>
          <w:color w:val="auto"/>
          <w:lang w:val="en-US" w:eastAsia="zh-CN"/>
        </w:rPr>
        <w:t>3</w:t>
      </w:r>
      <w:r>
        <w:rPr>
          <w:rFonts w:hint="eastAsia"/>
          <w:color w:val="auto"/>
          <w:lang w:val="en-US" w:eastAsia="zh-CN"/>
        </w:rPr>
        <w:t>）</w:t>
      </w:r>
      <w:r>
        <w:rPr>
          <w:rFonts w:hint="default"/>
          <w:color w:val="auto"/>
          <w:lang w:val="en-US" w:eastAsia="zh-CN"/>
        </w:rPr>
        <w:t>PT柜</w:t>
      </w:r>
      <w:r>
        <w:rPr>
          <w:rFonts w:hint="eastAsia"/>
          <w:color w:val="auto"/>
          <w:lang w:val="en-US" w:eastAsia="zh-CN"/>
        </w:rPr>
        <w:t>：</w:t>
      </w:r>
      <w:r>
        <w:rPr>
          <w:rFonts w:hint="default"/>
          <w:color w:val="auto"/>
          <w:lang w:val="en-US" w:eastAsia="zh-CN"/>
        </w:rPr>
        <w:t>装设电压、绝缘检测、数字式微机消谐装置。</w:t>
      </w:r>
    </w:p>
    <w:p>
      <w:pPr>
        <w:bidi w:val="0"/>
        <w:rPr>
          <w:rFonts w:hint="default"/>
          <w:color w:val="auto"/>
          <w:lang w:val="en-US" w:eastAsia="zh-CN"/>
        </w:rPr>
      </w:pPr>
      <w:r>
        <w:rPr>
          <w:rFonts w:hint="eastAsia"/>
          <w:color w:val="auto"/>
          <w:lang w:val="en-US" w:eastAsia="zh-CN"/>
        </w:rPr>
        <w:t>（</w:t>
      </w:r>
      <w:r>
        <w:rPr>
          <w:rFonts w:hint="default"/>
          <w:color w:val="auto"/>
          <w:lang w:val="en-US" w:eastAsia="zh-CN"/>
        </w:rPr>
        <w:t>4</w:t>
      </w:r>
      <w:r>
        <w:rPr>
          <w:rFonts w:hint="eastAsia"/>
          <w:color w:val="auto"/>
          <w:lang w:val="en-US" w:eastAsia="zh-CN"/>
        </w:rPr>
        <w:t>）</w:t>
      </w:r>
      <w:r>
        <w:rPr>
          <w:rFonts w:hint="default"/>
          <w:color w:val="auto"/>
          <w:lang w:val="en-US" w:eastAsia="zh-CN"/>
        </w:rPr>
        <w:t>变压器</w:t>
      </w:r>
      <w:r>
        <w:rPr>
          <w:rFonts w:hint="eastAsia"/>
          <w:color w:val="auto"/>
          <w:lang w:val="en-US" w:eastAsia="zh-CN"/>
        </w:rPr>
        <w:t>：</w:t>
      </w:r>
      <w:r>
        <w:rPr>
          <w:rFonts w:hint="default"/>
          <w:color w:val="auto"/>
          <w:lang w:val="en-US" w:eastAsia="zh-CN"/>
        </w:rPr>
        <w:t>速断保护、过流保护、过负荷保护、单相接地保护、温度保护等。</w:t>
      </w:r>
    </w:p>
    <w:p>
      <w:pPr>
        <w:bidi w:val="0"/>
        <w:rPr>
          <w:rFonts w:hint="default"/>
          <w:color w:val="auto"/>
          <w:lang w:val="en-US" w:eastAsia="zh-CN"/>
        </w:rPr>
      </w:pPr>
      <w:r>
        <w:rPr>
          <w:rFonts w:hint="eastAsia"/>
          <w:color w:val="auto"/>
          <w:lang w:val="en-US" w:eastAsia="zh-CN"/>
        </w:rPr>
        <w:t>（</w:t>
      </w:r>
      <w:r>
        <w:rPr>
          <w:rFonts w:hint="default"/>
          <w:color w:val="auto"/>
          <w:lang w:val="en-US" w:eastAsia="zh-CN"/>
        </w:rPr>
        <w:t>5</w:t>
      </w:r>
      <w:r>
        <w:rPr>
          <w:rFonts w:hint="eastAsia"/>
          <w:color w:val="auto"/>
          <w:lang w:val="en-US" w:eastAsia="zh-CN"/>
        </w:rPr>
        <w:t>）</w:t>
      </w:r>
      <w:r>
        <w:rPr>
          <w:rFonts w:hint="default"/>
          <w:color w:val="auto"/>
          <w:lang w:val="en-US" w:eastAsia="zh-CN"/>
        </w:rPr>
        <w:t>电容器</w:t>
      </w:r>
      <w:r>
        <w:rPr>
          <w:rFonts w:hint="eastAsia"/>
          <w:color w:val="auto"/>
          <w:lang w:val="en-US" w:eastAsia="zh-CN"/>
        </w:rPr>
        <w:t>：</w:t>
      </w:r>
      <w:r>
        <w:rPr>
          <w:rFonts w:hint="default"/>
          <w:color w:val="auto"/>
          <w:lang w:val="en-US" w:eastAsia="zh-CN"/>
        </w:rPr>
        <w:t>两段电流保护、低电压保护、过电压保护、单相接地保护、PT断线报警、控制回路断线报警、联跳功能等。</w:t>
      </w:r>
    </w:p>
    <w:p>
      <w:pPr>
        <w:bidi w:val="0"/>
        <w:rPr>
          <w:rFonts w:hint="eastAsia"/>
          <w:color w:val="auto"/>
          <w:lang w:val="en-US" w:eastAsia="zh-CN"/>
        </w:rPr>
      </w:pPr>
      <w:r>
        <w:rPr>
          <w:rFonts w:hint="eastAsia"/>
          <w:color w:val="auto"/>
          <w:lang w:val="en-US" w:eastAsia="zh-CN"/>
        </w:rPr>
        <w:t>4. 设备装备水平</w:t>
      </w:r>
    </w:p>
    <w:p>
      <w:pPr>
        <w:bidi w:val="0"/>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10kV设备</w:t>
      </w:r>
    </w:p>
    <w:p>
      <w:pPr>
        <w:bidi w:val="0"/>
        <w:rPr>
          <w:rFonts w:hint="default"/>
          <w:color w:val="auto"/>
          <w:lang w:val="en-US" w:eastAsia="zh-CN"/>
        </w:rPr>
      </w:pPr>
      <w:r>
        <w:rPr>
          <w:rFonts w:hint="default"/>
          <w:color w:val="auto"/>
          <w:lang w:val="en-US" w:eastAsia="zh-CN"/>
        </w:rPr>
        <w:t>地面10kV开关柜选用KYN28A</w:t>
      </w:r>
      <w:r>
        <w:rPr>
          <w:rFonts w:hint="eastAsia" w:ascii="宋体" w:hAnsi="宋体" w:eastAsia="宋体" w:cs="宋体"/>
          <w:color w:val="auto"/>
          <w:lang w:val="en-US" w:eastAsia="zh-CN"/>
        </w:rPr>
        <w:t>-</w:t>
      </w:r>
      <w:r>
        <w:rPr>
          <w:rFonts w:hint="default"/>
          <w:color w:val="auto"/>
          <w:lang w:val="en-US" w:eastAsia="zh-CN"/>
        </w:rPr>
        <w:t>12型金属铠装移开式开关柜。</w:t>
      </w:r>
    </w:p>
    <w:p>
      <w:pPr>
        <w:bidi w:val="0"/>
        <w:rPr>
          <w:rFonts w:hint="default"/>
          <w:color w:val="auto"/>
          <w:lang w:val="en-US" w:eastAsia="zh-CN"/>
        </w:rPr>
      </w:pPr>
      <w:r>
        <w:rPr>
          <w:rFonts w:hint="default"/>
          <w:color w:val="auto"/>
          <w:lang w:val="en-US" w:eastAsia="zh-CN"/>
        </w:rPr>
        <w:t>地面配电变压器选用SCB11型干式变压器，中性点接地。</w:t>
      </w:r>
    </w:p>
    <w:p>
      <w:pPr>
        <w:bidi w:val="0"/>
        <w:rPr>
          <w:rFonts w:hint="default"/>
          <w:color w:val="auto"/>
          <w:lang w:val="en-US" w:eastAsia="zh-CN"/>
        </w:rPr>
      </w:pPr>
      <w:r>
        <w:rPr>
          <w:rFonts w:hint="eastAsia"/>
          <w:color w:val="auto"/>
          <w:lang w:val="en-US" w:eastAsia="zh-CN"/>
        </w:rPr>
        <w:t>（2）</w:t>
      </w:r>
      <w:r>
        <w:rPr>
          <w:rFonts w:hint="default"/>
          <w:color w:val="auto"/>
          <w:lang w:val="en-US" w:eastAsia="zh-CN"/>
        </w:rPr>
        <w:t>直流操作电源</w:t>
      </w:r>
    </w:p>
    <w:p>
      <w:pPr>
        <w:bidi w:val="0"/>
        <w:rPr>
          <w:rFonts w:hint="default"/>
          <w:color w:val="auto"/>
          <w:lang w:val="en-US" w:eastAsia="zh-CN"/>
        </w:rPr>
      </w:pPr>
      <w:r>
        <w:rPr>
          <w:rFonts w:hint="default"/>
          <w:color w:val="auto"/>
          <w:lang w:val="en-US" w:eastAsia="zh-CN"/>
        </w:rPr>
        <w:t>为满足变配电所控制、保护、通讯、事故照明供电，选择智能模块式免维护铅酸蓄电池装置，电池模块采用N+1备份，带微机监控模块，具有RS485通讯接口的智能型成套装置。</w:t>
      </w:r>
    </w:p>
    <w:p>
      <w:pPr>
        <w:bidi w:val="0"/>
        <w:rPr>
          <w:rFonts w:hint="default"/>
          <w:color w:val="auto"/>
          <w:lang w:val="en-US" w:eastAsia="zh-CN"/>
        </w:rPr>
      </w:pPr>
      <w:r>
        <w:rPr>
          <w:rFonts w:hint="eastAsia"/>
          <w:color w:val="auto"/>
          <w:lang w:val="en-US" w:eastAsia="zh-CN"/>
        </w:rPr>
        <w:t>（3）</w:t>
      </w:r>
      <w:r>
        <w:rPr>
          <w:rFonts w:hint="default"/>
          <w:color w:val="auto"/>
          <w:lang w:val="en-US" w:eastAsia="zh-CN"/>
        </w:rPr>
        <w:t>低压配电柜</w:t>
      </w:r>
    </w:p>
    <w:p>
      <w:pPr>
        <w:bidi w:val="0"/>
        <w:rPr>
          <w:rFonts w:hint="default"/>
          <w:color w:val="auto"/>
          <w:lang w:val="en-US" w:eastAsia="zh-CN"/>
        </w:rPr>
      </w:pPr>
      <w:r>
        <w:rPr>
          <w:rFonts w:hint="default"/>
          <w:color w:val="auto"/>
          <w:lang w:val="en-US" w:eastAsia="zh-CN"/>
        </w:rPr>
        <w:t>地面低压开关柜选用GGD型固定式开关柜。</w:t>
      </w:r>
      <w:r>
        <w:rPr>
          <w:rFonts w:hint="eastAsia"/>
          <w:color w:val="auto"/>
          <w:lang w:val="en-US" w:eastAsia="zh-CN"/>
        </w:rPr>
        <w:t>≥</w:t>
      </w:r>
      <w:r>
        <w:rPr>
          <w:rFonts w:hint="default"/>
          <w:color w:val="auto"/>
          <w:lang w:val="en-US" w:eastAsia="zh-CN"/>
        </w:rPr>
        <w:t>800A的断路器采用框架、固定式断路器</w:t>
      </w:r>
      <w:r>
        <w:rPr>
          <w:rFonts w:hint="eastAsia"/>
          <w:color w:val="auto"/>
          <w:lang w:val="en-US" w:eastAsia="zh-CN"/>
        </w:rPr>
        <w:t>；</w:t>
      </w:r>
      <w:r>
        <w:rPr>
          <w:rFonts w:hint="eastAsia" w:ascii="宋体" w:hAnsi="宋体" w:eastAsia="宋体" w:cs="宋体"/>
          <w:color w:val="auto"/>
          <w:lang w:val="en-US" w:eastAsia="zh-CN"/>
        </w:rPr>
        <w:t>≤</w:t>
      </w:r>
      <w:r>
        <w:rPr>
          <w:rFonts w:hint="default"/>
          <w:color w:val="auto"/>
          <w:lang w:val="en-US" w:eastAsia="zh-CN"/>
        </w:rPr>
        <w:t>500A的断路器采用塑壳式、固定式断路器。</w:t>
      </w:r>
    </w:p>
    <w:p>
      <w:pPr>
        <w:bidi w:val="0"/>
        <w:rPr>
          <w:rFonts w:hint="default"/>
          <w:color w:val="auto"/>
          <w:lang w:val="en-US" w:eastAsia="zh-CN"/>
        </w:rPr>
      </w:pPr>
      <w:r>
        <w:rPr>
          <w:rFonts w:hint="eastAsia"/>
          <w:color w:val="auto"/>
          <w:lang w:val="en-US" w:eastAsia="zh-CN"/>
        </w:rPr>
        <w:t>（4）</w:t>
      </w:r>
      <w:r>
        <w:rPr>
          <w:rFonts w:hint="default"/>
          <w:color w:val="auto"/>
          <w:lang w:val="en-US" w:eastAsia="zh-CN"/>
        </w:rPr>
        <w:t>电力电缆</w:t>
      </w:r>
    </w:p>
    <w:p>
      <w:pPr>
        <w:bidi w:val="0"/>
        <w:rPr>
          <w:rFonts w:hint="default"/>
          <w:color w:val="auto"/>
          <w:lang w:val="en-US" w:eastAsia="zh-CN"/>
        </w:rPr>
      </w:pPr>
      <w:r>
        <w:rPr>
          <w:rFonts w:hint="default"/>
          <w:color w:val="auto"/>
          <w:lang w:val="en-US" w:eastAsia="zh-CN"/>
        </w:rPr>
        <w:t>地面敷设的高压电力电缆选用ZR</w:t>
      </w:r>
      <w:r>
        <w:rPr>
          <w:rFonts w:hint="eastAsia" w:ascii="宋体" w:hAnsi="宋体" w:eastAsia="宋体" w:cs="宋体"/>
          <w:color w:val="auto"/>
          <w:lang w:val="en-US" w:eastAsia="zh-CN"/>
        </w:rPr>
        <w:t>-</w:t>
      </w:r>
      <w:r>
        <w:rPr>
          <w:rFonts w:hint="default"/>
          <w:color w:val="auto"/>
          <w:lang w:val="en-US" w:eastAsia="zh-CN"/>
        </w:rPr>
        <w:t>YJV</w:t>
      </w:r>
      <w:r>
        <w:rPr>
          <w:rFonts w:hint="eastAsia" w:ascii="宋体" w:hAnsi="宋体" w:eastAsia="宋体" w:cs="宋体"/>
          <w:color w:val="auto"/>
          <w:lang w:val="en-US" w:eastAsia="zh-CN"/>
        </w:rPr>
        <w:t>-</w:t>
      </w:r>
      <w:r>
        <w:rPr>
          <w:rFonts w:hint="default"/>
          <w:color w:val="auto"/>
          <w:lang w:val="en-US" w:eastAsia="zh-CN"/>
        </w:rPr>
        <w:t>10kV或ZR</w:t>
      </w:r>
      <w:r>
        <w:rPr>
          <w:rFonts w:hint="eastAsia" w:ascii="宋体" w:hAnsi="宋体" w:eastAsia="宋体" w:cs="宋体"/>
          <w:color w:val="auto"/>
          <w:lang w:val="en-US" w:eastAsia="zh-CN"/>
        </w:rPr>
        <w:t>-</w:t>
      </w:r>
      <w:r>
        <w:rPr>
          <w:rFonts w:hint="default"/>
          <w:color w:val="auto"/>
          <w:lang w:val="en-US" w:eastAsia="zh-CN"/>
        </w:rPr>
        <w:t>YJV</w:t>
      </w:r>
      <w:r>
        <w:rPr>
          <w:rFonts w:hint="eastAsia"/>
          <w:color w:val="auto"/>
          <w:vertAlign w:val="subscript"/>
          <w:lang w:val="en-US" w:eastAsia="zh-CN"/>
        </w:rPr>
        <w:t>22</w:t>
      </w:r>
      <w:r>
        <w:rPr>
          <w:rFonts w:hint="eastAsia" w:ascii="宋体" w:hAnsi="宋体" w:eastAsia="宋体" w:cs="宋体"/>
          <w:color w:val="auto"/>
          <w:lang w:val="en-US" w:eastAsia="zh-CN"/>
        </w:rPr>
        <w:t>-</w:t>
      </w:r>
      <w:r>
        <w:rPr>
          <w:rFonts w:hint="default"/>
          <w:color w:val="auto"/>
          <w:lang w:val="en-US" w:eastAsia="zh-CN"/>
        </w:rPr>
        <w:t>10kV系列。</w:t>
      </w:r>
    </w:p>
    <w:p>
      <w:pPr>
        <w:bidi w:val="0"/>
        <w:rPr>
          <w:rFonts w:hint="default"/>
          <w:color w:val="auto"/>
          <w:lang w:val="en-US" w:eastAsia="zh-CN"/>
        </w:rPr>
      </w:pPr>
      <w:r>
        <w:rPr>
          <w:rFonts w:hint="default"/>
          <w:color w:val="auto"/>
          <w:lang w:val="en-US" w:eastAsia="zh-CN"/>
        </w:rPr>
        <w:t>地面敷设的低压电力电缆选用ZR</w:t>
      </w:r>
      <w:r>
        <w:rPr>
          <w:rFonts w:hint="eastAsia" w:ascii="宋体" w:hAnsi="宋体" w:eastAsia="宋体" w:cs="宋体"/>
          <w:color w:val="auto"/>
          <w:lang w:val="en-US" w:eastAsia="zh-CN"/>
        </w:rPr>
        <w:t>-</w:t>
      </w:r>
      <w:r>
        <w:rPr>
          <w:rFonts w:hint="default"/>
          <w:color w:val="auto"/>
          <w:lang w:val="en-US" w:eastAsia="zh-CN"/>
        </w:rPr>
        <w:t>YJV</w:t>
      </w:r>
      <w:r>
        <w:rPr>
          <w:rFonts w:hint="eastAsia" w:ascii="宋体" w:hAnsi="宋体" w:eastAsia="宋体" w:cs="宋体"/>
          <w:color w:val="auto"/>
          <w:lang w:val="en-US" w:eastAsia="zh-CN"/>
        </w:rPr>
        <w:t>-</w:t>
      </w:r>
      <w:r>
        <w:rPr>
          <w:rFonts w:hint="default"/>
          <w:color w:val="auto"/>
          <w:lang w:val="en-US" w:eastAsia="zh-CN"/>
        </w:rPr>
        <w:t>1kV或ZR</w:t>
      </w:r>
      <w:r>
        <w:rPr>
          <w:rFonts w:hint="eastAsia" w:ascii="宋体" w:hAnsi="宋体" w:eastAsia="宋体" w:cs="宋体"/>
          <w:color w:val="auto"/>
          <w:lang w:val="en-US" w:eastAsia="zh-CN"/>
        </w:rPr>
        <w:t>-</w:t>
      </w:r>
      <w:r>
        <w:rPr>
          <w:rFonts w:hint="default"/>
          <w:color w:val="auto"/>
          <w:lang w:val="en-US" w:eastAsia="zh-CN"/>
        </w:rPr>
        <w:t>YJV</w:t>
      </w:r>
      <w:r>
        <w:rPr>
          <w:rFonts w:hint="eastAsia" w:ascii="Times New Roman" w:eastAsia="宋体"/>
          <w:color w:val="auto"/>
          <w:vertAlign w:val="subscript"/>
          <w:lang w:val="en-US" w:eastAsia="zh-CN"/>
        </w:rPr>
        <w:t>22</w:t>
      </w:r>
      <w:r>
        <w:rPr>
          <w:rFonts w:hint="eastAsia" w:ascii="宋体" w:hAnsi="宋体" w:eastAsia="宋体" w:cs="宋体"/>
          <w:color w:val="auto"/>
          <w:lang w:val="en-US" w:eastAsia="zh-CN"/>
        </w:rPr>
        <w:t>-</w:t>
      </w:r>
      <w:r>
        <w:rPr>
          <w:rFonts w:hint="default"/>
          <w:color w:val="auto"/>
          <w:lang w:val="en-US" w:eastAsia="zh-CN"/>
        </w:rPr>
        <w:t>1kV系列。</w:t>
      </w:r>
    </w:p>
    <w:p>
      <w:pPr>
        <w:numPr>
          <w:ilvl w:val="0"/>
          <w:numId w:val="4"/>
        </w:numPr>
        <w:bidi w:val="0"/>
        <w:ind w:left="0" w:leftChars="0" w:firstLine="560" w:firstLineChars="200"/>
        <w:rPr>
          <w:rFonts w:hint="default"/>
          <w:color w:val="auto"/>
          <w:lang w:val="en-US" w:eastAsia="zh-CN"/>
        </w:rPr>
      </w:pPr>
      <w:r>
        <w:rPr>
          <w:rFonts w:hint="default"/>
          <w:color w:val="auto"/>
          <w:lang w:val="en-US" w:eastAsia="zh-CN"/>
        </w:rPr>
        <w:t>电气传动及控制</w:t>
      </w:r>
    </w:p>
    <w:p>
      <w:pPr>
        <w:bidi w:val="0"/>
        <w:rPr>
          <w:rFonts w:hint="default"/>
          <w:color w:val="auto"/>
          <w:lang w:val="en-US" w:eastAsia="zh-CN"/>
        </w:rPr>
      </w:pPr>
      <w:r>
        <w:rPr>
          <w:rFonts w:hint="default"/>
          <w:color w:val="auto"/>
          <w:lang w:val="en-US" w:eastAsia="zh-CN"/>
        </w:rPr>
        <w:t>对于工艺有调速要求的用电设备采用变频调速。对于容量大，经计算难于直接起动的低压电动机采用软起动。</w:t>
      </w:r>
    </w:p>
    <w:p>
      <w:pPr>
        <w:bidi w:val="0"/>
        <w:rPr>
          <w:rFonts w:hint="default"/>
          <w:color w:val="auto"/>
          <w:lang w:val="en-US" w:eastAsia="zh-CN"/>
        </w:rPr>
      </w:pPr>
      <w:r>
        <w:rPr>
          <w:rFonts w:hint="default"/>
          <w:color w:val="auto"/>
          <w:lang w:val="en-US" w:eastAsia="zh-CN"/>
        </w:rPr>
        <w:t>与工艺流程有关的设备采用集中和就地两种控制方式，集中控制由控制室PLC系统进行监控，机旁设就地操作箱。正常生产时，通过设在控制室的PLC系统操作站进行集中联锁控制和监视。非正常生产时，在机旁可进行单机控制，就地操作箱一般用于检修试车。</w:t>
      </w:r>
    </w:p>
    <w:p>
      <w:pPr>
        <w:numPr>
          <w:ilvl w:val="0"/>
          <w:numId w:val="4"/>
        </w:numPr>
        <w:bidi w:val="0"/>
        <w:ind w:left="0" w:leftChars="0" w:firstLine="560" w:firstLineChars="200"/>
        <w:rPr>
          <w:rFonts w:hint="default"/>
          <w:color w:val="auto"/>
          <w:lang w:val="en-US" w:eastAsia="zh-CN"/>
        </w:rPr>
      </w:pPr>
      <w:r>
        <w:rPr>
          <w:rFonts w:hint="default"/>
          <w:color w:val="auto"/>
          <w:lang w:val="en-US" w:eastAsia="zh-CN"/>
        </w:rPr>
        <w:t>电缆的敷设</w:t>
      </w:r>
    </w:p>
    <w:p>
      <w:pPr>
        <w:bidi w:val="0"/>
        <w:rPr>
          <w:rFonts w:hint="default"/>
          <w:color w:val="auto"/>
          <w:lang w:val="en-US" w:eastAsia="zh-CN"/>
        </w:rPr>
      </w:pPr>
      <w:r>
        <w:rPr>
          <w:rFonts w:hint="eastAsia"/>
          <w:color w:val="auto"/>
          <w:lang w:val="en-US" w:eastAsia="zh-CN"/>
        </w:rPr>
        <w:t>（1）</w:t>
      </w:r>
      <w:r>
        <w:rPr>
          <w:rFonts w:hint="default"/>
          <w:color w:val="auto"/>
          <w:lang w:val="en-US" w:eastAsia="zh-CN"/>
        </w:rPr>
        <w:t>地面工业场地的敷设</w:t>
      </w:r>
    </w:p>
    <w:p>
      <w:pPr>
        <w:bidi w:val="0"/>
        <w:rPr>
          <w:rFonts w:hint="default"/>
          <w:color w:val="auto"/>
          <w:lang w:val="en-US" w:eastAsia="zh-CN"/>
        </w:rPr>
      </w:pPr>
      <w:r>
        <w:rPr>
          <w:rFonts w:hint="default"/>
          <w:color w:val="auto"/>
          <w:lang w:val="en-US" w:eastAsia="zh-CN"/>
        </w:rPr>
        <w:t>室外管网采用电缆桥架敷设为主，局部穿管敷设或电缆沟敷设。电力电缆以铠装交联聚乙烯电缆为主。</w:t>
      </w:r>
    </w:p>
    <w:p>
      <w:pPr>
        <w:bidi w:val="0"/>
        <w:rPr>
          <w:rFonts w:hint="default"/>
          <w:color w:val="auto"/>
          <w:lang w:val="en-US" w:eastAsia="zh-CN"/>
        </w:rPr>
      </w:pPr>
      <w:r>
        <w:rPr>
          <w:rFonts w:hint="default"/>
          <w:color w:val="auto"/>
          <w:lang w:val="en-US" w:eastAsia="zh-CN"/>
        </w:rPr>
        <w:t>厂房内，可沿墙柱及工艺操作平台设电缆桥架敷设，引至设备段采用穿管明敷或暗敷。对于变配电所内电缆敷设方式，采用电缆沟敷设。电力电缆以交联聚乙烯电缆为主。</w:t>
      </w:r>
    </w:p>
    <w:p>
      <w:pPr>
        <w:bidi w:val="0"/>
        <w:rPr>
          <w:rFonts w:hint="eastAsia"/>
          <w:color w:val="auto"/>
          <w:lang w:val="en-US" w:eastAsia="zh-CN"/>
        </w:rPr>
      </w:pPr>
      <w:r>
        <w:rPr>
          <w:rFonts w:hint="eastAsia"/>
          <w:color w:val="auto"/>
          <w:lang w:val="en-US" w:eastAsia="zh-CN"/>
        </w:rPr>
        <w:t>（2）电缆防火</w:t>
      </w:r>
    </w:p>
    <w:p>
      <w:pPr>
        <w:bidi w:val="0"/>
        <w:rPr>
          <w:rFonts w:hint="eastAsia"/>
          <w:color w:val="auto"/>
          <w:lang w:val="en-US" w:eastAsia="zh-CN"/>
        </w:rPr>
      </w:pPr>
      <w:r>
        <w:rPr>
          <w:rFonts w:hint="eastAsia"/>
          <w:color w:val="auto"/>
          <w:lang w:val="en-US" w:eastAsia="zh-CN"/>
        </w:rPr>
        <w:t>根据变电所设计规范要求，变电所电缆孔洞采用防火堵料封堵。</w:t>
      </w:r>
    </w:p>
    <w:p>
      <w:pPr>
        <w:numPr>
          <w:ilvl w:val="0"/>
          <w:numId w:val="4"/>
        </w:numPr>
        <w:bidi w:val="0"/>
        <w:ind w:left="0" w:leftChars="0" w:firstLine="560" w:firstLineChars="200"/>
        <w:rPr>
          <w:rFonts w:hint="default"/>
          <w:color w:val="auto"/>
          <w:lang w:val="en-US" w:eastAsia="zh-CN"/>
        </w:rPr>
      </w:pPr>
      <w:r>
        <w:rPr>
          <w:rFonts w:hint="default"/>
          <w:color w:val="auto"/>
          <w:lang w:val="en-US" w:eastAsia="zh-CN"/>
        </w:rPr>
        <w:t>照明</w:t>
      </w:r>
    </w:p>
    <w:p>
      <w:pPr>
        <w:bidi w:val="0"/>
        <w:rPr>
          <w:rFonts w:hint="default"/>
          <w:color w:val="auto"/>
          <w:lang w:val="en-US" w:eastAsia="zh-CN"/>
        </w:rPr>
      </w:pPr>
      <w:r>
        <w:rPr>
          <w:rFonts w:hint="default"/>
          <w:color w:val="auto"/>
          <w:lang w:val="en-US" w:eastAsia="zh-CN"/>
        </w:rPr>
        <w:t>厂房高度在超过6m时采用深照混光节能长寿型灯具，厂房高度低于6m时采用工厂配照灯具，其他辅助性设施场所照明采用荧光灯具FL光源</w:t>
      </w:r>
      <w:r>
        <w:rPr>
          <w:rFonts w:hint="eastAsia"/>
          <w:color w:val="auto"/>
          <w:lang w:val="en-US" w:eastAsia="zh-CN"/>
        </w:rPr>
        <w:t>；</w:t>
      </w:r>
      <w:r>
        <w:rPr>
          <w:rFonts w:hint="default"/>
          <w:color w:val="auto"/>
          <w:lang w:val="en-US" w:eastAsia="zh-CN"/>
        </w:rPr>
        <w:t>矿区道路照明采用防眩通路灯具，光照自动控制。</w:t>
      </w:r>
    </w:p>
    <w:p>
      <w:pPr>
        <w:numPr>
          <w:ilvl w:val="0"/>
          <w:numId w:val="4"/>
        </w:numPr>
        <w:bidi w:val="0"/>
        <w:ind w:left="0" w:leftChars="0" w:firstLine="560" w:firstLineChars="200"/>
        <w:rPr>
          <w:rFonts w:hint="default"/>
          <w:color w:val="auto"/>
          <w:lang w:val="en-US" w:eastAsia="zh-CN"/>
        </w:rPr>
      </w:pPr>
      <w:r>
        <w:rPr>
          <w:rFonts w:hint="default"/>
          <w:color w:val="auto"/>
          <w:lang w:val="en-US" w:eastAsia="zh-CN"/>
        </w:rPr>
        <w:t>防雷、接地及防火安全</w:t>
      </w:r>
    </w:p>
    <w:p>
      <w:pPr>
        <w:bidi w:val="0"/>
        <w:rPr>
          <w:rFonts w:hint="default"/>
          <w:color w:val="auto"/>
          <w:lang w:val="en-US" w:eastAsia="zh-CN"/>
        </w:rPr>
      </w:pPr>
      <w:r>
        <w:rPr>
          <w:rFonts w:hint="eastAsia"/>
          <w:color w:val="auto"/>
          <w:lang w:val="en-US" w:eastAsia="zh-CN"/>
        </w:rPr>
        <w:t>（1）</w:t>
      </w:r>
      <w:r>
        <w:rPr>
          <w:rFonts w:hint="default"/>
          <w:color w:val="auto"/>
          <w:lang w:val="en-US" w:eastAsia="zh-CN"/>
        </w:rPr>
        <w:t>本工程地面需要防雷的建筑物</w:t>
      </w:r>
      <w:r>
        <w:rPr>
          <w:rFonts w:hint="eastAsia"/>
          <w:color w:val="auto"/>
          <w:lang w:val="en-US" w:eastAsia="zh-CN"/>
        </w:rPr>
        <w:t>：</w:t>
      </w:r>
      <w:r>
        <w:rPr>
          <w:rFonts w:hint="default"/>
          <w:color w:val="auto"/>
          <w:lang w:val="en-US" w:eastAsia="zh-CN"/>
        </w:rPr>
        <w:t>按三类防雷设计，并充分利用建筑物内金属体做防雷及接地装置。</w:t>
      </w:r>
    </w:p>
    <w:p>
      <w:pPr>
        <w:bidi w:val="0"/>
        <w:rPr>
          <w:rFonts w:hint="default"/>
          <w:color w:val="auto"/>
          <w:lang w:val="en-US" w:eastAsia="zh-CN"/>
        </w:rPr>
      </w:pPr>
      <w:r>
        <w:rPr>
          <w:rFonts w:hint="eastAsia"/>
          <w:color w:val="auto"/>
          <w:lang w:val="en-US" w:eastAsia="zh-CN"/>
        </w:rPr>
        <w:t>（2）</w:t>
      </w:r>
      <w:r>
        <w:rPr>
          <w:rFonts w:hint="default"/>
          <w:color w:val="auto"/>
          <w:lang w:val="en-US" w:eastAsia="zh-CN"/>
        </w:rPr>
        <w:t>本工程所有电气设备、管线的金属外壳导电部分均接PE线保护。</w:t>
      </w:r>
    </w:p>
    <w:p>
      <w:pPr>
        <w:bidi w:val="0"/>
        <w:rPr>
          <w:rFonts w:hint="default"/>
          <w:color w:val="auto"/>
          <w:lang w:val="en-US" w:eastAsia="zh-CN"/>
        </w:rPr>
      </w:pPr>
      <w:r>
        <w:rPr>
          <w:rFonts w:hint="eastAsia"/>
          <w:color w:val="auto"/>
          <w:lang w:val="en-US" w:eastAsia="zh-CN"/>
        </w:rPr>
        <w:t>（3）</w:t>
      </w:r>
      <w:r>
        <w:rPr>
          <w:rFonts w:hint="default"/>
          <w:color w:val="auto"/>
          <w:lang w:val="en-US" w:eastAsia="zh-CN"/>
        </w:rPr>
        <w:t>电气系统接地电阻</w:t>
      </w:r>
      <w:r>
        <w:rPr>
          <w:rFonts w:hint="eastAsia"/>
          <w:color w:val="auto"/>
          <w:lang w:val="en-US" w:eastAsia="zh-CN"/>
        </w:rPr>
        <w:t>：</w:t>
      </w:r>
    </w:p>
    <w:p>
      <w:pPr>
        <w:bidi w:val="0"/>
        <w:rPr>
          <w:rFonts w:hint="default"/>
          <w:color w:val="auto"/>
          <w:lang w:val="en-US" w:eastAsia="zh-CN"/>
        </w:rPr>
      </w:pPr>
      <w:r>
        <w:rPr>
          <w:rFonts w:hint="default"/>
          <w:color w:val="auto"/>
          <w:lang w:val="en-US" w:eastAsia="zh-CN"/>
        </w:rPr>
        <w:t>地面各类接地装置的规范接地电阻见下表</w:t>
      </w:r>
      <w:r>
        <w:rPr>
          <w:rFonts w:hint="eastAsia"/>
          <w:color w:val="auto"/>
          <w:lang w:val="en-US" w:eastAsia="zh-CN"/>
        </w:rPr>
        <w:t>2-11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color w:val="auto"/>
          <w:lang w:val="en-US" w:eastAsia="zh-CN"/>
        </w:rPr>
      </w:pPr>
      <w:r>
        <w:rPr>
          <w:rFonts w:hint="eastAsia"/>
          <w:color w:val="auto"/>
          <w:lang w:val="en-US" w:eastAsia="zh-CN"/>
        </w:rPr>
        <w:t>表2-11 各类接地电阻表</w:t>
      </w:r>
    </w:p>
    <w:tbl>
      <w:tblPr>
        <w:tblStyle w:val="34"/>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539"/>
        <w:gridCol w:w="45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5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类别</w:t>
            </w:r>
          </w:p>
        </w:tc>
        <w:tc>
          <w:tcPr>
            <w:tcW w:w="2499"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spacing w:val="8"/>
                <w:kern w:val="0"/>
                <w:sz w:val="21"/>
                <w:szCs w:val="21"/>
                <w:lang w:val="en-US" w:eastAsia="en-US" w:bidi="ar-SA"/>
              </w:rPr>
              <w:t>接地电阻最大允许值</w:t>
            </w:r>
            <w:r>
              <w:rPr>
                <w:rFonts w:hint="eastAsia" w:ascii="宋体" w:hAnsi="宋体" w:eastAsia="宋体" w:cs="宋体"/>
                <w:snapToGrid w:val="0"/>
                <w:color w:val="auto"/>
                <w:spacing w:val="8"/>
                <w:kern w:val="0"/>
                <w:sz w:val="21"/>
                <w:szCs w:val="21"/>
                <w:lang w:val="en-US" w:eastAsia="en-US" w:bidi="ar-SA"/>
              </w:rPr>
              <w:t>≤</w:t>
            </w:r>
            <w:r>
              <w:rPr>
                <w:rFonts w:hint="eastAsia" w:ascii="Times New Roman" w:hAnsi="Times New Roman" w:eastAsia="宋体" w:cs="Times New Roman"/>
                <w:snapToGrid w:val="0"/>
                <w:color w:val="auto"/>
                <w:spacing w:val="8"/>
                <w:kern w:val="0"/>
                <w:sz w:val="21"/>
                <w:szCs w:val="21"/>
                <w:lang w:val="en-US" w:eastAsia="zh-CN" w:bidi="ar-SA"/>
              </w:rPr>
              <w:t>（</w:t>
            </w:r>
            <w:r>
              <w:rPr>
                <w:rFonts w:hint="default" w:ascii="Times New Roman" w:hAnsi="Times New Roman" w:eastAsia="宋体" w:cs="Times New Roman"/>
                <w:snapToGrid w:val="0"/>
                <w:color w:val="auto"/>
                <w:spacing w:val="8"/>
                <w:kern w:val="0"/>
                <w:sz w:val="21"/>
                <w:szCs w:val="21"/>
                <w:lang w:val="en-US" w:eastAsia="en-US" w:bidi="ar-SA"/>
              </w:rPr>
              <w:t>Ω</w:t>
            </w:r>
            <w:r>
              <w:rPr>
                <w:rFonts w:hint="eastAsia" w:ascii="Times New Roman" w:hAnsi="Times New Roman" w:eastAsia="宋体" w:cs="Times New Roman"/>
                <w:snapToGrid w:val="0"/>
                <w:color w:val="auto"/>
                <w:spacing w:val="8"/>
                <w:kern w:val="0"/>
                <w:sz w:val="21"/>
                <w:szCs w:val="21"/>
                <w:lang w:val="en-US" w:eastAsia="zh-CN" w:bidi="ar-S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jc w:val="center"/>
        </w:trPr>
        <w:tc>
          <w:tcPr>
            <w:tcW w:w="25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一、二类防雷建、构筑物</w:t>
            </w:r>
          </w:p>
        </w:tc>
        <w:tc>
          <w:tcPr>
            <w:tcW w:w="2499"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25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三类防雷建、构筑物</w:t>
            </w:r>
          </w:p>
        </w:tc>
        <w:tc>
          <w:tcPr>
            <w:tcW w:w="2499"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25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配电变压器中性点接地</w:t>
            </w:r>
          </w:p>
        </w:tc>
        <w:tc>
          <w:tcPr>
            <w:tcW w:w="2499"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jc w:val="center"/>
        </w:trPr>
        <w:tc>
          <w:tcPr>
            <w:tcW w:w="25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保护接地</w:t>
            </w:r>
          </w:p>
        </w:tc>
        <w:tc>
          <w:tcPr>
            <w:tcW w:w="2499"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spacing w:val="-7"/>
                <w:kern w:val="0"/>
                <w:sz w:val="21"/>
                <w:szCs w:val="21"/>
                <w:lang w:val="en-US" w:eastAsia="zh-CN" w:bidi="ar-SA"/>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25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防静电接地</w:t>
            </w:r>
          </w:p>
        </w:tc>
        <w:tc>
          <w:tcPr>
            <w:tcW w:w="2499"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5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共用接地系统（与电子信息系统）</w:t>
            </w:r>
          </w:p>
        </w:tc>
        <w:tc>
          <w:tcPr>
            <w:tcW w:w="2499"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r>
    </w:tbl>
    <w:p>
      <w:pPr>
        <w:pStyle w:val="3"/>
        <w:bidi w:val="0"/>
        <w:rPr>
          <w:rFonts w:hint="default"/>
          <w:color w:val="auto"/>
          <w:lang w:val="en-US" w:eastAsia="zh-CN"/>
        </w:rPr>
      </w:pPr>
      <w:bookmarkStart w:id="97" w:name="_Toc9867"/>
      <w:bookmarkStart w:id="98" w:name="_Toc16831"/>
      <w:r>
        <w:rPr>
          <w:rFonts w:hint="default"/>
          <w:color w:val="auto"/>
          <w:lang w:val="en-US" w:eastAsia="zh-CN"/>
        </w:rPr>
        <w:t>2.</w:t>
      </w:r>
      <w:r>
        <w:rPr>
          <w:rFonts w:hint="eastAsia"/>
          <w:color w:val="auto"/>
          <w:lang w:val="en-US" w:eastAsia="zh-CN"/>
        </w:rPr>
        <w:t>7</w:t>
      </w:r>
      <w:r>
        <w:rPr>
          <w:rFonts w:hint="default"/>
          <w:color w:val="auto"/>
          <w:lang w:val="en-US" w:eastAsia="zh-CN"/>
        </w:rPr>
        <w:t xml:space="preserve"> 生产工艺及设备</w:t>
      </w:r>
      <w:bookmarkEnd w:id="97"/>
      <w:bookmarkEnd w:id="98"/>
    </w:p>
    <w:p>
      <w:pPr>
        <w:pStyle w:val="4"/>
        <w:bidi w:val="0"/>
        <w:rPr>
          <w:rFonts w:hint="eastAsia"/>
          <w:color w:val="auto"/>
          <w:lang w:val="en-US" w:eastAsia="zh-CN"/>
        </w:rPr>
      </w:pPr>
      <w:bookmarkStart w:id="99" w:name="_Toc11777"/>
      <w:bookmarkStart w:id="100" w:name="_Toc29683"/>
      <w:r>
        <w:rPr>
          <w:rFonts w:hint="eastAsia"/>
          <w:color w:val="auto"/>
          <w:lang w:val="en-US" w:eastAsia="zh-CN"/>
        </w:rPr>
        <w:t>2.7.1 工艺流程</w:t>
      </w:r>
      <w:bookmarkEnd w:id="99"/>
      <w:bookmarkEnd w:id="100"/>
    </w:p>
    <w:p>
      <w:pPr>
        <w:rPr>
          <w:rFonts w:hint="eastAsia"/>
          <w:color w:val="auto"/>
          <w:lang w:val="en-US" w:eastAsia="zh-CN"/>
        </w:rPr>
      </w:pPr>
      <w:r>
        <w:rPr>
          <w:rFonts w:hint="eastAsia"/>
          <w:color w:val="auto"/>
          <w:lang w:val="en-US" w:eastAsia="zh-CN"/>
        </w:rPr>
        <w:t>设计的工艺流程依据实验室流程试验和扩大流程试验确定，并参照了国内外类似矿山的生产实践。其中：</w:t>
      </w:r>
    </w:p>
    <w:p>
      <w:pPr>
        <w:rPr>
          <w:rFonts w:hint="eastAsia"/>
          <w:color w:val="auto"/>
          <w:lang w:val="en-US" w:eastAsia="zh-CN"/>
        </w:rPr>
      </w:pPr>
      <w:r>
        <w:rPr>
          <w:rFonts w:hint="eastAsia"/>
          <w:color w:val="auto"/>
          <w:lang w:val="en-US" w:eastAsia="zh-CN"/>
        </w:rPr>
        <w:t>破碎及预选作业采用常规三段一闭路破碎流程和智能选矿机预选工艺。</w:t>
      </w:r>
    </w:p>
    <w:p>
      <w:pPr>
        <w:rPr>
          <w:rFonts w:hint="eastAsia"/>
          <w:color w:val="auto"/>
          <w:lang w:val="en-US" w:eastAsia="zh-CN"/>
        </w:rPr>
      </w:pPr>
      <w:r>
        <w:rPr>
          <w:rFonts w:hint="eastAsia"/>
          <w:color w:val="auto"/>
          <w:lang w:val="en-US" w:eastAsia="zh-CN"/>
        </w:rPr>
        <w:t>重选作业采用分级跳汰、分级摇床选别工艺。</w:t>
      </w:r>
    </w:p>
    <w:p>
      <w:pPr>
        <w:rPr>
          <w:rFonts w:hint="eastAsia"/>
          <w:color w:val="auto"/>
          <w:lang w:val="en-US" w:eastAsia="zh-CN"/>
        </w:rPr>
      </w:pPr>
      <w:r>
        <w:rPr>
          <w:rFonts w:hint="eastAsia"/>
          <w:color w:val="auto"/>
          <w:lang w:val="en-US" w:eastAsia="zh-CN"/>
        </w:rPr>
        <w:t>精选作业采用浮、重、磁联合工艺。</w:t>
      </w:r>
    </w:p>
    <w:p>
      <w:pPr>
        <w:rPr>
          <w:rFonts w:hint="eastAsia"/>
          <w:color w:val="auto"/>
          <w:lang w:val="en-US" w:eastAsia="zh-CN"/>
        </w:rPr>
      </w:pPr>
      <w:r>
        <w:rPr>
          <w:rFonts w:hint="eastAsia"/>
          <w:color w:val="auto"/>
          <w:lang w:val="en-US" w:eastAsia="zh-CN"/>
        </w:rPr>
        <w:t>细泥选别作业采用离心选矿、毛毯回收、摇床复选工艺。</w:t>
      </w:r>
    </w:p>
    <w:p>
      <w:pPr>
        <w:rPr>
          <w:rFonts w:hint="eastAsia"/>
          <w:color w:val="auto"/>
          <w:lang w:val="en-US" w:eastAsia="zh-CN"/>
        </w:rPr>
      </w:pPr>
      <w:r>
        <w:rPr>
          <w:rFonts w:hint="eastAsia"/>
          <w:color w:val="auto"/>
          <w:lang w:val="en-US" w:eastAsia="zh-CN"/>
        </w:rPr>
        <w:t>黑钨精矿脱水采用自然脱水和微波烘干相结合的工艺；铜精矿脱水采用浓缩、过滤脱水工艺；白钨精矿、锡精矿、铋精矿采用自然脱水工艺。</w:t>
      </w:r>
    </w:p>
    <w:p>
      <w:pPr>
        <w:rPr>
          <w:rFonts w:hint="eastAsia"/>
          <w:color w:val="auto"/>
          <w:lang w:val="en-US" w:eastAsia="zh-CN"/>
        </w:rPr>
      </w:pPr>
      <w:r>
        <w:rPr>
          <w:rFonts w:hint="eastAsia"/>
          <w:color w:val="auto"/>
          <w:lang w:val="en-US" w:eastAsia="zh-CN"/>
        </w:rPr>
        <w:t>尾矿选砂采用螺旋洗砂机实现尾矿颗粒粗细分级。</w:t>
      </w:r>
    </w:p>
    <w:p>
      <w:pPr>
        <w:rPr>
          <w:rFonts w:hint="eastAsia"/>
          <w:color w:val="auto"/>
          <w:lang w:val="en-US" w:eastAsia="zh-CN"/>
        </w:rPr>
      </w:pPr>
      <w:r>
        <w:rPr>
          <w:rFonts w:hint="eastAsia"/>
          <w:color w:val="auto"/>
          <w:lang w:val="en-US" w:eastAsia="zh-CN"/>
        </w:rPr>
        <w:t>选矿厂工艺数质量流程图见（图2-2、图2-3）。</w:t>
      </w:r>
    </w:p>
    <w:p>
      <w:pPr>
        <w:rPr>
          <w:rFonts w:hint="eastAsia"/>
          <w:color w:val="auto"/>
          <w:lang w:val="en-US" w:eastAsia="zh-CN"/>
        </w:rPr>
      </w:pPr>
      <w:r>
        <w:rPr>
          <w:rFonts w:hint="eastAsia"/>
          <w:color w:val="auto"/>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lang w:val="en-US" w:eastAsia="zh-CN"/>
        </w:rPr>
      </w:pPr>
      <w:r>
        <w:rPr>
          <w:rFonts w:hint="eastAsia"/>
          <w:color w:val="auto"/>
          <w:lang w:val="en-US" w:eastAsia="zh-CN"/>
        </w:rPr>
        <w:drawing>
          <wp:inline distT="0" distB="0" distL="114300" distR="114300">
            <wp:extent cx="5759450" cy="8404860"/>
            <wp:effectExtent l="0" t="0" r="12700" b="15240"/>
            <wp:docPr id="4" name="图片 4" descr="实验室全流程试验数质量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实验室全流程试验数质量流程图"/>
                    <pic:cNvPicPr>
                      <a:picLocks noChangeAspect="1"/>
                    </pic:cNvPicPr>
                  </pic:nvPicPr>
                  <pic:blipFill>
                    <a:blip r:embed="rId29"/>
                    <a:stretch>
                      <a:fillRect/>
                    </a:stretch>
                  </pic:blipFill>
                  <pic:spPr>
                    <a:xfrm>
                      <a:off x="0" y="0"/>
                      <a:ext cx="5759450" cy="84048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图2-2 实验室全流程试验数质量流程图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olor w:val="auto"/>
          <w:lang w:val="en-US" w:eastAsia="zh-CN"/>
        </w:rPr>
      </w:pPr>
      <w:r>
        <w:rPr>
          <w:rFonts w:hint="eastAsia"/>
          <w:color w:val="auto"/>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lang w:val="en-US" w:eastAsia="zh-CN"/>
        </w:rPr>
      </w:pPr>
      <w:r>
        <w:rPr>
          <w:rFonts w:hint="eastAsia"/>
          <w:color w:val="auto"/>
          <w:lang w:val="en-US" w:eastAsia="zh-CN"/>
        </w:rPr>
        <w:drawing>
          <wp:inline distT="0" distB="0" distL="114300" distR="114300">
            <wp:extent cx="5759450" cy="8555990"/>
            <wp:effectExtent l="0" t="0" r="12700" b="16510"/>
            <wp:docPr id="5" name="图片 5" descr="扩大连选试验数质量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扩大连选试验数质量流程图"/>
                    <pic:cNvPicPr>
                      <a:picLocks noChangeAspect="1"/>
                    </pic:cNvPicPr>
                  </pic:nvPicPr>
                  <pic:blipFill>
                    <a:blip r:embed="rId30"/>
                    <a:stretch>
                      <a:fillRect/>
                    </a:stretch>
                  </pic:blipFill>
                  <pic:spPr>
                    <a:xfrm>
                      <a:off x="0" y="0"/>
                      <a:ext cx="5759450" cy="85559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图2-3 扩大连选试验数质量流程图</w:t>
      </w:r>
    </w:p>
    <w:p>
      <w:pPr>
        <w:rPr>
          <w:rFonts w:hint="default"/>
          <w:color w:val="auto"/>
          <w:lang w:val="en-US" w:eastAsia="zh-CN"/>
        </w:rPr>
      </w:pPr>
      <w:r>
        <w:rPr>
          <w:rFonts w:hint="default"/>
          <w:color w:val="auto"/>
          <w:lang w:val="en-US" w:eastAsia="zh-CN"/>
        </w:rPr>
        <w:br w:type="page"/>
      </w:r>
    </w:p>
    <w:p>
      <w:pPr>
        <w:pStyle w:val="4"/>
        <w:bidi w:val="0"/>
        <w:rPr>
          <w:rFonts w:hint="eastAsia"/>
          <w:color w:val="auto"/>
          <w:lang w:val="en-US" w:eastAsia="zh-CN"/>
        </w:rPr>
      </w:pPr>
      <w:bookmarkStart w:id="101" w:name="_Toc24381"/>
      <w:bookmarkStart w:id="102" w:name="_Toc24886"/>
      <w:r>
        <w:rPr>
          <w:rFonts w:hint="eastAsia"/>
          <w:color w:val="auto"/>
          <w:lang w:val="en-US" w:eastAsia="zh-CN"/>
        </w:rPr>
        <w:t>2.7.2 工艺生产过程</w:t>
      </w:r>
      <w:bookmarkEnd w:id="101"/>
      <w:bookmarkEnd w:id="102"/>
    </w:p>
    <w:p>
      <w:pPr>
        <w:rPr>
          <w:rFonts w:hint="default"/>
          <w:color w:val="auto"/>
          <w:lang w:val="en-US" w:eastAsia="zh-CN"/>
        </w:rPr>
      </w:pPr>
      <w:r>
        <w:rPr>
          <w:rFonts w:hint="default"/>
          <w:color w:val="auto"/>
          <w:lang w:val="en-US" w:eastAsia="zh-CN"/>
        </w:rPr>
        <w:t>原矿经电机车运输至粗碎厂房卸入原矿仓，原矿仓矿石由棒条给料机给入PE600</w:t>
      </w:r>
      <w:r>
        <w:rPr>
          <w:rFonts w:hint="eastAsia" w:ascii="宋体" w:hAnsi="宋体" w:eastAsia="宋体" w:cs="宋体"/>
          <w:color w:val="auto"/>
          <w:lang w:val="en-US" w:eastAsia="zh-CN"/>
        </w:rPr>
        <w:t>×</w:t>
      </w:r>
      <w:r>
        <w:rPr>
          <w:rFonts w:hint="default"/>
          <w:color w:val="auto"/>
          <w:lang w:val="en-US" w:eastAsia="zh-CN"/>
        </w:rPr>
        <w:t>900颚式破碎机粗碎。粗碎产品经除铁后由1</w:t>
      </w:r>
      <w:r>
        <w:rPr>
          <w:rFonts w:hint="default" w:ascii="Times New Roman" w:hAnsi="Times New Roman" w:eastAsia="宋体" w:cs="Times New Roman"/>
          <w:color w:val="auto"/>
          <w:lang w:val="en-US" w:eastAsia="zh-CN"/>
        </w:rPr>
        <w:t>#</w:t>
      </w:r>
      <w:r>
        <w:rPr>
          <w:rFonts w:hint="default"/>
          <w:color w:val="auto"/>
          <w:lang w:val="en-US" w:eastAsia="zh-CN"/>
        </w:rPr>
        <w:t>胶带输送机给入中碎厂房PE</w:t>
      </w:r>
      <w:r>
        <w:rPr>
          <w:rFonts w:hint="default" w:ascii="Times New Roman" w:hAnsi="Times New Roman" w:cs="Times New Roman"/>
          <w:color w:val="auto"/>
          <w:lang w:val="en-US" w:eastAsia="zh-CN"/>
        </w:rPr>
        <w:t>X</w:t>
      </w:r>
      <w:r>
        <w:rPr>
          <w:rFonts w:hint="default"/>
          <w:color w:val="auto"/>
          <w:lang w:val="en-US" w:eastAsia="zh-CN"/>
        </w:rPr>
        <w:t>250</w:t>
      </w:r>
      <w:r>
        <w:rPr>
          <w:rFonts w:hint="eastAsia" w:ascii="宋体" w:hAnsi="宋体" w:eastAsia="宋体" w:cs="宋体"/>
          <w:color w:val="auto"/>
          <w:lang w:val="en-US" w:eastAsia="zh-CN"/>
        </w:rPr>
        <w:t>×</w:t>
      </w:r>
      <w:r>
        <w:rPr>
          <w:rFonts w:hint="default"/>
          <w:color w:val="auto"/>
          <w:lang w:val="en-US" w:eastAsia="zh-CN"/>
        </w:rPr>
        <w:t>1200细碎型破碎机中碎</w:t>
      </w:r>
      <w:r>
        <w:rPr>
          <w:rFonts w:hint="eastAsia"/>
          <w:color w:val="auto"/>
          <w:lang w:val="en-US" w:eastAsia="zh-CN"/>
        </w:rPr>
        <w:t>，</w:t>
      </w:r>
      <w:r>
        <w:rPr>
          <w:rFonts w:hint="default"/>
          <w:color w:val="auto"/>
          <w:lang w:val="en-US" w:eastAsia="zh-CN"/>
        </w:rPr>
        <w:t>中碎产品给入筛洗及预选厂房的2YKR1645振动筛筛分，筛分得到+30mm、</w:t>
      </w:r>
      <w:r>
        <w:rPr>
          <w:rFonts w:hint="eastAsia" w:ascii="宋体" w:hAnsi="宋体" w:eastAsia="宋体" w:cs="宋体"/>
          <w:color w:val="auto"/>
          <w:lang w:val="en-US" w:eastAsia="zh-CN"/>
        </w:rPr>
        <w:t>-</w:t>
      </w:r>
      <w:r>
        <w:rPr>
          <w:rFonts w:hint="default"/>
          <w:color w:val="auto"/>
          <w:lang w:val="en-US" w:eastAsia="zh-CN"/>
        </w:rPr>
        <w:t>30+10mm和</w:t>
      </w:r>
      <w:r>
        <w:rPr>
          <w:rFonts w:hint="eastAsia" w:ascii="宋体" w:hAnsi="宋体" w:eastAsia="宋体" w:cs="宋体"/>
          <w:color w:val="auto"/>
          <w:lang w:val="en-US" w:eastAsia="zh-CN"/>
        </w:rPr>
        <w:t>-</w:t>
      </w:r>
      <w:r>
        <w:rPr>
          <w:rFonts w:hint="default"/>
          <w:color w:val="auto"/>
          <w:lang w:val="en-US" w:eastAsia="zh-CN"/>
        </w:rPr>
        <w:t>10mm三个粒级。其中，+30mm和</w:t>
      </w:r>
      <w:r>
        <w:rPr>
          <w:rFonts w:hint="eastAsia" w:ascii="宋体" w:hAnsi="宋体" w:eastAsia="宋体" w:cs="宋体"/>
          <w:color w:val="auto"/>
          <w:lang w:val="en-US" w:eastAsia="zh-CN"/>
        </w:rPr>
        <w:t>-</w:t>
      </w:r>
      <w:r>
        <w:rPr>
          <w:rFonts w:hint="default"/>
          <w:color w:val="auto"/>
          <w:lang w:val="en-US" w:eastAsia="zh-CN"/>
        </w:rPr>
        <w:t>30+10mm两个粒级进行X射线智能预选，预选尾矿作为废石由11#胶带输送机送往废石仓，预选精矿给入细碎前中间仓</w:t>
      </w:r>
      <w:r>
        <w:rPr>
          <w:rFonts w:hint="eastAsia"/>
          <w:color w:val="auto"/>
          <w:lang w:val="en-US" w:eastAsia="zh-CN"/>
        </w:rPr>
        <w:t>；</w:t>
      </w:r>
      <w:r>
        <w:rPr>
          <w:rFonts w:hint="eastAsia" w:ascii="宋体" w:hAnsi="宋体" w:eastAsia="宋体" w:cs="宋体"/>
          <w:color w:val="auto"/>
          <w:lang w:val="en-US" w:eastAsia="zh-CN"/>
        </w:rPr>
        <w:t>-</w:t>
      </w:r>
      <w:r>
        <w:rPr>
          <w:rFonts w:hint="default"/>
          <w:color w:val="auto"/>
          <w:lang w:val="en-US" w:eastAsia="zh-CN"/>
        </w:rPr>
        <w:t>10mm粒级自流入FLC</w:t>
      </w:r>
      <w:r>
        <w:rPr>
          <w:rFonts w:hint="eastAsia" w:ascii="宋体" w:hAnsi="宋体" w:eastAsia="宋体" w:cs="宋体"/>
          <w:color w:val="auto"/>
          <w:lang w:val="en-US" w:eastAsia="zh-CN"/>
        </w:rPr>
        <w:t>-</w:t>
      </w:r>
      <w:r>
        <w:rPr>
          <w:rFonts w:hint="default"/>
          <w:color w:val="auto"/>
          <w:lang w:val="en-US" w:eastAsia="zh-CN"/>
        </w:rPr>
        <w:t>1500高堰式螺旋分级机分级，分级返砂经5#、8#、9#胶带输送机入粉矿仓，分级溢流由泵送入</w:t>
      </w:r>
      <w:r>
        <w:rPr>
          <w:rFonts w:hint="default" w:ascii="Times New Roman" w:hAnsi="Times New Roman" w:cs="Times New Roman"/>
          <w:color w:val="auto"/>
          <w:lang w:val="en-US" w:eastAsia="zh-CN"/>
        </w:rPr>
        <w:t>Ф</w:t>
      </w:r>
      <w:r>
        <w:rPr>
          <w:rFonts w:hint="default"/>
          <w:color w:val="auto"/>
          <w:lang w:val="en-US" w:eastAsia="zh-CN"/>
        </w:rPr>
        <w:t>=18mm细泥浓缩池。</w:t>
      </w:r>
    </w:p>
    <w:p>
      <w:pPr>
        <w:rPr>
          <w:rFonts w:hint="eastAsia"/>
          <w:color w:val="auto"/>
          <w:lang w:val="en-US" w:eastAsia="zh-CN"/>
        </w:rPr>
      </w:pPr>
      <w:r>
        <w:rPr>
          <w:rFonts w:hint="default"/>
          <w:color w:val="auto"/>
          <w:lang w:val="en-US" w:eastAsia="zh-CN"/>
        </w:rPr>
        <w:t>细碎前中间仓物料由可移动胶带输送机给料入CH420细碎圆锥破碎机，破碎产品经7#胶带输送机给入筛分厂房</w:t>
      </w:r>
      <w:r>
        <w:rPr>
          <w:rFonts w:hint="eastAsia"/>
          <w:color w:val="auto"/>
          <w:lang w:val="en-US" w:eastAsia="zh-CN"/>
        </w:rPr>
        <w:t>筛</w:t>
      </w:r>
      <w:r>
        <w:rPr>
          <w:rFonts w:hint="default"/>
          <w:color w:val="auto"/>
          <w:lang w:val="en-US" w:eastAsia="zh-CN"/>
        </w:rPr>
        <w:t>分</w:t>
      </w:r>
      <w:r>
        <w:rPr>
          <w:rFonts w:hint="eastAsia"/>
          <w:color w:val="auto"/>
          <w:lang w:val="en-US" w:eastAsia="zh-CN"/>
        </w:rPr>
        <w:t>；筛</w:t>
      </w:r>
      <w:r>
        <w:rPr>
          <w:rFonts w:hint="default"/>
          <w:color w:val="auto"/>
          <w:lang w:val="en-US" w:eastAsia="zh-CN"/>
        </w:rPr>
        <w:t>分</w:t>
      </w:r>
      <w:r>
        <w:rPr>
          <w:rFonts w:hint="eastAsia"/>
          <w:color w:val="auto"/>
          <w:lang w:val="en-US" w:eastAsia="zh-CN"/>
        </w:rPr>
        <w:t>筛</w:t>
      </w:r>
      <w:r>
        <w:rPr>
          <w:rFonts w:hint="default"/>
          <w:color w:val="auto"/>
          <w:lang w:val="en-US" w:eastAsia="zh-CN"/>
        </w:rPr>
        <w:t>上产品由6#胶带输送机返回至细碎厂房，筛分</w:t>
      </w:r>
      <w:r>
        <w:rPr>
          <w:rFonts w:hint="eastAsia"/>
          <w:color w:val="auto"/>
          <w:lang w:val="en-US" w:eastAsia="zh-CN"/>
        </w:rPr>
        <w:t>筛</w:t>
      </w:r>
      <w:r>
        <w:rPr>
          <w:rFonts w:hint="default"/>
          <w:color w:val="auto"/>
          <w:lang w:val="en-US" w:eastAsia="zh-CN"/>
        </w:rPr>
        <w:t>下产品由8#、9#胶带输送机送往粉矿仓</w:t>
      </w:r>
      <w:r>
        <w:rPr>
          <w:rFonts w:hint="eastAsia"/>
          <w:color w:val="auto"/>
          <w:lang w:val="en-US" w:eastAsia="zh-CN"/>
        </w:rPr>
        <w:t>。</w:t>
      </w:r>
    </w:p>
    <w:p>
      <w:pPr>
        <w:rPr>
          <w:rFonts w:hint="default"/>
          <w:color w:val="auto"/>
          <w:lang w:val="en-US" w:eastAsia="zh-CN"/>
        </w:rPr>
      </w:pPr>
      <w:r>
        <w:rPr>
          <w:rFonts w:hint="default"/>
          <w:color w:val="auto"/>
          <w:lang w:val="en-US" w:eastAsia="zh-CN"/>
        </w:rPr>
        <w:t>粉矿仓物料由10#胶带送机给入主厂房2ZKR1230振动筛，筛分得到</w:t>
      </w:r>
      <w:r>
        <w:rPr>
          <w:rFonts w:hint="eastAsia" w:ascii="宋体" w:hAnsi="宋体" w:eastAsia="宋体" w:cs="宋体"/>
          <w:color w:val="auto"/>
          <w:lang w:val="en-US" w:eastAsia="zh-CN"/>
        </w:rPr>
        <w:t>-</w:t>
      </w:r>
      <w:r>
        <w:rPr>
          <w:rFonts w:hint="default"/>
          <w:color w:val="auto"/>
          <w:lang w:val="en-US" w:eastAsia="zh-CN"/>
        </w:rPr>
        <w:t>10+6mm、</w:t>
      </w:r>
      <w:r>
        <w:rPr>
          <w:rFonts w:hint="eastAsia" w:ascii="宋体" w:hAnsi="宋体" w:eastAsia="宋体" w:cs="宋体"/>
          <w:color w:val="auto"/>
          <w:lang w:val="en-US" w:eastAsia="zh-CN"/>
        </w:rPr>
        <w:t>-</w:t>
      </w:r>
      <w:r>
        <w:rPr>
          <w:rFonts w:hint="default"/>
          <w:color w:val="auto"/>
          <w:lang w:val="en-US" w:eastAsia="zh-CN"/>
        </w:rPr>
        <w:t>6+1.6mm、</w:t>
      </w:r>
      <w:r>
        <w:rPr>
          <w:rFonts w:hint="eastAsia" w:ascii="宋体" w:hAnsi="宋体" w:eastAsia="宋体" w:cs="宋体"/>
          <w:color w:val="auto"/>
          <w:lang w:val="en-US" w:eastAsia="zh-CN"/>
        </w:rPr>
        <w:t>-</w:t>
      </w:r>
      <w:r>
        <w:rPr>
          <w:rFonts w:hint="default"/>
          <w:color w:val="auto"/>
          <w:lang w:val="en-US" w:eastAsia="zh-CN"/>
        </w:rPr>
        <w:t>1.6mm三个粒级。</w:t>
      </w:r>
      <w:r>
        <w:rPr>
          <w:rFonts w:hint="eastAsia" w:ascii="宋体" w:hAnsi="宋体" w:eastAsia="宋体" w:cs="宋体"/>
          <w:color w:val="auto"/>
          <w:lang w:val="en-US" w:eastAsia="zh-CN"/>
        </w:rPr>
        <w:t>-</w:t>
      </w:r>
      <w:r>
        <w:rPr>
          <w:rFonts w:hint="default"/>
          <w:color w:val="auto"/>
          <w:lang w:val="en-US" w:eastAsia="zh-CN"/>
        </w:rPr>
        <w:t>10+6mm和</w:t>
      </w:r>
      <w:r>
        <w:rPr>
          <w:rFonts w:hint="eastAsia" w:ascii="宋体" w:hAnsi="宋体" w:eastAsia="宋体" w:cs="宋体"/>
          <w:color w:val="auto"/>
          <w:lang w:val="en-US" w:eastAsia="zh-CN"/>
        </w:rPr>
        <w:t>-</w:t>
      </w:r>
      <w:r>
        <w:rPr>
          <w:rFonts w:hint="default"/>
          <w:color w:val="auto"/>
          <w:lang w:val="en-US" w:eastAsia="zh-CN"/>
        </w:rPr>
        <w:t>6+1.6mm分别进行跳汰粗选，跳汰粗选的精矿收集后进行跳汰精选，得到少量合格黑钨精矿，跳汰精选的尾矿对辊后入精选作业原料仓</w:t>
      </w:r>
      <w:r>
        <w:rPr>
          <w:rFonts w:hint="eastAsia"/>
          <w:color w:val="auto"/>
          <w:lang w:val="en-US" w:eastAsia="zh-CN"/>
        </w:rPr>
        <w:t>；</w:t>
      </w:r>
      <w:r>
        <w:rPr>
          <w:rFonts w:hint="default"/>
          <w:color w:val="auto"/>
          <w:lang w:val="en-US" w:eastAsia="zh-CN"/>
        </w:rPr>
        <w:t>跳汰粗选的尾矿经FLC</w:t>
      </w:r>
      <w:r>
        <w:rPr>
          <w:rFonts w:hint="eastAsia" w:ascii="宋体" w:hAnsi="宋体" w:eastAsia="宋体" w:cs="宋体"/>
          <w:color w:val="auto"/>
          <w:lang w:val="en-US" w:eastAsia="zh-CN"/>
        </w:rPr>
        <w:t>-</w:t>
      </w:r>
      <w:r>
        <w:rPr>
          <w:rFonts w:hint="default"/>
          <w:color w:val="auto"/>
          <w:lang w:val="en-US" w:eastAsia="zh-CN"/>
        </w:rPr>
        <w:t>1200高堰式螺旋分级机分级后给入一段棒磨机磨矿，棒磨矿产品由泵输送返回2ZKR1230振动筛。</w:t>
      </w:r>
      <w:r>
        <w:rPr>
          <w:rFonts w:hint="eastAsia" w:ascii="宋体" w:hAnsi="宋体" w:eastAsia="宋体" w:cs="宋体"/>
          <w:color w:val="auto"/>
          <w:lang w:val="en-US" w:eastAsia="zh-CN"/>
        </w:rPr>
        <w:t>-</w:t>
      </w:r>
      <w:r>
        <w:rPr>
          <w:rFonts w:hint="default"/>
          <w:color w:val="auto"/>
          <w:lang w:val="en-US" w:eastAsia="zh-CN"/>
        </w:rPr>
        <w:t>1.6mm经螺旋分级后进行跳汰选别，跳汰精矿入精选作业原料仓，跳汰尾矿自流入水力分级箱分级。水力分级箱分级粒度为</w:t>
      </w:r>
      <w:r>
        <w:rPr>
          <w:rFonts w:hint="eastAsia" w:ascii="宋体" w:hAnsi="宋体" w:eastAsia="宋体" w:cs="宋体"/>
          <w:color w:val="auto"/>
          <w:lang w:val="en-US" w:eastAsia="zh-CN"/>
        </w:rPr>
        <w:t>-</w:t>
      </w:r>
      <w:r>
        <w:rPr>
          <w:rFonts w:hint="default"/>
          <w:color w:val="auto"/>
          <w:lang w:val="en-US" w:eastAsia="zh-CN"/>
        </w:rPr>
        <w:t>1.6+0.5mm、</w:t>
      </w:r>
      <w:r>
        <w:rPr>
          <w:rFonts w:hint="eastAsia" w:ascii="宋体" w:hAnsi="宋体" w:eastAsia="宋体" w:cs="宋体"/>
          <w:color w:val="auto"/>
          <w:lang w:val="en-US" w:eastAsia="zh-CN"/>
        </w:rPr>
        <w:t>-</w:t>
      </w:r>
      <w:r>
        <w:rPr>
          <w:rFonts w:hint="default"/>
          <w:color w:val="auto"/>
          <w:lang w:val="en-US" w:eastAsia="zh-CN"/>
        </w:rPr>
        <w:t>0.5+0.23mm、</w:t>
      </w:r>
      <w:r>
        <w:rPr>
          <w:rFonts w:hint="eastAsia" w:ascii="宋体" w:hAnsi="宋体" w:eastAsia="宋体" w:cs="宋体"/>
          <w:color w:val="auto"/>
          <w:lang w:val="en-US" w:eastAsia="zh-CN"/>
        </w:rPr>
        <w:t>-</w:t>
      </w:r>
      <w:r>
        <w:rPr>
          <w:rFonts w:hint="default"/>
          <w:color w:val="auto"/>
          <w:lang w:val="en-US" w:eastAsia="zh-CN"/>
        </w:rPr>
        <w:t>0.23+0.154mm、</w:t>
      </w:r>
      <w:r>
        <w:rPr>
          <w:rFonts w:hint="eastAsia" w:ascii="宋体" w:hAnsi="宋体" w:eastAsia="宋体" w:cs="宋体"/>
          <w:color w:val="auto"/>
          <w:lang w:val="en-US" w:eastAsia="zh-CN"/>
        </w:rPr>
        <w:t>-</w:t>
      </w:r>
      <w:r>
        <w:rPr>
          <w:rFonts w:hint="default"/>
          <w:color w:val="auto"/>
          <w:lang w:val="en-US" w:eastAsia="zh-CN"/>
        </w:rPr>
        <w:t>0.154+0.074mm和</w:t>
      </w:r>
      <w:r>
        <w:rPr>
          <w:rFonts w:hint="eastAsia" w:ascii="宋体" w:hAnsi="宋体" w:eastAsia="宋体" w:cs="宋体"/>
          <w:color w:val="auto"/>
          <w:lang w:val="en-US" w:eastAsia="zh-CN"/>
        </w:rPr>
        <w:t>-</w:t>
      </w:r>
      <w:r>
        <w:rPr>
          <w:rFonts w:hint="default"/>
          <w:color w:val="auto"/>
          <w:lang w:val="en-US" w:eastAsia="zh-CN"/>
        </w:rPr>
        <w:t>0.074mm五种粒级。其中，</w:t>
      </w:r>
      <w:r>
        <w:rPr>
          <w:rFonts w:hint="eastAsia" w:ascii="宋体" w:hAnsi="宋体" w:eastAsia="宋体" w:cs="宋体"/>
          <w:color w:val="auto"/>
          <w:lang w:val="en-US" w:eastAsia="zh-CN"/>
        </w:rPr>
        <w:t>-</w:t>
      </w:r>
      <w:r>
        <w:rPr>
          <w:rFonts w:hint="default"/>
          <w:color w:val="auto"/>
          <w:lang w:val="en-US" w:eastAsia="zh-CN"/>
        </w:rPr>
        <w:t>1.6+0.5mm、</w:t>
      </w:r>
      <w:r>
        <w:rPr>
          <w:rFonts w:hint="eastAsia" w:ascii="宋体" w:hAnsi="宋体" w:eastAsia="宋体" w:cs="宋体"/>
          <w:color w:val="auto"/>
          <w:lang w:val="en-US" w:eastAsia="zh-CN"/>
        </w:rPr>
        <w:t>-</w:t>
      </w:r>
      <w:r>
        <w:rPr>
          <w:rFonts w:hint="default"/>
          <w:color w:val="auto"/>
          <w:lang w:val="en-US" w:eastAsia="zh-CN"/>
        </w:rPr>
        <w:t>0.5+0.23mm、</w:t>
      </w:r>
      <w:r>
        <w:rPr>
          <w:rFonts w:hint="eastAsia" w:ascii="宋体" w:hAnsi="宋体" w:eastAsia="宋体" w:cs="宋体"/>
          <w:color w:val="auto"/>
          <w:lang w:val="en-US" w:eastAsia="zh-CN"/>
        </w:rPr>
        <w:t>-</w:t>
      </w:r>
      <w:r>
        <w:rPr>
          <w:rFonts w:hint="default"/>
          <w:color w:val="auto"/>
          <w:lang w:val="en-US" w:eastAsia="zh-CN"/>
        </w:rPr>
        <w:t>0.23+0.154mm、</w:t>
      </w:r>
      <w:r>
        <w:rPr>
          <w:rFonts w:hint="eastAsia" w:ascii="宋体" w:hAnsi="宋体" w:eastAsia="宋体" w:cs="宋体"/>
          <w:color w:val="auto"/>
          <w:lang w:val="en-US" w:eastAsia="zh-CN"/>
        </w:rPr>
        <w:t>-</w:t>
      </w:r>
      <w:r>
        <w:rPr>
          <w:rFonts w:hint="default"/>
          <w:color w:val="auto"/>
          <w:lang w:val="en-US" w:eastAsia="zh-CN"/>
        </w:rPr>
        <w:t>0.154+0.074mm四种粒级分别进行摇床粗选和中矿摇床扫选，摇床作业的精矿均入精选作业原料仓，摇床扫选的中矿返回FLC</w:t>
      </w:r>
      <w:r>
        <w:rPr>
          <w:rFonts w:hint="eastAsia" w:ascii="宋体" w:hAnsi="宋体" w:eastAsia="宋体" w:cs="宋体"/>
          <w:color w:val="auto"/>
          <w:lang w:val="en-US" w:eastAsia="zh-CN"/>
        </w:rPr>
        <w:t>-</w:t>
      </w:r>
      <w:r>
        <w:rPr>
          <w:rFonts w:hint="default"/>
          <w:color w:val="auto"/>
          <w:lang w:val="en-US" w:eastAsia="zh-CN"/>
        </w:rPr>
        <w:t>1500高堰式螺旋分级机，摇床作业的尾矿采用2FG</w:t>
      </w:r>
      <w:r>
        <w:rPr>
          <w:rFonts w:hint="eastAsia" w:ascii="宋体" w:hAnsi="宋体" w:eastAsia="宋体" w:cs="宋体"/>
          <w:color w:val="auto"/>
          <w:lang w:val="en-US" w:eastAsia="zh-CN"/>
        </w:rPr>
        <w:t>-</w:t>
      </w:r>
      <w:r>
        <w:rPr>
          <w:rFonts w:hint="default"/>
          <w:color w:val="auto"/>
          <w:lang w:val="en-US" w:eastAsia="zh-CN"/>
        </w:rPr>
        <w:t>12螺旋洗砂机洗砂，得到粗粒尾矿，细粒尾矿入尾矿泵池。</w:t>
      </w:r>
      <w:r>
        <w:rPr>
          <w:rFonts w:hint="eastAsia" w:ascii="宋体" w:hAnsi="宋体" w:eastAsia="宋体" w:cs="宋体"/>
          <w:color w:val="auto"/>
          <w:lang w:val="en-US" w:eastAsia="zh-CN"/>
        </w:rPr>
        <w:t>-</w:t>
      </w:r>
      <w:r>
        <w:rPr>
          <w:rFonts w:hint="default"/>
          <w:color w:val="auto"/>
          <w:lang w:val="en-US" w:eastAsia="zh-CN"/>
        </w:rPr>
        <w:t>0.074mm与原生矿泥合并后经脱渣脱杂和细泥浓缩池浓缩，首先进行硫化矿一粗一精一扫浮选，而后进入离心机粗选、精选和铺布溜槽、摇床复选，得到精矿脱水后作为钨精矿配料</w:t>
      </w:r>
      <w:r>
        <w:rPr>
          <w:rFonts w:hint="eastAsia"/>
          <w:color w:val="auto"/>
          <w:lang w:val="en-US" w:eastAsia="zh-CN"/>
        </w:rPr>
        <w:t>，</w:t>
      </w:r>
      <w:r>
        <w:rPr>
          <w:rFonts w:hint="default"/>
          <w:color w:val="auto"/>
          <w:lang w:val="en-US" w:eastAsia="zh-CN"/>
        </w:rPr>
        <w:t>尾矿入尾矿泵池。</w:t>
      </w:r>
    </w:p>
    <w:p>
      <w:pPr>
        <w:rPr>
          <w:rFonts w:hint="default"/>
          <w:color w:val="auto"/>
          <w:lang w:val="en-US" w:eastAsia="zh-CN"/>
        </w:rPr>
      </w:pPr>
      <w:r>
        <w:rPr>
          <w:rFonts w:hint="default"/>
          <w:color w:val="auto"/>
          <w:lang w:val="en-US" w:eastAsia="zh-CN"/>
        </w:rPr>
        <w:t>精选作业原料首先由GPS</w:t>
      </w:r>
      <w:r>
        <w:rPr>
          <w:rFonts w:hint="eastAsia" w:ascii="宋体" w:hAnsi="宋体" w:eastAsia="宋体" w:cs="宋体"/>
          <w:color w:val="auto"/>
          <w:lang w:val="en-US" w:eastAsia="zh-CN"/>
        </w:rPr>
        <w:t>-</w:t>
      </w:r>
      <w:r>
        <w:rPr>
          <w:rFonts w:hint="default"/>
          <w:color w:val="auto"/>
          <w:lang w:val="en-US" w:eastAsia="zh-CN"/>
        </w:rPr>
        <w:t>1400高频振动筛分级，+1.6mm返回对辊机对辊，</w:t>
      </w:r>
      <w:r>
        <w:rPr>
          <w:rFonts w:hint="eastAsia" w:ascii="宋体" w:hAnsi="宋体" w:eastAsia="宋体" w:cs="宋体"/>
          <w:color w:val="auto"/>
          <w:lang w:val="en-US" w:eastAsia="zh-CN"/>
        </w:rPr>
        <w:t>-</w:t>
      </w:r>
      <w:r>
        <w:rPr>
          <w:rFonts w:hint="default"/>
          <w:color w:val="auto"/>
          <w:lang w:val="en-US" w:eastAsia="zh-CN"/>
        </w:rPr>
        <w:t>1.6+0.2mm进行一粗一扫台浮</w:t>
      </w:r>
      <w:r>
        <w:rPr>
          <w:rFonts w:hint="eastAsia"/>
          <w:color w:val="auto"/>
          <w:lang w:val="en-US" w:eastAsia="zh-CN"/>
        </w:rPr>
        <w:t>，</w:t>
      </w:r>
      <w:r>
        <w:rPr>
          <w:rFonts w:hint="eastAsia" w:ascii="宋体" w:hAnsi="宋体" w:eastAsia="宋体" w:cs="宋体"/>
          <w:color w:val="auto"/>
          <w:lang w:val="en-US" w:eastAsia="zh-CN"/>
        </w:rPr>
        <w:t>-</w:t>
      </w:r>
      <w:r>
        <w:rPr>
          <w:rFonts w:hint="default"/>
          <w:color w:val="auto"/>
          <w:lang w:val="en-US" w:eastAsia="zh-CN"/>
        </w:rPr>
        <w:t>0.2mm进行一粗一扫一精浮硫。</w:t>
      </w:r>
      <w:r>
        <w:rPr>
          <w:rFonts w:hint="eastAsia" w:ascii="宋体" w:hAnsi="宋体" w:eastAsia="宋体" w:cs="宋体"/>
          <w:color w:val="auto"/>
          <w:lang w:val="en-US" w:eastAsia="zh-CN"/>
        </w:rPr>
        <w:t>-</w:t>
      </w:r>
      <w:r>
        <w:rPr>
          <w:rFonts w:hint="default"/>
          <w:color w:val="auto"/>
          <w:lang w:val="en-US" w:eastAsia="zh-CN"/>
        </w:rPr>
        <w:t>1.6+0.2mm台浮精矿收集烘干后分粒级磁选，磁选尾矿对辊后返回精选作业原料仓，磁选精矿作为黑钨精矿。台浮尾矿和浮硫精矿合并浓缩后分级、磨矿进行铜铋混浮</w:t>
      </w:r>
      <w:r>
        <w:rPr>
          <w:rFonts w:hint="eastAsia"/>
          <w:color w:val="auto"/>
          <w:lang w:val="en-US" w:eastAsia="zh-CN"/>
        </w:rPr>
        <w:t>（</w:t>
      </w:r>
      <w:r>
        <w:rPr>
          <w:rFonts w:hint="default"/>
          <w:color w:val="auto"/>
          <w:lang w:val="en-US" w:eastAsia="zh-CN"/>
        </w:rPr>
        <w:t>一粗一扫</w:t>
      </w:r>
      <w:r>
        <w:rPr>
          <w:rFonts w:hint="eastAsia"/>
          <w:color w:val="auto"/>
          <w:lang w:val="en-US" w:eastAsia="zh-CN"/>
        </w:rPr>
        <w:t>）</w:t>
      </w:r>
      <w:r>
        <w:rPr>
          <w:rFonts w:hint="default"/>
          <w:color w:val="auto"/>
          <w:lang w:val="en-US" w:eastAsia="zh-CN"/>
        </w:rPr>
        <w:t>和铜铋分离浮选</w:t>
      </w:r>
      <w:r>
        <w:rPr>
          <w:rFonts w:hint="eastAsia"/>
          <w:color w:val="auto"/>
          <w:lang w:val="en-US" w:eastAsia="zh-CN"/>
        </w:rPr>
        <w:t>（</w:t>
      </w:r>
      <w:r>
        <w:rPr>
          <w:rFonts w:hint="default"/>
          <w:color w:val="auto"/>
          <w:lang w:val="en-US" w:eastAsia="zh-CN"/>
        </w:rPr>
        <w:t>一粗一精一扫</w:t>
      </w:r>
      <w:r>
        <w:rPr>
          <w:rFonts w:hint="eastAsia"/>
          <w:color w:val="auto"/>
          <w:lang w:val="en-US" w:eastAsia="zh-CN"/>
        </w:rPr>
        <w:t>）</w:t>
      </w:r>
      <w:r>
        <w:rPr>
          <w:rFonts w:hint="default"/>
          <w:color w:val="auto"/>
          <w:lang w:val="en-US" w:eastAsia="zh-CN"/>
        </w:rPr>
        <w:t>，最终得到铋精矿泡沫自然脱水得到铋精矿，铜精矿泡沫经浓密、陶瓷过滤机过滤得到铜精矿。</w:t>
      </w:r>
      <w:r>
        <w:rPr>
          <w:rFonts w:hint="eastAsia" w:ascii="宋体" w:hAnsi="宋体" w:eastAsia="宋体" w:cs="宋体"/>
          <w:color w:val="auto"/>
          <w:lang w:val="en-US" w:eastAsia="zh-CN"/>
        </w:rPr>
        <w:t>-</w:t>
      </w:r>
      <w:r>
        <w:rPr>
          <w:rFonts w:hint="default"/>
          <w:color w:val="auto"/>
          <w:lang w:val="en-US" w:eastAsia="zh-CN"/>
        </w:rPr>
        <w:t>0.2mm浮选尾矿进摇床一粗一扫重选，重选精矿烘干、磁选得到黑钨精矿，磁选尾矿造浆后进行白钨和锡石浮选分离</w:t>
      </w:r>
      <w:r>
        <w:rPr>
          <w:rFonts w:hint="eastAsia"/>
          <w:color w:val="auto"/>
          <w:lang w:val="en-US" w:eastAsia="zh-CN"/>
        </w:rPr>
        <w:t>（</w:t>
      </w:r>
      <w:r>
        <w:rPr>
          <w:rFonts w:hint="default"/>
          <w:color w:val="auto"/>
          <w:lang w:val="en-US" w:eastAsia="zh-CN"/>
        </w:rPr>
        <w:t>一粗一精一扫</w:t>
      </w:r>
      <w:r>
        <w:rPr>
          <w:rFonts w:hint="eastAsia"/>
          <w:color w:val="auto"/>
          <w:lang w:val="en-US" w:eastAsia="zh-CN"/>
        </w:rPr>
        <w:t>）</w:t>
      </w:r>
      <w:r>
        <w:rPr>
          <w:rFonts w:hint="default"/>
          <w:color w:val="auto"/>
          <w:lang w:val="en-US" w:eastAsia="zh-CN"/>
        </w:rPr>
        <w:t>，浮选精、尾矿自然脱水后得到白钨精矿和锡精矿。</w:t>
      </w:r>
    </w:p>
    <w:p>
      <w:pPr>
        <w:rPr>
          <w:rFonts w:hint="default"/>
          <w:color w:val="auto"/>
          <w:lang w:val="en-US" w:eastAsia="zh-CN"/>
        </w:rPr>
      </w:pPr>
      <w:r>
        <w:rPr>
          <w:rFonts w:hint="default"/>
          <w:color w:val="auto"/>
          <w:lang w:val="en-US" w:eastAsia="zh-CN"/>
        </w:rPr>
        <w:t>选矿厂细粒级总尾矿利用地势自流入</w:t>
      </w:r>
      <w:r>
        <w:rPr>
          <w:rFonts w:hint="default" w:ascii="Times New Roman" w:hAnsi="Times New Roman" w:cs="Times New Roman"/>
          <w:color w:val="auto"/>
          <w:lang w:val="en-US" w:eastAsia="zh-CN"/>
        </w:rPr>
        <w:t>Ф=20m</w:t>
      </w:r>
      <w:r>
        <w:rPr>
          <w:rFonts w:hint="default"/>
          <w:color w:val="auto"/>
          <w:lang w:val="en-US" w:eastAsia="zh-CN"/>
        </w:rPr>
        <w:t>尾矿浓缩池，浓缩后底流可由泵送往尾矿库堆存或供井下充填使用。</w:t>
      </w:r>
    </w:p>
    <w:p>
      <w:pPr>
        <w:pStyle w:val="4"/>
        <w:bidi w:val="0"/>
        <w:rPr>
          <w:rFonts w:hint="eastAsia"/>
          <w:color w:val="auto"/>
          <w:lang w:val="en-US" w:eastAsia="zh-CN"/>
        </w:rPr>
      </w:pPr>
      <w:bookmarkStart w:id="103" w:name="_Toc12328"/>
      <w:bookmarkStart w:id="104" w:name="_Toc1005"/>
      <w:r>
        <w:rPr>
          <w:rFonts w:hint="eastAsia"/>
          <w:color w:val="auto"/>
          <w:lang w:val="en-US" w:eastAsia="zh-CN"/>
        </w:rPr>
        <w:t>2.7.3 主要设备选择结果</w:t>
      </w:r>
      <w:bookmarkEnd w:id="103"/>
      <w:bookmarkEnd w:id="104"/>
    </w:p>
    <w:p>
      <w:pPr>
        <w:rPr>
          <w:rFonts w:hint="default"/>
          <w:color w:val="auto"/>
          <w:lang w:val="en-US" w:eastAsia="zh-CN"/>
        </w:rPr>
      </w:pPr>
      <w:r>
        <w:rPr>
          <w:rFonts w:hint="default"/>
          <w:color w:val="auto"/>
          <w:lang w:val="en-US" w:eastAsia="zh-CN"/>
        </w:rPr>
        <w:t>主要设备选择结果见表</w:t>
      </w:r>
      <w:r>
        <w:rPr>
          <w:rFonts w:hint="eastAsia"/>
          <w:color w:val="auto"/>
          <w:lang w:val="en-US" w:eastAsia="zh-CN"/>
        </w:rPr>
        <w:t>2-12</w:t>
      </w:r>
      <w:r>
        <w:rPr>
          <w:rFonts w:hint="default"/>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default"/>
          <w:color w:val="auto"/>
          <w:lang w:val="en-US" w:eastAsia="zh-CN"/>
        </w:rPr>
        <w:t>表2-</w:t>
      </w:r>
      <w:r>
        <w:rPr>
          <w:rFonts w:hint="eastAsia"/>
          <w:color w:val="auto"/>
          <w:lang w:val="en-US" w:eastAsia="zh-CN"/>
        </w:rPr>
        <w:t>12</w:t>
      </w:r>
      <w:r>
        <w:rPr>
          <w:rFonts w:hint="default"/>
          <w:color w:val="auto"/>
          <w:lang w:val="en-US" w:eastAsia="zh-CN"/>
        </w:rPr>
        <w:t xml:space="preserve"> 主要设备一览表</w:t>
      </w:r>
    </w:p>
    <w:tbl>
      <w:tblPr>
        <w:tblStyle w:val="34"/>
        <w:tblW w:w="507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95"/>
        <w:gridCol w:w="4326"/>
        <w:gridCol w:w="999"/>
        <w:gridCol w:w="850"/>
        <w:gridCol w:w="22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432" w:type="pct"/>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序号</w:t>
            </w:r>
          </w:p>
        </w:tc>
        <w:tc>
          <w:tcPr>
            <w:tcW w:w="2347" w:type="pct"/>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型号及名称</w:t>
            </w:r>
          </w:p>
        </w:tc>
        <w:tc>
          <w:tcPr>
            <w:tcW w:w="542" w:type="pct"/>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单位</w:t>
            </w:r>
          </w:p>
        </w:tc>
        <w:tc>
          <w:tcPr>
            <w:tcW w:w="461" w:type="pct"/>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数量</w:t>
            </w:r>
          </w:p>
        </w:tc>
        <w:tc>
          <w:tcPr>
            <w:tcW w:w="1216" w:type="pct"/>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432"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347"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542"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461"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16"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position w:val="-4"/>
                <w:sz w:val="21"/>
                <w:szCs w:val="21"/>
                <w:lang w:val="en-US" w:eastAsia="en-US" w:bidi="ar-SA"/>
                <w14:textOutline w14:w="4000" w14:cap="flat" w14:cmpd="sng">
                  <w14:solidFill>
                    <w14:srgbClr w14:val="000000"/>
                  </w14:solidFill>
                  <w14:prstDash w14:val="solid"/>
                  <w14:miter w14:val="0"/>
                </w14:textOutline>
              </w:rPr>
              <w:t>一</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14:textOutline w14:w="4000" w14:cap="flat" w14:cmpd="sng">
                  <w14:solidFill>
                    <w14:srgbClr w14:val="000000"/>
                  </w14:solidFill>
                  <w14:prstDash w14:val="solid"/>
                  <w14:miter w14:val="0"/>
                </w14:textOutline>
              </w:rPr>
              <w:t>粗碎厂房</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HPF1040</w:t>
            </w:r>
            <w:r>
              <w:rPr>
                <w:rFonts w:hint="default" w:ascii="Times New Roman" w:hAnsi="Times New Roman" w:eastAsia="宋体" w:cs="Times New Roman"/>
                <w:snapToGrid w:val="0"/>
                <w:color w:val="auto"/>
                <w:spacing w:val="-43"/>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棒条振动给料机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变频调速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PE600×900</w:t>
            </w:r>
            <w:r>
              <w:rPr>
                <w:rFonts w:hint="default" w:ascii="Times New Roman" w:hAnsi="Times New Roman" w:eastAsia="宋体" w:cs="Times New Roman"/>
                <w:snapToGrid w:val="0"/>
                <w:color w:val="auto"/>
                <w:spacing w:val="-44"/>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颚式破碎机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40P-SP</w:t>
            </w:r>
            <w:r>
              <w:rPr>
                <w:rFonts w:hint="default" w:ascii="Times New Roman" w:hAnsi="Times New Roman" w:eastAsia="宋体" w:cs="Times New Roman"/>
                <w:snapToGrid w:val="0"/>
                <w:color w:val="auto"/>
                <w:spacing w:val="-44"/>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液下泵</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LD</w:t>
            </w:r>
            <w:r>
              <w:rPr>
                <w:rFonts w:hint="default" w:ascii="Times New Roman" w:hAnsi="Times New Roman" w:eastAsia="宋体" w:cs="Times New Roman"/>
                <w:snapToGrid w:val="0"/>
                <w:color w:val="auto"/>
                <w:spacing w:val="-13"/>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电动单梁起重机</w:t>
            </w:r>
            <w:r>
              <w:rPr>
                <w:rFonts w:hint="default" w:ascii="Times New Roman" w:hAnsi="Times New Roman" w:eastAsia="宋体" w:cs="Times New Roman"/>
                <w:snapToGrid w:val="0"/>
                <w:color w:val="auto"/>
                <w:spacing w:val="-48"/>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Q=10t  Lk=6.0m</w:t>
            </w:r>
            <w:r>
              <w:rPr>
                <w:rFonts w:hint="default" w:ascii="Times New Roman" w:hAnsi="Times New Roman" w:eastAsia="宋体" w:cs="Times New Roman"/>
                <w:snapToGrid w:val="0"/>
                <w:color w:val="auto"/>
                <w:spacing w:val="-37"/>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H=15m</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5</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skb500</w:t>
            </w:r>
            <w:r>
              <w:rPr>
                <w:rFonts w:hint="default" w:ascii="Times New Roman" w:hAnsi="Times New Roman" w:eastAsia="宋体" w:cs="Times New Roman"/>
                <w:snapToGrid w:val="0"/>
                <w:color w:val="auto"/>
                <w:spacing w:val="-15"/>
                <w:kern w:val="0"/>
                <w:sz w:val="21"/>
                <w:szCs w:val="21"/>
                <w:lang w:val="en-US" w:eastAsia="en-US" w:bidi="ar-SA"/>
              </w:rPr>
              <w:t xml:space="preserve"> </w:t>
            </w:r>
            <w:r>
              <w:rPr>
                <w:rFonts w:hint="default" w:ascii="Times New Roman" w:hAnsi="Times New Roman" w:eastAsia="宋体" w:cs="Times New Roman"/>
                <w:snapToGrid w:val="0"/>
                <w:color w:val="auto"/>
                <w:spacing w:val="-4"/>
                <w:kern w:val="0"/>
                <w:sz w:val="21"/>
                <w:szCs w:val="21"/>
                <w:lang w:val="en-US" w:eastAsia="en-US" w:bidi="ar-SA"/>
              </w:rPr>
              <w:t>固定式液压破碎锤</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14:textOutline w14:w="4000" w14:cap="flat" w14:cmpd="sng">
                  <w14:solidFill>
                    <w14:srgbClr w14:val="000000"/>
                  </w14:solidFill>
                  <w14:prstDash w14:val="solid"/>
                  <w14:miter w14:val="0"/>
                </w14:textOutline>
              </w:rPr>
              <w:t>二</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14:textOutline w14:w="4000" w14:cap="flat" w14:cmpd="sng">
                  <w14:solidFill>
                    <w14:srgbClr w14:val="000000"/>
                  </w14:solidFill>
                  <w14:prstDash w14:val="solid"/>
                  <w14:miter w14:val="0"/>
                </w14:textOutline>
              </w:rPr>
              <w:t>除铁器室</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RCDB-8T2</w:t>
            </w:r>
            <w:r>
              <w:rPr>
                <w:rFonts w:hint="default" w:ascii="Times New Roman" w:hAnsi="Times New Roman" w:eastAsia="宋体" w:cs="Times New Roman"/>
                <w:snapToGrid w:val="0"/>
                <w:color w:val="auto"/>
                <w:spacing w:val="-15"/>
                <w:kern w:val="0"/>
                <w:sz w:val="21"/>
                <w:szCs w:val="21"/>
                <w:lang w:val="en-US" w:eastAsia="en-US" w:bidi="ar-SA"/>
              </w:rPr>
              <w:t xml:space="preserve"> </w:t>
            </w:r>
            <w:r>
              <w:rPr>
                <w:rFonts w:hint="default" w:ascii="Times New Roman" w:hAnsi="Times New Roman" w:eastAsia="宋体" w:cs="Times New Roman"/>
                <w:snapToGrid w:val="0"/>
                <w:color w:val="auto"/>
                <w:spacing w:val="-3"/>
                <w:kern w:val="0"/>
                <w:sz w:val="21"/>
                <w:szCs w:val="21"/>
                <w:lang w:val="en-US" w:eastAsia="en-US" w:bidi="ar-SA"/>
              </w:rPr>
              <w:t>电磁盘式除铁器</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电动葫芦</w:t>
            </w:r>
            <w:r>
              <w:rPr>
                <w:rFonts w:hint="default" w:ascii="Times New Roman" w:hAnsi="Times New Roman" w:eastAsia="宋体" w:cs="Times New Roman"/>
                <w:snapToGrid w:val="0"/>
                <w:color w:val="auto"/>
                <w:spacing w:val="-50"/>
                <w:kern w:val="0"/>
                <w:sz w:val="21"/>
                <w:szCs w:val="21"/>
                <w:lang w:val="en-US" w:eastAsia="en-US" w:bidi="ar-SA"/>
              </w:rPr>
              <w:t xml:space="preserve"> </w:t>
            </w:r>
            <w:r>
              <w:rPr>
                <w:rFonts w:hint="default" w:ascii="Times New Roman" w:hAnsi="Times New Roman" w:eastAsia="宋体" w:cs="Times New Roman"/>
                <w:snapToGrid w:val="0"/>
                <w:color w:val="auto"/>
                <w:spacing w:val="-3"/>
                <w:kern w:val="0"/>
                <w:sz w:val="21"/>
                <w:szCs w:val="21"/>
                <w:lang w:val="en-US" w:eastAsia="en-US" w:bidi="ar-SA"/>
              </w:rPr>
              <w:t>MD13-9D</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14:textOutline w14:w="4000" w14:cap="flat" w14:cmpd="sng">
                  <w14:solidFill>
                    <w14:srgbClr w14:val="000000"/>
                  </w14:solidFill>
                  <w14:prstDash w14:val="solid"/>
                  <w14:miter w14:val="0"/>
                </w14:textOutline>
              </w:rPr>
              <w:t>三</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14:textOutline w14:w="4000" w14:cap="flat" w14:cmpd="sng">
                  <w14:solidFill>
                    <w14:srgbClr w14:val="000000"/>
                  </w14:solidFill>
                  <w14:prstDash w14:val="solid"/>
                  <w14:miter w14:val="0"/>
                </w14:textOutline>
              </w:rPr>
              <w:t>中碎厂房</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1#胶带输送机</w:t>
            </w:r>
            <w:r>
              <w:rPr>
                <w:rFonts w:hint="default" w:ascii="Times New Roman" w:hAnsi="Times New Roman" w:eastAsia="宋体" w:cs="Times New Roman"/>
                <w:snapToGrid w:val="0"/>
                <w:color w:val="auto"/>
                <w:spacing w:val="-46"/>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TD75-8050</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振动筛</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PEX250×1200</w:t>
            </w:r>
            <w:r>
              <w:rPr>
                <w:rFonts w:hint="default" w:ascii="Times New Roman" w:hAnsi="Times New Roman" w:eastAsia="宋体" w:cs="Times New Roman"/>
                <w:snapToGrid w:val="0"/>
                <w:color w:val="auto"/>
                <w:spacing w:val="-38"/>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细碎型颚式破碎机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40P-SP</w:t>
            </w:r>
            <w:r>
              <w:rPr>
                <w:rFonts w:hint="default" w:ascii="Times New Roman" w:hAnsi="Times New Roman" w:eastAsia="宋体" w:cs="Times New Roman"/>
                <w:snapToGrid w:val="0"/>
                <w:color w:val="auto"/>
                <w:spacing w:val="-44"/>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液下泵</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5</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LD</w:t>
            </w:r>
            <w:r>
              <w:rPr>
                <w:rFonts w:hint="default" w:ascii="Times New Roman" w:hAnsi="Times New Roman" w:eastAsia="宋体" w:cs="Times New Roman"/>
                <w:snapToGrid w:val="0"/>
                <w:color w:val="auto"/>
                <w:spacing w:val="-13"/>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电动单梁起重机</w:t>
            </w:r>
            <w:r>
              <w:rPr>
                <w:rFonts w:hint="default" w:ascii="Times New Roman" w:hAnsi="Times New Roman" w:eastAsia="宋体" w:cs="Times New Roman"/>
                <w:snapToGrid w:val="0"/>
                <w:color w:val="auto"/>
                <w:spacing w:val="-48"/>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Q=5t  Lk=10.5m</w:t>
            </w:r>
            <w:r>
              <w:rPr>
                <w:rFonts w:hint="default" w:ascii="Times New Roman" w:hAnsi="Times New Roman" w:eastAsia="宋体" w:cs="Times New Roman"/>
                <w:snapToGrid w:val="0"/>
                <w:color w:val="auto"/>
                <w:spacing w:val="-37"/>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H=15m</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14:textOutline w14:w="4000" w14:cap="flat" w14:cmpd="sng">
                  <w14:solidFill>
                    <w14:srgbClr w14:val="000000"/>
                  </w14:solidFill>
                  <w14:prstDash w14:val="solid"/>
                  <w14:miter w14:val="0"/>
                </w14:textOutline>
              </w:rPr>
              <w:t>四</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14:textOutline w14:w="4000" w14:cap="flat" w14:cmpd="sng">
                  <w14:solidFill>
                    <w14:srgbClr w14:val="000000"/>
                  </w14:solidFill>
                  <w14:prstDash w14:val="solid"/>
                  <w14:miter w14:val="0"/>
                </w14:textOutline>
              </w:rPr>
              <w:t>筛洗及预选厂房</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2#胶带输送机</w:t>
            </w:r>
            <w:r>
              <w:rPr>
                <w:rFonts w:hint="default" w:ascii="Times New Roman" w:hAnsi="Times New Roman" w:eastAsia="宋体" w:cs="Times New Roman"/>
                <w:snapToGrid w:val="0"/>
                <w:color w:val="auto"/>
                <w:spacing w:val="-48"/>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TD75-8050</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2YKR1645H</w:t>
            </w:r>
            <w:r>
              <w:rPr>
                <w:rFonts w:hint="default" w:ascii="Times New Roman" w:hAnsi="Times New Roman" w:eastAsia="宋体" w:cs="Times New Roman"/>
                <w:snapToGrid w:val="0"/>
                <w:color w:val="auto"/>
                <w:spacing w:val="-37"/>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双层振动筛</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3#胶带输送机</w:t>
            </w:r>
            <w:r>
              <w:rPr>
                <w:rFonts w:hint="default" w:ascii="Times New Roman" w:hAnsi="Times New Roman" w:eastAsia="宋体" w:cs="Times New Roman"/>
                <w:snapToGrid w:val="0"/>
                <w:color w:val="auto"/>
                <w:spacing w:val="-49"/>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TD75-6550</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4#胶带输送机</w:t>
            </w:r>
            <w:r>
              <w:rPr>
                <w:rFonts w:hint="default" w:ascii="Times New Roman" w:hAnsi="Times New Roman" w:eastAsia="宋体" w:cs="Times New Roman"/>
                <w:snapToGrid w:val="0"/>
                <w:color w:val="auto"/>
                <w:spacing w:val="-45"/>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TD75-6550</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5</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FLG-1500</w:t>
            </w:r>
            <w:r>
              <w:rPr>
                <w:rFonts w:hint="default" w:ascii="Times New Roman" w:hAnsi="Times New Roman" w:eastAsia="宋体" w:cs="Times New Roman"/>
                <w:snapToGrid w:val="0"/>
                <w:color w:val="auto"/>
                <w:spacing w:val="-43"/>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高堰式螺旋分级机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6</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SIXS-1200</w:t>
            </w:r>
            <w:r>
              <w:rPr>
                <w:rFonts w:hint="default" w:ascii="Times New Roman" w:hAnsi="Times New Roman" w:eastAsia="宋体" w:cs="Times New Roman"/>
                <w:snapToGrid w:val="0"/>
                <w:color w:val="auto"/>
                <w:spacing w:val="-31"/>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型智能矿石分选机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变频调速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7</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40P-SP</w:t>
            </w:r>
            <w:r>
              <w:rPr>
                <w:rFonts w:hint="default" w:ascii="Times New Roman" w:hAnsi="Times New Roman" w:eastAsia="宋体" w:cs="Times New Roman"/>
                <w:snapToGrid w:val="0"/>
                <w:color w:val="auto"/>
                <w:spacing w:val="-44"/>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液下泵</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8</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LD</w:t>
            </w:r>
            <w:r>
              <w:rPr>
                <w:rFonts w:hint="default" w:ascii="Times New Roman" w:hAnsi="Times New Roman" w:eastAsia="宋体" w:cs="Times New Roman"/>
                <w:snapToGrid w:val="0"/>
                <w:color w:val="auto"/>
                <w:spacing w:val="-13"/>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电动单梁起重机</w:t>
            </w:r>
            <w:r>
              <w:rPr>
                <w:rFonts w:hint="default" w:ascii="Times New Roman" w:hAnsi="Times New Roman" w:eastAsia="宋体" w:cs="Times New Roman"/>
                <w:snapToGrid w:val="0"/>
                <w:color w:val="auto"/>
                <w:spacing w:val="-48"/>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Q=5t，LK=21m，H=18m</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14:textOutline w14:w="4000" w14:cap="flat" w14:cmpd="sng">
                  <w14:solidFill>
                    <w14:srgbClr w14:val="000000"/>
                  </w14:solidFill>
                  <w14:prstDash w14:val="solid"/>
                  <w14:miter w14:val="0"/>
                </w14:textOutline>
              </w:rPr>
              <w:t>五</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14:textOutline w14:w="4000" w14:cap="flat" w14:cmpd="sng">
                  <w14:solidFill>
                    <w14:srgbClr w14:val="000000"/>
                  </w14:solidFill>
                  <w14:prstDash w14:val="solid"/>
                  <w14:miter w14:val="0"/>
                </w14:textOutline>
              </w:rPr>
              <w:t>细碎厂房</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6#胶带输送机</w:t>
            </w:r>
            <w:r>
              <w:rPr>
                <w:rFonts w:hint="default" w:ascii="Times New Roman" w:hAnsi="Times New Roman" w:eastAsia="宋体" w:cs="Times New Roman"/>
                <w:snapToGrid w:val="0"/>
                <w:color w:val="auto"/>
                <w:spacing w:val="-48"/>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TD75-6550</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电液扇形闸门</w:t>
            </w:r>
            <w:r>
              <w:rPr>
                <w:rFonts w:hint="default" w:ascii="Times New Roman" w:hAnsi="Times New Roman" w:eastAsia="宋体" w:cs="Times New Roman"/>
                <w:snapToGrid w:val="0"/>
                <w:color w:val="auto"/>
                <w:spacing w:val="-36"/>
                <w:kern w:val="0"/>
                <w:sz w:val="21"/>
                <w:szCs w:val="21"/>
                <w:lang w:val="en-US" w:eastAsia="en-US" w:bidi="ar-SA"/>
              </w:rPr>
              <w:t xml:space="preserve"> </w:t>
            </w:r>
            <w:r>
              <w:rPr>
                <w:rFonts w:hint="default" w:ascii="Times New Roman" w:hAnsi="Times New Roman" w:eastAsia="宋体" w:cs="Times New Roman"/>
                <w:snapToGrid w:val="0"/>
                <w:color w:val="auto"/>
                <w:spacing w:val="-3"/>
                <w:kern w:val="0"/>
                <w:sz w:val="21"/>
                <w:szCs w:val="21"/>
                <w:lang w:val="en-US" w:eastAsia="en-US" w:bidi="ar-SA"/>
              </w:rPr>
              <w:t>DSZ-800×1000</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可移动胶带输送机</w:t>
            </w:r>
            <w:r>
              <w:rPr>
                <w:rFonts w:hint="default" w:ascii="Times New Roman" w:hAnsi="Times New Roman" w:eastAsia="宋体" w:cs="Times New Roman"/>
                <w:snapToGrid w:val="0"/>
                <w:color w:val="auto"/>
                <w:spacing w:val="-49"/>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TD75-6550</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CH420</w:t>
            </w:r>
            <w:r>
              <w:rPr>
                <w:rFonts w:hint="default" w:ascii="Times New Roman" w:hAnsi="Times New Roman" w:eastAsia="宋体" w:cs="Times New Roman"/>
                <w:snapToGrid w:val="0"/>
                <w:color w:val="auto"/>
                <w:spacing w:val="-22"/>
                <w:kern w:val="0"/>
                <w:sz w:val="21"/>
                <w:szCs w:val="21"/>
                <w:lang w:val="en-US" w:eastAsia="en-US" w:bidi="ar-SA"/>
              </w:rPr>
              <w:t xml:space="preserve"> </w:t>
            </w:r>
            <w:r>
              <w:rPr>
                <w:rFonts w:hint="default" w:ascii="Times New Roman" w:hAnsi="Times New Roman" w:eastAsia="宋体" w:cs="Times New Roman"/>
                <w:snapToGrid w:val="0"/>
                <w:color w:val="auto"/>
                <w:spacing w:val="-4"/>
                <w:kern w:val="0"/>
                <w:sz w:val="21"/>
                <w:szCs w:val="21"/>
                <w:lang w:val="en-US" w:eastAsia="en-US" w:bidi="ar-SA"/>
              </w:rPr>
              <w:t>圆锥破碎机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5</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40P-SP</w:t>
            </w:r>
            <w:r>
              <w:rPr>
                <w:rFonts w:hint="default" w:ascii="Times New Roman" w:hAnsi="Times New Roman" w:eastAsia="宋体" w:cs="Times New Roman"/>
                <w:snapToGrid w:val="0"/>
                <w:color w:val="auto"/>
                <w:spacing w:val="-44"/>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液下泵</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2"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6</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LD 电动单梁起重机</w:t>
            </w:r>
            <w:r>
              <w:rPr>
                <w:rFonts w:hint="default" w:ascii="Times New Roman" w:hAnsi="Times New Roman" w:eastAsia="宋体" w:cs="Times New Roman"/>
                <w:snapToGrid w:val="0"/>
                <w:color w:val="auto"/>
                <w:spacing w:val="-32"/>
                <w:kern w:val="0"/>
                <w:sz w:val="21"/>
                <w:szCs w:val="21"/>
                <w:lang w:val="en-US" w:eastAsia="en-US" w:bidi="ar-SA"/>
              </w:rPr>
              <w:t xml:space="preserve"> </w:t>
            </w:r>
            <w:r>
              <w:rPr>
                <w:rFonts w:hint="default" w:ascii="Times New Roman" w:hAnsi="Times New Roman" w:eastAsia="宋体" w:cs="Times New Roman"/>
                <w:snapToGrid w:val="0"/>
                <w:color w:val="auto"/>
                <w:spacing w:val="-8"/>
                <w:kern w:val="0"/>
                <w:sz w:val="21"/>
                <w:szCs w:val="21"/>
                <w:lang w:val="en-US" w:eastAsia="en-US" w:bidi="ar-SA"/>
              </w:rPr>
              <w:t>Q=5t，LK=10.5m，H=12m</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14:textOutline w14:w="4000" w14:cap="flat" w14:cmpd="sng">
                  <w14:solidFill>
                    <w14:srgbClr w14:val="000000"/>
                  </w14:solidFill>
                  <w14:prstDash w14:val="solid"/>
                  <w14:miter w14:val="0"/>
                </w14:textOutline>
              </w:rPr>
              <w:t>六</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14:textOutline w14:w="4000" w14:cap="flat" w14:cmpd="sng">
                  <w14:solidFill>
                    <w14:srgbClr w14:val="000000"/>
                  </w14:solidFill>
                  <w14:prstDash w14:val="solid"/>
                  <w14:miter w14:val="0"/>
                </w14:textOutline>
              </w:rPr>
              <w:t>筛分车间</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5#胶带输送机</w:t>
            </w:r>
            <w:r>
              <w:rPr>
                <w:rFonts w:hint="default" w:ascii="Times New Roman" w:hAnsi="Times New Roman" w:eastAsia="宋体" w:cs="Times New Roman"/>
                <w:snapToGrid w:val="0"/>
                <w:color w:val="auto"/>
                <w:spacing w:val="-49"/>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TD75-6550</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7#胶带输送机</w:t>
            </w:r>
            <w:r>
              <w:rPr>
                <w:rFonts w:hint="default" w:ascii="Times New Roman" w:hAnsi="Times New Roman" w:eastAsia="宋体" w:cs="Times New Roman"/>
                <w:snapToGrid w:val="0"/>
                <w:color w:val="auto"/>
                <w:spacing w:val="-35"/>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TD75-6550</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2YKR1645H</w:t>
            </w:r>
            <w:r>
              <w:rPr>
                <w:rFonts w:hint="default" w:ascii="Times New Roman" w:hAnsi="Times New Roman" w:eastAsia="宋体" w:cs="Times New Roman"/>
                <w:snapToGrid w:val="0"/>
                <w:color w:val="auto"/>
                <w:spacing w:val="-37"/>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双层振动筛</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电动葫芦</w:t>
            </w:r>
            <w:r>
              <w:rPr>
                <w:rFonts w:hint="default" w:ascii="Times New Roman" w:hAnsi="Times New Roman" w:eastAsia="宋体" w:cs="Times New Roman"/>
                <w:snapToGrid w:val="0"/>
                <w:color w:val="auto"/>
                <w:spacing w:val="-53"/>
                <w:kern w:val="0"/>
                <w:sz w:val="21"/>
                <w:szCs w:val="21"/>
                <w:lang w:val="en-US" w:eastAsia="en-US" w:bidi="ar-SA"/>
              </w:rPr>
              <w:t xml:space="preserve"> </w:t>
            </w:r>
            <w:r>
              <w:rPr>
                <w:rFonts w:hint="default" w:ascii="Times New Roman" w:hAnsi="Times New Roman" w:eastAsia="宋体" w:cs="Times New Roman"/>
                <w:snapToGrid w:val="0"/>
                <w:color w:val="auto"/>
                <w:spacing w:val="-3"/>
                <w:kern w:val="0"/>
                <w:sz w:val="21"/>
                <w:szCs w:val="21"/>
                <w:lang w:val="en-US" w:eastAsia="en-US" w:bidi="ar-SA"/>
              </w:rPr>
              <w:t>MD12-12D</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5</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LD</w:t>
            </w:r>
            <w:r>
              <w:rPr>
                <w:rFonts w:hint="default" w:ascii="Times New Roman" w:hAnsi="Times New Roman" w:eastAsia="宋体" w:cs="Times New Roman"/>
                <w:snapToGrid w:val="0"/>
                <w:color w:val="auto"/>
                <w:spacing w:val="-13"/>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电动单梁起重机</w:t>
            </w:r>
            <w:r>
              <w:rPr>
                <w:rFonts w:hint="default" w:ascii="Times New Roman" w:hAnsi="Times New Roman" w:eastAsia="宋体" w:cs="Times New Roman"/>
                <w:snapToGrid w:val="0"/>
                <w:color w:val="auto"/>
                <w:spacing w:val="-48"/>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Q=5t  Lk=10.5m</w:t>
            </w:r>
            <w:r>
              <w:rPr>
                <w:rFonts w:hint="default" w:ascii="Times New Roman" w:hAnsi="Times New Roman" w:eastAsia="宋体" w:cs="Times New Roman"/>
                <w:snapToGrid w:val="0"/>
                <w:color w:val="auto"/>
                <w:spacing w:val="-37"/>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H=15m</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14:textOutline w14:w="4000" w14:cap="flat" w14:cmpd="sng">
                  <w14:solidFill>
                    <w14:srgbClr w14:val="000000"/>
                  </w14:solidFill>
                  <w14:prstDash w14:val="solid"/>
                  <w14:miter w14:val="0"/>
                </w14:textOutline>
              </w:rPr>
              <w:t>七</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14:textOutline w14:w="4000" w14:cap="flat" w14:cmpd="sng">
                  <w14:solidFill>
                    <w14:srgbClr w14:val="000000"/>
                  </w14:solidFill>
                  <w14:prstDash w14:val="solid"/>
                  <w14:miter w14:val="0"/>
                </w14:textOutline>
              </w:rPr>
              <w:t>转运站</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8#胶带输送机</w:t>
            </w:r>
            <w:r>
              <w:rPr>
                <w:rFonts w:hint="default" w:ascii="Times New Roman" w:hAnsi="Times New Roman" w:eastAsia="宋体" w:cs="Times New Roman"/>
                <w:snapToGrid w:val="0"/>
                <w:color w:val="auto"/>
                <w:spacing w:val="-47"/>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TD75-6550</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电动葫芦</w:t>
            </w:r>
            <w:r>
              <w:rPr>
                <w:rFonts w:hint="default" w:ascii="Times New Roman" w:hAnsi="Times New Roman" w:eastAsia="宋体" w:cs="Times New Roman"/>
                <w:snapToGrid w:val="0"/>
                <w:color w:val="auto"/>
                <w:spacing w:val="-53"/>
                <w:kern w:val="0"/>
                <w:sz w:val="21"/>
                <w:szCs w:val="21"/>
                <w:lang w:val="en-US" w:eastAsia="en-US" w:bidi="ar-SA"/>
              </w:rPr>
              <w:t xml:space="preserve"> </w:t>
            </w:r>
            <w:r>
              <w:rPr>
                <w:rFonts w:hint="default" w:ascii="Times New Roman" w:hAnsi="Times New Roman" w:eastAsia="宋体" w:cs="Times New Roman"/>
                <w:snapToGrid w:val="0"/>
                <w:color w:val="auto"/>
                <w:spacing w:val="-3"/>
                <w:kern w:val="0"/>
                <w:sz w:val="21"/>
                <w:szCs w:val="21"/>
                <w:lang w:val="en-US" w:eastAsia="en-US" w:bidi="ar-SA"/>
              </w:rPr>
              <w:t>MD12-24D</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14:textOutline w14:w="4000" w14:cap="flat" w14:cmpd="sng">
                  <w14:solidFill>
                    <w14:srgbClr w14:val="000000"/>
                  </w14:solidFill>
                  <w14:prstDash w14:val="solid"/>
                  <w14:miter w14:val="0"/>
                </w14:textOutline>
              </w:rPr>
              <w:t>八</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14:textOutline w14:w="4000" w14:cap="flat" w14:cmpd="sng">
                  <w14:solidFill>
                    <w14:srgbClr w14:val="000000"/>
                  </w14:solidFill>
                  <w14:prstDash w14:val="solid"/>
                  <w14:miter w14:val="0"/>
                </w14:textOutline>
              </w:rPr>
              <w:t>粉矿仓</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9#胶带输送机</w:t>
            </w:r>
            <w:r>
              <w:rPr>
                <w:rFonts w:hint="default" w:ascii="Times New Roman" w:hAnsi="Times New Roman" w:eastAsia="宋体" w:cs="Times New Roman"/>
                <w:snapToGrid w:val="0"/>
                <w:color w:val="auto"/>
                <w:spacing w:val="-47"/>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TD75-6550</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电动葫芦</w:t>
            </w:r>
            <w:r>
              <w:rPr>
                <w:rFonts w:hint="default" w:ascii="Times New Roman" w:hAnsi="Times New Roman" w:eastAsia="宋体" w:cs="Times New Roman"/>
                <w:snapToGrid w:val="0"/>
                <w:color w:val="auto"/>
                <w:spacing w:val="-53"/>
                <w:kern w:val="0"/>
                <w:sz w:val="21"/>
                <w:szCs w:val="21"/>
                <w:lang w:val="en-US" w:eastAsia="en-US" w:bidi="ar-SA"/>
              </w:rPr>
              <w:t xml:space="preserve"> </w:t>
            </w:r>
            <w:r>
              <w:rPr>
                <w:rFonts w:hint="default" w:ascii="Times New Roman" w:hAnsi="Times New Roman" w:eastAsia="宋体" w:cs="Times New Roman"/>
                <w:snapToGrid w:val="0"/>
                <w:color w:val="auto"/>
                <w:spacing w:val="-3"/>
                <w:kern w:val="0"/>
                <w:sz w:val="21"/>
                <w:szCs w:val="21"/>
                <w:lang w:val="en-US" w:eastAsia="en-US" w:bidi="ar-SA"/>
              </w:rPr>
              <w:t>MD12-24D</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600x600</w:t>
            </w:r>
            <w:r>
              <w:rPr>
                <w:rFonts w:hint="default" w:ascii="Times New Roman" w:hAnsi="Times New Roman" w:eastAsia="宋体" w:cs="Times New Roman"/>
                <w:snapToGrid w:val="0"/>
                <w:color w:val="auto"/>
                <w:spacing w:val="-40"/>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摆式给料机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变频调速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14:textOutline w14:w="4000" w14:cap="flat" w14:cmpd="sng">
                  <w14:solidFill>
                    <w14:srgbClr w14:val="000000"/>
                  </w14:solidFill>
                  <w14:prstDash w14:val="solid"/>
                  <w14:miter w14:val="0"/>
                </w14:textOutline>
              </w:rPr>
              <w:t>九</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14:textOutline w14:w="4000" w14:cap="flat" w14:cmpd="sng">
                  <w14:solidFill>
                    <w14:srgbClr w14:val="000000"/>
                  </w14:solidFill>
                  <w14:prstDash w14:val="solid"/>
                  <w14:miter w14:val="0"/>
                </w14:textOutline>
              </w:rPr>
              <w:t>主厂房</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10#胶带运输机</w:t>
            </w:r>
            <w:r>
              <w:rPr>
                <w:rFonts w:hint="default" w:ascii="Times New Roman" w:hAnsi="Times New Roman" w:eastAsia="宋体" w:cs="Times New Roman"/>
                <w:snapToGrid w:val="0"/>
                <w:color w:val="auto"/>
                <w:spacing w:val="-47"/>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TD75-6550</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2ZKR1230</w:t>
            </w:r>
            <w:r>
              <w:rPr>
                <w:rFonts w:hint="default" w:ascii="Times New Roman" w:hAnsi="Times New Roman" w:eastAsia="宋体" w:cs="Times New Roman"/>
                <w:snapToGrid w:val="0"/>
                <w:color w:val="auto"/>
                <w:spacing w:val="-41"/>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振动筛</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LTC-69/2</w:t>
            </w:r>
            <w:r>
              <w:rPr>
                <w:rFonts w:hint="default" w:ascii="Times New Roman" w:hAnsi="Times New Roman" w:eastAsia="宋体" w:cs="Times New Roman"/>
                <w:snapToGrid w:val="0"/>
                <w:color w:val="auto"/>
                <w:spacing w:val="-45"/>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侧动隔膜跳汰机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JT2-2</w:t>
            </w:r>
            <w:r>
              <w:rPr>
                <w:rFonts w:hint="default" w:ascii="Times New Roman" w:hAnsi="Times New Roman" w:eastAsia="宋体" w:cs="Times New Roman"/>
                <w:snapToGrid w:val="0"/>
                <w:color w:val="auto"/>
                <w:spacing w:val="-40"/>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锯齿波跳汰机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5</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JT5-2</w:t>
            </w:r>
            <w:r>
              <w:rPr>
                <w:rFonts w:hint="default" w:ascii="Times New Roman" w:hAnsi="Times New Roman" w:eastAsia="宋体" w:cs="Times New Roman"/>
                <w:snapToGrid w:val="0"/>
                <w:color w:val="auto"/>
                <w:spacing w:val="-40"/>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锯齿波跳汰机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6</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300×300</w:t>
            </w:r>
            <w:r>
              <w:rPr>
                <w:rFonts w:hint="default" w:ascii="Times New Roman" w:hAnsi="Times New Roman" w:eastAsia="宋体" w:cs="Times New Roman"/>
                <w:snapToGrid w:val="0"/>
                <w:color w:val="auto"/>
                <w:spacing w:val="-43"/>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摆式给料机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变频调速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7</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300×450</w:t>
            </w:r>
            <w:r>
              <w:rPr>
                <w:rFonts w:hint="default" w:ascii="Times New Roman" w:hAnsi="Times New Roman" w:eastAsia="宋体" w:cs="Times New Roman"/>
                <w:snapToGrid w:val="0"/>
                <w:color w:val="auto"/>
                <w:spacing w:val="-38"/>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旁动隔膜跳汰机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8</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FLG-300</w:t>
            </w:r>
            <w:r>
              <w:rPr>
                <w:rFonts w:hint="default" w:ascii="Times New Roman" w:hAnsi="Times New Roman" w:eastAsia="宋体" w:cs="Times New Roman"/>
                <w:snapToGrid w:val="0"/>
                <w:color w:val="auto"/>
                <w:spacing w:val="-30"/>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高堰式螺旋分级机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9</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2PG-300</w:t>
            </w:r>
            <w:r>
              <w:rPr>
                <w:rFonts w:hint="default" w:ascii="Times New Roman" w:hAnsi="Times New Roman" w:eastAsia="宋体" w:cs="Times New Roman"/>
                <w:snapToGrid w:val="0"/>
                <w:color w:val="auto"/>
                <w:spacing w:val="-41"/>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对辊破碎机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10</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FLC-1200</w:t>
            </w:r>
            <w:r>
              <w:rPr>
                <w:rFonts w:hint="default" w:ascii="Times New Roman" w:hAnsi="Times New Roman" w:eastAsia="宋体" w:cs="Times New Roman"/>
                <w:snapToGrid w:val="0"/>
                <w:color w:val="auto"/>
                <w:spacing w:val="-43"/>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高堰式螺旋分级机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11</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MBY1224</w:t>
            </w:r>
            <w:r>
              <w:rPr>
                <w:rFonts w:hint="default" w:ascii="Times New Roman" w:hAnsi="Times New Roman" w:eastAsia="宋体" w:cs="Times New Roman"/>
                <w:snapToGrid w:val="0"/>
                <w:color w:val="auto"/>
                <w:spacing w:val="-44"/>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湿式棒磨机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12</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磨矿产品输送泵</w:t>
            </w:r>
            <w:r>
              <w:rPr>
                <w:rFonts w:hint="default" w:ascii="Times New Roman" w:hAnsi="Times New Roman" w:eastAsia="宋体" w:cs="Times New Roman"/>
                <w:snapToGrid w:val="0"/>
                <w:color w:val="auto"/>
                <w:spacing w:val="-36"/>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65ZBD-315</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两用两备、变频调速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13</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槽形分级机</w:t>
            </w:r>
            <w:r>
              <w:rPr>
                <w:rFonts w:hint="default" w:ascii="Times New Roman" w:hAnsi="Times New Roman" w:eastAsia="宋体" w:cs="Times New Roman"/>
                <w:snapToGrid w:val="0"/>
                <w:color w:val="auto"/>
                <w:spacing w:val="-48"/>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KP-4C</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14</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矿浆分配器</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8</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1"/>
                <w:kern w:val="0"/>
                <w:sz w:val="21"/>
                <w:szCs w:val="21"/>
                <w:lang w:val="en-US" w:eastAsia="en-US" w:bidi="ar-SA"/>
              </w:rPr>
              <w:t>五路</w:t>
            </w:r>
            <w:r>
              <w:rPr>
                <w:rFonts w:hint="default" w:ascii="Times New Roman" w:hAnsi="Times New Roman" w:eastAsia="宋体" w:cs="Times New Roman"/>
                <w:snapToGrid w:val="0"/>
                <w:color w:val="auto"/>
                <w:spacing w:val="-44"/>
                <w:kern w:val="0"/>
                <w:sz w:val="21"/>
                <w:szCs w:val="21"/>
                <w:lang w:val="en-US" w:eastAsia="en-US" w:bidi="ar-SA"/>
              </w:rPr>
              <w:t xml:space="preserve"> </w:t>
            </w:r>
            <w:r>
              <w:rPr>
                <w:rFonts w:hint="default" w:ascii="Times New Roman" w:hAnsi="Times New Roman" w:eastAsia="宋体" w:cs="Times New Roman"/>
                <w:snapToGrid w:val="0"/>
                <w:color w:val="auto"/>
                <w:spacing w:val="-21"/>
                <w:kern w:val="0"/>
                <w:sz w:val="21"/>
                <w:szCs w:val="21"/>
                <w:lang w:val="en-US" w:eastAsia="en-US" w:bidi="ar-SA"/>
              </w:rPr>
              <w:t>2</w:t>
            </w:r>
            <w:r>
              <w:rPr>
                <w:rFonts w:hint="default" w:ascii="Times New Roman" w:hAnsi="Times New Roman" w:eastAsia="宋体" w:cs="Times New Roman"/>
                <w:snapToGrid w:val="0"/>
                <w:color w:val="auto"/>
                <w:spacing w:val="-46"/>
                <w:kern w:val="0"/>
                <w:sz w:val="21"/>
                <w:szCs w:val="21"/>
                <w:lang w:val="en-US" w:eastAsia="en-US" w:bidi="ar-SA"/>
              </w:rPr>
              <w:t xml:space="preserve"> </w:t>
            </w:r>
            <w:r>
              <w:rPr>
                <w:rFonts w:hint="default" w:ascii="Times New Roman" w:hAnsi="Times New Roman" w:eastAsia="宋体" w:cs="Times New Roman"/>
                <w:snapToGrid w:val="0"/>
                <w:color w:val="auto"/>
                <w:spacing w:val="-21"/>
                <w:kern w:val="0"/>
                <w:sz w:val="21"/>
                <w:szCs w:val="21"/>
                <w:lang w:val="en-US" w:eastAsia="en-US" w:bidi="ar-SA"/>
              </w:rPr>
              <w:t>个，三路</w:t>
            </w:r>
            <w:r>
              <w:rPr>
                <w:rFonts w:hint="default" w:ascii="Times New Roman" w:hAnsi="Times New Roman" w:eastAsia="宋体" w:cs="Times New Roman"/>
                <w:snapToGrid w:val="0"/>
                <w:color w:val="auto"/>
                <w:spacing w:val="-42"/>
                <w:kern w:val="0"/>
                <w:sz w:val="21"/>
                <w:szCs w:val="21"/>
                <w:lang w:val="en-US" w:eastAsia="en-US" w:bidi="ar-SA"/>
              </w:rPr>
              <w:t xml:space="preserve"> </w:t>
            </w:r>
            <w:r>
              <w:rPr>
                <w:rFonts w:hint="default" w:ascii="Times New Roman" w:hAnsi="Times New Roman" w:eastAsia="宋体" w:cs="Times New Roman"/>
                <w:snapToGrid w:val="0"/>
                <w:color w:val="auto"/>
                <w:spacing w:val="-21"/>
                <w:kern w:val="0"/>
                <w:sz w:val="21"/>
                <w:szCs w:val="21"/>
                <w:lang w:val="en-US" w:eastAsia="en-US" w:bidi="ar-SA"/>
              </w:rPr>
              <w:t>3</w:t>
            </w:r>
            <w:r>
              <w:rPr>
                <w:rFonts w:hint="default" w:ascii="Times New Roman" w:hAnsi="Times New Roman" w:eastAsia="宋体" w:cs="Times New Roman"/>
                <w:snapToGrid w:val="0"/>
                <w:color w:val="auto"/>
                <w:spacing w:val="-49"/>
                <w:kern w:val="0"/>
                <w:sz w:val="21"/>
                <w:szCs w:val="21"/>
                <w:lang w:val="en-US" w:eastAsia="en-US" w:bidi="ar-SA"/>
              </w:rPr>
              <w:t xml:space="preserve"> </w:t>
            </w:r>
            <w:r>
              <w:rPr>
                <w:rFonts w:hint="default" w:ascii="Times New Roman" w:hAnsi="Times New Roman" w:eastAsia="宋体" w:cs="Times New Roman"/>
                <w:snapToGrid w:val="0"/>
                <w:color w:val="auto"/>
                <w:spacing w:val="-21"/>
                <w:kern w:val="0"/>
                <w:sz w:val="21"/>
                <w:szCs w:val="21"/>
                <w:lang w:val="en-US" w:eastAsia="en-US" w:bidi="ar-SA"/>
              </w:rPr>
              <w:t>个，</w:t>
            </w:r>
            <w:r>
              <w:rPr>
                <w:rFonts w:hint="default" w:ascii="Times New Roman" w:hAnsi="Times New Roman" w:eastAsia="宋体" w:cs="Times New Roman"/>
                <w:snapToGrid w:val="0"/>
                <w:color w:val="auto"/>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两路</w:t>
            </w:r>
            <w:r>
              <w:rPr>
                <w:rFonts w:hint="default" w:ascii="Times New Roman" w:hAnsi="Times New Roman" w:eastAsia="宋体" w:cs="Times New Roman"/>
                <w:snapToGrid w:val="0"/>
                <w:color w:val="auto"/>
                <w:spacing w:val="-28"/>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1</w:t>
            </w:r>
            <w:r>
              <w:rPr>
                <w:rFonts w:hint="default" w:ascii="Times New Roman" w:hAnsi="Times New Roman" w:eastAsia="宋体" w:cs="Times New Roman"/>
                <w:snapToGrid w:val="0"/>
                <w:color w:val="auto"/>
                <w:spacing w:val="-46"/>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个，四路</w:t>
            </w:r>
            <w:r>
              <w:rPr>
                <w:rFonts w:hint="default" w:ascii="Times New Roman" w:hAnsi="Times New Roman" w:eastAsia="宋体" w:cs="Times New Roman"/>
                <w:snapToGrid w:val="0"/>
                <w:color w:val="auto"/>
                <w:spacing w:val="-38"/>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2</w:t>
            </w:r>
            <w:r>
              <w:rPr>
                <w:rFonts w:hint="default" w:ascii="Times New Roman" w:hAnsi="Times New Roman" w:eastAsia="宋体" w:cs="Times New Roman"/>
                <w:snapToGrid w:val="0"/>
                <w:color w:val="auto"/>
                <w:spacing w:val="-46"/>
                <w:kern w:val="0"/>
                <w:sz w:val="21"/>
                <w:szCs w:val="21"/>
                <w:lang w:val="en-US" w:eastAsia="en-US"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15</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6-S</w:t>
            </w:r>
            <w:r>
              <w:rPr>
                <w:rFonts w:hint="default" w:ascii="Times New Roman" w:hAnsi="Times New Roman" w:eastAsia="宋体" w:cs="Times New Roman"/>
                <w:snapToGrid w:val="0"/>
                <w:color w:val="auto"/>
                <w:spacing w:val="-37"/>
                <w:kern w:val="0"/>
                <w:sz w:val="21"/>
                <w:szCs w:val="21"/>
                <w:lang w:val="en-US" w:eastAsia="en-US" w:bidi="ar-SA"/>
              </w:rPr>
              <w:t xml:space="preserve"> </w:t>
            </w:r>
            <w:r>
              <w:rPr>
                <w:rFonts w:hint="default" w:ascii="Times New Roman" w:hAnsi="Times New Roman" w:eastAsia="宋体" w:cs="Times New Roman"/>
                <w:snapToGrid w:val="0"/>
                <w:color w:val="auto"/>
                <w:spacing w:val="-4"/>
                <w:kern w:val="0"/>
                <w:sz w:val="21"/>
                <w:szCs w:val="21"/>
                <w:lang w:val="en-US" w:eastAsia="en-US" w:bidi="ar-SA"/>
              </w:rPr>
              <w:t>型摇床（粗砂型</w:t>
            </w:r>
            <w:r>
              <w:rPr>
                <w:rFonts w:hint="default" w:ascii="Times New Roman" w:hAnsi="Times New Roman" w:eastAsia="宋体" w:cs="Times New Roman"/>
                <w:snapToGrid w:val="0"/>
                <w:color w:val="auto"/>
                <w:spacing w:val="-30"/>
                <w:kern w:val="0"/>
                <w:sz w:val="21"/>
                <w:szCs w:val="21"/>
                <w:lang w:val="en-US" w:eastAsia="en-US" w:bidi="ar-SA"/>
              </w:rPr>
              <w:t xml:space="preserve"> </w:t>
            </w:r>
            <w:r>
              <w:rPr>
                <w:rFonts w:hint="default" w:ascii="Times New Roman" w:hAnsi="Times New Roman" w:eastAsia="宋体" w:cs="Times New Roman"/>
                <w:snapToGrid w:val="0"/>
                <w:color w:val="auto"/>
                <w:spacing w:val="-4"/>
                <w:kern w:val="0"/>
                <w:sz w:val="21"/>
                <w:szCs w:val="21"/>
                <w:lang w:val="en-US" w:eastAsia="en-US" w:bidi="ar-SA"/>
              </w:rPr>
              <w:t>14+细砂型</w:t>
            </w:r>
            <w:r>
              <w:rPr>
                <w:rFonts w:hint="default" w:ascii="Times New Roman" w:hAnsi="Times New Roman" w:eastAsia="宋体" w:cs="Times New Roman"/>
                <w:snapToGrid w:val="0"/>
                <w:color w:val="auto"/>
                <w:spacing w:val="-29"/>
                <w:kern w:val="0"/>
                <w:sz w:val="21"/>
                <w:szCs w:val="21"/>
                <w:lang w:val="en-US" w:eastAsia="en-US" w:bidi="ar-SA"/>
              </w:rPr>
              <w:t xml:space="preserve"> </w:t>
            </w:r>
            <w:r>
              <w:rPr>
                <w:rFonts w:hint="default" w:ascii="Times New Roman" w:hAnsi="Times New Roman" w:eastAsia="宋体" w:cs="Times New Roman"/>
                <w:snapToGrid w:val="0"/>
                <w:color w:val="auto"/>
                <w:spacing w:val="-4"/>
                <w:kern w:val="0"/>
                <w:sz w:val="21"/>
                <w:szCs w:val="21"/>
                <w:lang w:val="en-US" w:eastAsia="en-US" w:bidi="ar-SA"/>
              </w:rPr>
              <w:t>12）</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26</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粗/中/细粒摇床、变</w:t>
            </w:r>
            <w:r>
              <w:rPr>
                <w:rFonts w:hint="default" w:ascii="Times New Roman" w:hAnsi="Times New Roman" w:eastAsia="宋体" w:cs="Times New Roman"/>
                <w:snapToGrid w:val="0"/>
                <w:color w:val="auto"/>
                <w:spacing w:val="3"/>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频调速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16</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摇床中矿输送泵</w:t>
            </w:r>
            <w:r>
              <w:rPr>
                <w:rFonts w:hint="default" w:ascii="Times New Roman" w:hAnsi="Times New Roman" w:eastAsia="宋体" w:cs="Times New Roman"/>
                <w:snapToGrid w:val="0"/>
                <w:color w:val="auto"/>
                <w:spacing w:val="-33"/>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50ZBD-315</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17</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圆筒脱渣筛</w:t>
            </w:r>
            <w:r>
              <w:rPr>
                <w:rFonts w:hint="default" w:ascii="Times New Roman" w:hAnsi="Times New Roman" w:eastAsia="宋体" w:cs="Times New Roman"/>
                <w:snapToGrid w:val="0"/>
                <w:color w:val="auto"/>
                <w:spacing w:val="-45"/>
                <w:kern w:val="0"/>
                <w:sz w:val="21"/>
                <w:szCs w:val="21"/>
                <w:lang w:val="en-US" w:eastAsia="en-US" w:bidi="ar-SA"/>
              </w:rPr>
              <w:t xml:space="preserve"> </w:t>
            </w:r>
            <w:r>
              <w:rPr>
                <w:rFonts w:hint="default" w:ascii="Times New Roman" w:hAnsi="Times New Roman" w:eastAsia="宋体" w:cs="Times New Roman"/>
                <w:snapToGrid w:val="0"/>
                <w:color w:val="auto"/>
                <w:spacing w:val="-3"/>
                <w:kern w:val="0"/>
                <w:sz w:val="21"/>
                <w:szCs w:val="21"/>
                <w:lang w:val="en-US" w:eastAsia="en-US" w:bidi="ar-SA"/>
              </w:rPr>
              <w:t>SL-1200</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18</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NT-18</w:t>
            </w:r>
            <w:r>
              <w:rPr>
                <w:rFonts w:hint="default" w:ascii="Times New Roman" w:hAnsi="Times New Roman" w:eastAsia="宋体" w:cs="Times New Roman"/>
                <w:snapToGrid w:val="0"/>
                <w:color w:val="auto"/>
                <w:spacing w:val="-40"/>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浓密机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19</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浓密机底流输送泵</w:t>
            </w:r>
            <w:r>
              <w:rPr>
                <w:rFonts w:hint="default" w:ascii="Times New Roman" w:hAnsi="Times New Roman" w:eastAsia="宋体" w:cs="Times New Roman"/>
                <w:snapToGrid w:val="0"/>
                <w:color w:val="auto"/>
                <w:spacing w:val="-23"/>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50ZBG(P)-400</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一用一备、变频调速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20</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BJ-1500×1500</w:t>
            </w:r>
            <w:r>
              <w:rPr>
                <w:rFonts w:hint="default" w:ascii="Times New Roman" w:hAnsi="Times New Roman" w:eastAsia="宋体" w:cs="Times New Roman"/>
                <w:snapToGrid w:val="0"/>
                <w:color w:val="auto"/>
                <w:spacing w:val="-40"/>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搅拌槽</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变频调速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21</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ф1600</w:t>
            </w:r>
            <w:r>
              <w:rPr>
                <w:rFonts w:hint="default" w:ascii="Times New Roman" w:hAnsi="Times New Roman" w:eastAsia="宋体" w:cs="Times New Roman"/>
                <w:snapToGrid w:val="0"/>
                <w:color w:val="auto"/>
                <w:spacing w:val="-42"/>
                <w:kern w:val="0"/>
                <w:sz w:val="21"/>
                <w:szCs w:val="21"/>
                <w:lang w:val="en-US" w:eastAsia="en-US" w:bidi="ar-SA"/>
              </w:rPr>
              <w:t xml:space="preserve"> </w:t>
            </w:r>
            <w:r>
              <w:rPr>
                <w:rFonts w:hint="default" w:ascii="Times New Roman" w:hAnsi="Times New Roman" w:eastAsia="宋体" w:cs="Times New Roman"/>
                <w:snapToGrid w:val="0"/>
                <w:color w:val="auto"/>
                <w:spacing w:val="-6"/>
                <w:kern w:val="0"/>
                <w:sz w:val="21"/>
                <w:szCs w:val="21"/>
                <w:lang w:val="en-US" w:eastAsia="en-US" w:bidi="ar-SA"/>
              </w:rPr>
              <w:t>离心选矿机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5"/>
                <w:kern w:val="0"/>
                <w:sz w:val="21"/>
                <w:szCs w:val="21"/>
                <w:lang w:val="en-US" w:eastAsia="en-US" w:bidi="ar-SA"/>
              </w:rPr>
              <w:t>粗/精，</w:t>
            </w:r>
            <w:r>
              <w:rPr>
                <w:rFonts w:hint="default" w:ascii="Times New Roman" w:hAnsi="Times New Roman" w:eastAsia="宋体" w:cs="Times New Roman"/>
                <w:snapToGrid w:val="0"/>
                <w:color w:val="auto"/>
                <w:spacing w:val="-13"/>
                <w:kern w:val="0"/>
                <w:sz w:val="21"/>
                <w:szCs w:val="21"/>
                <w:lang w:val="en-US" w:eastAsia="en-US" w:bidi="ar-SA"/>
              </w:rPr>
              <w:t xml:space="preserve"> </w:t>
            </w:r>
            <w:r>
              <w:rPr>
                <w:rFonts w:hint="default" w:ascii="Times New Roman" w:hAnsi="Times New Roman" w:eastAsia="宋体" w:cs="Times New Roman"/>
                <w:snapToGrid w:val="0"/>
                <w:color w:val="auto"/>
                <w:spacing w:val="-15"/>
                <w:kern w:val="0"/>
                <w:sz w:val="21"/>
                <w:szCs w:val="21"/>
                <w:lang w:val="en-US" w:eastAsia="en-US" w:bidi="ar-SA"/>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22</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离心粗选精矿输送泵 25PNJ</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一用一备、变频调速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23</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20m</w:t>
            </w:r>
            <w:r>
              <w:rPr>
                <w:rFonts w:hint="default" w:ascii="Times New Roman" w:hAnsi="Times New Roman" w:eastAsia="宋体" w:cs="Times New Roman"/>
                <w:snapToGrid w:val="0"/>
                <w:color w:val="auto"/>
                <w:spacing w:val="-3"/>
                <w:kern w:val="0"/>
                <w:sz w:val="21"/>
                <w:szCs w:val="21"/>
                <w:vertAlign w:val="superscript"/>
                <w:lang w:val="en-US" w:eastAsia="en-US" w:bidi="ar-SA"/>
              </w:rPr>
              <w:t>2</w:t>
            </w:r>
            <w:r>
              <w:rPr>
                <w:rFonts w:hint="eastAsia" w:eastAsia="宋体" w:cs="Times New Roman"/>
                <w:snapToGrid w:val="0"/>
                <w:color w:val="auto"/>
                <w:spacing w:val="-3"/>
                <w:kern w:val="0"/>
                <w:sz w:val="21"/>
                <w:szCs w:val="21"/>
                <w:vertAlign w:val="superscript"/>
                <w:lang w:val="en-US" w:eastAsia="zh-CN" w:bidi="ar-SA"/>
              </w:rPr>
              <w:t xml:space="preserve"> </w:t>
            </w:r>
            <w:r>
              <w:rPr>
                <w:rFonts w:hint="default" w:ascii="Times New Roman" w:hAnsi="Times New Roman" w:eastAsia="宋体" w:cs="Times New Roman"/>
                <w:snapToGrid w:val="0"/>
                <w:color w:val="auto"/>
                <w:spacing w:val="-3"/>
                <w:kern w:val="0"/>
                <w:sz w:val="21"/>
                <w:szCs w:val="21"/>
                <w:lang w:val="en-US" w:eastAsia="en-US" w:bidi="ar-SA"/>
              </w:rPr>
              <w:t>斜管浓缩箱</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24</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离心精选尾矿输送泵 2PNJ</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一用一备、变频调速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25</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浓缩机底流输送泵 25PNJ</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一用一备、变频调速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26</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6-S 型摇床（矿泥型）</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8</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27</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FLG-750 沉没式螺旋分级机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28</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高频振动筛给料输送泵 25PNJ</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一用一备、变频调速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29</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GPS-1400 高频振动筛</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30</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FLG-300 高堰式螺旋分级机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31</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给药搅拌桶∅600×1200mm</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32</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1800×4000 枱浮床</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33</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枱浮中矿输送泵 25PNJ</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一用一备、变频调速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34</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ф2000 浓泥斗</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4</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35</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MQY0909 湿式球磨机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36</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磨矿产品输送泵 25PNJ</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一用一备、变频调速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37</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BJN-2500×2500 高浓度搅拌槽</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38</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BJ-1000×1000 搅拌槽</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4</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39</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矿浆输送泵 25PNJ</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4</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一用一备、变频调速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40</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SF-0.15 浮选机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27</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42</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渣浆泵 25PNJ</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6</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三用三备、变频调速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43</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6-S 型摇床</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变频调速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44</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DU-2m2 水平真空带式过滤机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45</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BDMW-S-F-45 单层连续式微波干燥设备</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46</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干式振动筛</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47</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GXJ815 磁选机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4</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48</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NZS2.5 浓缩机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铜精矿浓缩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49</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TC-4 陶瓷过滤机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0"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50</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40P-SP 液下泵</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6</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51</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∅1000 药剂搅拌槽</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4</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52</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NG-20 浓缩机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尾矿浓缩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53</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LD 电 动 单 梁 起 重 机 Q=10t Lk=16.5m H=15m</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中级工作制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54</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LD 电动单梁起重机 Q=5t Lk=7.5m H=15m</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6</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b/>
                <w:bCs/>
                <w:snapToGrid w:val="0"/>
                <w:color w:val="auto"/>
                <w:spacing w:val="-3"/>
                <w:kern w:val="0"/>
                <w:sz w:val="21"/>
                <w:szCs w:val="21"/>
                <w:lang w:val="en-US" w:eastAsia="en-US" w:bidi="ar-SA"/>
              </w:rPr>
            </w:pPr>
            <w:r>
              <w:rPr>
                <w:rFonts w:hint="default" w:ascii="Times New Roman" w:hAnsi="Times New Roman" w:eastAsia="宋体" w:cs="Times New Roman"/>
                <w:b/>
                <w:bCs/>
                <w:snapToGrid w:val="0"/>
                <w:color w:val="auto"/>
                <w:spacing w:val="-3"/>
                <w:kern w:val="0"/>
                <w:sz w:val="21"/>
                <w:szCs w:val="21"/>
                <w:lang w:val="en-US" w:eastAsia="en-US" w:bidi="ar-SA"/>
              </w:rPr>
              <w:t>十</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b/>
                <w:bCs/>
                <w:snapToGrid w:val="0"/>
                <w:color w:val="auto"/>
                <w:spacing w:val="-3"/>
                <w:kern w:val="0"/>
                <w:sz w:val="21"/>
                <w:szCs w:val="21"/>
                <w:lang w:val="en-US" w:eastAsia="en-US" w:bidi="ar-SA"/>
              </w:rPr>
            </w:pPr>
            <w:r>
              <w:rPr>
                <w:rFonts w:hint="default" w:ascii="Times New Roman" w:hAnsi="Times New Roman" w:eastAsia="宋体" w:cs="Times New Roman"/>
                <w:b/>
                <w:bCs/>
                <w:snapToGrid w:val="0"/>
                <w:color w:val="auto"/>
                <w:spacing w:val="-3"/>
                <w:kern w:val="0"/>
                <w:sz w:val="21"/>
                <w:szCs w:val="21"/>
                <w:lang w:val="en-US" w:eastAsia="en-US" w:bidi="ar-SA"/>
              </w:rPr>
              <w:t>废石仓</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spacing w:val="-3"/>
                <w:kern w:val="0"/>
                <w:sz w:val="21"/>
                <w:szCs w:val="21"/>
                <w:lang w:val="en-US" w:eastAsia="zh-CN" w:bidi="ar-SA"/>
              </w:rPr>
            </w:pPr>
            <w:r>
              <w:rPr>
                <w:rFonts w:hint="eastAsia" w:cs="Times New Roman"/>
                <w:snapToGrid w:val="0"/>
                <w:color w:val="auto"/>
                <w:spacing w:val="-3"/>
                <w:kern w:val="0"/>
                <w:sz w:val="21"/>
                <w:szCs w:val="21"/>
                <w:lang w:val="en-US" w:eastAsia="zh-CN" w:bidi="ar-SA"/>
              </w:rPr>
              <w:t>1</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11#胶带运输机 TD75-6550</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1.00</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spacing w:val="-3"/>
                <w:kern w:val="0"/>
                <w:sz w:val="21"/>
                <w:szCs w:val="21"/>
                <w:lang w:val="en-US" w:eastAsia="zh-CN" w:bidi="ar-SA"/>
              </w:rPr>
            </w:pPr>
            <w:r>
              <w:rPr>
                <w:rFonts w:hint="eastAsia" w:cs="Times New Roman"/>
                <w:snapToGrid w:val="0"/>
                <w:color w:val="auto"/>
                <w:spacing w:val="-3"/>
                <w:kern w:val="0"/>
                <w:sz w:val="21"/>
                <w:szCs w:val="21"/>
                <w:lang w:val="en-US" w:eastAsia="zh-CN" w:bidi="ar-SA"/>
              </w:rPr>
              <w:t>2</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TDSZ-40 电液动扇形闸门</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1.00</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spacing w:val="-3"/>
                <w:kern w:val="0"/>
                <w:sz w:val="21"/>
                <w:szCs w:val="21"/>
                <w:lang w:val="en-US" w:eastAsia="zh-CN" w:bidi="ar-SA"/>
              </w:rPr>
            </w:pPr>
            <w:r>
              <w:rPr>
                <w:rFonts w:hint="eastAsia" w:cs="Times New Roman"/>
                <w:snapToGrid w:val="0"/>
                <w:color w:val="auto"/>
                <w:spacing w:val="-3"/>
                <w:kern w:val="0"/>
                <w:sz w:val="21"/>
                <w:szCs w:val="21"/>
                <w:lang w:val="en-US" w:eastAsia="zh-CN" w:bidi="ar-SA"/>
              </w:rPr>
              <w:t>3</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电动葫芦 MD12-24D</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b/>
                <w:bCs/>
                <w:snapToGrid w:val="0"/>
                <w:color w:val="auto"/>
                <w:spacing w:val="-3"/>
                <w:kern w:val="0"/>
                <w:sz w:val="21"/>
                <w:szCs w:val="21"/>
                <w:lang w:val="en-US" w:eastAsia="en-US" w:bidi="ar-SA"/>
              </w:rPr>
            </w:pPr>
            <w:r>
              <w:rPr>
                <w:rFonts w:hint="default" w:ascii="Times New Roman" w:hAnsi="Times New Roman" w:eastAsia="宋体" w:cs="Times New Roman"/>
                <w:b/>
                <w:bCs/>
                <w:snapToGrid w:val="0"/>
                <w:color w:val="auto"/>
                <w:spacing w:val="-3"/>
                <w:kern w:val="0"/>
                <w:sz w:val="21"/>
                <w:szCs w:val="21"/>
                <w:lang w:val="en-US" w:eastAsia="en-US" w:bidi="ar-SA"/>
              </w:rPr>
              <w:t>十一</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b/>
                <w:bCs/>
                <w:snapToGrid w:val="0"/>
                <w:color w:val="auto"/>
                <w:spacing w:val="-3"/>
                <w:kern w:val="0"/>
                <w:sz w:val="21"/>
                <w:szCs w:val="21"/>
                <w:lang w:val="en-US" w:eastAsia="en-US" w:bidi="ar-SA"/>
              </w:rPr>
            </w:pPr>
            <w:r>
              <w:rPr>
                <w:rFonts w:hint="default" w:ascii="Times New Roman" w:hAnsi="Times New Roman" w:eastAsia="宋体" w:cs="Times New Roman"/>
                <w:b/>
                <w:bCs/>
                <w:snapToGrid w:val="0"/>
                <w:color w:val="auto"/>
                <w:spacing w:val="-3"/>
                <w:kern w:val="0"/>
                <w:sz w:val="21"/>
                <w:szCs w:val="21"/>
                <w:lang w:val="en-US" w:eastAsia="en-US" w:bidi="ar-SA"/>
              </w:rPr>
              <w:t>尾矿选砂</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2FG-12 螺旋洗砂机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1.00</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b/>
                <w:bCs/>
                <w:snapToGrid w:val="0"/>
                <w:color w:val="auto"/>
                <w:spacing w:val="-3"/>
                <w:kern w:val="0"/>
                <w:sz w:val="21"/>
                <w:szCs w:val="21"/>
                <w:lang w:val="en-US" w:eastAsia="zh-CN" w:bidi="ar-SA"/>
              </w:rPr>
            </w:pPr>
            <w:r>
              <w:rPr>
                <w:rFonts w:hint="eastAsia" w:ascii="Times New Roman" w:hAnsi="Times New Roman" w:eastAsia="宋体" w:cs="Times New Roman"/>
                <w:b/>
                <w:bCs/>
                <w:snapToGrid w:val="0"/>
                <w:color w:val="auto"/>
                <w:spacing w:val="-3"/>
                <w:kern w:val="0"/>
                <w:sz w:val="21"/>
                <w:szCs w:val="21"/>
                <w:lang w:val="en-US" w:eastAsia="zh-CN" w:bidi="ar-SA"/>
              </w:rPr>
              <w:t>十二</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b/>
                <w:bCs/>
                <w:snapToGrid w:val="0"/>
                <w:color w:val="auto"/>
                <w:spacing w:val="-3"/>
                <w:kern w:val="0"/>
                <w:sz w:val="21"/>
                <w:szCs w:val="21"/>
                <w:lang w:val="en-US" w:eastAsia="zh-CN" w:bidi="ar-SA"/>
              </w:rPr>
            </w:pPr>
            <w:r>
              <w:rPr>
                <w:rFonts w:hint="eastAsia" w:ascii="Times New Roman" w:hAnsi="Times New Roman" w:eastAsia="宋体" w:cs="Times New Roman"/>
                <w:b/>
                <w:bCs/>
                <w:snapToGrid w:val="0"/>
                <w:color w:val="auto"/>
                <w:spacing w:val="-3"/>
                <w:kern w:val="0"/>
                <w:sz w:val="21"/>
                <w:szCs w:val="21"/>
                <w:lang w:val="en-US" w:eastAsia="zh-CN" w:bidi="ar-SA"/>
              </w:rPr>
              <w:t>其他</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8"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zh-CN" w:bidi="ar-SA"/>
              </w:rPr>
            </w:pPr>
            <w:r>
              <w:rPr>
                <w:rFonts w:hint="eastAsia" w:ascii="Times New Roman" w:hAnsi="Times New Roman" w:eastAsia="宋体" w:cs="Times New Roman"/>
                <w:snapToGrid w:val="0"/>
                <w:color w:val="auto"/>
                <w:spacing w:val="-5"/>
                <w:kern w:val="0"/>
                <w:sz w:val="21"/>
                <w:szCs w:val="21"/>
                <w:lang w:val="en-US" w:eastAsia="zh-CN" w:bidi="ar-SA"/>
              </w:rPr>
              <w:t>1</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b w:val="0"/>
                <w:bCs w:val="0"/>
                <w:snapToGrid w:val="0"/>
                <w:color w:val="auto"/>
                <w:spacing w:val="-3"/>
                <w:kern w:val="0"/>
                <w:sz w:val="21"/>
                <w:szCs w:val="21"/>
                <w:lang w:val="en-US" w:eastAsia="zh-CN" w:bidi="ar-SA"/>
              </w:rPr>
            </w:pPr>
            <w:r>
              <w:rPr>
                <w:rFonts w:hint="eastAsia" w:cs="Times New Roman"/>
                <w:b w:val="0"/>
                <w:bCs w:val="0"/>
                <w:snapToGrid w:val="0"/>
                <w:color w:val="auto"/>
                <w:spacing w:val="-3"/>
                <w:kern w:val="0"/>
                <w:sz w:val="21"/>
                <w:szCs w:val="21"/>
                <w:lang w:val="en-US" w:eastAsia="zh-CN" w:bidi="ar-SA"/>
              </w:rPr>
              <w:t>变压器</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spacing w:val="-3"/>
                <w:kern w:val="0"/>
                <w:sz w:val="21"/>
                <w:szCs w:val="21"/>
                <w:lang w:val="en-US" w:eastAsia="zh-CN" w:bidi="ar-SA"/>
              </w:rPr>
            </w:pPr>
            <w:r>
              <w:rPr>
                <w:rFonts w:hint="eastAsia" w:cs="Times New Roman"/>
                <w:snapToGrid w:val="0"/>
                <w:color w:val="auto"/>
                <w:spacing w:val="-3"/>
                <w:kern w:val="0"/>
                <w:sz w:val="21"/>
                <w:szCs w:val="21"/>
                <w:lang w:val="en-US" w:eastAsia="zh-CN"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zh-CN" w:bidi="ar-SA"/>
              </w:rPr>
            </w:pPr>
            <w:r>
              <w:rPr>
                <w:rFonts w:hint="eastAsia" w:cs="Times New Roman"/>
                <w:snapToGrid w:val="0"/>
                <w:color w:val="auto"/>
                <w:spacing w:val="-3"/>
                <w:kern w:val="0"/>
                <w:sz w:val="21"/>
                <w:szCs w:val="21"/>
                <w:lang w:val="en-US" w:eastAsia="zh-CN" w:bidi="ar-SA"/>
              </w:rPr>
              <w:t>2</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SCB11型干式变压器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zh-CN" w:bidi="ar-SA"/>
              </w:rPr>
            </w:pPr>
            <w:r>
              <w:rPr>
                <w:rFonts w:hint="eastAsia" w:ascii="Times New Roman" w:hAnsi="Times New Roman" w:eastAsia="宋体" w:cs="Times New Roman"/>
                <w:snapToGrid w:val="0"/>
                <w:color w:val="auto"/>
                <w:spacing w:val="-5"/>
                <w:kern w:val="0"/>
                <w:sz w:val="21"/>
                <w:szCs w:val="21"/>
                <w:lang w:val="en-US" w:eastAsia="zh-CN" w:bidi="ar-SA"/>
              </w:rPr>
              <w:t>2</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eastAsia="宋体" w:cs="Times New Roman"/>
                <w:b/>
                <w:bCs/>
                <w:snapToGrid w:val="0"/>
                <w:color w:val="auto"/>
                <w:spacing w:val="-3"/>
                <w:kern w:val="0"/>
                <w:sz w:val="21"/>
                <w:szCs w:val="21"/>
                <w:lang w:val="en-US" w:eastAsia="zh-CN" w:bidi="ar-SA"/>
              </w:rPr>
            </w:pPr>
            <w:r>
              <w:rPr>
                <w:rFonts w:hint="default" w:ascii="Times New Roman" w:hAnsi="Times New Roman" w:eastAsia="宋体" w:cs="Times New Roman"/>
                <w:snapToGrid w:val="0"/>
                <w:color w:val="auto"/>
                <w:spacing w:val="-5"/>
                <w:kern w:val="0"/>
                <w:sz w:val="21"/>
                <w:szCs w:val="21"/>
                <w:lang w:val="en-US" w:eastAsia="en-US" w:bidi="ar-SA"/>
              </w:rPr>
              <w:t>除尘</w:t>
            </w:r>
            <w:r>
              <w:rPr>
                <w:rFonts w:hint="eastAsia" w:eastAsia="宋体" w:cs="Times New Roman"/>
                <w:snapToGrid w:val="0"/>
                <w:color w:val="auto"/>
                <w:spacing w:val="-5"/>
                <w:kern w:val="0"/>
                <w:sz w:val="21"/>
                <w:szCs w:val="21"/>
                <w:lang w:val="en-US" w:eastAsia="zh-CN" w:bidi="ar-SA"/>
              </w:rPr>
              <w:t>器</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zh-CN" w:bidi="ar-SA"/>
              </w:rPr>
            </w:pPr>
            <w:r>
              <w:rPr>
                <w:rFonts w:hint="eastAsia" w:cs="Times New Roman"/>
                <w:snapToGrid w:val="0"/>
                <w:color w:val="auto"/>
                <w:spacing w:val="-3"/>
                <w:kern w:val="0"/>
                <w:sz w:val="21"/>
                <w:szCs w:val="21"/>
                <w:lang w:val="en-US" w:eastAsia="zh-CN" w:bidi="ar-SA"/>
              </w:rPr>
              <w:t>5</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DL-2</w:t>
            </w:r>
            <w:r>
              <w:rPr>
                <w:rFonts w:hint="eastAsia" w:ascii="Times New Roman" w:hAnsi="Times New Roman" w:eastAsia="宋体" w:cs="Times New Roman"/>
                <w:snapToGrid w:val="0"/>
                <w:color w:val="auto"/>
                <w:spacing w:val="-3"/>
                <w:kern w:val="0"/>
                <w:sz w:val="21"/>
                <w:szCs w:val="21"/>
                <w:lang w:val="en-US" w:eastAsia="zh-CN" w:bidi="ar-SA"/>
              </w:rPr>
              <w:t>、</w:t>
            </w:r>
            <w:r>
              <w:rPr>
                <w:rFonts w:hint="default" w:ascii="Times New Roman" w:hAnsi="Times New Roman" w:eastAsia="宋体" w:cs="Times New Roman"/>
                <w:snapToGrid w:val="0"/>
                <w:color w:val="auto"/>
                <w:spacing w:val="-3"/>
                <w:kern w:val="0"/>
                <w:sz w:val="21"/>
                <w:szCs w:val="21"/>
                <w:lang w:val="en-US" w:eastAsia="en-US" w:bidi="ar-SA"/>
              </w:rPr>
              <w:t>DL-4</w:t>
            </w:r>
            <w:r>
              <w:rPr>
                <w:rFonts w:hint="eastAsia" w:ascii="Times New Roman" w:hAnsi="Times New Roman" w:eastAsia="宋体" w:cs="Times New Roman"/>
                <w:snapToGrid w:val="0"/>
                <w:color w:val="auto"/>
                <w:spacing w:val="-3"/>
                <w:kern w:val="0"/>
                <w:sz w:val="21"/>
                <w:szCs w:val="21"/>
                <w:lang w:val="en-US" w:eastAsia="zh-CN" w:bidi="ar-SA"/>
              </w:rPr>
              <w:t>、</w:t>
            </w:r>
            <w:r>
              <w:rPr>
                <w:rFonts w:hint="default" w:ascii="Times New Roman" w:hAnsi="Times New Roman" w:eastAsia="宋体" w:cs="Times New Roman"/>
                <w:snapToGrid w:val="0"/>
                <w:color w:val="auto"/>
                <w:spacing w:val="-3"/>
                <w:kern w:val="0"/>
                <w:sz w:val="21"/>
                <w:szCs w:val="21"/>
                <w:lang w:val="en-US" w:eastAsia="en-US" w:bidi="ar-SA"/>
              </w:rPr>
              <w:t>PPCS32-3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43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zh-CN" w:bidi="ar-SA"/>
              </w:rPr>
            </w:pPr>
            <w:r>
              <w:rPr>
                <w:rFonts w:hint="eastAsia" w:ascii="Times New Roman" w:hAnsi="Times New Roman" w:eastAsia="宋体" w:cs="Times New Roman"/>
                <w:snapToGrid w:val="0"/>
                <w:color w:val="auto"/>
                <w:spacing w:val="-5"/>
                <w:kern w:val="0"/>
                <w:sz w:val="21"/>
                <w:szCs w:val="21"/>
                <w:lang w:val="en-US" w:eastAsia="zh-CN" w:bidi="ar-SA"/>
              </w:rPr>
              <w:t>3</w:t>
            </w:r>
          </w:p>
        </w:tc>
        <w:tc>
          <w:tcPr>
            <w:tcW w:w="234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spacing w:val="-5"/>
                <w:kern w:val="0"/>
                <w:sz w:val="21"/>
                <w:szCs w:val="21"/>
                <w:lang w:val="en-US" w:eastAsia="zh-CN" w:bidi="ar-SA"/>
              </w:rPr>
            </w:pPr>
            <w:r>
              <w:rPr>
                <w:rFonts w:hint="default" w:ascii="Times New Roman" w:hAnsi="Times New Roman" w:eastAsia="宋体" w:cs="Times New Roman"/>
                <w:snapToGrid w:val="0"/>
                <w:color w:val="auto"/>
                <w:spacing w:val="-5"/>
                <w:kern w:val="0"/>
                <w:sz w:val="21"/>
                <w:szCs w:val="21"/>
                <w:lang w:val="en-US" w:eastAsia="en-US" w:bidi="ar-SA"/>
              </w:rPr>
              <w:t>除尘</w:t>
            </w:r>
            <w:r>
              <w:rPr>
                <w:rFonts w:hint="eastAsia" w:ascii="Times New Roman" w:hAnsi="Times New Roman" w:eastAsia="宋体" w:cs="Times New Roman"/>
                <w:snapToGrid w:val="0"/>
                <w:color w:val="auto"/>
                <w:spacing w:val="-5"/>
                <w:kern w:val="0"/>
                <w:sz w:val="21"/>
                <w:szCs w:val="21"/>
                <w:lang w:val="en-US" w:eastAsia="zh-CN" w:bidi="ar-SA"/>
              </w:rPr>
              <w:t>风机</w:t>
            </w:r>
          </w:p>
        </w:tc>
        <w:tc>
          <w:tcPr>
            <w:tcW w:w="542"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台</w:t>
            </w:r>
          </w:p>
        </w:tc>
        <w:tc>
          <w:tcPr>
            <w:tcW w:w="46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3"/>
                <w:kern w:val="0"/>
                <w:sz w:val="21"/>
                <w:szCs w:val="21"/>
                <w:lang w:val="en-US" w:eastAsia="zh-CN" w:bidi="ar-SA"/>
              </w:rPr>
            </w:pPr>
            <w:r>
              <w:rPr>
                <w:rFonts w:hint="eastAsia" w:cs="Times New Roman"/>
                <w:snapToGrid w:val="0"/>
                <w:color w:val="auto"/>
                <w:spacing w:val="-3"/>
                <w:kern w:val="0"/>
                <w:sz w:val="21"/>
                <w:szCs w:val="21"/>
                <w:lang w:val="en-US" w:eastAsia="zh-CN" w:bidi="ar-SA"/>
              </w:rPr>
              <w:t>5</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4-72-No.6D</w:t>
            </w:r>
            <w:r>
              <w:rPr>
                <w:rFonts w:hint="eastAsia" w:ascii="Times New Roman" w:hAnsi="Times New Roman" w:eastAsia="宋体" w:cs="Times New Roman"/>
                <w:snapToGrid w:val="0"/>
                <w:color w:val="auto"/>
                <w:spacing w:val="-3"/>
                <w:kern w:val="0"/>
                <w:sz w:val="21"/>
                <w:szCs w:val="21"/>
                <w:lang w:val="en-US" w:eastAsia="zh-CN" w:bidi="ar-SA"/>
              </w:rPr>
              <w:t>、</w:t>
            </w:r>
            <w:r>
              <w:rPr>
                <w:rFonts w:hint="default" w:ascii="Times New Roman" w:hAnsi="Times New Roman" w:eastAsia="宋体" w:cs="Times New Roman"/>
                <w:snapToGrid w:val="0"/>
                <w:color w:val="auto"/>
                <w:spacing w:val="-3"/>
                <w:kern w:val="0"/>
                <w:sz w:val="21"/>
                <w:szCs w:val="21"/>
                <w:lang w:val="en-US" w:eastAsia="en-US" w:bidi="ar-SA"/>
              </w:rPr>
              <w:t>4-72-No.5A</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表2-13 特种设备一览表</w:t>
      </w:r>
    </w:p>
    <w:tbl>
      <w:tblPr>
        <w:tblStyle w:val="34"/>
        <w:tblW w:w="507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94"/>
        <w:gridCol w:w="4247"/>
        <w:gridCol w:w="1096"/>
        <w:gridCol w:w="837"/>
        <w:gridCol w:w="22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795"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bCs/>
                <w:strike w:val="0"/>
                <w:color w:val="auto"/>
                <w:sz w:val="21"/>
                <w:szCs w:val="21"/>
              </w:rPr>
              <w:t>序号</w:t>
            </w:r>
          </w:p>
        </w:tc>
        <w:tc>
          <w:tcPr>
            <w:tcW w:w="4326"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en-US" w:bidi="ar-SA"/>
              </w:rPr>
            </w:pPr>
            <w:r>
              <w:rPr>
                <w:rFonts w:hint="eastAsia" w:cs="Times New Roman"/>
                <w:bCs/>
                <w:strike w:val="0"/>
                <w:color w:val="auto"/>
                <w:sz w:val="21"/>
                <w:szCs w:val="21"/>
                <w:lang w:val="en-US" w:eastAsia="zh-CN"/>
              </w:rPr>
              <w:t>设备名称</w:t>
            </w:r>
          </w:p>
        </w:tc>
        <w:tc>
          <w:tcPr>
            <w:tcW w:w="999"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bCs/>
                <w:strike w:val="0"/>
                <w:color w:val="auto"/>
                <w:sz w:val="21"/>
                <w:szCs w:val="21"/>
              </w:rPr>
              <w:t>规格</w:t>
            </w:r>
          </w:p>
        </w:tc>
        <w:tc>
          <w:tcPr>
            <w:tcW w:w="850"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bCs/>
                <w:strike w:val="0"/>
                <w:color w:val="auto"/>
                <w:sz w:val="21"/>
                <w:szCs w:val="21"/>
              </w:rPr>
              <w:t>台数</w:t>
            </w:r>
          </w:p>
        </w:tc>
        <w:tc>
          <w:tcPr>
            <w:tcW w:w="2241"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bCs/>
                <w:strike w:val="0"/>
                <w:color w:val="auto"/>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431"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348"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542"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461"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16"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w:t>
            </w:r>
          </w:p>
        </w:tc>
        <w:tc>
          <w:tcPr>
            <w:tcW w:w="43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r>
              <w:rPr>
                <w:rFonts w:hint="eastAsia" w:ascii="Times New Roman" w:hAnsi="Times New Roman" w:eastAsia="宋体" w:cs="Times New Roman"/>
                <w:snapToGrid w:val="0"/>
                <w:color w:val="auto"/>
                <w:spacing w:val="-5"/>
                <w:kern w:val="0"/>
                <w:sz w:val="21"/>
                <w:szCs w:val="21"/>
                <w:lang w:val="en-US" w:eastAsia="zh-CN" w:bidi="ar-SA"/>
              </w:rPr>
              <w:t>LD 电动单梁起重机</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r>
              <w:rPr>
                <w:rFonts w:hint="eastAsia" w:ascii="Times New Roman" w:hAnsi="Times New Roman" w:eastAsia="宋体" w:cs="Times New Roman"/>
                <w:snapToGrid w:val="0"/>
                <w:color w:val="auto"/>
                <w:spacing w:val="-5"/>
                <w:kern w:val="0"/>
                <w:sz w:val="21"/>
                <w:szCs w:val="21"/>
                <w:lang w:val="en-US" w:eastAsia="zh-CN" w:bidi="ar-SA"/>
              </w:rPr>
              <w:t xml:space="preserve"> Q=10t Lk=6.0m H=15m</w:t>
            </w:r>
          </w:p>
        </w:tc>
        <w:tc>
          <w:tcPr>
            <w:tcW w:w="8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r>
              <w:rPr>
                <w:rFonts w:hint="eastAsia" w:ascii="Times New Roman" w:hAnsi="Times New Roman" w:eastAsia="宋体" w:cs="Times New Roman"/>
                <w:snapToGrid w:val="0"/>
                <w:color w:val="auto"/>
                <w:spacing w:val="-5"/>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2</w:t>
            </w:r>
          </w:p>
        </w:tc>
        <w:tc>
          <w:tcPr>
            <w:tcW w:w="43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r>
              <w:rPr>
                <w:rFonts w:hint="eastAsia" w:ascii="Times New Roman" w:hAnsi="Times New Roman" w:eastAsia="宋体" w:cs="Times New Roman"/>
                <w:snapToGrid w:val="0"/>
                <w:color w:val="auto"/>
                <w:spacing w:val="-5"/>
                <w:kern w:val="0"/>
                <w:sz w:val="21"/>
                <w:szCs w:val="21"/>
                <w:lang w:val="en-US" w:eastAsia="zh-CN" w:bidi="ar-SA"/>
              </w:rPr>
              <w:t xml:space="preserve">LD 电动单梁起重机 </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r>
              <w:rPr>
                <w:rFonts w:hint="eastAsia" w:ascii="Times New Roman" w:hAnsi="Times New Roman" w:eastAsia="宋体" w:cs="Times New Roman"/>
                <w:snapToGrid w:val="0"/>
                <w:color w:val="auto"/>
                <w:spacing w:val="-5"/>
                <w:kern w:val="0"/>
                <w:sz w:val="21"/>
                <w:szCs w:val="21"/>
                <w:lang w:val="en-US" w:eastAsia="zh-CN" w:bidi="ar-SA"/>
              </w:rPr>
              <w:t>Q=5t Lk=10.5m H=15m</w:t>
            </w:r>
          </w:p>
        </w:tc>
        <w:tc>
          <w:tcPr>
            <w:tcW w:w="8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r>
              <w:rPr>
                <w:rFonts w:hint="eastAsia" w:ascii="Times New Roman" w:hAnsi="Times New Roman" w:eastAsia="宋体" w:cs="Times New Roman"/>
                <w:snapToGrid w:val="0"/>
                <w:color w:val="auto"/>
                <w:spacing w:val="-5"/>
                <w:kern w:val="0"/>
                <w:sz w:val="21"/>
                <w:szCs w:val="21"/>
                <w:lang w:val="en-US" w:eastAsia="en-US" w:bidi="ar-SA"/>
              </w:rPr>
              <w:t>2</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3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3</w:t>
            </w:r>
          </w:p>
        </w:tc>
        <w:tc>
          <w:tcPr>
            <w:tcW w:w="43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r>
              <w:rPr>
                <w:rFonts w:hint="eastAsia" w:ascii="Times New Roman" w:hAnsi="Times New Roman" w:eastAsia="宋体" w:cs="Times New Roman"/>
                <w:snapToGrid w:val="0"/>
                <w:color w:val="auto"/>
                <w:spacing w:val="-5"/>
                <w:kern w:val="0"/>
                <w:sz w:val="21"/>
                <w:szCs w:val="21"/>
                <w:lang w:val="en-US" w:eastAsia="zh-CN" w:bidi="ar-SA"/>
              </w:rPr>
              <w:t>LD 电动单梁起重机</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r>
              <w:rPr>
                <w:rFonts w:hint="eastAsia" w:ascii="Times New Roman" w:hAnsi="Times New Roman" w:eastAsia="宋体" w:cs="Times New Roman"/>
                <w:snapToGrid w:val="0"/>
                <w:color w:val="auto"/>
                <w:spacing w:val="-5"/>
                <w:kern w:val="0"/>
                <w:sz w:val="21"/>
                <w:szCs w:val="21"/>
                <w:lang w:val="en-US" w:eastAsia="zh-CN" w:bidi="ar-SA"/>
              </w:rPr>
              <w:t xml:space="preserve"> Q=5t，LK=21m，H=18m</w:t>
            </w:r>
          </w:p>
        </w:tc>
        <w:tc>
          <w:tcPr>
            <w:tcW w:w="8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r>
              <w:rPr>
                <w:rFonts w:hint="eastAsia" w:ascii="Times New Roman" w:hAnsi="Times New Roman" w:eastAsia="宋体" w:cs="Times New Roman"/>
                <w:snapToGrid w:val="0"/>
                <w:color w:val="auto"/>
                <w:spacing w:val="-5"/>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4</w:t>
            </w:r>
          </w:p>
        </w:tc>
        <w:tc>
          <w:tcPr>
            <w:tcW w:w="43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r>
              <w:rPr>
                <w:rFonts w:hint="eastAsia" w:ascii="Times New Roman" w:hAnsi="Times New Roman" w:eastAsia="宋体" w:cs="Times New Roman"/>
                <w:snapToGrid w:val="0"/>
                <w:color w:val="auto"/>
                <w:spacing w:val="-5"/>
                <w:kern w:val="0"/>
                <w:sz w:val="21"/>
                <w:szCs w:val="21"/>
                <w:lang w:val="en-US" w:eastAsia="zh-CN" w:bidi="ar-SA"/>
              </w:rPr>
              <w:t>LD 电动单梁起重机</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r>
              <w:rPr>
                <w:rFonts w:hint="eastAsia" w:ascii="Times New Roman" w:hAnsi="Times New Roman" w:eastAsia="宋体" w:cs="Times New Roman"/>
                <w:snapToGrid w:val="0"/>
                <w:color w:val="auto"/>
                <w:spacing w:val="-5"/>
                <w:kern w:val="0"/>
                <w:sz w:val="21"/>
                <w:szCs w:val="21"/>
                <w:lang w:val="en-US" w:eastAsia="zh-CN" w:bidi="ar-SA"/>
              </w:rPr>
              <w:t>Q=5t，LK=10.5m，H=12</w:t>
            </w:r>
          </w:p>
        </w:tc>
        <w:tc>
          <w:tcPr>
            <w:tcW w:w="8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r>
              <w:rPr>
                <w:rFonts w:hint="eastAsia" w:ascii="Times New Roman" w:hAnsi="Times New Roman" w:eastAsia="宋体" w:cs="Times New Roman"/>
                <w:snapToGrid w:val="0"/>
                <w:color w:val="auto"/>
                <w:spacing w:val="-5"/>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5</w:t>
            </w:r>
          </w:p>
        </w:tc>
        <w:tc>
          <w:tcPr>
            <w:tcW w:w="43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r>
              <w:rPr>
                <w:rFonts w:hint="eastAsia" w:ascii="Times New Roman" w:hAnsi="Times New Roman" w:eastAsia="宋体" w:cs="Times New Roman"/>
                <w:snapToGrid w:val="0"/>
                <w:color w:val="auto"/>
                <w:spacing w:val="-5"/>
                <w:kern w:val="0"/>
                <w:sz w:val="21"/>
                <w:szCs w:val="21"/>
                <w:lang w:val="en-US" w:eastAsia="zh-CN" w:bidi="ar-SA"/>
              </w:rPr>
              <w:t xml:space="preserve">LD 电动单梁起重机 </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r>
              <w:rPr>
                <w:rFonts w:hint="eastAsia" w:ascii="Times New Roman" w:hAnsi="Times New Roman" w:eastAsia="宋体" w:cs="Times New Roman"/>
                <w:snapToGrid w:val="0"/>
                <w:color w:val="auto"/>
                <w:spacing w:val="-5"/>
                <w:kern w:val="0"/>
                <w:sz w:val="21"/>
                <w:szCs w:val="21"/>
                <w:lang w:val="en-US" w:eastAsia="zh-CN" w:bidi="ar-SA"/>
              </w:rPr>
              <w:t xml:space="preserve"> Q=10t Lk=16.5m H=15m</w:t>
            </w:r>
          </w:p>
        </w:tc>
        <w:tc>
          <w:tcPr>
            <w:tcW w:w="8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r>
              <w:rPr>
                <w:rFonts w:hint="eastAsia" w:ascii="Times New Roman" w:hAnsi="Times New Roman" w:eastAsia="宋体" w:cs="Times New Roman"/>
                <w:snapToGrid w:val="0"/>
                <w:color w:val="auto"/>
                <w:spacing w:val="-5"/>
                <w:kern w:val="0"/>
                <w:sz w:val="21"/>
                <w:szCs w:val="21"/>
                <w:lang w:val="en-US" w:eastAsia="en-US" w:bidi="ar-SA"/>
              </w:rPr>
              <w:t>1</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3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spacing w:val="-5"/>
                <w:kern w:val="0"/>
                <w:sz w:val="21"/>
                <w:szCs w:val="21"/>
                <w:lang w:val="en-US" w:eastAsia="zh-CN" w:bidi="ar-SA"/>
              </w:rPr>
            </w:pPr>
            <w:r>
              <w:rPr>
                <w:rFonts w:hint="eastAsia" w:ascii="Times New Roman" w:hAnsi="Times New Roman" w:eastAsia="宋体" w:cs="Times New Roman"/>
                <w:snapToGrid w:val="0"/>
                <w:color w:val="auto"/>
                <w:spacing w:val="-5"/>
                <w:kern w:val="0"/>
                <w:sz w:val="21"/>
                <w:szCs w:val="21"/>
                <w:lang w:val="en-US" w:eastAsia="zh-CN" w:bidi="ar-SA"/>
              </w:rPr>
              <w:t>6</w:t>
            </w:r>
          </w:p>
        </w:tc>
        <w:tc>
          <w:tcPr>
            <w:tcW w:w="43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r>
              <w:rPr>
                <w:rFonts w:hint="eastAsia" w:ascii="Times New Roman" w:hAnsi="Times New Roman" w:eastAsia="宋体" w:cs="Times New Roman"/>
                <w:snapToGrid w:val="0"/>
                <w:color w:val="auto"/>
                <w:spacing w:val="-5"/>
                <w:kern w:val="0"/>
                <w:sz w:val="21"/>
                <w:szCs w:val="21"/>
                <w:lang w:val="en-US" w:eastAsia="zh-CN" w:bidi="ar-SA"/>
              </w:rPr>
              <w:t xml:space="preserve">LD 电动单梁起重机 </w:t>
            </w:r>
          </w:p>
        </w:tc>
        <w:tc>
          <w:tcPr>
            <w:tcW w:w="99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r>
              <w:rPr>
                <w:rFonts w:hint="eastAsia" w:ascii="Times New Roman" w:hAnsi="Times New Roman" w:eastAsia="宋体" w:cs="Times New Roman"/>
                <w:snapToGrid w:val="0"/>
                <w:color w:val="auto"/>
                <w:spacing w:val="-5"/>
                <w:kern w:val="0"/>
                <w:sz w:val="21"/>
                <w:szCs w:val="21"/>
                <w:lang w:val="en-US" w:eastAsia="zh-CN" w:bidi="ar-SA"/>
              </w:rPr>
              <w:t xml:space="preserve"> Q=5t Lk=7.5m H=15m</w:t>
            </w:r>
          </w:p>
        </w:tc>
        <w:tc>
          <w:tcPr>
            <w:tcW w:w="8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r>
              <w:rPr>
                <w:rFonts w:hint="eastAsia" w:ascii="Times New Roman" w:hAnsi="Times New Roman" w:eastAsia="宋体" w:cs="Times New Roman"/>
                <w:snapToGrid w:val="0"/>
                <w:color w:val="auto"/>
                <w:spacing w:val="-5"/>
                <w:kern w:val="0"/>
                <w:sz w:val="21"/>
                <w:szCs w:val="21"/>
                <w:lang w:val="en-US" w:eastAsia="en-US" w:bidi="ar-SA"/>
              </w:rPr>
              <w:t>6</w:t>
            </w:r>
          </w:p>
        </w:tc>
        <w:tc>
          <w:tcPr>
            <w:tcW w:w="121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lang w:val="en-US" w:eastAsia="en-US" w:bidi="ar-SA"/>
              </w:rPr>
            </w:pPr>
          </w:p>
        </w:tc>
      </w:tr>
    </w:tbl>
    <w:p>
      <w:pPr>
        <w:pStyle w:val="4"/>
        <w:bidi w:val="0"/>
        <w:rPr>
          <w:rFonts w:hint="eastAsia"/>
          <w:color w:val="auto"/>
          <w:lang w:val="en-US" w:eastAsia="zh-CN"/>
        </w:rPr>
      </w:pPr>
      <w:bookmarkStart w:id="105" w:name="_Toc23904"/>
      <w:r>
        <w:rPr>
          <w:rFonts w:hint="eastAsia"/>
          <w:color w:val="auto"/>
          <w:lang w:val="en-US" w:eastAsia="zh-CN"/>
        </w:rPr>
        <w:t>2.7.4 药剂设施</w:t>
      </w:r>
      <w:bookmarkEnd w:id="105"/>
    </w:p>
    <w:p>
      <w:pPr>
        <w:rPr>
          <w:rFonts w:hint="default"/>
          <w:color w:val="auto"/>
          <w:lang w:val="en-US" w:eastAsia="zh-CN"/>
        </w:rPr>
      </w:pPr>
      <w:r>
        <w:rPr>
          <w:rFonts w:hint="default"/>
          <w:color w:val="auto"/>
          <w:lang w:val="en-US" w:eastAsia="zh-CN"/>
        </w:rPr>
        <w:t>选厂设有专门的药剂仓库及制备间。根据选矿试验结果知，工艺流程所需药剂种类包括</w:t>
      </w:r>
      <w:r>
        <w:rPr>
          <w:rFonts w:hint="eastAsia"/>
          <w:color w:val="auto"/>
          <w:lang w:val="en-US" w:eastAsia="zh-CN"/>
        </w:rPr>
        <w:t>：</w:t>
      </w:r>
      <w:r>
        <w:rPr>
          <w:rFonts w:hint="default"/>
          <w:color w:val="auto"/>
          <w:lang w:val="en-US" w:eastAsia="zh-CN"/>
        </w:rPr>
        <w:t>浓硫酸、丁黄药、2#油、石灰、次氯酸钠、水玻璃、731、油酸。</w:t>
      </w:r>
    </w:p>
    <w:p>
      <w:pPr>
        <w:rPr>
          <w:rFonts w:hint="default"/>
          <w:color w:val="auto"/>
          <w:lang w:val="en-US" w:eastAsia="zh-CN"/>
        </w:rPr>
      </w:pPr>
      <w:r>
        <w:rPr>
          <w:rFonts w:hint="default"/>
          <w:color w:val="auto"/>
          <w:lang w:val="en-US" w:eastAsia="zh-CN"/>
        </w:rPr>
        <w:t>水玻璃、丁黄药、2#油、次氯酸钠、731、油酸捕收剂储存在药剂仓库，储存时间按20天考虑。工业用H</w:t>
      </w:r>
      <w:r>
        <w:rPr>
          <w:rFonts w:hint="eastAsia"/>
          <w:color w:val="auto"/>
          <w:vertAlign w:val="subscript"/>
          <w:lang w:val="en-US" w:eastAsia="zh-CN"/>
        </w:rPr>
        <w:t>2</w:t>
      </w:r>
      <w:r>
        <w:rPr>
          <w:rFonts w:hint="default"/>
          <w:color w:val="auto"/>
          <w:lang w:val="en-US" w:eastAsia="zh-CN"/>
        </w:rPr>
        <w:t>S</w:t>
      </w:r>
      <w:r>
        <w:rPr>
          <w:rFonts w:hint="eastAsia"/>
          <w:color w:val="auto"/>
          <w:lang w:val="en-US" w:eastAsia="zh-CN"/>
        </w:rPr>
        <w:t>O</w:t>
      </w:r>
      <w:r>
        <w:rPr>
          <w:rFonts w:hint="eastAsia"/>
          <w:color w:val="auto"/>
          <w:vertAlign w:val="subscript"/>
          <w:lang w:val="en-US" w:eastAsia="zh-CN"/>
        </w:rPr>
        <w:t>4</w:t>
      </w:r>
      <w:r>
        <w:rPr>
          <w:rFonts w:hint="eastAsia"/>
          <w:color w:val="auto"/>
          <w:lang w:val="en-US" w:eastAsia="zh-CN"/>
        </w:rPr>
        <w:t>（</w:t>
      </w:r>
      <w:r>
        <w:rPr>
          <w:rFonts w:hint="default"/>
          <w:color w:val="auto"/>
          <w:lang w:val="en-US" w:eastAsia="zh-CN"/>
        </w:rPr>
        <w:t>浓度93%</w:t>
      </w:r>
      <w:r>
        <w:rPr>
          <w:rFonts w:hint="eastAsia"/>
          <w:color w:val="auto"/>
          <w:lang w:val="en-US" w:eastAsia="zh-CN"/>
        </w:rPr>
        <w:t>）</w:t>
      </w:r>
      <w:r>
        <w:rPr>
          <w:rFonts w:hint="default"/>
          <w:color w:val="auto"/>
          <w:lang w:val="en-US" w:eastAsia="zh-CN"/>
        </w:rPr>
        <w:t>用罐车运来分别卸入药剂仓库旁边的H</w:t>
      </w:r>
      <w:r>
        <w:rPr>
          <w:rFonts w:hint="eastAsia"/>
          <w:color w:val="auto"/>
          <w:vertAlign w:val="subscript"/>
          <w:lang w:val="en-US" w:eastAsia="zh-CN"/>
        </w:rPr>
        <w:t>2</w:t>
      </w:r>
      <w:r>
        <w:rPr>
          <w:rFonts w:hint="default"/>
          <w:color w:val="auto"/>
          <w:lang w:val="en-US" w:eastAsia="zh-CN"/>
        </w:rPr>
        <w:t>S</w:t>
      </w:r>
      <w:r>
        <w:rPr>
          <w:rFonts w:hint="eastAsia"/>
          <w:color w:val="auto"/>
          <w:lang w:val="en-US" w:eastAsia="zh-CN"/>
        </w:rPr>
        <w:t>O</w:t>
      </w:r>
      <w:r>
        <w:rPr>
          <w:rFonts w:hint="eastAsia"/>
          <w:color w:val="auto"/>
          <w:vertAlign w:val="subscript"/>
          <w:lang w:val="en-US" w:eastAsia="zh-CN"/>
        </w:rPr>
        <w:t>4</w:t>
      </w:r>
      <w:r>
        <w:rPr>
          <w:rFonts w:hint="default"/>
          <w:color w:val="auto"/>
          <w:lang w:val="en-US" w:eastAsia="zh-CN"/>
        </w:rPr>
        <w:t>储罐内，H</w:t>
      </w:r>
      <w:r>
        <w:rPr>
          <w:rFonts w:hint="eastAsia" w:ascii="Times New Roman" w:eastAsia="宋体"/>
          <w:color w:val="auto"/>
          <w:vertAlign w:val="subscript"/>
          <w:lang w:val="en-US" w:eastAsia="zh-CN"/>
        </w:rPr>
        <w:t>2</w:t>
      </w:r>
      <w:r>
        <w:rPr>
          <w:rFonts w:hint="default"/>
          <w:color w:val="auto"/>
          <w:lang w:val="en-US" w:eastAsia="zh-CN"/>
        </w:rPr>
        <w:t>S</w:t>
      </w:r>
      <w:r>
        <w:rPr>
          <w:rFonts w:hint="eastAsia" w:ascii="Times New Roman" w:eastAsia="宋体"/>
          <w:color w:val="auto"/>
          <w:lang w:val="en-US" w:eastAsia="zh-CN"/>
        </w:rPr>
        <w:t>O</w:t>
      </w:r>
      <w:r>
        <w:rPr>
          <w:rFonts w:hint="eastAsia" w:ascii="Times New Roman" w:eastAsia="宋体"/>
          <w:color w:val="auto"/>
          <w:vertAlign w:val="subscript"/>
          <w:lang w:val="en-US" w:eastAsia="zh-CN"/>
        </w:rPr>
        <w:t>4</w:t>
      </w:r>
      <w:r>
        <w:rPr>
          <w:rFonts w:hint="default"/>
          <w:color w:val="auto"/>
          <w:lang w:val="en-US" w:eastAsia="zh-CN"/>
        </w:rPr>
        <w:t>储存时间约</w:t>
      </w:r>
      <w:r>
        <w:rPr>
          <w:rFonts w:hint="eastAsia"/>
          <w:color w:val="auto"/>
          <w:lang w:val="en-US" w:eastAsia="zh-CN"/>
        </w:rPr>
        <w:t>15</w:t>
      </w:r>
      <w:r>
        <w:rPr>
          <w:rFonts w:hint="default"/>
          <w:color w:val="auto"/>
          <w:lang w:val="en-US" w:eastAsia="zh-CN"/>
        </w:rPr>
        <w:t>天。石灰采用简易防雨棚及制备间单独堆放制备。</w:t>
      </w:r>
    </w:p>
    <w:p>
      <w:pPr>
        <w:rPr>
          <w:rFonts w:hint="default"/>
          <w:color w:val="auto"/>
          <w:lang w:val="en-US" w:eastAsia="zh-CN"/>
        </w:rPr>
      </w:pPr>
      <w:r>
        <w:rPr>
          <w:rFonts w:hint="default"/>
          <w:color w:val="auto"/>
          <w:lang w:val="en-US" w:eastAsia="zh-CN"/>
        </w:rPr>
        <w:t>2#油采用原液添加，水玻璃、丁黄药、次氯酸钠、731、油酸采用搅拌槽制备后，放入各自贮槽，由主厂房药剂平台上的自动给药机添加至浮选各用药点。</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表2-14 原辅材料一览表</w:t>
      </w:r>
    </w:p>
    <w:tbl>
      <w:tblPr>
        <w:tblStyle w:val="1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8"/>
        <w:gridCol w:w="1111"/>
        <w:gridCol w:w="1884"/>
        <w:gridCol w:w="2363"/>
        <w:gridCol w:w="29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1" w:hRule="atLeast"/>
        </w:trPr>
        <w:tc>
          <w:tcPr>
            <w:tcW w:w="521" w:type="pct"/>
            <w:tcBorders>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序号</w:t>
            </w:r>
          </w:p>
        </w:tc>
        <w:tc>
          <w:tcPr>
            <w:tcW w:w="598" w:type="pct"/>
            <w:tcBorders>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val="en-US" w:eastAsia="zh-CN"/>
              </w:rPr>
              <w:t>材料</w:t>
            </w:r>
          </w:p>
        </w:tc>
        <w:tc>
          <w:tcPr>
            <w:tcW w:w="1014" w:type="pct"/>
            <w:tcBorders>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val="en-US" w:eastAsia="zh-CN"/>
              </w:rPr>
              <w:t>年用量</w:t>
            </w:r>
          </w:p>
        </w:tc>
        <w:tc>
          <w:tcPr>
            <w:tcW w:w="1272" w:type="pct"/>
            <w:tcBorders>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储存量</w:t>
            </w:r>
          </w:p>
        </w:tc>
        <w:tc>
          <w:tcPr>
            <w:tcW w:w="1593" w:type="pct"/>
            <w:tcBorders>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储存场所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8" w:hRule="atLeast"/>
        </w:trPr>
        <w:tc>
          <w:tcPr>
            <w:tcW w:w="521" w:type="pct"/>
            <w:tcBorders>
              <w:top w:val="single" w:color="000000" w:sz="4" w:space="0"/>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一</w:t>
            </w:r>
          </w:p>
        </w:tc>
        <w:tc>
          <w:tcPr>
            <w:tcW w:w="4478" w:type="pct"/>
            <w:gridSpan w:val="4"/>
            <w:tcBorders>
              <w:top w:val="single" w:color="000000" w:sz="4" w:space="0"/>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原材料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8" w:hRule="atLeast"/>
        </w:trPr>
        <w:tc>
          <w:tcPr>
            <w:tcW w:w="521" w:type="pct"/>
            <w:tcBorders>
              <w:top w:val="single" w:color="000000" w:sz="4" w:space="0"/>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p>
        </w:tc>
        <w:tc>
          <w:tcPr>
            <w:tcW w:w="598" w:type="pct"/>
            <w:tcBorders>
              <w:top w:val="single" w:color="000000" w:sz="4" w:space="0"/>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eastAsia" w:eastAsia="宋体"/>
                <w:color w:val="auto"/>
                <w:sz w:val="21"/>
                <w:szCs w:val="21"/>
              </w:rPr>
              <w:t>矿石</w:t>
            </w:r>
          </w:p>
        </w:tc>
        <w:tc>
          <w:tcPr>
            <w:tcW w:w="1014" w:type="pct"/>
            <w:tcBorders>
              <w:top w:val="single" w:color="000000" w:sz="4" w:space="0"/>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30万t</w:t>
            </w:r>
          </w:p>
        </w:tc>
        <w:tc>
          <w:tcPr>
            <w:tcW w:w="1272" w:type="pct"/>
            <w:tcBorders>
              <w:top w:val="single" w:color="000000" w:sz="4" w:space="0"/>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p>
        </w:tc>
        <w:tc>
          <w:tcPr>
            <w:tcW w:w="1593" w:type="pct"/>
            <w:tcBorders>
              <w:top w:val="single" w:color="000000" w:sz="4" w:space="0"/>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rPr>
            </w:pPr>
            <w:r>
              <w:rPr>
                <w:rFonts w:hint="eastAsia" w:eastAsia="宋体"/>
                <w:color w:val="auto"/>
                <w:sz w:val="21"/>
                <w:szCs w:val="21"/>
              </w:rPr>
              <w:t>原矿仓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trPr>
        <w:tc>
          <w:tcPr>
            <w:tcW w:w="521" w:type="pct"/>
            <w:tcBorders>
              <w:top w:val="single" w:color="000000" w:sz="4" w:space="0"/>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二</w:t>
            </w:r>
          </w:p>
        </w:tc>
        <w:tc>
          <w:tcPr>
            <w:tcW w:w="4478" w:type="pct"/>
            <w:gridSpan w:val="4"/>
            <w:tcBorders>
              <w:top w:val="single" w:color="000000" w:sz="4" w:space="0"/>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辅助材料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1" w:hRule="atLeast"/>
        </w:trPr>
        <w:tc>
          <w:tcPr>
            <w:tcW w:w="521" w:type="pct"/>
            <w:tcBorders>
              <w:top w:val="single" w:color="000000" w:sz="4" w:space="0"/>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val="en-US" w:eastAsia="zh-CN"/>
              </w:rPr>
              <w:t>1</w:t>
            </w:r>
          </w:p>
        </w:tc>
        <w:tc>
          <w:tcPr>
            <w:tcW w:w="598" w:type="pct"/>
            <w:tcBorders>
              <w:top w:val="single" w:color="000000" w:sz="4" w:space="0"/>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浓硫酸</w:t>
            </w:r>
          </w:p>
        </w:tc>
        <w:tc>
          <w:tcPr>
            <w:tcW w:w="1884" w:type="dxa"/>
            <w:tcBorders>
              <w:top w:val="single" w:color="000000" w:sz="4" w:space="0"/>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35.06</w:t>
            </w:r>
            <w:r>
              <w:rPr>
                <w:rFonts w:hint="eastAsia" w:cs="Times New Roman"/>
                <w:color w:val="auto"/>
                <w:sz w:val="21"/>
                <w:szCs w:val="21"/>
                <w:lang w:val="en-US" w:eastAsia="zh-CN"/>
              </w:rPr>
              <w:t>t</w:t>
            </w:r>
          </w:p>
        </w:tc>
        <w:tc>
          <w:tcPr>
            <w:tcW w:w="2363" w:type="dxa"/>
            <w:tcBorders>
              <w:top w:val="single" w:color="000000" w:sz="4" w:space="0"/>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2.5</w:t>
            </w:r>
            <w:r>
              <w:rPr>
                <w:rFonts w:hint="eastAsia" w:cs="Times New Roman"/>
                <w:color w:val="auto"/>
                <w:sz w:val="21"/>
                <w:szCs w:val="21"/>
                <w:lang w:val="en-US" w:eastAsia="zh-CN"/>
              </w:rPr>
              <w:t>t</w:t>
            </w:r>
          </w:p>
        </w:tc>
        <w:tc>
          <w:tcPr>
            <w:tcW w:w="1593" w:type="pct"/>
            <w:tcBorders>
              <w:top w:val="single" w:color="000000" w:sz="4" w:space="0"/>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rPr>
            </w:pPr>
            <w:r>
              <w:rPr>
                <w:rFonts w:hint="eastAsia" w:eastAsia="宋体"/>
                <w:color w:val="auto"/>
                <w:sz w:val="21"/>
                <w:szCs w:val="21"/>
              </w:rPr>
              <w:t>药剂仓库旁边的H</w:t>
            </w:r>
            <w:r>
              <w:rPr>
                <w:rFonts w:hint="eastAsia" w:eastAsia="宋体"/>
                <w:color w:val="auto"/>
                <w:sz w:val="21"/>
                <w:szCs w:val="21"/>
                <w:vertAlign w:val="subscript"/>
              </w:rPr>
              <w:t>2</w:t>
            </w:r>
            <w:r>
              <w:rPr>
                <w:rFonts w:hint="eastAsia" w:eastAsia="宋体"/>
                <w:color w:val="auto"/>
                <w:sz w:val="21"/>
                <w:szCs w:val="21"/>
              </w:rPr>
              <w:t>SO</w:t>
            </w:r>
            <w:r>
              <w:rPr>
                <w:rFonts w:hint="eastAsia" w:eastAsia="宋体"/>
                <w:color w:val="auto"/>
                <w:sz w:val="21"/>
                <w:szCs w:val="21"/>
                <w:vertAlign w:val="subscript"/>
              </w:rPr>
              <w:t>4</w:t>
            </w:r>
            <w:r>
              <w:rPr>
                <w:rFonts w:hint="eastAsia" w:eastAsia="宋体"/>
                <w:color w:val="auto"/>
                <w:sz w:val="21"/>
                <w:szCs w:val="21"/>
              </w:rPr>
              <w:t>储罐内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1" w:hRule="atLeast"/>
        </w:trPr>
        <w:tc>
          <w:tcPr>
            <w:tcW w:w="521" w:type="pct"/>
            <w:tcBorders>
              <w:top w:val="single" w:color="000000" w:sz="4" w:space="0"/>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val="en-US" w:eastAsia="zh-CN"/>
              </w:rPr>
              <w:t>2</w:t>
            </w:r>
          </w:p>
        </w:tc>
        <w:tc>
          <w:tcPr>
            <w:tcW w:w="598" w:type="pct"/>
            <w:tcBorders>
              <w:top w:val="single" w:color="000000" w:sz="4" w:space="0"/>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丁黄药</w:t>
            </w:r>
          </w:p>
        </w:tc>
        <w:tc>
          <w:tcPr>
            <w:tcW w:w="1884" w:type="dxa"/>
            <w:tcBorders>
              <w:top w:val="single" w:color="000000" w:sz="4" w:space="0"/>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9.55</w:t>
            </w:r>
            <w:r>
              <w:rPr>
                <w:rFonts w:hint="eastAsia" w:cs="Times New Roman"/>
                <w:color w:val="auto"/>
                <w:sz w:val="21"/>
                <w:szCs w:val="21"/>
                <w:lang w:val="en-US" w:eastAsia="zh-CN"/>
              </w:rPr>
              <w:t>t</w:t>
            </w:r>
          </w:p>
        </w:tc>
        <w:tc>
          <w:tcPr>
            <w:tcW w:w="2363" w:type="dxa"/>
            <w:tcBorders>
              <w:top w:val="single" w:color="000000" w:sz="4" w:space="0"/>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r>
              <w:rPr>
                <w:rFonts w:hint="eastAsia" w:cs="Times New Roman"/>
                <w:color w:val="auto"/>
                <w:sz w:val="21"/>
                <w:szCs w:val="21"/>
                <w:lang w:val="en-US" w:eastAsia="zh-CN"/>
              </w:rPr>
              <w:t>t</w:t>
            </w:r>
          </w:p>
        </w:tc>
        <w:tc>
          <w:tcPr>
            <w:tcW w:w="1593" w:type="pct"/>
            <w:tcBorders>
              <w:top w:val="single" w:color="000000" w:sz="4" w:space="0"/>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药剂仓库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trPr>
        <w:tc>
          <w:tcPr>
            <w:tcW w:w="5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val="en-US" w:eastAsia="zh-CN"/>
              </w:rPr>
              <w:t>3</w:t>
            </w:r>
          </w:p>
        </w:tc>
        <w:tc>
          <w:tcPr>
            <w:tcW w:w="59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2#油</w:t>
            </w:r>
          </w:p>
        </w:tc>
        <w:tc>
          <w:tcPr>
            <w:tcW w:w="18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3.74</w:t>
            </w:r>
            <w:r>
              <w:rPr>
                <w:rFonts w:hint="eastAsia" w:cs="Times New Roman"/>
                <w:color w:val="auto"/>
                <w:sz w:val="21"/>
                <w:szCs w:val="21"/>
                <w:lang w:val="en-US" w:eastAsia="zh-CN"/>
              </w:rPr>
              <w:t>t</w:t>
            </w:r>
          </w:p>
        </w:tc>
        <w:tc>
          <w:tcPr>
            <w:tcW w:w="2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0.5</w:t>
            </w:r>
            <w:r>
              <w:rPr>
                <w:rFonts w:hint="eastAsia" w:cs="Times New Roman"/>
                <w:color w:val="auto"/>
                <w:sz w:val="21"/>
                <w:szCs w:val="21"/>
                <w:lang w:val="en-US" w:eastAsia="zh-CN"/>
              </w:rPr>
              <w:t>t</w:t>
            </w:r>
          </w:p>
        </w:tc>
        <w:tc>
          <w:tcPr>
            <w:tcW w:w="159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药剂仓库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trPr>
        <w:tc>
          <w:tcPr>
            <w:tcW w:w="5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4</w:t>
            </w:r>
          </w:p>
        </w:tc>
        <w:tc>
          <w:tcPr>
            <w:tcW w:w="59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石灰</w:t>
            </w:r>
          </w:p>
        </w:tc>
        <w:tc>
          <w:tcPr>
            <w:tcW w:w="18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12.2</w:t>
            </w:r>
            <w:r>
              <w:rPr>
                <w:rFonts w:hint="eastAsia" w:cs="Times New Roman"/>
                <w:color w:val="auto"/>
                <w:sz w:val="21"/>
                <w:szCs w:val="21"/>
                <w:lang w:val="en-US" w:eastAsia="zh-CN"/>
              </w:rPr>
              <w:t>t</w:t>
            </w:r>
          </w:p>
        </w:tc>
        <w:tc>
          <w:tcPr>
            <w:tcW w:w="2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r>
              <w:rPr>
                <w:rFonts w:hint="eastAsia" w:cs="Times New Roman"/>
                <w:color w:val="auto"/>
                <w:sz w:val="21"/>
                <w:szCs w:val="21"/>
                <w:lang w:val="en-US" w:eastAsia="zh-CN"/>
              </w:rPr>
              <w:t>t</w:t>
            </w:r>
          </w:p>
        </w:tc>
        <w:tc>
          <w:tcPr>
            <w:tcW w:w="159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简易防雨棚及制备间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trPr>
        <w:tc>
          <w:tcPr>
            <w:tcW w:w="5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5</w:t>
            </w:r>
          </w:p>
        </w:tc>
        <w:tc>
          <w:tcPr>
            <w:tcW w:w="59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次氯酸钠</w:t>
            </w:r>
          </w:p>
        </w:tc>
        <w:tc>
          <w:tcPr>
            <w:tcW w:w="18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t</w:t>
            </w:r>
          </w:p>
        </w:tc>
        <w:tc>
          <w:tcPr>
            <w:tcW w:w="2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0.4</w:t>
            </w:r>
            <w:r>
              <w:rPr>
                <w:rFonts w:hint="eastAsia" w:cs="Times New Roman"/>
                <w:color w:val="auto"/>
                <w:sz w:val="21"/>
                <w:szCs w:val="21"/>
                <w:lang w:val="en-US" w:eastAsia="zh-CN"/>
              </w:rPr>
              <w:t>t</w:t>
            </w:r>
          </w:p>
        </w:tc>
        <w:tc>
          <w:tcPr>
            <w:tcW w:w="159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药剂仓库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trPr>
        <w:tc>
          <w:tcPr>
            <w:tcW w:w="5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6</w:t>
            </w:r>
          </w:p>
        </w:tc>
        <w:tc>
          <w:tcPr>
            <w:tcW w:w="59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水玻璃</w:t>
            </w:r>
          </w:p>
        </w:tc>
        <w:tc>
          <w:tcPr>
            <w:tcW w:w="18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37.74</w:t>
            </w:r>
            <w:r>
              <w:rPr>
                <w:rFonts w:hint="eastAsia" w:cs="Times New Roman"/>
                <w:color w:val="auto"/>
                <w:sz w:val="21"/>
                <w:szCs w:val="21"/>
                <w:lang w:val="en-US" w:eastAsia="zh-CN"/>
              </w:rPr>
              <w:t>t</w:t>
            </w:r>
          </w:p>
        </w:tc>
        <w:tc>
          <w:tcPr>
            <w:tcW w:w="2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3.5</w:t>
            </w:r>
            <w:r>
              <w:rPr>
                <w:rFonts w:hint="eastAsia" w:cs="Times New Roman"/>
                <w:color w:val="auto"/>
                <w:sz w:val="21"/>
                <w:szCs w:val="21"/>
                <w:lang w:val="en-US" w:eastAsia="zh-CN"/>
              </w:rPr>
              <w:t>t</w:t>
            </w:r>
          </w:p>
        </w:tc>
        <w:tc>
          <w:tcPr>
            <w:tcW w:w="159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药剂仓库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trPr>
        <w:tc>
          <w:tcPr>
            <w:tcW w:w="5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7</w:t>
            </w:r>
          </w:p>
        </w:tc>
        <w:tc>
          <w:tcPr>
            <w:tcW w:w="59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731</w:t>
            </w:r>
          </w:p>
        </w:tc>
        <w:tc>
          <w:tcPr>
            <w:tcW w:w="18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r>
              <w:rPr>
                <w:rFonts w:hint="eastAsia" w:cs="Times New Roman"/>
                <w:color w:val="auto"/>
                <w:sz w:val="21"/>
                <w:szCs w:val="21"/>
                <w:lang w:val="en-US" w:eastAsia="zh-CN"/>
              </w:rPr>
              <w:t>t</w:t>
            </w:r>
          </w:p>
        </w:tc>
        <w:tc>
          <w:tcPr>
            <w:tcW w:w="2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0.5</w:t>
            </w:r>
            <w:r>
              <w:rPr>
                <w:rFonts w:hint="eastAsia" w:cs="Times New Roman"/>
                <w:color w:val="auto"/>
                <w:sz w:val="21"/>
                <w:szCs w:val="21"/>
                <w:lang w:val="en-US" w:eastAsia="zh-CN"/>
              </w:rPr>
              <w:t>t</w:t>
            </w:r>
          </w:p>
        </w:tc>
        <w:tc>
          <w:tcPr>
            <w:tcW w:w="159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药剂仓库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trPr>
        <w:tc>
          <w:tcPr>
            <w:tcW w:w="5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8</w:t>
            </w:r>
          </w:p>
        </w:tc>
        <w:tc>
          <w:tcPr>
            <w:tcW w:w="59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油酸</w:t>
            </w:r>
          </w:p>
        </w:tc>
        <w:tc>
          <w:tcPr>
            <w:tcW w:w="18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r>
              <w:rPr>
                <w:rFonts w:hint="eastAsia" w:cs="Times New Roman"/>
                <w:color w:val="auto"/>
                <w:sz w:val="21"/>
                <w:szCs w:val="21"/>
                <w:lang w:val="en-US" w:eastAsia="zh-CN"/>
              </w:rPr>
              <w:t>t</w:t>
            </w:r>
          </w:p>
        </w:tc>
        <w:tc>
          <w:tcPr>
            <w:tcW w:w="2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0.5</w:t>
            </w:r>
            <w:r>
              <w:rPr>
                <w:rFonts w:hint="eastAsia" w:cs="Times New Roman"/>
                <w:color w:val="auto"/>
                <w:sz w:val="21"/>
                <w:szCs w:val="21"/>
                <w:lang w:val="en-US" w:eastAsia="zh-CN"/>
              </w:rPr>
              <w:t>t</w:t>
            </w:r>
          </w:p>
        </w:tc>
        <w:tc>
          <w:tcPr>
            <w:tcW w:w="159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药剂仓库</w:t>
            </w:r>
          </w:p>
        </w:tc>
      </w:tr>
    </w:tbl>
    <w:p>
      <w:pPr>
        <w:pStyle w:val="4"/>
        <w:bidi w:val="0"/>
        <w:rPr>
          <w:rFonts w:hint="eastAsia"/>
          <w:color w:val="auto"/>
          <w:lang w:val="en-US" w:eastAsia="zh-CN"/>
        </w:rPr>
      </w:pPr>
      <w:bookmarkStart w:id="106" w:name="_Toc26737"/>
      <w:r>
        <w:rPr>
          <w:rFonts w:hint="eastAsia"/>
          <w:color w:val="auto"/>
          <w:lang w:val="en-US" w:eastAsia="zh-CN"/>
        </w:rPr>
        <w:t>2.7.5 试验室及化验室</w:t>
      </w:r>
      <w:bookmarkEnd w:id="106"/>
    </w:p>
    <w:p>
      <w:pPr>
        <w:rPr>
          <w:rFonts w:hint="default"/>
          <w:color w:val="auto"/>
          <w:lang w:val="en-US" w:eastAsia="zh-CN"/>
        </w:rPr>
      </w:pPr>
      <w:r>
        <w:rPr>
          <w:rFonts w:hint="default"/>
          <w:color w:val="auto"/>
          <w:lang w:val="en-US" w:eastAsia="zh-CN"/>
        </w:rPr>
        <w:t>为使选矿生产工艺过程适应矿石性质的变化，提供合理的操作条件改进选矿工艺和解决生产中存在的问题，并进行新技术、新工艺及综合回收等试验研究工作，该项目新设立选矿化验室，试验室利用现有试验室。</w:t>
      </w:r>
    </w:p>
    <w:p>
      <w:pPr>
        <w:rPr>
          <w:rFonts w:hint="eastAsia"/>
          <w:color w:val="auto"/>
          <w:lang w:val="en-US" w:eastAsia="zh-CN"/>
        </w:rPr>
      </w:pPr>
      <w:r>
        <w:rPr>
          <w:rFonts w:hint="default"/>
          <w:color w:val="auto"/>
          <w:lang w:val="en-US" w:eastAsia="zh-CN"/>
        </w:rPr>
        <w:t>化验室承担地质、选矿和环保等全部化验分析工作。化验室中选用的设备考虑了能适应多种用途的化验分析，这为生产上采用多种化验方法创造了条件。其主要任务</w:t>
      </w:r>
      <w:r>
        <w:rPr>
          <w:rFonts w:hint="eastAsia"/>
          <w:color w:val="auto"/>
          <w:lang w:val="en-US" w:eastAsia="zh-CN"/>
        </w:rPr>
        <w:t>：</w:t>
      </w:r>
    </w:p>
    <w:p>
      <w:pPr>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选矿厂日常生产样品的化学分析</w:t>
      </w:r>
      <w:r>
        <w:rPr>
          <w:rFonts w:hint="eastAsia"/>
          <w:color w:val="auto"/>
          <w:lang w:val="en-US" w:eastAsia="zh-CN"/>
        </w:rPr>
        <w:t>（</w:t>
      </w:r>
      <w:r>
        <w:rPr>
          <w:rFonts w:hint="default"/>
          <w:color w:val="auto"/>
          <w:lang w:val="en-US" w:eastAsia="zh-CN"/>
        </w:rPr>
        <w:t>包括原矿、精矿、尾矿的品位分析</w:t>
      </w:r>
      <w:r>
        <w:rPr>
          <w:rFonts w:hint="eastAsia"/>
          <w:color w:val="auto"/>
          <w:lang w:val="en-US" w:eastAsia="zh-CN"/>
        </w:rPr>
        <w:t>）；</w:t>
      </w:r>
    </w:p>
    <w:p>
      <w:pPr>
        <w:rPr>
          <w:rFonts w:hint="default"/>
          <w:color w:val="auto"/>
          <w:lang w:val="en-US" w:eastAsia="zh-CN"/>
        </w:rPr>
      </w:pP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选矿厂试验样品的化学分析</w:t>
      </w:r>
      <w:r>
        <w:rPr>
          <w:rFonts w:hint="eastAsia"/>
          <w:color w:val="auto"/>
          <w:lang w:val="en-US" w:eastAsia="zh-CN"/>
        </w:rPr>
        <w:t>；</w:t>
      </w:r>
    </w:p>
    <w:p>
      <w:pPr>
        <w:rPr>
          <w:rFonts w:hint="default"/>
          <w:color w:val="auto"/>
          <w:lang w:val="en-US" w:eastAsia="zh-CN"/>
        </w:rPr>
      </w:pPr>
      <w:r>
        <w:rPr>
          <w:rFonts w:hint="eastAsia"/>
          <w:color w:val="auto"/>
          <w:lang w:val="en-US" w:eastAsia="zh-CN"/>
        </w:rPr>
        <w:t>（</w:t>
      </w:r>
      <w:r>
        <w:rPr>
          <w:rFonts w:hint="default"/>
          <w:color w:val="auto"/>
          <w:lang w:val="en-US" w:eastAsia="zh-CN"/>
        </w:rPr>
        <w:t>3</w:t>
      </w:r>
      <w:r>
        <w:rPr>
          <w:rFonts w:hint="eastAsia"/>
          <w:color w:val="auto"/>
          <w:lang w:val="en-US" w:eastAsia="zh-CN"/>
        </w:rPr>
        <w:t>）</w:t>
      </w:r>
      <w:r>
        <w:rPr>
          <w:rFonts w:hint="default"/>
          <w:color w:val="auto"/>
          <w:lang w:val="en-US" w:eastAsia="zh-CN"/>
        </w:rPr>
        <w:t>矿山地质的矿样分析、矿物鉴定与分析</w:t>
      </w:r>
      <w:r>
        <w:rPr>
          <w:rFonts w:hint="eastAsia"/>
          <w:color w:val="auto"/>
          <w:lang w:val="en-US" w:eastAsia="zh-CN"/>
        </w:rPr>
        <w:t>；</w:t>
      </w:r>
    </w:p>
    <w:p>
      <w:pPr>
        <w:rPr>
          <w:rFonts w:hint="default"/>
          <w:color w:val="auto"/>
          <w:lang w:val="en-US" w:eastAsia="zh-CN"/>
        </w:rPr>
      </w:pPr>
      <w:r>
        <w:rPr>
          <w:rFonts w:hint="eastAsia"/>
          <w:color w:val="auto"/>
          <w:lang w:val="en-US" w:eastAsia="zh-CN"/>
        </w:rPr>
        <w:t>（</w:t>
      </w:r>
      <w:r>
        <w:rPr>
          <w:rFonts w:hint="default"/>
          <w:color w:val="auto"/>
          <w:lang w:val="en-US" w:eastAsia="zh-CN"/>
        </w:rPr>
        <w:t>4</w:t>
      </w:r>
      <w:r>
        <w:rPr>
          <w:rFonts w:hint="eastAsia"/>
          <w:color w:val="auto"/>
          <w:lang w:val="en-US" w:eastAsia="zh-CN"/>
        </w:rPr>
        <w:t>）</w:t>
      </w:r>
      <w:r>
        <w:rPr>
          <w:rFonts w:hint="default"/>
          <w:color w:val="auto"/>
          <w:lang w:val="en-US" w:eastAsia="zh-CN"/>
        </w:rPr>
        <w:t>生产或基建采矿样品的化学分析</w:t>
      </w:r>
      <w:r>
        <w:rPr>
          <w:rFonts w:hint="eastAsia"/>
          <w:color w:val="auto"/>
          <w:lang w:val="en-US" w:eastAsia="zh-CN"/>
        </w:rPr>
        <w:t>；</w:t>
      </w:r>
    </w:p>
    <w:p>
      <w:pPr>
        <w:rPr>
          <w:rFonts w:hint="default"/>
          <w:color w:val="auto"/>
          <w:lang w:val="en-US" w:eastAsia="zh-CN"/>
        </w:rPr>
      </w:pPr>
      <w:r>
        <w:rPr>
          <w:rFonts w:hint="eastAsia"/>
          <w:color w:val="auto"/>
          <w:lang w:val="en-US" w:eastAsia="zh-CN"/>
        </w:rPr>
        <w:t>（</w:t>
      </w:r>
      <w:r>
        <w:rPr>
          <w:rFonts w:hint="default"/>
          <w:color w:val="auto"/>
          <w:lang w:val="en-US" w:eastAsia="zh-CN"/>
        </w:rPr>
        <w:t>5</w:t>
      </w:r>
      <w:r>
        <w:rPr>
          <w:rFonts w:hint="eastAsia"/>
          <w:color w:val="auto"/>
          <w:lang w:val="en-US" w:eastAsia="zh-CN"/>
        </w:rPr>
        <w:t>）</w:t>
      </w:r>
      <w:r>
        <w:rPr>
          <w:rFonts w:hint="default"/>
          <w:color w:val="auto"/>
          <w:lang w:val="en-US" w:eastAsia="zh-CN"/>
        </w:rPr>
        <w:t>生产及生活用水水质分析。</w:t>
      </w:r>
    </w:p>
    <w:p>
      <w:pPr>
        <w:pStyle w:val="4"/>
        <w:bidi w:val="0"/>
        <w:rPr>
          <w:rFonts w:hint="eastAsia"/>
          <w:color w:val="auto"/>
          <w:lang w:val="en-US" w:eastAsia="zh-CN"/>
        </w:rPr>
      </w:pPr>
      <w:bookmarkStart w:id="107" w:name="_Toc30518"/>
      <w:r>
        <w:rPr>
          <w:rFonts w:hint="eastAsia"/>
          <w:color w:val="auto"/>
          <w:lang w:val="en-US" w:eastAsia="zh-CN"/>
        </w:rPr>
        <w:t>2.7.6 检修设施</w:t>
      </w:r>
      <w:bookmarkEnd w:id="107"/>
    </w:p>
    <w:p>
      <w:pPr>
        <w:rPr>
          <w:rFonts w:hint="default"/>
          <w:color w:val="auto"/>
          <w:lang w:val="en-US" w:eastAsia="zh-CN"/>
        </w:rPr>
      </w:pPr>
      <w:r>
        <w:rPr>
          <w:rFonts w:hint="default"/>
          <w:color w:val="auto"/>
          <w:lang w:val="en-US" w:eastAsia="zh-CN"/>
        </w:rPr>
        <w:t>选矿厂各车间内设有检修设施，并预留有检修场地。起重设施型号的选择、吨位的确定，是根据所要检修的设备类型、规格、数量及配置形式等因素，并参考国内同类型项目检修设施水平等综合确定。粗碎厂房设置1台10t电动单梁起重机，</w:t>
      </w:r>
      <w:r>
        <w:rPr>
          <w:rFonts w:hint="eastAsia"/>
          <w:color w:val="auto"/>
          <w:lang w:val="en-US" w:eastAsia="zh-CN"/>
        </w:rPr>
        <w:t>筛洗</w:t>
      </w:r>
      <w:r>
        <w:rPr>
          <w:rFonts w:hint="default"/>
          <w:color w:val="auto"/>
          <w:lang w:val="en-US" w:eastAsia="zh-CN"/>
        </w:rPr>
        <w:t>及预选车间设置2台5t电动单梁起重机，中细碎车间设置1台5t电动单梁起重机，筛分车间设置1台3t电动单梁起重机，主厂房设置1台10t电动单梁起重机和6台5t电动单梁起重机。其他需要检修部位设置电动葫芦或汽车吊辅助检修。</w:t>
      </w:r>
    </w:p>
    <w:p>
      <w:pPr>
        <w:pStyle w:val="4"/>
        <w:bidi w:val="0"/>
        <w:rPr>
          <w:rFonts w:hint="eastAsia"/>
          <w:color w:val="auto"/>
          <w:lang w:val="en-US" w:eastAsia="zh-CN"/>
        </w:rPr>
      </w:pPr>
      <w:bookmarkStart w:id="108" w:name="_Toc6252"/>
      <w:r>
        <w:rPr>
          <w:rFonts w:hint="eastAsia"/>
          <w:color w:val="auto"/>
          <w:lang w:val="en-US" w:eastAsia="zh-CN"/>
        </w:rPr>
        <w:t>2.7.7 除尘</w:t>
      </w:r>
      <w:bookmarkEnd w:id="108"/>
    </w:p>
    <w:p>
      <w:pPr>
        <w:rPr>
          <w:rFonts w:hint="default"/>
          <w:color w:val="auto"/>
          <w:lang w:val="en-US" w:eastAsia="zh-CN"/>
        </w:rPr>
      </w:pPr>
      <w:r>
        <w:rPr>
          <w:rFonts w:hint="eastAsia"/>
          <w:color w:val="auto"/>
          <w:lang w:val="en-US" w:eastAsia="zh-CN"/>
        </w:rPr>
        <w:t xml:space="preserve">1. </w:t>
      </w:r>
      <w:r>
        <w:rPr>
          <w:rFonts w:hint="default"/>
          <w:color w:val="auto"/>
          <w:lang w:val="en-US" w:eastAsia="zh-CN"/>
        </w:rPr>
        <w:t>除尘系统工艺流程</w:t>
      </w:r>
    </w:p>
    <w:p>
      <w:pPr>
        <w:rPr>
          <w:rFonts w:hint="eastAsia"/>
          <w:color w:val="auto"/>
          <w:lang w:val="en-US" w:eastAsia="zh-CN"/>
        </w:rPr>
      </w:pPr>
      <w:r>
        <w:rPr>
          <w:rFonts w:hint="default"/>
          <w:color w:val="auto"/>
          <w:lang w:val="en-US" w:eastAsia="zh-CN"/>
        </w:rPr>
        <w:t>除尘系统采用密闭或吸风罩抽尘、除尘设备净化方法，其工艺流程如图</w:t>
      </w:r>
      <w:r>
        <w:rPr>
          <w:rFonts w:hint="eastAsia"/>
          <w:color w:val="auto"/>
          <w:lang w:val="en-US" w:eastAsia="zh-CN"/>
        </w:rPr>
        <w:t>2-4。</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color w:val="auto"/>
          <w:lang w:val="en-US" w:eastAsia="zh-CN"/>
        </w:rPr>
      </w:pPr>
      <w:r>
        <w:rPr>
          <w:color w:val="auto"/>
        </w:rPr>
        <w:drawing>
          <wp:inline distT="0" distB="0" distL="114300" distR="114300">
            <wp:extent cx="5756910" cy="1568450"/>
            <wp:effectExtent l="0" t="0" r="15240" b="1270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31"/>
                    <a:stretch>
                      <a:fillRect/>
                    </a:stretch>
                  </pic:blipFill>
                  <pic:spPr>
                    <a:xfrm>
                      <a:off x="0" y="0"/>
                      <a:ext cx="5756910" cy="15684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lang w:val="en-US" w:eastAsia="zh-CN"/>
        </w:rPr>
      </w:pPr>
      <w:r>
        <w:rPr>
          <w:rFonts w:hint="eastAsia"/>
          <w:color w:val="auto"/>
          <w:lang w:val="en-US" w:eastAsia="zh-CN"/>
        </w:rPr>
        <w:t>图2-4 拟建除尘系统流程框图</w:t>
      </w:r>
    </w:p>
    <w:p>
      <w:pPr>
        <w:bidi w:val="0"/>
        <w:rPr>
          <w:rFonts w:hint="default"/>
          <w:color w:val="auto"/>
          <w:lang w:val="en-US" w:eastAsia="zh-CN"/>
        </w:rPr>
      </w:pPr>
      <w:r>
        <w:rPr>
          <w:rFonts w:hint="eastAsia"/>
          <w:color w:val="auto"/>
          <w:lang w:val="en-US" w:eastAsia="zh-CN"/>
        </w:rPr>
        <w:t xml:space="preserve">2. </w:t>
      </w:r>
      <w:r>
        <w:rPr>
          <w:rFonts w:hint="default"/>
          <w:color w:val="auto"/>
          <w:lang w:val="en-US" w:eastAsia="zh-CN"/>
        </w:rPr>
        <w:t>净化除尘工艺</w:t>
      </w:r>
    </w:p>
    <w:p>
      <w:pPr>
        <w:bidi w:val="0"/>
        <w:rPr>
          <w:rFonts w:hint="default"/>
          <w:color w:val="auto"/>
          <w:lang w:val="en-US" w:eastAsia="zh-CN"/>
        </w:rPr>
      </w:pPr>
      <w:r>
        <w:rPr>
          <w:rFonts w:hint="default"/>
          <w:color w:val="auto"/>
          <w:lang w:val="en-US" w:eastAsia="zh-CN"/>
        </w:rPr>
        <w:t>除尘工艺采用产尘点密封，密闭罩分为大容积密闭、半密闭和局部密闭三种形式，布置以不影响生产操作为前提。</w:t>
      </w:r>
    </w:p>
    <w:p>
      <w:pPr>
        <w:bidi w:val="0"/>
        <w:rPr>
          <w:rFonts w:hint="default"/>
          <w:color w:val="auto"/>
          <w:lang w:val="en-US" w:eastAsia="zh-CN"/>
        </w:rPr>
      </w:pPr>
      <w:r>
        <w:rPr>
          <w:rFonts w:hint="eastAsia"/>
          <w:color w:val="auto"/>
          <w:lang w:val="en-US" w:eastAsia="zh-CN"/>
        </w:rPr>
        <w:t>（1）</w:t>
      </w:r>
      <w:r>
        <w:rPr>
          <w:rFonts w:hint="default"/>
          <w:color w:val="auto"/>
          <w:lang w:val="en-US" w:eastAsia="zh-CN"/>
        </w:rPr>
        <w:t>胶带运输机受料密闭</w:t>
      </w:r>
    </w:p>
    <w:p>
      <w:pPr>
        <w:bidi w:val="0"/>
        <w:rPr>
          <w:rFonts w:hint="default"/>
          <w:color w:val="auto"/>
          <w:lang w:val="en-US" w:eastAsia="zh-CN"/>
        </w:rPr>
      </w:pPr>
      <w:r>
        <w:rPr>
          <w:rFonts w:hint="default"/>
          <w:color w:val="auto"/>
          <w:lang w:val="en-US" w:eastAsia="zh-CN"/>
        </w:rPr>
        <w:t>胶带运输机在输送破碎后的矿石时，由于皮带卸、受料点矿石挤压、冲击、诱导也产生大量粉尘，同时皮带在托辊作用下颠簸，皮带上方扬起粉尘，因此要对皮带进行密闭，考虑到生产维修的需要和节省材料</w:t>
      </w:r>
      <w:r>
        <w:rPr>
          <w:rFonts w:hint="eastAsia"/>
          <w:color w:val="auto"/>
          <w:lang w:val="en-US" w:eastAsia="zh-CN"/>
        </w:rPr>
        <w:t>，</w:t>
      </w:r>
      <w:r>
        <w:rPr>
          <w:rFonts w:hint="default"/>
          <w:color w:val="auto"/>
          <w:lang w:val="en-US" w:eastAsia="zh-CN"/>
        </w:rPr>
        <w:t>采用单层罩密闭方式，皮带密闭必须严实。密闭</w:t>
      </w:r>
      <w:r>
        <w:rPr>
          <w:rFonts w:hint="eastAsia"/>
          <w:color w:val="auto"/>
          <w:lang w:val="en-US" w:eastAsia="zh-CN"/>
        </w:rPr>
        <w:t>罩</w:t>
      </w:r>
      <w:r>
        <w:rPr>
          <w:rFonts w:hint="default"/>
          <w:color w:val="auto"/>
          <w:lang w:val="en-US" w:eastAsia="zh-CN"/>
        </w:rPr>
        <w:t xml:space="preserve">和胶带挡板采用搭扣活动连接，方便皮带检修后密闭罩恢复。胶带运输机受料点单层密闭量布置见图 </w:t>
      </w:r>
      <w:r>
        <w:rPr>
          <w:rFonts w:hint="eastAsia"/>
          <w:color w:val="auto"/>
          <w:lang w:val="en-US" w:eastAsia="zh-CN"/>
        </w:rPr>
        <w:t>2-5</w:t>
      </w:r>
      <w:r>
        <w:rPr>
          <w:rFonts w:hint="default"/>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color w:val="auto"/>
          <w:lang w:val="en-US" w:eastAsia="zh-CN"/>
        </w:rPr>
      </w:pPr>
      <w:r>
        <w:rPr>
          <w:color w:val="auto"/>
        </w:rPr>
        <w:drawing>
          <wp:inline distT="0" distB="0" distL="114300" distR="114300">
            <wp:extent cx="5755640" cy="2741295"/>
            <wp:effectExtent l="0" t="0" r="16510" b="190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32"/>
                    <a:stretch>
                      <a:fillRect/>
                    </a:stretch>
                  </pic:blipFill>
                  <pic:spPr>
                    <a:xfrm>
                      <a:off x="0" y="0"/>
                      <a:ext cx="5755640" cy="27412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eastAsia="宋体"/>
          <w:color w:val="auto"/>
          <w:lang w:val="en-US" w:eastAsia="zh-CN"/>
        </w:rPr>
      </w:pPr>
      <w:r>
        <w:rPr>
          <w:rFonts w:hint="eastAsia" w:ascii="Times New Roman" w:eastAsia="宋体"/>
          <w:color w:val="auto"/>
          <w:lang w:val="en-US" w:eastAsia="zh-CN"/>
        </w:rPr>
        <w:t>图2-</w:t>
      </w:r>
      <w:r>
        <w:rPr>
          <w:rFonts w:hint="eastAsia"/>
          <w:color w:val="auto"/>
          <w:lang w:val="en-US" w:eastAsia="zh-CN"/>
        </w:rPr>
        <w:t>5</w:t>
      </w:r>
      <w:r>
        <w:rPr>
          <w:rFonts w:hint="eastAsia" w:ascii="Times New Roman" w:eastAsia="宋体"/>
          <w:color w:val="auto"/>
          <w:lang w:val="en-US" w:eastAsia="zh-CN"/>
        </w:rPr>
        <w:t xml:space="preserve"> 胶带运输机受料点单层密闭罩</w:t>
      </w:r>
    </w:p>
    <w:p>
      <w:pPr>
        <w:bidi w:val="0"/>
        <w:rPr>
          <w:rFonts w:hint="eastAsia"/>
          <w:color w:val="auto"/>
          <w:lang w:val="en-US" w:eastAsia="zh-CN"/>
        </w:rPr>
      </w:pPr>
      <w:r>
        <w:rPr>
          <w:rFonts w:hint="eastAsia"/>
          <w:color w:val="auto"/>
          <w:lang w:val="en-US" w:eastAsia="zh-CN"/>
        </w:rPr>
        <w:t>（2）振动筛的密闭</w:t>
      </w:r>
    </w:p>
    <w:p>
      <w:pPr>
        <w:bidi w:val="0"/>
        <w:rPr>
          <w:rFonts w:hint="eastAsia"/>
          <w:color w:val="auto"/>
          <w:lang w:val="en-US" w:eastAsia="zh-CN"/>
        </w:rPr>
      </w:pPr>
      <w:r>
        <w:rPr>
          <w:rFonts w:hint="eastAsia"/>
          <w:color w:val="auto"/>
          <w:lang w:val="en-US" w:eastAsia="zh-CN"/>
        </w:rPr>
        <w:t>振动筛的密闭形式应根据筛子规格大小和操作方法来决定。一般分为局部密闭、整体密闭、大容积密闭三种形式。筛分厂房除尘系统选用圆振筛采用整体密闭。密闭罩内吸风量根据给料高差，物料粒度及筛面大小选择按每平方米筛面吸风量为800m</w:t>
      </w:r>
      <w:r>
        <w:rPr>
          <w:rFonts w:hint="eastAsia"/>
          <w:color w:val="auto"/>
          <w:vertAlign w:val="superscript"/>
          <w:lang w:val="en-US" w:eastAsia="zh-CN"/>
        </w:rPr>
        <w:t>3</w:t>
      </w:r>
      <w:r>
        <w:rPr>
          <w:rFonts w:hint="eastAsia"/>
          <w:color w:val="auto"/>
          <w:lang w:val="en-US" w:eastAsia="zh-CN"/>
        </w:rPr>
        <w:t>/h选取，并参考相似条件选矿厂除尘吸风量选取。</w:t>
      </w:r>
    </w:p>
    <w:p>
      <w:pPr>
        <w:bidi w:val="0"/>
        <w:rPr>
          <w:rFonts w:hint="eastAsia"/>
          <w:color w:val="auto"/>
          <w:lang w:val="en-US" w:eastAsia="zh-CN"/>
        </w:rPr>
      </w:pPr>
      <w:r>
        <w:rPr>
          <w:rFonts w:hint="eastAsia"/>
          <w:color w:val="auto"/>
          <w:lang w:val="en-US" w:eastAsia="zh-CN"/>
        </w:rPr>
        <w:t>（3）破碎机密闭</w:t>
      </w:r>
    </w:p>
    <w:p>
      <w:pPr>
        <w:bidi w:val="0"/>
        <w:rPr>
          <w:rFonts w:hint="eastAsia"/>
          <w:color w:val="auto"/>
          <w:lang w:val="en-US" w:eastAsia="zh-CN"/>
        </w:rPr>
      </w:pPr>
      <w:r>
        <w:rPr>
          <w:rFonts w:hint="eastAsia"/>
          <w:color w:val="auto"/>
          <w:lang w:val="en-US" w:eastAsia="zh-CN"/>
        </w:rPr>
        <w:t>破碎机上部加料口和下部排料点扬散粉尘，是主要产尘点，应妥善密闭并抽风。因此在破碎机上部加料口及下部排料点均设密闭罩，其吸风量根据设备型号选取。</w:t>
      </w:r>
    </w:p>
    <w:p>
      <w:pPr>
        <w:bidi w:val="0"/>
        <w:rPr>
          <w:rFonts w:hint="eastAsia"/>
          <w:color w:val="auto"/>
          <w:lang w:val="en-US" w:eastAsia="zh-CN"/>
        </w:rPr>
      </w:pPr>
      <w:r>
        <w:rPr>
          <w:rFonts w:hint="eastAsia"/>
          <w:color w:val="auto"/>
          <w:lang w:val="en-US" w:eastAsia="zh-CN"/>
        </w:rPr>
        <w:t>（4）微波烘干机与干式磁选机密闭</w:t>
      </w:r>
    </w:p>
    <w:p>
      <w:pPr>
        <w:bidi w:val="0"/>
        <w:rPr>
          <w:rFonts w:hint="eastAsia"/>
          <w:color w:val="auto"/>
          <w:lang w:val="en-US" w:eastAsia="zh-CN"/>
        </w:rPr>
      </w:pPr>
      <w:r>
        <w:rPr>
          <w:rFonts w:hint="eastAsia"/>
          <w:color w:val="auto"/>
          <w:lang w:val="en-US" w:eastAsia="zh-CN"/>
        </w:rPr>
        <w:t>微波烘干机的进料段、出料段，干式磁选机的给料点、卸料点易产生粉尘，均应妥善密闭并抽风。</w:t>
      </w:r>
    </w:p>
    <w:p>
      <w:pPr>
        <w:bidi w:val="0"/>
        <w:rPr>
          <w:rFonts w:hint="eastAsia"/>
          <w:color w:val="auto"/>
          <w:lang w:val="en-US" w:eastAsia="zh-CN"/>
        </w:rPr>
      </w:pPr>
      <w:r>
        <w:rPr>
          <w:rFonts w:hint="eastAsia"/>
          <w:color w:val="auto"/>
          <w:lang w:val="en-US" w:eastAsia="zh-CN"/>
        </w:rPr>
        <w:t>（5）吸风罩设计</w:t>
      </w:r>
    </w:p>
    <w:p>
      <w:pPr>
        <w:bidi w:val="0"/>
        <w:rPr>
          <w:rFonts w:hint="eastAsia"/>
          <w:color w:val="auto"/>
          <w:lang w:val="en-US" w:eastAsia="zh-CN"/>
        </w:rPr>
      </w:pPr>
      <w:r>
        <w:rPr>
          <w:rFonts w:hint="eastAsia"/>
          <w:color w:val="auto"/>
          <w:lang w:val="en-US" w:eastAsia="zh-CN"/>
        </w:rPr>
        <w:t>为了提高吸尘效果和减少排风量，应采取有效措施，防止粉尘扩散，并使吸尘量尽量接近粉尘的扩散区。吸尘量的排风管应尽量设置在粉尘扩散区的中心，罩口面积与排风管面积之比最大可为16：1。确定适当的吸尘风速，有利于有效扑集粉尘，又不至于吸入颗粒较大的粉尘，沉降在风管中，堵塞管道，影响除尘效果。</w:t>
      </w:r>
    </w:p>
    <w:p>
      <w:pPr>
        <w:bidi w:val="0"/>
        <w:rPr>
          <w:rFonts w:hint="eastAsia"/>
          <w:color w:val="auto"/>
          <w:lang w:val="en-US" w:eastAsia="zh-CN"/>
        </w:rPr>
      </w:pPr>
      <w:r>
        <w:rPr>
          <w:rFonts w:hint="eastAsia"/>
          <w:color w:val="auto"/>
          <w:lang w:val="en-US" w:eastAsia="zh-CN"/>
        </w:rPr>
        <w:t>3. 除尘系统风量</w:t>
      </w:r>
    </w:p>
    <w:p>
      <w:pPr>
        <w:bidi w:val="0"/>
        <w:rPr>
          <w:rFonts w:hint="default"/>
          <w:color w:val="auto"/>
          <w:lang w:val="en-US" w:eastAsia="zh-CN"/>
        </w:rPr>
      </w:pPr>
      <w:r>
        <w:rPr>
          <w:rFonts w:hint="eastAsia"/>
          <w:color w:val="auto"/>
          <w:lang w:val="en-US" w:eastAsia="zh-CN"/>
        </w:rPr>
        <w:t>各除尘系统需风量根据设备型号、给料高度、密闭状况、矿石粒度等参数确定，皮带头、受料皮带、振动筛的密闭罩其吸风量按经验公式计算：</w:t>
      </w:r>
    </w:p>
    <w:p>
      <w:pPr>
        <w:bidi w:val="0"/>
        <w:rPr>
          <w:rFonts w:hint="eastAsia"/>
          <w:color w:val="auto"/>
          <w:lang w:val="en-US" w:eastAsia="zh-CN"/>
        </w:rPr>
      </w:pPr>
      <w:r>
        <w:rPr>
          <w:rFonts w:hint="eastAsia"/>
          <w:color w:val="auto"/>
          <w:lang w:val="en-US" w:eastAsia="zh-CN"/>
        </w:rPr>
        <w:t>Q=Q</w:t>
      </w:r>
      <w:r>
        <w:rPr>
          <w:rFonts w:hint="eastAsia"/>
          <w:color w:val="auto"/>
          <w:vertAlign w:val="subscript"/>
          <w:lang w:val="en-US" w:eastAsia="zh-CN"/>
        </w:rPr>
        <w:t>1</w:t>
      </w:r>
      <w:r>
        <w:rPr>
          <w:rFonts w:hint="eastAsia"/>
          <w:color w:val="auto"/>
          <w:lang w:val="en-US" w:eastAsia="zh-CN"/>
        </w:rPr>
        <w:t>+Q</w:t>
      </w:r>
      <w:r>
        <w:rPr>
          <w:rFonts w:hint="eastAsia"/>
          <w:color w:val="auto"/>
          <w:vertAlign w:val="subscript"/>
          <w:lang w:val="en-US" w:eastAsia="zh-CN"/>
        </w:rPr>
        <w:t>2</w:t>
      </w:r>
    </w:p>
    <w:p>
      <w:pPr>
        <w:bidi w:val="0"/>
        <w:rPr>
          <w:rFonts w:hint="eastAsia"/>
          <w:color w:val="auto"/>
          <w:lang w:val="en-US" w:eastAsia="zh-CN"/>
        </w:rPr>
      </w:pPr>
      <w:r>
        <w:rPr>
          <w:rFonts w:hint="eastAsia"/>
          <w:color w:val="auto"/>
          <w:lang w:val="en-US" w:eastAsia="zh-CN"/>
        </w:rPr>
        <w:t>Q</w:t>
      </w:r>
      <w:r>
        <w:rPr>
          <w:rFonts w:hint="eastAsia"/>
          <w:color w:val="auto"/>
          <w:vertAlign w:val="subscript"/>
          <w:lang w:val="en-US" w:eastAsia="zh-CN"/>
        </w:rPr>
        <w:t>1</w:t>
      </w:r>
      <w:r>
        <w:rPr>
          <w:rFonts w:hint="eastAsia" w:ascii="宋体" w:hAnsi="宋体" w:eastAsia="宋体" w:cs="宋体"/>
          <w:color w:val="auto"/>
          <w:lang w:val="en-US" w:eastAsia="zh-CN"/>
        </w:rPr>
        <w:t>-</w:t>
      </w:r>
      <w:r>
        <w:rPr>
          <w:rFonts w:hint="eastAsia"/>
          <w:color w:val="auto"/>
          <w:lang w:val="en-US" w:eastAsia="zh-CN"/>
        </w:rPr>
        <w:t>由矿石带入的空气量，m</w:t>
      </w:r>
      <w:r>
        <w:rPr>
          <w:rFonts w:hint="eastAsia"/>
          <w:color w:val="auto"/>
          <w:vertAlign w:val="superscript"/>
          <w:lang w:val="en-US" w:eastAsia="zh-CN"/>
        </w:rPr>
        <w:t>2</w:t>
      </w:r>
      <w:r>
        <w:rPr>
          <w:rFonts w:hint="eastAsia"/>
          <w:color w:val="auto"/>
          <w:lang w:val="en-US" w:eastAsia="zh-CN"/>
        </w:rPr>
        <w:t>/h；</w:t>
      </w:r>
    </w:p>
    <w:p>
      <w:pPr>
        <w:bidi w:val="0"/>
        <w:rPr>
          <w:rFonts w:hint="eastAsia"/>
          <w:color w:val="auto"/>
          <w:lang w:val="en-US" w:eastAsia="zh-CN"/>
        </w:rPr>
      </w:pPr>
      <w:r>
        <w:rPr>
          <w:rFonts w:hint="eastAsia"/>
          <w:color w:val="auto"/>
          <w:lang w:val="en-US" w:eastAsia="zh-CN"/>
        </w:rPr>
        <w:t>Q</w:t>
      </w:r>
      <w:r>
        <w:rPr>
          <w:rFonts w:hint="eastAsia"/>
          <w:color w:val="auto"/>
          <w:vertAlign w:val="subscript"/>
          <w:lang w:val="en-US" w:eastAsia="zh-CN"/>
        </w:rPr>
        <w:t>2</w:t>
      </w:r>
      <w:r>
        <w:rPr>
          <w:rFonts w:hint="eastAsia" w:ascii="宋体" w:hAnsi="宋体" w:eastAsia="宋体" w:cs="宋体"/>
          <w:color w:val="auto"/>
          <w:lang w:val="en-US" w:eastAsia="zh-CN"/>
        </w:rPr>
        <w:t>-</w:t>
      </w:r>
      <w:r>
        <w:rPr>
          <w:rFonts w:hint="eastAsia"/>
          <w:color w:val="auto"/>
          <w:lang w:val="en-US" w:eastAsia="zh-CN"/>
        </w:rPr>
        <w:t>密闭罩不严密从缝隙中吸入的空气量；</w:t>
      </w:r>
    </w:p>
    <w:p>
      <w:pPr>
        <w:bidi w:val="0"/>
        <w:rPr>
          <w:rFonts w:hint="eastAsia"/>
          <w:color w:val="auto"/>
          <w:lang w:val="en-US" w:eastAsia="zh-CN"/>
        </w:rPr>
      </w:pPr>
      <w:r>
        <w:rPr>
          <w:rFonts w:hint="eastAsia"/>
          <w:color w:val="auto"/>
          <w:lang w:val="en-US" w:eastAsia="zh-CN"/>
        </w:rPr>
        <w:t>各除尘系统风量计算结果如下：</w:t>
      </w:r>
    </w:p>
    <w:p>
      <w:pPr>
        <w:bidi w:val="0"/>
        <w:rPr>
          <w:rFonts w:hint="eastAsia"/>
          <w:color w:val="auto"/>
          <w:lang w:val="en-US" w:eastAsia="zh-CN"/>
        </w:rPr>
      </w:pPr>
      <w:r>
        <w:rPr>
          <w:rFonts w:hint="eastAsia"/>
          <w:color w:val="auto"/>
          <w:lang w:val="en-US" w:eastAsia="zh-CN"/>
        </w:rPr>
        <w:t>（1）粗碎厂房</w:t>
      </w:r>
    </w:p>
    <w:p>
      <w:pPr>
        <w:bidi w:val="0"/>
        <w:rPr>
          <w:rFonts w:hint="eastAsia"/>
          <w:color w:val="auto"/>
          <w:lang w:val="en-US" w:eastAsia="zh-CN"/>
        </w:rPr>
      </w:pPr>
      <w:r>
        <w:rPr>
          <w:rFonts w:hint="eastAsia"/>
          <w:color w:val="auto"/>
          <w:lang w:val="en-US" w:eastAsia="zh-CN"/>
        </w:rPr>
        <w:t>PE600</w:t>
      </w:r>
      <w:r>
        <w:rPr>
          <w:rFonts w:hint="eastAsia" w:asciiTheme="minorEastAsia" w:hAnsiTheme="minorEastAsia" w:eastAsiaTheme="minorEastAsia" w:cstheme="minorEastAsia"/>
          <w:color w:val="auto"/>
          <w:lang w:val="en-US" w:eastAsia="zh-CN"/>
        </w:rPr>
        <w:t>×</w:t>
      </w:r>
      <w:r>
        <w:rPr>
          <w:rFonts w:hint="eastAsia"/>
          <w:color w:val="auto"/>
          <w:lang w:val="en-US" w:eastAsia="zh-CN"/>
        </w:rPr>
        <w:t>900颚式破碎机上部抽风量为2000m</w:t>
      </w:r>
      <w:r>
        <w:rPr>
          <w:rFonts w:hint="eastAsia"/>
          <w:color w:val="auto"/>
          <w:vertAlign w:val="superscript"/>
          <w:lang w:val="en-US" w:eastAsia="zh-CN"/>
        </w:rPr>
        <w:t>3</w:t>
      </w:r>
      <w:r>
        <w:rPr>
          <w:rFonts w:hint="eastAsia"/>
          <w:color w:val="auto"/>
          <w:lang w:val="en-US" w:eastAsia="zh-CN"/>
        </w:rPr>
        <w:t>/h，下部受料皮带产尘点抽风量3000m</w:t>
      </w:r>
      <w:r>
        <w:rPr>
          <w:rFonts w:hint="eastAsia"/>
          <w:color w:val="auto"/>
          <w:vertAlign w:val="superscript"/>
          <w:lang w:val="en-US" w:eastAsia="zh-CN"/>
        </w:rPr>
        <w:t>3</w:t>
      </w:r>
      <w:r>
        <w:rPr>
          <w:rFonts w:hint="eastAsia"/>
          <w:color w:val="auto"/>
          <w:lang w:val="en-US" w:eastAsia="zh-CN"/>
        </w:rPr>
        <w:t>/h。总风量5000m</w:t>
      </w:r>
      <w:r>
        <w:rPr>
          <w:rFonts w:hint="eastAsia"/>
          <w:color w:val="auto"/>
          <w:vertAlign w:val="superscript"/>
          <w:lang w:val="en-US" w:eastAsia="zh-CN"/>
        </w:rPr>
        <w:t>3</w:t>
      </w:r>
      <w:r>
        <w:rPr>
          <w:rFonts w:hint="eastAsia"/>
          <w:color w:val="auto"/>
          <w:lang w:val="en-US" w:eastAsia="zh-CN"/>
        </w:rPr>
        <w:t>/h。</w:t>
      </w:r>
    </w:p>
    <w:p>
      <w:pPr>
        <w:bidi w:val="0"/>
        <w:rPr>
          <w:rFonts w:hint="eastAsia"/>
          <w:color w:val="auto"/>
          <w:lang w:val="en-US" w:eastAsia="zh-CN"/>
        </w:rPr>
      </w:pPr>
      <w:r>
        <w:rPr>
          <w:rFonts w:hint="eastAsia"/>
          <w:color w:val="auto"/>
          <w:lang w:val="en-US" w:eastAsia="zh-CN"/>
        </w:rPr>
        <w:t>（2）中碎厂房</w:t>
      </w:r>
    </w:p>
    <w:p>
      <w:pPr>
        <w:bidi w:val="0"/>
        <w:rPr>
          <w:rFonts w:hint="eastAsia"/>
          <w:color w:val="auto"/>
          <w:lang w:val="en-US" w:eastAsia="zh-CN"/>
        </w:rPr>
      </w:pPr>
      <w:r>
        <w:rPr>
          <w:rFonts w:hint="eastAsia"/>
          <w:color w:val="auto"/>
          <w:lang w:val="en-US" w:eastAsia="zh-CN"/>
        </w:rPr>
        <w:t>PEX250</w:t>
      </w:r>
      <w:r>
        <w:rPr>
          <w:rFonts w:hint="eastAsia" w:asciiTheme="minorEastAsia" w:hAnsiTheme="minorEastAsia" w:eastAsiaTheme="minorEastAsia" w:cstheme="minorEastAsia"/>
          <w:color w:val="auto"/>
          <w:lang w:val="en-US" w:eastAsia="zh-CN"/>
        </w:rPr>
        <w:t>×</w:t>
      </w:r>
      <w:r>
        <w:rPr>
          <w:rFonts w:hint="eastAsia"/>
          <w:color w:val="auto"/>
          <w:lang w:val="en-US" w:eastAsia="zh-CN"/>
        </w:rPr>
        <w:t>1200细碎型颚式破碎机上部抽风量为2000m</w:t>
      </w:r>
      <w:r>
        <w:rPr>
          <w:rFonts w:hint="eastAsia"/>
          <w:color w:val="auto"/>
          <w:vertAlign w:val="superscript"/>
          <w:lang w:val="en-US" w:eastAsia="zh-CN"/>
        </w:rPr>
        <w:t>3</w:t>
      </w:r>
      <w:r>
        <w:rPr>
          <w:rFonts w:hint="eastAsia"/>
          <w:color w:val="auto"/>
          <w:lang w:val="en-US" w:eastAsia="zh-CN"/>
        </w:rPr>
        <w:t>/h，下部受料皮带产尘点抽风量3000m</w:t>
      </w:r>
      <w:r>
        <w:rPr>
          <w:rFonts w:hint="eastAsia"/>
          <w:color w:val="auto"/>
          <w:vertAlign w:val="superscript"/>
          <w:lang w:val="en-US" w:eastAsia="zh-CN"/>
        </w:rPr>
        <w:t>3</w:t>
      </w:r>
      <w:r>
        <w:rPr>
          <w:rFonts w:hint="eastAsia"/>
          <w:color w:val="auto"/>
          <w:lang w:val="en-US" w:eastAsia="zh-CN"/>
        </w:rPr>
        <w:t>/h。总风量5000m</w:t>
      </w:r>
      <w:r>
        <w:rPr>
          <w:rFonts w:hint="eastAsia"/>
          <w:color w:val="auto"/>
          <w:vertAlign w:val="superscript"/>
          <w:lang w:val="en-US" w:eastAsia="zh-CN"/>
        </w:rPr>
        <w:t>3</w:t>
      </w:r>
      <w:r>
        <w:rPr>
          <w:rFonts w:hint="eastAsia"/>
          <w:color w:val="auto"/>
          <w:lang w:val="en-US" w:eastAsia="zh-CN"/>
        </w:rPr>
        <w:t>/h。</w:t>
      </w:r>
    </w:p>
    <w:p>
      <w:pPr>
        <w:bidi w:val="0"/>
        <w:rPr>
          <w:rFonts w:hint="eastAsia"/>
          <w:color w:val="auto"/>
          <w:lang w:val="en-US" w:eastAsia="zh-CN"/>
        </w:rPr>
      </w:pPr>
      <w:r>
        <w:rPr>
          <w:rFonts w:hint="eastAsia"/>
          <w:color w:val="auto"/>
          <w:lang w:val="en-US" w:eastAsia="zh-CN"/>
        </w:rPr>
        <w:t>（3）细碎厂房</w:t>
      </w:r>
    </w:p>
    <w:p>
      <w:pPr>
        <w:bidi w:val="0"/>
        <w:rPr>
          <w:rFonts w:hint="eastAsia"/>
          <w:color w:val="auto"/>
          <w:lang w:val="en-US" w:eastAsia="zh-CN"/>
        </w:rPr>
      </w:pPr>
      <w:r>
        <w:rPr>
          <w:rFonts w:hint="eastAsia"/>
          <w:color w:val="auto"/>
          <w:lang w:val="en-US" w:eastAsia="zh-CN"/>
        </w:rPr>
        <w:t>CH420圆锥破碎机上部抽风量为1500m</w:t>
      </w:r>
      <w:r>
        <w:rPr>
          <w:rFonts w:hint="eastAsia"/>
          <w:color w:val="auto"/>
          <w:vertAlign w:val="superscript"/>
          <w:lang w:val="en-US" w:eastAsia="zh-CN"/>
        </w:rPr>
        <w:t>3</w:t>
      </w:r>
      <w:r>
        <w:rPr>
          <w:rFonts w:hint="eastAsia"/>
          <w:color w:val="auto"/>
          <w:lang w:val="en-US" w:eastAsia="zh-CN"/>
        </w:rPr>
        <w:t>/h，下部受料皮带抽风量为2800m</w:t>
      </w:r>
      <w:r>
        <w:rPr>
          <w:rFonts w:hint="eastAsia"/>
          <w:color w:val="auto"/>
          <w:vertAlign w:val="superscript"/>
          <w:lang w:val="en-US" w:eastAsia="zh-CN"/>
        </w:rPr>
        <w:t>3</w:t>
      </w:r>
      <w:r>
        <w:rPr>
          <w:rFonts w:hint="eastAsia"/>
          <w:color w:val="auto"/>
          <w:lang w:val="en-US" w:eastAsia="zh-CN"/>
        </w:rPr>
        <w:t>/h。总风量4300m</w:t>
      </w:r>
      <w:r>
        <w:rPr>
          <w:rFonts w:hint="eastAsia"/>
          <w:color w:val="auto"/>
          <w:vertAlign w:val="superscript"/>
          <w:lang w:val="en-US" w:eastAsia="zh-CN"/>
        </w:rPr>
        <w:t>3</w:t>
      </w:r>
      <w:r>
        <w:rPr>
          <w:rFonts w:hint="eastAsia"/>
          <w:color w:val="auto"/>
          <w:lang w:val="en-US" w:eastAsia="zh-CN"/>
        </w:rPr>
        <w:t>/h。</w:t>
      </w:r>
    </w:p>
    <w:p>
      <w:pPr>
        <w:bidi w:val="0"/>
        <w:rPr>
          <w:rFonts w:hint="eastAsia"/>
          <w:color w:val="auto"/>
          <w:lang w:val="en-US" w:eastAsia="zh-CN"/>
        </w:rPr>
      </w:pPr>
      <w:r>
        <w:rPr>
          <w:rFonts w:hint="eastAsia"/>
          <w:color w:val="auto"/>
          <w:lang w:val="en-US" w:eastAsia="zh-CN"/>
        </w:rPr>
        <w:t>（4）筛分车间</w:t>
      </w:r>
    </w:p>
    <w:p>
      <w:pPr>
        <w:bidi w:val="0"/>
        <w:rPr>
          <w:rFonts w:hint="default"/>
          <w:color w:val="auto"/>
          <w:lang w:val="en-US" w:eastAsia="zh-CN"/>
        </w:rPr>
      </w:pPr>
      <w:r>
        <w:rPr>
          <w:rFonts w:hint="default"/>
          <w:color w:val="auto"/>
          <w:lang w:val="en-US" w:eastAsia="zh-CN"/>
        </w:rPr>
        <w:t>2YKR1645双层振动筛上部抽风量为4400</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/h</w:t>
      </w:r>
      <w:r>
        <w:rPr>
          <w:rFonts w:hint="default"/>
          <w:color w:val="auto"/>
          <w:lang w:val="en-US" w:eastAsia="zh-CN"/>
        </w:rPr>
        <w:t>，下部受料皮带抽风量为3300</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/h</w:t>
      </w:r>
      <w:r>
        <w:rPr>
          <w:rFonts w:hint="default"/>
          <w:color w:val="auto"/>
          <w:lang w:val="en-US" w:eastAsia="zh-CN"/>
        </w:rPr>
        <w:t>。总风量7700</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/h。</w:t>
      </w:r>
    </w:p>
    <w:p>
      <w:pPr>
        <w:bidi w:val="0"/>
        <w:rPr>
          <w:rFonts w:hint="default"/>
          <w:color w:val="auto"/>
          <w:lang w:val="en-US" w:eastAsia="zh-CN"/>
        </w:rPr>
      </w:pPr>
      <w:r>
        <w:rPr>
          <w:rFonts w:hint="eastAsia"/>
          <w:color w:val="auto"/>
          <w:lang w:val="en-US" w:eastAsia="zh-CN"/>
        </w:rPr>
        <w:t xml:space="preserve">4. </w:t>
      </w:r>
      <w:r>
        <w:rPr>
          <w:rFonts w:hint="default"/>
          <w:color w:val="auto"/>
          <w:lang w:val="en-US" w:eastAsia="zh-CN"/>
        </w:rPr>
        <w:t>除尘系统管道</w:t>
      </w:r>
    </w:p>
    <w:p>
      <w:pPr>
        <w:bidi w:val="0"/>
        <w:rPr>
          <w:rFonts w:hint="default"/>
          <w:color w:val="auto"/>
          <w:lang w:val="en-US" w:eastAsia="zh-CN"/>
        </w:rPr>
      </w:pPr>
      <w:r>
        <w:rPr>
          <w:rFonts w:hint="default"/>
          <w:color w:val="auto"/>
          <w:lang w:val="en-US" w:eastAsia="zh-CN"/>
        </w:rPr>
        <w:t>根据吸风罩和除尘器的位置布置管道，依据排风量和选定的流速确定管径，然后按照阻力平衡法调整系统，优化设计，并遵守以下原则</w:t>
      </w:r>
      <w:r>
        <w:rPr>
          <w:rFonts w:hint="eastAsia"/>
          <w:color w:val="auto"/>
          <w:lang w:val="en-US" w:eastAsia="zh-CN"/>
        </w:rPr>
        <w:t>：</w:t>
      </w:r>
    </w:p>
    <w:p>
      <w:pPr>
        <w:bidi w:val="0"/>
        <w:rPr>
          <w:rFonts w:hint="default"/>
          <w:color w:val="auto"/>
          <w:lang w:val="en-US" w:eastAsia="zh-CN"/>
        </w:rPr>
      </w:pPr>
      <w:r>
        <w:rPr>
          <w:rFonts w:hint="eastAsia"/>
          <w:color w:val="auto"/>
          <w:lang w:val="en-US" w:eastAsia="zh-CN"/>
        </w:rPr>
        <w:t>（1）</w:t>
      </w:r>
      <w:r>
        <w:rPr>
          <w:rFonts w:hint="default"/>
          <w:color w:val="auto"/>
          <w:lang w:val="en-US" w:eastAsia="zh-CN"/>
        </w:rPr>
        <w:t>在保证各吸风点的风量符合设计要求和不妨碍生产操作前提下，应使管路最短。</w:t>
      </w:r>
    </w:p>
    <w:p>
      <w:pPr>
        <w:bidi w:val="0"/>
        <w:rPr>
          <w:rFonts w:hint="default"/>
          <w:color w:val="auto"/>
          <w:lang w:val="en-US" w:eastAsia="zh-CN"/>
        </w:rPr>
      </w:pPr>
      <w:r>
        <w:rPr>
          <w:rFonts w:hint="eastAsia"/>
          <w:color w:val="auto"/>
          <w:lang w:val="en-US" w:eastAsia="zh-CN"/>
        </w:rPr>
        <w:t>（2）</w:t>
      </w:r>
      <w:r>
        <w:rPr>
          <w:rFonts w:hint="default"/>
          <w:color w:val="auto"/>
          <w:lang w:val="en-US" w:eastAsia="zh-CN"/>
        </w:rPr>
        <w:t>为防止管内积灰和便于清扫，风管应尽可能垂直或倾斜敷设</w:t>
      </w:r>
      <w:r>
        <w:rPr>
          <w:rFonts w:hint="eastAsia"/>
          <w:color w:val="auto"/>
          <w:lang w:val="en-US" w:eastAsia="zh-CN"/>
        </w:rPr>
        <w:t>（</w:t>
      </w:r>
      <w:r>
        <w:rPr>
          <w:rFonts w:hint="default"/>
          <w:color w:val="auto"/>
          <w:lang w:val="en-US" w:eastAsia="zh-CN"/>
        </w:rPr>
        <w:t>倾角</w:t>
      </w:r>
      <w:r>
        <w:rPr>
          <w:rFonts w:hint="eastAsia" w:ascii="宋体" w:hAnsi="宋体" w:eastAsia="宋体" w:cs="宋体"/>
          <w:color w:val="auto"/>
          <w:lang w:val="en-US" w:eastAsia="zh-CN"/>
        </w:rPr>
        <w:t>≥</w:t>
      </w:r>
      <w:r>
        <w:rPr>
          <w:rFonts w:hint="default"/>
          <w:color w:val="auto"/>
          <w:lang w:val="en-US" w:eastAsia="zh-CN"/>
        </w:rPr>
        <w:t>45</w:t>
      </w:r>
      <w:r>
        <w:rPr>
          <w:rFonts w:hint="eastAsia" w:ascii="宋体" w:hAnsi="宋体" w:eastAsia="宋体" w:cs="宋体"/>
          <w:color w:val="auto"/>
          <w:lang w:val="en-US" w:eastAsia="zh-CN"/>
        </w:rPr>
        <w:t>°</w:t>
      </w:r>
      <w:r>
        <w:rPr>
          <w:rFonts w:hint="eastAsia"/>
          <w:color w:val="auto"/>
          <w:lang w:val="en-US" w:eastAsia="zh-CN"/>
        </w:rPr>
        <w:t>），</w:t>
      </w:r>
      <w:r>
        <w:rPr>
          <w:rFonts w:hint="default"/>
          <w:color w:val="auto"/>
          <w:lang w:val="en-US" w:eastAsia="zh-CN"/>
        </w:rPr>
        <w:t>特殊情况下必须水平敷设</w:t>
      </w:r>
      <w:r>
        <w:rPr>
          <w:rFonts w:hint="eastAsia"/>
          <w:color w:val="auto"/>
          <w:lang w:val="en-US" w:eastAsia="zh-CN"/>
        </w:rPr>
        <w:t>，</w:t>
      </w:r>
      <w:r>
        <w:rPr>
          <w:rFonts w:hint="default"/>
          <w:color w:val="auto"/>
          <w:lang w:val="en-US" w:eastAsia="zh-CN"/>
        </w:rPr>
        <w:t>水平管应有足够的气流速度</w:t>
      </w:r>
      <w:r>
        <w:rPr>
          <w:rFonts w:hint="eastAsia"/>
          <w:color w:val="auto"/>
          <w:lang w:val="en-US" w:eastAsia="zh-CN"/>
        </w:rPr>
        <w:t>（</w:t>
      </w:r>
      <w:r>
        <w:rPr>
          <w:rFonts w:hint="default"/>
          <w:color w:val="auto"/>
          <w:lang w:val="en-US" w:eastAsia="zh-CN"/>
        </w:rPr>
        <w:t>16~20m/s</w:t>
      </w:r>
      <w:r>
        <w:rPr>
          <w:rFonts w:hint="eastAsia"/>
          <w:color w:val="auto"/>
          <w:lang w:val="en-US" w:eastAsia="zh-CN"/>
        </w:rPr>
        <w:t>）</w:t>
      </w:r>
      <w:r>
        <w:rPr>
          <w:rFonts w:hint="default"/>
          <w:color w:val="auto"/>
          <w:lang w:val="en-US" w:eastAsia="zh-CN"/>
        </w:rPr>
        <w:t>，以防管内沉积粉尘。</w:t>
      </w:r>
    </w:p>
    <w:p>
      <w:pPr>
        <w:bidi w:val="0"/>
        <w:rPr>
          <w:rFonts w:hint="default"/>
          <w:color w:val="auto"/>
          <w:lang w:val="en-US" w:eastAsia="zh-CN"/>
        </w:rPr>
      </w:pPr>
      <w:r>
        <w:rPr>
          <w:rFonts w:hint="default"/>
          <w:color w:val="auto"/>
          <w:lang w:val="en-US" w:eastAsia="zh-CN"/>
        </w:rPr>
        <w:t>按照上述原则，风管风速选择为</w:t>
      </w:r>
      <w:r>
        <w:rPr>
          <w:rFonts w:hint="eastAsia"/>
          <w:color w:val="auto"/>
          <w:lang w:val="en-US" w:eastAsia="zh-CN"/>
        </w:rPr>
        <w:t>：</w:t>
      </w:r>
      <w:r>
        <w:rPr>
          <w:rFonts w:hint="default"/>
          <w:color w:val="auto"/>
          <w:lang w:val="en-US" w:eastAsia="zh-CN"/>
        </w:rPr>
        <w:t>水平管段16m/s~18m/s</w:t>
      </w:r>
      <w:r>
        <w:rPr>
          <w:rFonts w:hint="eastAsia"/>
          <w:color w:val="auto"/>
          <w:lang w:val="en-US" w:eastAsia="zh-CN"/>
        </w:rPr>
        <w:t>；</w:t>
      </w:r>
      <w:r>
        <w:rPr>
          <w:rFonts w:hint="default"/>
          <w:color w:val="auto"/>
          <w:lang w:val="en-US" w:eastAsia="zh-CN"/>
        </w:rPr>
        <w:t>倾斜管段和垂直管段12m/s~15m/s。</w:t>
      </w:r>
    </w:p>
    <w:p>
      <w:pPr>
        <w:numPr>
          <w:ilvl w:val="0"/>
          <w:numId w:val="4"/>
        </w:numPr>
        <w:bidi w:val="0"/>
        <w:ind w:left="0" w:leftChars="0" w:firstLine="560" w:firstLineChars="200"/>
        <w:rPr>
          <w:rFonts w:hint="default"/>
          <w:color w:val="auto"/>
          <w:lang w:val="en-US" w:eastAsia="zh-CN"/>
        </w:rPr>
      </w:pPr>
      <w:r>
        <w:rPr>
          <w:rFonts w:hint="default"/>
          <w:color w:val="auto"/>
          <w:lang w:val="en-US" w:eastAsia="zh-CN"/>
        </w:rPr>
        <w:t>除尘设备</w:t>
      </w:r>
    </w:p>
    <w:p>
      <w:pPr>
        <w:numPr>
          <w:ilvl w:val="0"/>
          <w:numId w:val="0"/>
        </w:numPr>
        <w:bidi w:val="0"/>
        <w:ind w:leftChars="200"/>
        <w:rPr>
          <w:rFonts w:hint="eastAsia"/>
          <w:color w:val="auto"/>
          <w:lang w:val="en-US" w:eastAsia="zh-CN"/>
        </w:rPr>
      </w:pPr>
      <w:r>
        <w:rPr>
          <w:rFonts w:hint="eastAsia"/>
          <w:color w:val="auto"/>
          <w:lang w:val="en-US" w:eastAsia="zh-CN"/>
        </w:rPr>
        <w:t>（1）除尘器</w:t>
      </w:r>
    </w:p>
    <w:p>
      <w:pPr>
        <w:bidi w:val="0"/>
        <w:rPr>
          <w:rFonts w:hint="default"/>
          <w:color w:val="auto"/>
          <w:lang w:val="en-US" w:eastAsia="zh-CN"/>
        </w:rPr>
      </w:pPr>
      <w:r>
        <w:rPr>
          <w:rFonts w:hint="default"/>
          <w:color w:val="auto"/>
          <w:lang w:val="en-US" w:eastAsia="zh-CN"/>
        </w:rPr>
        <w:t>除尘系统中，除尘器是主要设备之一，除尘器工作好坏将直接影响到生产正常运行和厂区环境与卫生，正确选择除尘器是除尘工作的重要环节。</w:t>
      </w:r>
    </w:p>
    <w:p>
      <w:pPr>
        <w:bidi w:val="0"/>
        <w:rPr>
          <w:rFonts w:hint="default"/>
          <w:color w:val="auto"/>
          <w:lang w:val="en-US" w:eastAsia="zh-CN"/>
        </w:rPr>
      </w:pPr>
      <w:r>
        <w:rPr>
          <w:rFonts w:hint="default"/>
          <w:color w:val="auto"/>
          <w:lang w:val="en-US" w:eastAsia="zh-CN"/>
        </w:rPr>
        <w:t>目前除尘器种类形式繁多，选择除尘器时应考虑主要因素</w:t>
      </w:r>
      <w:r>
        <w:rPr>
          <w:rFonts w:hint="eastAsia"/>
          <w:color w:val="auto"/>
          <w:lang w:val="en-US" w:eastAsia="zh-CN"/>
        </w:rPr>
        <w:t>：</w:t>
      </w:r>
      <w:r>
        <w:rPr>
          <w:rFonts w:hint="default" w:ascii="Times New Roman" w:hAnsi="Times New Roman" w:cs="Times New Roman"/>
          <w:color w:val="auto"/>
          <w:lang w:val="en-US" w:eastAsia="zh-CN"/>
        </w:rPr>
        <w:t>①</w:t>
      </w:r>
      <w:r>
        <w:rPr>
          <w:rFonts w:hint="default"/>
          <w:color w:val="auto"/>
          <w:lang w:val="en-US" w:eastAsia="zh-CN"/>
        </w:rPr>
        <w:t>要处理气体性质</w:t>
      </w:r>
      <w:r>
        <w:rPr>
          <w:rFonts w:hint="eastAsia"/>
          <w:color w:val="auto"/>
          <w:lang w:val="en-US" w:eastAsia="zh-CN"/>
        </w:rPr>
        <w:t>（</w:t>
      </w:r>
      <w:r>
        <w:rPr>
          <w:rFonts w:hint="default"/>
          <w:color w:val="auto"/>
          <w:lang w:val="en-US" w:eastAsia="zh-CN"/>
        </w:rPr>
        <w:t>温度、湿度、处理量、含尘浓度、腐蚀性等</w:t>
      </w:r>
      <w:r>
        <w:rPr>
          <w:rFonts w:hint="eastAsia"/>
          <w:color w:val="auto"/>
          <w:lang w:val="en-US" w:eastAsia="zh-CN"/>
        </w:rPr>
        <w:t>）；</w:t>
      </w:r>
      <w:r>
        <w:rPr>
          <w:rFonts w:hint="default"/>
          <w:color w:val="auto"/>
          <w:lang w:val="en-US" w:eastAsia="zh-CN"/>
        </w:rPr>
        <w:t>②粉尘性质</w:t>
      </w:r>
      <w:r>
        <w:rPr>
          <w:rFonts w:hint="eastAsia"/>
          <w:color w:val="auto"/>
          <w:lang w:val="en-US" w:eastAsia="zh-CN"/>
        </w:rPr>
        <w:t>（</w:t>
      </w:r>
      <w:r>
        <w:rPr>
          <w:rFonts w:hint="default"/>
          <w:color w:val="auto"/>
          <w:lang w:val="en-US" w:eastAsia="zh-CN"/>
        </w:rPr>
        <w:t>组成、比重、粒度、腐蚀性、亲水性、粘性、爆炸性等</w:t>
      </w:r>
      <w:r>
        <w:rPr>
          <w:rFonts w:hint="eastAsia"/>
          <w:color w:val="auto"/>
          <w:lang w:val="en-US" w:eastAsia="zh-CN"/>
        </w:rPr>
        <w:t>）；</w:t>
      </w:r>
      <w:r>
        <w:rPr>
          <w:rFonts w:hint="default"/>
          <w:color w:val="auto"/>
          <w:lang w:val="en-US" w:eastAsia="zh-CN"/>
        </w:rPr>
        <w:t>③对净化后气体含尘浓度和粉尘处理要求等</w:t>
      </w:r>
      <w:r>
        <w:rPr>
          <w:rFonts w:hint="eastAsia"/>
          <w:color w:val="auto"/>
          <w:lang w:val="en-US" w:eastAsia="zh-CN"/>
        </w:rPr>
        <w:t>；</w:t>
      </w:r>
      <w:r>
        <w:rPr>
          <w:rFonts w:hint="default"/>
          <w:color w:val="auto"/>
          <w:lang w:val="en-US" w:eastAsia="zh-CN"/>
        </w:rPr>
        <w:t>④安装地点的具体情况和污水处理情况等。</w:t>
      </w:r>
    </w:p>
    <w:p>
      <w:pPr>
        <w:bidi w:val="0"/>
        <w:rPr>
          <w:rFonts w:hint="eastAsia"/>
          <w:color w:val="auto"/>
          <w:lang w:val="en-US" w:eastAsia="zh-CN"/>
        </w:rPr>
      </w:pPr>
      <w:r>
        <w:rPr>
          <w:rFonts w:hint="default"/>
          <w:color w:val="auto"/>
          <w:lang w:val="en-US" w:eastAsia="zh-CN"/>
        </w:rPr>
        <w:t>根据生产工艺条件，结合现场实际，本项目粗碎厂房、中碎厂房、细碎厂房、筛分厂房除尘选用湿式水膜除尘器</w:t>
      </w:r>
      <w:r>
        <w:rPr>
          <w:rFonts w:hint="eastAsia"/>
          <w:color w:val="auto"/>
          <w:lang w:val="en-US" w:eastAsia="zh-CN"/>
        </w:rPr>
        <w:t>；</w:t>
      </w:r>
      <w:r>
        <w:rPr>
          <w:rFonts w:hint="default"/>
          <w:color w:val="auto"/>
          <w:lang w:val="en-US" w:eastAsia="zh-CN"/>
        </w:rPr>
        <w:t>微波烘干机除尘由烘干机配套除尘设备除尘</w:t>
      </w:r>
      <w:r>
        <w:rPr>
          <w:rFonts w:hint="eastAsia"/>
          <w:color w:val="auto"/>
          <w:lang w:val="en-US" w:eastAsia="zh-CN"/>
        </w:rPr>
        <w:t>；干</w:t>
      </w:r>
      <w:r>
        <w:rPr>
          <w:rFonts w:hint="default"/>
          <w:color w:val="auto"/>
          <w:lang w:val="en-US" w:eastAsia="zh-CN"/>
        </w:rPr>
        <w:t>式磁选机除尘选用袋式除尘器</w:t>
      </w:r>
      <w:r>
        <w:rPr>
          <w:rFonts w:hint="eastAsia"/>
          <w:color w:val="auto"/>
          <w:lang w:val="en-US" w:eastAsia="zh-CN"/>
        </w:rPr>
        <w:t>。</w:t>
      </w:r>
    </w:p>
    <w:p>
      <w:pPr>
        <w:bidi w:val="0"/>
        <w:rPr>
          <w:rFonts w:hint="default"/>
          <w:color w:val="auto"/>
          <w:lang w:val="en-US" w:eastAsia="zh-CN"/>
        </w:rPr>
      </w:pPr>
      <w:r>
        <w:rPr>
          <w:rFonts w:hint="default"/>
          <w:color w:val="auto"/>
          <w:lang w:val="en-US" w:eastAsia="zh-CN"/>
        </w:rPr>
        <w:t>除尘器选择结果见表</w:t>
      </w:r>
      <w:r>
        <w:rPr>
          <w:rFonts w:hint="eastAsia"/>
          <w:color w:val="auto"/>
          <w:lang w:val="en-US" w:eastAsia="zh-CN"/>
        </w:rPr>
        <w:t>2-15</w:t>
      </w:r>
      <w:r>
        <w:rPr>
          <w:rFonts w:hint="default"/>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default"/>
          <w:color w:val="auto"/>
          <w:lang w:val="en-US" w:eastAsia="zh-CN"/>
        </w:rPr>
        <w:t>表</w:t>
      </w:r>
      <w:r>
        <w:rPr>
          <w:rFonts w:hint="eastAsia"/>
          <w:color w:val="auto"/>
          <w:lang w:val="en-US" w:eastAsia="zh-CN"/>
        </w:rPr>
        <w:t>2-15 除尘器型号及参数</w:t>
      </w:r>
    </w:p>
    <w:tbl>
      <w:tblPr>
        <w:tblStyle w:val="34"/>
        <w:tblW w:w="900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3"/>
        <w:gridCol w:w="2145"/>
        <w:gridCol w:w="1408"/>
        <w:gridCol w:w="1738"/>
        <w:gridCol w:w="15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212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除尘系统</w:t>
            </w:r>
          </w:p>
        </w:tc>
        <w:tc>
          <w:tcPr>
            <w:tcW w:w="21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除尘器形式</w:t>
            </w:r>
          </w:p>
        </w:tc>
        <w:tc>
          <w:tcPr>
            <w:tcW w:w="140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除尘器型号</w:t>
            </w:r>
          </w:p>
        </w:tc>
        <w:tc>
          <w:tcPr>
            <w:tcW w:w="173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额定风量</w:t>
            </w:r>
            <w:r>
              <w:rPr>
                <w:rFonts w:hint="default" w:ascii="Times New Roman" w:hAnsi="Times New Roman" w:eastAsia="宋体" w:cs="Times New Roman"/>
                <w:snapToGrid w:val="0"/>
                <w:color w:val="auto"/>
                <w:spacing w:val="1"/>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（m</w:t>
            </w:r>
            <w:r>
              <w:rPr>
                <w:rFonts w:hint="eastAsia" w:ascii="Times New Roman" w:hAnsi="Times New Roman" w:eastAsia="宋体" w:cs="Times New Roman"/>
                <w:snapToGrid w:val="0"/>
                <w:color w:val="auto"/>
                <w:spacing w:val="-2"/>
                <w:kern w:val="0"/>
                <w:sz w:val="21"/>
                <w:szCs w:val="21"/>
                <w:vertAlign w:val="superscript"/>
                <w:lang w:val="en-US" w:eastAsia="zh-CN" w:bidi="ar-SA"/>
              </w:rPr>
              <w:t>3</w:t>
            </w:r>
            <w:r>
              <w:rPr>
                <w:rFonts w:hint="default" w:ascii="Times New Roman" w:hAnsi="Times New Roman" w:eastAsia="宋体" w:cs="Times New Roman"/>
                <w:snapToGrid w:val="0"/>
                <w:color w:val="auto"/>
                <w:spacing w:val="-2"/>
                <w:kern w:val="0"/>
                <w:sz w:val="21"/>
                <w:szCs w:val="21"/>
                <w:lang w:val="en-US" w:eastAsia="en-US" w:bidi="ar-SA"/>
              </w:rPr>
              <w:t>/h）</w:t>
            </w:r>
          </w:p>
        </w:tc>
        <w:tc>
          <w:tcPr>
            <w:tcW w:w="159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数量（台）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212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粗碎厂房</w:t>
            </w:r>
          </w:p>
        </w:tc>
        <w:tc>
          <w:tcPr>
            <w:tcW w:w="21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湿式水膜除尘器</w:t>
            </w:r>
          </w:p>
        </w:tc>
        <w:tc>
          <w:tcPr>
            <w:tcW w:w="140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DL-2</w:t>
            </w:r>
          </w:p>
        </w:tc>
        <w:tc>
          <w:tcPr>
            <w:tcW w:w="173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6000</w:t>
            </w:r>
          </w:p>
        </w:tc>
        <w:tc>
          <w:tcPr>
            <w:tcW w:w="159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212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中碎厂房</w:t>
            </w:r>
          </w:p>
        </w:tc>
        <w:tc>
          <w:tcPr>
            <w:tcW w:w="21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湿式水膜除尘器</w:t>
            </w:r>
          </w:p>
        </w:tc>
        <w:tc>
          <w:tcPr>
            <w:tcW w:w="140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DL-2</w:t>
            </w:r>
          </w:p>
        </w:tc>
        <w:tc>
          <w:tcPr>
            <w:tcW w:w="173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6000</w:t>
            </w:r>
          </w:p>
        </w:tc>
        <w:tc>
          <w:tcPr>
            <w:tcW w:w="159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jc w:val="center"/>
        </w:trPr>
        <w:tc>
          <w:tcPr>
            <w:tcW w:w="212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细碎厂房</w:t>
            </w:r>
          </w:p>
        </w:tc>
        <w:tc>
          <w:tcPr>
            <w:tcW w:w="21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湿式水膜除尘器</w:t>
            </w:r>
          </w:p>
        </w:tc>
        <w:tc>
          <w:tcPr>
            <w:tcW w:w="140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DL-2</w:t>
            </w:r>
          </w:p>
        </w:tc>
        <w:tc>
          <w:tcPr>
            <w:tcW w:w="173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6000</w:t>
            </w:r>
          </w:p>
        </w:tc>
        <w:tc>
          <w:tcPr>
            <w:tcW w:w="159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212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筛分厂房</w:t>
            </w:r>
          </w:p>
        </w:tc>
        <w:tc>
          <w:tcPr>
            <w:tcW w:w="21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湿式水膜除尘器</w:t>
            </w:r>
          </w:p>
        </w:tc>
        <w:tc>
          <w:tcPr>
            <w:tcW w:w="140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DL-4</w:t>
            </w:r>
          </w:p>
        </w:tc>
        <w:tc>
          <w:tcPr>
            <w:tcW w:w="173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12000</w:t>
            </w:r>
          </w:p>
        </w:tc>
        <w:tc>
          <w:tcPr>
            <w:tcW w:w="159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jc w:val="center"/>
        </w:trPr>
        <w:tc>
          <w:tcPr>
            <w:tcW w:w="212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干式磁选机</w:t>
            </w:r>
          </w:p>
        </w:tc>
        <w:tc>
          <w:tcPr>
            <w:tcW w:w="21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气箱脉冲袋除尘器</w:t>
            </w:r>
          </w:p>
        </w:tc>
        <w:tc>
          <w:tcPr>
            <w:tcW w:w="140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PPCS32-3</w:t>
            </w:r>
          </w:p>
        </w:tc>
        <w:tc>
          <w:tcPr>
            <w:tcW w:w="173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6900</w:t>
            </w:r>
          </w:p>
        </w:tc>
        <w:tc>
          <w:tcPr>
            <w:tcW w:w="159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r>
    </w:tbl>
    <w:p>
      <w:pPr>
        <w:bidi w:val="0"/>
        <w:rPr>
          <w:rFonts w:hint="default"/>
          <w:color w:val="auto"/>
          <w:lang w:val="en-US" w:eastAsia="zh-CN"/>
        </w:rPr>
      </w:pPr>
      <w:r>
        <w:rPr>
          <w:rFonts w:hint="eastAsia"/>
          <w:color w:val="auto"/>
          <w:lang w:val="en-US" w:eastAsia="zh-CN"/>
        </w:rPr>
        <w:t>（2）</w:t>
      </w:r>
      <w:r>
        <w:rPr>
          <w:rFonts w:hint="default"/>
          <w:color w:val="auto"/>
          <w:lang w:val="en-US" w:eastAsia="zh-CN"/>
        </w:rPr>
        <w:t>风机</w:t>
      </w:r>
    </w:p>
    <w:p>
      <w:pPr>
        <w:bidi w:val="0"/>
        <w:rPr>
          <w:rFonts w:hint="default"/>
          <w:color w:val="auto"/>
          <w:lang w:val="en-US" w:eastAsia="zh-CN"/>
        </w:rPr>
      </w:pPr>
      <w:r>
        <w:rPr>
          <w:rFonts w:hint="default"/>
          <w:color w:val="auto"/>
          <w:lang w:val="en-US" w:eastAsia="zh-CN"/>
        </w:rPr>
        <w:t>风机是除尘系统的主要动力装置，风机的风压和流量是按风机性能曲线对应变化的，管网阻力随风速而变化，其工况点是风机特性曲线和管网阻力特性曲线的交点。</w:t>
      </w:r>
    </w:p>
    <w:p>
      <w:pPr>
        <w:bidi w:val="0"/>
        <w:rPr>
          <w:rFonts w:hint="default"/>
          <w:color w:val="auto"/>
          <w:lang w:val="en-US" w:eastAsia="zh-CN"/>
        </w:rPr>
      </w:pPr>
      <w:r>
        <w:rPr>
          <w:rFonts w:hint="default"/>
          <w:color w:val="auto"/>
          <w:lang w:val="en-US" w:eastAsia="zh-CN"/>
        </w:rPr>
        <w:t>根据除尘系统各需风点风量、系统阻力以及要求风机达到的效率和轴功率</w:t>
      </w:r>
      <w:r>
        <w:rPr>
          <w:rFonts w:hint="eastAsia"/>
          <w:color w:val="auto"/>
          <w:lang w:val="en-US" w:eastAsia="zh-CN"/>
        </w:rPr>
        <w:t>，</w:t>
      </w:r>
      <w:r>
        <w:rPr>
          <w:rFonts w:hint="default"/>
          <w:color w:val="auto"/>
          <w:lang w:val="en-US" w:eastAsia="zh-CN"/>
        </w:rPr>
        <w:t>并考虑风机性能降低系数，各系统风机的选择见表</w:t>
      </w:r>
      <w:r>
        <w:rPr>
          <w:rFonts w:hint="eastAsia"/>
          <w:color w:val="auto"/>
          <w:lang w:val="en-US" w:eastAsia="zh-CN"/>
        </w:rPr>
        <w:t>2-16</w:t>
      </w:r>
      <w:r>
        <w:rPr>
          <w:rFonts w:hint="default"/>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color w:val="auto"/>
          <w:lang w:val="en-US" w:eastAsia="zh-CN"/>
        </w:rPr>
      </w:pPr>
      <w:r>
        <w:rPr>
          <w:rFonts w:hint="default"/>
          <w:color w:val="auto"/>
          <w:lang w:val="en-US" w:eastAsia="zh-CN"/>
        </w:rPr>
        <w:t>表</w:t>
      </w:r>
      <w:r>
        <w:rPr>
          <w:rFonts w:hint="eastAsia" w:ascii="Times New Roman" w:eastAsia="宋体"/>
          <w:color w:val="auto"/>
          <w:lang w:val="en-US" w:eastAsia="zh-CN"/>
        </w:rPr>
        <w:t>2-</w:t>
      </w:r>
      <w:r>
        <w:rPr>
          <w:rFonts w:hint="eastAsia"/>
          <w:color w:val="auto"/>
          <w:lang w:val="en-US" w:eastAsia="zh-CN"/>
        </w:rPr>
        <w:t>16</w:t>
      </w:r>
      <w:r>
        <w:rPr>
          <w:rFonts w:hint="eastAsia" w:ascii="Times New Roman" w:eastAsia="宋体"/>
          <w:color w:val="auto"/>
          <w:lang w:val="en-US" w:eastAsia="zh-CN"/>
        </w:rPr>
        <w:t xml:space="preserve"> 小东坑除尘风机类型及性能参数</w:t>
      </w:r>
    </w:p>
    <w:tbl>
      <w:tblPr>
        <w:tblStyle w:val="34"/>
        <w:tblW w:w="84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9"/>
        <w:gridCol w:w="1595"/>
        <w:gridCol w:w="1658"/>
        <w:gridCol w:w="1151"/>
        <w:gridCol w:w="1386"/>
        <w:gridCol w:w="10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6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除尘系统</w:t>
            </w:r>
          </w:p>
        </w:tc>
        <w:tc>
          <w:tcPr>
            <w:tcW w:w="159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风机型号</w:t>
            </w:r>
          </w:p>
        </w:tc>
        <w:tc>
          <w:tcPr>
            <w:tcW w:w="165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转速（r/min）</w:t>
            </w:r>
          </w:p>
        </w:tc>
        <w:tc>
          <w:tcPr>
            <w:tcW w:w="115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电动机</w:t>
            </w:r>
          </w:p>
        </w:tc>
        <w:tc>
          <w:tcPr>
            <w:tcW w:w="138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功率（kw）</w:t>
            </w:r>
          </w:p>
        </w:tc>
        <w:tc>
          <w:tcPr>
            <w:tcW w:w="100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台数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jc w:val="center"/>
        </w:trPr>
        <w:tc>
          <w:tcPr>
            <w:tcW w:w="16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粗碎厂房</w:t>
            </w:r>
          </w:p>
        </w:tc>
        <w:tc>
          <w:tcPr>
            <w:tcW w:w="159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4-72-No.6D</w:t>
            </w:r>
          </w:p>
        </w:tc>
        <w:tc>
          <w:tcPr>
            <w:tcW w:w="165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960</w:t>
            </w:r>
          </w:p>
        </w:tc>
        <w:tc>
          <w:tcPr>
            <w:tcW w:w="115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Y100L-6</w:t>
            </w:r>
          </w:p>
        </w:tc>
        <w:tc>
          <w:tcPr>
            <w:tcW w:w="138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1.5</w:t>
            </w:r>
          </w:p>
        </w:tc>
        <w:tc>
          <w:tcPr>
            <w:tcW w:w="100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jc w:val="center"/>
        </w:trPr>
        <w:tc>
          <w:tcPr>
            <w:tcW w:w="16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中碎厂房</w:t>
            </w:r>
          </w:p>
        </w:tc>
        <w:tc>
          <w:tcPr>
            <w:tcW w:w="159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4-72-No.6D</w:t>
            </w:r>
          </w:p>
        </w:tc>
        <w:tc>
          <w:tcPr>
            <w:tcW w:w="165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960</w:t>
            </w:r>
          </w:p>
        </w:tc>
        <w:tc>
          <w:tcPr>
            <w:tcW w:w="115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Y100L-6</w:t>
            </w:r>
          </w:p>
        </w:tc>
        <w:tc>
          <w:tcPr>
            <w:tcW w:w="138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1.5</w:t>
            </w:r>
          </w:p>
        </w:tc>
        <w:tc>
          <w:tcPr>
            <w:tcW w:w="100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jc w:val="center"/>
        </w:trPr>
        <w:tc>
          <w:tcPr>
            <w:tcW w:w="16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细碎厂房</w:t>
            </w:r>
          </w:p>
        </w:tc>
        <w:tc>
          <w:tcPr>
            <w:tcW w:w="159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4-72-No.6D</w:t>
            </w:r>
          </w:p>
        </w:tc>
        <w:tc>
          <w:tcPr>
            <w:tcW w:w="165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960</w:t>
            </w:r>
          </w:p>
        </w:tc>
        <w:tc>
          <w:tcPr>
            <w:tcW w:w="115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Y100L-6</w:t>
            </w:r>
          </w:p>
        </w:tc>
        <w:tc>
          <w:tcPr>
            <w:tcW w:w="138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1.5</w:t>
            </w:r>
          </w:p>
        </w:tc>
        <w:tc>
          <w:tcPr>
            <w:tcW w:w="100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jc w:val="center"/>
        </w:trPr>
        <w:tc>
          <w:tcPr>
            <w:tcW w:w="16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筛分厂房</w:t>
            </w:r>
          </w:p>
        </w:tc>
        <w:tc>
          <w:tcPr>
            <w:tcW w:w="159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4-72-No.6D</w:t>
            </w:r>
          </w:p>
        </w:tc>
        <w:tc>
          <w:tcPr>
            <w:tcW w:w="165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1450</w:t>
            </w:r>
          </w:p>
        </w:tc>
        <w:tc>
          <w:tcPr>
            <w:tcW w:w="115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Y112M-4</w:t>
            </w:r>
          </w:p>
        </w:tc>
        <w:tc>
          <w:tcPr>
            <w:tcW w:w="138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100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16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干式磁选机</w:t>
            </w:r>
          </w:p>
        </w:tc>
        <w:tc>
          <w:tcPr>
            <w:tcW w:w="159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4-72-No.5A</w:t>
            </w:r>
          </w:p>
        </w:tc>
        <w:tc>
          <w:tcPr>
            <w:tcW w:w="165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1450</w:t>
            </w:r>
          </w:p>
        </w:tc>
        <w:tc>
          <w:tcPr>
            <w:tcW w:w="115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Y100L-4</w:t>
            </w:r>
          </w:p>
        </w:tc>
        <w:tc>
          <w:tcPr>
            <w:tcW w:w="138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2.2</w:t>
            </w:r>
          </w:p>
        </w:tc>
        <w:tc>
          <w:tcPr>
            <w:tcW w:w="100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r>
    </w:tbl>
    <w:p>
      <w:pPr>
        <w:bidi w:val="0"/>
        <w:rPr>
          <w:rFonts w:hint="default"/>
          <w:color w:val="auto"/>
          <w:lang w:val="en-US" w:eastAsia="zh-CN"/>
        </w:rPr>
      </w:pPr>
      <w:r>
        <w:rPr>
          <w:rFonts w:hint="default"/>
          <w:color w:val="auto"/>
          <w:lang w:val="en-US" w:eastAsia="zh-CN"/>
        </w:rPr>
        <w:t>除尘系统控制与工艺自动控制相结合，在主控室对各除尘系统风机进行监控，同时为便于维修，在各风机房进行就地控制。</w:t>
      </w:r>
    </w:p>
    <w:p>
      <w:pPr>
        <w:pStyle w:val="4"/>
        <w:bidi w:val="0"/>
        <w:rPr>
          <w:rFonts w:hint="eastAsia"/>
          <w:color w:val="auto"/>
          <w:lang w:val="en-US" w:eastAsia="zh-CN"/>
        </w:rPr>
      </w:pPr>
      <w:bookmarkStart w:id="109" w:name="_Toc29672"/>
      <w:r>
        <w:rPr>
          <w:rFonts w:hint="eastAsia"/>
          <w:color w:val="auto"/>
          <w:lang w:val="en-US" w:eastAsia="zh-CN"/>
        </w:rPr>
        <w:t>2.7.8 噪声</w:t>
      </w:r>
      <w:bookmarkEnd w:id="109"/>
    </w:p>
    <w:p>
      <w:pPr>
        <w:rPr>
          <w:rFonts w:hint="eastAsia"/>
          <w:color w:val="auto"/>
          <w:lang w:val="en-US" w:eastAsia="zh-CN"/>
        </w:rPr>
      </w:pPr>
      <w:r>
        <w:rPr>
          <w:rFonts w:hint="eastAsia"/>
          <w:color w:val="auto"/>
          <w:lang w:val="en-US" w:eastAsia="zh-CN"/>
        </w:rPr>
        <w:t>1. 噪声源</w:t>
      </w:r>
    </w:p>
    <w:p>
      <w:pPr>
        <w:rPr>
          <w:rFonts w:hint="default"/>
          <w:color w:val="auto"/>
          <w:lang w:val="en-US" w:eastAsia="zh-CN"/>
        </w:rPr>
      </w:pPr>
      <w:r>
        <w:rPr>
          <w:rFonts w:hint="default"/>
          <w:color w:val="auto"/>
          <w:lang w:val="en-US" w:eastAsia="zh-CN"/>
        </w:rPr>
        <w:t>选厂破碎</w:t>
      </w:r>
      <w:r>
        <w:rPr>
          <w:rFonts w:hint="eastAsia"/>
          <w:color w:val="auto"/>
          <w:lang w:val="en-US" w:eastAsia="zh-CN"/>
        </w:rPr>
        <w:t>机</w:t>
      </w:r>
      <w:r>
        <w:rPr>
          <w:rFonts w:hint="default"/>
          <w:color w:val="auto"/>
          <w:lang w:val="en-US" w:eastAsia="zh-CN"/>
        </w:rPr>
        <w:t>、球磨</w:t>
      </w:r>
      <w:r>
        <w:rPr>
          <w:rFonts w:hint="eastAsia"/>
          <w:color w:val="auto"/>
          <w:lang w:val="en-US" w:eastAsia="zh-CN"/>
        </w:rPr>
        <w:t>机</w:t>
      </w:r>
      <w:r>
        <w:rPr>
          <w:rFonts w:hint="default"/>
          <w:color w:val="auto"/>
          <w:lang w:val="en-US" w:eastAsia="zh-CN"/>
        </w:rPr>
        <w:t>、棒磨机</w:t>
      </w:r>
      <w:r>
        <w:rPr>
          <w:rFonts w:hint="eastAsia"/>
          <w:color w:val="auto"/>
          <w:lang w:val="en-US" w:eastAsia="zh-CN"/>
        </w:rPr>
        <w:t>、振动筛、各类泵等</w:t>
      </w:r>
      <w:r>
        <w:rPr>
          <w:rFonts w:hint="default"/>
          <w:color w:val="auto"/>
          <w:lang w:val="en-US" w:eastAsia="zh-CN"/>
        </w:rPr>
        <w:t>产生的各类噪声。</w:t>
      </w:r>
    </w:p>
    <w:p>
      <w:pPr>
        <w:rPr>
          <w:rFonts w:hint="eastAsia"/>
          <w:color w:val="auto"/>
          <w:lang w:val="en-US" w:eastAsia="zh-CN"/>
        </w:rPr>
      </w:pPr>
      <w:r>
        <w:rPr>
          <w:rFonts w:hint="eastAsia"/>
          <w:color w:val="auto"/>
          <w:lang w:val="en-US" w:eastAsia="zh-CN"/>
        </w:rPr>
        <w:t>2. 噪声污染防治措施</w:t>
      </w:r>
    </w:p>
    <w:p>
      <w:pPr>
        <w:bidi w:val="0"/>
        <w:rPr>
          <w:rFonts w:hint="default"/>
          <w:color w:val="auto"/>
          <w:lang w:val="en-US" w:eastAsia="zh-CN"/>
        </w:rPr>
      </w:pPr>
      <w:r>
        <w:rPr>
          <w:rFonts w:hint="default"/>
          <w:color w:val="auto"/>
          <w:lang w:val="en-US" w:eastAsia="zh-CN"/>
        </w:rPr>
        <w:t>（</w:t>
      </w:r>
      <w:r>
        <w:rPr>
          <w:rFonts w:hint="eastAsia"/>
          <w:color w:val="auto"/>
          <w:lang w:val="en-US" w:eastAsia="zh-CN"/>
        </w:rPr>
        <w:t>1</w:t>
      </w:r>
      <w:r>
        <w:rPr>
          <w:rFonts w:hint="default"/>
          <w:color w:val="auto"/>
          <w:lang w:val="en-US" w:eastAsia="zh-CN"/>
        </w:rPr>
        <w:t>）破碎、筛分、磨浮厂房防噪声措施</w:t>
      </w:r>
    </w:p>
    <w:p>
      <w:pPr>
        <w:bidi w:val="0"/>
        <w:rPr>
          <w:rFonts w:hint="default"/>
          <w:color w:val="auto"/>
          <w:lang w:val="en-US" w:eastAsia="zh-CN"/>
        </w:rPr>
      </w:pPr>
      <w:r>
        <w:rPr>
          <w:rFonts w:hint="default"/>
          <w:color w:val="auto"/>
          <w:lang w:val="en-US" w:eastAsia="zh-CN"/>
        </w:rPr>
        <w:t>1）破碎等关键设备选用加工精度和装配质量较高、噪声相对更低的进口设备。</w:t>
      </w:r>
    </w:p>
    <w:p>
      <w:pPr>
        <w:bidi w:val="0"/>
        <w:rPr>
          <w:rFonts w:hint="default"/>
          <w:color w:val="auto"/>
          <w:lang w:val="en-US" w:eastAsia="zh-CN"/>
        </w:rPr>
      </w:pPr>
      <w:r>
        <w:rPr>
          <w:rFonts w:hint="default"/>
          <w:color w:val="auto"/>
          <w:lang w:val="en-US" w:eastAsia="zh-CN"/>
        </w:rPr>
        <w:t>2）采用具有很强的吸声减振能力的高阻尼合金筛网（如橡胶或聚氨脂橡胶）取代普通的金属筛板（网）。</w:t>
      </w:r>
    </w:p>
    <w:p>
      <w:pPr>
        <w:bidi w:val="0"/>
        <w:rPr>
          <w:rFonts w:hint="default"/>
          <w:color w:val="auto"/>
          <w:lang w:val="en-US" w:eastAsia="zh-CN"/>
        </w:rPr>
      </w:pPr>
      <w:r>
        <w:rPr>
          <w:rFonts w:hint="default"/>
          <w:color w:val="auto"/>
          <w:lang w:val="en-US" w:eastAsia="zh-CN"/>
        </w:rPr>
        <w:t>3）对振动筛、球磨机等采用固有频率较高的钢铝板做成的隔声罩进行隔声，同时尽量减小噪声辐射面积降低声能的辐射，并加大构件的阻尼，有效地控制金属板的振动，以提高隔声效果。</w:t>
      </w:r>
    </w:p>
    <w:p>
      <w:pPr>
        <w:bidi w:val="0"/>
        <w:rPr>
          <w:rFonts w:hint="default"/>
          <w:color w:val="auto"/>
          <w:lang w:val="en-US" w:eastAsia="zh-CN"/>
        </w:rPr>
      </w:pPr>
      <w:r>
        <w:rPr>
          <w:rFonts w:hint="default"/>
          <w:color w:val="auto"/>
          <w:lang w:val="en-US" w:eastAsia="zh-CN"/>
        </w:rPr>
        <w:t>4）在具备条件的地方增加隔声操作间，把操作工人与噪声源隔离开，以减轻噪声对操作工人的危害。</w:t>
      </w:r>
    </w:p>
    <w:p>
      <w:pPr>
        <w:bidi w:val="0"/>
        <w:rPr>
          <w:rFonts w:hint="default"/>
          <w:color w:val="auto"/>
          <w:lang w:val="en-US" w:eastAsia="zh-CN"/>
        </w:rPr>
      </w:pPr>
      <w:r>
        <w:rPr>
          <w:rFonts w:hint="default"/>
          <w:color w:val="auto"/>
          <w:lang w:val="en-US" w:eastAsia="zh-CN"/>
        </w:rPr>
        <w:t>（</w:t>
      </w:r>
      <w:r>
        <w:rPr>
          <w:rFonts w:hint="eastAsia"/>
          <w:color w:val="auto"/>
          <w:lang w:val="en-US" w:eastAsia="zh-CN"/>
        </w:rPr>
        <w:t>2</w:t>
      </w:r>
      <w:r>
        <w:rPr>
          <w:rFonts w:hint="default"/>
          <w:color w:val="auto"/>
          <w:lang w:val="en-US" w:eastAsia="zh-CN"/>
        </w:rPr>
        <w:t>）降噪防噪个人防护措施</w:t>
      </w:r>
    </w:p>
    <w:p>
      <w:pPr>
        <w:bidi w:val="0"/>
        <w:rPr>
          <w:rFonts w:hint="default"/>
          <w:color w:val="auto"/>
          <w:lang w:val="en-US" w:eastAsia="zh-CN"/>
        </w:rPr>
      </w:pPr>
      <w:r>
        <w:rPr>
          <w:rFonts w:hint="default"/>
          <w:color w:val="auto"/>
          <w:lang w:val="en-US" w:eastAsia="zh-CN"/>
        </w:rPr>
        <w:t>1）在噪声环境工作人员全部佩戴耳塞等防噪声器材；</w:t>
      </w:r>
    </w:p>
    <w:p>
      <w:pPr>
        <w:bidi w:val="0"/>
        <w:rPr>
          <w:rFonts w:hint="default"/>
          <w:color w:val="auto"/>
          <w:lang w:val="en-US" w:eastAsia="zh-CN"/>
        </w:rPr>
      </w:pPr>
      <w:r>
        <w:rPr>
          <w:rFonts w:hint="default"/>
          <w:color w:val="auto"/>
          <w:lang w:val="en-US" w:eastAsia="zh-CN"/>
        </w:rPr>
        <w:t>2）严格控制在噪声环境工作人员工作时间，严禁个人长时间在噪声环境中超时作业。</w:t>
      </w:r>
    </w:p>
    <w:p>
      <w:pPr>
        <w:pStyle w:val="3"/>
        <w:bidi w:val="0"/>
        <w:rPr>
          <w:rFonts w:hint="eastAsia"/>
          <w:color w:val="auto"/>
          <w:lang w:val="en-US" w:eastAsia="zh-CN"/>
        </w:rPr>
      </w:pPr>
      <w:bookmarkStart w:id="110" w:name="_Toc27915"/>
      <w:r>
        <w:rPr>
          <w:rFonts w:hint="eastAsia"/>
          <w:color w:val="auto"/>
          <w:lang w:val="en-US" w:eastAsia="zh-CN"/>
        </w:rPr>
        <w:t>2.8 自动控制</w:t>
      </w:r>
      <w:bookmarkEnd w:id="110"/>
    </w:p>
    <w:p>
      <w:pPr>
        <w:rPr>
          <w:rFonts w:hint="default"/>
          <w:color w:val="auto"/>
          <w:lang w:val="en-US" w:eastAsia="zh-CN"/>
        </w:rPr>
      </w:pPr>
      <w:r>
        <w:rPr>
          <w:rFonts w:hint="eastAsia"/>
          <w:color w:val="auto"/>
          <w:lang w:val="en-US" w:eastAsia="zh-CN"/>
        </w:rPr>
        <w:t xml:space="preserve">1. </w:t>
      </w:r>
      <w:r>
        <w:rPr>
          <w:rFonts w:hint="default"/>
          <w:color w:val="auto"/>
          <w:lang w:val="en-US" w:eastAsia="zh-CN"/>
        </w:rPr>
        <w:t>概述</w:t>
      </w:r>
    </w:p>
    <w:p>
      <w:pPr>
        <w:rPr>
          <w:rFonts w:hint="eastAsia"/>
          <w:color w:val="auto"/>
          <w:lang w:val="en-US" w:eastAsia="zh-CN"/>
        </w:rPr>
      </w:pPr>
      <w:r>
        <w:rPr>
          <w:rFonts w:hint="default"/>
          <w:color w:val="auto"/>
          <w:lang w:val="en-US" w:eastAsia="zh-CN"/>
        </w:rPr>
        <w:t>根据生产工艺及设备配置设计，选矿自动化控制系统分为破碎自控系统和磨选自控系统两套相互独立的系统</w:t>
      </w:r>
      <w:r>
        <w:rPr>
          <w:rFonts w:hint="eastAsia"/>
          <w:color w:val="auto"/>
          <w:lang w:val="en-US" w:eastAsia="zh-CN"/>
        </w:rPr>
        <w:t>。其中，破碎由一个中央控制主站与一个</w:t>
      </w:r>
      <w:r>
        <w:rPr>
          <w:rFonts w:hint="eastAsia" w:ascii="宋体" w:hAnsi="宋体" w:eastAsia="宋体" w:cs="宋体"/>
          <w:color w:val="auto"/>
          <w:lang w:val="en-US" w:eastAsia="zh-CN"/>
        </w:rPr>
        <w:t>I</w:t>
      </w:r>
      <w:r>
        <w:rPr>
          <w:rFonts w:hint="eastAsia"/>
          <w:color w:val="auto"/>
          <w:lang w:val="en-US" w:eastAsia="zh-CN"/>
        </w:rPr>
        <w:t>0采集站构成，负责破碎全流程的控制计算；磨选由一个中央控制主站与五个</w:t>
      </w:r>
      <w:r>
        <w:rPr>
          <w:rFonts w:hint="eastAsia" w:ascii="宋体" w:hAnsi="宋体" w:eastAsia="宋体" w:cs="宋体"/>
          <w:color w:val="auto"/>
          <w:lang w:val="en-US" w:eastAsia="zh-CN"/>
        </w:rPr>
        <w:t>I</w:t>
      </w:r>
      <w:r>
        <w:rPr>
          <w:rFonts w:hint="eastAsia"/>
          <w:color w:val="auto"/>
          <w:lang w:val="en-US" w:eastAsia="zh-CN"/>
        </w:rPr>
        <w:t>0采集站构成，负责磨选全流程的控制计算。</w:t>
      </w:r>
    </w:p>
    <w:p>
      <w:pPr>
        <w:numPr>
          <w:ilvl w:val="0"/>
          <w:numId w:val="0"/>
        </w:numPr>
        <w:ind w:firstLine="560" w:firstLineChars="200"/>
        <w:rPr>
          <w:rFonts w:hint="eastAsia"/>
          <w:color w:val="auto"/>
          <w:lang w:val="en-US" w:eastAsia="zh-CN"/>
        </w:rPr>
      </w:pPr>
      <w:r>
        <w:rPr>
          <w:rFonts w:hint="eastAsia" w:cs="Times New Roman"/>
          <w:color w:val="auto"/>
          <w:kern w:val="2"/>
          <w:sz w:val="28"/>
          <w:szCs w:val="24"/>
          <w:lang w:val="en-US" w:eastAsia="zh-CN" w:bidi="ar-SA"/>
        </w:rPr>
        <w:t xml:space="preserve">2. </w:t>
      </w:r>
      <w:r>
        <w:rPr>
          <w:rFonts w:hint="eastAsia"/>
          <w:color w:val="auto"/>
          <w:lang w:val="en-US" w:eastAsia="zh-CN"/>
        </w:rPr>
        <w:t>主要检测控制系统</w:t>
      </w:r>
    </w:p>
    <w:p>
      <w:pPr>
        <w:bidi w:val="0"/>
        <w:rPr>
          <w:rFonts w:hint="eastAsia"/>
          <w:color w:val="auto"/>
          <w:lang w:val="en-US" w:eastAsia="zh-CN"/>
        </w:rPr>
      </w:pPr>
      <w:r>
        <w:rPr>
          <w:rFonts w:hint="eastAsia"/>
          <w:color w:val="auto"/>
          <w:lang w:val="en-US" w:eastAsia="zh-CN"/>
        </w:rPr>
        <w:t>（1）破碎部分</w:t>
      </w:r>
    </w:p>
    <w:p>
      <w:pPr>
        <w:bidi w:val="0"/>
        <w:rPr>
          <w:rFonts w:hint="eastAsia"/>
          <w:color w:val="auto"/>
          <w:lang w:val="en-US" w:eastAsia="zh-CN"/>
        </w:rPr>
      </w:pPr>
      <w:r>
        <w:rPr>
          <w:rFonts w:hint="eastAsia"/>
          <w:color w:val="auto"/>
          <w:lang w:val="en-US" w:eastAsia="zh-CN"/>
        </w:rPr>
        <w:t>1）原矿仓、粉矿仓、废石仓、中间仓料位检测，共5套；</w:t>
      </w:r>
    </w:p>
    <w:p>
      <w:pPr>
        <w:bidi w:val="0"/>
        <w:rPr>
          <w:rFonts w:hint="eastAsia"/>
          <w:color w:val="auto"/>
          <w:lang w:val="en-US" w:eastAsia="zh-CN"/>
        </w:rPr>
      </w:pPr>
      <w:r>
        <w:rPr>
          <w:rFonts w:hint="eastAsia"/>
          <w:color w:val="auto"/>
          <w:lang w:val="en-US" w:eastAsia="zh-CN"/>
        </w:rPr>
        <w:t>2）破碎设备远程启停、故障和安全联锁停机，共1套。</w:t>
      </w:r>
    </w:p>
    <w:p>
      <w:pPr>
        <w:bidi w:val="0"/>
        <w:rPr>
          <w:rFonts w:hint="eastAsia"/>
          <w:color w:val="auto"/>
          <w:lang w:val="en-US" w:eastAsia="zh-CN"/>
        </w:rPr>
      </w:pPr>
      <w:r>
        <w:rPr>
          <w:rFonts w:hint="eastAsia"/>
          <w:color w:val="auto"/>
          <w:lang w:val="en-US" w:eastAsia="zh-CN"/>
        </w:rPr>
        <w:t>（2）主厂房磨选部分</w:t>
      </w:r>
    </w:p>
    <w:p>
      <w:pPr>
        <w:bidi w:val="0"/>
        <w:rPr>
          <w:rFonts w:hint="eastAsia"/>
          <w:color w:val="auto"/>
          <w:lang w:val="en-US" w:eastAsia="zh-CN"/>
        </w:rPr>
      </w:pPr>
      <w:r>
        <w:rPr>
          <w:rFonts w:hint="eastAsia"/>
          <w:color w:val="auto"/>
          <w:lang w:val="en-US" w:eastAsia="zh-CN"/>
        </w:rPr>
        <w:t>1）</w:t>
      </w:r>
      <w:r>
        <w:rPr>
          <w:rFonts w:hint="default"/>
          <w:color w:val="auto"/>
          <w:lang w:val="en-US" w:eastAsia="zh-CN"/>
        </w:rPr>
        <w:t>1#、11#胶带机矿量检测、计量，2套</w:t>
      </w:r>
      <w:r>
        <w:rPr>
          <w:rFonts w:hint="eastAsia"/>
          <w:color w:val="auto"/>
          <w:lang w:val="en-US" w:eastAsia="zh-CN"/>
        </w:rPr>
        <w:t>；</w:t>
      </w:r>
    </w:p>
    <w:p>
      <w:pPr>
        <w:bidi w:val="0"/>
        <w:rPr>
          <w:rFonts w:hint="default"/>
          <w:color w:val="auto"/>
          <w:lang w:val="en-US" w:eastAsia="zh-CN"/>
        </w:rPr>
      </w:pPr>
      <w:r>
        <w:rPr>
          <w:rFonts w:hint="default"/>
          <w:color w:val="auto"/>
          <w:lang w:val="en-US" w:eastAsia="zh-CN"/>
        </w:rPr>
        <w:t>2</w:t>
      </w:r>
      <w:r>
        <w:rPr>
          <w:rFonts w:hint="eastAsia"/>
          <w:color w:val="auto"/>
          <w:lang w:val="en-US" w:eastAsia="zh-CN"/>
        </w:rPr>
        <w:t>）</w:t>
      </w:r>
      <w:r>
        <w:rPr>
          <w:rFonts w:hint="default"/>
          <w:color w:val="auto"/>
          <w:lang w:val="en-US" w:eastAsia="zh-CN"/>
        </w:rPr>
        <w:t>1#、11#胶带机远程启停、故障和安全联锁停机，2套</w:t>
      </w:r>
      <w:r>
        <w:rPr>
          <w:rFonts w:hint="eastAsia"/>
          <w:color w:val="auto"/>
          <w:lang w:val="en-US" w:eastAsia="zh-CN"/>
        </w:rPr>
        <w:t>；</w:t>
      </w:r>
    </w:p>
    <w:p>
      <w:pPr>
        <w:bidi w:val="0"/>
        <w:rPr>
          <w:rFonts w:hint="default"/>
          <w:color w:val="auto"/>
          <w:lang w:val="en-US" w:eastAsia="zh-CN"/>
        </w:rPr>
      </w:pPr>
      <w:r>
        <w:rPr>
          <w:rFonts w:hint="default"/>
          <w:color w:val="auto"/>
          <w:lang w:val="en-US" w:eastAsia="zh-CN"/>
        </w:rPr>
        <w:t>3</w:t>
      </w:r>
      <w:r>
        <w:rPr>
          <w:rFonts w:hint="eastAsia"/>
          <w:color w:val="auto"/>
          <w:lang w:val="en-US" w:eastAsia="zh-CN"/>
        </w:rPr>
        <w:t>）</w:t>
      </w:r>
      <w:r>
        <w:rPr>
          <w:rFonts w:hint="default"/>
          <w:color w:val="auto"/>
          <w:lang w:val="en-US" w:eastAsia="zh-CN"/>
        </w:rPr>
        <w:t>中间矿仓料位检测，共2套</w:t>
      </w:r>
      <w:r>
        <w:rPr>
          <w:rFonts w:hint="eastAsia"/>
          <w:color w:val="auto"/>
          <w:lang w:val="en-US" w:eastAsia="zh-CN"/>
        </w:rPr>
        <w:t>；</w:t>
      </w:r>
    </w:p>
    <w:p>
      <w:pPr>
        <w:bidi w:val="0"/>
        <w:rPr>
          <w:rFonts w:hint="default"/>
          <w:color w:val="auto"/>
          <w:lang w:val="en-US" w:eastAsia="zh-CN"/>
        </w:rPr>
      </w:pPr>
      <w:r>
        <w:rPr>
          <w:rFonts w:hint="default"/>
          <w:color w:val="auto"/>
          <w:lang w:val="en-US" w:eastAsia="zh-CN"/>
        </w:rPr>
        <w:t>4</w:t>
      </w:r>
      <w:r>
        <w:rPr>
          <w:rFonts w:hint="eastAsia"/>
          <w:color w:val="auto"/>
          <w:lang w:val="en-US" w:eastAsia="zh-CN"/>
        </w:rPr>
        <w:t>）</w:t>
      </w:r>
      <w:r>
        <w:rPr>
          <w:rFonts w:hint="default"/>
          <w:color w:val="auto"/>
          <w:lang w:val="en-US" w:eastAsia="zh-CN"/>
        </w:rPr>
        <w:t>泵池液位检测，11套</w:t>
      </w:r>
      <w:r>
        <w:rPr>
          <w:rFonts w:hint="eastAsia"/>
          <w:color w:val="auto"/>
          <w:lang w:val="en-US" w:eastAsia="zh-CN"/>
        </w:rPr>
        <w:t>；</w:t>
      </w:r>
    </w:p>
    <w:p>
      <w:pPr>
        <w:bidi w:val="0"/>
        <w:rPr>
          <w:rFonts w:hint="default"/>
          <w:color w:val="auto"/>
          <w:lang w:val="en-US" w:eastAsia="zh-CN"/>
        </w:rPr>
      </w:pPr>
      <w:r>
        <w:rPr>
          <w:rFonts w:hint="default"/>
          <w:color w:val="auto"/>
          <w:lang w:val="en-US" w:eastAsia="zh-CN"/>
        </w:rPr>
        <w:t>5</w:t>
      </w:r>
      <w:r>
        <w:rPr>
          <w:rFonts w:hint="eastAsia"/>
          <w:color w:val="auto"/>
          <w:lang w:val="en-US" w:eastAsia="zh-CN"/>
        </w:rPr>
        <w:t>）</w:t>
      </w:r>
      <w:r>
        <w:rPr>
          <w:rFonts w:hint="default"/>
          <w:color w:val="auto"/>
          <w:lang w:val="en-US" w:eastAsia="zh-CN"/>
        </w:rPr>
        <w:t>浓密机底流流量检测，3套</w:t>
      </w:r>
      <w:r>
        <w:rPr>
          <w:rFonts w:hint="eastAsia"/>
          <w:color w:val="auto"/>
          <w:lang w:val="en-US" w:eastAsia="zh-CN"/>
        </w:rPr>
        <w:t>；</w:t>
      </w:r>
    </w:p>
    <w:p>
      <w:pPr>
        <w:bidi w:val="0"/>
        <w:rPr>
          <w:rFonts w:hint="default"/>
          <w:color w:val="auto"/>
          <w:lang w:val="en-US" w:eastAsia="zh-CN"/>
        </w:rPr>
      </w:pPr>
      <w:r>
        <w:rPr>
          <w:rFonts w:hint="default"/>
          <w:color w:val="auto"/>
          <w:lang w:val="en-US" w:eastAsia="zh-CN"/>
        </w:rPr>
        <w:t>6</w:t>
      </w:r>
      <w:r>
        <w:rPr>
          <w:rFonts w:hint="eastAsia"/>
          <w:color w:val="auto"/>
          <w:lang w:val="en-US" w:eastAsia="zh-CN"/>
        </w:rPr>
        <w:t>）</w:t>
      </w:r>
      <w:r>
        <w:rPr>
          <w:rFonts w:hint="default"/>
          <w:color w:val="auto"/>
          <w:lang w:val="en-US" w:eastAsia="zh-CN"/>
        </w:rPr>
        <w:t>浓密机底流浓度检测，3套</w:t>
      </w:r>
      <w:r>
        <w:rPr>
          <w:rFonts w:hint="eastAsia"/>
          <w:color w:val="auto"/>
          <w:lang w:val="en-US" w:eastAsia="zh-CN"/>
        </w:rPr>
        <w:t>；</w:t>
      </w:r>
    </w:p>
    <w:p>
      <w:pPr>
        <w:bidi w:val="0"/>
        <w:rPr>
          <w:rFonts w:hint="default"/>
          <w:color w:val="auto"/>
          <w:lang w:val="en-US" w:eastAsia="zh-CN"/>
        </w:rPr>
      </w:pPr>
      <w:r>
        <w:rPr>
          <w:rFonts w:hint="default"/>
          <w:color w:val="auto"/>
          <w:lang w:val="en-US" w:eastAsia="zh-CN"/>
        </w:rPr>
        <w:t>7</w:t>
      </w:r>
      <w:r>
        <w:rPr>
          <w:rFonts w:hint="eastAsia"/>
          <w:color w:val="auto"/>
          <w:lang w:val="en-US" w:eastAsia="zh-CN"/>
        </w:rPr>
        <w:t>）</w:t>
      </w:r>
      <w:r>
        <w:rPr>
          <w:rFonts w:hint="default"/>
          <w:color w:val="auto"/>
          <w:lang w:val="en-US" w:eastAsia="zh-CN"/>
        </w:rPr>
        <w:t>给矿水、排矿水、泵池补加水电动调节阀远程控制，共10套</w:t>
      </w:r>
      <w:r>
        <w:rPr>
          <w:rFonts w:hint="eastAsia"/>
          <w:color w:val="auto"/>
          <w:lang w:val="en-US" w:eastAsia="zh-CN"/>
        </w:rPr>
        <w:t>；</w:t>
      </w:r>
    </w:p>
    <w:p>
      <w:pPr>
        <w:bidi w:val="0"/>
        <w:rPr>
          <w:rFonts w:hint="default"/>
          <w:color w:val="auto"/>
          <w:lang w:val="en-US" w:eastAsia="zh-CN"/>
        </w:rPr>
      </w:pPr>
      <w:r>
        <w:rPr>
          <w:rFonts w:hint="default"/>
          <w:color w:val="auto"/>
          <w:lang w:val="en-US" w:eastAsia="zh-CN"/>
        </w:rPr>
        <w:t>8</w:t>
      </w:r>
      <w:r>
        <w:rPr>
          <w:rFonts w:hint="eastAsia"/>
          <w:color w:val="auto"/>
          <w:lang w:val="en-US" w:eastAsia="zh-CN"/>
        </w:rPr>
        <w:t>）</w:t>
      </w:r>
      <w:r>
        <w:rPr>
          <w:rFonts w:hint="default"/>
          <w:color w:val="auto"/>
          <w:lang w:val="en-US" w:eastAsia="zh-CN"/>
        </w:rPr>
        <w:t>水泵远程控制和联锁启停，共10套</w:t>
      </w:r>
      <w:r>
        <w:rPr>
          <w:rFonts w:hint="eastAsia"/>
          <w:color w:val="auto"/>
          <w:lang w:val="en-US" w:eastAsia="zh-CN"/>
        </w:rPr>
        <w:t>；</w:t>
      </w:r>
    </w:p>
    <w:p>
      <w:pPr>
        <w:bidi w:val="0"/>
        <w:rPr>
          <w:rFonts w:hint="default"/>
          <w:color w:val="auto"/>
          <w:lang w:val="en-US" w:eastAsia="zh-CN"/>
        </w:rPr>
      </w:pPr>
      <w:r>
        <w:rPr>
          <w:rFonts w:hint="default"/>
          <w:color w:val="auto"/>
          <w:lang w:val="en-US" w:eastAsia="zh-CN"/>
        </w:rPr>
        <w:t>9</w:t>
      </w:r>
      <w:r>
        <w:rPr>
          <w:rFonts w:hint="eastAsia"/>
          <w:color w:val="auto"/>
          <w:lang w:val="en-US" w:eastAsia="zh-CN"/>
        </w:rPr>
        <w:t>）</w:t>
      </w:r>
      <w:r>
        <w:rPr>
          <w:rFonts w:hint="default"/>
          <w:color w:val="auto"/>
          <w:lang w:val="en-US" w:eastAsia="zh-CN"/>
        </w:rPr>
        <w:t>给矿水、排矿水、泵池补加水流量检测，共10套</w:t>
      </w:r>
      <w:r>
        <w:rPr>
          <w:rFonts w:hint="eastAsia"/>
          <w:color w:val="auto"/>
          <w:lang w:val="en-US" w:eastAsia="zh-CN"/>
        </w:rPr>
        <w:t>；</w:t>
      </w:r>
    </w:p>
    <w:p>
      <w:pPr>
        <w:bidi w:val="0"/>
        <w:rPr>
          <w:rFonts w:hint="default"/>
          <w:color w:val="auto"/>
          <w:lang w:val="en-US" w:eastAsia="zh-CN"/>
        </w:rPr>
      </w:pPr>
      <w:r>
        <w:rPr>
          <w:rFonts w:hint="default"/>
          <w:color w:val="auto"/>
          <w:lang w:val="en-US" w:eastAsia="zh-CN"/>
        </w:rPr>
        <w:t>10</w:t>
      </w:r>
      <w:r>
        <w:rPr>
          <w:rFonts w:hint="eastAsia"/>
          <w:color w:val="auto"/>
          <w:lang w:val="en-US" w:eastAsia="zh-CN"/>
        </w:rPr>
        <w:t>）</w:t>
      </w:r>
      <w:r>
        <w:rPr>
          <w:rFonts w:hint="default"/>
          <w:color w:val="auto"/>
          <w:lang w:val="en-US" w:eastAsia="zh-CN"/>
        </w:rPr>
        <w:t>磨机磨音及轴瓦温度、油压检测，各3套</w:t>
      </w:r>
      <w:r>
        <w:rPr>
          <w:rFonts w:hint="eastAsia"/>
          <w:color w:val="auto"/>
          <w:lang w:val="en-US" w:eastAsia="zh-CN"/>
        </w:rPr>
        <w:t>；</w:t>
      </w:r>
    </w:p>
    <w:p>
      <w:pPr>
        <w:bidi w:val="0"/>
        <w:rPr>
          <w:rFonts w:hint="default"/>
          <w:color w:val="auto"/>
          <w:lang w:val="en-US" w:eastAsia="zh-CN"/>
        </w:rPr>
      </w:pPr>
      <w:r>
        <w:rPr>
          <w:rFonts w:hint="default"/>
          <w:color w:val="auto"/>
          <w:lang w:val="en-US" w:eastAsia="zh-CN"/>
        </w:rPr>
        <w:t>11</w:t>
      </w:r>
      <w:r>
        <w:rPr>
          <w:rFonts w:hint="eastAsia"/>
          <w:color w:val="auto"/>
          <w:lang w:val="en-US" w:eastAsia="zh-CN"/>
        </w:rPr>
        <w:t>）</w:t>
      </w:r>
      <w:r>
        <w:rPr>
          <w:rFonts w:hint="default"/>
          <w:color w:val="auto"/>
          <w:lang w:val="en-US" w:eastAsia="zh-CN"/>
        </w:rPr>
        <w:t>磨机安全保护及联锁系统，3套</w:t>
      </w:r>
      <w:r>
        <w:rPr>
          <w:rFonts w:hint="eastAsia"/>
          <w:color w:val="auto"/>
          <w:lang w:val="en-US" w:eastAsia="zh-CN"/>
        </w:rPr>
        <w:t>；</w:t>
      </w:r>
    </w:p>
    <w:p>
      <w:pPr>
        <w:bidi w:val="0"/>
        <w:rPr>
          <w:rFonts w:hint="default"/>
          <w:color w:val="auto"/>
          <w:lang w:val="en-US" w:eastAsia="zh-CN"/>
        </w:rPr>
      </w:pPr>
      <w:r>
        <w:rPr>
          <w:rFonts w:hint="default"/>
          <w:color w:val="auto"/>
          <w:lang w:val="en-US" w:eastAsia="zh-CN"/>
        </w:rPr>
        <w:t>12</w:t>
      </w:r>
      <w:r>
        <w:rPr>
          <w:rFonts w:hint="eastAsia"/>
          <w:color w:val="auto"/>
          <w:lang w:val="en-US" w:eastAsia="zh-CN"/>
        </w:rPr>
        <w:t>）</w:t>
      </w:r>
      <w:r>
        <w:rPr>
          <w:rFonts w:hint="default"/>
          <w:color w:val="auto"/>
          <w:lang w:val="en-US" w:eastAsia="zh-CN"/>
        </w:rPr>
        <w:t>浮选药剂定量加药系统，1套</w:t>
      </w:r>
      <w:r>
        <w:rPr>
          <w:rFonts w:hint="eastAsia"/>
          <w:color w:val="auto"/>
          <w:lang w:val="en-US" w:eastAsia="zh-CN"/>
        </w:rPr>
        <w:t>；</w:t>
      </w:r>
    </w:p>
    <w:p>
      <w:pPr>
        <w:bidi w:val="0"/>
        <w:rPr>
          <w:rFonts w:hint="eastAsia"/>
          <w:color w:val="auto"/>
          <w:lang w:val="en-US" w:eastAsia="zh-CN"/>
        </w:rPr>
      </w:pPr>
      <w:r>
        <w:rPr>
          <w:rFonts w:hint="default"/>
          <w:color w:val="auto"/>
          <w:lang w:val="en-US" w:eastAsia="zh-CN"/>
        </w:rPr>
        <w:t>13</w:t>
      </w:r>
      <w:r>
        <w:rPr>
          <w:rFonts w:hint="eastAsia"/>
          <w:color w:val="auto"/>
          <w:lang w:val="en-US" w:eastAsia="zh-CN"/>
        </w:rPr>
        <w:t>）</w:t>
      </w:r>
      <w:r>
        <w:rPr>
          <w:rFonts w:hint="default"/>
          <w:color w:val="auto"/>
          <w:lang w:val="en-US" w:eastAsia="zh-CN"/>
        </w:rPr>
        <w:t>摇床智能巡检机器人，2套</w:t>
      </w:r>
      <w:r>
        <w:rPr>
          <w:rFonts w:hint="eastAsia"/>
          <w:color w:val="auto"/>
          <w:lang w:val="en-US" w:eastAsia="zh-CN"/>
        </w:rPr>
        <w:t>。</w:t>
      </w:r>
    </w:p>
    <w:p>
      <w:pPr>
        <w:bidi w:val="0"/>
        <w:rPr>
          <w:rFonts w:hint="eastAsia"/>
          <w:color w:val="auto"/>
          <w:lang w:val="en-US" w:eastAsia="zh-CN"/>
        </w:rPr>
      </w:pPr>
      <w:r>
        <w:rPr>
          <w:rFonts w:hint="eastAsia"/>
          <w:color w:val="auto"/>
          <w:lang w:val="en-US" w:eastAsia="zh-CN"/>
        </w:rPr>
        <w:t>（3）井下排水</w:t>
      </w:r>
    </w:p>
    <w:p>
      <w:pPr>
        <w:bidi w:val="0"/>
        <w:rPr>
          <w:rFonts w:hint="eastAsia"/>
          <w:color w:val="auto"/>
          <w:lang w:val="en-US" w:eastAsia="zh-CN"/>
        </w:rPr>
      </w:pPr>
      <w:r>
        <w:rPr>
          <w:rFonts w:hint="eastAsia"/>
          <w:color w:val="auto"/>
          <w:lang w:val="en-US" w:eastAsia="zh-CN"/>
        </w:rPr>
        <w:t>1）水仓水位、水泵运行参数监测：2套；</w:t>
      </w:r>
    </w:p>
    <w:p>
      <w:pPr>
        <w:bidi w:val="0"/>
        <w:rPr>
          <w:rFonts w:hint="eastAsia"/>
          <w:color w:val="auto"/>
          <w:lang w:val="en-US" w:eastAsia="zh-CN"/>
        </w:rPr>
      </w:pPr>
      <w:r>
        <w:rPr>
          <w:rFonts w:hint="eastAsia"/>
          <w:color w:val="auto"/>
          <w:lang w:val="en-US" w:eastAsia="zh-CN"/>
        </w:rPr>
        <w:t>2）水泵远程控制：一套。</w:t>
      </w:r>
    </w:p>
    <w:p>
      <w:pPr>
        <w:bidi w:val="0"/>
        <w:rPr>
          <w:rFonts w:hint="eastAsia"/>
          <w:color w:val="auto"/>
          <w:lang w:val="en-US" w:eastAsia="zh-CN"/>
        </w:rPr>
      </w:pPr>
      <w:r>
        <w:rPr>
          <w:rFonts w:hint="eastAsia"/>
          <w:color w:val="auto"/>
          <w:lang w:val="en-US" w:eastAsia="zh-CN"/>
        </w:rPr>
        <w:t>3. 视频监控</w:t>
      </w:r>
    </w:p>
    <w:p>
      <w:pPr>
        <w:bidi w:val="0"/>
        <w:rPr>
          <w:rFonts w:hint="eastAsia"/>
          <w:color w:val="auto"/>
          <w:lang w:val="en-US" w:eastAsia="zh-CN"/>
        </w:rPr>
      </w:pPr>
      <w:r>
        <w:rPr>
          <w:rFonts w:hint="eastAsia"/>
          <w:color w:val="auto"/>
          <w:lang w:val="en-US" w:eastAsia="zh-CN"/>
        </w:rPr>
        <w:t>（1）视频系统</w:t>
      </w:r>
    </w:p>
    <w:p>
      <w:pPr>
        <w:bidi w:val="0"/>
        <w:rPr>
          <w:rFonts w:hint="eastAsia"/>
          <w:color w:val="auto"/>
          <w:lang w:val="en-US" w:eastAsia="zh-CN"/>
        </w:rPr>
      </w:pPr>
      <w:r>
        <w:rPr>
          <w:rFonts w:hint="default"/>
          <w:color w:val="auto"/>
          <w:lang w:val="en-US" w:eastAsia="zh-CN"/>
        </w:rPr>
        <w:t>视频监控系统由图像采集部分、信号传输部分、系统控制部分</w:t>
      </w:r>
      <w:r>
        <w:rPr>
          <w:rFonts w:hint="eastAsia"/>
          <w:color w:val="auto"/>
          <w:lang w:val="en-US" w:eastAsia="zh-CN"/>
        </w:rPr>
        <w:t>、图象显示和存储图像查阅等组成，各个部分的有机结合才组成一个完整的视频监控系统，主要包含以下设备：</w:t>
      </w:r>
    </w:p>
    <w:p>
      <w:pPr>
        <w:bidi w:val="0"/>
        <w:rPr>
          <w:rFonts w:hint="eastAsia"/>
          <w:color w:val="auto"/>
          <w:lang w:val="en-US" w:eastAsia="zh-CN"/>
        </w:rPr>
      </w:pPr>
      <w:r>
        <w:rPr>
          <w:rFonts w:hint="eastAsia"/>
          <w:color w:val="auto"/>
          <w:lang w:val="en-US" w:eastAsia="zh-CN"/>
        </w:rPr>
        <w:t>1）LCD液晶拼接墙</w:t>
      </w:r>
    </w:p>
    <w:p>
      <w:pPr>
        <w:bidi w:val="0"/>
        <w:rPr>
          <w:rFonts w:hint="eastAsia"/>
          <w:color w:val="auto"/>
          <w:lang w:val="en-US" w:eastAsia="zh-CN"/>
        </w:rPr>
      </w:pPr>
      <w:r>
        <w:rPr>
          <w:rFonts w:hint="eastAsia"/>
          <w:color w:val="auto"/>
          <w:lang w:val="en-US" w:eastAsia="zh-CN"/>
        </w:rPr>
        <w:t>2）多屏处理器</w:t>
      </w:r>
    </w:p>
    <w:p>
      <w:pPr>
        <w:bidi w:val="0"/>
        <w:rPr>
          <w:rFonts w:hint="eastAsia"/>
          <w:color w:val="auto"/>
          <w:lang w:val="en-US" w:eastAsia="zh-CN"/>
        </w:rPr>
      </w:pPr>
      <w:r>
        <w:rPr>
          <w:rFonts w:hint="eastAsia"/>
          <w:color w:val="auto"/>
          <w:lang w:val="en-US" w:eastAsia="zh-CN"/>
        </w:rPr>
        <w:t>3）专用控制软件</w:t>
      </w:r>
    </w:p>
    <w:p>
      <w:pPr>
        <w:bidi w:val="0"/>
        <w:rPr>
          <w:rFonts w:hint="eastAsia"/>
          <w:color w:val="auto"/>
          <w:lang w:val="en-US" w:eastAsia="zh-CN"/>
        </w:rPr>
      </w:pPr>
      <w:r>
        <w:rPr>
          <w:rFonts w:hint="eastAsia"/>
          <w:color w:val="auto"/>
          <w:lang w:val="en-US" w:eastAsia="zh-CN"/>
        </w:rPr>
        <w:t>4）拼接屏服务器</w:t>
      </w:r>
    </w:p>
    <w:p>
      <w:pPr>
        <w:bidi w:val="0"/>
        <w:rPr>
          <w:rFonts w:hint="default"/>
          <w:color w:val="auto"/>
          <w:lang w:val="en-US" w:eastAsia="zh-CN"/>
        </w:rPr>
      </w:pPr>
      <w:r>
        <w:rPr>
          <w:rFonts w:hint="eastAsia"/>
          <w:color w:val="auto"/>
          <w:lang w:val="en-US" w:eastAsia="zh-CN"/>
        </w:rPr>
        <w:t>（2）</w:t>
      </w:r>
      <w:r>
        <w:rPr>
          <w:rFonts w:hint="default"/>
          <w:color w:val="auto"/>
          <w:lang w:val="en-US" w:eastAsia="zh-CN"/>
        </w:rPr>
        <w:t>监控分布</w:t>
      </w:r>
    </w:p>
    <w:p>
      <w:pPr>
        <w:bidi w:val="0"/>
        <w:rPr>
          <w:rFonts w:hint="default"/>
          <w:color w:val="auto"/>
          <w:lang w:val="en-US" w:eastAsia="zh-CN"/>
        </w:rPr>
      </w:pPr>
      <w:r>
        <w:rPr>
          <w:rFonts w:hint="default"/>
          <w:color w:val="auto"/>
          <w:lang w:val="en-US" w:eastAsia="zh-CN"/>
        </w:rPr>
        <w:t>在选厂建立调度室</w:t>
      </w:r>
      <w:r>
        <w:rPr>
          <w:rFonts w:hint="eastAsia"/>
          <w:color w:val="auto"/>
          <w:lang w:val="en-US" w:eastAsia="zh-CN"/>
        </w:rPr>
        <w:t>，</w:t>
      </w:r>
      <w:r>
        <w:rPr>
          <w:rFonts w:hint="default"/>
          <w:color w:val="auto"/>
          <w:lang w:val="en-US" w:eastAsia="zh-CN"/>
        </w:rPr>
        <w:t>中央控制室设大屏幕集中显示。</w:t>
      </w:r>
    </w:p>
    <w:p>
      <w:pPr>
        <w:bidi w:val="0"/>
        <w:rPr>
          <w:rFonts w:hint="eastAsia"/>
          <w:color w:val="auto"/>
          <w:lang w:val="en-US" w:eastAsia="zh-CN"/>
        </w:rPr>
      </w:pPr>
      <w:r>
        <w:rPr>
          <w:rFonts w:hint="default"/>
          <w:color w:val="auto"/>
          <w:lang w:val="en-US" w:eastAsia="zh-CN"/>
        </w:rPr>
        <w:t>选厂监控系统设一个监控中心，下设破碎、磨选两个监控站，这些监控站都与矿区工业以太（光纤）网相连，利用矿区光纤网来完成各个监控站的视频传输。视频监控摄像头都采用高清网络数字式摄像头，所有摄像头汇集到各监控节点后通过光纤接口，传输至中控室接入硬盘录像机进行集中监控和录像</w:t>
      </w:r>
      <w:r>
        <w:rPr>
          <w:rFonts w:hint="eastAsia"/>
          <w:color w:val="auto"/>
          <w:lang w:val="en-US" w:eastAsia="zh-CN"/>
        </w:rPr>
        <w:t>。</w:t>
      </w:r>
    </w:p>
    <w:p>
      <w:pPr>
        <w:bidi w:val="0"/>
        <w:rPr>
          <w:rFonts w:hint="eastAsia"/>
          <w:color w:val="auto"/>
          <w:lang w:val="en-US" w:eastAsia="zh-CN"/>
        </w:rPr>
      </w:pPr>
      <w:r>
        <w:rPr>
          <w:rFonts w:hint="eastAsia"/>
          <w:color w:val="auto"/>
          <w:lang w:val="en-US" w:eastAsia="zh-CN"/>
        </w:rPr>
        <w:t>4. 控制系统（PLC+PC）</w:t>
      </w:r>
    </w:p>
    <w:p>
      <w:pPr>
        <w:bidi w:val="0"/>
        <w:rPr>
          <w:rFonts w:hint="eastAsia"/>
          <w:color w:val="auto"/>
          <w:lang w:val="en-US" w:eastAsia="zh-CN"/>
        </w:rPr>
      </w:pPr>
      <w:r>
        <w:rPr>
          <w:rFonts w:hint="eastAsia"/>
          <w:color w:val="auto"/>
          <w:lang w:val="en-US" w:eastAsia="zh-CN"/>
        </w:rPr>
        <w:t>（1）破碎系统</w:t>
      </w:r>
    </w:p>
    <w:p>
      <w:pPr>
        <w:bidi w:val="0"/>
        <w:rPr>
          <w:rFonts w:hint="default"/>
          <w:color w:val="auto"/>
          <w:lang w:val="en-US" w:eastAsia="zh-CN"/>
        </w:rPr>
      </w:pPr>
      <w:r>
        <w:rPr>
          <w:rFonts w:hint="default"/>
          <w:color w:val="auto"/>
          <w:lang w:val="en-US" w:eastAsia="zh-CN"/>
        </w:rPr>
        <w:t>破碎控制系统基于智能控制技术，对各段破碎设备运行时间进行优化控制。系统自动联锁启停、一键式启停</w:t>
      </w:r>
      <w:r>
        <w:rPr>
          <w:rFonts w:hint="eastAsia"/>
          <w:color w:val="auto"/>
          <w:lang w:val="en-US" w:eastAsia="zh-CN"/>
        </w:rPr>
        <w:t>；</w:t>
      </w:r>
      <w:r>
        <w:rPr>
          <w:rFonts w:hint="default"/>
          <w:color w:val="auto"/>
          <w:lang w:val="en-US" w:eastAsia="zh-CN"/>
        </w:rPr>
        <w:t>物料存储和输送设备监测及优化控制</w:t>
      </w:r>
      <w:r>
        <w:rPr>
          <w:rFonts w:hint="eastAsia"/>
          <w:color w:val="auto"/>
          <w:lang w:val="en-US" w:eastAsia="zh-CN"/>
        </w:rPr>
        <w:t>；</w:t>
      </w:r>
      <w:r>
        <w:rPr>
          <w:rFonts w:hint="default"/>
          <w:color w:val="auto"/>
          <w:lang w:val="en-US" w:eastAsia="zh-CN"/>
        </w:rPr>
        <w:t>破碎设备运行状态监测及故障诊断</w:t>
      </w:r>
      <w:r>
        <w:rPr>
          <w:rFonts w:hint="eastAsia"/>
          <w:color w:val="auto"/>
          <w:lang w:val="en-US" w:eastAsia="zh-CN"/>
        </w:rPr>
        <w:t>；</w:t>
      </w:r>
      <w:r>
        <w:rPr>
          <w:rFonts w:hint="default"/>
          <w:color w:val="auto"/>
          <w:lang w:val="en-US" w:eastAsia="zh-CN"/>
        </w:rPr>
        <w:t>稳定破碎设备电流、保护设备，提高系统运行率，降低维护成本。</w:t>
      </w:r>
    </w:p>
    <w:p>
      <w:pPr>
        <w:bidi w:val="0"/>
        <w:rPr>
          <w:rFonts w:hint="default"/>
          <w:color w:val="auto"/>
          <w:lang w:val="en-US" w:eastAsia="zh-CN"/>
        </w:rPr>
      </w:pPr>
      <w:r>
        <w:rPr>
          <w:rFonts w:hint="eastAsia"/>
          <w:color w:val="auto"/>
          <w:lang w:val="en-US" w:eastAsia="zh-CN"/>
        </w:rPr>
        <w:t>1）</w:t>
      </w:r>
      <w:r>
        <w:rPr>
          <w:rFonts w:hint="default"/>
          <w:color w:val="auto"/>
          <w:lang w:val="en-US" w:eastAsia="zh-CN"/>
        </w:rPr>
        <w:t>根据工艺流程顺序，对破碎生产流程设备实行自动启</w:t>
      </w:r>
      <w:r>
        <w:rPr>
          <w:rFonts w:hint="eastAsia"/>
          <w:color w:val="auto"/>
          <w:lang w:val="en-US" w:eastAsia="zh-CN"/>
        </w:rPr>
        <w:t>/</w:t>
      </w:r>
      <w:r>
        <w:rPr>
          <w:rFonts w:hint="default"/>
          <w:color w:val="auto"/>
          <w:lang w:val="en-US" w:eastAsia="zh-CN"/>
        </w:rPr>
        <w:t>停和联锁控制，对生产中出现的设备跳停、异常紧急停车、以及其它异常情况，控制系统进行自动控制处理及报警提示。</w:t>
      </w:r>
    </w:p>
    <w:p>
      <w:pPr>
        <w:bidi w:val="0"/>
        <w:rPr>
          <w:rFonts w:hint="default"/>
          <w:color w:val="auto"/>
          <w:lang w:val="en-US" w:eastAsia="zh-CN"/>
        </w:rPr>
      </w:pPr>
      <w:r>
        <w:rPr>
          <w:rFonts w:hint="default"/>
          <w:color w:val="auto"/>
          <w:lang w:val="en-US" w:eastAsia="zh-CN"/>
        </w:rPr>
        <w:t>2</w:t>
      </w:r>
      <w:r>
        <w:rPr>
          <w:rFonts w:hint="eastAsia"/>
          <w:color w:val="auto"/>
          <w:lang w:val="en-US" w:eastAsia="zh-CN"/>
        </w:rPr>
        <w:t>）</w:t>
      </w:r>
      <w:r>
        <w:rPr>
          <w:rFonts w:hint="default"/>
          <w:color w:val="auto"/>
          <w:lang w:val="en-US" w:eastAsia="zh-CN"/>
        </w:rPr>
        <w:t>在破碎生产过程中，对破碎机的运行状态进行实时监测与识别分析，根据破碎机的运行状态，对破碎机的给矿量实行跟随控制，促使破碎机始终处于接近满负荷的状态下运行，达到节能降耗与增效的目的。</w:t>
      </w:r>
    </w:p>
    <w:p>
      <w:pPr>
        <w:bidi w:val="0"/>
        <w:rPr>
          <w:rFonts w:hint="default"/>
          <w:color w:val="auto"/>
          <w:lang w:val="en-US" w:eastAsia="zh-CN"/>
        </w:rPr>
      </w:pPr>
      <w:r>
        <w:rPr>
          <w:rFonts w:hint="default"/>
          <w:color w:val="auto"/>
          <w:lang w:val="en-US" w:eastAsia="zh-CN"/>
        </w:rPr>
        <w:t>3</w:t>
      </w:r>
      <w:r>
        <w:rPr>
          <w:rFonts w:hint="eastAsia"/>
          <w:color w:val="auto"/>
          <w:lang w:val="en-US" w:eastAsia="zh-CN"/>
        </w:rPr>
        <w:t>）</w:t>
      </w:r>
      <w:r>
        <w:rPr>
          <w:rFonts w:hint="default"/>
          <w:color w:val="auto"/>
          <w:lang w:val="en-US" w:eastAsia="zh-CN"/>
        </w:rPr>
        <w:t>利用雷达物位计对原矿仓、粉矿仓、废石仓和中间仓的料位进行实时检测，调整变频器运行频率，确保各个矿仓不会出现</w:t>
      </w:r>
      <w:r>
        <w:rPr>
          <w:rFonts w:hint="eastAsia"/>
          <w:color w:val="auto"/>
          <w:lang w:val="en-US" w:eastAsia="zh-CN"/>
        </w:rPr>
        <w:t>“</w:t>
      </w:r>
      <w:r>
        <w:rPr>
          <w:rFonts w:hint="default"/>
          <w:color w:val="auto"/>
          <w:lang w:val="en-US" w:eastAsia="zh-CN"/>
        </w:rPr>
        <w:t>缺料</w:t>
      </w:r>
      <w:r>
        <w:rPr>
          <w:rFonts w:hint="eastAsia"/>
          <w:color w:val="auto"/>
          <w:lang w:val="en-US" w:eastAsia="zh-CN"/>
        </w:rPr>
        <w:t>”</w:t>
      </w:r>
      <w:r>
        <w:rPr>
          <w:rFonts w:hint="default"/>
          <w:color w:val="auto"/>
          <w:lang w:val="en-US" w:eastAsia="zh-CN"/>
        </w:rPr>
        <w:t>和</w:t>
      </w:r>
      <w:r>
        <w:rPr>
          <w:rFonts w:hint="eastAsia"/>
          <w:color w:val="auto"/>
          <w:lang w:val="en-US" w:eastAsia="zh-CN"/>
        </w:rPr>
        <w:t>“</w:t>
      </w:r>
      <w:r>
        <w:rPr>
          <w:rFonts w:hint="default"/>
          <w:color w:val="auto"/>
          <w:lang w:val="en-US" w:eastAsia="zh-CN"/>
        </w:rPr>
        <w:t>冒顶</w:t>
      </w:r>
      <w:r>
        <w:rPr>
          <w:rFonts w:hint="eastAsia"/>
          <w:color w:val="auto"/>
          <w:lang w:val="en-US" w:eastAsia="zh-CN"/>
        </w:rPr>
        <w:t>”</w:t>
      </w:r>
      <w:r>
        <w:rPr>
          <w:rFonts w:hint="default"/>
          <w:color w:val="auto"/>
          <w:lang w:val="en-US" w:eastAsia="zh-CN"/>
        </w:rPr>
        <w:t>现象的发生</w:t>
      </w:r>
      <w:r>
        <w:rPr>
          <w:rFonts w:hint="eastAsia"/>
          <w:color w:val="auto"/>
          <w:lang w:val="en-US" w:eastAsia="zh-CN"/>
        </w:rPr>
        <w:t>；</w:t>
      </w:r>
      <w:r>
        <w:rPr>
          <w:rFonts w:hint="default"/>
          <w:color w:val="auto"/>
          <w:lang w:val="en-US" w:eastAsia="zh-CN"/>
        </w:rPr>
        <w:t>通过合理设置粉矿仓料位低限，保证破碎系统每次开车时间能够连续与延长，减少空转运行时间和启停车的频次。</w:t>
      </w:r>
    </w:p>
    <w:p>
      <w:pPr>
        <w:bidi w:val="0"/>
        <w:rPr>
          <w:rFonts w:hint="default"/>
          <w:color w:val="auto"/>
          <w:lang w:val="en-US" w:eastAsia="zh-CN"/>
        </w:rPr>
      </w:pPr>
      <w:r>
        <w:rPr>
          <w:rFonts w:hint="default"/>
          <w:color w:val="auto"/>
          <w:lang w:val="en-US" w:eastAsia="zh-CN"/>
        </w:rPr>
        <w:t>4</w:t>
      </w:r>
      <w:r>
        <w:rPr>
          <w:rFonts w:hint="eastAsia"/>
          <w:color w:val="auto"/>
          <w:lang w:val="en-US" w:eastAsia="zh-CN"/>
        </w:rPr>
        <w:t>）</w:t>
      </w:r>
      <w:r>
        <w:rPr>
          <w:rFonts w:hint="default"/>
          <w:color w:val="auto"/>
          <w:lang w:val="en-US" w:eastAsia="zh-CN"/>
        </w:rPr>
        <w:t>在整个给矿系统过程中，为对物料平衡计量，在1号和11号胶带机处各安装一台电子皮带秤。</w:t>
      </w:r>
    </w:p>
    <w:p>
      <w:pPr>
        <w:bidi w:val="0"/>
        <w:rPr>
          <w:rFonts w:hint="default"/>
          <w:color w:val="auto"/>
          <w:lang w:val="en-US" w:eastAsia="zh-CN"/>
        </w:rPr>
      </w:pPr>
      <w:r>
        <w:rPr>
          <w:rFonts w:hint="default"/>
          <w:color w:val="auto"/>
          <w:lang w:val="en-US" w:eastAsia="zh-CN"/>
        </w:rPr>
        <w:t>（2）磨选系统</w:t>
      </w:r>
    </w:p>
    <w:p>
      <w:pPr>
        <w:bidi w:val="0"/>
        <w:rPr>
          <w:rFonts w:hint="default"/>
          <w:color w:val="auto"/>
          <w:lang w:val="en-US" w:eastAsia="zh-CN"/>
        </w:rPr>
      </w:pPr>
      <w:r>
        <w:rPr>
          <w:rFonts w:hint="default"/>
          <w:color w:val="auto"/>
          <w:lang w:val="en-US" w:eastAsia="zh-CN"/>
        </w:rPr>
        <w:t>1</w:t>
      </w:r>
      <w:r>
        <w:rPr>
          <w:rFonts w:hint="eastAsia"/>
          <w:color w:val="auto"/>
          <w:lang w:val="en-US" w:eastAsia="zh-CN"/>
        </w:rPr>
        <w:t>）</w:t>
      </w:r>
      <w:r>
        <w:rPr>
          <w:rFonts w:hint="default"/>
          <w:color w:val="auto"/>
          <w:lang w:val="en-US" w:eastAsia="zh-CN"/>
        </w:rPr>
        <w:t>根据工艺流程顺序，对磨选生产流程设备实行自动启/停和联锁控制，缩短流程设备的启/停时间，对生产中出现的异常情况，控制系统进行自动控制处理或报警提示。</w:t>
      </w:r>
    </w:p>
    <w:p>
      <w:pPr>
        <w:bidi w:val="0"/>
        <w:rPr>
          <w:rFonts w:hint="default"/>
          <w:color w:val="auto"/>
          <w:lang w:val="en-US" w:eastAsia="zh-CN"/>
        </w:rPr>
      </w:pPr>
      <w:r>
        <w:rPr>
          <w:rFonts w:hint="default"/>
          <w:color w:val="auto"/>
          <w:lang w:val="en-US" w:eastAsia="zh-CN"/>
        </w:rPr>
        <w:t>2</w:t>
      </w:r>
      <w:r>
        <w:rPr>
          <w:rFonts w:hint="eastAsia"/>
          <w:color w:val="auto"/>
          <w:lang w:val="en-US" w:eastAsia="zh-CN"/>
        </w:rPr>
        <w:t>）</w:t>
      </w:r>
      <w:r>
        <w:rPr>
          <w:rFonts w:hint="default"/>
          <w:color w:val="auto"/>
          <w:lang w:val="en-US" w:eastAsia="zh-CN"/>
        </w:rPr>
        <w:t>对药剂添加量、浮选槽液位进行调整，在保证金属品位的条件下，提高金属回收率，同时降低药剂消耗量。</w:t>
      </w:r>
    </w:p>
    <w:p>
      <w:pPr>
        <w:bidi w:val="0"/>
        <w:rPr>
          <w:rFonts w:hint="default"/>
          <w:color w:val="auto"/>
          <w:lang w:val="en-US" w:eastAsia="zh-CN"/>
        </w:rPr>
      </w:pPr>
      <w:r>
        <w:rPr>
          <w:rFonts w:hint="default"/>
          <w:color w:val="auto"/>
          <w:lang w:val="en-US" w:eastAsia="zh-CN"/>
        </w:rPr>
        <w:t>3</w:t>
      </w:r>
      <w:r>
        <w:rPr>
          <w:rFonts w:hint="eastAsia"/>
          <w:color w:val="auto"/>
          <w:lang w:val="en-US" w:eastAsia="zh-CN"/>
        </w:rPr>
        <w:t>）</w:t>
      </w:r>
      <w:r>
        <w:rPr>
          <w:rFonts w:hint="default"/>
          <w:color w:val="auto"/>
          <w:lang w:val="en-US" w:eastAsia="zh-CN"/>
        </w:rPr>
        <w:t>浮选药剂自动添加，现场设触摸屏，实现加药参数的就地修改及生产过程的就地控制。</w:t>
      </w:r>
    </w:p>
    <w:p>
      <w:pPr>
        <w:bidi w:val="0"/>
        <w:rPr>
          <w:rFonts w:hint="default"/>
          <w:color w:val="auto"/>
          <w:lang w:val="en-US" w:eastAsia="zh-CN"/>
        </w:rPr>
      </w:pPr>
      <w:r>
        <w:rPr>
          <w:rFonts w:hint="default"/>
          <w:color w:val="auto"/>
          <w:lang w:val="en-US" w:eastAsia="zh-CN"/>
        </w:rPr>
        <w:t>4</w:t>
      </w:r>
      <w:r>
        <w:rPr>
          <w:rFonts w:hint="eastAsia"/>
          <w:color w:val="auto"/>
          <w:lang w:val="en-US" w:eastAsia="zh-CN"/>
        </w:rPr>
        <w:t>）</w:t>
      </w:r>
      <w:r>
        <w:rPr>
          <w:rFonts w:hint="default"/>
          <w:color w:val="auto"/>
          <w:lang w:val="en-US" w:eastAsia="zh-CN"/>
        </w:rPr>
        <w:t>对浮选槽的液位进行检测，同时通过放矿阀来控制调整浮选槽的液位高度，使浮选槽的液面维持在较好的高度上。</w:t>
      </w:r>
    </w:p>
    <w:p>
      <w:pPr>
        <w:bidi w:val="0"/>
        <w:rPr>
          <w:rFonts w:hint="default"/>
          <w:color w:val="auto"/>
          <w:lang w:val="en-US" w:eastAsia="zh-CN"/>
        </w:rPr>
      </w:pPr>
      <w:r>
        <w:rPr>
          <w:rFonts w:hint="default"/>
          <w:color w:val="auto"/>
          <w:lang w:val="en-US" w:eastAsia="zh-CN"/>
        </w:rPr>
        <w:t>5</w:t>
      </w:r>
      <w:r>
        <w:rPr>
          <w:rFonts w:hint="eastAsia"/>
          <w:color w:val="auto"/>
          <w:lang w:val="en-US" w:eastAsia="zh-CN"/>
        </w:rPr>
        <w:t>）</w:t>
      </w:r>
      <w:r>
        <w:rPr>
          <w:rFonts w:hint="default"/>
          <w:color w:val="auto"/>
          <w:lang w:val="en-US" w:eastAsia="zh-CN"/>
        </w:rPr>
        <w:t>低液位联锁停泵控制，在极限低液位时联锁控制停泵，以保证设备的安全。</w:t>
      </w:r>
    </w:p>
    <w:p>
      <w:pPr>
        <w:bidi w:val="0"/>
        <w:rPr>
          <w:rFonts w:hint="default"/>
          <w:color w:val="auto"/>
          <w:lang w:val="en-US" w:eastAsia="zh-CN"/>
        </w:rPr>
      </w:pPr>
      <w:r>
        <w:rPr>
          <w:rFonts w:hint="default"/>
          <w:color w:val="auto"/>
          <w:lang w:val="en-US" w:eastAsia="zh-CN"/>
        </w:rPr>
        <w:t>6</w:t>
      </w:r>
      <w:r>
        <w:rPr>
          <w:rFonts w:hint="eastAsia"/>
          <w:color w:val="auto"/>
          <w:lang w:val="en-US" w:eastAsia="zh-CN"/>
        </w:rPr>
        <w:t>）</w:t>
      </w:r>
      <w:r>
        <w:rPr>
          <w:rFonts w:hint="default"/>
          <w:color w:val="auto"/>
          <w:lang w:val="en-US" w:eastAsia="zh-CN"/>
        </w:rPr>
        <w:t>实现水泵联锁控制，在水池达到低液位时联锁启动进水加压泵，在水池高液位时联锁停止进水加压泵，实现水池水位自动控制。</w:t>
      </w:r>
    </w:p>
    <w:p>
      <w:pPr>
        <w:bidi w:val="0"/>
        <w:rPr>
          <w:rFonts w:hint="default"/>
          <w:color w:val="auto"/>
          <w:lang w:val="en-US" w:eastAsia="zh-CN"/>
        </w:rPr>
      </w:pPr>
      <w:r>
        <w:rPr>
          <w:rFonts w:hint="default"/>
          <w:color w:val="auto"/>
          <w:lang w:val="en-US" w:eastAsia="zh-CN"/>
        </w:rPr>
        <w:t>7</w:t>
      </w:r>
      <w:r>
        <w:rPr>
          <w:rFonts w:hint="eastAsia"/>
          <w:color w:val="auto"/>
          <w:lang w:val="en-US" w:eastAsia="zh-CN"/>
        </w:rPr>
        <w:t>）</w:t>
      </w:r>
      <w:r>
        <w:rPr>
          <w:rFonts w:hint="default"/>
          <w:color w:val="auto"/>
          <w:lang w:val="en-US" w:eastAsia="zh-CN"/>
        </w:rPr>
        <w:t>在磨机给水管道上安装流量计，检测现时的给水量，并根据磨机磨矿浓度的要求及配水水量的计算模型，对配水水量实现处理与计算，跟随矿量变化给水保持磨矿浓度的稳定。</w:t>
      </w:r>
    </w:p>
    <w:p>
      <w:pPr>
        <w:bidi w:val="0"/>
        <w:rPr>
          <w:rFonts w:hint="default"/>
          <w:color w:val="auto"/>
          <w:lang w:val="en-US" w:eastAsia="zh-CN"/>
        </w:rPr>
      </w:pPr>
      <w:r>
        <w:rPr>
          <w:rFonts w:hint="default"/>
          <w:color w:val="auto"/>
          <w:lang w:val="en-US" w:eastAsia="zh-CN"/>
        </w:rPr>
        <w:t>8</w:t>
      </w:r>
      <w:r>
        <w:rPr>
          <w:rFonts w:hint="eastAsia"/>
          <w:color w:val="auto"/>
          <w:lang w:val="en-US" w:eastAsia="zh-CN"/>
        </w:rPr>
        <w:t>）</w:t>
      </w:r>
      <w:r>
        <w:rPr>
          <w:rFonts w:hint="default"/>
          <w:color w:val="auto"/>
          <w:lang w:val="en-US" w:eastAsia="zh-CN"/>
        </w:rPr>
        <w:t>实现泵池液位控制，系统根据生产负荷大小以及泵池液位高低等生产状况，自动控制渣浆泵运行频率和泵池补加水流量。</w:t>
      </w:r>
    </w:p>
    <w:p>
      <w:pPr>
        <w:bidi w:val="0"/>
        <w:rPr>
          <w:rFonts w:hint="default"/>
          <w:color w:val="auto"/>
          <w:lang w:val="en-US" w:eastAsia="zh-CN"/>
        </w:rPr>
      </w:pPr>
      <w:r>
        <w:rPr>
          <w:rFonts w:hint="default"/>
          <w:color w:val="auto"/>
          <w:lang w:val="en-US" w:eastAsia="zh-CN"/>
        </w:rPr>
        <w:t>9</w:t>
      </w:r>
      <w:r>
        <w:rPr>
          <w:rFonts w:hint="eastAsia"/>
          <w:color w:val="auto"/>
          <w:lang w:val="en-US" w:eastAsia="zh-CN"/>
        </w:rPr>
        <w:t>）</w:t>
      </w:r>
      <w:r>
        <w:rPr>
          <w:rFonts w:hint="default"/>
          <w:color w:val="auto"/>
          <w:lang w:val="en-US" w:eastAsia="zh-CN"/>
        </w:rPr>
        <w:t>根据选厂的工艺设计要求及浓缩机设备配置，对浓缩机的底流排矿浓度进行检测控制，保证浓缩机底流浓度符合工艺的要求</w:t>
      </w:r>
      <w:r>
        <w:rPr>
          <w:rFonts w:hint="eastAsia"/>
          <w:color w:val="auto"/>
          <w:lang w:val="en-US" w:eastAsia="zh-CN"/>
        </w:rPr>
        <w:t>。</w:t>
      </w:r>
    </w:p>
    <w:p>
      <w:pPr>
        <w:bidi w:val="0"/>
        <w:rPr>
          <w:rFonts w:hint="eastAsia"/>
          <w:color w:val="auto"/>
          <w:lang w:val="en-US" w:eastAsia="zh-CN"/>
        </w:rPr>
      </w:pPr>
      <w:r>
        <w:rPr>
          <w:rFonts w:hint="default"/>
          <w:color w:val="auto"/>
          <w:lang w:val="en-US" w:eastAsia="zh-CN"/>
        </w:rPr>
        <w:t>10</w:t>
      </w:r>
      <w:r>
        <w:rPr>
          <w:rFonts w:hint="eastAsia"/>
          <w:color w:val="auto"/>
          <w:lang w:val="en-US" w:eastAsia="zh-CN"/>
        </w:rPr>
        <w:t>）</w:t>
      </w:r>
      <w:r>
        <w:rPr>
          <w:rFonts w:hint="default"/>
          <w:color w:val="auto"/>
          <w:lang w:val="en-US" w:eastAsia="zh-CN"/>
        </w:rPr>
        <w:t>选矿摇床智能巡检机器人。通过摇床智能巡检机器人实现了对一组多张摇床矿带的自动采图，图像识别算法实现了对矿带宽度</w:t>
      </w:r>
      <w:r>
        <w:rPr>
          <w:rFonts w:hint="eastAsia"/>
          <w:color w:val="auto"/>
          <w:lang w:val="en-US" w:eastAsia="zh-CN"/>
        </w:rPr>
        <w:t>、边界和颜色特征的数字化识别解析，并进一步完成自动调节接矿板至目标位置的功能，实现摇床设备的无人值守模式，达到提升选矿指标的目的。</w:t>
      </w:r>
    </w:p>
    <w:p>
      <w:pPr>
        <w:bidi w:val="0"/>
        <w:rPr>
          <w:rFonts w:hint="eastAsia"/>
          <w:color w:val="auto"/>
          <w:lang w:val="en-US" w:eastAsia="zh-CN"/>
        </w:rPr>
      </w:pPr>
      <w:r>
        <w:rPr>
          <w:rFonts w:hint="eastAsia"/>
          <w:color w:val="auto"/>
          <w:lang w:val="en-US" w:eastAsia="zh-CN"/>
        </w:rPr>
        <w:t>5. 仪表用电源</w:t>
      </w:r>
    </w:p>
    <w:p>
      <w:pPr>
        <w:bidi w:val="0"/>
        <w:rPr>
          <w:rFonts w:hint="default"/>
          <w:color w:val="auto"/>
          <w:lang w:val="en-US" w:eastAsia="zh-CN"/>
        </w:rPr>
      </w:pPr>
      <w:r>
        <w:rPr>
          <w:rFonts w:hint="default"/>
          <w:color w:val="auto"/>
          <w:lang w:val="en-US" w:eastAsia="zh-CN"/>
        </w:rPr>
        <w:t>集中控制室的UPS仪表用电来自电气的配电室独立配电回路UPS的输入/输出均为L、N/220VAC，用电量为3KW。上位机、打印机、通讯网络采用UPS供电。</w:t>
      </w:r>
    </w:p>
    <w:p>
      <w:pPr>
        <w:bidi w:val="0"/>
        <w:rPr>
          <w:rFonts w:hint="default"/>
          <w:color w:val="auto"/>
          <w:lang w:val="en-US" w:eastAsia="zh-CN"/>
        </w:rPr>
      </w:pPr>
      <w:r>
        <w:rPr>
          <w:rFonts w:hint="default"/>
          <w:color w:val="auto"/>
          <w:lang w:val="en-US" w:eastAsia="zh-CN"/>
        </w:rPr>
        <w:t>破碎现场机柜室的UPS仪表用电来自电气的配电室独立配电回路，UPS的输入/输出均为L1、L2/220VAC，用电量为1KW。PLCHHMI控制系统及其相关仪表、通讯网络采用UPS供电。</w:t>
      </w:r>
    </w:p>
    <w:p>
      <w:pPr>
        <w:bidi w:val="0"/>
        <w:rPr>
          <w:rFonts w:hint="default"/>
          <w:color w:val="auto"/>
          <w:lang w:val="en-US" w:eastAsia="zh-CN"/>
        </w:rPr>
      </w:pPr>
      <w:r>
        <w:rPr>
          <w:rFonts w:hint="default"/>
          <w:color w:val="auto"/>
          <w:lang w:val="en-US" w:eastAsia="zh-CN"/>
        </w:rPr>
        <w:t>磨选现场机柜室的UPS仪表用电来自电气的配电室独立配电回路，UPS的输入/输出均为L1、L2/220VAC，用电量均为1KW。PLC+HMI控制系统及其相关仪表、通讯网络采用UPS供电。10台电动开关阀的电源由电气专业提供,每台电动开关阀的电源为380V/3相/50Hz/无零线，功率小于1kw。</w:t>
      </w:r>
    </w:p>
    <w:p>
      <w:pPr>
        <w:pStyle w:val="3"/>
        <w:bidi w:val="0"/>
        <w:rPr>
          <w:rFonts w:hint="eastAsia"/>
          <w:color w:val="auto"/>
          <w:lang w:val="en-US" w:eastAsia="zh-CN"/>
        </w:rPr>
      </w:pPr>
      <w:bookmarkStart w:id="111" w:name="_Toc17418"/>
      <w:r>
        <w:rPr>
          <w:rFonts w:hint="eastAsia"/>
          <w:color w:val="auto"/>
          <w:lang w:val="en-US" w:eastAsia="zh-CN"/>
        </w:rPr>
        <w:t>2.9 组织机构与劳动定员</w:t>
      </w:r>
      <w:bookmarkEnd w:id="111"/>
    </w:p>
    <w:p>
      <w:pPr>
        <w:rPr>
          <w:rFonts w:hint="eastAsia"/>
          <w:color w:val="auto"/>
          <w:lang w:val="en-US" w:eastAsia="zh-CN"/>
        </w:rPr>
      </w:pPr>
      <w:r>
        <w:rPr>
          <w:rFonts w:hint="eastAsia"/>
          <w:color w:val="auto"/>
          <w:lang w:val="en-US" w:eastAsia="zh-CN"/>
        </w:rPr>
        <w:t>1. 生产能力及工作制度</w:t>
      </w:r>
    </w:p>
    <w:p>
      <w:pPr>
        <w:rPr>
          <w:rFonts w:hint="eastAsia"/>
          <w:color w:val="auto"/>
          <w:lang w:val="en-US" w:eastAsia="zh-CN"/>
        </w:rPr>
      </w:pPr>
      <w:r>
        <w:rPr>
          <w:rFonts w:hint="eastAsia"/>
          <w:color w:val="auto"/>
          <w:lang w:val="en-US" w:eastAsia="zh-CN"/>
        </w:rPr>
        <w:t>企业采用间断工作制，年工作日300d，选矿每天3班，每班8h。各工序设备运转时间见表2-17；各作业生产能力见表2-18。</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表2-17 各工序设备运转时间表</w:t>
      </w:r>
    </w:p>
    <w:tbl>
      <w:tblPr>
        <w:tblStyle w:val="34"/>
        <w:tblW w:w="497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80"/>
        <w:gridCol w:w="1100"/>
        <w:gridCol w:w="816"/>
        <w:gridCol w:w="1075"/>
        <w:gridCol w:w="1203"/>
        <w:gridCol w:w="1064"/>
        <w:gridCol w:w="1066"/>
        <w:gridCol w:w="11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874" w:type="pct"/>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工序名称</w:t>
            </w:r>
          </w:p>
        </w:tc>
        <w:tc>
          <w:tcPr>
            <w:tcW w:w="1059" w:type="pct"/>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工作制度</w:t>
            </w:r>
          </w:p>
        </w:tc>
        <w:tc>
          <w:tcPr>
            <w:tcW w:w="594" w:type="pct"/>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设备</w:t>
            </w:r>
            <w:r>
              <w:rPr>
                <w:rFonts w:hint="default" w:ascii="Times New Roman" w:hAnsi="Times New Roman" w:eastAsia="宋体" w:cs="Times New Roman"/>
                <w:snapToGrid w:val="0"/>
                <w:color w:val="auto"/>
                <w:spacing w:val="-2"/>
                <w:kern w:val="0"/>
                <w:sz w:val="21"/>
                <w:szCs w:val="21"/>
                <w:lang w:val="en-US" w:eastAsia="en-US" w:bidi="ar-SA"/>
              </w:rPr>
              <w:t>作业率</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5"/>
                <w:kern w:val="0"/>
                <w:sz w:val="21"/>
                <w:szCs w:val="21"/>
                <w:lang w:val="en-US" w:eastAsia="en-US" w:bidi="ar-SA"/>
              </w:rPr>
              <w:t>（%）</w:t>
            </w:r>
          </w:p>
        </w:tc>
        <w:tc>
          <w:tcPr>
            <w:tcW w:w="665" w:type="pct"/>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年设备</w:t>
            </w:r>
            <w:r>
              <w:rPr>
                <w:rFonts w:hint="default" w:ascii="Times New Roman" w:hAnsi="Times New Roman" w:eastAsia="宋体" w:cs="Times New Roman"/>
                <w:snapToGrid w:val="0"/>
                <w:color w:val="auto"/>
                <w:spacing w:val="20"/>
                <w:kern w:val="0"/>
                <w:sz w:val="21"/>
                <w:szCs w:val="21"/>
                <w:lang w:val="en-US" w:eastAsia="en-US" w:bidi="ar-SA"/>
              </w:rPr>
              <w:t>运转</w:t>
            </w:r>
            <w:r>
              <w:rPr>
                <w:rFonts w:hint="default" w:ascii="Times New Roman" w:hAnsi="Times New Roman" w:eastAsia="宋体" w:cs="Times New Roman"/>
                <w:snapToGrid w:val="0"/>
                <w:color w:val="auto"/>
                <w:spacing w:val="-5"/>
                <w:kern w:val="0"/>
                <w:sz w:val="21"/>
                <w:szCs w:val="21"/>
                <w:lang w:val="en-US" w:eastAsia="en-US" w:bidi="ar-SA"/>
              </w:rPr>
              <w:t>（h）</w:t>
            </w:r>
          </w:p>
        </w:tc>
        <w:tc>
          <w:tcPr>
            <w:tcW w:w="1805" w:type="pct"/>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作业率计算相当于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874"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Arial" w:cs="Times New Roman"/>
                <w:snapToGrid w:val="0"/>
                <w:color w:val="auto"/>
                <w:kern w:val="0"/>
                <w:sz w:val="21"/>
                <w:szCs w:val="21"/>
                <w:lang w:eastAsia="en-US"/>
              </w:rPr>
            </w:pPr>
          </w:p>
        </w:tc>
        <w:tc>
          <w:tcPr>
            <w:tcW w:w="60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性质</w:t>
            </w:r>
          </w:p>
        </w:tc>
        <w:tc>
          <w:tcPr>
            <w:tcW w:w="45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年工作</w:t>
            </w:r>
            <w:r>
              <w:rPr>
                <w:rFonts w:hint="default" w:ascii="Times New Roman" w:hAnsi="Times New Roman" w:eastAsia="宋体" w:cs="Times New Roman"/>
                <w:snapToGrid w:val="0"/>
                <w:color w:val="auto"/>
                <w:spacing w:val="-5"/>
                <w:kern w:val="0"/>
                <w:sz w:val="21"/>
                <w:szCs w:val="21"/>
                <w:lang w:val="en-US" w:eastAsia="en-US" w:bidi="ar-SA"/>
              </w:rPr>
              <w:t>（d）</w:t>
            </w:r>
          </w:p>
        </w:tc>
        <w:tc>
          <w:tcPr>
            <w:tcW w:w="594"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Arial" w:cs="Times New Roman"/>
                <w:snapToGrid w:val="0"/>
                <w:color w:val="auto"/>
                <w:kern w:val="0"/>
                <w:sz w:val="21"/>
                <w:szCs w:val="21"/>
                <w:lang w:eastAsia="en-US"/>
              </w:rPr>
            </w:pPr>
          </w:p>
        </w:tc>
        <w:tc>
          <w:tcPr>
            <w:tcW w:w="665"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Arial" w:cs="Times New Roman"/>
                <w:snapToGrid w:val="0"/>
                <w:color w:val="auto"/>
                <w:kern w:val="0"/>
                <w:sz w:val="21"/>
                <w:szCs w:val="21"/>
                <w:lang w:eastAsia="en-US"/>
              </w:rPr>
            </w:pPr>
          </w:p>
        </w:tc>
        <w:tc>
          <w:tcPr>
            <w:tcW w:w="58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年设备</w:t>
            </w:r>
            <w:r>
              <w:rPr>
                <w:rFonts w:hint="default" w:ascii="Times New Roman" w:hAnsi="Times New Roman" w:eastAsia="宋体" w:cs="Times New Roman"/>
                <w:snapToGrid w:val="0"/>
                <w:color w:val="auto"/>
                <w:spacing w:val="-4"/>
                <w:kern w:val="0"/>
                <w:sz w:val="21"/>
                <w:szCs w:val="21"/>
                <w:lang w:val="en-US" w:eastAsia="en-US" w:bidi="ar-SA"/>
              </w:rPr>
              <w:t>运转（d）</w:t>
            </w:r>
          </w:p>
        </w:tc>
        <w:tc>
          <w:tcPr>
            <w:tcW w:w="589"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4"/>
                <w:kern w:val="0"/>
                <w:sz w:val="21"/>
                <w:szCs w:val="21"/>
                <w:lang w:val="en-US" w:eastAsia="en-US" w:bidi="ar-SA"/>
              </w:rPr>
              <w:t>日设备</w:t>
            </w:r>
            <w:r>
              <w:rPr>
                <w:rFonts w:hint="default" w:ascii="Times New Roman" w:hAnsi="Times New Roman" w:eastAsia="宋体" w:cs="Times New Roman"/>
                <w:snapToGrid w:val="0"/>
                <w:color w:val="auto"/>
                <w:spacing w:val="-4"/>
                <w:kern w:val="0"/>
                <w:sz w:val="21"/>
                <w:szCs w:val="21"/>
                <w:lang w:val="en-US" w:eastAsia="en-US" w:bidi="ar-SA"/>
              </w:rPr>
              <w:t>运转（班）</w:t>
            </w:r>
          </w:p>
        </w:tc>
        <w:tc>
          <w:tcPr>
            <w:tcW w:w="62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班设备</w:t>
            </w:r>
            <w:r>
              <w:rPr>
                <w:rFonts w:hint="default" w:ascii="Times New Roman" w:hAnsi="Times New Roman" w:eastAsia="宋体" w:cs="Times New Roman"/>
                <w:snapToGrid w:val="0"/>
                <w:color w:val="auto"/>
                <w:spacing w:val="-4"/>
                <w:kern w:val="0"/>
                <w:sz w:val="21"/>
                <w:szCs w:val="21"/>
                <w:lang w:val="en-US" w:eastAsia="en-US" w:bidi="ar-SA"/>
              </w:rPr>
              <w:t>运转（h）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jc w:val="center"/>
        </w:trPr>
        <w:tc>
          <w:tcPr>
            <w:tcW w:w="87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破碎筛分</w:t>
            </w:r>
          </w:p>
        </w:tc>
        <w:tc>
          <w:tcPr>
            <w:tcW w:w="60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连续</w:t>
            </w:r>
          </w:p>
        </w:tc>
        <w:tc>
          <w:tcPr>
            <w:tcW w:w="45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300</w:t>
            </w:r>
          </w:p>
        </w:tc>
        <w:tc>
          <w:tcPr>
            <w:tcW w:w="59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61.64</w:t>
            </w:r>
          </w:p>
        </w:tc>
        <w:tc>
          <w:tcPr>
            <w:tcW w:w="665"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5400</w:t>
            </w:r>
          </w:p>
        </w:tc>
        <w:tc>
          <w:tcPr>
            <w:tcW w:w="58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300</w:t>
            </w:r>
          </w:p>
        </w:tc>
        <w:tc>
          <w:tcPr>
            <w:tcW w:w="589"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62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87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主厂房</w:t>
            </w:r>
          </w:p>
        </w:tc>
        <w:tc>
          <w:tcPr>
            <w:tcW w:w="60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连续/间断</w:t>
            </w:r>
          </w:p>
        </w:tc>
        <w:tc>
          <w:tcPr>
            <w:tcW w:w="45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300</w:t>
            </w:r>
          </w:p>
        </w:tc>
        <w:tc>
          <w:tcPr>
            <w:tcW w:w="59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82.19</w:t>
            </w:r>
          </w:p>
        </w:tc>
        <w:tc>
          <w:tcPr>
            <w:tcW w:w="665"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7200</w:t>
            </w:r>
          </w:p>
        </w:tc>
        <w:tc>
          <w:tcPr>
            <w:tcW w:w="58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300</w:t>
            </w:r>
          </w:p>
        </w:tc>
        <w:tc>
          <w:tcPr>
            <w:tcW w:w="589"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3或1</w:t>
            </w:r>
          </w:p>
        </w:tc>
        <w:tc>
          <w:tcPr>
            <w:tcW w:w="62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jc w:val="center"/>
        </w:trPr>
        <w:tc>
          <w:tcPr>
            <w:tcW w:w="87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尾矿浓缩</w:t>
            </w:r>
            <w:r>
              <w:rPr>
                <w:rFonts w:hint="default" w:ascii="Times New Roman" w:hAnsi="Times New Roman" w:eastAsia="宋体" w:cs="Times New Roman"/>
                <w:snapToGrid w:val="0"/>
                <w:color w:val="auto"/>
                <w:spacing w:val="-1"/>
                <w:kern w:val="0"/>
                <w:sz w:val="21"/>
                <w:szCs w:val="21"/>
                <w:lang w:val="en-US" w:eastAsia="en-US" w:bidi="ar-SA"/>
              </w:rPr>
              <w:t>及选砂</w:t>
            </w:r>
          </w:p>
        </w:tc>
        <w:tc>
          <w:tcPr>
            <w:tcW w:w="60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连续</w:t>
            </w:r>
          </w:p>
        </w:tc>
        <w:tc>
          <w:tcPr>
            <w:tcW w:w="45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300</w:t>
            </w:r>
          </w:p>
        </w:tc>
        <w:tc>
          <w:tcPr>
            <w:tcW w:w="59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82.19</w:t>
            </w:r>
          </w:p>
        </w:tc>
        <w:tc>
          <w:tcPr>
            <w:tcW w:w="665"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7200</w:t>
            </w:r>
          </w:p>
        </w:tc>
        <w:tc>
          <w:tcPr>
            <w:tcW w:w="58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300</w:t>
            </w:r>
          </w:p>
        </w:tc>
        <w:tc>
          <w:tcPr>
            <w:tcW w:w="589"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62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8</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表2-18 各作业生产能力表</w:t>
      </w:r>
    </w:p>
    <w:tbl>
      <w:tblPr>
        <w:tblStyle w:val="34"/>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495"/>
        <w:gridCol w:w="1859"/>
        <w:gridCol w:w="1861"/>
        <w:gridCol w:w="18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1925" w:type="pct"/>
            <w:tcBorders>
              <w:tl2br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生产能力</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工序名称</w:t>
            </w:r>
          </w:p>
        </w:tc>
        <w:tc>
          <w:tcPr>
            <w:tcW w:w="102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年生产能力</w:t>
            </w:r>
            <w:r>
              <w:rPr>
                <w:rFonts w:hint="default" w:ascii="Times New Roman" w:hAnsi="Times New Roman" w:eastAsia="宋体" w:cs="Times New Roman"/>
                <w:snapToGrid w:val="0"/>
                <w:color w:val="auto"/>
                <w:spacing w:val="-3"/>
                <w:kern w:val="0"/>
                <w:sz w:val="21"/>
                <w:szCs w:val="21"/>
                <w:lang w:val="en-US" w:eastAsia="en-US" w:bidi="ar-SA"/>
              </w:rPr>
              <w:t>（t/a）</w:t>
            </w:r>
          </w:p>
        </w:tc>
        <w:tc>
          <w:tcPr>
            <w:tcW w:w="1025"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9"/>
                <w:kern w:val="0"/>
                <w:sz w:val="21"/>
                <w:szCs w:val="21"/>
                <w:lang w:val="en-US" w:eastAsia="en-US" w:bidi="ar-SA"/>
              </w:rPr>
              <w:t>日生产能力</w:t>
            </w:r>
            <w:r>
              <w:rPr>
                <w:rFonts w:hint="default" w:ascii="Times New Roman" w:hAnsi="Times New Roman" w:eastAsia="宋体" w:cs="Times New Roman"/>
                <w:snapToGrid w:val="0"/>
                <w:color w:val="auto"/>
                <w:spacing w:val="-3"/>
                <w:kern w:val="0"/>
                <w:sz w:val="21"/>
                <w:szCs w:val="21"/>
                <w:lang w:val="en-US" w:eastAsia="en-US" w:bidi="ar-SA"/>
              </w:rPr>
              <w:t>（t/d）</w:t>
            </w:r>
          </w:p>
        </w:tc>
        <w:tc>
          <w:tcPr>
            <w:tcW w:w="102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小时生产</w:t>
            </w:r>
            <w:r>
              <w:rPr>
                <w:rFonts w:hint="default" w:ascii="Times New Roman" w:hAnsi="Times New Roman" w:eastAsia="宋体" w:cs="Times New Roman"/>
                <w:snapToGrid w:val="0"/>
                <w:color w:val="auto"/>
                <w:spacing w:val="-2"/>
                <w:kern w:val="0"/>
                <w:sz w:val="21"/>
                <w:szCs w:val="21"/>
                <w:lang w:val="en-US" w:eastAsia="en-US" w:bidi="ar-SA"/>
              </w:rPr>
              <w:t>能力（t/h）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925"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破碎筛分</w:t>
            </w:r>
          </w:p>
        </w:tc>
        <w:tc>
          <w:tcPr>
            <w:tcW w:w="102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300000</w:t>
            </w:r>
          </w:p>
        </w:tc>
        <w:tc>
          <w:tcPr>
            <w:tcW w:w="1025"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1000.00</w:t>
            </w:r>
          </w:p>
        </w:tc>
        <w:tc>
          <w:tcPr>
            <w:tcW w:w="102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55.56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1925"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主厂房重选</w:t>
            </w:r>
          </w:p>
        </w:tc>
        <w:tc>
          <w:tcPr>
            <w:tcW w:w="102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154512</w:t>
            </w:r>
          </w:p>
        </w:tc>
        <w:tc>
          <w:tcPr>
            <w:tcW w:w="1025"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515.04</w:t>
            </w:r>
          </w:p>
        </w:tc>
        <w:tc>
          <w:tcPr>
            <w:tcW w:w="102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21.46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925"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主厂房精选</w:t>
            </w:r>
          </w:p>
        </w:tc>
        <w:tc>
          <w:tcPr>
            <w:tcW w:w="102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7416</w:t>
            </w:r>
          </w:p>
        </w:tc>
        <w:tc>
          <w:tcPr>
            <w:tcW w:w="1025"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24.72</w:t>
            </w:r>
          </w:p>
        </w:tc>
        <w:tc>
          <w:tcPr>
            <w:tcW w:w="102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1925"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cs="Times New Roman"/>
                <w:snapToGrid w:val="0"/>
                <w:color w:val="auto"/>
                <w:spacing w:val="-2"/>
                <w:kern w:val="0"/>
                <w:sz w:val="21"/>
                <w:szCs w:val="21"/>
                <w:lang w:val="en-US" w:eastAsia="zh-CN" w:bidi="ar-SA"/>
              </w:rPr>
              <w:t>细泥</w:t>
            </w:r>
            <w:r>
              <w:rPr>
                <w:rFonts w:hint="default" w:ascii="Times New Roman" w:hAnsi="Times New Roman" w:eastAsia="宋体" w:cs="Times New Roman"/>
                <w:snapToGrid w:val="0"/>
                <w:color w:val="auto"/>
                <w:spacing w:val="-2"/>
                <w:kern w:val="0"/>
                <w:sz w:val="21"/>
                <w:szCs w:val="21"/>
                <w:lang w:val="en-US" w:eastAsia="en-US" w:bidi="ar-SA"/>
              </w:rPr>
              <w:t>浓缩</w:t>
            </w:r>
          </w:p>
        </w:tc>
        <w:tc>
          <w:tcPr>
            <w:tcW w:w="102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73160</w:t>
            </w:r>
          </w:p>
        </w:tc>
        <w:tc>
          <w:tcPr>
            <w:tcW w:w="1025"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243.84</w:t>
            </w:r>
          </w:p>
        </w:tc>
        <w:tc>
          <w:tcPr>
            <w:tcW w:w="102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10.16</w:t>
            </w:r>
          </w:p>
        </w:tc>
      </w:tr>
    </w:tbl>
    <w:p>
      <w:pPr>
        <w:bidi w:val="0"/>
        <w:rPr>
          <w:rFonts w:hint="eastAsia"/>
          <w:color w:val="auto"/>
          <w:lang w:val="en-US" w:eastAsia="zh-CN"/>
        </w:rPr>
      </w:pPr>
      <w:r>
        <w:rPr>
          <w:rFonts w:hint="eastAsia"/>
          <w:color w:val="auto"/>
          <w:lang w:val="en-US" w:eastAsia="zh-CN"/>
        </w:rPr>
        <w:t>2. 劳动定员</w:t>
      </w:r>
    </w:p>
    <w:p>
      <w:pPr>
        <w:bidi w:val="0"/>
        <w:rPr>
          <w:rFonts w:hint="default"/>
          <w:color w:val="auto"/>
          <w:lang w:val="en-US" w:eastAsia="zh-CN"/>
        </w:rPr>
      </w:pPr>
      <w:r>
        <w:rPr>
          <w:rFonts w:hint="default"/>
          <w:color w:val="auto"/>
          <w:lang w:val="en-US" w:eastAsia="zh-CN"/>
        </w:rPr>
        <w:t>根据企业组织机构的设置，以及工艺流程设计和设备配置，本项目定员为</w:t>
      </w:r>
      <w:r>
        <w:rPr>
          <w:rFonts w:hint="eastAsia"/>
          <w:color w:val="auto"/>
          <w:lang w:val="en-US" w:eastAsia="zh-CN"/>
        </w:rPr>
        <w:t>115</w:t>
      </w:r>
      <w:r>
        <w:rPr>
          <w:rFonts w:hint="default"/>
          <w:color w:val="auto"/>
          <w:lang w:val="en-US" w:eastAsia="zh-CN"/>
        </w:rPr>
        <w:t>人（生产工段</w:t>
      </w:r>
      <w:r>
        <w:rPr>
          <w:rFonts w:hint="eastAsia"/>
          <w:color w:val="auto"/>
          <w:lang w:val="en-US" w:eastAsia="zh-CN"/>
        </w:rPr>
        <w:t>105</w:t>
      </w:r>
      <w:r>
        <w:rPr>
          <w:rFonts w:hint="default"/>
          <w:color w:val="auto"/>
          <w:lang w:val="en-US" w:eastAsia="zh-CN"/>
        </w:rPr>
        <w:t>人，管理及服务人员</w:t>
      </w:r>
      <w:r>
        <w:rPr>
          <w:rFonts w:hint="eastAsia"/>
          <w:color w:val="auto"/>
          <w:lang w:val="en-US" w:eastAsia="zh-CN"/>
        </w:rPr>
        <w:t>10</w:t>
      </w:r>
      <w:r>
        <w:rPr>
          <w:rFonts w:hint="default"/>
          <w:color w:val="auto"/>
          <w:lang w:val="en-US" w:eastAsia="zh-CN"/>
        </w:rPr>
        <w:t>人）。定员具体见表</w:t>
      </w:r>
      <w:r>
        <w:rPr>
          <w:rFonts w:hint="eastAsia"/>
          <w:color w:val="auto"/>
          <w:lang w:val="en-US" w:eastAsia="zh-CN"/>
        </w:rPr>
        <w:t>2-19</w:t>
      </w:r>
      <w:r>
        <w:rPr>
          <w:rFonts w:hint="default"/>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color w:val="auto"/>
          <w:lang w:val="en-US" w:eastAsia="zh-CN"/>
        </w:rPr>
      </w:pPr>
      <w:r>
        <w:rPr>
          <w:rFonts w:hint="eastAsia" w:ascii="Times New Roman" w:eastAsia="宋体"/>
          <w:color w:val="auto"/>
          <w:lang w:val="en-US" w:eastAsia="zh-CN"/>
        </w:rPr>
        <w:t>表2-</w:t>
      </w:r>
      <w:r>
        <w:rPr>
          <w:rFonts w:hint="eastAsia"/>
          <w:color w:val="auto"/>
          <w:lang w:val="en-US" w:eastAsia="zh-CN"/>
        </w:rPr>
        <w:t>19</w:t>
      </w:r>
      <w:r>
        <w:rPr>
          <w:rFonts w:hint="eastAsia" w:ascii="Times New Roman" w:eastAsia="宋体"/>
          <w:color w:val="auto"/>
          <w:lang w:val="en-US" w:eastAsia="zh-CN"/>
        </w:rPr>
        <w:t xml:space="preserve"> 劳动定员表</w:t>
      </w:r>
    </w:p>
    <w:tbl>
      <w:tblPr>
        <w:tblStyle w:val="34"/>
        <w:tblW w:w="853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7"/>
        <w:gridCol w:w="3147"/>
        <w:gridCol w:w="633"/>
        <w:gridCol w:w="635"/>
        <w:gridCol w:w="633"/>
        <w:gridCol w:w="636"/>
        <w:gridCol w:w="633"/>
        <w:gridCol w:w="13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序号</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岗位及工种说明</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宋体" w:hAnsi="宋体" w:eastAsia="宋体" w:cs="宋体"/>
                <w:snapToGrid w:val="0"/>
                <w:color w:val="auto"/>
                <w:spacing w:val="1"/>
                <w:kern w:val="0"/>
                <w:sz w:val="21"/>
                <w:szCs w:val="21"/>
                <w:lang w:val="en-US" w:eastAsia="en-US" w:bidi="ar-SA"/>
              </w:rPr>
              <w:t>Ⅰ</w:t>
            </w:r>
            <w:r>
              <w:rPr>
                <w:rFonts w:hint="eastAsia" w:ascii="宋体" w:hAnsi="宋体" w:eastAsia="宋体" w:cs="宋体"/>
                <w:snapToGrid w:val="0"/>
                <w:color w:val="auto"/>
                <w:spacing w:val="-43"/>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班</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宋体" w:hAnsi="宋体" w:eastAsia="宋体" w:cs="宋体"/>
                <w:snapToGrid w:val="0"/>
                <w:color w:val="auto"/>
                <w:spacing w:val="1"/>
                <w:kern w:val="0"/>
                <w:sz w:val="21"/>
                <w:szCs w:val="21"/>
                <w:lang w:val="en-US" w:eastAsia="en-US" w:bidi="ar-SA"/>
              </w:rPr>
              <w:t>Ⅱ</w:t>
            </w:r>
            <w:r>
              <w:rPr>
                <w:rFonts w:hint="default" w:ascii="Times New Roman" w:hAnsi="Times New Roman" w:eastAsia="宋体" w:cs="Times New Roman"/>
                <w:snapToGrid w:val="0"/>
                <w:color w:val="auto"/>
                <w:spacing w:val="-43"/>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班</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宋体" w:hAnsi="宋体" w:eastAsia="宋体" w:cs="宋体"/>
                <w:snapToGrid w:val="0"/>
                <w:color w:val="auto"/>
                <w:spacing w:val="1"/>
                <w:kern w:val="0"/>
                <w:sz w:val="21"/>
                <w:szCs w:val="21"/>
                <w:lang w:val="en-US" w:eastAsia="en-US" w:bidi="ar-SA"/>
              </w:rPr>
              <w:t>Ⅲ</w:t>
            </w:r>
            <w:r>
              <w:rPr>
                <w:rFonts w:hint="default" w:ascii="Times New Roman" w:hAnsi="Times New Roman" w:eastAsia="宋体" w:cs="Times New Roman"/>
                <w:snapToGrid w:val="0"/>
                <w:color w:val="auto"/>
                <w:spacing w:val="-43"/>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班</w:t>
            </w: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合</w:t>
            </w:r>
            <w:r>
              <w:rPr>
                <w:rFonts w:hint="default" w:ascii="Times New Roman" w:hAnsi="Times New Roman" w:eastAsia="宋体" w:cs="Times New Roman"/>
                <w:snapToGrid w:val="0"/>
                <w:color w:val="auto"/>
                <w:spacing w:val="-43"/>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计</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补</w:t>
            </w:r>
            <w:r>
              <w:rPr>
                <w:rFonts w:hint="default" w:ascii="Times New Roman" w:hAnsi="Times New Roman" w:eastAsia="宋体" w:cs="Times New Roman"/>
                <w:snapToGrid w:val="0"/>
                <w:color w:val="auto"/>
                <w:spacing w:val="-43"/>
                <w:kern w:val="0"/>
                <w:sz w:val="21"/>
                <w:szCs w:val="21"/>
                <w:lang w:val="en-US" w:eastAsia="en-US" w:bidi="ar-SA"/>
              </w:rPr>
              <w:t xml:space="preserve"> </w:t>
            </w:r>
            <w:r>
              <w:rPr>
                <w:rFonts w:hint="default" w:ascii="Times New Roman" w:hAnsi="Times New Roman" w:eastAsia="宋体" w:cs="Times New Roman"/>
                <w:snapToGrid w:val="0"/>
                <w:color w:val="auto"/>
                <w:spacing w:val="1"/>
                <w:kern w:val="0"/>
                <w:sz w:val="21"/>
                <w:szCs w:val="21"/>
                <w:lang w:val="en-US" w:eastAsia="en-US" w:bidi="ar-SA"/>
              </w:rPr>
              <w:t>缺</w:t>
            </w: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共计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选矿及给排水部分</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position w:val="-4"/>
                <w:sz w:val="21"/>
                <w:szCs w:val="21"/>
                <w:lang w:val="en-US" w:eastAsia="en-US" w:bidi="ar-SA"/>
              </w:rPr>
              <w:t>一</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岗位工</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粗破碎机工</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筛洗工</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智能预选工</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中细碎工</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2</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2</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2</w:t>
            </w: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6</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2</w:t>
            </w: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5</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筛分工</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6</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主厂房给料及筛分工</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7</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磨矿机工</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8</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跳汰选矿工</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9</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摇床选矿工</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7</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7</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7</w:t>
            </w: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21</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7</w:t>
            </w: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10</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离心机选矿工</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11</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精选磨矿及浮选工</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3</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3</w:t>
            </w: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12</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配药工</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13</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浓缩机、砂泵工</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14</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过滤烘干工</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2</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2</w:t>
            </w: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15</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精矿铲运打包工</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16</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选砂车间工</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17</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取样、制样工</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3</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18</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值班电，钳，管工</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2</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2</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2</w:t>
            </w: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6</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19</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库工</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20</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合计</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32</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22</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21</w:t>
            </w: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75</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25</w:t>
            </w: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二</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尾矿及给排水</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尾矿库巡检及维护</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尾矿工</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水源地及尾矿库回水泵房</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合计</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0</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5</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三</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选厂管理</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6"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技术管理人员</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安全</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机电</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值班管理</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5</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小计</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6</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10</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四</w:t>
            </w:r>
          </w:p>
        </w:tc>
        <w:tc>
          <w:tcPr>
            <w:tcW w:w="31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选矿部分</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42</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24</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24</w:t>
            </w:r>
          </w:p>
        </w:tc>
        <w:tc>
          <w:tcPr>
            <w:tcW w:w="63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90</w:t>
            </w:r>
          </w:p>
        </w:tc>
        <w:tc>
          <w:tcPr>
            <w:tcW w:w="63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25</w:t>
            </w:r>
          </w:p>
        </w:tc>
        <w:tc>
          <w:tcPr>
            <w:tcW w:w="13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115</w:t>
            </w:r>
          </w:p>
        </w:tc>
      </w:tr>
    </w:tbl>
    <w:p>
      <w:pPr>
        <w:pStyle w:val="3"/>
        <w:bidi w:val="0"/>
        <w:rPr>
          <w:rFonts w:hint="default"/>
          <w:color w:val="auto"/>
          <w:lang w:val="en-US" w:eastAsia="zh-CN"/>
        </w:rPr>
      </w:pPr>
      <w:bookmarkStart w:id="112" w:name="_Toc2113"/>
      <w:r>
        <w:rPr>
          <w:rFonts w:hint="eastAsia"/>
          <w:color w:val="auto"/>
          <w:lang w:val="en-US" w:eastAsia="zh-CN"/>
        </w:rPr>
        <w:t>2.10 项目投资用途</w:t>
      </w:r>
      <w:bookmarkEnd w:id="112"/>
    </w:p>
    <w:p>
      <w:pPr>
        <w:bidi w:val="0"/>
        <w:rPr>
          <w:rFonts w:hint="default"/>
          <w:color w:val="auto"/>
          <w:lang w:val="en-US" w:eastAsia="zh-CN"/>
        </w:rPr>
        <w:sectPr>
          <w:headerReference r:id="rId18" w:type="default"/>
          <w:footerReference r:id="rId19" w:type="default"/>
          <w:pgSz w:w="11906" w:h="16839"/>
          <w:pgMar w:top="1417" w:right="1417" w:bottom="1417" w:left="1417" w:header="850" w:footer="992" w:gutter="0"/>
          <w:pgNumType w:fmt="decimal" w:start="42"/>
          <w:cols w:space="425" w:num="1"/>
          <w:rtlGutter w:val="0"/>
          <w:docGrid w:linePitch="312" w:charSpace="0"/>
        </w:sectPr>
      </w:pPr>
      <w:r>
        <w:rPr>
          <w:rFonts w:hint="default"/>
          <w:color w:val="auto"/>
          <w:lang w:val="en-US" w:eastAsia="zh-CN"/>
        </w:rPr>
        <w:t>项目投资用途见表</w:t>
      </w:r>
      <w:r>
        <w:rPr>
          <w:rFonts w:hint="eastAsia" w:ascii="Times New Roman" w:eastAsia="宋体"/>
          <w:color w:val="auto"/>
          <w:lang w:val="en-US" w:eastAsia="zh-CN"/>
        </w:rPr>
        <w:t>2-</w:t>
      </w:r>
      <w:r>
        <w:rPr>
          <w:rFonts w:hint="eastAsia" w:eastAsia="宋体"/>
          <w:color w:val="auto"/>
          <w:lang w:val="en-US" w:eastAsia="zh-CN"/>
        </w:rPr>
        <w:t>20</w:t>
      </w:r>
      <w:r>
        <w:rPr>
          <w:rFonts w:hint="default"/>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color w:val="auto"/>
          <w:lang w:val="en-US" w:eastAsia="zh-CN"/>
        </w:rPr>
      </w:pPr>
      <w:r>
        <w:rPr>
          <w:rFonts w:hint="default"/>
          <w:color w:val="auto"/>
          <w:lang w:val="en-US" w:eastAsia="zh-CN"/>
        </w:rPr>
        <w:t>表</w:t>
      </w:r>
      <w:r>
        <w:rPr>
          <w:rFonts w:hint="eastAsia" w:ascii="Times New Roman" w:eastAsia="宋体"/>
          <w:color w:val="auto"/>
          <w:lang w:val="en-US" w:eastAsia="zh-CN"/>
        </w:rPr>
        <w:t>2-</w:t>
      </w:r>
      <w:r>
        <w:rPr>
          <w:rFonts w:hint="eastAsia"/>
          <w:color w:val="auto"/>
          <w:lang w:val="en-US" w:eastAsia="zh-CN"/>
        </w:rPr>
        <w:t>20</w:t>
      </w:r>
      <w:r>
        <w:rPr>
          <w:rFonts w:hint="eastAsia" w:ascii="Times New Roman" w:eastAsia="宋体"/>
          <w:color w:val="auto"/>
          <w:lang w:val="en-US" w:eastAsia="zh-CN"/>
        </w:rPr>
        <w:t xml:space="preserve"> 投资估算表</w:t>
      </w:r>
    </w:p>
    <w:tbl>
      <w:tblPr>
        <w:tblStyle w:val="34"/>
        <w:tblW w:w="1417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3"/>
        <w:gridCol w:w="4230"/>
        <w:gridCol w:w="1439"/>
        <w:gridCol w:w="1440"/>
        <w:gridCol w:w="1276"/>
        <w:gridCol w:w="1440"/>
        <w:gridCol w:w="1785"/>
        <w:gridCol w:w="15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1053"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序号</w:t>
            </w:r>
          </w:p>
        </w:tc>
        <w:tc>
          <w:tcPr>
            <w:tcW w:w="4230"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工程或费用名称</w:t>
            </w:r>
          </w:p>
        </w:tc>
        <w:tc>
          <w:tcPr>
            <w:tcW w:w="7380" w:type="dxa"/>
            <w:gridSpan w:val="5"/>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0"/>
                <w:kern w:val="0"/>
                <w:sz w:val="21"/>
                <w:szCs w:val="21"/>
                <w:lang w:val="en-US" w:eastAsia="en-US" w:bidi="ar-SA"/>
              </w:rPr>
              <w:t>费</w:t>
            </w:r>
            <w:r>
              <w:rPr>
                <w:rFonts w:hint="default" w:ascii="Times New Roman" w:hAnsi="Times New Roman" w:eastAsia="宋体" w:cs="Times New Roman"/>
                <w:snapToGrid w:val="0"/>
                <w:color w:val="auto"/>
                <w:spacing w:val="12"/>
                <w:kern w:val="0"/>
                <w:sz w:val="21"/>
                <w:szCs w:val="21"/>
                <w:lang w:val="en-US" w:eastAsia="en-US" w:bidi="ar-SA"/>
              </w:rPr>
              <w:t xml:space="preserve"> </w:t>
            </w:r>
            <w:r>
              <w:rPr>
                <w:rFonts w:hint="default" w:ascii="Times New Roman" w:hAnsi="Times New Roman" w:eastAsia="宋体" w:cs="Times New Roman"/>
                <w:snapToGrid w:val="0"/>
                <w:color w:val="auto"/>
                <w:spacing w:val="-10"/>
                <w:kern w:val="0"/>
                <w:sz w:val="21"/>
                <w:szCs w:val="21"/>
                <w:lang w:val="en-US" w:eastAsia="en-US" w:bidi="ar-SA"/>
              </w:rPr>
              <w:t>用</w:t>
            </w:r>
            <w:r>
              <w:rPr>
                <w:rFonts w:hint="default" w:ascii="Times New Roman" w:hAnsi="Times New Roman" w:eastAsia="宋体" w:cs="Times New Roman"/>
                <w:snapToGrid w:val="0"/>
                <w:color w:val="auto"/>
                <w:spacing w:val="9"/>
                <w:kern w:val="0"/>
                <w:sz w:val="21"/>
                <w:szCs w:val="21"/>
                <w:lang w:val="en-US" w:eastAsia="en-US" w:bidi="ar-SA"/>
              </w:rPr>
              <w:t xml:space="preserve"> </w:t>
            </w:r>
            <w:r>
              <w:rPr>
                <w:rFonts w:hint="default" w:ascii="Times New Roman" w:hAnsi="Times New Roman" w:eastAsia="宋体" w:cs="Times New Roman"/>
                <w:snapToGrid w:val="0"/>
                <w:color w:val="auto"/>
                <w:spacing w:val="-10"/>
                <w:kern w:val="0"/>
                <w:sz w:val="21"/>
                <w:szCs w:val="21"/>
                <w:lang w:val="en-US" w:eastAsia="en-US" w:bidi="ar-SA"/>
              </w:rPr>
              <w:t>名</w:t>
            </w:r>
            <w:r>
              <w:rPr>
                <w:rFonts w:hint="default" w:ascii="Times New Roman" w:hAnsi="Times New Roman" w:eastAsia="宋体" w:cs="Times New Roman"/>
                <w:snapToGrid w:val="0"/>
                <w:color w:val="auto"/>
                <w:spacing w:val="6"/>
                <w:kern w:val="0"/>
                <w:sz w:val="21"/>
                <w:szCs w:val="21"/>
                <w:lang w:val="en-US" w:eastAsia="en-US" w:bidi="ar-SA"/>
              </w:rPr>
              <w:t xml:space="preserve"> </w:t>
            </w:r>
            <w:r>
              <w:rPr>
                <w:rFonts w:hint="default" w:ascii="Times New Roman" w:hAnsi="Times New Roman" w:eastAsia="宋体" w:cs="Times New Roman"/>
                <w:snapToGrid w:val="0"/>
                <w:color w:val="auto"/>
                <w:spacing w:val="-10"/>
                <w:kern w:val="0"/>
                <w:sz w:val="21"/>
                <w:szCs w:val="21"/>
                <w:lang w:val="en-US" w:eastAsia="en-US" w:bidi="ar-SA"/>
              </w:rPr>
              <w:t>称</w:t>
            </w:r>
          </w:p>
        </w:tc>
        <w:tc>
          <w:tcPr>
            <w:tcW w:w="1516"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合计</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1053"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4230"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3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矿山开拓</w:t>
            </w: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建筑工程</w:t>
            </w:r>
          </w:p>
        </w:tc>
        <w:tc>
          <w:tcPr>
            <w:tcW w:w="12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设备费</w:t>
            </w: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安装工程</w:t>
            </w:r>
          </w:p>
        </w:tc>
        <w:tc>
          <w:tcPr>
            <w:tcW w:w="178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其它工程费</w:t>
            </w:r>
          </w:p>
        </w:tc>
        <w:tc>
          <w:tcPr>
            <w:tcW w:w="1516"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jc w:val="center"/>
        </w:trPr>
        <w:tc>
          <w:tcPr>
            <w:tcW w:w="105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一</w:t>
            </w:r>
          </w:p>
        </w:tc>
        <w:tc>
          <w:tcPr>
            <w:tcW w:w="42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bCs/>
                <w:snapToGrid w:val="0"/>
                <w:color w:val="auto"/>
                <w:spacing w:val="-1"/>
                <w:kern w:val="0"/>
                <w:sz w:val="21"/>
                <w:szCs w:val="21"/>
                <w:lang w:val="en-US" w:eastAsia="en-US" w:bidi="ar-SA"/>
              </w:rPr>
            </w:pPr>
            <w:r>
              <w:rPr>
                <w:rFonts w:hint="default" w:ascii="Times New Roman" w:hAnsi="Times New Roman" w:eastAsia="宋体" w:cs="Times New Roman"/>
                <w:b w:val="0"/>
                <w:bCs w:val="0"/>
                <w:snapToGrid w:val="0"/>
                <w:color w:val="auto"/>
                <w:spacing w:val="-1"/>
                <w:kern w:val="0"/>
                <w:sz w:val="21"/>
                <w:szCs w:val="21"/>
                <w:lang w:val="en-US" w:eastAsia="en-US" w:bidi="ar-SA"/>
              </w:rPr>
              <w:t>主要工程</w:t>
            </w:r>
          </w:p>
        </w:tc>
        <w:tc>
          <w:tcPr>
            <w:tcW w:w="14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7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51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105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42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spacing w:val="-1"/>
                <w:kern w:val="0"/>
                <w:sz w:val="21"/>
                <w:szCs w:val="21"/>
                <w:lang w:val="en-US" w:eastAsia="en-US" w:bidi="ar-SA"/>
              </w:rPr>
              <w:t>选矿系统</w:t>
            </w:r>
          </w:p>
        </w:tc>
        <w:tc>
          <w:tcPr>
            <w:tcW w:w="14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7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51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105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spacing w:val="-3"/>
                <w:kern w:val="0"/>
                <w:sz w:val="21"/>
                <w:szCs w:val="21"/>
                <w:lang w:val="en-US" w:eastAsia="zh-CN" w:bidi="ar-SA"/>
              </w:rPr>
              <w:t>1</w:t>
            </w:r>
            <w:r>
              <w:rPr>
                <w:rFonts w:hint="default" w:ascii="Times New Roman" w:hAnsi="Times New Roman" w:eastAsia="宋体" w:cs="Times New Roman"/>
                <w:snapToGrid w:val="0"/>
                <w:color w:val="auto"/>
                <w:spacing w:val="-3"/>
                <w:kern w:val="0"/>
                <w:sz w:val="21"/>
                <w:szCs w:val="21"/>
                <w:lang w:val="en-US" w:eastAsia="en-US" w:bidi="ar-SA"/>
              </w:rPr>
              <w:t>.1</w:t>
            </w:r>
          </w:p>
        </w:tc>
        <w:tc>
          <w:tcPr>
            <w:tcW w:w="42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粗碎系统</w:t>
            </w:r>
          </w:p>
        </w:tc>
        <w:tc>
          <w:tcPr>
            <w:tcW w:w="14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68.69</w:t>
            </w:r>
          </w:p>
        </w:tc>
        <w:tc>
          <w:tcPr>
            <w:tcW w:w="12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117.77</w:t>
            </w: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17.36</w:t>
            </w:r>
          </w:p>
        </w:tc>
        <w:tc>
          <w:tcPr>
            <w:tcW w:w="17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5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spacing w:val="-1"/>
                <w:kern w:val="0"/>
                <w:sz w:val="21"/>
                <w:szCs w:val="21"/>
                <w:lang w:val="en-US" w:eastAsia="en-US" w:bidi="ar-SA"/>
              </w:rPr>
              <w:t>203.8</w:t>
            </w:r>
            <w:r>
              <w:rPr>
                <w:rFonts w:hint="default" w:ascii="Times New Roman" w:hAnsi="Times New Roman" w:eastAsia="宋体" w:cs="Times New Roman"/>
                <w:snapToGrid w:val="0"/>
                <w:color w:val="auto"/>
                <w:spacing w:val="-1"/>
                <w:kern w:val="0"/>
                <w:sz w:val="21"/>
                <w:szCs w:val="21"/>
                <w:lang w:val="en-US" w:eastAsia="zh-CN" w:bidi="ar-SA"/>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105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spacing w:val="-3"/>
                <w:kern w:val="0"/>
                <w:sz w:val="21"/>
                <w:szCs w:val="21"/>
                <w:lang w:val="en-US" w:eastAsia="zh-CN" w:bidi="ar-SA"/>
              </w:rPr>
              <w:t>1</w:t>
            </w:r>
            <w:r>
              <w:rPr>
                <w:rFonts w:hint="default" w:ascii="Times New Roman" w:hAnsi="Times New Roman" w:eastAsia="宋体" w:cs="Times New Roman"/>
                <w:snapToGrid w:val="0"/>
                <w:color w:val="auto"/>
                <w:spacing w:val="-3"/>
                <w:kern w:val="0"/>
                <w:sz w:val="21"/>
                <w:szCs w:val="21"/>
                <w:lang w:val="en-US" w:eastAsia="en-US" w:bidi="ar-SA"/>
              </w:rPr>
              <w:t>.2</w:t>
            </w:r>
          </w:p>
        </w:tc>
        <w:tc>
          <w:tcPr>
            <w:tcW w:w="42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筛洗及预选</w:t>
            </w:r>
          </w:p>
        </w:tc>
        <w:tc>
          <w:tcPr>
            <w:tcW w:w="14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336.00</w:t>
            </w:r>
          </w:p>
        </w:tc>
        <w:tc>
          <w:tcPr>
            <w:tcW w:w="12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119.78</w:t>
            </w: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14.37</w:t>
            </w:r>
          </w:p>
        </w:tc>
        <w:tc>
          <w:tcPr>
            <w:tcW w:w="17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5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470.15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05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spacing w:val="-3"/>
                <w:kern w:val="0"/>
                <w:sz w:val="21"/>
                <w:szCs w:val="21"/>
                <w:lang w:val="en-US" w:eastAsia="zh-CN" w:bidi="ar-SA"/>
              </w:rPr>
              <w:t>1</w:t>
            </w:r>
            <w:r>
              <w:rPr>
                <w:rFonts w:hint="default" w:ascii="Times New Roman" w:hAnsi="Times New Roman" w:eastAsia="宋体" w:cs="Times New Roman"/>
                <w:snapToGrid w:val="0"/>
                <w:color w:val="auto"/>
                <w:spacing w:val="-3"/>
                <w:kern w:val="0"/>
                <w:sz w:val="21"/>
                <w:szCs w:val="21"/>
                <w:lang w:val="en-US" w:eastAsia="en-US" w:bidi="ar-SA"/>
              </w:rPr>
              <w:t>.3</w:t>
            </w:r>
          </w:p>
        </w:tc>
        <w:tc>
          <w:tcPr>
            <w:tcW w:w="42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除铁器</w:t>
            </w:r>
          </w:p>
        </w:tc>
        <w:tc>
          <w:tcPr>
            <w:tcW w:w="14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16.20</w:t>
            </w:r>
          </w:p>
        </w:tc>
        <w:tc>
          <w:tcPr>
            <w:tcW w:w="12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6.57</w:t>
            </w: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0.79</w:t>
            </w:r>
          </w:p>
        </w:tc>
        <w:tc>
          <w:tcPr>
            <w:tcW w:w="17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5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23.56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105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spacing w:val="-3"/>
                <w:kern w:val="0"/>
                <w:sz w:val="21"/>
                <w:szCs w:val="21"/>
                <w:lang w:val="en-US" w:eastAsia="zh-CN" w:bidi="ar-SA"/>
              </w:rPr>
              <w:t>1</w:t>
            </w:r>
            <w:r>
              <w:rPr>
                <w:rFonts w:hint="default" w:ascii="Times New Roman" w:hAnsi="Times New Roman" w:eastAsia="宋体" w:cs="Times New Roman"/>
                <w:snapToGrid w:val="0"/>
                <w:color w:val="auto"/>
                <w:spacing w:val="-3"/>
                <w:kern w:val="0"/>
                <w:sz w:val="21"/>
                <w:szCs w:val="21"/>
                <w:lang w:val="en-US" w:eastAsia="en-US" w:bidi="ar-SA"/>
              </w:rPr>
              <w:t>.4</w:t>
            </w:r>
          </w:p>
        </w:tc>
        <w:tc>
          <w:tcPr>
            <w:tcW w:w="42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中碎车间</w:t>
            </w:r>
          </w:p>
        </w:tc>
        <w:tc>
          <w:tcPr>
            <w:tcW w:w="14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69.00</w:t>
            </w:r>
          </w:p>
        </w:tc>
        <w:tc>
          <w:tcPr>
            <w:tcW w:w="12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64.77</w:t>
            </w: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14.07</w:t>
            </w:r>
          </w:p>
        </w:tc>
        <w:tc>
          <w:tcPr>
            <w:tcW w:w="17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5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147.84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105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spacing w:val="-3"/>
                <w:kern w:val="0"/>
                <w:sz w:val="21"/>
                <w:szCs w:val="21"/>
                <w:lang w:val="en-US" w:eastAsia="zh-CN" w:bidi="ar-SA"/>
              </w:rPr>
              <w:t>1</w:t>
            </w:r>
            <w:r>
              <w:rPr>
                <w:rFonts w:hint="default" w:ascii="Times New Roman" w:hAnsi="Times New Roman" w:eastAsia="宋体" w:cs="Times New Roman"/>
                <w:snapToGrid w:val="0"/>
                <w:color w:val="auto"/>
                <w:spacing w:val="-3"/>
                <w:kern w:val="0"/>
                <w:sz w:val="21"/>
                <w:szCs w:val="21"/>
                <w:lang w:val="en-US" w:eastAsia="en-US" w:bidi="ar-SA"/>
              </w:rPr>
              <w:t>.5</w:t>
            </w:r>
          </w:p>
        </w:tc>
        <w:tc>
          <w:tcPr>
            <w:tcW w:w="42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细碎车间</w:t>
            </w:r>
          </w:p>
        </w:tc>
        <w:tc>
          <w:tcPr>
            <w:tcW w:w="14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72.00</w:t>
            </w:r>
          </w:p>
        </w:tc>
        <w:tc>
          <w:tcPr>
            <w:tcW w:w="12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157.09</w:t>
            </w: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15.67</w:t>
            </w:r>
          </w:p>
        </w:tc>
        <w:tc>
          <w:tcPr>
            <w:tcW w:w="17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5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244.76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105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spacing w:val="-3"/>
                <w:kern w:val="0"/>
                <w:sz w:val="21"/>
                <w:szCs w:val="21"/>
                <w:lang w:val="en-US" w:eastAsia="zh-CN" w:bidi="ar-SA"/>
              </w:rPr>
              <w:t>1</w:t>
            </w:r>
            <w:r>
              <w:rPr>
                <w:rFonts w:hint="default" w:ascii="Times New Roman" w:hAnsi="Times New Roman" w:eastAsia="宋体" w:cs="Times New Roman"/>
                <w:snapToGrid w:val="0"/>
                <w:color w:val="auto"/>
                <w:spacing w:val="-3"/>
                <w:kern w:val="0"/>
                <w:sz w:val="21"/>
                <w:szCs w:val="21"/>
                <w:lang w:val="en-US" w:eastAsia="en-US" w:bidi="ar-SA"/>
              </w:rPr>
              <w:t>.6</w:t>
            </w:r>
          </w:p>
        </w:tc>
        <w:tc>
          <w:tcPr>
            <w:tcW w:w="42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筛分车间</w:t>
            </w:r>
          </w:p>
        </w:tc>
        <w:tc>
          <w:tcPr>
            <w:tcW w:w="14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76.95</w:t>
            </w:r>
          </w:p>
        </w:tc>
        <w:tc>
          <w:tcPr>
            <w:tcW w:w="12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60.95</w:t>
            </w: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15.41</w:t>
            </w:r>
          </w:p>
        </w:tc>
        <w:tc>
          <w:tcPr>
            <w:tcW w:w="17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5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153.31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05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spacing w:val="-3"/>
                <w:kern w:val="0"/>
                <w:sz w:val="21"/>
                <w:szCs w:val="21"/>
                <w:lang w:val="en-US" w:eastAsia="zh-CN" w:bidi="ar-SA"/>
              </w:rPr>
              <w:t>1</w:t>
            </w:r>
            <w:r>
              <w:rPr>
                <w:rFonts w:hint="default" w:ascii="Times New Roman" w:hAnsi="Times New Roman" w:eastAsia="宋体" w:cs="Times New Roman"/>
                <w:snapToGrid w:val="0"/>
                <w:color w:val="auto"/>
                <w:spacing w:val="-3"/>
                <w:kern w:val="0"/>
                <w:sz w:val="21"/>
                <w:szCs w:val="21"/>
                <w:lang w:val="en-US" w:eastAsia="en-US" w:bidi="ar-SA"/>
              </w:rPr>
              <w:t>.7</w:t>
            </w:r>
          </w:p>
        </w:tc>
        <w:tc>
          <w:tcPr>
            <w:tcW w:w="42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转运站及粉矿仓</w:t>
            </w:r>
          </w:p>
        </w:tc>
        <w:tc>
          <w:tcPr>
            <w:tcW w:w="14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121.80</w:t>
            </w:r>
          </w:p>
        </w:tc>
        <w:tc>
          <w:tcPr>
            <w:tcW w:w="12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22.11</w:t>
            </w: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2.65</w:t>
            </w:r>
          </w:p>
        </w:tc>
        <w:tc>
          <w:tcPr>
            <w:tcW w:w="17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5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146.56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105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spacing w:val="-3"/>
                <w:kern w:val="0"/>
                <w:sz w:val="21"/>
                <w:szCs w:val="21"/>
                <w:lang w:val="en-US" w:eastAsia="zh-CN" w:bidi="ar-SA"/>
              </w:rPr>
              <w:t>1</w:t>
            </w:r>
            <w:r>
              <w:rPr>
                <w:rFonts w:hint="default" w:ascii="Times New Roman" w:hAnsi="Times New Roman" w:eastAsia="宋体" w:cs="Times New Roman"/>
                <w:snapToGrid w:val="0"/>
                <w:color w:val="auto"/>
                <w:spacing w:val="-3"/>
                <w:kern w:val="0"/>
                <w:sz w:val="21"/>
                <w:szCs w:val="21"/>
                <w:lang w:val="en-US" w:eastAsia="en-US" w:bidi="ar-SA"/>
              </w:rPr>
              <w:t>.8</w:t>
            </w:r>
          </w:p>
        </w:tc>
        <w:tc>
          <w:tcPr>
            <w:tcW w:w="42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主厂房</w:t>
            </w:r>
          </w:p>
        </w:tc>
        <w:tc>
          <w:tcPr>
            <w:tcW w:w="14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2406.68</w:t>
            </w:r>
          </w:p>
        </w:tc>
        <w:tc>
          <w:tcPr>
            <w:tcW w:w="12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771.26</w:t>
            </w: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175.48</w:t>
            </w:r>
          </w:p>
        </w:tc>
        <w:tc>
          <w:tcPr>
            <w:tcW w:w="17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5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3353.42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105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spacing w:val="-3"/>
                <w:kern w:val="0"/>
                <w:sz w:val="21"/>
                <w:szCs w:val="21"/>
                <w:lang w:val="en-US" w:eastAsia="zh-CN" w:bidi="ar-SA"/>
              </w:rPr>
              <w:t>1</w:t>
            </w:r>
            <w:r>
              <w:rPr>
                <w:rFonts w:hint="default" w:ascii="Times New Roman" w:hAnsi="Times New Roman" w:eastAsia="宋体" w:cs="Times New Roman"/>
                <w:snapToGrid w:val="0"/>
                <w:color w:val="auto"/>
                <w:spacing w:val="-3"/>
                <w:kern w:val="0"/>
                <w:sz w:val="21"/>
                <w:szCs w:val="21"/>
                <w:lang w:val="en-US" w:eastAsia="en-US" w:bidi="ar-SA"/>
              </w:rPr>
              <w:t>.9</w:t>
            </w:r>
          </w:p>
        </w:tc>
        <w:tc>
          <w:tcPr>
            <w:tcW w:w="42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废石仓</w:t>
            </w:r>
          </w:p>
        </w:tc>
        <w:tc>
          <w:tcPr>
            <w:tcW w:w="14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28.50</w:t>
            </w:r>
          </w:p>
        </w:tc>
        <w:tc>
          <w:tcPr>
            <w:tcW w:w="12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7.72</w:t>
            </w: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0.93</w:t>
            </w:r>
          </w:p>
        </w:tc>
        <w:tc>
          <w:tcPr>
            <w:tcW w:w="17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5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en-US" w:bidi="ar-SA"/>
              </w:rPr>
              <w:t>37.1</w:t>
            </w:r>
            <w:r>
              <w:rPr>
                <w:rFonts w:hint="default" w:ascii="Times New Roman" w:hAnsi="Times New Roman" w:eastAsia="宋体" w:cs="Times New Roman"/>
                <w:snapToGrid w:val="0"/>
                <w:color w:val="auto"/>
                <w:spacing w:val="-2"/>
                <w:kern w:val="0"/>
                <w:sz w:val="21"/>
                <w:szCs w:val="21"/>
                <w:lang w:val="en-US" w:eastAsia="zh-CN" w:bidi="ar-SA"/>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105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spacing w:val="-2"/>
                <w:kern w:val="0"/>
                <w:sz w:val="21"/>
                <w:szCs w:val="21"/>
                <w:lang w:val="en-US" w:eastAsia="zh-CN" w:bidi="ar-SA"/>
              </w:rPr>
              <w:t>1</w:t>
            </w:r>
            <w:r>
              <w:rPr>
                <w:rFonts w:hint="default" w:ascii="Times New Roman" w:hAnsi="Times New Roman" w:eastAsia="宋体" w:cs="Times New Roman"/>
                <w:snapToGrid w:val="0"/>
                <w:color w:val="auto"/>
                <w:spacing w:val="-2"/>
                <w:kern w:val="0"/>
                <w:sz w:val="21"/>
                <w:szCs w:val="21"/>
                <w:lang w:val="en-US" w:eastAsia="en-US" w:bidi="ar-SA"/>
              </w:rPr>
              <w:t>.10</w:t>
            </w:r>
          </w:p>
        </w:tc>
        <w:tc>
          <w:tcPr>
            <w:tcW w:w="42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选砂系统</w:t>
            </w:r>
          </w:p>
        </w:tc>
        <w:tc>
          <w:tcPr>
            <w:tcW w:w="14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73.80</w:t>
            </w:r>
          </w:p>
        </w:tc>
        <w:tc>
          <w:tcPr>
            <w:tcW w:w="12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9.65</w:t>
            </w: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1.16</w:t>
            </w:r>
          </w:p>
        </w:tc>
        <w:tc>
          <w:tcPr>
            <w:tcW w:w="17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5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spacing w:val="-1"/>
                <w:kern w:val="0"/>
                <w:sz w:val="21"/>
                <w:szCs w:val="21"/>
                <w:lang w:val="en-US" w:eastAsia="en-US" w:bidi="ar-SA"/>
              </w:rPr>
              <w:t>84.6</w:t>
            </w:r>
            <w:r>
              <w:rPr>
                <w:rFonts w:hint="default" w:ascii="Times New Roman" w:hAnsi="Times New Roman" w:eastAsia="宋体" w:cs="Times New Roman"/>
                <w:snapToGrid w:val="0"/>
                <w:color w:val="auto"/>
                <w:spacing w:val="-1"/>
                <w:kern w:val="0"/>
                <w:sz w:val="21"/>
                <w:szCs w:val="21"/>
                <w:lang w:val="en-US" w:eastAsia="zh-CN" w:bidi="ar-SA"/>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05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spacing w:val="-2"/>
                <w:kern w:val="0"/>
                <w:sz w:val="21"/>
                <w:szCs w:val="21"/>
                <w:lang w:val="en-US" w:eastAsia="zh-CN" w:bidi="ar-SA"/>
              </w:rPr>
              <w:t>1</w:t>
            </w:r>
            <w:r>
              <w:rPr>
                <w:rFonts w:hint="default" w:ascii="Times New Roman" w:hAnsi="Times New Roman" w:eastAsia="宋体" w:cs="Times New Roman"/>
                <w:snapToGrid w:val="0"/>
                <w:color w:val="auto"/>
                <w:spacing w:val="-2"/>
                <w:kern w:val="0"/>
                <w:sz w:val="21"/>
                <w:szCs w:val="21"/>
                <w:lang w:val="en-US" w:eastAsia="en-US" w:bidi="ar-SA"/>
              </w:rPr>
              <w:t>.11</w:t>
            </w:r>
          </w:p>
        </w:tc>
        <w:tc>
          <w:tcPr>
            <w:tcW w:w="42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皮带通廊</w:t>
            </w:r>
          </w:p>
        </w:tc>
        <w:tc>
          <w:tcPr>
            <w:tcW w:w="14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294.00</w:t>
            </w:r>
          </w:p>
        </w:tc>
        <w:tc>
          <w:tcPr>
            <w:tcW w:w="12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7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5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294.00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105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spacing w:val="-2"/>
                <w:kern w:val="0"/>
                <w:sz w:val="21"/>
                <w:szCs w:val="21"/>
                <w:lang w:val="en-US" w:eastAsia="zh-CN" w:bidi="ar-SA"/>
              </w:rPr>
              <w:t>1</w:t>
            </w:r>
            <w:r>
              <w:rPr>
                <w:rFonts w:hint="default" w:ascii="Times New Roman" w:hAnsi="Times New Roman" w:eastAsia="宋体" w:cs="Times New Roman"/>
                <w:snapToGrid w:val="0"/>
                <w:color w:val="auto"/>
                <w:spacing w:val="-2"/>
                <w:kern w:val="0"/>
                <w:sz w:val="21"/>
                <w:szCs w:val="21"/>
                <w:lang w:val="en-US" w:eastAsia="en-US" w:bidi="ar-SA"/>
              </w:rPr>
              <w:t>.12</w:t>
            </w:r>
          </w:p>
        </w:tc>
        <w:tc>
          <w:tcPr>
            <w:tcW w:w="42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尾矿库</w:t>
            </w:r>
          </w:p>
        </w:tc>
        <w:tc>
          <w:tcPr>
            <w:tcW w:w="14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1308.05</w:t>
            </w:r>
          </w:p>
        </w:tc>
        <w:tc>
          <w:tcPr>
            <w:tcW w:w="12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7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5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1308.05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jc w:val="center"/>
        </w:trPr>
        <w:tc>
          <w:tcPr>
            <w:tcW w:w="105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42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14:textOutline w14:w="3835" w14:cap="flat" w14:cmpd="sng">
                  <w14:solidFill>
                    <w14:srgbClr w14:val="000000"/>
                  </w14:solidFill>
                  <w14:prstDash w14:val="solid"/>
                  <w14:miter w14:val="0"/>
                </w14:textOutline>
              </w:rPr>
              <w:t>选矿小计</w:t>
            </w:r>
          </w:p>
        </w:tc>
        <w:tc>
          <w:tcPr>
            <w:tcW w:w="14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14:textOutline w14:w="3835" w14:cap="flat" w14:cmpd="sng">
                  <w14:solidFill>
                    <w14:srgbClr w14:val="000000"/>
                  </w14:solidFill>
                  <w14:prstDash w14:val="solid"/>
                  <w14:miter w14:val="0"/>
                </w14:textOutline>
              </w:rPr>
              <w:t>4871.67</w:t>
            </w:r>
          </w:p>
        </w:tc>
        <w:tc>
          <w:tcPr>
            <w:tcW w:w="12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spacing w:val="-3"/>
                <w:kern w:val="0"/>
                <w:sz w:val="21"/>
                <w:szCs w:val="21"/>
                <w:lang w:val="en-US" w:eastAsia="en-US" w:bidi="ar-SA"/>
                <w14:textOutline w14:w="3835" w14:cap="flat" w14:cmpd="sng">
                  <w14:solidFill>
                    <w14:srgbClr w14:val="000000"/>
                  </w14:solidFill>
                  <w14:prstDash w14:val="solid"/>
                  <w14:miter w14:val="0"/>
                </w14:textOutline>
              </w:rPr>
              <w:t>1337.6</w:t>
            </w:r>
            <w:r>
              <w:rPr>
                <w:rFonts w:hint="default" w:ascii="Times New Roman" w:hAnsi="Times New Roman" w:eastAsia="宋体" w:cs="Times New Roman"/>
                <w:snapToGrid w:val="0"/>
                <w:color w:val="auto"/>
                <w:spacing w:val="-3"/>
                <w:kern w:val="0"/>
                <w:sz w:val="21"/>
                <w:szCs w:val="21"/>
                <w:lang w:val="en-US" w:eastAsia="zh-CN" w:bidi="ar-SA"/>
                <w14:textOutline w14:w="3835" w14:cap="flat" w14:cmpd="sng">
                  <w14:solidFill>
                    <w14:srgbClr w14:val="000000"/>
                  </w14:solidFill>
                  <w14:prstDash w14:val="solid"/>
                  <w14:miter w14:val="0"/>
                </w14:textOutline>
              </w:rPr>
              <w:t>7</w:t>
            </w: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14:textOutline w14:w="3835" w14:cap="flat" w14:cmpd="sng">
                  <w14:solidFill>
                    <w14:srgbClr w14:val="000000"/>
                  </w14:solidFill>
                  <w14:prstDash w14:val="solid"/>
                  <w14:miter w14:val="0"/>
                </w14:textOutline>
              </w:rPr>
              <w:t>257.89</w:t>
            </w:r>
          </w:p>
        </w:tc>
        <w:tc>
          <w:tcPr>
            <w:tcW w:w="17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5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spacing w:val="-1"/>
                <w:kern w:val="0"/>
                <w:sz w:val="21"/>
                <w:szCs w:val="21"/>
                <w:lang w:val="en-US" w:eastAsia="en-US" w:bidi="ar-SA"/>
                <w14:textOutline w14:w="3835" w14:cap="flat" w14:cmpd="sng">
                  <w14:solidFill>
                    <w14:srgbClr w14:val="000000"/>
                  </w14:solidFill>
                  <w14:prstDash w14:val="solid"/>
                  <w14:miter w14:val="0"/>
                </w14:textOutline>
              </w:rPr>
              <w:t>6467.2</w:t>
            </w:r>
            <w:r>
              <w:rPr>
                <w:rFonts w:hint="default" w:ascii="Times New Roman" w:hAnsi="Times New Roman" w:eastAsia="宋体" w:cs="Times New Roman"/>
                <w:snapToGrid w:val="0"/>
                <w:color w:val="auto"/>
                <w:spacing w:val="-1"/>
                <w:kern w:val="0"/>
                <w:sz w:val="21"/>
                <w:szCs w:val="21"/>
                <w:lang w:val="en-US" w:eastAsia="zh-CN" w:bidi="ar-SA"/>
                <w14:textOutline w14:w="3835" w14:cap="flat" w14:cmpd="sng">
                  <w14:solidFill>
                    <w14:srgbClr w14:val="000000"/>
                  </w14:solidFill>
                  <w14:prstDash w14:val="solid"/>
                  <w14:miter w14:val="0"/>
                </w14:textOutline>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105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二</w:t>
            </w:r>
          </w:p>
        </w:tc>
        <w:tc>
          <w:tcPr>
            <w:tcW w:w="42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辅助工程</w:t>
            </w:r>
          </w:p>
        </w:tc>
        <w:tc>
          <w:tcPr>
            <w:tcW w:w="14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7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51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05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2.</w:t>
            </w:r>
            <w:r>
              <w:rPr>
                <w:rFonts w:hint="default" w:ascii="Times New Roman" w:hAnsi="Times New Roman" w:eastAsia="宋体" w:cs="Times New Roman"/>
                <w:snapToGrid w:val="0"/>
                <w:color w:val="auto"/>
                <w:kern w:val="0"/>
                <w:sz w:val="21"/>
                <w:szCs w:val="21"/>
                <w:lang w:val="en-US" w:eastAsia="zh-CN" w:bidi="ar-SA"/>
              </w:rPr>
              <w:t>1</w:t>
            </w:r>
          </w:p>
        </w:tc>
        <w:tc>
          <w:tcPr>
            <w:tcW w:w="42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自控及无人值守系统</w:t>
            </w:r>
          </w:p>
        </w:tc>
        <w:tc>
          <w:tcPr>
            <w:tcW w:w="14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2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1555.87</w:t>
            </w: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81.36</w:t>
            </w:r>
          </w:p>
        </w:tc>
        <w:tc>
          <w:tcPr>
            <w:tcW w:w="17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5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1637.23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5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2.</w:t>
            </w:r>
            <w:r>
              <w:rPr>
                <w:rFonts w:hint="default" w:ascii="Times New Roman" w:hAnsi="Times New Roman" w:eastAsia="宋体" w:cs="Times New Roman"/>
                <w:snapToGrid w:val="0"/>
                <w:color w:val="auto"/>
                <w:kern w:val="0"/>
                <w:sz w:val="21"/>
                <w:szCs w:val="21"/>
                <w:lang w:val="en-US" w:eastAsia="zh-CN" w:bidi="ar-SA"/>
              </w:rPr>
              <w:t>2</w:t>
            </w:r>
          </w:p>
        </w:tc>
        <w:tc>
          <w:tcPr>
            <w:tcW w:w="42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给排水系统</w:t>
            </w:r>
          </w:p>
        </w:tc>
        <w:tc>
          <w:tcPr>
            <w:tcW w:w="14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462.76</w:t>
            </w:r>
          </w:p>
        </w:tc>
        <w:tc>
          <w:tcPr>
            <w:tcW w:w="12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56.71</w:t>
            </w: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359.30</w:t>
            </w:r>
          </w:p>
        </w:tc>
        <w:tc>
          <w:tcPr>
            <w:tcW w:w="17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5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878.77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105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2.</w:t>
            </w:r>
            <w:r>
              <w:rPr>
                <w:rFonts w:hint="default" w:ascii="Times New Roman" w:hAnsi="Times New Roman" w:eastAsia="宋体" w:cs="Times New Roman"/>
                <w:snapToGrid w:val="0"/>
                <w:color w:val="auto"/>
                <w:kern w:val="0"/>
                <w:sz w:val="21"/>
                <w:szCs w:val="21"/>
                <w:lang w:val="en-US" w:eastAsia="zh-CN" w:bidi="ar-SA"/>
              </w:rPr>
              <w:t>3</w:t>
            </w:r>
          </w:p>
        </w:tc>
        <w:tc>
          <w:tcPr>
            <w:tcW w:w="42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总图工程</w:t>
            </w:r>
          </w:p>
        </w:tc>
        <w:tc>
          <w:tcPr>
            <w:tcW w:w="14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2632.69</w:t>
            </w:r>
          </w:p>
        </w:tc>
        <w:tc>
          <w:tcPr>
            <w:tcW w:w="12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331.00</w:t>
            </w: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7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5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2963.69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jc w:val="center"/>
        </w:trPr>
        <w:tc>
          <w:tcPr>
            <w:tcW w:w="105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42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14:textOutline w14:w="3835" w14:cap="flat" w14:cmpd="sng">
                  <w14:solidFill>
                    <w14:srgbClr w14:val="000000"/>
                  </w14:solidFill>
                  <w14:prstDash w14:val="solid"/>
                  <w14:miter w14:val="0"/>
                </w14:textOutline>
              </w:rPr>
              <w:t>辅助工程合计</w:t>
            </w:r>
          </w:p>
        </w:tc>
        <w:tc>
          <w:tcPr>
            <w:tcW w:w="14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bCs/>
                <w:snapToGrid w:val="0"/>
                <w:color w:val="auto"/>
                <w:kern w:val="0"/>
                <w:sz w:val="21"/>
                <w:szCs w:val="21"/>
                <w:lang w:val="en-US" w:eastAsia="zh-CN" w:bidi="ar-SA"/>
              </w:rPr>
            </w:pPr>
            <w:r>
              <w:rPr>
                <w:rFonts w:hint="default" w:ascii="Times New Roman" w:hAnsi="Times New Roman" w:eastAsia="宋体" w:cs="Times New Roman"/>
                <w:b/>
                <w:bCs/>
                <w:snapToGrid w:val="0"/>
                <w:color w:val="auto"/>
                <w:spacing w:val="-2"/>
                <w:kern w:val="0"/>
                <w:sz w:val="21"/>
                <w:szCs w:val="21"/>
                <w:lang w:val="en-US" w:eastAsia="zh-CN" w:bidi="ar-SA"/>
              </w:rPr>
              <w:t>3095.45</w:t>
            </w:r>
          </w:p>
        </w:tc>
        <w:tc>
          <w:tcPr>
            <w:tcW w:w="12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bCs/>
                <w:snapToGrid w:val="0"/>
                <w:color w:val="auto"/>
                <w:kern w:val="0"/>
                <w:sz w:val="21"/>
                <w:szCs w:val="21"/>
                <w:lang w:val="en-US" w:eastAsia="en-US" w:bidi="ar-SA"/>
              </w:rPr>
            </w:pPr>
            <w:r>
              <w:rPr>
                <w:rFonts w:hint="default" w:ascii="Times New Roman" w:hAnsi="Times New Roman" w:eastAsia="宋体" w:cs="Times New Roman"/>
                <w:b/>
                <w:bCs/>
                <w:snapToGrid w:val="0"/>
                <w:color w:val="auto"/>
                <w:spacing w:val="-3"/>
                <w:kern w:val="0"/>
                <w:sz w:val="21"/>
                <w:szCs w:val="21"/>
                <w:lang w:val="en-US" w:eastAsia="en-US" w:bidi="ar-SA"/>
              </w:rPr>
              <w:t>1943.58</w:t>
            </w: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bCs/>
                <w:snapToGrid w:val="0"/>
                <w:color w:val="auto"/>
                <w:kern w:val="0"/>
                <w:sz w:val="21"/>
                <w:szCs w:val="21"/>
                <w:lang w:val="en-US" w:eastAsia="zh-CN" w:bidi="ar-SA"/>
              </w:rPr>
            </w:pPr>
            <w:r>
              <w:rPr>
                <w:rFonts w:hint="default" w:ascii="Times New Roman" w:hAnsi="Times New Roman" w:eastAsia="宋体" w:cs="Times New Roman"/>
                <w:b/>
                <w:bCs/>
                <w:snapToGrid w:val="0"/>
                <w:color w:val="auto"/>
                <w:spacing w:val="-1"/>
                <w:kern w:val="0"/>
                <w:sz w:val="21"/>
                <w:szCs w:val="21"/>
                <w:lang w:val="en-US" w:eastAsia="en-US" w:bidi="ar-SA"/>
              </w:rPr>
              <w:t>440.6</w:t>
            </w:r>
            <w:r>
              <w:rPr>
                <w:rFonts w:hint="default" w:ascii="Times New Roman" w:hAnsi="Times New Roman" w:eastAsia="宋体" w:cs="Times New Roman"/>
                <w:b/>
                <w:bCs/>
                <w:snapToGrid w:val="0"/>
                <w:color w:val="auto"/>
                <w:spacing w:val="-1"/>
                <w:kern w:val="0"/>
                <w:sz w:val="21"/>
                <w:szCs w:val="21"/>
                <w:lang w:val="en-US" w:eastAsia="zh-CN" w:bidi="ar-SA"/>
              </w:rPr>
              <w:t>6</w:t>
            </w:r>
          </w:p>
        </w:tc>
        <w:tc>
          <w:tcPr>
            <w:tcW w:w="17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b/>
                <w:bCs/>
                <w:snapToGrid w:val="0"/>
                <w:color w:val="auto"/>
                <w:kern w:val="0"/>
                <w:sz w:val="21"/>
                <w:szCs w:val="21"/>
                <w:lang w:eastAsia="en-US"/>
              </w:rPr>
            </w:pPr>
          </w:p>
        </w:tc>
        <w:tc>
          <w:tcPr>
            <w:tcW w:w="15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bCs/>
                <w:snapToGrid w:val="0"/>
                <w:color w:val="auto"/>
                <w:kern w:val="0"/>
                <w:sz w:val="21"/>
                <w:szCs w:val="21"/>
                <w:lang w:val="en-US" w:eastAsia="zh-CN" w:bidi="ar-SA"/>
              </w:rPr>
            </w:pPr>
            <w:r>
              <w:rPr>
                <w:rFonts w:hint="default" w:ascii="Times New Roman" w:hAnsi="Times New Roman" w:eastAsia="宋体" w:cs="Times New Roman"/>
                <w:b/>
                <w:bCs/>
                <w:snapToGrid w:val="0"/>
                <w:color w:val="auto"/>
                <w:spacing w:val="-2"/>
                <w:kern w:val="0"/>
                <w:sz w:val="21"/>
                <w:szCs w:val="21"/>
                <w:lang w:val="en-US" w:eastAsia="zh-CN" w:bidi="ar-SA"/>
              </w:rPr>
              <w:t>5479.63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105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423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14:textOutline w14:w="3835" w14:cap="flat" w14:cmpd="sng">
                  <w14:solidFill>
                    <w14:srgbClr w14:val="000000"/>
                  </w14:solidFill>
                  <w14:prstDash w14:val="solid"/>
                  <w14:miter w14:val="0"/>
                </w14:textOutline>
              </w:rPr>
            </w:pPr>
            <w:r>
              <w:rPr>
                <w:rFonts w:hint="default" w:ascii="Times New Roman" w:hAnsi="Times New Roman" w:eastAsia="宋体" w:cs="Times New Roman"/>
                <w:snapToGrid w:val="0"/>
                <w:color w:val="auto"/>
                <w:spacing w:val="-1"/>
                <w:kern w:val="0"/>
                <w:sz w:val="21"/>
                <w:szCs w:val="21"/>
                <w:lang w:val="en-US" w:eastAsia="en-US" w:bidi="ar-SA"/>
                <w14:textOutline w14:w="3835" w14:cap="flat" w14:cmpd="sng">
                  <w14:solidFill>
                    <w14:srgbClr w14:val="000000"/>
                  </w14:solidFill>
                  <w14:prstDash w14:val="solid"/>
                  <w14:miter w14:val="0"/>
                </w14:textOutline>
              </w:rPr>
              <w:t>合计</w:t>
            </w:r>
          </w:p>
        </w:tc>
        <w:tc>
          <w:tcPr>
            <w:tcW w:w="14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bCs/>
                <w:snapToGrid w:val="0"/>
                <w:color w:val="auto"/>
                <w:spacing w:val="-2"/>
                <w:kern w:val="0"/>
                <w:sz w:val="21"/>
                <w:szCs w:val="21"/>
                <w:lang w:val="en-US" w:eastAsia="zh-CN" w:bidi="ar-SA"/>
              </w:rPr>
            </w:pPr>
            <w:r>
              <w:rPr>
                <w:rFonts w:hint="default" w:ascii="Times New Roman" w:hAnsi="Times New Roman" w:eastAsia="宋体" w:cs="Times New Roman"/>
                <w:b/>
                <w:bCs/>
                <w:snapToGrid w:val="0"/>
                <w:color w:val="auto"/>
                <w:spacing w:val="-2"/>
                <w:kern w:val="0"/>
                <w:sz w:val="21"/>
                <w:szCs w:val="21"/>
                <w:lang w:val="en-US" w:eastAsia="zh-CN" w:bidi="ar-SA"/>
              </w:rPr>
              <w:t>7967.12</w:t>
            </w:r>
          </w:p>
        </w:tc>
        <w:tc>
          <w:tcPr>
            <w:tcW w:w="12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bCs/>
                <w:snapToGrid w:val="0"/>
                <w:color w:val="auto"/>
                <w:spacing w:val="-3"/>
                <w:kern w:val="0"/>
                <w:sz w:val="21"/>
                <w:szCs w:val="21"/>
                <w:lang w:val="en-US" w:eastAsia="zh-CN" w:bidi="ar-SA"/>
              </w:rPr>
            </w:pPr>
            <w:r>
              <w:rPr>
                <w:rFonts w:hint="default" w:ascii="Times New Roman" w:hAnsi="Times New Roman" w:eastAsia="宋体" w:cs="Times New Roman"/>
                <w:b/>
                <w:bCs/>
                <w:snapToGrid w:val="0"/>
                <w:color w:val="auto"/>
                <w:spacing w:val="-3"/>
                <w:kern w:val="0"/>
                <w:sz w:val="21"/>
                <w:szCs w:val="21"/>
                <w:lang w:val="en-US" w:eastAsia="zh-CN" w:bidi="ar-SA"/>
              </w:rPr>
              <w:t>3281.25</w:t>
            </w:r>
          </w:p>
        </w:tc>
        <w:tc>
          <w:tcPr>
            <w:tcW w:w="144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bCs/>
                <w:snapToGrid w:val="0"/>
                <w:color w:val="auto"/>
                <w:spacing w:val="-1"/>
                <w:kern w:val="0"/>
                <w:sz w:val="21"/>
                <w:szCs w:val="21"/>
                <w:lang w:val="en-US" w:eastAsia="zh-CN" w:bidi="ar-SA"/>
              </w:rPr>
            </w:pPr>
            <w:r>
              <w:rPr>
                <w:rFonts w:hint="default" w:ascii="Times New Roman" w:hAnsi="Times New Roman" w:eastAsia="宋体" w:cs="Times New Roman"/>
                <w:b/>
                <w:bCs/>
                <w:snapToGrid w:val="0"/>
                <w:color w:val="auto"/>
                <w:spacing w:val="-1"/>
                <w:kern w:val="0"/>
                <w:sz w:val="21"/>
                <w:szCs w:val="21"/>
                <w:lang w:val="en-US" w:eastAsia="zh-CN" w:bidi="ar-SA"/>
              </w:rPr>
              <w:t>698.55</w:t>
            </w:r>
          </w:p>
        </w:tc>
        <w:tc>
          <w:tcPr>
            <w:tcW w:w="17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b/>
                <w:bCs/>
                <w:snapToGrid w:val="0"/>
                <w:color w:val="auto"/>
                <w:kern w:val="0"/>
                <w:sz w:val="21"/>
                <w:szCs w:val="21"/>
                <w:lang w:eastAsia="en-US"/>
              </w:rPr>
            </w:pPr>
          </w:p>
        </w:tc>
        <w:tc>
          <w:tcPr>
            <w:tcW w:w="15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bCs/>
                <w:snapToGrid w:val="0"/>
                <w:color w:val="auto"/>
                <w:spacing w:val="-2"/>
                <w:kern w:val="0"/>
                <w:sz w:val="21"/>
                <w:szCs w:val="21"/>
                <w:lang w:val="en-US" w:eastAsia="zh-CN" w:bidi="ar-SA"/>
              </w:rPr>
            </w:pPr>
            <w:r>
              <w:rPr>
                <w:rFonts w:hint="default" w:ascii="Times New Roman" w:hAnsi="Times New Roman" w:eastAsia="宋体" w:cs="Times New Roman"/>
                <w:b/>
                <w:bCs/>
                <w:snapToGrid w:val="0"/>
                <w:color w:val="auto"/>
                <w:spacing w:val="-2"/>
                <w:kern w:val="0"/>
                <w:sz w:val="21"/>
                <w:szCs w:val="21"/>
                <w:lang w:val="en-US" w:eastAsia="zh-CN" w:bidi="ar-SA"/>
              </w:rPr>
              <w:t>11946.86</w:t>
            </w:r>
          </w:p>
        </w:tc>
      </w:tr>
    </w:tbl>
    <w:p>
      <w:pPr>
        <w:bidi w:val="0"/>
        <w:rPr>
          <w:rFonts w:hint="eastAsia"/>
          <w:color w:val="auto"/>
          <w:lang w:val="en-US" w:eastAsia="zh-CN"/>
        </w:rPr>
      </w:pPr>
    </w:p>
    <w:p>
      <w:pPr>
        <w:bidi w:val="0"/>
        <w:rPr>
          <w:rFonts w:hint="eastAsia"/>
          <w:color w:val="auto"/>
          <w:lang w:val="en-US" w:eastAsia="zh-CN"/>
        </w:rPr>
        <w:sectPr>
          <w:headerReference r:id="rId20" w:type="default"/>
          <w:footerReference r:id="rId21" w:type="default"/>
          <w:pgSz w:w="16839" w:h="11906" w:orient="landscape"/>
          <w:pgMar w:top="1417" w:right="1417" w:bottom="1417" w:left="1417" w:header="850" w:footer="992" w:gutter="0"/>
          <w:pgNumType w:fmt="decimal" w:start="66"/>
          <w:cols w:space="425" w:num="1"/>
          <w:rtlGutter w:val="0"/>
          <w:docGrid w:linePitch="312" w:charSpace="0"/>
        </w:sectPr>
      </w:pPr>
    </w:p>
    <w:p>
      <w:pPr>
        <w:pStyle w:val="2"/>
        <w:numPr>
          <w:ilvl w:val="0"/>
          <w:numId w:val="1"/>
        </w:numPr>
        <w:bidi w:val="0"/>
        <w:rPr>
          <w:rFonts w:hint="default"/>
          <w:color w:val="auto"/>
          <w:lang w:val="en-US" w:eastAsia="zh-CN"/>
        </w:rPr>
      </w:pPr>
      <w:bookmarkStart w:id="113" w:name="_Toc12403"/>
      <w:bookmarkStart w:id="114" w:name="_Toc28337"/>
      <w:bookmarkStart w:id="115" w:name="_Toc8362"/>
      <w:r>
        <w:rPr>
          <w:rFonts w:hint="default"/>
          <w:color w:val="auto"/>
          <w:lang w:val="en-US" w:eastAsia="zh-CN"/>
        </w:rPr>
        <w:t>主要危险、有害因素</w:t>
      </w:r>
      <w:r>
        <w:rPr>
          <w:rFonts w:hint="eastAsia"/>
          <w:color w:val="auto"/>
          <w:lang w:val="en-US" w:eastAsia="zh-CN"/>
        </w:rPr>
        <w:t>辨识与</w:t>
      </w:r>
      <w:r>
        <w:rPr>
          <w:rFonts w:hint="default"/>
          <w:color w:val="auto"/>
          <w:lang w:val="en-US" w:eastAsia="zh-CN"/>
        </w:rPr>
        <w:t>分析</w:t>
      </w:r>
      <w:bookmarkEnd w:id="113"/>
      <w:bookmarkEnd w:id="114"/>
      <w:bookmarkEnd w:id="115"/>
    </w:p>
    <w:p>
      <w:pPr>
        <w:bidi w:val="0"/>
        <w:rPr>
          <w:rFonts w:hint="eastAsia"/>
          <w:color w:val="auto"/>
          <w:lang w:val="en-US" w:eastAsia="zh-CN"/>
        </w:rPr>
      </w:pPr>
      <w:bookmarkStart w:id="116" w:name="_Toc28634"/>
      <w:bookmarkStart w:id="117" w:name="_Toc459"/>
      <w:r>
        <w:rPr>
          <w:rFonts w:hint="eastAsia"/>
          <w:color w:val="auto"/>
          <w:lang w:val="en-US" w:eastAsia="zh-CN"/>
        </w:rPr>
        <w:t>危险因素是指能对人造成伤亡或对物造成突发性损坏的因素。有害因素是指能影响人的身体健康，导致疾病，或对人造成慢性损害的因素。危险、有害因素分析是安全评价的重要环节，也是安全预评价的基础。</w:t>
      </w:r>
    </w:p>
    <w:p>
      <w:pPr>
        <w:bidi w:val="0"/>
        <w:rPr>
          <w:rFonts w:hint="eastAsia"/>
          <w:color w:val="auto"/>
          <w:lang w:val="en-US" w:eastAsia="zh-CN"/>
        </w:rPr>
      </w:pPr>
      <w:r>
        <w:rPr>
          <w:rFonts w:hint="eastAsia"/>
          <w:color w:val="auto"/>
          <w:lang w:val="en-US" w:eastAsia="zh-CN"/>
        </w:rPr>
        <w:t>所有的危险有害因素，表现形式不同，但从本质上讲，之所以能造成有害的后果，都可归结为存在能量、有害物质；能量、有害物质失去控制，并导致能量的意外释放和有害物质的泄漏、挥发的结果。因此，存在能量、有害物质和能量、有害物质失去控制，是危险因素产生的根本原因。</w:t>
      </w:r>
    </w:p>
    <w:p>
      <w:pPr>
        <w:bidi w:val="0"/>
        <w:rPr>
          <w:rFonts w:hint="eastAsia"/>
          <w:color w:val="auto"/>
          <w:lang w:val="en-US" w:eastAsia="zh-CN"/>
        </w:rPr>
      </w:pPr>
      <w:r>
        <w:rPr>
          <w:rFonts w:hint="eastAsia"/>
          <w:color w:val="auto"/>
          <w:lang w:val="en-US" w:eastAsia="zh-CN"/>
        </w:rPr>
        <w:t>根据《生产过程危险和有害因素分类与代码》（GB/T13861-2009）、《企业职工伤亡事故分类》（GB6441-1986）、《职业病危害因素分类目录》（国卫疾控发</w:t>
      </w:r>
      <w:r>
        <w:rPr>
          <w:rFonts w:hint="eastAsia" w:ascii="宋体" w:hAnsi="宋体" w:eastAsia="宋体" w:cs="宋体"/>
          <w:color w:val="auto"/>
          <w:lang w:val="en-US" w:eastAsia="zh-CN"/>
        </w:rPr>
        <w:t>[</w:t>
      </w:r>
      <w:r>
        <w:rPr>
          <w:rFonts w:hint="eastAsia"/>
          <w:color w:val="auto"/>
          <w:lang w:val="en-US" w:eastAsia="zh-CN"/>
        </w:rPr>
        <w:t>2015</w:t>
      </w:r>
      <w:r>
        <w:rPr>
          <w:rFonts w:hint="eastAsia" w:ascii="宋体" w:hAnsi="宋体" w:eastAsia="宋体" w:cs="宋体"/>
          <w:color w:val="auto"/>
          <w:lang w:val="en-US" w:eastAsia="zh-CN"/>
        </w:rPr>
        <w:t>]</w:t>
      </w:r>
      <w:r>
        <w:rPr>
          <w:rFonts w:hint="eastAsia"/>
          <w:color w:val="auto"/>
          <w:lang w:val="en-US" w:eastAsia="zh-CN"/>
        </w:rPr>
        <w:t>92号）以及以往相关事故统计和分析，辨识与分析危险有害因素，对本建设项目中在人、物、环境、管理等方面固有或潜在的危险、有害因素进行辨识和分析，确定主要危险、有害因素存在的部位、方式。</w:t>
      </w:r>
    </w:p>
    <w:p>
      <w:pPr>
        <w:keepNext/>
        <w:keepLines/>
        <w:widowControl w:val="0"/>
        <w:spacing w:beforeAutospacing="0" w:afterAutospacing="0" w:line="360" w:lineRule="auto"/>
        <w:ind w:left="280" w:leftChars="100" w:firstLine="0" w:firstLineChars="0"/>
        <w:jc w:val="both"/>
        <w:outlineLvl w:val="1"/>
        <w:rPr>
          <w:rFonts w:hint="eastAsia" w:ascii="Times New Roman" w:hAnsi="Times New Roman" w:eastAsia="黑体" w:cs="Times New Roman"/>
          <w:b/>
          <w:color w:val="auto"/>
          <w:kern w:val="2"/>
          <w:sz w:val="30"/>
          <w:szCs w:val="24"/>
          <w:lang w:val="en-US" w:eastAsia="zh-CN" w:bidi="ar-SA"/>
        </w:rPr>
      </w:pPr>
      <w:bookmarkStart w:id="118" w:name="_Toc13845"/>
      <w:bookmarkStart w:id="119" w:name="_Toc5942"/>
      <w:r>
        <w:rPr>
          <w:rFonts w:hint="eastAsia" w:ascii="Times New Roman" w:hAnsi="Times New Roman" w:eastAsia="黑体" w:cs="Times New Roman"/>
          <w:b/>
          <w:color w:val="auto"/>
          <w:kern w:val="2"/>
          <w:sz w:val="30"/>
          <w:szCs w:val="24"/>
          <w:lang w:val="en-US" w:eastAsia="zh-CN" w:bidi="ar-SA"/>
        </w:rPr>
        <w:t>3.1 人的危险有害因素辨识与分析</w:t>
      </w:r>
      <w:bookmarkEnd w:id="118"/>
      <w:bookmarkEnd w:id="119"/>
    </w:p>
    <w:p>
      <w:pPr>
        <w:keepNext/>
        <w:keepLines/>
        <w:widowControl w:val="0"/>
        <w:spacing w:beforeAutospacing="0" w:afterAutospacing="0" w:line="360" w:lineRule="auto"/>
        <w:ind w:left="560" w:leftChars="200" w:firstLine="0" w:firstLineChars="0"/>
        <w:jc w:val="both"/>
        <w:outlineLvl w:val="2"/>
        <w:rPr>
          <w:rFonts w:hint="eastAsia" w:ascii="Times New Roman" w:hAnsi="Times New Roman" w:eastAsia="黑体" w:cs="Times New Roman"/>
          <w:b/>
          <w:color w:val="auto"/>
          <w:kern w:val="2"/>
          <w:sz w:val="28"/>
          <w:szCs w:val="24"/>
          <w:lang w:val="en-US" w:eastAsia="zh-CN" w:bidi="ar-SA"/>
        </w:rPr>
      </w:pPr>
      <w:bookmarkStart w:id="120" w:name="_Toc29694"/>
      <w:bookmarkStart w:id="121" w:name="_Toc16695"/>
      <w:r>
        <w:rPr>
          <w:rFonts w:hint="eastAsia" w:ascii="Times New Roman" w:hAnsi="Times New Roman" w:eastAsia="黑体" w:cs="Times New Roman"/>
          <w:b/>
          <w:color w:val="auto"/>
          <w:kern w:val="2"/>
          <w:sz w:val="28"/>
          <w:szCs w:val="24"/>
          <w:lang w:val="en-US" w:eastAsia="zh-CN" w:bidi="ar-SA"/>
        </w:rPr>
        <w:t>3.1.1 心理、生理性危险和有害因素</w:t>
      </w:r>
      <w:bookmarkEnd w:id="120"/>
      <w:bookmarkEnd w:id="121"/>
    </w:p>
    <w:p>
      <w:pPr>
        <w:ind w:firstLine="200"/>
        <w:rPr>
          <w:rFonts w:hint="eastAsia"/>
          <w:color w:val="auto"/>
          <w:lang w:val="en-US" w:eastAsia="zh-CN"/>
        </w:rPr>
      </w:pPr>
      <w:r>
        <w:rPr>
          <w:rFonts w:hint="eastAsia" w:ascii="Times New Roman" w:eastAsia="宋体"/>
          <w:color w:val="auto"/>
          <w:lang w:val="en-US" w:eastAsia="zh-CN"/>
        </w:rPr>
        <w:t>1. 负荷超限：长时间连续工作造成身体严重疲惫，若继续工作很有可能发生意外伤害；或连续进行简单而重复的作业，麻痹大意也可能发生事故伤害。</w:t>
      </w:r>
    </w:p>
    <w:p>
      <w:pPr>
        <w:ind w:firstLine="200"/>
        <w:rPr>
          <w:rFonts w:hint="eastAsia"/>
          <w:color w:val="auto"/>
          <w:lang w:val="en-US" w:eastAsia="zh-CN"/>
        </w:rPr>
      </w:pPr>
      <w:r>
        <w:rPr>
          <w:rFonts w:hint="eastAsia" w:ascii="Times New Roman" w:eastAsia="宋体"/>
          <w:color w:val="auto"/>
          <w:lang w:val="en-US" w:eastAsia="zh-CN"/>
        </w:rPr>
        <w:t>2. 健康状况异常：感冒发烧或身体某些部位正在恢复当中进行上岗作业，很有可能发生意外事故，应严禁身体不适者进行危险作业。</w:t>
      </w:r>
    </w:p>
    <w:p>
      <w:pPr>
        <w:ind w:firstLine="200"/>
        <w:rPr>
          <w:rFonts w:hint="eastAsia"/>
          <w:color w:val="auto"/>
          <w:lang w:val="en-US" w:eastAsia="zh-CN"/>
        </w:rPr>
      </w:pPr>
      <w:r>
        <w:rPr>
          <w:rFonts w:hint="eastAsia" w:ascii="Times New Roman" w:eastAsia="宋体"/>
          <w:color w:val="auto"/>
          <w:lang w:val="en-US" w:eastAsia="zh-CN"/>
        </w:rPr>
        <w:t>3. 心理异常：若作业人员情绪低落，受其他事件影响，思想不集中，或思想过于激进，不听指挥，冒险作业，或由于刚开始上岗作业，情绪特别紧张，均有可能发生意外事故。</w:t>
      </w:r>
    </w:p>
    <w:p>
      <w:pPr>
        <w:keepNext/>
        <w:keepLines/>
        <w:widowControl w:val="0"/>
        <w:spacing w:beforeAutospacing="0" w:afterAutospacing="0" w:line="360" w:lineRule="auto"/>
        <w:ind w:left="560" w:leftChars="200" w:firstLine="0" w:firstLineChars="0"/>
        <w:jc w:val="both"/>
        <w:outlineLvl w:val="2"/>
        <w:rPr>
          <w:rFonts w:hint="eastAsia" w:ascii="Times New Roman" w:hAnsi="Times New Roman" w:eastAsia="黑体" w:cs="Times New Roman"/>
          <w:b/>
          <w:color w:val="auto"/>
          <w:kern w:val="2"/>
          <w:sz w:val="28"/>
          <w:szCs w:val="24"/>
          <w:lang w:val="en-US" w:eastAsia="zh-CN" w:bidi="ar-SA"/>
        </w:rPr>
      </w:pPr>
      <w:bookmarkStart w:id="122" w:name="_Toc3204"/>
      <w:bookmarkStart w:id="123" w:name="_Toc12658"/>
      <w:r>
        <w:rPr>
          <w:rFonts w:hint="eastAsia" w:ascii="Times New Roman" w:hAnsi="Times New Roman" w:eastAsia="黑体" w:cs="Times New Roman"/>
          <w:b/>
          <w:color w:val="auto"/>
          <w:kern w:val="2"/>
          <w:sz w:val="28"/>
          <w:szCs w:val="24"/>
          <w:lang w:val="en-US" w:eastAsia="zh-CN" w:bidi="ar-SA"/>
        </w:rPr>
        <w:t>3.1.2 行为性危险和有害因素</w:t>
      </w:r>
      <w:bookmarkEnd w:id="122"/>
      <w:bookmarkEnd w:id="123"/>
    </w:p>
    <w:p>
      <w:pPr>
        <w:ind w:firstLine="200"/>
        <w:rPr>
          <w:rFonts w:hint="eastAsia"/>
          <w:color w:val="auto"/>
          <w:lang w:val="en-US" w:eastAsia="zh-CN"/>
        </w:rPr>
      </w:pPr>
      <w:r>
        <w:rPr>
          <w:rFonts w:hint="eastAsia" w:ascii="Times New Roman" w:eastAsia="宋体"/>
          <w:color w:val="auto"/>
          <w:lang w:val="en-US" w:eastAsia="zh-CN"/>
        </w:rPr>
        <w:t>1. 违章指挥：由于指挥错误或不按有关规定指挥造成设备损坏、人员伤害，这主要是基本功不够，心理素质差或感知迟钝、对事故无预见而造成。</w:t>
      </w:r>
    </w:p>
    <w:p>
      <w:pPr>
        <w:ind w:firstLine="200"/>
        <w:rPr>
          <w:rFonts w:hint="eastAsia"/>
          <w:color w:val="auto"/>
          <w:lang w:val="en-US" w:eastAsia="zh-CN"/>
        </w:rPr>
      </w:pPr>
      <w:r>
        <w:rPr>
          <w:rFonts w:hint="eastAsia" w:ascii="Times New Roman" w:eastAsia="宋体"/>
          <w:color w:val="auto"/>
          <w:lang w:val="en-US" w:eastAsia="zh-CN"/>
        </w:rPr>
        <w:t>2. 违章操作：操作人员在操作过程中误操作、违章操作造成设备受损、人员伤害的事故在企业中也时有发生。</w:t>
      </w:r>
    </w:p>
    <w:p>
      <w:pPr>
        <w:ind w:firstLine="200"/>
        <w:rPr>
          <w:rFonts w:hint="eastAsia"/>
          <w:color w:val="auto"/>
          <w:lang w:val="en-US" w:eastAsia="zh-CN"/>
        </w:rPr>
      </w:pPr>
      <w:r>
        <w:rPr>
          <w:rFonts w:hint="eastAsia" w:ascii="Times New Roman" w:eastAsia="宋体"/>
          <w:color w:val="auto"/>
          <w:lang w:val="en-US" w:eastAsia="zh-CN"/>
        </w:rPr>
        <w:t>3. 监护失误：操作人员在操作过程中，监护人员的监护不利，甚至判断失察或监护失误造成事故。因此，要加强人员的安全培训等安全工作。</w:t>
      </w:r>
    </w:p>
    <w:p>
      <w:pPr>
        <w:ind w:firstLine="200"/>
        <w:rPr>
          <w:rFonts w:hint="eastAsia"/>
          <w:color w:val="auto"/>
          <w:lang w:val="en-US" w:eastAsia="zh-CN"/>
        </w:rPr>
      </w:pPr>
      <w:r>
        <w:rPr>
          <w:rFonts w:hint="eastAsia" w:ascii="Times New Roman" w:eastAsia="宋体"/>
          <w:color w:val="auto"/>
          <w:lang w:val="en-US" w:eastAsia="zh-CN"/>
        </w:rPr>
        <w:t>本</w:t>
      </w:r>
      <w:r>
        <w:rPr>
          <w:rFonts w:hint="eastAsia"/>
          <w:color w:val="auto"/>
          <w:lang w:val="en-US" w:eastAsia="zh-CN"/>
        </w:rPr>
        <w:t>建设</w:t>
      </w:r>
      <w:r>
        <w:rPr>
          <w:rFonts w:hint="eastAsia" w:ascii="Times New Roman" w:eastAsia="宋体"/>
          <w:color w:val="auto"/>
          <w:lang w:val="en-US" w:eastAsia="zh-CN"/>
        </w:rPr>
        <w:t>项目有</w:t>
      </w:r>
      <w:r>
        <w:rPr>
          <w:rFonts w:hint="eastAsia"/>
          <w:color w:val="auto"/>
          <w:lang w:val="en-US" w:eastAsia="zh-CN"/>
        </w:rPr>
        <w:t>存在高度超过</w:t>
      </w:r>
      <w:r>
        <w:rPr>
          <w:rFonts w:hint="eastAsia" w:ascii="Times New Roman" w:eastAsia="宋体"/>
          <w:color w:val="auto"/>
          <w:lang w:val="en-US" w:eastAsia="zh-CN"/>
        </w:rPr>
        <w:t>15m的建筑物等设施，这些部位在安装时工作人员未按规定穿戴劳动防护用品或未掌握登高防护用品的使用，未按要求系安全带，工作人员，生理、心理条件不满足高处作业要求，可能会导致人员高处坠落，雨雪等恶劣天气作业也存在高处坠落的风险。</w:t>
      </w:r>
    </w:p>
    <w:p>
      <w:pPr>
        <w:ind w:firstLine="200"/>
        <w:rPr>
          <w:rFonts w:hint="eastAsia"/>
          <w:color w:val="auto"/>
          <w:lang w:val="en-US" w:eastAsia="zh-CN"/>
        </w:rPr>
      </w:pPr>
      <w:r>
        <w:rPr>
          <w:rFonts w:hint="eastAsia" w:ascii="Times New Roman" w:eastAsia="宋体"/>
          <w:color w:val="auto"/>
          <w:lang w:val="en-US" w:eastAsia="zh-CN"/>
        </w:rPr>
        <w:t>在</w:t>
      </w:r>
      <w:r>
        <w:rPr>
          <w:rFonts w:hint="eastAsia"/>
          <w:color w:val="auto"/>
          <w:lang w:val="en-US" w:eastAsia="zh-CN"/>
        </w:rPr>
        <w:t>建设</w:t>
      </w:r>
      <w:r>
        <w:rPr>
          <w:rFonts w:hint="eastAsia" w:ascii="Times New Roman" w:eastAsia="宋体"/>
          <w:color w:val="auto"/>
          <w:lang w:val="en-US" w:eastAsia="zh-CN"/>
        </w:rPr>
        <w:t>期间，特种设备（包括起重机械）的作业人员和特种作业人员（如电工）没有取得相应的证件从事相应的作业或者管理工作，会给企业的安全生产带来隐患。</w:t>
      </w:r>
    </w:p>
    <w:p>
      <w:pPr>
        <w:keepNext/>
        <w:keepLines/>
        <w:widowControl w:val="0"/>
        <w:spacing w:beforeAutospacing="0" w:afterAutospacing="0" w:line="360" w:lineRule="auto"/>
        <w:ind w:left="280" w:leftChars="100" w:firstLine="0" w:firstLineChars="0"/>
        <w:jc w:val="both"/>
        <w:outlineLvl w:val="1"/>
        <w:rPr>
          <w:rFonts w:hint="eastAsia" w:ascii="Times New Roman" w:hAnsi="Times New Roman" w:eastAsia="黑体" w:cs="Times New Roman"/>
          <w:b/>
          <w:color w:val="auto"/>
          <w:kern w:val="2"/>
          <w:sz w:val="30"/>
          <w:szCs w:val="24"/>
          <w:lang w:val="en-US" w:eastAsia="zh-CN" w:bidi="ar-SA"/>
        </w:rPr>
      </w:pPr>
      <w:bookmarkStart w:id="124" w:name="_Toc14654"/>
      <w:bookmarkStart w:id="125" w:name="_Toc25123"/>
      <w:r>
        <w:rPr>
          <w:rFonts w:hint="eastAsia" w:ascii="Times New Roman" w:hAnsi="Times New Roman" w:eastAsia="黑体" w:cs="Times New Roman"/>
          <w:b/>
          <w:color w:val="auto"/>
          <w:kern w:val="2"/>
          <w:sz w:val="30"/>
          <w:szCs w:val="24"/>
          <w:lang w:val="en-US" w:eastAsia="zh-CN" w:bidi="ar-SA"/>
        </w:rPr>
        <w:t>3.2 物的危险有害因素辨识与分析</w:t>
      </w:r>
      <w:bookmarkEnd w:id="124"/>
      <w:bookmarkEnd w:id="125"/>
    </w:p>
    <w:p>
      <w:pPr>
        <w:keepNext/>
        <w:keepLines/>
        <w:widowControl w:val="0"/>
        <w:spacing w:beforeAutospacing="0" w:afterAutospacing="0" w:line="360" w:lineRule="auto"/>
        <w:ind w:left="560" w:leftChars="200" w:firstLine="0" w:firstLineChars="0"/>
        <w:jc w:val="both"/>
        <w:outlineLvl w:val="2"/>
        <w:rPr>
          <w:rFonts w:hint="eastAsia" w:ascii="Times New Roman" w:hAnsi="Times New Roman" w:eastAsia="黑体" w:cs="Times New Roman"/>
          <w:b/>
          <w:color w:val="auto"/>
          <w:kern w:val="2"/>
          <w:sz w:val="28"/>
          <w:szCs w:val="24"/>
          <w:lang w:val="en-US" w:eastAsia="zh-CN" w:bidi="ar-SA"/>
        </w:rPr>
      </w:pPr>
      <w:bookmarkStart w:id="126" w:name="_Toc16485"/>
      <w:bookmarkStart w:id="127" w:name="_Toc12372"/>
      <w:r>
        <w:rPr>
          <w:rFonts w:hint="eastAsia" w:ascii="Times New Roman" w:hAnsi="Times New Roman" w:eastAsia="黑体" w:cs="Times New Roman"/>
          <w:b/>
          <w:color w:val="auto"/>
          <w:kern w:val="2"/>
          <w:sz w:val="28"/>
          <w:szCs w:val="24"/>
          <w:lang w:val="en-US" w:eastAsia="zh-CN" w:bidi="ar-SA"/>
        </w:rPr>
        <w:t>3.2.1 设备、设施、工具、附件缺陷</w:t>
      </w:r>
      <w:bookmarkEnd w:id="126"/>
      <w:bookmarkEnd w:id="127"/>
    </w:p>
    <w:p>
      <w:pPr>
        <w:ind w:firstLine="200"/>
        <w:rPr>
          <w:rFonts w:hint="eastAsia"/>
          <w:color w:val="auto"/>
          <w:lang w:val="en-US" w:eastAsia="zh-CN"/>
        </w:rPr>
      </w:pPr>
      <w:r>
        <w:rPr>
          <w:rFonts w:hint="eastAsia" w:ascii="Times New Roman" w:eastAsia="宋体"/>
          <w:color w:val="auto"/>
          <w:lang w:val="en-US" w:eastAsia="zh-CN"/>
        </w:rPr>
        <w:t>设备安装的起重机械属于特种设备，若设备没有按照特种设备进行管理，安全技术档案没有或不完整，设备检验不合格的就擅自使用可能导致起重伤害事故。本项目原料、辅料物资多采用汽车运输，厂内汽车来往频繁，车辆在使用的过程中存在一定的安全隐患，如未定期或出发前对车辆转向、制动、轮胎、灯光等安全设施进行检查，未进行相关的年检等，或者遭遇恶劣天气的影响，有可能会导致车辆制动器失灵，方向盘失控。在安装、检修作业中，使用手动工具操作或手工装配工件时，由于工具有缺陷、用力不当打偏、脱手坠落等原因引发相关人身伤害事故发生。</w:t>
      </w:r>
    </w:p>
    <w:p>
      <w:pPr>
        <w:keepNext/>
        <w:keepLines/>
        <w:widowControl w:val="0"/>
        <w:spacing w:beforeAutospacing="0" w:afterAutospacing="0" w:line="360" w:lineRule="auto"/>
        <w:ind w:left="560" w:leftChars="200" w:firstLine="0" w:firstLineChars="0"/>
        <w:jc w:val="both"/>
        <w:outlineLvl w:val="2"/>
        <w:rPr>
          <w:rFonts w:hint="eastAsia" w:ascii="Times New Roman" w:hAnsi="Times New Roman" w:eastAsia="黑体" w:cs="Times New Roman"/>
          <w:b/>
          <w:color w:val="auto"/>
          <w:kern w:val="2"/>
          <w:sz w:val="28"/>
          <w:szCs w:val="24"/>
          <w:lang w:val="en-US" w:eastAsia="zh-CN" w:bidi="ar-SA"/>
        </w:rPr>
      </w:pPr>
      <w:bookmarkStart w:id="128" w:name="_Toc29393"/>
      <w:bookmarkStart w:id="129" w:name="_Toc14129"/>
      <w:r>
        <w:rPr>
          <w:rFonts w:hint="eastAsia" w:ascii="Times New Roman" w:hAnsi="Times New Roman" w:eastAsia="黑体" w:cs="Times New Roman"/>
          <w:b/>
          <w:color w:val="auto"/>
          <w:kern w:val="2"/>
          <w:sz w:val="28"/>
          <w:szCs w:val="24"/>
          <w:lang w:val="en-US" w:eastAsia="zh-CN" w:bidi="ar-SA"/>
        </w:rPr>
        <w:t>3.2.2 防护缺陷</w:t>
      </w:r>
      <w:bookmarkEnd w:id="128"/>
      <w:bookmarkEnd w:id="129"/>
    </w:p>
    <w:p>
      <w:pPr>
        <w:ind w:firstLine="200"/>
        <w:rPr>
          <w:rFonts w:hint="eastAsia"/>
          <w:color w:val="auto"/>
          <w:lang w:val="en-US" w:eastAsia="zh-CN"/>
        </w:rPr>
      </w:pPr>
      <w:r>
        <w:rPr>
          <w:rFonts w:hint="eastAsia" w:ascii="Times New Roman" w:eastAsia="宋体"/>
          <w:color w:val="auto"/>
          <w:lang w:val="en-US" w:eastAsia="zh-CN"/>
        </w:rPr>
        <w:t>在对设备进行安装、巡视与检修的过程中，会涉及到登高作业、特种设备作业、带电作业等，可能会有一定的安全防护缺陷。按照《高处作业分级》（GB/T3608-2008）标准划分，凡在坠落高度基准面2m以上（含2m）有可能坠落的高处进行的作业均称为高处作业。本项目涉及的高处作业有：配电装置的检查、维护、通道和直爬梯通行等，如果未正确佩戴安全带或安全带失效、脚扣滑脱、违章带电检修、电工强检工具未进行检测或检测失效而接触高压线路意外触电等，都会导致作业人员的高处坠落。电气设备在运行过程中安全防护装置不全、故障或检修等，可能导致电伤害，事故发生后若无相关的急救措施以及相应的保护设施，有可能导致人员伤亡。项目</w:t>
      </w:r>
      <w:r>
        <w:rPr>
          <w:rFonts w:hint="eastAsia"/>
          <w:color w:val="auto"/>
          <w:lang w:val="en-US" w:eastAsia="zh-CN"/>
        </w:rPr>
        <w:t>建设</w:t>
      </w:r>
      <w:r>
        <w:rPr>
          <w:rFonts w:hint="eastAsia" w:ascii="Times New Roman" w:eastAsia="宋体"/>
          <w:color w:val="auto"/>
          <w:lang w:val="en-US" w:eastAsia="zh-CN"/>
        </w:rPr>
        <w:t>期间，起重机械主要用于</w:t>
      </w:r>
      <w:r>
        <w:rPr>
          <w:rFonts w:hint="eastAsia"/>
          <w:color w:val="auto"/>
          <w:lang w:val="en-US" w:eastAsia="zh-CN"/>
        </w:rPr>
        <w:t>安装和检修设备</w:t>
      </w:r>
      <w:r>
        <w:rPr>
          <w:rFonts w:hint="eastAsia" w:ascii="Times New Roman" w:eastAsia="宋体"/>
          <w:color w:val="auto"/>
          <w:lang w:val="en-US" w:eastAsia="zh-CN"/>
        </w:rPr>
        <w:t>。起重部件较大，在大风等恶劣条件下，起重机械存在固定不牢，防护装置缺陷等不安全因素。车间高处的通道、平台、楼梯等工作场所，未设置安全栏杆、悬挂安全操作标志等，也会导致人员的高处坠落。</w:t>
      </w:r>
    </w:p>
    <w:p>
      <w:pPr>
        <w:keepNext/>
        <w:keepLines/>
        <w:widowControl w:val="0"/>
        <w:spacing w:beforeAutospacing="0" w:afterAutospacing="0" w:line="360" w:lineRule="auto"/>
        <w:ind w:left="560" w:leftChars="200" w:firstLine="0" w:firstLineChars="0"/>
        <w:jc w:val="both"/>
        <w:outlineLvl w:val="2"/>
        <w:rPr>
          <w:rFonts w:hint="eastAsia" w:ascii="Times New Roman" w:hAnsi="Times New Roman" w:eastAsia="黑体" w:cs="Times New Roman"/>
          <w:b/>
          <w:color w:val="auto"/>
          <w:kern w:val="2"/>
          <w:sz w:val="28"/>
          <w:szCs w:val="24"/>
          <w:lang w:val="en-US" w:eastAsia="zh-CN" w:bidi="ar-SA"/>
        </w:rPr>
      </w:pPr>
      <w:bookmarkStart w:id="130" w:name="_Toc31372"/>
      <w:bookmarkStart w:id="131" w:name="_Toc20804"/>
      <w:r>
        <w:rPr>
          <w:rFonts w:hint="eastAsia" w:ascii="Times New Roman" w:hAnsi="Times New Roman" w:eastAsia="黑体" w:cs="Times New Roman"/>
          <w:b/>
          <w:color w:val="auto"/>
          <w:kern w:val="2"/>
          <w:sz w:val="28"/>
          <w:szCs w:val="24"/>
          <w:lang w:val="en-US" w:eastAsia="zh-CN" w:bidi="ar-SA"/>
        </w:rPr>
        <w:t>3.2.3 电伤害危险因素</w:t>
      </w:r>
      <w:bookmarkEnd w:id="130"/>
      <w:bookmarkEnd w:id="131"/>
    </w:p>
    <w:p>
      <w:pPr>
        <w:ind w:firstLine="200"/>
        <w:rPr>
          <w:rFonts w:hint="eastAsia"/>
          <w:color w:val="auto"/>
          <w:lang w:val="en-US" w:eastAsia="zh-CN"/>
        </w:rPr>
      </w:pPr>
      <w:r>
        <w:rPr>
          <w:rFonts w:hint="eastAsia" w:ascii="Times New Roman" w:eastAsia="宋体"/>
          <w:color w:val="auto"/>
          <w:lang w:val="en-US" w:eastAsia="zh-CN"/>
        </w:rPr>
        <w:t>电气设备特别是高低压配电装置及母线等，带电部位裸露较多均有可能造成人身安全伤害事故。电缆与设备连接不牢，运行时造成接头脱落或接头松动，使相线与金属外壳直接搭接而漏电。高压电线落地时产生的跨步电压可能导致人员触电。本项目的室外配线（缆）建筑物、设备等有遭受雷击的可能。如防雷设计不合理、施工不规范、冲击接地电阻值不符合规范要求，则雷电过电压在雷电波及范围内会严重破坏建筑物及设备设施，并可能危及人身安全乃至致命的危险；巨大的雷电流流入地下，会在雷击点及其连接的金属部分产生极高的对地电压，可能导致接触电压或跨步电压的触电事故；雷电流的热效应还能引起电气火灾及爆炸。</w:t>
      </w:r>
    </w:p>
    <w:p>
      <w:pPr>
        <w:keepNext/>
        <w:keepLines/>
        <w:widowControl w:val="0"/>
        <w:spacing w:beforeAutospacing="0" w:afterAutospacing="0" w:line="360" w:lineRule="auto"/>
        <w:ind w:left="560" w:leftChars="200" w:firstLine="0" w:firstLineChars="0"/>
        <w:jc w:val="both"/>
        <w:outlineLvl w:val="2"/>
        <w:rPr>
          <w:rFonts w:hint="eastAsia" w:ascii="Times New Roman" w:hAnsi="Times New Roman" w:eastAsia="黑体" w:cs="Times New Roman"/>
          <w:b/>
          <w:color w:val="auto"/>
          <w:kern w:val="2"/>
          <w:sz w:val="28"/>
          <w:szCs w:val="24"/>
          <w:lang w:val="en-US" w:eastAsia="zh-CN" w:bidi="ar-SA"/>
        </w:rPr>
      </w:pPr>
      <w:bookmarkStart w:id="132" w:name="_Toc25201"/>
      <w:bookmarkStart w:id="133" w:name="_Toc11799"/>
      <w:r>
        <w:rPr>
          <w:rFonts w:hint="eastAsia" w:ascii="Times New Roman" w:hAnsi="Times New Roman" w:eastAsia="黑体" w:cs="Times New Roman"/>
          <w:b/>
          <w:color w:val="auto"/>
          <w:kern w:val="2"/>
          <w:sz w:val="28"/>
          <w:szCs w:val="24"/>
          <w:lang w:val="en-US" w:eastAsia="zh-CN" w:bidi="ar-SA"/>
        </w:rPr>
        <w:t>3.2.4 明火危险性分析</w:t>
      </w:r>
      <w:bookmarkEnd w:id="132"/>
      <w:bookmarkEnd w:id="133"/>
    </w:p>
    <w:p>
      <w:pPr>
        <w:ind w:firstLine="200"/>
        <w:rPr>
          <w:rFonts w:hint="eastAsia"/>
          <w:color w:val="auto"/>
          <w:lang w:val="en-US" w:eastAsia="zh-CN"/>
        </w:rPr>
      </w:pPr>
      <w:r>
        <w:rPr>
          <w:rFonts w:hint="eastAsia" w:ascii="Times New Roman" w:eastAsia="宋体"/>
          <w:color w:val="auto"/>
          <w:lang w:val="en-US" w:eastAsia="zh-CN"/>
        </w:rPr>
        <w:t>选厂内电器设备，如产品设计、制造工艺存在缺陷、隐患或操作、维护不当，可能引起明火。另外，运行人员违章操作或误操作、设备缺陷引起的短路、雷击破坏、堆放物质杂乱和通风不良均有可能引起明火，最终会伤及周围人员。</w:t>
      </w:r>
    </w:p>
    <w:p>
      <w:pPr>
        <w:keepNext/>
        <w:keepLines/>
        <w:widowControl w:val="0"/>
        <w:spacing w:beforeAutospacing="0" w:afterAutospacing="0" w:line="360" w:lineRule="auto"/>
        <w:ind w:left="560" w:leftChars="200" w:firstLine="0" w:firstLineChars="0"/>
        <w:jc w:val="both"/>
        <w:outlineLvl w:val="2"/>
        <w:rPr>
          <w:rFonts w:hint="eastAsia" w:ascii="Times New Roman" w:hAnsi="Times New Roman" w:eastAsia="黑体" w:cs="Times New Roman"/>
          <w:b/>
          <w:color w:val="auto"/>
          <w:kern w:val="2"/>
          <w:sz w:val="28"/>
          <w:szCs w:val="24"/>
          <w:lang w:val="en-US" w:eastAsia="zh-CN" w:bidi="ar-SA"/>
        </w:rPr>
      </w:pPr>
      <w:bookmarkStart w:id="134" w:name="_Toc10097"/>
      <w:bookmarkStart w:id="135" w:name="_Toc25386"/>
      <w:r>
        <w:rPr>
          <w:rFonts w:hint="eastAsia" w:ascii="Times New Roman" w:hAnsi="Times New Roman" w:eastAsia="黑体" w:cs="Times New Roman"/>
          <w:b/>
          <w:color w:val="auto"/>
          <w:kern w:val="2"/>
          <w:sz w:val="28"/>
          <w:szCs w:val="24"/>
          <w:lang w:val="en-US" w:eastAsia="zh-CN" w:bidi="ar-SA"/>
        </w:rPr>
        <w:t>3.2.5 标志缺陷危险性分析</w:t>
      </w:r>
      <w:bookmarkEnd w:id="134"/>
      <w:bookmarkEnd w:id="135"/>
    </w:p>
    <w:p>
      <w:pPr>
        <w:ind w:firstLine="200"/>
        <w:rPr>
          <w:rFonts w:hint="eastAsia"/>
          <w:color w:val="auto"/>
          <w:lang w:val="en-US" w:eastAsia="zh-CN"/>
        </w:rPr>
      </w:pPr>
      <w:r>
        <w:rPr>
          <w:rFonts w:hint="eastAsia" w:ascii="Times New Roman" w:eastAsia="宋体"/>
          <w:color w:val="auto"/>
          <w:lang w:val="en-US" w:eastAsia="zh-CN"/>
        </w:rPr>
        <w:t>选厂内存在高压设备等较多的危险有害场所，安全标志设置缺失可能 对作业人员警示不够，从而导致触电、火灾、高处坠落、物体打击、车辆伤害等事故发生，对安全运行和安全管理带来影响。</w:t>
      </w:r>
    </w:p>
    <w:p>
      <w:pPr>
        <w:keepNext/>
        <w:keepLines/>
        <w:widowControl w:val="0"/>
        <w:spacing w:beforeAutospacing="0" w:afterAutospacing="0" w:line="360" w:lineRule="auto"/>
        <w:ind w:left="560" w:leftChars="200" w:firstLine="0" w:firstLineChars="0"/>
        <w:jc w:val="both"/>
        <w:outlineLvl w:val="2"/>
        <w:rPr>
          <w:rFonts w:hint="eastAsia" w:ascii="Times New Roman" w:hAnsi="Times New Roman" w:eastAsia="黑体" w:cs="Times New Roman"/>
          <w:b/>
          <w:color w:val="auto"/>
          <w:kern w:val="2"/>
          <w:sz w:val="28"/>
          <w:szCs w:val="24"/>
          <w:lang w:val="en-US" w:eastAsia="zh-CN" w:bidi="ar-SA"/>
        </w:rPr>
      </w:pPr>
      <w:bookmarkStart w:id="136" w:name="_Toc13461"/>
      <w:bookmarkStart w:id="137" w:name="_Toc15161"/>
      <w:r>
        <w:rPr>
          <w:rFonts w:hint="eastAsia" w:ascii="Times New Roman" w:hAnsi="Times New Roman" w:eastAsia="黑体" w:cs="Times New Roman"/>
          <w:b/>
          <w:color w:val="auto"/>
          <w:kern w:val="2"/>
          <w:sz w:val="28"/>
          <w:szCs w:val="24"/>
          <w:lang w:val="en-US" w:eastAsia="zh-CN" w:bidi="ar-SA"/>
        </w:rPr>
        <w:t>3.2.6 生物性危险和有害因素</w:t>
      </w:r>
      <w:bookmarkEnd w:id="136"/>
      <w:bookmarkEnd w:id="137"/>
    </w:p>
    <w:p>
      <w:pPr>
        <w:ind w:firstLine="200"/>
        <w:rPr>
          <w:rFonts w:hint="eastAsia"/>
          <w:color w:val="auto"/>
          <w:lang w:val="en-US" w:eastAsia="zh-CN"/>
        </w:rPr>
      </w:pPr>
      <w:r>
        <w:rPr>
          <w:rFonts w:hint="eastAsia" w:ascii="Times New Roman" w:eastAsia="宋体"/>
          <w:color w:val="auto"/>
          <w:lang w:val="en-US" w:eastAsia="zh-CN"/>
        </w:rPr>
        <w:t>由于选厂顺山坡布置，可能存在传染物媒介物、致害动物（如蛇、鼠）以及致害植物，这些因素对人员的安全卫生会造成一定的影响。</w:t>
      </w:r>
    </w:p>
    <w:p>
      <w:pPr>
        <w:keepNext/>
        <w:keepLines/>
        <w:widowControl w:val="0"/>
        <w:spacing w:beforeAutospacing="0" w:afterAutospacing="0" w:line="360" w:lineRule="auto"/>
        <w:ind w:left="280" w:leftChars="100" w:firstLine="0" w:firstLineChars="0"/>
        <w:jc w:val="both"/>
        <w:outlineLvl w:val="1"/>
        <w:rPr>
          <w:rFonts w:hint="eastAsia" w:ascii="Times New Roman" w:hAnsi="Times New Roman" w:eastAsia="黑体" w:cs="Times New Roman"/>
          <w:b/>
          <w:color w:val="auto"/>
          <w:kern w:val="2"/>
          <w:sz w:val="30"/>
          <w:szCs w:val="24"/>
          <w:lang w:val="en-US" w:eastAsia="zh-CN" w:bidi="ar-SA"/>
        </w:rPr>
      </w:pPr>
      <w:bookmarkStart w:id="138" w:name="_Toc16944"/>
      <w:bookmarkStart w:id="139" w:name="_Toc32616"/>
      <w:r>
        <w:rPr>
          <w:rFonts w:hint="eastAsia" w:ascii="Times New Roman" w:hAnsi="Times New Roman" w:eastAsia="黑体" w:cs="Times New Roman"/>
          <w:b/>
          <w:color w:val="auto"/>
          <w:kern w:val="2"/>
          <w:sz w:val="30"/>
          <w:szCs w:val="24"/>
          <w:lang w:val="en-US" w:eastAsia="zh-CN" w:bidi="ar-SA"/>
        </w:rPr>
        <w:t>3.3 环境危险有害因素辨识与分析</w:t>
      </w:r>
      <w:bookmarkEnd w:id="138"/>
      <w:bookmarkEnd w:id="139"/>
    </w:p>
    <w:p>
      <w:pPr>
        <w:ind w:firstLine="200"/>
        <w:rPr>
          <w:rFonts w:hint="eastAsia"/>
          <w:color w:val="auto"/>
          <w:lang w:val="en-US" w:eastAsia="zh-CN"/>
        </w:rPr>
      </w:pPr>
      <w:r>
        <w:rPr>
          <w:rFonts w:hint="eastAsia" w:ascii="Times New Roman" w:eastAsia="宋体"/>
          <w:color w:val="auto"/>
          <w:lang w:val="en-US" w:eastAsia="zh-CN"/>
        </w:rPr>
        <w:t>室内作业场所主要有办公室。办公场所通过相关设施如空调、通风、采光等调节后能够基本满足作业人员的需求。对室外作业不利的主要因素是强风、沙尘、高温等。</w:t>
      </w:r>
    </w:p>
    <w:p>
      <w:pPr>
        <w:keepNext/>
        <w:keepLines/>
        <w:widowControl w:val="0"/>
        <w:spacing w:beforeAutospacing="0" w:afterAutospacing="0" w:line="360" w:lineRule="auto"/>
        <w:ind w:left="560" w:leftChars="200" w:firstLine="0" w:firstLineChars="0"/>
        <w:jc w:val="both"/>
        <w:outlineLvl w:val="2"/>
        <w:rPr>
          <w:rFonts w:hint="eastAsia" w:ascii="Times New Roman" w:hAnsi="Times New Roman" w:eastAsia="黑体" w:cs="Times New Roman"/>
          <w:b/>
          <w:color w:val="auto"/>
          <w:kern w:val="2"/>
          <w:sz w:val="28"/>
          <w:szCs w:val="24"/>
          <w:lang w:val="en-US" w:eastAsia="zh-CN" w:bidi="ar-SA"/>
        </w:rPr>
      </w:pPr>
      <w:bookmarkStart w:id="140" w:name="_Toc24062"/>
      <w:bookmarkStart w:id="141" w:name="_Toc30520"/>
      <w:r>
        <w:rPr>
          <w:rFonts w:hint="eastAsia" w:ascii="Times New Roman" w:hAnsi="Times New Roman" w:eastAsia="黑体" w:cs="Times New Roman"/>
          <w:b/>
          <w:color w:val="auto"/>
          <w:kern w:val="2"/>
          <w:sz w:val="28"/>
          <w:szCs w:val="24"/>
          <w:lang w:val="en-US" w:eastAsia="zh-CN" w:bidi="ar-SA"/>
        </w:rPr>
        <w:t>3.3.1 气象灾害</w:t>
      </w:r>
      <w:bookmarkEnd w:id="140"/>
      <w:bookmarkEnd w:id="141"/>
    </w:p>
    <w:p>
      <w:pPr>
        <w:ind w:firstLine="200"/>
        <w:rPr>
          <w:rFonts w:hint="eastAsia"/>
          <w:color w:val="auto"/>
          <w:lang w:val="en-US" w:eastAsia="zh-CN"/>
        </w:rPr>
      </w:pPr>
      <w:r>
        <w:rPr>
          <w:rFonts w:hint="eastAsia" w:ascii="Times New Roman" w:eastAsia="宋体"/>
          <w:color w:val="auto"/>
          <w:lang w:val="en-US" w:eastAsia="zh-CN"/>
        </w:rPr>
        <w:t>1. 强风：突发性强风对地面建（构）筑物威胁较大，会造成厂房倒塌、供电线路中断或设备外壳带电、建筑物门窗损坏等危险事故的发生。</w:t>
      </w:r>
    </w:p>
    <w:p>
      <w:pPr>
        <w:ind w:firstLine="200"/>
        <w:rPr>
          <w:rFonts w:hint="eastAsia"/>
          <w:color w:val="auto"/>
          <w:lang w:val="en-US" w:eastAsia="zh-CN"/>
        </w:rPr>
      </w:pPr>
      <w:r>
        <w:rPr>
          <w:rFonts w:hint="eastAsia" w:ascii="Times New Roman" w:eastAsia="宋体"/>
          <w:color w:val="auto"/>
          <w:lang w:val="en-US" w:eastAsia="zh-CN"/>
        </w:rPr>
        <w:t>2. 雷击：雷电会向选厂的电气设备或建筑物放电，过电压会使电气设备的绝缘遭到击穿破坏，同时，如设备设施的接地装置不良或损坏，还会因感应雷过电压足够大，引起建筑物内部、电气设备的电线、金属管道、其他设备设施放电而造成火灾。而雷击放电的高温电弧、二次放电，可直接对人体放电，雷电流产生的接触或跨步电压可直接使人触电。</w:t>
      </w:r>
    </w:p>
    <w:p>
      <w:pPr>
        <w:ind w:firstLine="200"/>
        <w:rPr>
          <w:rFonts w:hint="eastAsia"/>
          <w:color w:val="auto"/>
          <w:lang w:val="en-US" w:eastAsia="zh-CN"/>
        </w:rPr>
      </w:pPr>
      <w:r>
        <w:rPr>
          <w:rFonts w:hint="eastAsia" w:ascii="Times New Roman" w:eastAsia="宋体"/>
          <w:color w:val="auto"/>
          <w:lang w:val="en-US" w:eastAsia="zh-CN"/>
        </w:rPr>
        <w:t>3. 低温：冬天温度较低时，如设备的保温措施不完善或损坏，将会冻损供、排水管路，影响消防设备的正常运行并造成财产损失。冬季室外作业应注意保暖措施，加强水管、消防栓等设施的保温防冻措施。</w:t>
      </w:r>
    </w:p>
    <w:p>
      <w:pPr>
        <w:keepNext/>
        <w:keepLines/>
        <w:widowControl w:val="0"/>
        <w:spacing w:beforeAutospacing="0" w:afterAutospacing="0" w:line="360" w:lineRule="auto"/>
        <w:ind w:left="560" w:leftChars="200" w:firstLine="0" w:firstLineChars="0"/>
        <w:jc w:val="both"/>
        <w:outlineLvl w:val="2"/>
        <w:rPr>
          <w:rFonts w:hint="eastAsia" w:ascii="Times New Roman" w:hAnsi="Times New Roman" w:eastAsia="黑体" w:cs="Times New Roman"/>
          <w:b/>
          <w:color w:val="auto"/>
          <w:kern w:val="2"/>
          <w:sz w:val="28"/>
          <w:szCs w:val="24"/>
          <w:lang w:val="en-US" w:eastAsia="zh-CN" w:bidi="ar-SA"/>
        </w:rPr>
      </w:pPr>
      <w:bookmarkStart w:id="142" w:name="_Toc1634"/>
      <w:bookmarkStart w:id="143" w:name="_Toc20898"/>
      <w:r>
        <w:rPr>
          <w:rFonts w:hint="eastAsia" w:ascii="Times New Roman" w:hAnsi="Times New Roman" w:eastAsia="黑体" w:cs="Times New Roman"/>
          <w:b/>
          <w:color w:val="auto"/>
          <w:kern w:val="2"/>
          <w:sz w:val="28"/>
          <w:szCs w:val="24"/>
          <w:lang w:val="en-US" w:eastAsia="zh-CN" w:bidi="ar-SA"/>
        </w:rPr>
        <w:t>3.3.2 洪水</w:t>
      </w:r>
      <w:bookmarkEnd w:id="142"/>
      <w:bookmarkEnd w:id="143"/>
    </w:p>
    <w:p>
      <w:pPr>
        <w:ind w:firstLine="200"/>
        <w:rPr>
          <w:rFonts w:hint="eastAsia"/>
          <w:color w:val="auto"/>
          <w:lang w:val="en-US" w:eastAsia="zh-CN"/>
        </w:rPr>
      </w:pPr>
      <w:r>
        <w:rPr>
          <w:rFonts w:hint="eastAsia" w:ascii="Times New Roman" w:eastAsia="宋体"/>
          <w:color w:val="auto"/>
          <w:lang w:val="en-US" w:eastAsia="zh-CN"/>
        </w:rPr>
        <w:t>正常情况下不会发生洪水灾害，但该地区存在一定的降水量，若排水设施被破坏或不满足排洪需求，可能发生场地内涝和洪水灾害。</w:t>
      </w:r>
    </w:p>
    <w:p>
      <w:pPr>
        <w:keepNext/>
        <w:keepLines/>
        <w:widowControl w:val="0"/>
        <w:spacing w:beforeAutospacing="0" w:afterAutospacing="0" w:line="360" w:lineRule="auto"/>
        <w:ind w:left="560" w:leftChars="200" w:firstLine="0" w:firstLineChars="0"/>
        <w:jc w:val="both"/>
        <w:outlineLvl w:val="2"/>
        <w:rPr>
          <w:rFonts w:hint="eastAsia" w:ascii="Times New Roman" w:hAnsi="Times New Roman" w:eastAsia="黑体" w:cs="Times New Roman"/>
          <w:b/>
          <w:color w:val="auto"/>
          <w:kern w:val="2"/>
          <w:sz w:val="28"/>
          <w:szCs w:val="24"/>
          <w:lang w:val="en-US" w:eastAsia="zh-CN" w:bidi="ar-SA"/>
        </w:rPr>
      </w:pPr>
      <w:bookmarkStart w:id="144" w:name="_Toc8893"/>
      <w:bookmarkStart w:id="145" w:name="_Toc27146"/>
      <w:r>
        <w:rPr>
          <w:rFonts w:hint="eastAsia" w:ascii="Times New Roman" w:hAnsi="Times New Roman" w:eastAsia="黑体" w:cs="Times New Roman"/>
          <w:b/>
          <w:color w:val="auto"/>
          <w:kern w:val="2"/>
          <w:sz w:val="28"/>
          <w:szCs w:val="24"/>
          <w:lang w:val="en-US" w:eastAsia="zh-CN" w:bidi="ar-SA"/>
        </w:rPr>
        <w:t>3.3.3 地质灾害</w:t>
      </w:r>
      <w:bookmarkEnd w:id="144"/>
      <w:bookmarkEnd w:id="145"/>
    </w:p>
    <w:p>
      <w:pPr>
        <w:ind w:firstLine="200"/>
        <w:rPr>
          <w:rFonts w:hint="eastAsia" w:ascii="Times New Roman" w:eastAsia="宋体"/>
          <w:color w:val="auto"/>
          <w:lang w:val="en-US" w:eastAsia="zh-CN"/>
        </w:rPr>
      </w:pPr>
      <w:r>
        <w:rPr>
          <w:rFonts w:hint="eastAsia" w:ascii="Times New Roman" w:eastAsia="宋体"/>
          <w:color w:val="auto"/>
          <w:lang w:val="en-US" w:eastAsia="zh-CN"/>
        </w:rPr>
        <w:t>选矿厂区布置在竖井井口工业场地东北侧约250m，标高为+385m～+325m，坡度过陡或挡土护坡设施缺陷，可能造成滑坡事故。</w:t>
      </w:r>
    </w:p>
    <w:p>
      <w:pPr>
        <w:ind w:firstLine="200"/>
        <w:rPr>
          <w:rFonts w:hint="eastAsia"/>
          <w:color w:val="auto"/>
          <w:lang w:val="en-US" w:eastAsia="zh-CN"/>
        </w:rPr>
      </w:pPr>
      <w:r>
        <w:rPr>
          <w:rFonts w:hint="eastAsia" w:ascii="Times New Roman" w:eastAsia="宋体"/>
          <w:color w:val="auto"/>
          <w:lang w:val="en-US" w:eastAsia="zh-CN"/>
        </w:rPr>
        <w:t>坍塌指物体在外力或重力作用下，超过自身的强度极限或因结构稳定性破坏而造成的事故。如挖沟时的土石塌方、脚手架坍塌、堆置物倒塌、建筑物倒塌等。本次</w:t>
      </w:r>
      <w:r>
        <w:rPr>
          <w:rFonts w:hint="eastAsia"/>
          <w:color w:val="auto"/>
          <w:lang w:val="en-US" w:eastAsia="zh-CN"/>
        </w:rPr>
        <w:t>建设</w:t>
      </w:r>
      <w:r>
        <w:rPr>
          <w:rFonts w:hint="eastAsia" w:ascii="Times New Roman" w:eastAsia="宋体"/>
          <w:color w:val="auto"/>
          <w:lang w:val="en-US" w:eastAsia="zh-CN"/>
        </w:rPr>
        <w:t>项目施工过程中在强降雨及连续降雨期可能会发生坍塌，形成泥石流掩没和摧毁建筑、道路、设施和人员。</w:t>
      </w:r>
    </w:p>
    <w:p>
      <w:pPr>
        <w:keepNext/>
        <w:keepLines/>
        <w:widowControl w:val="0"/>
        <w:spacing w:beforeAutospacing="0" w:afterAutospacing="0" w:line="360" w:lineRule="auto"/>
        <w:ind w:left="560" w:leftChars="200" w:firstLine="0" w:firstLineChars="0"/>
        <w:jc w:val="both"/>
        <w:outlineLvl w:val="2"/>
        <w:rPr>
          <w:rFonts w:hint="default" w:ascii="Times New Roman" w:hAnsi="Times New Roman" w:eastAsia="黑体" w:cs="Times New Roman"/>
          <w:b/>
          <w:color w:val="auto"/>
          <w:kern w:val="2"/>
          <w:sz w:val="28"/>
          <w:szCs w:val="24"/>
          <w:lang w:val="en-US" w:eastAsia="zh-CN" w:bidi="ar-SA"/>
        </w:rPr>
      </w:pPr>
      <w:bookmarkStart w:id="146" w:name="_Toc27854"/>
      <w:bookmarkStart w:id="147" w:name="_Toc26574"/>
      <w:r>
        <w:rPr>
          <w:rFonts w:hint="default" w:ascii="Times New Roman" w:hAnsi="Times New Roman" w:eastAsia="黑体" w:cs="Times New Roman"/>
          <w:b/>
          <w:color w:val="auto"/>
          <w:kern w:val="2"/>
          <w:sz w:val="28"/>
          <w:szCs w:val="24"/>
          <w:lang w:val="en-US" w:eastAsia="zh-CN" w:bidi="ar-SA"/>
        </w:rPr>
        <w:t>3.3.4 职业危害</w:t>
      </w:r>
      <w:bookmarkEnd w:id="146"/>
      <w:bookmarkEnd w:id="147"/>
    </w:p>
    <w:p>
      <w:pPr>
        <w:ind w:firstLine="200"/>
        <w:rPr>
          <w:rFonts w:hint="default"/>
          <w:color w:val="auto"/>
          <w:lang w:val="en-US" w:eastAsia="zh-CN"/>
        </w:rPr>
      </w:pPr>
      <w:r>
        <w:rPr>
          <w:rFonts w:hint="eastAsia" w:ascii="Times New Roman" w:eastAsia="宋体"/>
          <w:color w:val="auto"/>
          <w:lang w:val="en-US" w:eastAsia="zh-CN"/>
        </w:rPr>
        <w:t xml:space="preserve">1. </w:t>
      </w:r>
      <w:r>
        <w:rPr>
          <w:rFonts w:hint="default"/>
          <w:color w:val="auto"/>
          <w:lang w:val="en-US" w:eastAsia="zh-CN"/>
        </w:rPr>
        <w:t>粉尘</w:t>
      </w:r>
    </w:p>
    <w:p>
      <w:pPr>
        <w:ind w:firstLine="200"/>
        <w:rPr>
          <w:rFonts w:hint="default"/>
          <w:color w:val="auto"/>
          <w:lang w:val="en-US" w:eastAsia="zh-CN"/>
        </w:rPr>
      </w:pPr>
      <w:r>
        <w:rPr>
          <w:rFonts w:hint="default"/>
          <w:color w:val="auto"/>
          <w:lang w:val="en-US" w:eastAsia="zh-CN"/>
        </w:rPr>
        <w:t>选矿厂在生产过程中会有粉尘产生，属于生产性粉尘。当空气中的粉浓度超过国家标准规定的接触限值时，会对从业人员的健康构成危害，引起肺部伤害。</w:t>
      </w:r>
    </w:p>
    <w:p>
      <w:pPr>
        <w:ind w:firstLine="200"/>
        <w:rPr>
          <w:rFonts w:hint="default"/>
          <w:color w:val="auto"/>
          <w:lang w:val="en-US" w:eastAsia="zh-CN"/>
        </w:rPr>
      </w:pPr>
      <w:r>
        <w:rPr>
          <w:rFonts w:hint="default"/>
          <w:color w:val="auto"/>
          <w:lang w:val="en-US" w:eastAsia="zh-CN"/>
        </w:rPr>
        <w:t>本项目在生产过程中，矿石的运输、破碎、筛分过程等产生粉尘，在生产过程中逸出粉尘，作业人员长期接触这些粉尘，可能因为除尘设备故障、劳动保护不够和劳动保护意识淡薄，导致职业病（矽肺）的发生。</w:t>
      </w:r>
    </w:p>
    <w:p>
      <w:pPr>
        <w:numPr>
          <w:ilvl w:val="0"/>
          <w:numId w:val="6"/>
        </w:numPr>
        <w:ind w:firstLine="200"/>
        <w:rPr>
          <w:rFonts w:hint="eastAsia"/>
          <w:color w:val="auto"/>
        </w:rPr>
      </w:pPr>
      <w:r>
        <w:rPr>
          <w:rFonts w:hint="eastAsia"/>
          <w:color w:val="auto"/>
        </w:rPr>
        <w:t>噪声、振动</w:t>
      </w:r>
    </w:p>
    <w:p>
      <w:pPr>
        <w:ind w:firstLine="200"/>
        <w:rPr>
          <w:rFonts w:hint="default"/>
          <w:color w:val="auto"/>
          <w:lang w:val="en-US" w:eastAsia="zh-CN"/>
        </w:rPr>
      </w:pPr>
      <w:r>
        <w:rPr>
          <w:rFonts w:hint="default"/>
          <w:color w:val="auto"/>
          <w:lang w:val="en-US" w:eastAsia="zh-CN"/>
        </w:rPr>
        <w:t>生产性噪声一般分为两类，一类是机械运转、机件、物体撞击、摩擦产生的机械噪声，另一类则是由于气体运动引起的空气动力噪声。</w:t>
      </w:r>
    </w:p>
    <w:p>
      <w:pPr>
        <w:ind w:firstLine="200"/>
        <w:rPr>
          <w:rFonts w:hint="default"/>
          <w:color w:val="auto"/>
          <w:lang w:val="en-US" w:eastAsia="zh-CN"/>
        </w:rPr>
      </w:pPr>
      <w:r>
        <w:rPr>
          <w:rFonts w:hint="default"/>
          <w:color w:val="auto"/>
          <w:lang w:val="en-US" w:eastAsia="zh-CN"/>
        </w:rPr>
        <w:t>项目产生高噪声源的主要设备为</w:t>
      </w:r>
      <w:r>
        <w:rPr>
          <w:rFonts w:hint="eastAsia"/>
          <w:color w:val="auto"/>
          <w:lang w:val="en-US" w:eastAsia="zh-CN"/>
        </w:rPr>
        <w:t>棒磨机、</w:t>
      </w:r>
      <w:r>
        <w:rPr>
          <w:rFonts w:hint="default"/>
          <w:color w:val="auto"/>
          <w:lang w:val="en-US" w:eastAsia="zh-CN"/>
        </w:rPr>
        <w:t>球磨机、破碎机、研磨机</w:t>
      </w:r>
      <w:r>
        <w:rPr>
          <w:rFonts w:hint="eastAsia"/>
          <w:color w:val="auto"/>
          <w:lang w:val="en-US" w:eastAsia="zh-CN"/>
        </w:rPr>
        <w:t>、振动筛</w:t>
      </w:r>
      <w:r>
        <w:rPr>
          <w:rFonts w:hint="default"/>
          <w:color w:val="auto"/>
          <w:lang w:val="en-US" w:eastAsia="zh-CN"/>
        </w:rPr>
        <w:t>及各类</w:t>
      </w:r>
      <w:r>
        <w:rPr>
          <w:rFonts w:hint="eastAsia"/>
          <w:color w:val="auto"/>
          <w:lang w:val="en-US" w:eastAsia="zh-CN"/>
        </w:rPr>
        <w:t>风机、</w:t>
      </w:r>
      <w:r>
        <w:rPr>
          <w:rFonts w:hint="default"/>
          <w:color w:val="auto"/>
          <w:lang w:val="en-US" w:eastAsia="zh-CN"/>
        </w:rPr>
        <w:t>泵的运行噪声。噪声最高可达85-95dB（A）左右。</w:t>
      </w:r>
    </w:p>
    <w:p>
      <w:pPr>
        <w:ind w:firstLine="200"/>
        <w:rPr>
          <w:rFonts w:hint="default"/>
          <w:color w:val="auto"/>
          <w:lang w:val="en-US" w:eastAsia="zh-CN"/>
        </w:rPr>
      </w:pPr>
      <w:r>
        <w:rPr>
          <w:rFonts w:hint="default"/>
          <w:color w:val="auto"/>
          <w:lang w:val="en-US" w:eastAsia="zh-CN"/>
        </w:rPr>
        <w:t>噪声不仅会损害人们的听觉器官，同时对神经系统、心血管系统均有不良影响。长期处于噪声环境中的人会觉头晕、疲劳、心理不安。出现记忆力减退、失眠多梦、神经衰弱等不良症状。对心血管的不良影响主要表现为心动加速、心律不齐。同时影响脂肪的代谢，造成胆固醇升高，增加了冠心病的发病可能性。</w:t>
      </w:r>
    </w:p>
    <w:p>
      <w:pPr>
        <w:ind w:firstLine="200"/>
        <w:rPr>
          <w:rFonts w:hint="default"/>
          <w:color w:val="auto"/>
          <w:lang w:val="en-US" w:eastAsia="zh-CN"/>
        </w:rPr>
      </w:pPr>
      <w:r>
        <w:rPr>
          <w:rFonts w:hint="default"/>
          <w:color w:val="auto"/>
          <w:lang w:val="en-US" w:eastAsia="zh-CN"/>
        </w:rPr>
        <w:t>振动是生产中常见的有害因素，它与噪声相结合用于人体，也可通过工具、设备、地板或其他物体作用于人体，而产生危害。按其作用部位可分为局部振动和全身振动。工矿生产中的振动源主要包括大功率机电设备、一定压力的气体输送管道及其他强烈机械摩擦等。</w:t>
      </w:r>
    </w:p>
    <w:p>
      <w:pPr>
        <w:ind w:firstLine="200"/>
        <w:rPr>
          <w:rFonts w:hint="default"/>
          <w:color w:val="auto"/>
          <w:lang w:val="en-US" w:eastAsia="zh-CN"/>
        </w:rPr>
      </w:pPr>
      <w:r>
        <w:rPr>
          <w:rFonts w:hint="default"/>
          <w:color w:val="auto"/>
          <w:lang w:val="en-US" w:eastAsia="zh-CN"/>
        </w:rPr>
        <w:t>振动主要来自选矿厂较大型运转设备，如圆锥破碎机、球磨机等设备在运转时产生的机械性振动，影响作业环境，危害作业人员健康。</w:t>
      </w:r>
    </w:p>
    <w:p>
      <w:pPr>
        <w:numPr>
          <w:ilvl w:val="0"/>
          <w:numId w:val="6"/>
        </w:numPr>
        <w:ind w:firstLine="560"/>
        <w:rPr>
          <w:rFonts w:hint="default"/>
          <w:color w:val="auto"/>
          <w:lang w:val="en-US" w:eastAsia="zh-CN"/>
        </w:rPr>
      </w:pPr>
      <w:r>
        <w:rPr>
          <w:rFonts w:hint="eastAsia"/>
          <w:color w:val="auto"/>
        </w:rPr>
        <w:t>高温、低温</w:t>
      </w:r>
    </w:p>
    <w:p>
      <w:pPr>
        <w:ind w:firstLine="200"/>
        <w:rPr>
          <w:rFonts w:hint="default"/>
          <w:color w:val="auto"/>
          <w:lang w:val="en-US" w:eastAsia="zh-CN"/>
        </w:rPr>
      </w:pPr>
      <w:r>
        <w:rPr>
          <w:rFonts w:hint="default"/>
          <w:color w:val="auto"/>
          <w:lang w:val="en-US" w:eastAsia="zh-CN"/>
        </w:rPr>
        <w:t>设备在运行时产生热量向周围空间放热，夏季炎热及运行过程产生的热辐射可造成作业环境高温，导致作业人员易疲劳，甚至脱水中暑、休克等。</w:t>
      </w:r>
    </w:p>
    <w:p>
      <w:pPr>
        <w:ind w:firstLine="200"/>
        <w:rPr>
          <w:rFonts w:hint="default"/>
          <w:color w:val="auto"/>
          <w:lang w:val="en-US" w:eastAsia="zh-CN"/>
        </w:rPr>
      </w:pPr>
      <w:r>
        <w:rPr>
          <w:rFonts w:hint="default"/>
          <w:color w:val="auto"/>
          <w:lang w:val="en-US" w:eastAsia="zh-CN"/>
        </w:rPr>
        <w:t>由于季节变化，个体防护及设施缺陷，冬季易造成冻伤；夏季易造成中暑（热射病、日射病、热痉挛、热衰竭），长期在高温环境中作业，可出现高血压、心肌受损和消化功能障碍等病症。在干燥、包装车间工作，由于降温措施及个体防护缺陷将造成高温伤害。</w:t>
      </w:r>
    </w:p>
    <w:p>
      <w:pPr>
        <w:numPr>
          <w:ilvl w:val="0"/>
          <w:numId w:val="6"/>
        </w:numPr>
        <w:ind w:firstLine="560"/>
        <w:rPr>
          <w:rFonts w:hint="default"/>
          <w:color w:val="auto"/>
          <w:lang w:val="en-US" w:eastAsia="zh-CN"/>
        </w:rPr>
      </w:pPr>
      <w:r>
        <w:rPr>
          <w:rFonts w:hint="eastAsia" w:ascii="Times New Roman" w:eastAsia="宋体"/>
          <w:color w:val="auto"/>
          <w:lang w:val="en-US" w:eastAsia="zh-CN"/>
        </w:rPr>
        <w:t>X射线</w:t>
      </w:r>
      <w:r>
        <w:rPr>
          <w:rFonts w:hint="eastAsia" w:eastAsia="宋体"/>
          <w:color w:val="auto"/>
          <w:lang w:eastAsia="zh-CN"/>
        </w:rPr>
        <w:t>、</w:t>
      </w:r>
      <w:r>
        <w:rPr>
          <w:rFonts w:hint="eastAsia" w:ascii="Times New Roman" w:eastAsia="宋体"/>
          <w:color w:val="auto"/>
          <w:lang w:val="en-US" w:eastAsia="zh-CN"/>
        </w:rPr>
        <w:t>微波</w:t>
      </w:r>
    </w:p>
    <w:p>
      <w:pPr>
        <w:ind w:firstLine="200"/>
        <w:rPr>
          <w:rFonts w:hint="default" w:ascii="Times New Roman" w:eastAsia="宋体"/>
          <w:color w:val="auto"/>
          <w:lang w:val="en-US" w:eastAsia="zh-CN"/>
        </w:rPr>
      </w:pPr>
      <w:r>
        <w:rPr>
          <w:rFonts w:hint="eastAsia"/>
          <w:color w:val="auto"/>
          <w:lang w:val="en-US" w:eastAsia="zh-CN"/>
        </w:rPr>
        <w:t>预选厂房存在</w:t>
      </w:r>
      <w:r>
        <w:rPr>
          <w:rFonts w:hint="eastAsia" w:ascii="Times New Roman" w:eastAsia="宋体"/>
          <w:color w:val="auto"/>
          <w:lang w:val="en-US" w:eastAsia="zh-CN"/>
        </w:rPr>
        <w:t>X射线</w:t>
      </w:r>
      <w:r>
        <w:rPr>
          <w:rFonts w:hint="eastAsia"/>
          <w:color w:val="auto"/>
          <w:lang w:val="en-US" w:eastAsia="zh-CN"/>
        </w:rPr>
        <w:t>，</w:t>
      </w:r>
      <w:r>
        <w:rPr>
          <w:rFonts w:hint="eastAsia" w:ascii="Times New Roman" w:eastAsia="宋体"/>
          <w:color w:val="auto"/>
          <w:lang w:val="en-US" w:eastAsia="zh-CN"/>
        </w:rPr>
        <w:t>X射线</w:t>
      </w:r>
      <w:r>
        <w:rPr>
          <w:rFonts w:hint="eastAsia"/>
          <w:color w:val="auto"/>
          <w:lang w:val="en-US" w:eastAsia="zh-CN"/>
        </w:rPr>
        <w:t>对人体健康有一定的危害，</w:t>
      </w:r>
      <w:r>
        <w:rPr>
          <w:rFonts w:hint="eastAsia" w:ascii="Times New Roman" w:eastAsia="宋体"/>
          <w:color w:val="auto"/>
          <w:lang w:val="en-US" w:eastAsia="zh-CN"/>
        </w:rPr>
        <w:t>X射线</w:t>
      </w:r>
      <w:r>
        <w:rPr>
          <w:rFonts w:hint="eastAsia"/>
          <w:color w:val="auto"/>
          <w:lang w:val="en-US" w:eastAsia="zh-CN"/>
        </w:rPr>
        <w:t>照射量越大，对人体的损害就越大。</w:t>
      </w:r>
      <w:r>
        <w:rPr>
          <w:rFonts w:hint="eastAsia" w:ascii="Times New Roman" w:eastAsia="宋体"/>
          <w:color w:val="auto"/>
          <w:lang w:val="en-US" w:eastAsia="zh-CN"/>
        </w:rPr>
        <w:t>X射线</w:t>
      </w:r>
      <w:r>
        <w:rPr>
          <w:rFonts w:hint="eastAsia"/>
          <w:color w:val="auto"/>
          <w:lang w:val="en-US" w:eastAsia="zh-CN"/>
        </w:rPr>
        <w:t>照射量可在身体内累积，其主要危害是对人体血液成分中的白细胞具有一定的杀伤力，使人体血液中的白细胞数量减少，进而导致机体免疫功能下降，使病菌容易侵入机体而发生疾病，</w:t>
      </w:r>
      <w:r>
        <w:rPr>
          <w:rFonts w:hint="eastAsia" w:ascii="Times New Roman" w:eastAsia="宋体"/>
          <w:color w:val="auto"/>
          <w:lang w:val="en-US" w:eastAsia="zh-CN"/>
        </w:rPr>
        <w:t>因此</w:t>
      </w:r>
      <w:r>
        <w:rPr>
          <w:rFonts w:hint="eastAsia"/>
          <w:color w:val="auto"/>
          <w:lang w:val="en-US" w:eastAsia="zh-CN"/>
        </w:rPr>
        <w:t>需做好防护。</w:t>
      </w:r>
    </w:p>
    <w:p>
      <w:pPr>
        <w:ind w:firstLine="200"/>
        <w:rPr>
          <w:rFonts w:hint="eastAsia"/>
          <w:color w:val="auto"/>
          <w:lang w:val="en-US" w:eastAsia="zh-CN"/>
        </w:rPr>
      </w:pPr>
      <w:r>
        <w:rPr>
          <w:rFonts w:hint="eastAsia" w:ascii="Times New Roman" w:eastAsia="宋体"/>
          <w:color w:val="auto"/>
          <w:lang w:val="en-US" w:eastAsia="zh-CN"/>
        </w:rPr>
        <w:t>干燥作业中会使用到微波烘干机，一般少量接触微波对人体没有危害，但长期暴露在微波辐射下则可能会对人体神经、心血管、消化、生殖、免疫等多个系统，以及眼部组织产生影响。因此在使用微波烘干机中应做好防护。</w:t>
      </w:r>
    </w:p>
    <w:p>
      <w:pPr>
        <w:keepNext/>
        <w:keepLines/>
        <w:widowControl w:val="0"/>
        <w:spacing w:beforeAutospacing="0" w:afterAutospacing="0" w:line="360" w:lineRule="auto"/>
        <w:ind w:left="280" w:leftChars="100" w:firstLine="0" w:firstLineChars="0"/>
        <w:jc w:val="both"/>
        <w:outlineLvl w:val="1"/>
        <w:rPr>
          <w:rFonts w:hint="default" w:ascii="Times New Roman" w:hAnsi="Times New Roman" w:eastAsia="黑体" w:cs="Times New Roman"/>
          <w:b/>
          <w:color w:val="auto"/>
          <w:kern w:val="2"/>
          <w:sz w:val="30"/>
          <w:szCs w:val="24"/>
          <w:lang w:val="en-US" w:eastAsia="zh-CN" w:bidi="ar-SA"/>
        </w:rPr>
      </w:pPr>
      <w:bookmarkStart w:id="148" w:name="_Toc31264"/>
      <w:bookmarkStart w:id="149" w:name="_Toc30653"/>
      <w:r>
        <w:rPr>
          <w:rFonts w:hint="default" w:ascii="Times New Roman" w:hAnsi="Times New Roman" w:eastAsia="黑体" w:cs="Times New Roman"/>
          <w:b/>
          <w:color w:val="auto"/>
          <w:kern w:val="2"/>
          <w:sz w:val="30"/>
          <w:szCs w:val="24"/>
          <w:lang w:val="en-US" w:eastAsia="zh-CN" w:bidi="ar-SA"/>
        </w:rPr>
        <w:t>3.4 管理危险有害因素辨识与分析</w:t>
      </w:r>
      <w:bookmarkEnd w:id="148"/>
      <w:bookmarkEnd w:id="149"/>
    </w:p>
    <w:p>
      <w:pPr>
        <w:bidi w:val="0"/>
        <w:rPr>
          <w:rFonts w:hint="eastAsia"/>
          <w:color w:val="auto"/>
          <w:lang w:val="en-US" w:eastAsia="zh-CN"/>
        </w:rPr>
      </w:pPr>
      <w:r>
        <w:rPr>
          <w:rFonts w:hint="default"/>
          <w:color w:val="auto"/>
          <w:lang w:val="en-US" w:eastAsia="zh-CN"/>
        </w:rPr>
        <w:t>在项目运行期间，未建立健全安全生产管理机构、安全生产责任制来组织制定本单位安全生产规章制度和操作规程、未制定应急预案、来及时督促和检查本单位的安全生产工作并及时消除生产安全过程中的事故隐患及安全投入不足，均有可能造成安全事故的发生。设备使用单位未建立相关的安全管理制度、未配备起重设备专（兼）职安全管理人员或人员培训不合格、设备维护不及时、违章操作都有可能造成各种伤害等。</w:t>
      </w:r>
    </w:p>
    <w:p>
      <w:pPr>
        <w:pStyle w:val="3"/>
        <w:bidi w:val="0"/>
        <w:rPr>
          <w:color w:val="auto"/>
        </w:rPr>
      </w:pPr>
      <w:bookmarkStart w:id="150" w:name="_Toc2030"/>
      <w:bookmarkStart w:id="151" w:name="_Toc16006"/>
      <w:r>
        <w:rPr>
          <w:rFonts w:hint="eastAsia"/>
          <w:color w:val="auto"/>
          <w:lang w:val="en-US" w:eastAsia="zh-CN"/>
        </w:rPr>
        <w:t xml:space="preserve">3.5 </w:t>
      </w:r>
      <w:bookmarkEnd w:id="116"/>
      <w:r>
        <w:rPr>
          <w:rFonts w:hint="eastAsia"/>
          <w:color w:val="auto"/>
          <w:lang w:val="en-US" w:eastAsia="zh-CN"/>
        </w:rPr>
        <w:t>生产工艺流程危险、有害因素辨识与分析</w:t>
      </w:r>
      <w:bookmarkEnd w:id="150"/>
      <w:bookmarkEnd w:id="151"/>
    </w:p>
    <w:p>
      <w:pPr>
        <w:pStyle w:val="4"/>
        <w:bidi w:val="0"/>
        <w:rPr>
          <w:color w:val="auto"/>
        </w:rPr>
      </w:pPr>
      <w:bookmarkStart w:id="152" w:name="_Toc8823"/>
      <w:bookmarkStart w:id="153" w:name="_Toc24438"/>
      <w:bookmarkStart w:id="154" w:name="_Toc17485"/>
      <w:r>
        <w:rPr>
          <w:rFonts w:hint="eastAsia"/>
          <w:color w:val="auto"/>
          <w:lang w:val="en-US" w:eastAsia="zh-CN"/>
        </w:rPr>
        <w:t xml:space="preserve">3.5.1 </w:t>
      </w:r>
      <w:r>
        <w:rPr>
          <w:color w:val="auto"/>
        </w:rPr>
        <w:t>机械伤害</w:t>
      </w:r>
      <w:bookmarkEnd w:id="152"/>
      <w:bookmarkEnd w:id="153"/>
      <w:bookmarkEnd w:id="154"/>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本项目中使用破碎机、球磨机、浮选机及各类泵等机械设备的传动部位，如果未采用护栏、护罩、护套等防护或在检修时误启动等，或因操作失误，衣物圈入等，可造成机械伤害事故。</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机械设备部件或工具直接与人体接触，可能引夹击、碰撞、卷入、割刺、切削等危险。本工程使用的设备的传动和转动部位，如果防护不当或在检修时误启动，可能导致碰撞、卷入伤害，装卸物料时可能发生手指的夹击、碰撞等机械伤害事故。其主要途径为：</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1、设备的传动、转动部位绞、碾、碰、戳、卷缠，伤及人体；</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2、生产测试检查、维修设备时，不注意而被碰、割、戳；</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3、衣物或擦洗设备时棉纱或手套等被绞入转动设备；</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4、旋转、往复、滑动物体撞击伤人；</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5、设备检修时未断电和设立警示标志，误起动造成机械伤害；</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6、设备机械安全防护装置缺失或有缺陷；</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7、机械设备的保险、信号装置有缺陷；</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8、设备突出的机械部分、工具设备边缘毛刺或锋利处碰伤；</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 xml:space="preserve">9、员工工作时注意力不集中； </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10、劳动防护用品未正确穿戴。</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机械伤害是本项目的防范内容之一。</w:t>
      </w:r>
    </w:p>
    <w:p>
      <w:pPr>
        <w:pStyle w:val="4"/>
        <w:bidi w:val="0"/>
        <w:rPr>
          <w:rFonts w:hint="eastAsia"/>
          <w:color w:val="auto"/>
          <w:lang w:val="en-US" w:eastAsia="zh-CN"/>
        </w:rPr>
      </w:pPr>
      <w:bookmarkStart w:id="155" w:name="_Toc19663"/>
      <w:bookmarkStart w:id="156" w:name="_Toc20281"/>
      <w:bookmarkStart w:id="157" w:name="_Toc20913"/>
      <w:r>
        <w:rPr>
          <w:rFonts w:hint="eastAsia"/>
          <w:color w:val="auto"/>
          <w:lang w:val="en-US" w:eastAsia="zh-CN"/>
        </w:rPr>
        <w:t>3.5.2 触电（电气伤害）</w:t>
      </w:r>
      <w:bookmarkEnd w:id="155"/>
      <w:bookmarkEnd w:id="156"/>
      <w:bookmarkEnd w:id="157"/>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触电（电气伤害）主要包括触电和电弧灼伤。主要来自配电箱、启动柜、电机及导线（导线裸露）等带电设备的漏电、静电、电火花以及带电设备外壳接地不良所造成的电击事故。</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本项目中有大量用电专用设备，人体接触高、低压电源会造成触电伤害。如果设备开关本体缺陷、设备保护接地失效或操作失误，个人思想麻痹，防护缺陷，操作电气开关不使用绝缘工具，或非专业人员违章操作等，易发生人员触电事故。而电气布线及用电设备容易产生绝缘性能降低，甚至外壳带电，特别在多雨、潮湿、高温季节可能造成人身触电事故。</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电弧灼伤主要表现在违章操作如带负荷送电或停电，绝缘损坏或人为造成短路，引发电弧可能造成电灼伤事故。</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电焊作业亦会引起电弧灼伤事故。</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应当指出，雷击也可能产生电气伤害。雷击不仅会导致人员的触电和电弧灼伤，还会造成设备的破坏、控制系统的失效，严重时还会导致火灾、爆炸事故的发生。</w:t>
      </w:r>
    </w:p>
    <w:p>
      <w:pPr>
        <w:pStyle w:val="4"/>
        <w:bidi w:val="0"/>
        <w:rPr>
          <w:rFonts w:hint="default"/>
          <w:color w:val="auto"/>
          <w:lang w:val="en-US" w:eastAsia="zh-CN"/>
        </w:rPr>
      </w:pPr>
      <w:bookmarkStart w:id="158" w:name="_Toc23947"/>
      <w:bookmarkStart w:id="159" w:name="_Toc684"/>
      <w:r>
        <w:rPr>
          <w:rFonts w:hint="default"/>
          <w:color w:val="auto"/>
          <w:lang w:val="en-US" w:eastAsia="zh-CN"/>
        </w:rPr>
        <w:t>3.5.</w:t>
      </w:r>
      <w:r>
        <w:rPr>
          <w:rFonts w:hint="eastAsia"/>
          <w:color w:val="auto"/>
          <w:lang w:val="en-US" w:eastAsia="zh-CN"/>
        </w:rPr>
        <w:t>3</w:t>
      </w:r>
      <w:r>
        <w:rPr>
          <w:rFonts w:hint="default"/>
          <w:color w:val="auto"/>
          <w:lang w:val="en-US" w:eastAsia="zh-CN"/>
        </w:rPr>
        <w:t xml:space="preserve"> 火灾</w:t>
      </w:r>
      <w:bookmarkEnd w:id="158"/>
      <w:bookmarkEnd w:id="159"/>
    </w:p>
    <w:p>
      <w:pPr>
        <w:rPr>
          <w:rFonts w:hint="default"/>
          <w:color w:val="auto"/>
          <w:lang w:val="en-US" w:eastAsia="zh-CN"/>
        </w:rPr>
      </w:pPr>
      <w:r>
        <w:rPr>
          <w:rFonts w:hint="default"/>
          <w:color w:val="auto"/>
          <w:lang w:val="en-US" w:eastAsia="zh-CN"/>
        </w:rPr>
        <w:t>由于电力设备过载、短路或电缆等材料过负荷、老化或因散热不良而引发火灾，该项目存在电气设备、材料等的火灾危险。</w:t>
      </w:r>
    </w:p>
    <w:p>
      <w:pPr>
        <w:rPr>
          <w:rFonts w:hint="default"/>
          <w:color w:val="auto"/>
          <w:lang w:val="en-US" w:eastAsia="zh-CN"/>
        </w:rPr>
      </w:pPr>
      <w:r>
        <w:rPr>
          <w:rFonts w:hint="default"/>
          <w:color w:val="auto"/>
          <w:lang w:val="en-US" w:eastAsia="zh-CN"/>
        </w:rPr>
        <w:t>在设备检修作业过程中由于违章检修、违章动火作业引起的爆炸等。</w:t>
      </w:r>
    </w:p>
    <w:p>
      <w:pPr>
        <w:rPr>
          <w:rFonts w:hint="default"/>
          <w:color w:val="auto"/>
          <w:lang w:val="en-US" w:eastAsia="zh-CN"/>
        </w:rPr>
      </w:pPr>
      <w:r>
        <w:rPr>
          <w:rFonts w:hint="default"/>
          <w:color w:val="auto"/>
          <w:lang w:val="en-US" w:eastAsia="zh-CN"/>
        </w:rPr>
        <w:t>设备基础、支架因地质灾害、长期腐蚀或着火后受热变形，造成管线焊点拉裂漏油着火。</w:t>
      </w:r>
    </w:p>
    <w:p>
      <w:pPr>
        <w:pStyle w:val="4"/>
        <w:bidi w:val="0"/>
        <w:rPr>
          <w:rFonts w:hint="default"/>
          <w:color w:val="auto"/>
          <w:lang w:val="en-US" w:eastAsia="zh-CN"/>
        </w:rPr>
      </w:pPr>
      <w:bookmarkStart w:id="160" w:name="_Toc17520"/>
      <w:bookmarkStart w:id="161" w:name="_Toc11600"/>
      <w:bookmarkStart w:id="162" w:name="_Toc19645"/>
      <w:r>
        <w:rPr>
          <w:rFonts w:hint="eastAsia"/>
          <w:color w:val="auto"/>
          <w:lang w:val="en-US" w:eastAsia="zh-CN"/>
        </w:rPr>
        <w:t xml:space="preserve">3.5.4 </w:t>
      </w:r>
      <w:r>
        <w:rPr>
          <w:rFonts w:hint="default"/>
          <w:color w:val="auto"/>
          <w:lang w:val="en-US" w:eastAsia="zh-CN"/>
        </w:rPr>
        <w:t>车辆伤害</w:t>
      </w:r>
      <w:bookmarkEnd w:id="160"/>
      <w:bookmarkEnd w:id="161"/>
      <w:bookmarkEnd w:id="162"/>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车辆伤害指企业机动车辆在行驶中引起的人体坠落和物体倒塌、飞落、挤压伤亡事故，不包括起重设备提升、牵引车辆和车辆停驶时发生的事故。</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本项目原料、辅料物资多采用汽车运输，厂内汽车来往频繁，有可能因道路安全标志不明或缺失、运输路面狭窄、路面拐弯半径过小、车辆故障、车辆违章行驶、运输秩序混乱、装载过满、驾驶员思想麻痹等都有可能发生翻车、撞人等车辆伤害。</w:t>
      </w:r>
    </w:p>
    <w:p>
      <w:pPr>
        <w:pStyle w:val="4"/>
        <w:bidi w:val="0"/>
        <w:rPr>
          <w:rFonts w:hint="eastAsia"/>
          <w:color w:val="auto"/>
          <w:lang w:val="en-US" w:eastAsia="zh-CN"/>
        </w:rPr>
      </w:pPr>
      <w:bookmarkStart w:id="163" w:name="_Toc4221"/>
      <w:bookmarkStart w:id="164" w:name="_Toc21307"/>
      <w:bookmarkStart w:id="165" w:name="_Toc518"/>
      <w:r>
        <w:rPr>
          <w:rFonts w:hint="eastAsia"/>
          <w:color w:val="auto"/>
          <w:lang w:val="en-US" w:eastAsia="zh-CN"/>
        </w:rPr>
        <w:t>3.5.5 起重伤害</w:t>
      </w:r>
      <w:bookmarkEnd w:id="163"/>
      <w:bookmarkEnd w:id="164"/>
    </w:p>
    <w:bookmarkEnd w:id="165"/>
    <w:p>
      <w:pPr>
        <w:rPr>
          <w:rFonts w:hint="eastAsia"/>
          <w:color w:val="auto"/>
          <w:lang w:val="en-US" w:eastAsia="zh-CN"/>
        </w:rPr>
      </w:pPr>
      <w:r>
        <w:rPr>
          <w:rFonts w:hint="eastAsia" w:ascii="Times New Roman" w:eastAsia="宋体"/>
          <w:color w:val="auto"/>
          <w:lang w:val="en-US" w:eastAsia="zh-CN"/>
        </w:rPr>
        <w:t>设备安装和检修使用起重设备或器具，可能导致吊具、吊物发生挤压、坠落或打击，导致人员伤害或设备设施的损害。其伤害程度一般均比较严重，轻则重伤，重则人员死亡。</w:t>
      </w:r>
    </w:p>
    <w:p>
      <w:pPr>
        <w:rPr>
          <w:rFonts w:hint="eastAsia"/>
          <w:color w:val="auto"/>
          <w:lang w:val="en-US" w:eastAsia="zh-CN"/>
        </w:rPr>
      </w:pPr>
      <w:r>
        <w:rPr>
          <w:rFonts w:hint="eastAsia" w:ascii="Times New Roman" w:eastAsia="宋体"/>
          <w:color w:val="auto"/>
          <w:lang w:val="en-US" w:eastAsia="zh-CN"/>
        </w:rPr>
        <w:t>起重伤害通常发生的可能性有：</w:t>
      </w:r>
    </w:p>
    <w:p>
      <w:pPr>
        <w:rPr>
          <w:rFonts w:hint="eastAsia"/>
          <w:color w:val="auto"/>
          <w:lang w:val="en-US" w:eastAsia="zh-CN"/>
        </w:rPr>
      </w:pPr>
      <w:r>
        <w:rPr>
          <w:rFonts w:hint="eastAsia" w:ascii="Times New Roman" w:eastAsia="宋体"/>
          <w:color w:val="auto"/>
          <w:lang w:val="en-US" w:eastAsia="zh-CN"/>
        </w:rPr>
        <w:t>1、起重作业中发生挤压、坠落、（吊具、吊重）的物体打击；</w:t>
      </w:r>
    </w:p>
    <w:p>
      <w:pPr>
        <w:rPr>
          <w:rFonts w:hint="eastAsia"/>
          <w:color w:val="auto"/>
          <w:lang w:val="en-US" w:eastAsia="zh-CN"/>
        </w:rPr>
      </w:pPr>
      <w:r>
        <w:rPr>
          <w:rFonts w:hint="eastAsia" w:ascii="Times New Roman" w:eastAsia="宋体"/>
          <w:color w:val="auto"/>
          <w:lang w:val="en-US" w:eastAsia="zh-CN"/>
        </w:rPr>
        <w:t>2、重物撞击人体；</w:t>
      </w:r>
    </w:p>
    <w:p>
      <w:pPr>
        <w:rPr>
          <w:rFonts w:hint="eastAsia"/>
          <w:color w:val="auto"/>
          <w:lang w:val="en-US" w:eastAsia="zh-CN"/>
        </w:rPr>
      </w:pPr>
      <w:r>
        <w:rPr>
          <w:rFonts w:hint="eastAsia" w:ascii="Times New Roman" w:eastAsia="宋体"/>
          <w:color w:val="auto"/>
          <w:lang w:val="en-US" w:eastAsia="zh-CN"/>
        </w:rPr>
        <w:t>3、起吊重物坠落、吊勾坠落；</w:t>
      </w:r>
    </w:p>
    <w:p>
      <w:pPr>
        <w:rPr>
          <w:rFonts w:hint="eastAsia"/>
          <w:color w:val="auto"/>
          <w:lang w:val="en-US" w:eastAsia="zh-CN"/>
        </w:rPr>
      </w:pPr>
      <w:r>
        <w:rPr>
          <w:rFonts w:hint="eastAsia" w:ascii="Times New Roman" w:eastAsia="宋体"/>
          <w:color w:val="auto"/>
          <w:lang w:val="en-US" w:eastAsia="zh-CN"/>
        </w:rPr>
        <w:t xml:space="preserve">4、起重机械吊钩超载断裂，重物坠落； </w:t>
      </w:r>
    </w:p>
    <w:p>
      <w:pPr>
        <w:rPr>
          <w:rFonts w:hint="eastAsia"/>
          <w:color w:val="auto"/>
          <w:lang w:val="en-US" w:eastAsia="zh-CN"/>
        </w:rPr>
      </w:pPr>
      <w:r>
        <w:rPr>
          <w:rFonts w:hint="eastAsia" w:ascii="Times New Roman" w:eastAsia="宋体"/>
          <w:color w:val="auto"/>
          <w:lang w:val="en-US" w:eastAsia="zh-CN"/>
        </w:rPr>
        <w:t>5、起重设备带故障运行，电气绝缘设施损坏漏电；</w:t>
      </w:r>
    </w:p>
    <w:p>
      <w:pPr>
        <w:rPr>
          <w:rFonts w:hint="eastAsia"/>
          <w:color w:val="auto"/>
          <w:lang w:val="en-US" w:eastAsia="zh-CN"/>
        </w:rPr>
      </w:pPr>
      <w:r>
        <w:rPr>
          <w:rFonts w:hint="eastAsia" w:ascii="Times New Roman" w:eastAsia="宋体"/>
          <w:color w:val="auto"/>
          <w:lang w:val="en-US" w:eastAsia="zh-CN"/>
        </w:rPr>
        <w:t>6、钢丝绳长期使用磨损或疲劳，超过钢丝绳安全使用系数；</w:t>
      </w:r>
    </w:p>
    <w:p>
      <w:pPr>
        <w:rPr>
          <w:rFonts w:hint="eastAsia"/>
          <w:color w:val="auto"/>
          <w:lang w:val="en-US" w:eastAsia="zh-CN"/>
        </w:rPr>
      </w:pPr>
      <w:r>
        <w:rPr>
          <w:rFonts w:hint="eastAsia" w:ascii="Times New Roman" w:eastAsia="宋体"/>
          <w:color w:val="auto"/>
          <w:lang w:val="en-US" w:eastAsia="zh-CN"/>
        </w:rPr>
        <w:t>7、制动器、摩擦垫片安全防护装置磨损或有缺陷；</w:t>
      </w:r>
    </w:p>
    <w:p>
      <w:pPr>
        <w:rPr>
          <w:rFonts w:hint="eastAsia"/>
          <w:color w:val="auto"/>
          <w:lang w:val="en-US" w:eastAsia="zh-CN"/>
        </w:rPr>
      </w:pPr>
      <w:r>
        <w:rPr>
          <w:rFonts w:hint="eastAsia" w:ascii="Times New Roman" w:eastAsia="宋体"/>
          <w:color w:val="auto"/>
          <w:lang w:val="en-US" w:eastAsia="zh-CN"/>
        </w:rPr>
        <w:t>8、吊装时方法不正确，斜拉吊装，使钢丝绳从滑轮的滑槽中脱落或在卷筒上不规则缠绕；</w:t>
      </w:r>
    </w:p>
    <w:p>
      <w:pPr>
        <w:rPr>
          <w:rFonts w:hint="eastAsia"/>
          <w:color w:val="auto"/>
          <w:lang w:val="en-US" w:eastAsia="zh-CN"/>
        </w:rPr>
      </w:pPr>
      <w:r>
        <w:rPr>
          <w:rFonts w:hint="eastAsia" w:ascii="Times New Roman" w:eastAsia="宋体"/>
          <w:color w:val="auto"/>
          <w:lang w:val="en-US" w:eastAsia="zh-CN"/>
        </w:rPr>
        <w:t>9、违章指挥、违章作业；</w:t>
      </w:r>
    </w:p>
    <w:p>
      <w:pPr>
        <w:rPr>
          <w:rFonts w:hint="eastAsia"/>
          <w:color w:val="auto"/>
          <w:lang w:val="en-US" w:eastAsia="zh-CN"/>
        </w:rPr>
      </w:pPr>
      <w:r>
        <w:rPr>
          <w:rFonts w:hint="eastAsia" w:ascii="Times New Roman" w:eastAsia="宋体"/>
          <w:color w:val="auto"/>
          <w:lang w:val="en-US" w:eastAsia="zh-CN"/>
        </w:rPr>
        <w:t xml:space="preserve">10、起重设备的保险、信号装置有缺陷； </w:t>
      </w:r>
    </w:p>
    <w:p>
      <w:pPr>
        <w:rPr>
          <w:rFonts w:hint="eastAsia"/>
          <w:color w:val="auto"/>
          <w:lang w:val="en-US" w:eastAsia="zh-CN"/>
        </w:rPr>
      </w:pPr>
      <w:r>
        <w:rPr>
          <w:rFonts w:hint="eastAsia" w:ascii="Times New Roman" w:eastAsia="宋体"/>
          <w:color w:val="auto"/>
          <w:lang w:val="en-US" w:eastAsia="zh-CN"/>
        </w:rPr>
        <w:t>11、起重作业联系信号不畅，作业不协调；</w:t>
      </w:r>
    </w:p>
    <w:p>
      <w:pPr>
        <w:rPr>
          <w:rFonts w:hint="eastAsia"/>
          <w:color w:val="auto"/>
          <w:lang w:val="en-US" w:eastAsia="zh-CN"/>
        </w:rPr>
      </w:pPr>
      <w:r>
        <w:rPr>
          <w:rFonts w:hint="eastAsia" w:ascii="Times New Roman" w:eastAsia="宋体"/>
          <w:color w:val="auto"/>
          <w:lang w:val="en-US" w:eastAsia="zh-CN"/>
        </w:rPr>
        <w:t>12、员工工作时注意力不集中；</w:t>
      </w:r>
    </w:p>
    <w:p>
      <w:pPr>
        <w:rPr>
          <w:rFonts w:hint="eastAsia"/>
          <w:color w:val="auto"/>
          <w:lang w:val="en-US" w:eastAsia="zh-CN"/>
        </w:rPr>
      </w:pPr>
      <w:r>
        <w:rPr>
          <w:rFonts w:hint="eastAsia" w:ascii="Times New Roman" w:eastAsia="宋体"/>
          <w:color w:val="auto"/>
          <w:lang w:val="en-US" w:eastAsia="zh-CN"/>
        </w:rPr>
        <w:t>13、劳动防护用品未正确穿戴；</w:t>
      </w:r>
    </w:p>
    <w:p>
      <w:pPr>
        <w:rPr>
          <w:rFonts w:hint="eastAsia"/>
          <w:color w:val="auto"/>
          <w:lang w:val="en-US" w:eastAsia="zh-CN"/>
        </w:rPr>
      </w:pPr>
      <w:r>
        <w:rPr>
          <w:rFonts w:hint="eastAsia" w:ascii="Times New Roman" w:eastAsia="宋体"/>
          <w:color w:val="auto"/>
          <w:lang w:val="en-US" w:eastAsia="zh-CN"/>
        </w:rPr>
        <w:t>14、未按照操作规程作业，发生违规事故；</w:t>
      </w:r>
    </w:p>
    <w:p>
      <w:pPr>
        <w:rPr>
          <w:rFonts w:hint="eastAsia"/>
          <w:color w:val="auto"/>
          <w:lang w:val="en-US" w:eastAsia="zh-CN"/>
        </w:rPr>
      </w:pPr>
      <w:r>
        <w:rPr>
          <w:rFonts w:hint="eastAsia" w:ascii="Times New Roman" w:eastAsia="宋体"/>
          <w:color w:val="auto"/>
          <w:lang w:val="en-US" w:eastAsia="zh-CN"/>
        </w:rPr>
        <w:t>15、起重设备为特种设备，未定时检测，导致设备带病工作导致事故。</w:t>
      </w:r>
    </w:p>
    <w:p>
      <w:pPr>
        <w:rPr>
          <w:rFonts w:hint="eastAsia" w:ascii="Times New Roman" w:eastAsia="宋体"/>
          <w:color w:val="auto"/>
          <w:lang w:val="en-US" w:eastAsia="zh-CN"/>
        </w:rPr>
      </w:pPr>
      <w:r>
        <w:rPr>
          <w:rFonts w:hint="eastAsia" w:ascii="Times New Roman" w:eastAsia="宋体"/>
          <w:color w:val="auto"/>
          <w:lang w:val="en-US" w:eastAsia="zh-CN"/>
        </w:rPr>
        <w:t>起重伤害的形式主要有重物撞击人体，起吊重物坠落、吊勾坠落等。其伤害程度一般均比较严重，轻则重伤，重则人员死亡。</w:t>
      </w:r>
    </w:p>
    <w:p>
      <w:pPr>
        <w:pStyle w:val="4"/>
        <w:bidi w:val="0"/>
        <w:rPr>
          <w:rFonts w:hint="eastAsia"/>
          <w:color w:val="auto"/>
          <w:lang w:val="en-US" w:eastAsia="zh-CN"/>
        </w:rPr>
      </w:pPr>
      <w:bookmarkStart w:id="166" w:name="_Toc5180"/>
      <w:r>
        <w:rPr>
          <w:rFonts w:hint="eastAsia"/>
          <w:color w:val="auto"/>
          <w:lang w:val="en-US" w:eastAsia="zh-CN"/>
        </w:rPr>
        <w:t>3.5.6 坍塌</w:t>
      </w:r>
      <w:bookmarkEnd w:id="166"/>
    </w:p>
    <w:p>
      <w:pPr>
        <w:rPr>
          <w:rFonts w:hint="default"/>
          <w:color w:val="auto"/>
          <w:lang w:val="en-US" w:eastAsia="zh-CN"/>
        </w:rPr>
      </w:pPr>
      <w:r>
        <w:rPr>
          <w:rFonts w:hint="default"/>
          <w:color w:val="auto"/>
          <w:lang w:val="en-US" w:eastAsia="zh-CN"/>
        </w:rPr>
        <w:t>坍塌指物体在外力或重力作用下，超过自身的强度极限或因结构稳定性破坏而造成的事故。如挖沟时的土石塌方、脚手架坍塌、堆置物倒塌、建筑物倒塌等。由于本项目属新建项目，施工过程中可能存在坍塌事故。</w:t>
      </w:r>
    </w:p>
    <w:p>
      <w:pPr>
        <w:rPr>
          <w:rFonts w:hint="default"/>
          <w:color w:val="auto"/>
          <w:lang w:val="en-US" w:eastAsia="zh-CN"/>
        </w:rPr>
      </w:pPr>
      <w:r>
        <w:rPr>
          <w:rFonts w:hint="default"/>
          <w:color w:val="auto"/>
          <w:lang w:val="en-US" w:eastAsia="zh-CN"/>
        </w:rPr>
        <w:t>选厂建设和生产过程中会在地表开挖切坡，扰动了原始地形及其平衡状态，局部可能受震动、风化和雨水共同作用，在强降雨及连续降雨期极易发生坍塌，形成泥石流掩没和摧毁下游的建筑、道路、设施和人员。同时，选厂区地表自然坡亦可因构造、岩性差，在环境因素作用下形成自然滑坡体。</w:t>
      </w:r>
    </w:p>
    <w:p>
      <w:pPr>
        <w:rPr>
          <w:rFonts w:hint="default"/>
          <w:color w:val="auto"/>
          <w:lang w:val="en-US" w:eastAsia="zh-CN"/>
        </w:rPr>
      </w:pPr>
      <w:r>
        <w:rPr>
          <w:rFonts w:hint="default"/>
          <w:color w:val="auto"/>
          <w:lang w:val="en-US" w:eastAsia="zh-CN"/>
        </w:rPr>
        <w:t>本次技改项目设原矿仓、粉矿仓、废石仓、中间仓，矿石及产品在堆存或转运过程中，如果矿堆坡角大于矿石的自然安息角，就容易发生坍塌事故，可能导致设备或人员被掩埋的危险。</w:t>
      </w:r>
    </w:p>
    <w:p>
      <w:pPr>
        <w:pStyle w:val="4"/>
        <w:bidi w:val="0"/>
        <w:rPr>
          <w:rFonts w:hint="default"/>
          <w:color w:val="auto"/>
          <w:lang w:val="en-US" w:eastAsia="zh-CN"/>
        </w:rPr>
      </w:pPr>
      <w:bookmarkStart w:id="167" w:name="_Toc12760"/>
      <w:bookmarkStart w:id="168" w:name="_Toc8609"/>
      <w:r>
        <w:rPr>
          <w:rFonts w:hint="default"/>
          <w:color w:val="auto"/>
          <w:lang w:val="en-US" w:eastAsia="zh-CN"/>
        </w:rPr>
        <w:t>3.</w:t>
      </w:r>
      <w:r>
        <w:rPr>
          <w:rFonts w:hint="eastAsia"/>
          <w:color w:val="auto"/>
          <w:lang w:val="en-US" w:eastAsia="zh-CN"/>
        </w:rPr>
        <w:t>5</w:t>
      </w:r>
      <w:r>
        <w:rPr>
          <w:rFonts w:hint="default"/>
          <w:color w:val="auto"/>
          <w:lang w:val="en-US" w:eastAsia="zh-CN"/>
        </w:rPr>
        <w:t>.</w:t>
      </w:r>
      <w:r>
        <w:rPr>
          <w:rFonts w:hint="eastAsia"/>
          <w:color w:val="auto"/>
          <w:lang w:val="en-US" w:eastAsia="zh-CN"/>
        </w:rPr>
        <w:t>7</w:t>
      </w:r>
      <w:r>
        <w:rPr>
          <w:rFonts w:hint="default"/>
          <w:color w:val="auto"/>
          <w:lang w:val="en-US" w:eastAsia="zh-CN"/>
        </w:rPr>
        <w:t xml:space="preserve"> 灼烫</w:t>
      </w:r>
      <w:bookmarkEnd w:id="167"/>
      <w:bookmarkEnd w:id="168"/>
    </w:p>
    <w:p>
      <w:pPr>
        <w:rPr>
          <w:rFonts w:hint="default"/>
          <w:color w:val="auto"/>
          <w:lang w:val="en-US" w:eastAsia="zh-CN"/>
        </w:rPr>
      </w:pPr>
      <w:r>
        <w:rPr>
          <w:rFonts w:hint="default"/>
          <w:color w:val="auto"/>
          <w:lang w:val="en-US" w:eastAsia="zh-CN"/>
        </w:rPr>
        <w:t>本项目设置化验室，在蒸气加温干燥、蒸气加温制备选矿药剂场所工作时，若操作失误、设备缺陷、个体防护缺陷等使人体接触高温物体或物料造成烫伤事故。</w:t>
      </w:r>
    </w:p>
    <w:p>
      <w:pPr>
        <w:rPr>
          <w:rFonts w:hint="default"/>
          <w:color w:val="auto"/>
          <w:lang w:val="en-US" w:eastAsia="zh-CN"/>
        </w:rPr>
      </w:pPr>
      <w:r>
        <w:rPr>
          <w:rFonts w:hint="default"/>
          <w:color w:val="auto"/>
          <w:lang w:val="en-US" w:eastAsia="zh-CN"/>
        </w:rPr>
        <w:t>1）在检查或操作时可能发生火焰外喷造成烫伤。</w:t>
      </w:r>
    </w:p>
    <w:p>
      <w:pPr>
        <w:rPr>
          <w:rFonts w:hint="default"/>
          <w:color w:val="auto"/>
          <w:lang w:val="en-US" w:eastAsia="zh-CN"/>
        </w:rPr>
      </w:pPr>
      <w:r>
        <w:rPr>
          <w:rFonts w:hint="default"/>
          <w:color w:val="auto"/>
          <w:lang w:val="en-US" w:eastAsia="zh-CN"/>
        </w:rPr>
        <w:t>2）排渣、除尘装置如运行不正常，排出的物料温度高，人员作业时易发生烫伤事故。</w:t>
      </w:r>
    </w:p>
    <w:p>
      <w:pPr>
        <w:pStyle w:val="4"/>
        <w:bidi w:val="0"/>
        <w:rPr>
          <w:rFonts w:hint="default"/>
          <w:color w:val="auto"/>
          <w:lang w:val="en-US" w:eastAsia="zh-CN"/>
        </w:rPr>
      </w:pPr>
      <w:bookmarkStart w:id="169" w:name="_Toc20646"/>
      <w:bookmarkStart w:id="170" w:name="_Toc3623"/>
      <w:bookmarkStart w:id="171" w:name="_Toc3374"/>
      <w:r>
        <w:rPr>
          <w:rFonts w:hint="eastAsia"/>
          <w:color w:val="auto"/>
          <w:lang w:val="en-US" w:eastAsia="zh-CN"/>
        </w:rPr>
        <w:t>3.5.8 物体打击</w:t>
      </w:r>
      <w:bookmarkEnd w:id="169"/>
      <w:bookmarkEnd w:id="170"/>
      <w:bookmarkEnd w:id="171"/>
    </w:p>
    <w:p>
      <w:pPr>
        <w:rPr>
          <w:rFonts w:hint="default"/>
          <w:color w:val="auto"/>
          <w:lang w:val="en-US" w:eastAsia="zh-CN"/>
        </w:rPr>
      </w:pPr>
      <w:r>
        <w:rPr>
          <w:rFonts w:hint="default"/>
          <w:color w:val="auto"/>
          <w:lang w:val="en-US" w:eastAsia="zh-CN"/>
        </w:rPr>
        <w:t>物体在外力或重力作用下，打击人体会造成人身伤害事故。高处的物体固定不牢，架空管线等固定不牢，因腐蚀或风造成断裂，检修时使用工具飞出击打到人体上而造成的物体打击伤害。高处作业或在高处平台上作业时，使用工具不合适、使用方法不当或违规操作、材料放置不当，造成高空落物等，易发生物体打击事故。</w:t>
      </w:r>
    </w:p>
    <w:p>
      <w:pPr>
        <w:pStyle w:val="4"/>
        <w:bidi w:val="0"/>
        <w:rPr>
          <w:rFonts w:hint="default"/>
          <w:color w:val="auto"/>
          <w:lang w:val="en-US" w:eastAsia="zh-CN"/>
        </w:rPr>
      </w:pPr>
      <w:bookmarkStart w:id="172" w:name="_Toc14499"/>
      <w:bookmarkStart w:id="173" w:name="_Toc5194"/>
      <w:bookmarkStart w:id="174" w:name="_Toc20873"/>
      <w:r>
        <w:rPr>
          <w:rFonts w:hint="eastAsia"/>
          <w:color w:val="auto"/>
          <w:lang w:val="en-US" w:eastAsia="zh-CN"/>
        </w:rPr>
        <w:t xml:space="preserve">3.5.9 </w:t>
      </w:r>
      <w:r>
        <w:rPr>
          <w:color w:val="auto"/>
        </w:rPr>
        <w:t>高处坠落</w:t>
      </w:r>
      <w:bookmarkEnd w:id="172"/>
      <w:bookmarkEnd w:id="173"/>
      <w:bookmarkEnd w:id="174"/>
    </w:p>
    <w:p>
      <w:pPr>
        <w:rPr>
          <w:rFonts w:hint="eastAsia"/>
          <w:color w:val="auto"/>
          <w:lang w:val="en-US" w:eastAsia="zh-CN"/>
        </w:rPr>
      </w:pPr>
      <w:r>
        <w:rPr>
          <w:rFonts w:hint="eastAsia" w:ascii="Times New Roman" w:eastAsia="宋体"/>
          <w:color w:val="auto"/>
          <w:lang w:val="en-US" w:eastAsia="zh-CN"/>
        </w:rPr>
        <w:t>操作和检修时进行登高作业，如在选矿厂车间内部高处平台、浓密机等高位作业时，或在检查、清扫维护高处管线时，不按照规程作业，防护不当，容易发生高处坠落事故；此外，由于作业平台护栏、楼梯存在缺陷，作业人员由于思想麻痹、注意力不集中或身体健康、职业禁忌症等原因，导致发生高处坠落事故。</w:t>
      </w:r>
    </w:p>
    <w:p>
      <w:pPr>
        <w:pStyle w:val="4"/>
        <w:bidi w:val="0"/>
        <w:rPr>
          <w:rFonts w:hint="default"/>
          <w:color w:val="auto"/>
          <w:lang w:val="en-US" w:eastAsia="zh-CN"/>
        </w:rPr>
      </w:pPr>
      <w:bookmarkStart w:id="175" w:name="_Toc23974"/>
      <w:bookmarkStart w:id="176" w:name="_Toc7795"/>
      <w:bookmarkStart w:id="177" w:name="_Toc17705"/>
      <w:r>
        <w:rPr>
          <w:rFonts w:hint="eastAsia"/>
          <w:color w:val="auto"/>
          <w:lang w:val="en-US" w:eastAsia="zh-CN"/>
        </w:rPr>
        <w:t>3.5.10 淹溺</w:t>
      </w:r>
      <w:bookmarkEnd w:id="175"/>
      <w:bookmarkEnd w:id="176"/>
      <w:bookmarkEnd w:id="177"/>
    </w:p>
    <w:p>
      <w:pPr>
        <w:rPr>
          <w:rFonts w:hint="eastAsia" w:ascii="Times New Roman" w:eastAsia="宋体"/>
          <w:color w:val="auto"/>
          <w:lang w:val="en-US" w:eastAsia="zh-CN"/>
        </w:rPr>
      </w:pPr>
      <w:r>
        <w:rPr>
          <w:rFonts w:hint="eastAsia" w:ascii="Times New Roman" w:eastAsia="宋体"/>
          <w:color w:val="auto"/>
          <w:lang w:val="en-US" w:eastAsia="zh-CN"/>
        </w:rPr>
        <w:t>淹溺是指大量水液被吸入肺内，引起人体缺氧窒息的危急病症。多发生在选矿厂循环水池、浓缩池、新水水池等处。溺水者面色青紫肿胀，眼球结膜充血，口鼻内充满泡沫、泥沙等杂物。部分溺水者可因大量喝水入胃、出现上腹部膨胀。溺水可造成溺水者四肢发凉，意识丧失，重者因心跳、呼吸停止而死亡。</w:t>
      </w:r>
    </w:p>
    <w:p>
      <w:pPr>
        <w:pStyle w:val="4"/>
        <w:bidi w:val="0"/>
        <w:rPr>
          <w:rFonts w:hint="default"/>
          <w:color w:val="auto"/>
          <w:lang w:val="en-US" w:eastAsia="zh-CN"/>
        </w:rPr>
      </w:pPr>
      <w:bookmarkStart w:id="178" w:name="_Toc23784"/>
      <w:bookmarkStart w:id="179" w:name="_Toc13440"/>
      <w:bookmarkStart w:id="180" w:name="_Toc7397"/>
      <w:r>
        <w:rPr>
          <w:rFonts w:hint="eastAsia"/>
          <w:color w:val="auto"/>
          <w:lang w:val="en-US" w:eastAsia="zh-CN"/>
        </w:rPr>
        <w:t>3.5.11 中毒窒息</w:t>
      </w:r>
      <w:bookmarkEnd w:id="178"/>
      <w:bookmarkEnd w:id="179"/>
      <w:bookmarkEnd w:id="180"/>
    </w:p>
    <w:p>
      <w:pPr>
        <w:rPr>
          <w:rFonts w:hint="eastAsia"/>
          <w:color w:val="auto"/>
          <w:lang w:val="en-US" w:eastAsia="zh-CN"/>
        </w:rPr>
      </w:pPr>
      <w:r>
        <w:rPr>
          <w:rFonts w:hint="eastAsia" w:ascii="Times New Roman" w:eastAsia="宋体"/>
          <w:color w:val="auto"/>
          <w:lang w:val="en-US" w:eastAsia="zh-CN"/>
        </w:rPr>
        <w:t>引起中毒窒息的原因主要为火灾后产生的有毒烟气等。发生人员中毒、窒息的原因包括：</w:t>
      </w:r>
    </w:p>
    <w:p>
      <w:pPr>
        <w:rPr>
          <w:rFonts w:hint="eastAsia"/>
          <w:color w:val="auto"/>
          <w:lang w:val="en-US" w:eastAsia="zh-CN"/>
        </w:rPr>
      </w:pPr>
      <w:r>
        <w:rPr>
          <w:rFonts w:hint="eastAsia" w:ascii="Times New Roman" w:eastAsia="宋体"/>
          <w:color w:val="auto"/>
          <w:lang w:val="en-US" w:eastAsia="zh-CN"/>
        </w:rPr>
        <w:t>1、违章作业</w:t>
      </w:r>
    </w:p>
    <w:p>
      <w:pPr>
        <w:rPr>
          <w:rFonts w:hint="eastAsia"/>
          <w:color w:val="auto"/>
          <w:lang w:val="en-US" w:eastAsia="zh-CN"/>
        </w:rPr>
      </w:pPr>
      <w:r>
        <w:rPr>
          <w:rFonts w:hint="eastAsia" w:ascii="Times New Roman" w:eastAsia="宋体"/>
          <w:color w:val="auto"/>
          <w:lang w:val="en-US" w:eastAsia="zh-CN"/>
        </w:rPr>
        <w:t>2、通风设计不合理</w:t>
      </w:r>
    </w:p>
    <w:p>
      <w:pPr>
        <w:rPr>
          <w:rFonts w:hint="eastAsia"/>
          <w:color w:val="auto"/>
          <w:lang w:val="en-US" w:eastAsia="zh-CN"/>
        </w:rPr>
      </w:pPr>
      <w:r>
        <w:rPr>
          <w:rFonts w:hint="eastAsia" w:ascii="Times New Roman" w:eastAsia="宋体"/>
          <w:color w:val="auto"/>
          <w:lang w:val="en-US" w:eastAsia="zh-CN"/>
        </w:rPr>
        <w:t>化验室没有设置通风设施，设计的通风时间过短等；</w:t>
      </w:r>
    </w:p>
    <w:p>
      <w:pPr>
        <w:rPr>
          <w:rFonts w:hint="eastAsia"/>
          <w:color w:val="auto"/>
          <w:lang w:val="en-US" w:eastAsia="zh-CN"/>
        </w:rPr>
      </w:pPr>
      <w:r>
        <w:rPr>
          <w:rFonts w:hint="eastAsia" w:ascii="Times New Roman" w:eastAsia="宋体"/>
          <w:color w:val="auto"/>
          <w:lang w:val="en-US" w:eastAsia="zh-CN"/>
        </w:rPr>
        <w:t>3、有害气体涌出</w:t>
      </w:r>
    </w:p>
    <w:p>
      <w:pPr>
        <w:rPr>
          <w:rFonts w:hint="eastAsia"/>
          <w:color w:val="auto"/>
          <w:lang w:val="en-US" w:eastAsia="zh-CN"/>
        </w:rPr>
      </w:pPr>
      <w:r>
        <w:rPr>
          <w:rFonts w:hint="eastAsia" w:ascii="Times New Roman" w:eastAsia="宋体"/>
          <w:color w:val="auto"/>
          <w:lang w:val="en-US" w:eastAsia="zh-CN"/>
        </w:rPr>
        <w:t>化验过程中突然遇到含有大量窒息性气体、有毒气体，人员没有防护措施；</w:t>
      </w:r>
    </w:p>
    <w:p>
      <w:pPr>
        <w:numPr>
          <w:ilvl w:val="0"/>
          <w:numId w:val="7"/>
        </w:numPr>
        <w:rPr>
          <w:rFonts w:hint="eastAsia"/>
          <w:color w:val="auto"/>
          <w:lang w:val="en-US" w:eastAsia="zh-CN"/>
        </w:rPr>
      </w:pPr>
      <w:r>
        <w:rPr>
          <w:rFonts w:hint="eastAsia" w:ascii="Times New Roman" w:eastAsia="宋体"/>
          <w:color w:val="auto"/>
          <w:lang w:val="en-US" w:eastAsia="zh-CN"/>
        </w:rPr>
        <w:t>出现意外情况</w:t>
      </w:r>
    </w:p>
    <w:p>
      <w:pPr>
        <w:bidi w:val="0"/>
        <w:rPr>
          <w:rFonts w:hint="eastAsia"/>
          <w:color w:val="auto"/>
          <w:lang w:val="en-US" w:eastAsia="zh-CN"/>
        </w:rPr>
      </w:pPr>
      <w:r>
        <w:rPr>
          <w:rFonts w:hint="eastAsia" w:ascii="Times New Roman" w:eastAsia="宋体"/>
          <w:color w:val="auto"/>
          <w:lang w:val="en-US" w:eastAsia="zh-CN"/>
        </w:rPr>
        <w:t>如意外的风流短路，意外的停风等。</w:t>
      </w:r>
    </w:p>
    <w:p>
      <w:pPr>
        <w:rPr>
          <w:rFonts w:hint="eastAsia" w:ascii="Times New Roman" w:eastAsia="宋体"/>
          <w:color w:val="auto"/>
          <w:lang w:val="en-US" w:eastAsia="zh-CN"/>
        </w:rPr>
      </w:pPr>
      <w:r>
        <w:rPr>
          <w:rFonts w:hint="eastAsia" w:ascii="Times New Roman" w:eastAsia="宋体"/>
          <w:color w:val="auto"/>
          <w:lang w:val="en-US" w:eastAsia="zh-CN"/>
        </w:rPr>
        <w:t xml:space="preserve">可能发生中毒、窒息的主要场所：选矿厂化验室、其他有限空间处。 </w:t>
      </w:r>
    </w:p>
    <w:p>
      <w:pPr>
        <w:pStyle w:val="4"/>
        <w:bidi w:val="0"/>
        <w:rPr>
          <w:rFonts w:hint="eastAsia"/>
          <w:color w:val="auto"/>
          <w:lang w:val="en-US" w:eastAsia="zh-CN"/>
        </w:rPr>
      </w:pPr>
      <w:bookmarkStart w:id="181" w:name="_Toc13005"/>
      <w:bookmarkStart w:id="182" w:name="_Toc32138"/>
      <w:r>
        <w:rPr>
          <w:rFonts w:hint="eastAsia"/>
          <w:color w:val="auto"/>
          <w:lang w:val="en-US" w:eastAsia="zh-CN"/>
        </w:rPr>
        <w:t>3.5.12 药剂</w:t>
      </w:r>
      <w:bookmarkEnd w:id="181"/>
      <w:bookmarkEnd w:id="182"/>
    </w:p>
    <w:p>
      <w:pPr>
        <w:rPr>
          <w:rFonts w:hint="eastAsia" w:ascii="Times New Roman" w:eastAsia="宋体"/>
          <w:color w:val="auto"/>
          <w:lang w:val="en-US" w:eastAsia="zh-CN"/>
        </w:rPr>
      </w:pPr>
      <w:r>
        <w:rPr>
          <w:rFonts w:hint="eastAsia" w:ascii="Times New Roman" w:eastAsia="宋体"/>
          <w:color w:val="auto"/>
          <w:lang w:val="en-US" w:eastAsia="zh-CN"/>
        </w:rPr>
        <w:t>浮选药剂挥发性强且具有刺激性气味，如果通风不良，长期接触会对人的呼吸系统造成损害。当浮选药剂通过选矿废水排放到自然界中，容易造成水体污染，甚至变坏变臭，水生动植物大量死亡。</w:t>
      </w:r>
    </w:p>
    <w:p>
      <w:pPr>
        <w:pStyle w:val="4"/>
        <w:bidi w:val="0"/>
        <w:rPr>
          <w:rFonts w:hint="eastAsia"/>
          <w:color w:val="auto"/>
          <w:lang w:val="en-US" w:eastAsia="zh-CN"/>
        </w:rPr>
      </w:pPr>
      <w:bookmarkStart w:id="183" w:name="_Toc6782"/>
      <w:bookmarkStart w:id="184" w:name="_Toc25849"/>
      <w:r>
        <w:rPr>
          <w:rFonts w:hint="eastAsia"/>
          <w:color w:val="auto"/>
          <w:lang w:val="en-US" w:eastAsia="zh-CN"/>
        </w:rPr>
        <w:t>3.5.13 有限空间作业</w:t>
      </w:r>
      <w:bookmarkEnd w:id="183"/>
      <w:bookmarkEnd w:id="184"/>
    </w:p>
    <w:p>
      <w:pPr>
        <w:rPr>
          <w:rFonts w:hint="eastAsia" w:ascii="Times New Roman" w:eastAsia="宋体"/>
          <w:color w:val="auto"/>
          <w:lang w:val="en-US" w:eastAsia="zh-CN"/>
        </w:rPr>
      </w:pPr>
      <w:r>
        <w:rPr>
          <w:rFonts w:hint="eastAsia" w:ascii="Times New Roman" w:eastAsia="宋体"/>
          <w:color w:val="auto"/>
          <w:lang w:val="en-US" w:eastAsia="zh-CN"/>
        </w:rPr>
        <w:t>有限空间是指封闭或部分封闭，进出口受限但人员可以进入，未被设计为固定工作场所，通风不良，易造成有毒有害、易燃易爆物质积聚或氧含量不足的空间。该项目涉及的有限空间作业有棒磨机、球磨机、破碎机、浮选机及浓密机底部排浆通道。</w:t>
      </w:r>
    </w:p>
    <w:p>
      <w:pPr>
        <w:pStyle w:val="4"/>
        <w:bidi w:val="0"/>
        <w:rPr>
          <w:rFonts w:hint="eastAsia"/>
          <w:color w:val="auto"/>
          <w:lang w:val="en-US" w:eastAsia="zh-CN"/>
        </w:rPr>
      </w:pPr>
      <w:bookmarkStart w:id="185" w:name="_Toc4035"/>
      <w:bookmarkStart w:id="186" w:name="_Toc4029"/>
      <w:r>
        <w:rPr>
          <w:rFonts w:hint="eastAsia"/>
          <w:color w:val="auto"/>
          <w:lang w:val="en-US" w:eastAsia="zh-CN"/>
        </w:rPr>
        <w:t>3.2.14 容器爆炸</w:t>
      </w:r>
      <w:bookmarkEnd w:id="185"/>
      <w:bookmarkEnd w:id="186"/>
    </w:p>
    <w:p>
      <w:pPr>
        <w:rPr>
          <w:rFonts w:hint="default"/>
          <w:color w:val="auto"/>
          <w:lang w:val="en-US" w:eastAsia="zh-CN"/>
        </w:rPr>
      </w:pPr>
      <w:r>
        <w:rPr>
          <w:rFonts w:hint="eastAsia" w:ascii="Times New Roman" w:eastAsia="宋体"/>
          <w:color w:val="auto"/>
          <w:lang w:val="en-US" w:eastAsia="zh-CN"/>
        </w:rPr>
        <w:t>选矿厂日常使用乙炔瓶、液氧瓶等都有可能在使用的过程中，由于对压力容器维护不良、容器本身质量及安全附件缺陷等原因均可能导致容器发生爆炸，这类爆炸将直接威胁到操作人员的人身安全和设备财产安全。</w:t>
      </w:r>
    </w:p>
    <w:p>
      <w:pPr>
        <w:pStyle w:val="4"/>
        <w:bidi w:val="0"/>
        <w:rPr>
          <w:rFonts w:hint="eastAsia"/>
          <w:color w:val="auto"/>
          <w:lang w:val="en-US" w:eastAsia="zh-CN"/>
        </w:rPr>
      </w:pPr>
      <w:bookmarkStart w:id="187" w:name="_Toc12732"/>
      <w:bookmarkStart w:id="188" w:name="_Toc13456"/>
      <w:r>
        <w:rPr>
          <w:rFonts w:hint="eastAsia"/>
          <w:color w:val="auto"/>
          <w:lang w:val="en-US" w:eastAsia="zh-CN"/>
        </w:rPr>
        <w:t>3.5.15 其他</w:t>
      </w:r>
      <w:bookmarkEnd w:id="187"/>
      <w:bookmarkEnd w:id="188"/>
    </w:p>
    <w:p>
      <w:pPr>
        <w:bidi w:val="0"/>
        <w:rPr>
          <w:rFonts w:hint="eastAsia" w:ascii="Times New Roman" w:eastAsia="宋体"/>
          <w:color w:val="auto"/>
          <w:lang w:val="en-US" w:eastAsia="zh-CN"/>
        </w:rPr>
      </w:pPr>
      <w:r>
        <w:rPr>
          <w:rFonts w:hint="eastAsia" w:ascii="Times New Roman" w:eastAsia="宋体"/>
          <w:color w:val="auto"/>
          <w:lang w:val="en-US" w:eastAsia="zh-CN"/>
        </w:rPr>
        <w:t>选矿厂在新建车间的施工、生产、检修过程中可能存在因无安全标示或安全标示不清楚、设置不规范、采光照明不良、空气质量差、积水、地面不平和杂乱、过道板不牢等作业环境不操作人员注意力不集中、工具不称手、防护措施不当等原因造成的滑跌、绊倒、碰撞等，造成人员伤害。</w:t>
      </w:r>
    </w:p>
    <w:p>
      <w:pPr>
        <w:pStyle w:val="4"/>
        <w:bidi w:val="0"/>
        <w:rPr>
          <w:rFonts w:hint="eastAsia"/>
          <w:color w:val="auto"/>
          <w:lang w:val="en-US" w:eastAsia="zh-CN"/>
        </w:rPr>
      </w:pPr>
      <w:bookmarkStart w:id="189" w:name="_Toc29311"/>
      <w:bookmarkStart w:id="190" w:name="_Toc15707"/>
      <w:r>
        <w:rPr>
          <w:rFonts w:hint="eastAsia"/>
          <w:color w:val="auto"/>
          <w:lang w:val="en-US" w:eastAsia="zh-CN"/>
        </w:rPr>
        <w:t>3.5.16 物料危险性分析</w:t>
      </w:r>
      <w:bookmarkEnd w:id="117"/>
      <w:bookmarkEnd w:id="189"/>
      <w:bookmarkEnd w:id="190"/>
    </w:p>
    <w:p>
      <w:pPr>
        <w:rPr>
          <w:rFonts w:hint="default"/>
          <w:color w:val="auto"/>
          <w:lang w:val="en-US" w:eastAsia="zh-CN"/>
        </w:rPr>
      </w:pPr>
      <w:r>
        <w:rPr>
          <w:rFonts w:hint="default"/>
          <w:color w:val="auto"/>
          <w:lang w:val="en-US" w:eastAsia="zh-CN"/>
        </w:rPr>
        <w:t>1</w:t>
      </w:r>
      <w:r>
        <w:rPr>
          <w:rFonts w:hint="eastAsia" w:ascii="Times New Roman" w:eastAsia="宋体"/>
          <w:color w:val="auto"/>
          <w:lang w:val="en-US" w:eastAsia="zh-CN"/>
        </w:rPr>
        <w:t xml:space="preserve">. </w:t>
      </w:r>
      <w:r>
        <w:rPr>
          <w:rFonts w:hint="default"/>
          <w:color w:val="auto"/>
          <w:lang w:val="en-US" w:eastAsia="zh-CN"/>
        </w:rPr>
        <w:t>本项目主要加工对象的材质为矿石，这些原材料为固体颗粒，材料本身没有危险性。</w:t>
      </w:r>
    </w:p>
    <w:p>
      <w:pPr>
        <w:rPr>
          <w:rFonts w:hint="default"/>
          <w:color w:val="auto"/>
          <w:lang w:val="en-US" w:eastAsia="zh-CN"/>
        </w:rPr>
      </w:pPr>
      <w:r>
        <w:rPr>
          <w:rFonts w:hint="default"/>
          <w:color w:val="auto"/>
          <w:lang w:val="en-US" w:eastAsia="zh-CN"/>
        </w:rPr>
        <w:t>2</w:t>
      </w:r>
      <w:r>
        <w:rPr>
          <w:rFonts w:hint="eastAsia" w:ascii="Times New Roman" w:eastAsia="宋体"/>
          <w:color w:val="auto"/>
          <w:lang w:val="en-US" w:eastAsia="zh-CN"/>
        </w:rPr>
        <w:t xml:space="preserve">. </w:t>
      </w:r>
      <w:r>
        <w:rPr>
          <w:rFonts w:hint="default"/>
          <w:color w:val="auto"/>
          <w:lang w:val="en-US" w:eastAsia="zh-CN"/>
        </w:rPr>
        <w:t>本项目使用的辅助材料有乙炔、压缩氧</w:t>
      </w:r>
      <w:r>
        <w:rPr>
          <w:rFonts w:hint="eastAsia"/>
          <w:color w:val="auto"/>
          <w:lang w:val="en-US" w:eastAsia="zh-CN"/>
        </w:rPr>
        <w:t>、浓硫酸、次氯酸钠等</w:t>
      </w:r>
      <w:r>
        <w:rPr>
          <w:rFonts w:hint="default"/>
          <w:color w:val="auto"/>
          <w:lang w:val="en-US" w:eastAsia="zh-CN"/>
        </w:rPr>
        <w:t>，其物料特性以及注意事项分别见下列表：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default"/>
          <w:color w:val="auto"/>
          <w:lang w:val="en-US" w:eastAsia="zh-CN"/>
        </w:rPr>
        <w:t>表3-</w:t>
      </w:r>
      <w:r>
        <w:rPr>
          <w:rFonts w:hint="eastAsia" w:ascii="Times New Roman" w:eastAsia="宋体"/>
          <w:color w:val="auto"/>
          <w:lang w:val="en-US" w:eastAsia="zh-CN"/>
        </w:rPr>
        <w:t xml:space="preserve">1 </w:t>
      </w:r>
      <w:r>
        <w:rPr>
          <w:rFonts w:hint="default"/>
          <w:color w:val="auto"/>
          <w:lang w:val="en-US" w:eastAsia="zh-CN"/>
        </w:rPr>
        <w:t>乙炔的理化性质及危险特性</w:t>
      </w:r>
    </w:p>
    <w:tbl>
      <w:tblPr>
        <w:tblStyle w:val="15"/>
        <w:tblW w:w="0" w:type="auto"/>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476"/>
        <w:gridCol w:w="1558"/>
        <w:gridCol w:w="1380"/>
        <w:gridCol w:w="49"/>
        <w:gridCol w:w="28"/>
        <w:gridCol w:w="360"/>
        <w:gridCol w:w="1041"/>
        <w:gridCol w:w="342"/>
        <w:gridCol w:w="703"/>
        <w:gridCol w:w="137"/>
        <w:gridCol w:w="6"/>
        <w:gridCol w:w="35"/>
        <w:gridCol w:w="206"/>
        <w:gridCol w:w="1308"/>
        <w:gridCol w:w="121"/>
        <w:gridCol w:w="424"/>
        <w:gridCol w:w="1005"/>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46" w:hRule="atLeast"/>
          <w:jc w:val="center"/>
        </w:trPr>
        <w:tc>
          <w:tcPr>
            <w:tcW w:w="476" w:type="dxa"/>
            <w:vMerge w:val="restart"/>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标识</w:t>
            </w:r>
          </w:p>
        </w:tc>
        <w:tc>
          <w:tcPr>
            <w:tcW w:w="5639" w:type="dxa"/>
            <w:gridSpan w:val="11"/>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中文名：乙炔[溶于介质的]；电石气</w:t>
            </w:r>
          </w:p>
        </w:tc>
        <w:tc>
          <w:tcPr>
            <w:tcW w:w="3064" w:type="dxa"/>
            <w:gridSpan w:val="5"/>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危险货物编号：</w:t>
            </w:r>
            <w:r>
              <w:rPr>
                <w:rFonts w:hint="default" w:ascii="Times New Roman" w:hAnsi="Times New Roman" w:eastAsia="宋体" w:cs="Times New Roman"/>
                <w:color w:val="auto"/>
                <w:sz w:val="21"/>
                <w:szCs w:val="21"/>
              </w:rPr>
              <w:t>21024</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46"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ind w:firstLine="0" w:firstLineChars="0"/>
              <w:jc w:val="left"/>
              <w:rPr>
                <w:rFonts w:hint="default" w:ascii="Times New Roman" w:hAnsi="Times New Roman" w:eastAsia="宋体" w:cs="Times New Roman"/>
                <w:color w:val="auto"/>
                <w:spacing w:val="10"/>
                <w:sz w:val="21"/>
                <w:szCs w:val="21"/>
              </w:rPr>
            </w:pPr>
          </w:p>
        </w:tc>
        <w:tc>
          <w:tcPr>
            <w:tcW w:w="5639" w:type="dxa"/>
            <w:gridSpan w:val="11"/>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英文名</w:t>
            </w:r>
            <w:r>
              <w:rPr>
                <w:rFonts w:hint="default" w:ascii="Times New Roman" w:hAnsi="Times New Roman" w:eastAsia="宋体" w:cs="Times New Roman"/>
                <w:color w:val="auto"/>
                <w:spacing w:val="10"/>
                <w:sz w:val="21"/>
                <w:szCs w:val="21"/>
                <w:lang w:val="en-GB"/>
              </w:rPr>
              <w:t>：</w:t>
            </w:r>
            <w:r>
              <w:rPr>
                <w:rFonts w:hint="default" w:ascii="Times New Roman" w:hAnsi="Times New Roman" w:eastAsia="宋体" w:cs="Times New Roman"/>
                <w:color w:val="auto"/>
                <w:sz w:val="21"/>
                <w:szCs w:val="21"/>
              </w:rPr>
              <w:t>acetylene，dissolved</w:t>
            </w:r>
          </w:p>
        </w:tc>
        <w:tc>
          <w:tcPr>
            <w:tcW w:w="3064" w:type="dxa"/>
            <w:gridSpan w:val="5"/>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UN编号：1001</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53"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ind w:firstLine="0" w:firstLineChars="0"/>
              <w:jc w:val="left"/>
              <w:rPr>
                <w:rFonts w:hint="default" w:ascii="Times New Roman" w:hAnsi="Times New Roman" w:eastAsia="宋体" w:cs="Times New Roman"/>
                <w:color w:val="auto"/>
                <w:spacing w:val="10"/>
                <w:sz w:val="21"/>
                <w:szCs w:val="21"/>
              </w:rPr>
            </w:pPr>
          </w:p>
        </w:tc>
        <w:tc>
          <w:tcPr>
            <w:tcW w:w="3015" w:type="dxa"/>
            <w:gridSpan w:val="4"/>
            <w:tcBorders>
              <w:top w:val="single" w:color="auto" w:sz="6" w:space="0"/>
              <w:left w:val="single" w:color="auto" w:sz="6" w:space="0"/>
              <w:bottom w:val="single" w:color="auto" w:sz="6" w:space="0"/>
              <w:right w:val="single" w:color="auto" w:sz="6" w:space="0"/>
            </w:tcBorders>
            <w:noWrap w:val="0"/>
            <w:vAlign w:val="center"/>
          </w:tcPr>
          <w:p>
            <w:pPr>
              <w:spacing w:line="360" w:lineRule="exact"/>
              <w:ind w:left="920" w:hanging="920" w:hangingChars="40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分子式：</w:t>
            </w: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p>
        </w:tc>
        <w:tc>
          <w:tcPr>
            <w:tcW w:w="2624" w:type="dxa"/>
            <w:gridSpan w:val="7"/>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分子量：26.04</w:t>
            </w:r>
          </w:p>
        </w:tc>
        <w:tc>
          <w:tcPr>
            <w:tcW w:w="3064" w:type="dxa"/>
            <w:gridSpan w:val="5"/>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CAS号：74-86-2</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55" w:hRule="atLeast"/>
          <w:jc w:val="center"/>
        </w:trPr>
        <w:tc>
          <w:tcPr>
            <w:tcW w:w="476" w:type="dxa"/>
            <w:vMerge w:val="restart"/>
            <w:tcBorders>
              <w:top w:val="single" w:color="auto" w:sz="6" w:space="0"/>
              <w:left w:val="single" w:color="auto" w:sz="6" w:space="0"/>
              <w:bottom w:val="single" w:color="auto" w:sz="6" w:space="0"/>
              <w:right w:val="single" w:color="auto" w:sz="6" w:space="0"/>
            </w:tcBorders>
            <w:noWrap w:val="0"/>
            <w:vAlign w:val="center"/>
          </w:tcPr>
          <w:p>
            <w:pPr>
              <w:spacing w:line="24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理化性质</w:t>
            </w:r>
          </w:p>
        </w:tc>
        <w:tc>
          <w:tcPr>
            <w:tcW w:w="1558"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外观与性状</w:t>
            </w:r>
          </w:p>
        </w:tc>
        <w:tc>
          <w:tcPr>
            <w:tcW w:w="7145" w:type="dxa"/>
            <w:gridSpan w:val="15"/>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无色无臭气体，工业品有使人不愉快的大蒜气味</w:t>
            </w:r>
            <w:r>
              <w:rPr>
                <w:rFonts w:hint="default" w:ascii="Times New Roman" w:hAnsi="Times New Roman" w:eastAsia="宋体" w:cs="Times New Roman"/>
                <w:color w:val="auto"/>
                <w:spacing w:val="10"/>
                <w:sz w:val="21"/>
                <w:szCs w:val="21"/>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54"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ind w:firstLine="0" w:firstLineChars="0"/>
              <w:jc w:val="left"/>
              <w:rPr>
                <w:rFonts w:hint="default" w:ascii="Times New Roman" w:hAnsi="Times New Roman" w:eastAsia="宋体" w:cs="Times New Roman"/>
                <w:color w:val="auto"/>
                <w:spacing w:val="10"/>
                <w:sz w:val="21"/>
                <w:szCs w:val="21"/>
              </w:rPr>
            </w:pPr>
          </w:p>
        </w:tc>
        <w:tc>
          <w:tcPr>
            <w:tcW w:w="1558"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熔点（℃）</w:t>
            </w:r>
          </w:p>
        </w:tc>
        <w:tc>
          <w:tcPr>
            <w:tcW w:w="1380"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-81.8</w:t>
            </w:r>
          </w:p>
        </w:tc>
        <w:tc>
          <w:tcPr>
            <w:tcW w:w="1820" w:type="dxa"/>
            <w:gridSpan w:val="5"/>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相对密度(水=1)</w:t>
            </w:r>
          </w:p>
        </w:tc>
        <w:tc>
          <w:tcPr>
            <w:tcW w:w="840" w:type="dxa"/>
            <w:gridSpan w:val="2"/>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0.62</w:t>
            </w:r>
          </w:p>
        </w:tc>
        <w:tc>
          <w:tcPr>
            <w:tcW w:w="2100" w:type="dxa"/>
            <w:gridSpan w:val="6"/>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相对密度(空气=1)</w:t>
            </w:r>
          </w:p>
        </w:tc>
        <w:tc>
          <w:tcPr>
            <w:tcW w:w="1005"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0.91</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60"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ind w:firstLine="0" w:firstLineChars="0"/>
              <w:jc w:val="left"/>
              <w:rPr>
                <w:rFonts w:hint="default" w:ascii="Times New Roman" w:hAnsi="Times New Roman" w:eastAsia="宋体" w:cs="Times New Roman"/>
                <w:color w:val="auto"/>
                <w:spacing w:val="10"/>
                <w:sz w:val="21"/>
                <w:szCs w:val="21"/>
              </w:rPr>
            </w:pPr>
          </w:p>
        </w:tc>
        <w:tc>
          <w:tcPr>
            <w:tcW w:w="1558"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沸点（℃）</w:t>
            </w:r>
          </w:p>
        </w:tc>
        <w:tc>
          <w:tcPr>
            <w:tcW w:w="1380"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-83.8</w:t>
            </w:r>
          </w:p>
        </w:tc>
        <w:tc>
          <w:tcPr>
            <w:tcW w:w="2660" w:type="dxa"/>
            <w:gridSpan w:val="7"/>
            <w:tcBorders>
              <w:top w:val="single" w:color="auto" w:sz="6" w:space="0"/>
              <w:left w:val="single" w:color="auto" w:sz="6" w:space="0"/>
              <w:bottom w:val="single" w:color="auto" w:sz="6" w:space="0"/>
              <w:right w:val="single" w:color="auto" w:sz="6" w:space="0"/>
            </w:tcBorders>
            <w:noWrap w:val="0"/>
            <w:vAlign w:val="center"/>
          </w:tcPr>
          <w:p>
            <w:pPr>
              <w:spacing w:line="360" w:lineRule="exact"/>
              <w:ind w:left="-4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饱和蒸气压（kPa）</w:t>
            </w:r>
          </w:p>
        </w:tc>
        <w:tc>
          <w:tcPr>
            <w:tcW w:w="3105" w:type="dxa"/>
            <w:gridSpan w:val="7"/>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4053/16.8℃</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78"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ind w:firstLine="0" w:firstLineChars="0"/>
              <w:jc w:val="left"/>
              <w:rPr>
                <w:rFonts w:hint="default" w:ascii="Times New Roman" w:hAnsi="Times New Roman" w:eastAsia="宋体" w:cs="Times New Roman"/>
                <w:color w:val="auto"/>
                <w:spacing w:val="10"/>
                <w:sz w:val="21"/>
                <w:szCs w:val="21"/>
              </w:rPr>
            </w:pPr>
          </w:p>
        </w:tc>
        <w:tc>
          <w:tcPr>
            <w:tcW w:w="1558"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溶解性</w:t>
            </w:r>
          </w:p>
        </w:tc>
        <w:tc>
          <w:tcPr>
            <w:tcW w:w="4046" w:type="dxa"/>
            <w:gridSpan w:val="9"/>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微溶于水、乙醇，溶于丙酮、氯仿、苯。</w:t>
            </w:r>
          </w:p>
        </w:tc>
        <w:tc>
          <w:tcPr>
            <w:tcW w:w="1549" w:type="dxa"/>
            <w:gridSpan w:val="3"/>
            <w:tcBorders>
              <w:top w:val="single" w:color="auto" w:sz="6" w:space="0"/>
              <w:left w:val="single" w:color="auto" w:sz="6" w:space="0"/>
              <w:bottom w:val="single" w:color="auto" w:sz="6" w:space="0"/>
              <w:right w:val="single" w:color="auto" w:sz="6" w:space="0"/>
            </w:tcBorders>
            <w:noWrap w:val="0"/>
            <w:vAlign w:val="center"/>
          </w:tcPr>
          <w:p>
            <w:pPr>
              <w:spacing w:line="34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临界温度（℃）</w:t>
            </w:r>
          </w:p>
        </w:tc>
        <w:tc>
          <w:tcPr>
            <w:tcW w:w="1550" w:type="dxa"/>
            <w:gridSpan w:val="3"/>
            <w:tcBorders>
              <w:top w:val="single" w:color="auto" w:sz="6" w:space="0"/>
              <w:left w:val="single" w:color="auto" w:sz="6" w:space="0"/>
              <w:bottom w:val="single" w:color="auto" w:sz="6" w:space="0"/>
              <w:right w:val="single" w:color="auto" w:sz="6" w:space="0"/>
            </w:tcBorders>
            <w:noWrap w:val="0"/>
            <w:vAlign w:val="center"/>
          </w:tcPr>
          <w:p>
            <w:pPr>
              <w:spacing w:line="34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35.2</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26" w:hRule="atLeast"/>
          <w:jc w:val="center"/>
        </w:trPr>
        <w:tc>
          <w:tcPr>
            <w:tcW w:w="476" w:type="dxa"/>
            <w:vMerge w:val="restart"/>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毒性及健康危害</w:t>
            </w:r>
          </w:p>
        </w:tc>
        <w:tc>
          <w:tcPr>
            <w:tcW w:w="1558" w:type="dxa"/>
            <w:tcBorders>
              <w:top w:val="single" w:color="auto" w:sz="6" w:space="0"/>
              <w:left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侵入途径</w:t>
            </w:r>
          </w:p>
        </w:tc>
        <w:tc>
          <w:tcPr>
            <w:tcW w:w="7145" w:type="dxa"/>
            <w:gridSpan w:val="15"/>
            <w:tcBorders>
              <w:top w:val="single" w:color="auto" w:sz="6" w:space="0"/>
              <w:left w:val="single" w:color="auto" w:sz="6" w:space="0"/>
              <w:right w:val="single" w:color="auto" w:sz="4" w:space="0"/>
            </w:tcBorders>
            <w:noWrap w:val="0"/>
            <w:vAlign w:val="center"/>
          </w:tcPr>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吸入。</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304"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ind w:firstLine="0" w:firstLineChars="0"/>
              <w:jc w:val="left"/>
              <w:rPr>
                <w:rFonts w:hint="default" w:ascii="Times New Roman" w:hAnsi="Times New Roman" w:eastAsia="宋体" w:cs="Times New Roman"/>
                <w:color w:val="auto"/>
                <w:spacing w:val="10"/>
                <w:sz w:val="21"/>
                <w:szCs w:val="21"/>
              </w:rPr>
            </w:pPr>
          </w:p>
        </w:tc>
        <w:tc>
          <w:tcPr>
            <w:tcW w:w="1558"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毒性</w:t>
            </w:r>
          </w:p>
        </w:tc>
        <w:tc>
          <w:tcPr>
            <w:tcW w:w="7145" w:type="dxa"/>
            <w:gridSpan w:val="15"/>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LD</w:t>
            </w:r>
            <w:r>
              <w:rPr>
                <w:rFonts w:hint="default" w:ascii="Times New Roman" w:hAnsi="Times New Roman" w:eastAsia="宋体" w:cs="Times New Roman"/>
                <w:color w:val="auto"/>
                <w:spacing w:val="10"/>
                <w:sz w:val="21"/>
                <w:szCs w:val="21"/>
                <w:vertAlign w:val="subscript"/>
              </w:rPr>
              <w:t>50</w:t>
            </w:r>
            <w:r>
              <w:rPr>
                <w:rFonts w:hint="default" w:ascii="Times New Roman" w:hAnsi="Times New Roman" w:eastAsia="宋体" w:cs="Times New Roman"/>
                <w:color w:val="auto"/>
                <w:spacing w:val="10"/>
                <w:sz w:val="21"/>
                <w:szCs w:val="21"/>
              </w:rPr>
              <w:t>：                       LC</w:t>
            </w:r>
            <w:r>
              <w:rPr>
                <w:rFonts w:hint="default" w:ascii="Times New Roman" w:hAnsi="Times New Roman" w:eastAsia="宋体" w:cs="Times New Roman"/>
                <w:color w:val="auto"/>
                <w:spacing w:val="10"/>
                <w:sz w:val="21"/>
                <w:szCs w:val="21"/>
                <w:vertAlign w:val="subscript"/>
              </w:rPr>
              <w:t>50</w:t>
            </w:r>
            <w:r>
              <w:rPr>
                <w:rFonts w:hint="default" w:ascii="Times New Roman" w:hAnsi="Times New Roman" w:eastAsia="宋体" w:cs="Times New Roman"/>
                <w:color w:val="auto"/>
                <w:spacing w:val="10"/>
                <w:sz w:val="21"/>
                <w:szCs w:val="21"/>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1588"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ind w:firstLine="0" w:firstLineChars="0"/>
              <w:jc w:val="left"/>
              <w:rPr>
                <w:rFonts w:hint="default" w:ascii="Times New Roman" w:hAnsi="Times New Roman" w:eastAsia="宋体" w:cs="Times New Roman"/>
                <w:color w:val="auto"/>
                <w:spacing w:val="10"/>
                <w:sz w:val="21"/>
                <w:szCs w:val="21"/>
              </w:rPr>
            </w:pPr>
          </w:p>
        </w:tc>
        <w:tc>
          <w:tcPr>
            <w:tcW w:w="1558" w:type="dxa"/>
            <w:tcBorders>
              <w:top w:val="single" w:color="auto" w:sz="6" w:space="0"/>
              <w:left w:val="single" w:color="auto" w:sz="6" w:space="0"/>
              <w:bottom w:val="single" w:color="auto" w:sz="4"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健康危害</w:t>
            </w:r>
          </w:p>
        </w:tc>
        <w:tc>
          <w:tcPr>
            <w:tcW w:w="7145" w:type="dxa"/>
            <w:gridSpan w:val="15"/>
            <w:tcBorders>
              <w:top w:val="single" w:color="auto" w:sz="6" w:space="0"/>
              <w:left w:val="single" w:color="auto" w:sz="6" w:space="0"/>
              <w:bottom w:val="single" w:color="auto" w:sz="4" w:space="0"/>
              <w:right w:val="single" w:color="auto" w:sz="6" w:space="0"/>
            </w:tcBorders>
            <w:noWrap w:val="0"/>
            <w:vAlign w:val="center"/>
          </w:tcPr>
          <w:p>
            <w:pPr>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具有弱麻醉作用。</w:t>
            </w:r>
            <w:r>
              <w:rPr>
                <w:rFonts w:hint="default" w:ascii="Times New Roman" w:hAnsi="Times New Roman" w:eastAsia="宋体" w:cs="Times New Roman"/>
                <w:b w:val="0"/>
                <w:bCs/>
                <w:color w:val="auto"/>
                <w:sz w:val="21"/>
                <w:szCs w:val="21"/>
              </w:rPr>
              <w:t>急性中毒</w:t>
            </w:r>
            <w:r>
              <w:rPr>
                <w:rFonts w:hint="default" w:ascii="Times New Roman" w:hAnsi="Times New Roman" w:eastAsia="宋体" w:cs="Times New Roman"/>
                <w:b/>
                <w:color w:val="auto"/>
                <w:sz w:val="21"/>
                <w:szCs w:val="21"/>
              </w:rPr>
              <w:t>：</w:t>
            </w:r>
            <w:r>
              <w:rPr>
                <w:rFonts w:hint="default" w:ascii="Times New Roman" w:hAnsi="Times New Roman" w:eastAsia="宋体" w:cs="Times New Roman"/>
                <w:color w:val="auto"/>
                <w:sz w:val="21"/>
                <w:szCs w:val="21"/>
              </w:rPr>
              <w:t>接触10～20%乙炔，工人可引起不同程度的缺氧症状；吸入高浓度乙炔，初期兴奋、多语、哭笑不安，后眩晕、头痛、恶心和呕吐，共济失调、嗜睡；严重者昏迷、紫绀、瞳孔对光反应消失、脉弱而不齐。停止吸入，症状可迅速消失。</w:t>
            </w:r>
            <w:r>
              <w:rPr>
                <w:rFonts w:hint="default" w:ascii="Times New Roman" w:hAnsi="Times New Roman" w:eastAsia="宋体" w:cs="Times New Roman"/>
                <w:b w:val="0"/>
                <w:bCs/>
                <w:color w:val="auto"/>
                <w:sz w:val="21"/>
                <w:szCs w:val="21"/>
              </w:rPr>
              <w:t>慢性中毒</w:t>
            </w:r>
            <w:r>
              <w:rPr>
                <w:rFonts w:hint="default" w:ascii="Times New Roman" w:hAnsi="Times New Roman" w:eastAsia="宋体" w:cs="Times New Roman"/>
                <w:b/>
                <w:color w:val="auto"/>
                <w:sz w:val="21"/>
                <w:szCs w:val="21"/>
              </w:rPr>
              <w:t>：</w:t>
            </w:r>
            <w:r>
              <w:rPr>
                <w:rFonts w:hint="default" w:ascii="Times New Roman" w:hAnsi="Times New Roman" w:eastAsia="宋体" w:cs="Times New Roman"/>
                <w:color w:val="auto"/>
                <w:sz w:val="21"/>
                <w:szCs w:val="21"/>
              </w:rPr>
              <w:t>目前未见有慢性中毒报告。有时可能有混合气体中毒的问题，如磷化氢，应予注意。</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590"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ind w:firstLine="0" w:firstLineChars="0"/>
              <w:jc w:val="left"/>
              <w:rPr>
                <w:rFonts w:hint="default" w:ascii="Times New Roman" w:hAnsi="Times New Roman" w:eastAsia="宋体" w:cs="Times New Roman"/>
                <w:color w:val="auto"/>
                <w:spacing w:val="10"/>
                <w:sz w:val="21"/>
                <w:szCs w:val="21"/>
              </w:rPr>
            </w:pPr>
          </w:p>
        </w:tc>
        <w:tc>
          <w:tcPr>
            <w:tcW w:w="1558" w:type="dxa"/>
            <w:tcBorders>
              <w:top w:val="single" w:color="auto" w:sz="4"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急救方法</w:t>
            </w:r>
          </w:p>
        </w:tc>
        <w:tc>
          <w:tcPr>
            <w:tcW w:w="7145" w:type="dxa"/>
            <w:gridSpan w:val="15"/>
            <w:tcBorders>
              <w:top w:val="single" w:color="auto" w:sz="4" w:space="0"/>
              <w:left w:val="single" w:color="auto" w:sz="6" w:space="0"/>
              <w:bottom w:val="single" w:color="auto" w:sz="6" w:space="0"/>
              <w:right w:val="single" w:color="auto" w:sz="6" w:space="0"/>
            </w:tcBorders>
            <w:noWrap w:val="0"/>
            <w:vAlign w:val="center"/>
          </w:tcPr>
          <w:p>
            <w:pPr>
              <w:spacing w:line="32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吸入：迅速脱离现场至空气新鲜处。保持呼吸道通畅。如呼吸困难，给输氧。如呼吸停止，立即进行人工呼吸。就医。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20" w:hRule="atLeast"/>
          <w:jc w:val="center"/>
        </w:trPr>
        <w:tc>
          <w:tcPr>
            <w:tcW w:w="476" w:type="dxa"/>
            <w:vMerge w:val="restart"/>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燃烧爆炸危险性</w:t>
            </w:r>
          </w:p>
        </w:tc>
        <w:tc>
          <w:tcPr>
            <w:tcW w:w="1558"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燃烧性</w:t>
            </w:r>
          </w:p>
        </w:tc>
        <w:tc>
          <w:tcPr>
            <w:tcW w:w="1817" w:type="dxa"/>
            <w:gridSpan w:val="4"/>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易燃</w:t>
            </w:r>
          </w:p>
        </w:tc>
        <w:tc>
          <w:tcPr>
            <w:tcW w:w="2086" w:type="dxa"/>
            <w:gridSpan w:val="3"/>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燃烧分解物</w:t>
            </w:r>
          </w:p>
        </w:tc>
        <w:tc>
          <w:tcPr>
            <w:tcW w:w="3242" w:type="dxa"/>
            <w:gridSpan w:val="8"/>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一氧化碳、二氧化碳。</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40"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ind w:firstLine="0" w:firstLineChars="0"/>
              <w:jc w:val="left"/>
              <w:rPr>
                <w:rFonts w:hint="default" w:ascii="Times New Roman" w:hAnsi="Times New Roman" w:eastAsia="宋体" w:cs="Times New Roman"/>
                <w:color w:val="auto"/>
                <w:spacing w:val="10"/>
                <w:sz w:val="21"/>
                <w:szCs w:val="21"/>
              </w:rPr>
            </w:pPr>
          </w:p>
        </w:tc>
        <w:tc>
          <w:tcPr>
            <w:tcW w:w="1558"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闪点(℃)</w:t>
            </w:r>
          </w:p>
        </w:tc>
        <w:tc>
          <w:tcPr>
            <w:tcW w:w="1817" w:type="dxa"/>
            <w:gridSpan w:val="4"/>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-32</w:t>
            </w:r>
          </w:p>
        </w:tc>
        <w:tc>
          <w:tcPr>
            <w:tcW w:w="2086" w:type="dxa"/>
            <w:gridSpan w:val="3"/>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爆炸上限（v%）</w:t>
            </w:r>
          </w:p>
        </w:tc>
        <w:tc>
          <w:tcPr>
            <w:tcW w:w="3242" w:type="dxa"/>
            <w:gridSpan w:val="8"/>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80.0</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45"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ind w:firstLine="0" w:firstLineChars="0"/>
              <w:jc w:val="left"/>
              <w:rPr>
                <w:rFonts w:hint="default" w:ascii="Times New Roman" w:hAnsi="Times New Roman" w:eastAsia="宋体" w:cs="Times New Roman"/>
                <w:color w:val="auto"/>
                <w:spacing w:val="10"/>
                <w:sz w:val="21"/>
                <w:szCs w:val="21"/>
              </w:rPr>
            </w:pPr>
          </w:p>
        </w:tc>
        <w:tc>
          <w:tcPr>
            <w:tcW w:w="1558"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引燃温度(℃)</w:t>
            </w:r>
          </w:p>
        </w:tc>
        <w:tc>
          <w:tcPr>
            <w:tcW w:w="1817" w:type="dxa"/>
            <w:gridSpan w:val="4"/>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305</w:t>
            </w:r>
          </w:p>
        </w:tc>
        <w:tc>
          <w:tcPr>
            <w:tcW w:w="2086" w:type="dxa"/>
            <w:gridSpan w:val="3"/>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爆炸下限（v%）</w:t>
            </w:r>
          </w:p>
        </w:tc>
        <w:tc>
          <w:tcPr>
            <w:tcW w:w="3242" w:type="dxa"/>
            <w:gridSpan w:val="8"/>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2.1</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1090"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ind w:firstLine="0" w:firstLineChars="0"/>
              <w:jc w:val="left"/>
              <w:rPr>
                <w:rFonts w:hint="default" w:ascii="Times New Roman" w:hAnsi="Times New Roman" w:eastAsia="宋体" w:cs="Times New Roman"/>
                <w:color w:val="auto"/>
                <w:spacing w:val="10"/>
                <w:sz w:val="21"/>
                <w:szCs w:val="21"/>
              </w:rPr>
            </w:pPr>
          </w:p>
        </w:tc>
        <w:tc>
          <w:tcPr>
            <w:tcW w:w="1558"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危险特性</w:t>
            </w:r>
          </w:p>
        </w:tc>
        <w:tc>
          <w:tcPr>
            <w:tcW w:w="7145" w:type="dxa"/>
            <w:gridSpan w:val="15"/>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极易燃烧爆炸，与空气混合能形成爆炸性混合物。遇明火、高热能引起燃烧爆炸。与氧化剂接触会猛烈反应。与氟、氯等接触会发生剧烈的化学反应。能与铜、银、汞等的化合物生成爆炸性物质。</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182"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ind w:firstLine="0" w:firstLineChars="0"/>
              <w:jc w:val="left"/>
              <w:rPr>
                <w:rFonts w:hint="default" w:ascii="Times New Roman" w:hAnsi="Times New Roman" w:eastAsia="宋体" w:cs="Times New Roman"/>
                <w:color w:val="auto"/>
                <w:spacing w:val="10"/>
                <w:sz w:val="21"/>
                <w:szCs w:val="21"/>
              </w:rPr>
            </w:pPr>
          </w:p>
        </w:tc>
        <w:tc>
          <w:tcPr>
            <w:tcW w:w="1558" w:type="dxa"/>
            <w:tcBorders>
              <w:top w:val="single" w:color="auto" w:sz="6" w:space="0"/>
              <w:left w:val="single" w:color="auto" w:sz="6" w:space="0"/>
              <w:bottom w:val="single" w:color="auto" w:sz="6" w:space="0"/>
              <w:right w:val="single" w:color="auto" w:sz="6" w:space="0"/>
            </w:tcBorders>
            <w:noWrap w:val="0"/>
            <w:vAlign w:val="center"/>
          </w:tcPr>
          <w:p>
            <w:pPr>
              <w:spacing w:line="300" w:lineRule="exact"/>
              <w:ind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建规火险分级</w:t>
            </w:r>
          </w:p>
        </w:tc>
        <w:tc>
          <w:tcPr>
            <w:tcW w:w="1429" w:type="dxa"/>
            <w:gridSpan w:val="2"/>
            <w:tcBorders>
              <w:top w:val="single" w:color="auto" w:sz="6" w:space="0"/>
              <w:left w:val="single" w:color="auto" w:sz="6" w:space="0"/>
              <w:bottom w:val="single" w:color="auto" w:sz="6" w:space="0"/>
              <w:right w:val="single" w:color="auto" w:sz="6" w:space="0"/>
            </w:tcBorders>
            <w:noWrap w:val="0"/>
            <w:vAlign w:val="center"/>
          </w:tcPr>
          <w:p>
            <w:pPr>
              <w:spacing w:line="30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甲</w:t>
            </w:r>
          </w:p>
        </w:tc>
        <w:tc>
          <w:tcPr>
            <w:tcW w:w="1429" w:type="dxa"/>
            <w:gridSpan w:val="3"/>
            <w:tcBorders>
              <w:top w:val="single" w:color="auto" w:sz="6" w:space="0"/>
              <w:left w:val="single" w:color="auto" w:sz="6" w:space="0"/>
              <w:bottom w:val="single" w:color="auto" w:sz="6" w:space="0"/>
              <w:right w:val="single" w:color="auto" w:sz="6" w:space="0"/>
            </w:tcBorders>
            <w:noWrap w:val="0"/>
            <w:vAlign w:val="center"/>
          </w:tcPr>
          <w:p>
            <w:pPr>
              <w:spacing w:line="30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稳定性</w:t>
            </w:r>
          </w:p>
        </w:tc>
        <w:tc>
          <w:tcPr>
            <w:tcW w:w="1429" w:type="dxa"/>
            <w:gridSpan w:val="6"/>
            <w:tcBorders>
              <w:top w:val="single" w:color="auto" w:sz="6" w:space="0"/>
              <w:left w:val="single" w:color="auto" w:sz="6" w:space="0"/>
              <w:bottom w:val="single" w:color="auto" w:sz="6" w:space="0"/>
              <w:right w:val="single" w:color="auto" w:sz="6" w:space="0"/>
            </w:tcBorders>
            <w:noWrap w:val="0"/>
            <w:vAlign w:val="center"/>
          </w:tcPr>
          <w:p>
            <w:pPr>
              <w:spacing w:line="30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稳定</w:t>
            </w:r>
          </w:p>
        </w:tc>
        <w:tc>
          <w:tcPr>
            <w:tcW w:w="1429" w:type="dxa"/>
            <w:gridSpan w:val="2"/>
            <w:tcBorders>
              <w:top w:val="single" w:color="auto" w:sz="6" w:space="0"/>
              <w:left w:val="single" w:color="auto" w:sz="6" w:space="0"/>
              <w:bottom w:val="single" w:color="auto" w:sz="6" w:space="0"/>
              <w:right w:val="single" w:color="auto" w:sz="6" w:space="0"/>
            </w:tcBorders>
            <w:noWrap w:val="0"/>
            <w:vAlign w:val="center"/>
          </w:tcPr>
          <w:p>
            <w:pPr>
              <w:spacing w:line="30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聚合危害</w:t>
            </w:r>
          </w:p>
        </w:tc>
        <w:tc>
          <w:tcPr>
            <w:tcW w:w="1429" w:type="dxa"/>
            <w:gridSpan w:val="2"/>
            <w:tcBorders>
              <w:top w:val="single" w:color="auto" w:sz="6" w:space="0"/>
              <w:left w:val="single" w:color="auto" w:sz="6" w:space="0"/>
              <w:bottom w:val="single" w:color="auto" w:sz="6" w:space="0"/>
              <w:right w:val="single" w:color="auto" w:sz="6" w:space="0"/>
            </w:tcBorders>
            <w:noWrap w:val="0"/>
            <w:vAlign w:val="center"/>
          </w:tcPr>
          <w:p>
            <w:pPr>
              <w:spacing w:line="30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聚合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346"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ind w:firstLine="0" w:firstLineChars="0"/>
              <w:jc w:val="left"/>
              <w:rPr>
                <w:rFonts w:hint="default" w:ascii="Times New Roman" w:hAnsi="Times New Roman" w:eastAsia="宋体" w:cs="Times New Roman"/>
                <w:color w:val="auto"/>
                <w:spacing w:val="10"/>
                <w:sz w:val="21"/>
                <w:szCs w:val="21"/>
              </w:rPr>
            </w:pPr>
          </w:p>
        </w:tc>
        <w:tc>
          <w:tcPr>
            <w:tcW w:w="1558" w:type="dxa"/>
            <w:tcBorders>
              <w:top w:val="single" w:color="auto" w:sz="6" w:space="0"/>
              <w:left w:val="single" w:color="auto" w:sz="6" w:space="0"/>
              <w:bottom w:val="single" w:color="auto" w:sz="6" w:space="0"/>
              <w:right w:val="single" w:color="auto" w:sz="6" w:space="0"/>
            </w:tcBorders>
            <w:noWrap w:val="0"/>
            <w:vAlign w:val="center"/>
          </w:tcPr>
          <w:p>
            <w:pPr>
              <w:spacing w:line="30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禁忌物</w:t>
            </w:r>
          </w:p>
        </w:tc>
        <w:tc>
          <w:tcPr>
            <w:tcW w:w="7145" w:type="dxa"/>
            <w:gridSpan w:val="15"/>
            <w:tcBorders>
              <w:top w:val="single" w:color="auto" w:sz="6" w:space="0"/>
              <w:left w:val="single" w:color="auto" w:sz="6" w:space="0"/>
              <w:bottom w:val="single" w:color="auto" w:sz="6" w:space="0"/>
              <w:right w:val="single" w:color="auto" w:sz="6" w:space="0"/>
            </w:tcBorders>
            <w:noWrap w:val="0"/>
            <w:vAlign w:val="center"/>
          </w:tcPr>
          <w:p>
            <w:pPr>
              <w:spacing w:line="30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强氧化剂、强酸、卤素。</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633"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ind w:firstLine="0" w:firstLineChars="0"/>
              <w:jc w:val="left"/>
              <w:rPr>
                <w:rFonts w:hint="default" w:ascii="Times New Roman" w:hAnsi="Times New Roman" w:eastAsia="宋体" w:cs="Times New Roman"/>
                <w:color w:val="auto"/>
                <w:spacing w:val="10"/>
                <w:sz w:val="21"/>
                <w:szCs w:val="21"/>
              </w:rPr>
            </w:pPr>
          </w:p>
        </w:tc>
        <w:tc>
          <w:tcPr>
            <w:tcW w:w="1558"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储运条件</w:t>
            </w:r>
          </w:p>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与泄漏处理</w:t>
            </w:r>
          </w:p>
        </w:tc>
        <w:tc>
          <w:tcPr>
            <w:tcW w:w="7145" w:type="dxa"/>
            <w:gridSpan w:val="15"/>
            <w:tcBorders>
              <w:top w:val="single" w:color="auto" w:sz="6" w:space="0"/>
              <w:left w:val="single" w:color="auto" w:sz="6" w:space="0"/>
              <w:bottom w:val="single" w:color="auto" w:sz="6" w:space="0"/>
              <w:right w:val="single" w:color="auto" w:sz="6" w:space="0"/>
            </w:tcBorders>
            <w:noWrap w:val="0"/>
            <w:vAlign w:val="center"/>
          </w:tcPr>
          <w:p>
            <w:pPr>
              <w:spacing w:line="320" w:lineRule="exact"/>
              <w:ind w:firstLine="0" w:firstLineChars="0"/>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b w:val="0"/>
                <w:bCs/>
                <w:color w:val="auto"/>
                <w:spacing w:val="-2"/>
                <w:sz w:val="21"/>
                <w:szCs w:val="21"/>
              </w:rPr>
              <w:t>储运条件</w:t>
            </w:r>
            <w:r>
              <w:rPr>
                <w:rFonts w:hint="default" w:ascii="Times New Roman" w:hAnsi="Times New Roman" w:eastAsia="宋体" w:cs="Times New Roman"/>
                <w:color w:val="auto"/>
                <w:spacing w:val="-2"/>
                <w:sz w:val="21"/>
                <w:szCs w:val="21"/>
              </w:rPr>
              <w:t>：乙炔的包装法通常是溶解在溶剂及多孔物中, 装入钢瓶内。储存于阴凉、通风的库房。远离火种、热源。库温不宜超过30℃。应与氧化剂、酸类、卤素分开存放，切忌混储。采用防爆型照明、通风设施。禁止使用易产生火花的机械设备和工具。储区应备有泄漏应急处理设备。搬运时应轻装轻卸，防止钢瓶及附件破损。</w:t>
            </w:r>
            <w:r>
              <w:rPr>
                <w:rFonts w:hint="default" w:ascii="Times New Roman" w:hAnsi="Times New Roman" w:eastAsia="宋体" w:cs="Times New Roman"/>
                <w:b w:val="0"/>
                <w:bCs/>
                <w:color w:val="auto"/>
                <w:spacing w:val="-2"/>
                <w:sz w:val="21"/>
                <w:szCs w:val="21"/>
              </w:rPr>
              <w:t>泄漏处理</w:t>
            </w:r>
            <w:r>
              <w:rPr>
                <w:rFonts w:hint="default" w:ascii="Times New Roman" w:hAnsi="Times New Roman" w:eastAsia="宋体" w:cs="Times New Roman"/>
                <w:color w:val="auto"/>
                <w:spacing w:val="-2"/>
                <w:sz w:val="21"/>
                <w:szCs w:val="21"/>
              </w:rPr>
              <w:t>：迅速撤离泄漏污染区人员至上风处，并进行隔离，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漏气容器要妥善处理，修复、检验后再用。</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47"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ind w:firstLine="0" w:firstLineChars="0"/>
              <w:jc w:val="left"/>
              <w:rPr>
                <w:rFonts w:hint="default" w:ascii="Times New Roman" w:hAnsi="Times New Roman" w:eastAsia="宋体" w:cs="Times New Roman"/>
                <w:color w:val="auto"/>
                <w:spacing w:val="10"/>
                <w:sz w:val="21"/>
                <w:szCs w:val="21"/>
              </w:rPr>
            </w:pPr>
          </w:p>
        </w:tc>
        <w:tc>
          <w:tcPr>
            <w:tcW w:w="1558"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灭火方法</w:t>
            </w:r>
          </w:p>
        </w:tc>
        <w:tc>
          <w:tcPr>
            <w:tcW w:w="7145" w:type="dxa"/>
            <w:gridSpan w:val="15"/>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切断气源。若不能立即切断气源，则不允许熄灭正在燃烧的气体。喷水冷却容器，可能的话将容器从火场移至空旷处。灭火剂：雾状水、泡沫、二氧化碳、干粉。</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default"/>
          <w:color w:val="auto"/>
          <w:lang w:val="en-US" w:eastAsia="zh-CN"/>
        </w:rPr>
        <w:t>表3-</w:t>
      </w:r>
      <w:r>
        <w:rPr>
          <w:rFonts w:hint="eastAsia" w:ascii="Times New Roman" w:eastAsia="宋体"/>
          <w:color w:val="auto"/>
          <w:lang w:val="en-US" w:eastAsia="zh-CN"/>
        </w:rPr>
        <w:t xml:space="preserve">2 </w:t>
      </w:r>
      <w:r>
        <w:rPr>
          <w:rFonts w:hint="default"/>
          <w:color w:val="auto"/>
          <w:lang w:val="en-US" w:eastAsia="zh-CN"/>
        </w:rPr>
        <w:t>压缩氧的理化性质及危险特性</w:t>
      </w:r>
    </w:p>
    <w:tbl>
      <w:tblPr>
        <w:tblStyle w:val="15"/>
        <w:tblW w:w="0" w:type="auto"/>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476"/>
        <w:gridCol w:w="1558"/>
        <w:gridCol w:w="1275"/>
        <w:gridCol w:w="182"/>
        <w:gridCol w:w="360"/>
        <w:gridCol w:w="1329"/>
        <w:gridCol w:w="35"/>
        <w:gridCol w:w="722"/>
        <w:gridCol w:w="237"/>
        <w:gridCol w:w="1005"/>
        <w:gridCol w:w="1097"/>
        <w:gridCol w:w="903"/>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83" w:hRule="atLeast"/>
          <w:jc w:val="center"/>
        </w:trPr>
        <w:tc>
          <w:tcPr>
            <w:tcW w:w="476" w:type="dxa"/>
            <w:vMerge w:val="restart"/>
            <w:tcBorders>
              <w:top w:val="single" w:color="auto" w:sz="6" w:space="0"/>
              <w:left w:val="single" w:color="auto" w:sz="6" w:space="0"/>
              <w:bottom w:val="single" w:color="auto" w:sz="6" w:space="0"/>
              <w:right w:val="single" w:color="auto" w:sz="6" w:space="0"/>
            </w:tcBorders>
            <w:noWrap w:val="0"/>
            <w:vAlign w:val="center"/>
          </w:tcPr>
          <w:p>
            <w:pPr>
              <w:spacing w:line="32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标识</w:t>
            </w:r>
          </w:p>
        </w:tc>
        <w:tc>
          <w:tcPr>
            <w:tcW w:w="5698" w:type="dxa"/>
            <w:gridSpan w:val="8"/>
            <w:tcBorders>
              <w:top w:val="single" w:color="auto" w:sz="6" w:space="0"/>
              <w:left w:val="single" w:color="auto" w:sz="6" w:space="0"/>
              <w:bottom w:val="single" w:color="auto" w:sz="6" w:space="0"/>
              <w:right w:val="single" w:color="auto" w:sz="6" w:space="0"/>
            </w:tcBorders>
            <w:noWrap w:val="0"/>
            <w:vAlign w:val="center"/>
          </w:tcPr>
          <w:p>
            <w:pPr>
              <w:spacing w:line="44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中文名：</w:t>
            </w:r>
            <w:r>
              <w:rPr>
                <w:rFonts w:hint="default" w:ascii="Times New Roman" w:hAnsi="Times New Roman" w:eastAsia="宋体" w:cs="Times New Roman"/>
                <w:color w:val="auto"/>
                <w:sz w:val="21"/>
                <w:szCs w:val="21"/>
              </w:rPr>
              <w:t>氧[液化的]；液氧</w:t>
            </w:r>
          </w:p>
        </w:tc>
        <w:tc>
          <w:tcPr>
            <w:tcW w:w="3005" w:type="dxa"/>
            <w:gridSpan w:val="3"/>
            <w:tcBorders>
              <w:top w:val="single" w:color="auto" w:sz="6" w:space="0"/>
              <w:left w:val="single" w:color="auto" w:sz="6" w:space="0"/>
              <w:bottom w:val="single" w:color="auto" w:sz="6" w:space="0"/>
              <w:right w:val="single" w:color="auto" w:sz="6" w:space="0"/>
            </w:tcBorders>
            <w:noWrap w:val="0"/>
            <w:vAlign w:val="center"/>
          </w:tcPr>
          <w:p>
            <w:pPr>
              <w:spacing w:line="44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危险货物编号：</w:t>
            </w:r>
            <w:r>
              <w:rPr>
                <w:rFonts w:hint="default" w:ascii="Times New Roman" w:hAnsi="Times New Roman" w:eastAsia="宋体" w:cs="Times New Roman"/>
                <w:color w:val="auto"/>
                <w:sz w:val="21"/>
                <w:szCs w:val="21"/>
              </w:rPr>
              <w:t>22002</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82"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20" w:lineRule="exact"/>
              <w:ind w:firstLine="0" w:firstLineChars="0"/>
              <w:jc w:val="left"/>
              <w:rPr>
                <w:rFonts w:hint="default" w:ascii="Times New Roman" w:hAnsi="Times New Roman" w:eastAsia="宋体" w:cs="Times New Roman"/>
                <w:color w:val="auto"/>
                <w:spacing w:val="10"/>
                <w:sz w:val="21"/>
                <w:szCs w:val="21"/>
              </w:rPr>
            </w:pPr>
          </w:p>
        </w:tc>
        <w:tc>
          <w:tcPr>
            <w:tcW w:w="5698" w:type="dxa"/>
            <w:gridSpan w:val="8"/>
            <w:tcBorders>
              <w:top w:val="single" w:color="auto" w:sz="6" w:space="0"/>
              <w:left w:val="single" w:color="auto" w:sz="6" w:space="0"/>
              <w:bottom w:val="single" w:color="auto" w:sz="6" w:space="0"/>
              <w:right w:val="single" w:color="auto" w:sz="6" w:space="0"/>
            </w:tcBorders>
            <w:noWrap w:val="0"/>
            <w:vAlign w:val="center"/>
          </w:tcPr>
          <w:p>
            <w:pPr>
              <w:spacing w:line="44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英文名</w:t>
            </w:r>
            <w:r>
              <w:rPr>
                <w:rFonts w:hint="default" w:ascii="Times New Roman" w:hAnsi="Times New Roman" w:eastAsia="宋体" w:cs="Times New Roman"/>
                <w:color w:val="auto"/>
                <w:spacing w:val="10"/>
                <w:sz w:val="21"/>
                <w:szCs w:val="21"/>
                <w:lang w:val="en-GB"/>
              </w:rPr>
              <w:t>：</w:t>
            </w:r>
            <w:r>
              <w:rPr>
                <w:rFonts w:hint="default" w:ascii="Times New Roman" w:hAnsi="Times New Roman" w:eastAsia="宋体" w:cs="Times New Roman"/>
                <w:color w:val="auto"/>
                <w:sz w:val="21"/>
                <w:szCs w:val="21"/>
              </w:rPr>
              <w:t>oxygen，refrigerated liquid</w:t>
            </w:r>
          </w:p>
        </w:tc>
        <w:tc>
          <w:tcPr>
            <w:tcW w:w="3005" w:type="dxa"/>
            <w:gridSpan w:val="3"/>
            <w:tcBorders>
              <w:top w:val="single" w:color="auto" w:sz="6" w:space="0"/>
              <w:left w:val="single" w:color="auto" w:sz="6" w:space="0"/>
              <w:bottom w:val="single" w:color="auto" w:sz="6" w:space="0"/>
              <w:right w:val="single" w:color="auto" w:sz="6" w:space="0"/>
            </w:tcBorders>
            <w:noWrap w:val="0"/>
            <w:vAlign w:val="center"/>
          </w:tcPr>
          <w:p>
            <w:pPr>
              <w:spacing w:line="44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UN编号：1073</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506"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20" w:lineRule="exact"/>
              <w:ind w:firstLine="0" w:firstLineChars="0"/>
              <w:jc w:val="left"/>
              <w:rPr>
                <w:rFonts w:hint="default" w:ascii="Times New Roman" w:hAnsi="Times New Roman" w:eastAsia="宋体" w:cs="Times New Roman"/>
                <w:color w:val="auto"/>
                <w:spacing w:val="10"/>
                <w:sz w:val="21"/>
                <w:szCs w:val="21"/>
              </w:rPr>
            </w:pPr>
          </w:p>
        </w:tc>
        <w:tc>
          <w:tcPr>
            <w:tcW w:w="3015" w:type="dxa"/>
            <w:gridSpan w:val="3"/>
            <w:tcBorders>
              <w:top w:val="single" w:color="auto" w:sz="6" w:space="0"/>
              <w:left w:val="single" w:color="auto" w:sz="6" w:space="0"/>
              <w:bottom w:val="single" w:color="auto" w:sz="6" w:space="0"/>
              <w:right w:val="single" w:color="auto" w:sz="6" w:space="0"/>
            </w:tcBorders>
            <w:noWrap w:val="0"/>
            <w:vAlign w:val="center"/>
          </w:tcPr>
          <w:p>
            <w:pPr>
              <w:spacing w:line="440" w:lineRule="exact"/>
              <w:ind w:left="920" w:hanging="920" w:hangingChars="40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分子式：</w:t>
            </w: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2</w:t>
            </w:r>
          </w:p>
        </w:tc>
        <w:tc>
          <w:tcPr>
            <w:tcW w:w="2683" w:type="dxa"/>
            <w:gridSpan w:val="5"/>
            <w:tcBorders>
              <w:top w:val="single" w:color="auto" w:sz="6" w:space="0"/>
              <w:left w:val="single" w:color="auto" w:sz="6" w:space="0"/>
              <w:bottom w:val="single" w:color="auto" w:sz="6" w:space="0"/>
              <w:right w:val="single" w:color="auto" w:sz="6" w:space="0"/>
            </w:tcBorders>
            <w:noWrap w:val="0"/>
            <w:vAlign w:val="center"/>
          </w:tcPr>
          <w:p>
            <w:pPr>
              <w:spacing w:line="44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分子量：</w:t>
            </w:r>
            <w:r>
              <w:rPr>
                <w:rFonts w:hint="default" w:ascii="Times New Roman" w:hAnsi="Times New Roman" w:eastAsia="宋体" w:cs="Times New Roman"/>
                <w:color w:val="auto"/>
                <w:sz w:val="21"/>
                <w:szCs w:val="21"/>
              </w:rPr>
              <w:t>32.00</w:t>
            </w:r>
          </w:p>
        </w:tc>
        <w:tc>
          <w:tcPr>
            <w:tcW w:w="3005" w:type="dxa"/>
            <w:gridSpan w:val="3"/>
            <w:tcBorders>
              <w:top w:val="single" w:color="auto" w:sz="6" w:space="0"/>
              <w:left w:val="single" w:color="auto" w:sz="6" w:space="0"/>
              <w:bottom w:val="single" w:color="auto" w:sz="6" w:space="0"/>
              <w:right w:val="single" w:color="auto" w:sz="6" w:space="0"/>
            </w:tcBorders>
            <w:noWrap w:val="0"/>
            <w:vAlign w:val="center"/>
          </w:tcPr>
          <w:p>
            <w:pPr>
              <w:spacing w:line="44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CAS号：7782-44-7</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83" w:hRule="atLeast"/>
          <w:jc w:val="center"/>
        </w:trPr>
        <w:tc>
          <w:tcPr>
            <w:tcW w:w="476" w:type="dxa"/>
            <w:vMerge w:val="restart"/>
            <w:tcBorders>
              <w:top w:val="single" w:color="auto" w:sz="6" w:space="0"/>
              <w:left w:val="single" w:color="auto" w:sz="6" w:space="0"/>
              <w:bottom w:val="single" w:color="auto" w:sz="6" w:space="0"/>
              <w:right w:val="single" w:color="auto" w:sz="6" w:space="0"/>
            </w:tcBorders>
            <w:noWrap w:val="0"/>
            <w:vAlign w:val="center"/>
          </w:tcPr>
          <w:p>
            <w:pPr>
              <w:spacing w:line="32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理化性质</w:t>
            </w:r>
          </w:p>
        </w:tc>
        <w:tc>
          <w:tcPr>
            <w:tcW w:w="1558" w:type="dxa"/>
            <w:tcBorders>
              <w:top w:val="single" w:color="auto" w:sz="6" w:space="0"/>
              <w:left w:val="single" w:color="auto" w:sz="6" w:space="0"/>
              <w:bottom w:val="single" w:color="auto" w:sz="6" w:space="0"/>
              <w:right w:val="single" w:color="auto" w:sz="6" w:space="0"/>
            </w:tcBorders>
            <w:noWrap w:val="0"/>
            <w:vAlign w:val="center"/>
          </w:tcPr>
          <w:p>
            <w:pPr>
              <w:spacing w:line="44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外观与性状</w:t>
            </w:r>
          </w:p>
        </w:tc>
        <w:tc>
          <w:tcPr>
            <w:tcW w:w="7145" w:type="dxa"/>
            <w:gridSpan w:val="10"/>
            <w:tcBorders>
              <w:top w:val="single" w:color="auto" w:sz="6" w:space="0"/>
              <w:left w:val="single" w:color="auto" w:sz="6" w:space="0"/>
              <w:bottom w:val="single" w:color="auto" w:sz="6" w:space="0"/>
              <w:right w:val="single" w:color="auto" w:sz="6" w:space="0"/>
            </w:tcBorders>
            <w:noWrap w:val="0"/>
            <w:vAlign w:val="center"/>
          </w:tcPr>
          <w:p>
            <w:pPr>
              <w:spacing w:line="44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常温下为无色、无臭气体，液化后成蓝色。</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71"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20" w:lineRule="exact"/>
              <w:ind w:firstLine="0" w:firstLineChars="0"/>
              <w:jc w:val="left"/>
              <w:rPr>
                <w:rFonts w:hint="default" w:ascii="Times New Roman" w:hAnsi="Times New Roman" w:eastAsia="宋体" w:cs="Times New Roman"/>
                <w:color w:val="auto"/>
                <w:spacing w:val="10"/>
                <w:sz w:val="21"/>
                <w:szCs w:val="21"/>
              </w:rPr>
            </w:pPr>
          </w:p>
        </w:tc>
        <w:tc>
          <w:tcPr>
            <w:tcW w:w="1558" w:type="dxa"/>
            <w:tcBorders>
              <w:top w:val="single" w:color="auto" w:sz="6" w:space="0"/>
              <w:left w:val="single" w:color="auto" w:sz="6" w:space="0"/>
              <w:bottom w:val="single" w:color="auto" w:sz="6" w:space="0"/>
              <w:right w:val="single" w:color="auto" w:sz="6" w:space="0"/>
            </w:tcBorders>
            <w:noWrap w:val="0"/>
            <w:vAlign w:val="center"/>
          </w:tcPr>
          <w:p>
            <w:pPr>
              <w:spacing w:line="44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熔点（℃）</w:t>
            </w:r>
          </w:p>
        </w:tc>
        <w:tc>
          <w:tcPr>
            <w:tcW w:w="1275" w:type="dxa"/>
            <w:tcBorders>
              <w:top w:val="single" w:color="auto" w:sz="6" w:space="0"/>
              <w:left w:val="single" w:color="auto" w:sz="6" w:space="0"/>
              <w:bottom w:val="single" w:color="auto" w:sz="6" w:space="0"/>
              <w:right w:val="single" w:color="auto" w:sz="6" w:space="0"/>
            </w:tcBorders>
            <w:noWrap w:val="0"/>
            <w:vAlign w:val="center"/>
          </w:tcPr>
          <w:p>
            <w:pPr>
              <w:spacing w:line="44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-218.8</w:t>
            </w:r>
          </w:p>
        </w:tc>
        <w:tc>
          <w:tcPr>
            <w:tcW w:w="1906" w:type="dxa"/>
            <w:gridSpan w:val="4"/>
            <w:tcBorders>
              <w:top w:val="single" w:color="auto" w:sz="6" w:space="0"/>
              <w:left w:val="single" w:color="auto" w:sz="6" w:space="0"/>
              <w:bottom w:val="single" w:color="auto" w:sz="6" w:space="0"/>
              <w:right w:val="single" w:color="auto" w:sz="6" w:space="0"/>
            </w:tcBorders>
            <w:noWrap w:val="0"/>
            <w:vAlign w:val="center"/>
          </w:tcPr>
          <w:p>
            <w:pPr>
              <w:spacing w:line="44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相对密度(水=1)</w:t>
            </w:r>
          </w:p>
        </w:tc>
        <w:tc>
          <w:tcPr>
            <w:tcW w:w="959" w:type="dxa"/>
            <w:gridSpan w:val="2"/>
            <w:tcBorders>
              <w:top w:val="single" w:color="auto" w:sz="6" w:space="0"/>
              <w:left w:val="single" w:color="auto" w:sz="6" w:space="0"/>
              <w:bottom w:val="single" w:color="auto" w:sz="6" w:space="0"/>
              <w:right w:val="single" w:color="auto" w:sz="6" w:space="0"/>
            </w:tcBorders>
            <w:noWrap w:val="0"/>
            <w:vAlign w:val="center"/>
          </w:tcPr>
          <w:p>
            <w:pPr>
              <w:spacing w:line="44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1.14</w:t>
            </w:r>
          </w:p>
        </w:tc>
        <w:tc>
          <w:tcPr>
            <w:tcW w:w="2102" w:type="dxa"/>
            <w:gridSpan w:val="2"/>
            <w:tcBorders>
              <w:top w:val="single" w:color="auto" w:sz="6" w:space="0"/>
              <w:left w:val="single" w:color="auto" w:sz="6" w:space="0"/>
              <w:bottom w:val="single" w:color="auto" w:sz="6" w:space="0"/>
              <w:right w:val="single" w:color="auto" w:sz="6" w:space="0"/>
            </w:tcBorders>
            <w:noWrap w:val="0"/>
            <w:vAlign w:val="center"/>
          </w:tcPr>
          <w:p>
            <w:pPr>
              <w:spacing w:line="44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相对密度(空气=1)</w:t>
            </w:r>
          </w:p>
        </w:tc>
        <w:tc>
          <w:tcPr>
            <w:tcW w:w="903" w:type="dxa"/>
            <w:tcBorders>
              <w:top w:val="single" w:color="auto" w:sz="6" w:space="0"/>
              <w:left w:val="single" w:color="auto" w:sz="6" w:space="0"/>
              <w:bottom w:val="single" w:color="auto" w:sz="6" w:space="0"/>
              <w:right w:val="single" w:color="auto" w:sz="6" w:space="0"/>
            </w:tcBorders>
            <w:noWrap w:val="0"/>
            <w:vAlign w:val="center"/>
          </w:tcPr>
          <w:p>
            <w:pPr>
              <w:spacing w:line="44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1.43</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541"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20" w:lineRule="exact"/>
              <w:ind w:firstLine="0" w:firstLineChars="0"/>
              <w:jc w:val="left"/>
              <w:rPr>
                <w:rFonts w:hint="default" w:ascii="Times New Roman" w:hAnsi="Times New Roman" w:eastAsia="宋体" w:cs="Times New Roman"/>
                <w:color w:val="auto"/>
                <w:spacing w:val="10"/>
                <w:sz w:val="21"/>
                <w:szCs w:val="21"/>
              </w:rPr>
            </w:pPr>
          </w:p>
        </w:tc>
        <w:tc>
          <w:tcPr>
            <w:tcW w:w="1558" w:type="dxa"/>
            <w:tcBorders>
              <w:top w:val="single" w:color="auto" w:sz="6" w:space="0"/>
              <w:left w:val="single" w:color="auto" w:sz="6" w:space="0"/>
              <w:bottom w:val="single" w:color="auto" w:sz="6" w:space="0"/>
              <w:right w:val="single" w:color="auto" w:sz="6" w:space="0"/>
            </w:tcBorders>
            <w:noWrap w:val="0"/>
            <w:vAlign w:val="center"/>
          </w:tcPr>
          <w:p>
            <w:pPr>
              <w:spacing w:line="44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沸点（℃）</w:t>
            </w:r>
          </w:p>
        </w:tc>
        <w:tc>
          <w:tcPr>
            <w:tcW w:w="1275" w:type="dxa"/>
            <w:tcBorders>
              <w:top w:val="single" w:color="auto" w:sz="6" w:space="0"/>
              <w:left w:val="single" w:color="auto" w:sz="6" w:space="0"/>
              <w:bottom w:val="single" w:color="auto" w:sz="6" w:space="0"/>
              <w:right w:val="single" w:color="auto" w:sz="6" w:space="0"/>
            </w:tcBorders>
            <w:noWrap w:val="0"/>
            <w:vAlign w:val="center"/>
          </w:tcPr>
          <w:p>
            <w:pPr>
              <w:spacing w:line="44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-183.1</w:t>
            </w:r>
          </w:p>
        </w:tc>
        <w:tc>
          <w:tcPr>
            <w:tcW w:w="2865" w:type="dxa"/>
            <w:gridSpan w:val="6"/>
            <w:tcBorders>
              <w:top w:val="single" w:color="auto" w:sz="6" w:space="0"/>
              <w:left w:val="single" w:color="auto" w:sz="6" w:space="0"/>
              <w:bottom w:val="single" w:color="auto" w:sz="6" w:space="0"/>
              <w:right w:val="single" w:color="auto" w:sz="6" w:space="0"/>
            </w:tcBorders>
            <w:noWrap w:val="0"/>
            <w:vAlign w:val="center"/>
          </w:tcPr>
          <w:p>
            <w:pPr>
              <w:spacing w:line="440" w:lineRule="exact"/>
              <w:ind w:left="-4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饱和蒸气压（kPa）</w:t>
            </w:r>
          </w:p>
        </w:tc>
        <w:tc>
          <w:tcPr>
            <w:tcW w:w="3005" w:type="dxa"/>
            <w:gridSpan w:val="3"/>
            <w:tcBorders>
              <w:top w:val="single" w:color="auto" w:sz="6" w:space="0"/>
              <w:left w:val="single" w:color="auto" w:sz="6" w:space="0"/>
              <w:bottom w:val="single" w:color="auto" w:sz="6" w:space="0"/>
              <w:right w:val="single" w:color="auto" w:sz="6" w:space="0"/>
            </w:tcBorders>
            <w:noWrap w:val="0"/>
            <w:vAlign w:val="center"/>
          </w:tcPr>
          <w:p>
            <w:pPr>
              <w:spacing w:line="44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506.62/-164℃</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518"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20" w:lineRule="exact"/>
              <w:ind w:firstLine="0" w:firstLineChars="0"/>
              <w:jc w:val="left"/>
              <w:rPr>
                <w:rFonts w:hint="default" w:ascii="Times New Roman" w:hAnsi="Times New Roman" w:eastAsia="宋体" w:cs="Times New Roman"/>
                <w:color w:val="auto"/>
                <w:spacing w:val="10"/>
                <w:sz w:val="21"/>
                <w:szCs w:val="21"/>
              </w:rPr>
            </w:pPr>
          </w:p>
        </w:tc>
        <w:tc>
          <w:tcPr>
            <w:tcW w:w="1558" w:type="dxa"/>
            <w:tcBorders>
              <w:top w:val="single" w:color="auto" w:sz="6" w:space="0"/>
              <w:left w:val="single" w:color="auto" w:sz="6" w:space="0"/>
              <w:bottom w:val="single" w:color="auto" w:sz="6" w:space="0"/>
              <w:right w:val="single" w:color="auto" w:sz="6" w:space="0"/>
            </w:tcBorders>
            <w:noWrap w:val="0"/>
            <w:vAlign w:val="center"/>
          </w:tcPr>
          <w:p>
            <w:pPr>
              <w:spacing w:line="44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溶解性</w:t>
            </w:r>
          </w:p>
        </w:tc>
        <w:tc>
          <w:tcPr>
            <w:tcW w:w="3146" w:type="dxa"/>
            <w:gridSpan w:val="4"/>
            <w:tcBorders>
              <w:top w:val="single" w:color="auto" w:sz="6" w:space="0"/>
              <w:left w:val="single" w:color="auto" w:sz="6" w:space="0"/>
              <w:bottom w:val="single" w:color="auto" w:sz="6" w:space="0"/>
              <w:right w:val="single" w:color="auto" w:sz="6" w:space="0"/>
            </w:tcBorders>
            <w:noWrap w:val="0"/>
            <w:vAlign w:val="center"/>
          </w:tcPr>
          <w:p>
            <w:pPr>
              <w:spacing w:line="44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溶于水、乙醇。</w:t>
            </w:r>
          </w:p>
        </w:tc>
        <w:tc>
          <w:tcPr>
            <w:tcW w:w="1999" w:type="dxa"/>
            <w:gridSpan w:val="4"/>
            <w:tcBorders>
              <w:top w:val="single" w:color="auto" w:sz="6" w:space="0"/>
              <w:left w:val="single" w:color="auto" w:sz="6" w:space="0"/>
              <w:bottom w:val="single" w:color="auto" w:sz="6" w:space="0"/>
              <w:right w:val="single" w:color="auto" w:sz="6" w:space="0"/>
            </w:tcBorders>
            <w:noWrap w:val="0"/>
            <w:vAlign w:val="center"/>
          </w:tcPr>
          <w:p>
            <w:pPr>
              <w:spacing w:line="40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临界温度（℃）</w:t>
            </w:r>
          </w:p>
        </w:tc>
        <w:tc>
          <w:tcPr>
            <w:tcW w:w="2000" w:type="dxa"/>
            <w:gridSpan w:val="2"/>
            <w:tcBorders>
              <w:top w:val="single" w:color="auto" w:sz="6" w:space="0"/>
              <w:left w:val="single" w:color="auto" w:sz="6" w:space="0"/>
              <w:bottom w:val="single" w:color="auto" w:sz="6" w:space="0"/>
              <w:right w:val="single" w:color="auto" w:sz="6" w:space="0"/>
            </w:tcBorders>
            <w:noWrap w:val="0"/>
            <w:vAlign w:val="center"/>
          </w:tcPr>
          <w:p>
            <w:pPr>
              <w:spacing w:line="40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-118.4</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530" w:hRule="atLeast"/>
          <w:jc w:val="center"/>
        </w:trPr>
        <w:tc>
          <w:tcPr>
            <w:tcW w:w="476" w:type="dxa"/>
            <w:vMerge w:val="restart"/>
            <w:tcBorders>
              <w:top w:val="single" w:color="auto" w:sz="6" w:space="0"/>
              <w:left w:val="single" w:color="auto" w:sz="6" w:space="0"/>
              <w:bottom w:val="single" w:color="auto" w:sz="6" w:space="0"/>
              <w:right w:val="single" w:color="auto" w:sz="6" w:space="0"/>
            </w:tcBorders>
            <w:noWrap w:val="0"/>
            <w:vAlign w:val="center"/>
          </w:tcPr>
          <w:p>
            <w:pPr>
              <w:spacing w:line="32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毒性及健康危害</w:t>
            </w:r>
          </w:p>
        </w:tc>
        <w:tc>
          <w:tcPr>
            <w:tcW w:w="1558" w:type="dxa"/>
            <w:tcBorders>
              <w:top w:val="single" w:color="auto" w:sz="6" w:space="0"/>
              <w:left w:val="single" w:color="auto" w:sz="6" w:space="0"/>
              <w:right w:val="single" w:color="auto" w:sz="6" w:space="0"/>
            </w:tcBorders>
            <w:noWrap w:val="0"/>
            <w:vAlign w:val="center"/>
          </w:tcPr>
          <w:p>
            <w:pPr>
              <w:spacing w:line="32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侵入途径</w:t>
            </w:r>
          </w:p>
        </w:tc>
        <w:tc>
          <w:tcPr>
            <w:tcW w:w="7145" w:type="dxa"/>
            <w:gridSpan w:val="10"/>
            <w:tcBorders>
              <w:top w:val="single" w:color="auto" w:sz="6" w:space="0"/>
              <w:left w:val="single" w:color="auto" w:sz="6" w:space="0"/>
              <w:right w:val="single" w:color="auto" w:sz="4" w:space="0"/>
            </w:tcBorders>
            <w:noWrap w:val="0"/>
            <w:vAlign w:val="center"/>
          </w:tcPr>
          <w:p>
            <w:pPr>
              <w:spacing w:line="32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吸入。</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568"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20" w:lineRule="exact"/>
              <w:ind w:firstLine="0" w:firstLineChars="0"/>
              <w:jc w:val="left"/>
              <w:rPr>
                <w:rFonts w:hint="default" w:ascii="Times New Roman" w:hAnsi="Times New Roman" w:eastAsia="宋体" w:cs="Times New Roman"/>
                <w:color w:val="auto"/>
                <w:spacing w:val="10"/>
                <w:sz w:val="21"/>
                <w:szCs w:val="21"/>
              </w:rPr>
            </w:pPr>
          </w:p>
        </w:tc>
        <w:tc>
          <w:tcPr>
            <w:tcW w:w="1558" w:type="dxa"/>
            <w:tcBorders>
              <w:top w:val="single" w:color="auto" w:sz="6" w:space="0"/>
              <w:left w:val="single" w:color="auto" w:sz="6" w:space="0"/>
              <w:bottom w:val="single" w:color="auto" w:sz="6" w:space="0"/>
              <w:right w:val="single" w:color="auto" w:sz="6" w:space="0"/>
            </w:tcBorders>
            <w:noWrap w:val="0"/>
            <w:vAlign w:val="center"/>
          </w:tcPr>
          <w:p>
            <w:pPr>
              <w:spacing w:line="32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毒性</w:t>
            </w:r>
          </w:p>
        </w:tc>
        <w:tc>
          <w:tcPr>
            <w:tcW w:w="7145" w:type="dxa"/>
            <w:gridSpan w:val="10"/>
            <w:tcBorders>
              <w:top w:val="single" w:color="auto" w:sz="6" w:space="0"/>
              <w:left w:val="single" w:color="auto" w:sz="6" w:space="0"/>
              <w:bottom w:val="single" w:color="auto" w:sz="6" w:space="0"/>
              <w:right w:val="single" w:color="auto" w:sz="6" w:space="0"/>
            </w:tcBorders>
            <w:noWrap w:val="0"/>
            <w:vAlign w:val="center"/>
          </w:tcPr>
          <w:p>
            <w:pPr>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LD</w:t>
            </w:r>
            <w:r>
              <w:rPr>
                <w:rFonts w:hint="default" w:ascii="Times New Roman" w:hAnsi="Times New Roman" w:eastAsia="宋体" w:cs="Times New Roman"/>
                <w:color w:val="auto"/>
                <w:spacing w:val="10"/>
                <w:sz w:val="21"/>
                <w:szCs w:val="21"/>
                <w:vertAlign w:val="subscript"/>
              </w:rPr>
              <w:t>50</w:t>
            </w:r>
            <w:r>
              <w:rPr>
                <w:rFonts w:hint="default" w:ascii="Times New Roman" w:hAnsi="Times New Roman" w:eastAsia="宋体" w:cs="Times New Roman"/>
                <w:color w:val="auto"/>
                <w:spacing w:val="10"/>
                <w:sz w:val="21"/>
                <w:szCs w:val="21"/>
              </w:rPr>
              <w:t>：</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10"/>
                <w:sz w:val="21"/>
                <w:szCs w:val="21"/>
              </w:rPr>
              <w:t>LC</w:t>
            </w:r>
            <w:r>
              <w:rPr>
                <w:rFonts w:hint="default" w:ascii="Times New Roman" w:hAnsi="Times New Roman" w:eastAsia="宋体" w:cs="Times New Roman"/>
                <w:color w:val="auto"/>
                <w:spacing w:val="10"/>
                <w:sz w:val="21"/>
                <w:szCs w:val="21"/>
                <w:vertAlign w:val="subscript"/>
              </w:rPr>
              <w:t>50</w:t>
            </w:r>
            <w:r>
              <w:rPr>
                <w:rFonts w:hint="default" w:ascii="Times New Roman" w:hAnsi="Times New Roman" w:eastAsia="宋体" w:cs="Times New Roman"/>
                <w:color w:val="auto"/>
                <w:spacing w:val="10"/>
                <w:sz w:val="21"/>
                <w:szCs w:val="21"/>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45"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20" w:lineRule="exact"/>
              <w:ind w:firstLine="0" w:firstLineChars="0"/>
              <w:jc w:val="left"/>
              <w:rPr>
                <w:rFonts w:hint="default" w:ascii="Times New Roman" w:hAnsi="Times New Roman" w:eastAsia="宋体" w:cs="Times New Roman"/>
                <w:color w:val="auto"/>
                <w:spacing w:val="10"/>
                <w:sz w:val="21"/>
                <w:szCs w:val="21"/>
              </w:rPr>
            </w:pPr>
          </w:p>
        </w:tc>
        <w:tc>
          <w:tcPr>
            <w:tcW w:w="1558" w:type="dxa"/>
            <w:tcBorders>
              <w:top w:val="single" w:color="auto" w:sz="6" w:space="0"/>
              <w:left w:val="single" w:color="auto" w:sz="6" w:space="0"/>
              <w:bottom w:val="single" w:color="auto" w:sz="4" w:space="0"/>
              <w:right w:val="single" w:color="auto" w:sz="6" w:space="0"/>
            </w:tcBorders>
            <w:noWrap w:val="0"/>
            <w:vAlign w:val="center"/>
          </w:tcPr>
          <w:p>
            <w:pPr>
              <w:spacing w:line="32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健康危害</w:t>
            </w:r>
          </w:p>
        </w:tc>
        <w:tc>
          <w:tcPr>
            <w:tcW w:w="7145" w:type="dxa"/>
            <w:gridSpan w:val="10"/>
            <w:tcBorders>
              <w:top w:val="single" w:color="auto" w:sz="6" w:space="0"/>
              <w:left w:val="single" w:color="auto" w:sz="6" w:space="0"/>
              <w:bottom w:val="single" w:color="auto" w:sz="4" w:space="0"/>
              <w:right w:val="single" w:color="auto" w:sz="6" w:space="0"/>
            </w:tcBorders>
            <w:noWrap w:val="0"/>
            <w:vAlign w:val="center"/>
          </w:tcPr>
          <w:p>
            <w:pPr>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常压下，当氧的浓度超过40%时，有可能发生氧中毒。吸入40%-60%的氧时，出现胸骨后不适感、轻咳，进而胸闷、胸骨后烧灼感和呼吸困难，咳嗽加剧；严重时可发生肺水肿，甚至出现呼吸窘迫综合征。吸入氧浓度在80%以上时，出现面部肌肉抽动、面色苍白、眩晕、心动过速、虚脱，继而全身强直性抽搐、昏迷、呼吸衰竭而死亡。长期处于氧分压为60-100kPa(相当于吸入氧浓度40%左右)的条件下可发生眼损害严重者可失明。皮肤接触压缩氧时可引起严重冻伤，导致组织损伤。</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1135"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20" w:lineRule="exact"/>
              <w:ind w:firstLine="0" w:firstLineChars="0"/>
              <w:jc w:val="left"/>
              <w:rPr>
                <w:rFonts w:hint="default" w:ascii="Times New Roman" w:hAnsi="Times New Roman" w:eastAsia="宋体" w:cs="Times New Roman"/>
                <w:color w:val="auto"/>
                <w:spacing w:val="10"/>
                <w:sz w:val="21"/>
                <w:szCs w:val="21"/>
              </w:rPr>
            </w:pPr>
          </w:p>
        </w:tc>
        <w:tc>
          <w:tcPr>
            <w:tcW w:w="1558" w:type="dxa"/>
            <w:tcBorders>
              <w:top w:val="single" w:color="auto" w:sz="4" w:space="0"/>
              <w:left w:val="single" w:color="auto" w:sz="6" w:space="0"/>
              <w:bottom w:val="single" w:color="auto" w:sz="6" w:space="0"/>
              <w:right w:val="single" w:color="auto" w:sz="6" w:space="0"/>
            </w:tcBorders>
            <w:noWrap w:val="0"/>
            <w:vAlign w:val="center"/>
          </w:tcPr>
          <w:p>
            <w:pPr>
              <w:spacing w:line="32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急救方法</w:t>
            </w:r>
          </w:p>
        </w:tc>
        <w:tc>
          <w:tcPr>
            <w:tcW w:w="7145" w:type="dxa"/>
            <w:gridSpan w:val="10"/>
            <w:tcBorders>
              <w:top w:val="single" w:color="auto" w:sz="4" w:space="0"/>
              <w:left w:val="single" w:color="auto" w:sz="6" w:space="0"/>
              <w:bottom w:val="single" w:color="auto" w:sz="6" w:space="0"/>
              <w:right w:val="single" w:color="auto" w:sz="6" w:space="0"/>
            </w:tcBorders>
            <w:noWrap w:val="0"/>
            <w:vAlign w:val="center"/>
          </w:tcPr>
          <w:p>
            <w:pPr>
              <w:spacing w:line="320" w:lineRule="exact"/>
              <w:ind w:firstLine="0" w:firstLineChars="0"/>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吸入时，迅速脱离现场至空气新鲜处，保持呼吸道通畅，如呼吸停止，立即进行人工呼吸，就医；皮肤与液体接触发生冻伤时，用大量水冲洗，不要脱掉衣服，并给予医疗护理；眼睛接触液体时，先用大量水冲洗数分钟，然后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55" w:hRule="atLeast"/>
          <w:jc w:val="center"/>
        </w:trPr>
        <w:tc>
          <w:tcPr>
            <w:tcW w:w="476" w:type="dxa"/>
            <w:vMerge w:val="restart"/>
            <w:tcBorders>
              <w:top w:val="single" w:color="auto" w:sz="6" w:space="0"/>
              <w:left w:val="single" w:color="auto" w:sz="6" w:space="0"/>
              <w:bottom w:val="single" w:color="auto" w:sz="6" w:space="0"/>
              <w:right w:val="single" w:color="auto" w:sz="6" w:space="0"/>
            </w:tcBorders>
            <w:noWrap w:val="0"/>
            <w:vAlign w:val="center"/>
          </w:tcPr>
          <w:p>
            <w:pPr>
              <w:spacing w:line="32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燃烧爆炸危险性</w:t>
            </w:r>
          </w:p>
        </w:tc>
        <w:tc>
          <w:tcPr>
            <w:tcW w:w="1558" w:type="dxa"/>
            <w:tcBorders>
              <w:top w:val="single" w:color="auto" w:sz="6" w:space="0"/>
              <w:left w:val="single" w:color="auto" w:sz="6" w:space="0"/>
              <w:bottom w:val="single" w:color="auto" w:sz="6" w:space="0"/>
              <w:right w:val="single" w:color="auto" w:sz="6" w:space="0"/>
            </w:tcBorders>
            <w:noWrap w:val="0"/>
            <w:vAlign w:val="center"/>
          </w:tcPr>
          <w:p>
            <w:pPr>
              <w:spacing w:line="32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燃烧性</w:t>
            </w:r>
          </w:p>
        </w:tc>
        <w:tc>
          <w:tcPr>
            <w:tcW w:w="1817" w:type="dxa"/>
            <w:gridSpan w:val="3"/>
            <w:tcBorders>
              <w:top w:val="single" w:color="auto" w:sz="6" w:space="0"/>
              <w:left w:val="single" w:color="auto" w:sz="6" w:space="0"/>
              <w:bottom w:val="single" w:color="auto" w:sz="6" w:space="0"/>
              <w:right w:val="single" w:color="auto" w:sz="6" w:space="0"/>
            </w:tcBorders>
            <w:noWrap w:val="0"/>
            <w:vAlign w:val="center"/>
          </w:tcPr>
          <w:p>
            <w:pPr>
              <w:spacing w:line="32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助燃</w:t>
            </w:r>
          </w:p>
        </w:tc>
        <w:tc>
          <w:tcPr>
            <w:tcW w:w="2086" w:type="dxa"/>
            <w:gridSpan w:val="3"/>
            <w:tcBorders>
              <w:top w:val="single" w:color="auto" w:sz="6" w:space="0"/>
              <w:left w:val="single" w:color="auto" w:sz="6" w:space="0"/>
              <w:bottom w:val="single" w:color="auto" w:sz="6" w:space="0"/>
              <w:right w:val="single" w:color="auto" w:sz="6" w:space="0"/>
            </w:tcBorders>
            <w:noWrap w:val="0"/>
            <w:vAlign w:val="center"/>
          </w:tcPr>
          <w:p>
            <w:pPr>
              <w:spacing w:line="32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燃烧分解物</w:t>
            </w:r>
          </w:p>
        </w:tc>
        <w:tc>
          <w:tcPr>
            <w:tcW w:w="3242" w:type="dxa"/>
            <w:gridSpan w:val="4"/>
            <w:tcBorders>
              <w:top w:val="single" w:color="auto" w:sz="6" w:space="0"/>
              <w:left w:val="single" w:color="auto" w:sz="6" w:space="0"/>
              <w:bottom w:val="single" w:color="auto" w:sz="6" w:space="0"/>
              <w:right w:val="single" w:color="auto" w:sz="6" w:space="0"/>
            </w:tcBorders>
            <w:noWrap w:val="0"/>
            <w:vAlign w:val="center"/>
          </w:tcPr>
          <w:p>
            <w:pPr>
              <w:spacing w:line="32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47"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20" w:lineRule="exact"/>
              <w:ind w:firstLine="0" w:firstLineChars="0"/>
              <w:jc w:val="left"/>
              <w:rPr>
                <w:rFonts w:hint="default" w:ascii="Times New Roman" w:hAnsi="Times New Roman" w:eastAsia="宋体" w:cs="Times New Roman"/>
                <w:color w:val="auto"/>
                <w:spacing w:val="10"/>
                <w:sz w:val="21"/>
                <w:szCs w:val="21"/>
              </w:rPr>
            </w:pPr>
          </w:p>
        </w:tc>
        <w:tc>
          <w:tcPr>
            <w:tcW w:w="1558" w:type="dxa"/>
            <w:tcBorders>
              <w:top w:val="single" w:color="auto" w:sz="6" w:space="0"/>
              <w:left w:val="single" w:color="auto" w:sz="6" w:space="0"/>
              <w:bottom w:val="single" w:color="auto" w:sz="6" w:space="0"/>
              <w:right w:val="single" w:color="auto" w:sz="6" w:space="0"/>
            </w:tcBorders>
            <w:noWrap w:val="0"/>
            <w:vAlign w:val="center"/>
          </w:tcPr>
          <w:p>
            <w:pPr>
              <w:spacing w:line="32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闪点(℃)</w:t>
            </w:r>
          </w:p>
        </w:tc>
        <w:tc>
          <w:tcPr>
            <w:tcW w:w="1817" w:type="dxa"/>
            <w:gridSpan w:val="3"/>
            <w:tcBorders>
              <w:top w:val="single" w:color="auto" w:sz="6" w:space="0"/>
              <w:left w:val="single" w:color="auto" w:sz="6" w:space="0"/>
              <w:bottom w:val="single" w:color="auto" w:sz="6" w:space="0"/>
              <w:right w:val="single" w:color="auto" w:sz="6" w:space="0"/>
            </w:tcBorders>
            <w:noWrap w:val="0"/>
            <w:vAlign w:val="center"/>
          </w:tcPr>
          <w:p>
            <w:pPr>
              <w:spacing w:line="32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w:t>
            </w:r>
          </w:p>
        </w:tc>
        <w:tc>
          <w:tcPr>
            <w:tcW w:w="2086" w:type="dxa"/>
            <w:gridSpan w:val="3"/>
            <w:tcBorders>
              <w:top w:val="single" w:color="auto" w:sz="6" w:space="0"/>
              <w:left w:val="single" w:color="auto" w:sz="6" w:space="0"/>
              <w:bottom w:val="single" w:color="auto" w:sz="6" w:space="0"/>
              <w:right w:val="single" w:color="auto" w:sz="6" w:space="0"/>
            </w:tcBorders>
            <w:noWrap w:val="0"/>
            <w:vAlign w:val="center"/>
          </w:tcPr>
          <w:p>
            <w:pPr>
              <w:spacing w:line="32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爆炸上限（v%）</w:t>
            </w:r>
          </w:p>
        </w:tc>
        <w:tc>
          <w:tcPr>
            <w:tcW w:w="3242" w:type="dxa"/>
            <w:gridSpan w:val="4"/>
            <w:tcBorders>
              <w:top w:val="single" w:color="auto" w:sz="6" w:space="0"/>
              <w:left w:val="single" w:color="auto" w:sz="6" w:space="0"/>
              <w:bottom w:val="single" w:color="auto" w:sz="6" w:space="0"/>
              <w:right w:val="single" w:color="auto" w:sz="6" w:space="0"/>
            </w:tcBorders>
            <w:noWrap w:val="0"/>
            <w:vAlign w:val="center"/>
          </w:tcPr>
          <w:p>
            <w:pPr>
              <w:spacing w:line="32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547"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20" w:lineRule="exact"/>
              <w:ind w:firstLine="0" w:firstLineChars="0"/>
              <w:jc w:val="left"/>
              <w:rPr>
                <w:rFonts w:hint="default" w:ascii="Times New Roman" w:hAnsi="Times New Roman" w:eastAsia="宋体" w:cs="Times New Roman"/>
                <w:color w:val="auto"/>
                <w:spacing w:val="10"/>
                <w:sz w:val="21"/>
                <w:szCs w:val="21"/>
              </w:rPr>
            </w:pPr>
          </w:p>
        </w:tc>
        <w:tc>
          <w:tcPr>
            <w:tcW w:w="1558" w:type="dxa"/>
            <w:tcBorders>
              <w:top w:val="single" w:color="auto" w:sz="6" w:space="0"/>
              <w:left w:val="single" w:color="auto" w:sz="6" w:space="0"/>
              <w:bottom w:val="single" w:color="auto" w:sz="6" w:space="0"/>
              <w:right w:val="single" w:color="auto" w:sz="6" w:space="0"/>
            </w:tcBorders>
            <w:noWrap w:val="0"/>
            <w:vAlign w:val="center"/>
          </w:tcPr>
          <w:p>
            <w:pPr>
              <w:spacing w:line="32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引燃温度(℃)</w:t>
            </w:r>
          </w:p>
        </w:tc>
        <w:tc>
          <w:tcPr>
            <w:tcW w:w="1817" w:type="dxa"/>
            <w:gridSpan w:val="3"/>
            <w:tcBorders>
              <w:top w:val="single" w:color="auto" w:sz="6" w:space="0"/>
              <w:left w:val="single" w:color="auto" w:sz="6" w:space="0"/>
              <w:bottom w:val="single" w:color="auto" w:sz="6" w:space="0"/>
              <w:right w:val="single" w:color="auto" w:sz="6" w:space="0"/>
            </w:tcBorders>
            <w:noWrap w:val="0"/>
            <w:vAlign w:val="center"/>
          </w:tcPr>
          <w:p>
            <w:pPr>
              <w:spacing w:line="32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w:t>
            </w:r>
          </w:p>
        </w:tc>
        <w:tc>
          <w:tcPr>
            <w:tcW w:w="2086" w:type="dxa"/>
            <w:gridSpan w:val="3"/>
            <w:tcBorders>
              <w:top w:val="single" w:color="auto" w:sz="6" w:space="0"/>
              <w:left w:val="single" w:color="auto" w:sz="6" w:space="0"/>
              <w:bottom w:val="single" w:color="auto" w:sz="6" w:space="0"/>
              <w:right w:val="single" w:color="auto" w:sz="6" w:space="0"/>
            </w:tcBorders>
            <w:noWrap w:val="0"/>
            <w:vAlign w:val="center"/>
          </w:tcPr>
          <w:p>
            <w:pPr>
              <w:spacing w:line="32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爆炸下限（v%）</w:t>
            </w:r>
          </w:p>
        </w:tc>
        <w:tc>
          <w:tcPr>
            <w:tcW w:w="3242" w:type="dxa"/>
            <w:gridSpan w:val="4"/>
            <w:tcBorders>
              <w:top w:val="single" w:color="auto" w:sz="6" w:space="0"/>
              <w:left w:val="single" w:color="auto" w:sz="6" w:space="0"/>
              <w:bottom w:val="single" w:color="auto" w:sz="6" w:space="0"/>
              <w:right w:val="single" w:color="auto" w:sz="6" w:space="0"/>
            </w:tcBorders>
            <w:noWrap w:val="0"/>
            <w:vAlign w:val="center"/>
          </w:tcPr>
          <w:p>
            <w:pPr>
              <w:spacing w:line="32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881"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20" w:lineRule="exact"/>
              <w:ind w:firstLine="0" w:firstLineChars="0"/>
              <w:jc w:val="left"/>
              <w:rPr>
                <w:rFonts w:hint="default" w:ascii="Times New Roman" w:hAnsi="Times New Roman" w:eastAsia="宋体" w:cs="Times New Roman"/>
                <w:color w:val="auto"/>
                <w:spacing w:val="10"/>
                <w:sz w:val="21"/>
                <w:szCs w:val="21"/>
              </w:rPr>
            </w:pPr>
          </w:p>
        </w:tc>
        <w:tc>
          <w:tcPr>
            <w:tcW w:w="1558" w:type="dxa"/>
            <w:tcBorders>
              <w:top w:val="single" w:color="auto" w:sz="6" w:space="0"/>
              <w:left w:val="single" w:color="auto" w:sz="6" w:space="0"/>
              <w:bottom w:val="single" w:color="auto" w:sz="6" w:space="0"/>
              <w:right w:val="single" w:color="auto" w:sz="6" w:space="0"/>
            </w:tcBorders>
            <w:noWrap w:val="0"/>
            <w:vAlign w:val="center"/>
          </w:tcPr>
          <w:p>
            <w:pPr>
              <w:spacing w:line="32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危险特性</w:t>
            </w:r>
          </w:p>
        </w:tc>
        <w:tc>
          <w:tcPr>
            <w:tcW w:w="7145" w:type="dxa"/>
            <w:gridSpan w:val="10"/>
            <w:tcBorders>
              <w:top w:val="single" w:color="auto" w:sz="6" w:space="0"/>
              <w:left w:val="single" w:color="auto" w:sz="6" w:space="0"/>
              <w:bottom w:val="single" w:color="auto" w:sz="6" w:space="0"/>
              <w:right w:val="single" w:color="auto" w:sz="6" w:space="0"/>
            </w:tcBorders>
            <w:noWrap w:val="0"/>
            <w:vAlign w:val="center"/>
          </w:tcPr>
          <w:p>
            <w:pPr>
              <w:spacing w:line="320" w:lineRule="exact"/>
              <w:ind w:firstLine="0" w:firstLineChars="0"/>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本身不燃烧，但能助燃，是易燃物、可燃物燃烧爆炸的基本元素之一，与易燃物（如氢、乙炔等）形成有爆炸性的混合物；化学性质活泼，能与多种元素化合发出光和热，也即燃烧。当氧与油脂接触则发生反应热，此热蓄积到一定程度时就会自然；当空气中氧的浓度增加时，火焰的温度和火焰长度增加，可燃物的着火温度下降；压缩氧易被衣物、木材、纸张等吸收，见火即燃；压缩氧和有机物及其它易燃物质共存时，特别是在高压下，也具有爆炸的危险性。</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22"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20" w:lineRule="exact"/>
              <w:ind w:firstLine="0" w:firstLineChars="0"/>
              <w:jc w:val="left"/>
              <w:rPr>
                <w:rFonts w:hint="default" w:ascii="Times New Roman" w:hAnsi="Times New Roman" w:eastAsia="宋体" w:cs="Times New Roman"/>
                <w:color w:val="auto"/>
                <w:spacing w:val="10"/>
                <w:sz w:val="21"/>
                <w:szCs w:val="21"/>
              </w:rPr>
            </w:pPr>
          </w:p>
        </w:tc>
        <w:tc>
          <w:tcPr>
            <w:tcW w:w="1558" w:type="dxa"/>
            <w:tcBorders>
              <w:top w:val="single" w:color="auto" w:sz="6" w:space="0"/>
              <w:left w:val="single" w:color="auto" w:sz="6" w:space="0"/>
              <w:bottom w:val="single" w:color="auto" w:sz="6" w:space="0"/>
              <w:right w:val="single" w:color="auto" w:sz="6" w:space="0"/>
            </w:tcBorders>
            <w:noWrap w:val="0"/>
            <w:vAlign w:val="center"/>
          </w:tcPr>
          <w:p>
            <w:pPr>
              <w:spacing w:line="32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储运条件</w:t>
            </w:r>
          </w:p>
          <w:p>
            <w:pPr>
              <w:spacing w:line="32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与泄漏处理</w:t>
            </w:r>
          </w:p>
        </w:tc>
        <w:tc>
          <w:tcPr>
            <w:tcW w:w="7145" w:type="dxa"/>
            <w:gridSpan w:val="10"/>
            <w:tcBorders>
              <w:top w:val="single" w:color="auto" w:sz="6" w:space="0"/>
              <w:left w:val="single" w:color="auto" w:sz="6" w:space="0"/>
              <w:bottom w:val="single" w:color="auto" w:sz="6" w:space="0"/>
              <w:right w:val="single" w:color="auto" w:sz="6" w:space="0"/>
            </w:tcBorders>
            <w:noWrap w:val="0"/>
            <w:vAlign w:val="center"/>
          </w:tcPr>
          <w:p>
            <w:pPr>
              <w:spacing w:line="32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b w:val="0"/>
                <w:bCs/>
                <w:color w:val="auto"/>
                <w:spacing w:val="10"/>
                <w:sz w:val="21"/>
                <w:szCs w:val="21"/>
              </w:rPr>
              <w:t>储运条件</w:t>
            </w:r>
            <w:r>
              <w:rPr>
                <w:rFonts w:hint="default" w:ascii="Times New Roman" w:hAnsi="Times New Roman" w:eastAsia="宋体" w:cs="Times New Roman"/>
                <w:color w:val="auto"/>
                <w:spacing w:val="10"/>
                <w:sz w:val="21"/>
                <w:szCs w:val="21"/>
              </w:rPr>
              <w:t>：储存于阴凉、通风的仓间内，仓内温度不宜超过30℃。防止阳光直射。应与易燃气体、金属粉末分开存放。验收时应注意品名，注意验瓶日期，先进仓先发用。搬运时应轻装轻卸，防止包装和容器损坏。</w:t>
            </w:r>
            <w:r>
              <w:rPr>
                <w:rFonts w:hint="default" w:ascii="Times New Roman" w:hAnsi="Times New Roman" w:eastAsia="宋体" w:cs="Times New Roman"/>
                <w:b w:val="0"/>
                <w:bCs/>
                <w:color w:val="auto"/>
                <w:spacing w:val="10"/>
                <w:sz w:val="21"/>
                <w:szCs w:val="21"/>
              </w:rPr>
              <w:t>泄漏处理</w:t>
            </w:r>
            <w:r>
              <w:rPr>
                <w:rFonts w:hint="default" w:ascii="Times New Roman" w:hAnsi="Times New Roman" w:eastAsia="宋体" w:cs="Times New Roman"/>
                <w:color w:val="auto"/>
                <w:spacing w:val="10"/>
                <w:sz w:val="21"/>
                <w:szCs w:val="21"/>
              </w:rPr>
              <w:t>：迅速撤离泄漏污染区人员至上风处，并进行隔离，严格限制出入。切断火源。建议应急处理人员戴自给正压式呼吸器，穿一般作业工作服。避免与可燃物或易燃物接触。尽可能切断泄漏源。合理通风，加速扩散。漏气容器要妥善处理，修复、检验后再用。</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21" w:hRule="atLeast"/>
          <w:jc w:val="center"/>
        </w:trPr>
        <w:tc>
          <w:tcPr>
            <w:tcW w:w="47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20" w:lineRule="exact"/>
              <w:ind w:firstLine="0" w:firstLineChars="0"/>
              <w:jc w:val="left"/>
              <w:rPr>
                <w:rFonts w:hint="default" w:ascii="Times New Roman" w:hAnsi="Times New Roman" w:eastAsia="宋体" w:cs="Times New Roman"/>
                <w:color w:val="auto"/>
                <w:spacing w:val="10"/>
                <w:sz w:val="21"/>
                <w:szCs w:val="21"/>
              </w:rPr>
            </w:pPr>
          </w:p>
        </w:tc>
        <w:tc>
          <w:tcPr>
            <w:tcW w:w="1558" w:type="dxa"/>
            <w:tcBorders>
              <w:top w:val="single" w:color="auto" w:sz="6" w:space="0"/>
              <w:left w:val="single" w:color="auto" w:sz="6" w:space="0"/>
              <w:bottom w:val="single" w:color="auto" w:sz="6" w:space="0"/>
              <w:right w:val="single" w:color="auto" w:sz="6" w:space="0"/>
            </w:tcBorders>
            <w:noWrap w:val="0"/>
            <w:vAlign w:val="center"/>
          </w:tcPr>
          <w:p>
            <w:pPr>
              <w:spacing w:line="32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灭火方法</w:t>
            </w:r>
          </w:p>
        </w:tc>
        <w:tc>
          <w:tcPr>
            <w:tcW w:w="7145" w:type="dxa"/>
            <w:gridSpan w:val="10"/>
            <w:tcBorders>
              <w:top w:val="single" w:color="auto" w:sz="6" w:space="0"/>
              <w:left w:val="single" w:color="auto" w:sz="6" w:space="0"/>
              <w:bottom w:val="single" w:color="auto" w:sz="6" w:space="0"/>
              <w:right w:val="single" w:color="auto" w:sz="6" w:space="0"/>
            </w:tcBorders>
            <w:noWrap w:val="0"/>
            <w:vAlign w:val="center"/>
          </w:tcPr>
          <w:p>
            <w:pPr>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用水保持容器冷却，以防受热爆炸，急剧助长火势。迅速切断气源，用水喷淋保护切断气源的人员，然后根据着火原因选择适当灭火剂灭火。</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bookmarkStart w:id="191" w:name="_Toc32420"/>
      <w:r>
        <w:rPr>
          <w:rFonts w:hint="default"/>
          <w:color w:val="auto"/>
          <w:lang w:val="en-US" w:eastAsia="zh-CN"/>
        </w:rPr>
        <w:t>表3-</w:t>
      </w:r>
      <w:r>
        <w:rPr>
          <w:rFonts w:hint="eastAsia"/>
          <w:color w:val="auto"/>
          <w:lang w:val="en-US" w:eastAsia="zh-CN"/>
        </w:rPr>
        <w:t>3</w:t>
      </w:r>
      <w:r>
        <w:rPr>
          <w:rFonts w:hint="eastAsia" w:ascii="Times New Roman" w:eastAsia="宋体"/>
          <w:color w:val="auto"/>
          <w:lang w:val="en-US" w:eastAsia="zh-CN"/>
        </w:rPr>
        <w:t xml:space="preserve"> </w:t>
      </w:r>
      <w:r>
        <w:rPr>
          <w:rFonts w:hint="eastAsia"/>
          <w:color w:val="auto"/>
          <w:lang w:val="en-US" w:eastAsia="zh-CN"/>
        </w:rPr>
        <w:t>浓硫酸</w:t>
      </w:r>
      <w:r>
        <w:rPr>
          <w:rFonts w:hint="default"/>
          <w:color w:val="auto"/>
          <w:lang w:val="en-US" w:eastAsia="zh-CN"/>
        </w:rPr>
        <w:t>的理化性质及危险特性</w:t>
      </w:r>
    </w:p>
    <w:tbl>
      <w:tblPr>
        <w:tblStyle w:val="15"/>
        <w:tblW w:w="0" w:type="auto"/>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834"/>
        <w:gridCol w:w="1200"/>
        <w:gridCol w:w="1380"/>
        <w:gridCol w:w="1066"/>
        <w:gridCol w:w="1373"/>
        <w:gridCol w:w="3326"/>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46" w:hRule="atLeast"/>
          <w:jc w:val="center"/>
        </w:trPr>
        <w:tc>
          <w:tcPr>
            <w:tcW w:w="834" w:type="dxa"/>
            <w:vMerge w:val="restart"/>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标识</w:t>
            </w:r>
          </w:p>
        </w:tc>
        <w:tc>
          <w:tcPr>
            <w:tcW w:w="3646" w:type="dxa"/>
            <w:gridSpan w:val="3"/>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中文名</w:t>
            </w:r>
            <w:r>
              <w:rPr>
                <w:rFonts w:hint="eastAsia" w:cs="Times New Roman"/>
                <w:color w:val="auto"/>
                <w:spacing w:val="10"/>
                <w:sz w:val="21"/>
                <w:szCs w:val="21"/>
                <w:lang w:eastAsia="zh-CN"/>
              </w:rPr>
              <w:t>：</w:t>
            </w:r>
            <w:r>
              <w:rPr>
                <w:rFonts w:hint="default" w:ascii="Times New Roman" w:hAnsi="Times New Roman" w:eastAsia="宋体" w:cs="Times New Roman"/>
                <w:color w:val="auto"/>
                <w:spacing w:val="10"/>
                <w:sz w:val="21"/>
                <w:szCs w:val="21"/>
              </w:rPr>
              <w:t>硫酸</w:t>
            </w:r>
          </w:p>
        </w:tc>
        <w:tc>
          <w:tcPr>
            <w:tcW w:w="4699" w:type="dxa"/>
            <w:gridSpan w:val="2"/>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危化品目录</w:t>
            </w:r>
            <w:r>
              <w:rPr>
                <w:rFonts w:hint="eastAsia" w:cs="Times New Roman"/>
                <w:color w:val="auto"/>
                <w:spacing w:val="10"/>
                <w:sz w:val="21"/>
                <w:szCs w:val="21"/>
                <w:lang w:eastAsia="zh-CN"/>
              </w:rPr>
              <w:t>：</w:t>
            </w:r>
            <w:r>
              <w:rPr>
                <w:rFonts w:hint="default" w:ascii="Times New Roman" w:hAnsi="Times New Roman" w:eastAsia="宋体" w:cs="Times New Roman"/>
                <w:color w:val="auto"/>
                <w:spacing w:val="10"/>
                <w:sz w:val="21"/>
                <w:szCs w:val="21"/>
              </w:rPr>
              <w:t>1302</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46" w:hRule="atLeast"/>
          <w:jc w:val="center"/>
        </w:trPr>
        <w:tc>
          <w:tcPr>
            <w:tcW w:w="834"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ind w:firstLine="0" w:firstLineChars="0"/>
              <w:jc w:val="left"/>
              <w:rPr>
                <w:rFonts w:hint="default" w:ascii="Times New Roman" w:hAnsi="Times New Roman" w:eastAsia="宋体" w:cs="Times New Roman"/>
                <w:color w:val="auto"/>
                <w:spacing w:val="10"/>
                <w:sz w:val="21"/>
                <w:szCs w:val="21"/>
              </w:rPr>
            </w:pPr>
          </w:p>
        </w:tc>
        <w:tc>
          <w:tcPr>
            <w:tcW w:w="3646" w:type="dxa"/>
            <w:gridSpan w:val="3"/>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英文名</w:t>
            </w:r>
            <w:r>
              <w:rPr>
                <w:rFonts w:hint="eastAsia" w:cs="Times New Roman"/>
                <w:color w:val="auto"/>
                <w:spacing w:val="10"/>
                <w:sz w:val="21"/>
                <w:szCs w:val="21"/>
                <w:lang w:eastAsia="zh-CN"/>
              </w:rPr>
              <w:t>：</w:t>
            </w:r>
            <w:r>
              <w:rPr>
                <w:rFonts w:hint="default" w:ascii="Times New Roman" w:hAnsi="Times New Roman" w:eastAsia="宋体" w:cs="Times New Roman"/>
                <w:color w:val="auto"/>
                <w:spacing w:val="10"/>
                <w:sz w:val="21"/>
                <w:szCs w:val="21"/>
              </w:rPr>
              <w:t>sulfuric acid</w:t>
            </w:r>
          </w:p>
        </w:tc>
        <w:tc>
          <w:tcPr>
            <w:tcW w:w="4699" w:type="dxa"/>
            <w:gridSpan w:val="2"/>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rPr>
              <w:t>UN编号</w:t>
            </w:r>
            <w:r>
              <w:rPr>
                <w:rFonts w:hint="eastAsia" w:cs="Times New Roman"/>
                <w:color w:val="auto"/>
                <w:spacing w:val="10"/>
                <w:sz w:val="21"/>
                <w:szCs w:val="21"/>
                <w:lang w:eastAsia="zh-CN"/>
              </w:rPr>
              <w:t>：</w:t>
            </w:r>
            <w:r>
              <w:rPr>
                <w:rFonts w:hint="eastAsia" w:cs="Times New Roman"/>
                <w:color w:val="auto"/>
                <w:spacing w:val="10"/>
                <w:sz w:val="21"/>
                <w:szCs w:val="21"/>
                <w:lang w:val="en-US" w:eastAsia="zh-CN"/>
              </w:rPr>
              <w:t>1830</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53" w:hRule="atLeast"/>
          <w:jc w:val="center"/>
        </w:trPr>
        <w:tc>
          <w:tcPr>
            <w:tcW w:w="834"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ind w:firstLine="0" w:firstLineChars="0"/>
              <w:jc w:val="left"/>
              <w:rPr>
                <w:rFonts w:hint="default" w:ascii="Times New Roman" w:hAnsi="Times New Roman" w:eastAsia="宋体" w:cs="Times New Roman"/>
                <w:color w:val="auto"/>
                <w:spacing w:val="10"/>
                <w:sz w:val="21"/>
                <w:szCs w:val="21"/>
              </w:rPr>
            </w:pPr>
          </w:p>
        </w:tc>
        <w:tc>
          <w:tcPr>
            <w:tcW w:w="3646" w:type="dxa"/>
            <w:gridSpan w:val="3"/>
            <w:tcBorders>
              <w:top w:val="single" w:color="auto" w:sz="6" w:space="0"/>
              <w:left w:val="single" w:color="auto" w:sz="6" w:space="0"/>
              <w:bottom w:val="single" w:color="auto" w:sz="6" w:space="0"/>
              <w:right w:val="single" w:color="auto" w:sz="6" w:space="0"/>
            </w:tcBorders>
            <w:noWrap w:val="0"/>
            <w:vAlign w:val="center"/>
          </w:tcPr>
          <w:p>
            <w:pPr>
              <w:spacing w:line="360" w:lineRule="exact"/>
              <w:ind w:left="920" w:hanging="920" w:hangingChars="40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分子式</w:t>
            </w:r>
            <w:r>
              <w:rPr>
                <w:rFonts w:hint="eastAsia" w:cs="Times New Roman"/>
                <w:color w:val="auto"/>
                <w:spacing w:val="10"/>
                <w:sz w:val="21"/>
                <w:szCs w:val="21"/>
                <w:lang w:eastAsia="zh-CN"/>
              </w:rPr>
              <w:t>：</w:t>
            </w:r>
            <w:r>
              <w:rPr>
                <w:rFonts w:hint="default" w:ascii="Times New Roman" w:hAnsi="Times New Roman" w:eastAsia="宋体" w:cs="Times New Roman"/>
                <w:color w:val="auto"/>
                <w:spacing w:val="10"/>
                <w:sz w:val="21"/>
                <w:szCs w:val="21"/>
              </w:rPr>
              <w:t>H</w:t>
            </w:r>
            <w:r>
              <w:rPr>
                <w:rFonts w:hint="default" w:ascii="Times New Roman" w:hAnsi="Times New Roman" w:eastAsia="宋体" w:cs="Times New Roman"/>
                <w:color w:val="auto"/>
                <w:spacing w:val="10"/>
                <w:sz w:val="21"/>
                <w:szCs w:val="21"/>
                <w:vertAlign w:val="subscript"/>
              </w:rPr>
              <w:t>2</w:t>
            </w:r>
            <w:r>
              <w:rPr>
                <w:rFonts w:hint="default" w:ascii="Times New Roman" w:hAnsi="Times New Roman" w:eastAsia="宋体" w:cs="Times New Roman"/>
                <w:color w:val="auto"/>
                <w:spacing w:val="10"/>
                <w:sz w:val="21"/>
                <w:szCs w:val="21"/>
              </w:rPr>
              <w:t>S0</w:t>
            </w:r>
            <w:r>
              <w:rPr>
                <w:rFonts w:hint="default" w:ascii="Times New Roman" w:hAnsi="Times New Roman" w:eastAsia="宋体" w:cs="Times New Roman"/>
                <w:color w:val="auto"/>
                <w:spacing w:val="10"/>
                <w:sz w:val="21"/>
                <w:szCs w:val="21"/>
                <w:vertAlign w:val="subscript"/>
              </w:rPr>
              <w:t>4</w:t>
            </w:r>
          </w:p>
        </w:tc>
        <w:tc>
          <w:tcPr>
            <w:tcW w:w="4699" w:type="dxa"/>
            <w:gridSpan w:val="2"/>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分子量</w:t>
            </w:r>
            <w:r>
              <w:rPr>
                <w:rFonts w:hint="eastAsia" w:cs="Times New Roman"/>
                <w:color w:val="auto"/>
                <w:spacing w:val="10"/>
                <w:sz w:val="21"/>
                <w:szCs w:val="21"/>
                <w:lang w:eastAsia="zh-CN"/>
              </w:rPr>
              <w:t>：</w:t>
            </w:r>
            <w:r>
              <w:rPr>
                <w:rFonts w:hint="default" w:ascii="Times New Roman" w:hAnsi="Times New Roman" w:eastAsia="宋体" w:cs="Times New Roman"/>
                <w:color w:val="auto"/>
                <w:spacing w:val="10"/>
                <w:sz w:val="21"/>
                <w:szCs w:val="21"/>
              </w:rPr>
              <w:t>98.08</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55" w:hRule="atLeast"/>
          <w:jc w:val="center"/>
        </w:trPr>
        <w:tc>
          <w:tcPr>
            <w:tcW w:w="834" w:type="dxa"/>
            <w:vMerge w:val="restart"/>
            <w:tcBorders>
              <w:top w:val="single" w:color="auto" w:sz="6" w:space="0"/>
              <w:left w:val="single" w:color="auto" w:sz="6" w:space="0"/>
              <w:right w:val="single" w:color="auto" w:sz="6" w:space="0"/>
            </w:tcBorders>
            <w:noWrap w:val="0"/>
            <w:vAlign w:val="center"/>
          </w:tcPr>
          <w:p>
            <w:pPr>
              <w:spacing w:line="24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理化性质</w:t>
            </w:r>
          </w:p>
        </w:tc>
        <w:tc>
          <w:tcPr>
            <w:tcW w:w="1200"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外观与性状</w:t>
            </w:r>
          </w:p>
        </w:tc>
        <w:tc>
          <w:tcPr>
            <w:tcW w:w="7145" w:type="dxa"/>
            <w:gridSpan w:val="4"/>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纯品为无色透明油状液体，无臭。</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54" w:hRule="atLeast"/>
          <w:jc w:val="center"/>
        </w:trPr>
        <w:tc>
          <w:tcPr>
            <w:tcW w:w="834" w:type="dxa"/>
            <w:vMerge w:val="continue"/>
            <w:tcBorders>
              <w:left w:val="single" w:color="auto" w:sz="6" w:space="0"/>
              <w:right w:val="single" w:color="auto" w:sz="6" w:space="0"/>
            </w:tcBorders>
            <w:noWrap w:val="0"/>
            <w:vAlign w:val="center"/>
          </w:tcPr>
          <w:p>
            <w:pPr>
              <w:widowControl/>
              <w:spacing w:line="360" w:lineRule="exact"/>
              <w:ind w:firstLine="0" w:firstLineChars="0"/>
              <w:jc w:val="left"/>
              <w:rPr>
                <w:rFonts w:hint="default" w:ascii="Times New Roman" w:hAnsi="Times New Roman" w:eastAsia="宋体" w:cs="Times New Roman"/>
                <w:color w:val="auto"/>
                <w:spacing w:val="10"/>
                <w:sz w:val="21"/>
                <w:szCs w:val="21"/>
              </w:rPr>
            </w:pPr>
          </w:p>
        </w:tc>
        <w:tc>
          <w:tcPr>
            <w:tcW w:w="1200"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熔点（℃）</w:t>
            </w:r>
          </w:p>
        </w:tc>
        <w:tc>
          <w:tcPr>
            <w:tcW w:w="1380"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10.5</w:t>
            </w:r>
          </w:p>
        </w:tc>
        <w:tc>
          <w:tcPr>
            <w:tcW w:w="2439" w:type="dxa"/>
            <w:gridSpan w:val="2"/>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相对密度(水=1)</w:t>
            </w:r>
          </w:p>
        </w:tc>
        <w:tc>
          <w:tcPr>
            <w:tcW w:w="3326"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lang w:val="en-US" w:eastAsia="zh-CN"/>
              </w:rPr>
            </w:pPr>
            <w:r>
              <w:rPr>
                <w:rFonts w:hint="eastAsia" w:cs="Times New Roman"/>
                <w:color w:val="auto"/>
                <w:spacing w:val="10"/>
                <w:sz w:val="21"/>
                <w:szCs w:val="21"/>
                <w:lang w:val="en-US" w:eastAsia="zh-CN"/>
              </w:rPr>
              <w:t>1.83</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60" w:hRule="atLeast"/>
          <w:jc w:val="center"/>
        </w:trPr>
        <w:tc>
          <w:tcPr>
            <w:tcW w:w="834" w:type="dxa"/>
            <w:vMerge w:val="continue"/>
            <w:tcBorders>
              <w:left w:val="single" w:color="auto" w:sz="6" w:space="0"/>
              <w:right w:val="single" w:color="auto" w:sz="6" w:space="0"/>
            </w:tcBorders>
            <w:noWrap w:val="0"/>
            <w:vAlign w:val="center"/>
          </w:tcPr>
          <w:p>
            <w:pPr>
              <w:widowControl/>
              <w:spacing w:line="360" w:lineRule="exact"/>
              <w:ind w:firstLine="0" w:firstLineChars="0"/>
              <w:jc w:val="left"/>
              <w:rPr>
                <w:rFonts w:hint="default" w:ascii="Times New Roman" w:hAnsi="Times New Roman" w:eastAsia="宋体" w:cs="Times New Roman"/>
                <w:color w:val="auto"/>
                <w:spacing w:val="10"/>
                <w:sz w:val="21"/>
                <w:szCs w:val="21"/>
              </w:rPr>
            </w:pPr>
          </w:p>
        </w:tc>
        <w:tc>
          <w:tcPr>
            <w:tcW w:w="1200"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沸点（℃）</w:t>
            </w:r>
          </w:p>
        </w:tc>
        <w:tc>
          <w:tcPr>
            <w:tcW w:w="1380"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330.0</w:t>
            </w:r>
          </w:p>
        </w:tc>
        <w:tc>
          <w:tcPr>
            <w:tcW w:w="2439" w:type="dxa"/>
            <w:gridSpan w:val="2"/>
            <w:tcBorders>
              <w:top w:val="single" w:color="auto" w:sz="6" w:space="0"/>
              <w:left w:val="single" w:color="auto" w:sz="6" w:space="0"/>
              <w:bottom w:val="single" w:color="auto" w:sz="6" w:space="0"/>
              <w:right w:val="single" w:color="auto" w:sz="6" w:space="0"/>
            </w:tcBorders>
            <w:noWrap w:val="0"/>
            <w:vAlign w:val="center"/>
          </w:tcPr>
          <w:p>
            <w:pPr>
              <w:spacing w:line="360" w:lineRule="exact"/>
              <w:ind w:left="-4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相对</w:t>
            </w:r>
            <w:r>
              <w:rPr>
                <w:rFonts w:hint="eastAsia" w:cs="Times New Roman"/>
                <w:color w:val="auto"/>
                <w:spacing w:val="10"/>
                <w:sz w:val="21"/>
                <w:szCs w:val="21"/>
                <w:lang w:val="en-US" w:eastAsia="zh-CN"/>
              </w:rPr>
              <w:t>蒸汽</w:t>
            </w:r>
            <w:r>
              <w:rPr>
                <w:rFonts w:hint="default" w:ascii="Times New Roman" w:hAnsi="Times New Roman" w:eastAsia="宋体" w:cs="Times New Roman"/>
                <w:color w:val="auto"/>
                <w:spacing w:val="10"/>
                <w:sz w:val="21"/>
                <w:szCs w:val="21"/>
              </w:rPr>
              <w:t>密度(空气=1)</w:t>
            </w:r>
          </w:p>
        </w:tc>
        <w:tc>
          <w:tcPr>
            <w:tcW w:w="3326"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lang w:val="en-US" w:eastAsia="zh-CN"/>
              </w:rPr>
            </w:pPr>
            <w:r>
              <w:rPr>
                <w:rFonts w:hint="eastAsia" w:cs="Times New Roman"/>
                <w:color w:val="auto"/>
                <w:spacing w:val="10"/>
                <w:sz w:val="21"/>
                <w:szCs w:val="21"/>
                <w:lang w:val="en-US" w:eastAsia="zh-CN"/>
              </w:rPr>
              <w:t>3.4</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78" w:hRule="atLeast"/>
          <w:jc w:val="center"/>
        </w:trPr>
        <w:tc>
          <w:tcPr>
            <w:tcW w:w="834" w:type="dxa"/>
            <w:vMerge w:val="continue"/>
            <w:tcBorders>
              <w:left w:val="single" w:color="auto" w:sz="6" w:space="0"/>
              <w:right w:val="single" w:color="auto" w:sz="6" w:space="0"/>
            </w:tcBorders>
            <w:noWrap w:val="0"/>
            <w:vAlign w:val="center"/>
          </w:tcPr>
          <w:p>
            <w:pPr>
              <w:widowControl/>
              <w:spacing w:line="360" w:lineRule="exact"/>
              <w:ind w:firstLine="0" w:firstLineChars="0"/>
              <w:jc w:val="left"/>
              <w:rPr>
                <w:rFonts w:hint="default" w:ascii="Times New Roman" w:hAnsi="Times New Roman" w:eastAsia="宋体" w:cs="Times New Roman"/>
                <w:color w:val="auto"/>
                <w:spacing w:val="10"/>
                <w:sz w:val="21"/>
                <w:szCs w:val="21"/>
              </w:rPr>
            </w:pPr>
          </w:p>
        </w:tc>
        <w:tc>
          <w:tcPr>
            <w:tcW w:w="1200"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溶解性</w:t>
            </w:r>
          </w:p>
        </w:tc>
        <w:tc>
          <w:tcPr>
            <w:tcW w:w="7145" w:type="dxa"/>
            <w:gridSpan w:val="4"/>
            <w:tcBorders>
              <w:top w:val="single" w:color="auto" w:sz="6" w:space="0"/>
              <w:left w:val="single" w:color="auto" w:sz="6" w:space="0"/>
              <w:bottom w:val="single" w:color="auto" w:sz="6" w:space="0"/>
              <w:right w:val="single" w:color="auto" w:sz="6" w:space="0"/>
            </w:tcBorders>
            <w:noWrap w:val="0"/>
            <w:vAlign w:val="center"/>
          </w:tcPr>
          <w:p>
            <w:pPr>
              <w:spacing w:line="34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与水混溶。</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78" w:hRule="atLeast"/>
          <w:jc w:val="center"/>
        </w:trPr>
        <w:tc>
          <w:tcPr>
            <w:tcW w:w="834" w:type="dxa"/>
            <w:vMerge w:val="continue"/>
            <w:tcBorders>
              <w:left w:val="single" w:color="auto" w:sz="6" w:space="0"/>
              <w:right w:val="single" w:color="auto" w:sz="6" w:space="0"/>
            </w:tcBorders>
            <w:noWrap w:val="0"/>
            <w:vAlign w:val="center"/>
          </w:tcPr>
          <w:p>
            <w:pPr>
              <w:widowControl/>
              <w:spacing w:line="360" w:lineRule="exact"/>
              <w:ind w:firstLine="0" w:firstLineChars="0"/>
              <w:jc w:val="left"/>
              <w:rPr>
                <w:rFonts w:hint="default" w:ascii="Times New Roman" w:hAnsi="Times New Roman" w:eastAsia="宋体" w:cs="Times New Roman"/>
                <w:color w:val="auto"/>
                <w:spacing w:val="10"/>
                <w:sz w:val="21"/>
                <w:szCs w:val="21"/>
              </w:rPr>
            </w:pPr>
          </w:p>
        </w:tc>
        <w:tc>
          <w:tcPr>
            <w:tcW w:w="1200"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禁配物</w:t>
            </w:r>
          </w:p>
        </w:tc>
        <w:tc>
          <w:tcPr>
            <w:tcW w:w="7145" w:type="dxa"/>
            <w:gridSpan w:val="4"/>
            <w:tcBorders>
              <w:top w:val="single" w:color="auto" w:sz="6" w:space="0"/>
              <w:left w:val="single" w:color="auto" w:sz="6" w:space="0"/>
              <w:bottom w:val="single" w:color="auto" w:sz="6" w:space="0"/>
              <w:right w:val="single" w:color="auto" w:sz="6" w:space="0"/>
            </w:tcBorders>
            <w:noWrap w:val="0"/>
            <w:vAlign w:val="center"/>
          </w:tcPr>
          <w:p>
            <w:pPr>
              <w:spacing w:line="34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碱类、碱金属、水、强还原剂、易燃或可燃物。</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78" w:hRule="atLeast"/>
          <w:jc w:val="center"/>
        </w:trPr>
        <w:tc>
          <w:tcPr>
            <w:tcW w:w="834" w:type="dxa"/>
            <w:vMerge w:val="continue"/>
            <w:tcBorders>
              <w:left w:val="single" w:color="auto" w:sz="6" w:space="0"/>
              <w:bottom w:val="single" w:color="auto" w:sz="6" w:space="0"/>
              <w:right w:val="single" w:color="auto" w:sz="6" w:space="0"/>
            </w:tcBorders>
            <w:noWrap w:val="0"/>
            <w:vAlign w:val="center"/>
          </w:tcPr>
          <w:p>
            <w:pPr>
              <w:widowControl/>
              <w:spacing w:line="360" w:lineRule="exact"/>
              <w:ind w:firstLine="0" w:firstLineChars="0"/>
              <w:jc w:val="left"/>
              <w:rPr>
                <w:rFonts w:hint="default" w:ascii="Times New Roman" w:hAnsi="Times New Roman" w:eastAsia="宋体" w:cs="Times New Roman"/>
                <w:color w:val="auto"/>
                <w:spacing w:val="10"/>
                <w:sz w:val="21"/>
                <w:szCs w:val="21"/>
              </w:rPr>
            </w:pPr>
          </w:p>
        </w:tc>
        <w:tc>
          <w:tcPr>
            <w:tcW w:w="1200"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lang w:val="en-US" w:eastAsia="zh-CN"/>
              </w:rPr>
            </w:pPr>
            <w:r>
              <w:rPr>
                <w:rFonts w:hint="eastAsia" w:cs="Times New Roman"/>
                <w:color w:val="auto"/>
                <w:spacing w:val="10"/>
                <w:sz w:val="21"/>
                <w:szCs w:val="21"/>
                <w:lang w:val="en-US" w:eastAsia="zh-CN"/>
              </w:rPr>
              <w:t>主要用途</w:t>
            </w:r>
          </w:p>
        </w:tc>
        <w:tc>
          <w:tcPr>
            <w:tcW w:w="7145" w:type="dxa"/>
            <w:gridSpan w:val="4"/>
            <w:tcBorders>
              <w:top w:val="single" w:color="auto" w:sz="6" w:space="0"/>
              <w:left w:val="single" w:color="auto" w:sz="6" w:space="0"/>
              <w:bottom w:val="single" w:color="auto" w:sz="6" w:space="0"/>
              <w:right w:val="single" w:color="auto" w:sz="6" w:space="0"/>
            </w:tcBorders>
            <w:noWrap w:val="0"/>
            <w:vAlign w:val="center"/>
          </w:tcPr>
          <w:p>
            <w:pPr>
              <w:spacing w:line="34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用于生产化学肥料，在化工、医药、塑料、染料、石油提炼等工业也有广泛的应用。</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26" w:hRule="atLeast"/>
          <w:jc w:val="center"/>
        </w:trPr>
        <w:tc>
          <w:tcPr>
            <w:tcW w:w="834" w:type="dxa"/>
            <w:tcBorders>
              <w:top w:val="single" w:color="auto" w:sz="6" w:space="0"/>
              <w:left w:val="single" w:color="auto" w:sz="6" w:space="0"/>
              <w:bottom w:val="single" w:color="auto" w:sz="4"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燃爆 特性</w:t>
            </w:r>
          </w:p>
        </w:tc>
        <w:tc>
          <w:tcPr>
            <w:tcW w:w="8345" w:type="dxa"/>
            <w:gridSpan w:val="5"/>
            <w:tcBorders>
              <w:top w:val="single" w:color="auto" w:sz="6" w:space="0"/>
              <w:left w:val="single" w:color="auto" w:sz="6" w:space="0"/>
              <w:right w:val="single" w:color="auto" w:sz="4" w:space="0"/>
            </w:tcBorders>
            <w:noWrap w:val="0"/>
            <w:vAlign w:val="center"/>
          </w:tcPr>
          <w:p>
            <w:pPr>
              <w:spacing w:line="360" w:lineRule="exact"/>
              <w:ind w:firstLine="0" w:firstLineChars="0"/>
              <w:jc w:val="both"/>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遇水大量放热</w:t>
            </w:r>
            <w:r>
              <w:rPr>
                <w:rFonts w:hint="eastAsia" w:cs="Times New Roman"/>
                <w:color w:val="auto"/>
                <w:spacing w:val="10"/>
                <w:sz w:val="21"/>
                <w:szCs w:val="21"/>
                <w:lang w:eastAsia="zh-CN"/>
              </w:rPr>
              <w:t>，</w:t>
            </w:r>
            <w:r>
              <w:rPr>
                <w:rFonts w:hint="default" w:ascii="Times New Roman" w:hAnsi="Times New Roman" w:eastAsia="宋体" w:cs="Times New Roman"/>
                <w:color w:val="auto"/>
                <w:spacing w:val="10"/>
                <w:sz w:val="21"/>
                <w:szCs w:val="21"/>
              </w:rPr>
              <w:t>可发生沸溅。与易燃物(如苯)和可燃物(如糖、纤维素等)接触会发生剧烈反应，甚至引起燃烧。遇电石、高氯酸盐、雷酸盐、硝酸盐、苦味酸盐、金属粉末等猛烈反应，发生爆炸或燃烧。有强烈的腐蚀性和吸水性。</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304" w:hRule="atLeast"/>
          <w:jc w:val="center"/>
        </w:trPr>
        <w:tc>
          <w:tcPr>
            <w:tcW w:w="834" w:type="dxa"/>
            <w:tcBorders>
              <w:top w:val="single" w:color="auto" w:sz="4" w:space="0"/>
              <w:left w:val="single" w:color="auto" w:sz="6" w:space="0"/>
              <w:bottom w:val="single" w:color="auto" w:sz="4" w:space="0"/>
              <w:right w:val="single" w:color="auto" w:sz="6" w:space="0"/>
            </w:tcBorders>
            <w:noWrap w:val="0"/>
            <w:vAlign w:val="center"/>
          </w:tcPr>
          <w:p>
            <w:pPr>
              <w:widowControl/>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消防</w:t>
            </w:r>
          </w:p>
        </w:tc>
        <w:tc>
          <w:tcPr>
            <w:tcW w:w="8345" w:type="dxa"/>
            <w:gridSpan w:val="5"/>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both"/>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消防人员必须穿全身耐酸碱消防服。灭火剂:干粉、二氧化碳、砂土。避免水流冲击物品以免遇水会放出大量热量发生喷溅而灼伤皮肤。</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304" w:hRule="atLeast"/>
          <w:jc w:val="center"/>
        </w:trPr>
        <w:tc>
          <w:tcPr>
            <w:tcW w:w="834" w:type="dxa"/>
            <w:tcBorders>
              <w:top w:val="single" w:color="auto" w:sz="4" w:space="0"/>
              <w:left w:val="single" w:color="auto" w:sz="6" w:space="0"/>
              <w:bottom w:val="single" w:color="auto" w:sz="4" w:space="0"/>
              <w:right w:val="single" w:color="auto" w:sz="6" w:space="0"/>
            </w:tcBorders>
            <w:noWrap w:val="0"/>
            <w:vAlign w:val="center"/>
          </w:tcPr>
          <w:p>
            <w:pPr>
              <w:widowControl/>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毒性指标</w:t>
            </w:r>
          </w:p>
        </w:tc>
        <w:tc>
          <w:tcPr>
            <w:tcW w:w="8345" w:type="dxa"/>
            <w:gridSpan w:val="5"/>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both"/>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急性毒性</w:t>
            </w:r>
            <w:r>
              <w:rPr>
                <w:rFonts w:hint="eastAsia" w:cs="Times New Roman"/>
                <w:color w:val="auto"/>
                <w:spacing w:val="10"/>
                <w:sz w:val="21"/>
                <w:szCs w:val="21"/>
                <w:lang w:eastAsia="zh-CN"/>
              </w:rPr>
              <w:t>：</w:t>
            </w:r>
            <w:r>
              <w:rPr>
                <w:rFonts w:hint="default" w:ascii="Times New Roman" w:hAnsi="Times New Roman" w:eastAsia="宋体" w:cs="Times New Roman"/>
                <w:color w:val="auto"/>
                <w:spacing w:val="10"/>
                <w:sz w:val="21"/>
                <w:szCs w:val="21"/>
              </w:rPr>
              <w:t>LD50:2140mg/kg</w:t>
            </w:r>
            <w:r>
              <w:rPr>
                <w:rFonts w:hint="eastAsia" w:cs="Times New Roman"/>
                <w:color w:val="auto"/>
                <w:spacing w:val="10"/>
                <w:sz w:val="21"/>
                <w:szCs w:val="21"/>
                <w:lang w:eastAsia="zh-CN"/>
              </w:rPr>
              <w:t>（</w:t>
            </w:r>
            <w:r>
              <w:rPr>
                <w:rFonts w:hint="default" w:ascii="Times New Roman" w:hAnsi="Times New Roman" w:eastAsia="宋体" w:cs="Times New Roman"/>
                <w:color w:val="auto"/>
                <w:spacing w:val="10"/>
                <w:sz w:val="21"/>
                <w:szCs w:val="21"/>
              </w:rPr>
              <w:t>大鼠经口</w:t>
            </w:r>
            <w:r>
              <w:rPr>
                <w:rFonts w:hint="eastAsia" w:cs="Times New Roman"/>
                <w:color w:val="auto"/>
                <w:spacing w:val="10"/>
                <w:sz w:val="21"/>
                <w:szCs w:val="21"/>
                <w:lang w:eastAsia="zh-CN"/>
              </w:rPr>
              <w:t>）</w:t>
            </w:r>
            <w:r>
              <w:rPr>
                <w:rFonts w:hint="default" w:ascii="Times New Roman" w:hAnsi="Times New Roman" w:eastAsia="宋体" w:cs="Times New Roman"/>
                <w:color w:val="auto"/>
                <w:spacing w:val="10"/>
                <w:sz w:val="21"/>
                <w:szCs w:val="21"/>
              </w:rPr>
              <w:t>:LC50:510mg</w:t>
            </w:r>
            <w:r>
              <w:rPr>
                <w:rFonts w:hint="eastAsia" w:cs="Times New Roman"/>
                <w:color w:val="auto"/>
                <w:spacing w:val="10"/>
                <w:sz w:val="21"/>
                <w:szCs w:val="21"/>
                <w:lang w:val="en-US" w:eastAsia="zh-CN"/>
              </w:rPr>
              <w:t>/</w:t>
            </w:r>
            <w:r>
              <w:rPr>
                <w:rFonts w:hint="default" w:ascii="Times New Roman" w:hAnsi="Times New Roman" w:eastAsia="宋体" w:cs="Times New Roman"/>
                <w:color w:val="auto"/>
                <w:spacing w:val="10"/>
                <w:sz w:val="21"/>
                <w:szCs w:val="21"/>
              </w:rPr>
              <w:t>m</w:t>
            </w:r>
            <w:r>
              <w:rPr>
                <w:rFonts w:hint="eastAsia" w:cs="Times New Roman"/>
                <w:color w:val="auto"/>
                <w:spacing w:val="10"/>
                <w:sz w:val="21"/>
                <w:szCs w:val="21"/>
                <w:vertAlign w:val="superscript"/>
                <w:lang w:val="en-US" w:eastAsia="zh-CN"/>
              </w:rPr>
              <w:t>3</w:t>
            </w:r>
            <w:r>
              <w:rPr>
                <w:rFonts w:hint="default" w:ascii="Times New Roman" w:hAnsi="Times New Roman" w:eastAsia="宋体" w:cs="Times New Roman"/>
                <w:color w:val="auto"/>
                <w:spacing w:val="10"/>
                <w:sz w:val="21"/>
                <w:szCs w:val="21"/>
              </w:rPr>
              <w:t>，2小时</w:t>
            </w:r>
            <w:r>
              <w:rPr>
                <w:rFonts w:hint="eastAsia" w:cs="Times New Roman"/>
                <w:color w:val="auto"/>
                <w:spacing w:val="10"/>
                <w:sz w:val="21"/>
                <w:szCs w:val="21"/>
                <w:lang w:eastAsia="zh-CN"/>
              </w:rPr>
              <w:t>（</w:t>
            </w:r>
            <w:r>
              <w:rPr>
                <w:rFonts w:hint="default" w:ascii="Times New Roman" w:hAnsi="Times New Roman" w:eastAsia="宋体" w:cs="Times New Roman"/>
                <w:color w:val="auto"/>
                <w:spacing w:val="10"/>
                <w:sz w:val="21"/>
                <w:szCs w:val="21"/>
              </w:rPr>
              <w:t>大鼠吸入</w:t>
            </w:r>
            <w:r>
              <w:rPr>
                <w:rFonts w:hint="eastAsia" w:cs="Times New Roman"/>
                <w:color w:val="auto"/>
                <w:spacing w:val="10"/>
                <w:sz w:val="21"/>
                <w:szCs w:val="21"/>
                <w:lang w:eastAsia="zh-CN"/>
              </w:rPr>
              <w:t>）</w:t>
            </w:r>
            <w:r>
              <w:rPr>
                <w:rFonts w:hint="default" w:ascii="Times New Roman" w:hAnsi="Times New Roman" w:eastAsia="宋体" w:cs="Times New Roman"/>
                <w:color w:val="auto"/>
                <w:spacing w:val="10"/>
                <w:sz w:val="21"/>
                <w:szCs w:val="21"/>
              </w:rPr>
              <w:t>:320mg/m</w:t>
            </w:r>
            <w:r>
              <w:rPr>
                <w:rFonts w:hint="eastAsia" w:cs="Times New Roman"/>
                <w:color w:val="auto"/>
                <w:spacing w:val="10"/>
                <w:sz w:val="21"/>
                <w:szCs w:val="21"/>
                <w:vertAlign w:val="superscript"/>
                <w:lang w:val="en-US" w:eastAsia="zh-CN"/>
              </w:rPr>
              <w:t>3</w:t>
            </w:r>
            <w:r>
              <w:rPr>
                <w:rFonts w:hint="default" w:ascii="Times New Roman" w:hAnsi="Times New Roman" w:eastAsia="宋体" w:cs="Times New Roman"/>
                <w:color w:val="auto"/>
                <w:spacing w:val="10"/>
                <w:sz w:val="21"/>
                <w:szCs w:val="21"/>
              </w:rPr>
              <w:t>，2小时</w:t>
            </w:r>
            <w:r>
              <w:rPr>
                <w:rFonts w:hint="eastAsia" w:cs="Times New Roman"/>
                <w:color w:val="auto"/>
                <w:spacing w:val="10"/>
                <w:sz w:val="21"/>
                <w:szCs w:val="21"/>
                <w:lang w:eastAsia="zh-CN"/>
              </w:rPr>
              <w:t>（</w:t>
            </w:r>
            <w:r>
              <w:rPr>
                <w:rFonts w:hint="default" w:ascii="Times New Roman" w:hAnsi="Times New Roman" w:eastAsia="宋体" w:cs="Times New Roman"/>
                <w:color w:val="auto"/>
                <w:spacing w:val="10"/>
                <w:sz w:val="21"/>
                <w:szCs w:val="21"/>
              </w:rPr>
              <w:t>小鼠吸入</w:t>
            </w:r>
            <w:r>
              <w:rPr>
                <w:rFonts w:hint="eastAsia" w:cs="Times New Roman"/>
                <w:color w:val="auto"/>
                <w:spacing w:val="10"/>
                <w:sz w:val="21"/>
                <w:szCs w:val="21"/>
                <w:lang w:eastAsia="zh-CN"/>
              </w:rPr>
              <w:t>）</w:t>
            </w:r>
          </w:p>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刺激性:家</w:t>
            </w:r>
            <w:r>
              <w:rPr>
                <w:rFonts w:hint="eastAsia" w:cs="Times New Roman"/>
                <w:color w:val="auto"/>
                <w:spacing w:val="10"/>
                <w:sz w:val="21"/>
                <w:szCs w:val="21"/>
                <w:lang w:val="en-US" w:eastAsia="zh-CN"/>
              </w:rPr>
              <w:t>兔</w:t>
            </w:r>
            <w:r>
              <w:rPr>
                <w:rFonts w:hint="default" w:ascii="Times New Roman" w:hAnsi="Times New Roman" w:eastAsia="宋体" w:cs="Times New Roman"/>
                <w:color w:val="auto"/>
                <w:spacing w:val="10"/>
                <w:sz w:val="21"/>
                <w:szCs w:val="21"/>
              </w:rPr>
              <w:t>经眼:1380</w:t>
            </w:r>
            <w:r>
              <w:rPr>
                <w:rFonts w:hint="eastAsia" w:cs="Times New Roman"/>
                <w:color w:val="auto"/>
                <w:spacing w:val="10"/>
                <w:sz w:val="21"/>
                <w:szCs w:val="21"/>
                <w:lang w:val="en-US" w:eastAsia="zh-CN"/>
              </w:rPr>
              <w:t>u</w:t>
            </w:r>
            <w:r>
              <w:rPr>
                <w:rFonts w:hint="default" w:ascii="Times New Roman" w:hAnsi="Times New Roman" w:eastAsia="宋体" w:cs="Times New Roman"/>
                <w:color w:val="auto"/>
                <w:spacing w:val="10"/>
                <w:sz w:val="21"/>
                <w:szCs w:val="21"/>
              </w:rPr>
              <w:t>g，重度刺激。</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304" w:hRule="atLeast"/>
          <w:jc w:val="center"/>
        </w:trPr>
        <w:tc>
          <w:tcPr>
            <w:tcW w:w="834" w:type="dxa"/>
            <w:tcBorders>
              <w:top w:val="single" w:color="auto" w:sz="4" w:space="0"/>
              <w:left w:val="single" w:color="auto" w:sz="6" w:space="0"/>
              <w:bottom w:val="single" w:color="auto" w:sz="4" w:space="0"/>
              <w:right w:val="single" w:color="auto" w:sz="6" w:space="0"/>
            </w:tcBorders>
            <w:noWrap w:val="0"/>
            <w:vAlign w:val="center"/>
          </w:tcPr>
          <w:p>
            <w:pPr>
              <w:widowControl/>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健康危害</w:t>
            </w:r>
          </w:p>
        </w:tc>
        <w:tc>
          <w:tcPr>
            <w:tcW w:w="8345" w:type="dxa"/>
            <w:gridSpan w:val="5"/>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对皮肤、粘膜等组织有强烈的刺激和腐蚀作用。蒸气或雾可引起结膜炎、结膜水肿、角膜混浊，以致失明:引起呼吸道刺激，重者发生呼吸困难和肺水肿:高浓度引起喉痉或声门水肿而窒息死亡。口服后引起消化道烧伤以致溃疡形成:严重者可能有穿孔、腹膜炎肾损害、休克等。皮肤灼伤轻者出现红斑、重者形成溃疡，愈后痕收缩影响功能。入眼内可造成灼伤，甚至角膜穿孔、全眼炎以至失明。</w:t>
            </w:r>
          </w:p>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慢性影响:牙齿酸蚀症、慢性支气管炎、肺气肿和肺硬化。</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304" w:hRule="atLeast"/>
          <w:jc w:val="center"/>
        </w:trPr>
        <w:tc>
          <w:tcPr>
            <w:tcW w:w="834" w:type="dxa"/>
            <w:tcBorders>
              <w:top w:val="single" w:color="auto" w:sz="4" w:space="0"/>
              <w:left w:val="single" w:color="auto" w:sz="6" w:space="0"/>
              <w:bottom w:val="single" w:color="auto" w:sz="4" w:space="0"/>
              <w:right w:val="single" w:color="auto" w:sz="6" w:space="0"/>
            </w:tcBorders>
            <w:noWrap w:val="0"/>
            <w:vAlign w:val="center"/>
          </w:tcPr>
          <w:p>
            <w:pPr>
              <w:widowControl/>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急救措施</w:t>
            </w:r>
          </w:p>
        </w:tc>
        <w:tc>
          <w:tcPr>
            <w:tcW w:w="8345" w:type="dxa"/>
            <w:gridSpan w:val="5"/>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皮肤接触:立即脱去污染的衣着，用大量流动清水冲洗至少15分钟。就医。</w:t>
            </w:r>
          </w:p>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眼睛接触:立即提起眼睑，用大量流动清水或生理盐水彻底冲洗至少15分钟。就医。吸入:迅速脱离现场至空气新鲜处。保持呼吸道通畅。如呼吸困难，给输。如呼吸停止立即进行人工呼吸。就医，食入:用水漱口，给饮牛奶或蛋清。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304" w:hRule="atLeast"/>
          <w:jc w:val="center"/>
        </w:trPr>
        <w:tc>
          <w:tcPr>
            <w:tcW w:w="834" w:type="dxa"/>
            <w:tcBorders>
              <w:top w:val="single" w:color="auto" w:sz="4" w:space="0"/>
              <w:left w:val="single" w:color="auto" w:sz="6" w:space="0"/>
              <w:bottom w:val="single" w:color="auto" w:sz="4" w:space="0"/>
              <w:right w:val="single" w:color="auto" w:sz="6" w:space="0"/>
            </w:tcBorders>
            <w:noWrap w:val="0"/>
            <w:vAlign w:val="center"/>
          </w:tcPr>
          <w:p>
            <w:pPr>
              <w:widowControl/>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应急处理</w:t>
            </w:r>
          </w:p>
        </w:tc>
        <w:tc>
          <w:tcPr>
            <w:tcW w:w="8345" w:type="dxa"/>
            <w:gridSpan w:val="5"/>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应急处理:迅速撤离泄漏污染区人员至安全区，并进行隔离，严格限制出入。建议应急处理人员戴自给正压式呼吸器，穿防酸碱工作服。不要直接接触泄漏物。尽可能切断泄漏源。防止流入下水道、排洪沟等限制性空间。小量泄漏:用砂土、干燥石灰或苏打灰混合。也可以用大量水冲洗，洗水稀释后放入废水系统。大量泄漏:构围堤或挖坑收容。用泵转移至槽车或专用收集器内，回收或运至废物处理场所处置。</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304" w:hRule="atLeast"/>
          <w:jc w:val="center"/>
        </w:trPr>
        <w:tc>
          <w:tcPr>
            <w:tcW w:w="834" w:type="dxa"/>
            <w:tcBorders>
              <w:top w:val="single" w:color="auto" w:sz="4" w:space="0"/>
              <w:left w:val="single" w:color="auto" w:sz="6" w:space="0"/>
              <w:bottom w:val="single" w:color="auto" w:sz="4" w:space="0"/>
              <w:right w:val="single" w:color="auto" w:sz="6" w:space="0"/>
            </w:tcBorders>
            <w:noWrap w:val="0"/>
            <w:vAlign w:val="center"/>
          </w:tcPr>
          <w:p>
            <w:pPr>
              <w:widowControl/>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储存事项</w:t>
            </w:r>
          </w:p>
        </w:tc>
        <w:tc>
          <w:tcPr>
            <w:tcW w:w="8345" w:type="dxa"/>
            <w:gridSpan w:val="5"/>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储存于阴凉、通风的库房。库温不超过35℃，相对湿度不超过85%。保持容器密封。应与易(可)物、还原剂、碱类、碱金属、食用化学品分开存放，切忌混储。储区应各有泄漏应急处理设备和合适的收容材料。</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304" w:hRule="atLeast"/>
          <w:jc w:val="center"/>
        </w:trPr>
        <w:tc>
          <w:tcPr>
            <w:tcW w:w="834" w:type="dxa"/>
            <w:vMerge w:val="restart"/>
            <w:tcBorders>
              <w:top w:val="single" w:color="auto" w:sz="4" w:space="0"/>
              <w:left w:val="single" w:color="auto" w:sz="6" w:space="0"/>
              <w:right w:val="single" w:color="auto" w:sz="6" w:space="0"/>
            </w:tcBorders>
            <w:noWrap w:val="0"/>
            <w:vAlign w:val="center"/>
          </w:tcPr>
          <w:p>
            <w:pPr>
              <w:widowControl/>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运输信息</w:t>
            </w:r>
          </w:p>
        </w:tc>
        <w:tc>
          <w:tcPr>
            <w:tcW w:w="8345" w:type="dxa"/>
            <w:gridSpan w:val="5"/>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包装标志:腐蚀品</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304" w:hRule="atLeast"/>
          <w:jc w:val="center"/>
        </w:trPr>
        <w:tc>
          <w:tcPr>
            <w:tcW w:w="834" w:type="dxa"/>
            <w:vMerge w:val="continue"/>
            <w:tcBorders>
              <w:left w:val="single" w:color="auto" w:sz="6" w:space="0"/>
              <w:right w:val="single" w:color="auto" w:sz="6" w:space="0"/>
            </w:tcBorders>
            <w:noWrap w:val="0"/>
            <w:vAlign w:val="center"/>
          </w:tcPr>
          <w:p>
            <w:pPr>
              <w:widowControl/>
              <w:spacing w:line="360" w:lineRule="exact"/>
              <w:ind w:firstLine="0" w:firstLineChars="0"/>
              <w:jc w:val="center"/>
              <w:rPr>
                <w:rFonts w:hint="default" w:ascii="Times New Roman" w:hAnsi="Times New Roman" w:eastAsia="宋体" w:cs="Times New Roman"/>
                <w:color w:val="auto"/>
                <w:spacing w:val="10"/>
                <w:sz w:val="21"/>
                <w:szCs w:val="21"/>
              </w:rPr>
            </w:pPr>
          </w:p>
        </w:tc>
        <w:tc>
          <w:tcPr>
            <w:tcW w:w="8345" w:type="dxa"/>
            <w:gridSpan w:val="5"/>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包装方法:耐酸坛或陶瓷瓶外普通木箱或半花格木箱:磨砂口玻璃瓶或螺纹口玻璃瓶外普通木箱。</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750" w:hRule="atLeast"/>
          <w:jc w:val="center"/>
        </w:trPr>
        <w:tc>
          <w:tcPr>
            <w:tcW w:w="834" w:type="dxa"/>
            <w:vMerge w:val="continue"/>
            <w:tcBorders>
              <w:left w:val="single" w:color="auto" w:sz="6" w:space="0"/>
              <w:right w:val="single" w:color="auto" w:sz="6" w:space="0"/>
            </w:tcBorders>
            <w:noWrap w:val="0"/>
            <w:vAlign w:val="center"/>
          </w:tcPr>
          <w:p>
            <w:pPr>
              <w:widowControl/>
              <w:spacing w:line="360" w:lineRule="exact"/>
              <w:ind w:firstLine="0" w:firstLineChars="0"/>
              <w:jc w:val="center"/>
              <w:rPr>
                <w:rFonts w:hint="default" w:ascii="Times New Roman" w:hAnsi="Times New Roman" w:eastAsia="宋体" w:cs="Times New Roman"/>
                <w:color w:val="auto"/>
                <w:spacing w:val="10"/>
                <w:sz w:val="21"/>
                <w:szCs w:val="21"/>
              </w:rPr>
            </w:pPr>
          </w:p>
        </w:tc>
        <w:tc>
          <w:tcPr>
            <w:tcW w:w="8345" w:type="dxa"/>
            <w:gridSpan w:val="5"/>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运输注意事项:本品铁路运输时限使用钢制企业自备罐车装运，装运前需报有关部门批准铁路非罐装运输时应严格按照铁道部《危险货物运输规则》中的危险货物配装表进行配装。起运时包装要完整，装载应稳妥。运输过程中要确保容器不泄漏、不倒塌、不落、不损坏。严禁与易燃物或可燃物、还原剂、碱类、碱金属、食用化学品等混装混运。运输时运输车辆应配备泄漏应急处理设备。运输途中应防曝晒、雨淋，防高温。公路运输时要按规定路线行驶，勿在居民区和人口稠密区停留。</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default"/>
          <w:color w:val="auto"/>
          <w:lang w:val="en-US" w:eastAsia="zh-CN"/>
        </w:rPr>
        <w:t>表3-</w:t>
      </w:r>
      <w:r>
        <w:rPr>
          <w:rFonts w:hint="eastAsia"/>
          <w:color w:val="auto"/>
          <w:lang w:val="en-US" w:eastAsia="zh-CN"/>
        </w:rPr>
        <w:t>4</w:t>
      </w:r>
      <w:r>
        <w:rPr>
          <w:rFonts w:hint="eastAsia" w:ascii="Times New Roman" w:eastAsia="宋体"/>
          <w:color w:val="auto"/>
          <w:lang w:val="en-US" w:eastAsia="zh-CN"/>
        </w:rPr>
        <w:t xml:space="preserve"> 次氯酸钠</w:t>
      </w:r>
      <w:r>
        <w:rPr>
          <w:rFonts w:hint="default"/>
          <w:color w:val="auto"/>
          <w:lang w:val="en-US" w:eastAsia="zh-CN"/>
        </w:rPr>
        <w:t>的理化性质及危险特性</w:t>
      </w:r>
    </w:p>
    <w:tbl>
      <w:tblPr>
        <w:tblStyle w:val="15"/>
        <w:tblW w:w="0" w:type="auto"/>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834"/>
        <w:gridCol w:w="1950"/>
        <w:gridCol w:w="992"/>
        <w:gridCol w:w="434"/>
        <w:gridCol w:w="431"/>
        <w:gridCol w:w="631"/>
        <w:gridCol w:w="126"/>
        <w:gridCol w:w="351"/>
        <w:gridCol w:w="612"/>
        <w:gridCol w:w="387"/>
        <w:gridCol w:w="86"/>
        <w:gridCol w:w="295"/>
        <w:gridCol w:w="270"/>
        <w:gridCol w:w="549"/>
        <w:gridCol w:w="497"/>
        <w:gridCol w:w="734"/>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46" w:hRule="atLeast"/>
          <w:jc w:val="center"/>
        </w:trPr>
        <w:tc>
          <w:tcPr>
            <w:tcW w:w="834" w:type="dxa"/>
            <w:vMerge w:val="restart"/>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标识</w:t>
            </w:r>
          </w:p>
        </w:tc>
        <w:tc>
          <w:tcPr>
            <w:tcW w:w="6000" w:type="dxa"/>
            <w:gridSpan w:val="10"/>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中文名:次氯酸钠溶液(有效氯&gt;5%);漂白水</w:t>
            </w:r>
          </w:p>
        </w:tc>
        <w:tc>
          <w:tcPr>
            <w:tcW w:w="2345" w:type="dxa"/>
            <w:gridSpan w:val="5"/>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rPr>
              <w:t>危化品</w:t>
            </w:r>
            <w:r>
              <w:rPr>
                <w:rFonts w:hint="eastAsia" w:cs="Times New Roman"/>
                <w:color w:val="auto"/>
                <w:spacing w:val="10"/>
                <w:sz w:val="21"/>
                <w:szCs w:val="21"/>
                <w:lang w:val="en-US" w:eastAsia="zh-CN"/>
              </w:rPr>
              <w:t>货编号</w:t>
            </w:r>
            <w:r>
              <w:rPr>
                <w:rFonts w:hint="eastAsia" w:cs="Times New Roman"/>
                <w:color w:val="auto"/>
                <w:spacing w:val="10"/>
                <w:sz w:val="21"/>
                <w:szCs w:val="21"/>
                <w:lang w:eastAsia="zh-CN"/>
              </w:rPr>
              <w:t>：</w:t>
            </w:r>
            <w:r>
              <w:rPr>
                <w:rFonts w:hint="eastAsia" w:cs="Times New Roman"/>
                <w:color w:val="auto"/>
                <w:spacing w:val="10"/>
                <w:sz w:val="21"/>
                <w:szCs w:val="21"/>
                <w:lang w:val="en-US" w:eastAsia="zh-CN"/>
              </w:rPr>
              <w:t>83501</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46" w:hRule="atLeast"/>
          <w:jc w:val="center"/>
        </w:trPr>
        <w:tc>
          <w:tcPr>
            <w:tcW w:w="834"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ind w:firstLine="0" w:firstLineChars="0"/>
              <w:jc w:val="center"/>
              <w:rPr>
                <w:rFonts w:hint="default" w:ascii="Times New Roman" w:hAnsi="Times New Roman" w:eastAsia="宋体" w:cs="Times New Roman"/>
                <w:color w:val="auto"/>
                <w:spacing w:val="10"/>
                <w:sz w:val="21"/>
                <w:szCs w:val="21"/>
              </w:rPr>
            </w:pPr>
          </w:p>
        </w:tc>
        <w:tc>
          <w:tcPr>
            <w:tcW w:w="6000" w:type="dxa"/>
            <w:gridSpan w:val="10"/>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英文名:Sodium hypochlorite solution containing more than 5%available chlorine; Javele</w:t>
            </w:r>
          </w:p>
        </w:tc>
        <w:tc>
          <w:tcPr>
            <w:tcW w:w="2345" w:type="dxa"/>
            <w:gridSpan w:val="5"/>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rPr>
              <w:t>UN编号:1791</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53" w:hRule="atLeast"/>
          <w:jc w:val="center"/>
        </w:trPr>
        <w:tc>
          <w:tcPr>
            <w:tcW w:w="834"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ind w:firstLine="0" w:firstLineChars="0"/>
              <w:jc w:val="center"/>
              <w:rPr>
                <w:rFonts w:hint="default" w:ascii="Times New Roman" w:hAnsi="Times New Roman" w:eastAsia="宋体" w:cs="Times New Roman"/>
                <w:color w:val="auto"/>
                <w:spacing w:val="10"/>
                <w:sz w:val="21"/>
                <w:szCs w:val="21"/>
              </w:rPr>
            </w:pPr>
          </w:p>
        </w:tc>
        <w:tc>
          <w:tcPr>
            <w:tcW w:w="1950" w:type="dxa"/>
            <w:tcBorders>
              <w:top w:val="single" w:color="auto" w:sz="6" w:space="0"/>
              <w:left w:val="single" w:color="auto" w:sz="6" w:space="0"/>
              <w:bottom w:val="single" w:color="auto" w:sz="6" w:space="0"/>
              <w:right w:val="single" w:color="auto" w:sz="4" w:space="0"/>
            </w:tcBorders>
            <w:noWrap w:val="0"/>
            <w:vAlign w:val="center"/>
          </w:tcPr>
          <w:p>
            <w:pPr>
              <w:spacing w:line="360" w:lineRule="exact"/>
              <w:ind w:left="920" w:hanging="920" w:hangingChars="400"/>
              <w:jc w:val="center"/>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rPr>
              <w:t>分子式:NaC</w:t>
            </w:r>
            <w:r>
              <w:rPr>
                <w:rFonts w:hint="eastAsia" w:cs="Times New Roman"/>
                <w:color w:val="auto"/>
                <w:spacing w:val="10"/>
                <w:sz w:val="21"/>
                <w:szCs w:val="21"/>
                <w:lang w:val="en-US" w:eastAsia="zh-CN"/>
              </w:rPr>
              <w:t>lO</w:t>
            </w:r>
          </w:p>
        </w:tc>
        <w:tc>
          <w:tcPr>
            <w:tcW w:w="4050" w:type="dxa"/>
            <w:gridSpan w:val="9"/>
            <w:tcBorders>
              <w:top w:val="single" w:color="auto" w:sz="6" w:space="0"/>
              <w:left w:val="single" w:color="auto" w:sz="4" w:space="0"/>
              <w:bottom w:val="single" w:color="auto" w:sz="6" w:space="0"/>
              <w:right w:val="single" w:color="auto" w:sz="6" w:space="0"/>
            </w:tcBorders>
            <w:noWrap w:val="0"/>
            <w:vAlign w:val="center"/>
          </w:tcPr>
          <w:p>
            <w:pPr>
              <w:spacing w:line="360" w:lineRule="exact"/>
              <w:ind w:left="920" w:hanging="920" w:hangingChars="40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分子量:74.44</w:t>
            </w:r>
          </w:p>
        </w:tc>
        <w:tc>
          <w:tcPr>
            <w:tcW w:w="2345" w:type="dxa"/>
            <w:gridSpan w:val="5"/>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CAS号:7681-52-9</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55" w:hRule="atLeast"/>
          <w:jc w:val="center"/>
        </w:trPr>
        <w:tc>
          <w:tcPr>
            <w:tcW w:w="834" w:type="dxa"/>
            <w:vMerge w:val="restart"/>
            <w:tcBorders>
              <w:top w:val="single" w:color="auto" w:sz="6" w:space="0"/>
              <w:left w:val="single" w:color="auto" w:sz="6" w:space="0"/>
              <w:right w:val="single" w:color="auto" w:sz="6" w:space="0"/>
            </w:tcBorders>
            <w:noWrap w:val="0"/>
            <w:vAlign w:val="center"/>
          </w:tcPr>
          <w:p>
            <w:pPr>
              <w:spacing w:line="24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理化性质</w:t>
            </w:r>
          </w:p>
        </w:tc>
        <w:tc>
          <w:tcPr>
            <w:tcW w:w="1950"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外观与性状</w:t>
            </w:r>
          </w:p>
        </w:tc>
        <w:tc>
          <w:tcPr>
            <w:tcW w:w="6395" w:type="dxa"/>
            <w:gridSpan w:val="14"/>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微黄色溶液，有似氯气的气味</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54" w:hRule="atLeast"/>
          <w:jc w:val="center"/>
        </w:trPr>
        <w:tc>
          <w:tcPr>
            <w:tcW w:w="834" w:type="dxa"/>
            <w:vMerge w:val="continue"/>
            <w:tcBorders>
              <w:left w:val="single" w:color="auto" w:sz="6" w:space="0"/>
              <w:right w:val="single" w:color="auto" w:sz="6" w:space="0"/>
            </w:tcBorders>
            <w:noWrap w:val="0"/>
            <w:vAlign w:val="center"/>
          </w:tcPr>
          <w:p>
            <w:pPr>
              <w:widowControl/>
              <w:spacing w:line="360" w:lineRule="exact"/>
              <w:ind w:firstLine="0" w:firstLineChars="0"/>
              <w:jc w:val="center"/>
              <w:rPr>
                <w:rFonts w:hint="default" w:ascii="Times New Roman" w:hAnsi="Times New Roman" w:eastAsia="宋体" w:cs="Times New Roman"/>
                <w:color w:val="auto"/>
                <w:spacing w:val="10"/>
                <w:sz w:val="21"/>
                <w:szCs w:val="21"/>
              </w:rPr>
            </w:pPr>
          </w:p>
        </w:tc>
        <w:tc>
          <w:tcPr>
            <w:tcW w:w="1950"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熔点（℃）</w:t>
            </w:r>
          </w:p>
        </w:tc>
        <w:tc>
          <w:tcPr>
            <w:tcW w:w="992" w:type="dxa"/>
            <w:tcBorders>
              <w:top w:val="single" w:color="auto" w:sz="6" w:space="0"/>
              <w:left w:val="single" w:color="auto" w:sz="6" w:space="0"/>
              <w:bottom w:val="single" w:color="auto" w:sz="6"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lang w:val="en-US" w:eastAsia="zh-CN"/>
              </w:rPr>
            </w:pPr>
            <w:r>
              <w:rPr>
                <w:rFonts w:hint="eastAsia" w:cs="Times New Roman"/>
                <w:color w:val="auto"/>
                <w:spacing w:val="10"/>
                <w:sz w:val="21"/>
                <w:szCs w:val="21"/>
                <w:lang w:val="en-US" w:eastAsia="zh-CN"/>
              </w:rPr>
              <w:t>-6</w:t>
            </w:r>
          </w:p>
        </w:tc>
        <w:tc>
          <w:tcPr>
            <w:tcW w:w="1973" w:type="dxa"/>
            <w:gridSpan w:val="5"/>
            <w:tcBorders>
              <w:top w:val="single" w:color="auto" w:sz="6" w:space="0"/>
              <w:left w:val="single" w:color="auto" w:sz="4" w:space="0"/>
              <w:bottom w:val="single" w:color="auto" w:sz="6"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lang w:val="en-US" w:eastAsia="zh-CN"/>
              </w:rPr>
              <w:t>相对密度</w:t>
            </w:r>
            <w:r>
              <w:rPr>
                <w:rFonts w:hint="eastAsia" w:cs="Times New Roman"/>
                <w:color w:val="auto"/>
                <w:spacing w:val="10"/>
                <w:sz w:val="21"/>
                <w:szCs w:val="21"/>
                <w:lang w:val="en-US" w:eastAsia="zh-CN"/>
              </w:rPr>
              <w:t>（</w:t>
            </w:r>
            <w:r>
              <w:rPr>
                <w:rFonts w:hint="default" w:ascii="Times New Roman" w:hAnsi="Times New Roman" w:eastAsia="宋体" w:cs="Times New Roman"/>
                <w:color w:val="auto"/>
                <w:spacing w:val="10"/>
                <w:sz w:val="21"/>
                <w:szCs w:val="21"/>
                <w:lang w:val="en-US" w:eastAsia="zh-CN"/>
              </w:rPr>
              <w:t>水=1</w:t>
            </w:r>
            <w:r>
              <w:rPr>
                <w:rFonts w:hint="eastAsia" w:cs="Times New Roman"/>
                <w:color w:val="auto"/>
                <w:spacing w:val="10"/>
                <w:sz w:val="21"/>
                <w:szCs w:val="21"/>
                <w:lang w:val="en-US" w:eastAsia="zh-CN"/>
              </w:rPr>
              <w:t>）</w:t>
            </w:r>
          </w:p>
        </w:tc>
        <w:tc>
          <w:tcPr>
            <w:tcW w:w="612" w:type="dxa"/>
            <w:tcBorders>
              <w:top w:val="single" w:color="auto" w:sz="6" w:space="0"/>
              <w:left w:val="single" w:color="auto" w:sz="4" w:space="0"/>
              <w:bottom w:val="single" w:color="auto" w:sz="6"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lang w:val="en-US" w:eastAsia="zh-CN"/>
              </w:rPr>
            </w:pPr>
            <w:r>
              <w:rPr>
                <w:rFonts w:hint="eastAsia" w:cs="Times New Roman"/>
                <w:color w:val="auto"/>
                <w:spacing w:val="10"/>
                <w:sz w:val="21"/>
                <w:szCs w:val="21"/>
                <w:lang w:val="en-US" w:eastAsia="zh-CN"/>
              </w:rPr>
              <w:t>1.1</w:t>
            </w:r>
          </w:p>
        </w:tc>
        <w:tc>
          <w:tcPr>
            <w:tcW w:w="2084" w:type="dxa"/>
            <w:gridSpan w:val="6"/>
            <w:tcBorders>
              <w:top w:val="single" w:color="auto" w:sz="6" w:space="0"/>
              <w:left w:val="single" w:color="auto" w:sz="4" w:space="0"/>
              <w:bottom w:val="single" w:color="auto" w:sz="6"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lang w:val="en-US" w:eastAsia="zh-CN"/>
              </w:rPr>
              <w:t>相对密度</w:t>
            </w:r>
            <w:r>
              <w:rPr>
                <w:rFonts w:hint="eastAsia" w:cs="Times New Roman"/>
                <w:color w:val="auto"/>
                <w:spacing w:val="10"/>
                <w:sz w:val="21"/>
                <w:szCs w:val="21"/>
                <w:lang w:val="en-US" w:eastAsia="zh-CN"/>
              </w:rPr>
              <w:t>（</w:t>
            </w:r>
            <w:r>
              <w:rPr>
                <w:rFonts w:hint="default" w:ascii="Times New Roman" w:hAnsi="Times New Roman" w:eastAsia="宋体" w:cs="Times New Roman"/>
                <w:color w:val="auto"/>
                <w:spacing w:val="10"/>
                <w:sz w:val="21"/>
                <w:szCs w:val="21"/>
                <w:lang w:val="en-US" w:eastAsia="zh-CN"/>
              </w:rPr>
              <w:t>空气=1</w:t>
            </w:r>
            <w:r>
              <w:rPr>
                <w:rFonts w:hint="eastAsia" w:cs="Times New Roman"/>
                <w:color w:val="auto"/>
                <w:spacing w:val="10"/>
                <w:sz w:val="21"/>
                <w:szCs w:val="21"/>
                <w:lang w:val="en-US" w:eastAsia="zh-CN"/>
              </w:rPr>
              <w:t>）</w:t>
            </w:r>
          </w:p>
        </w:tc>
        <w:tc>
          <w:tcPr>
            <w:tcW w:w="734" w:type="dxa"/>
            <w:tcBorders>
              <w:top w:val="single" w:color="auto" w:sz="6" w:space="0"/>
              <w:left w:val="single" w:color="auto" w:sz="4"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lang w:val="en-US" w:eastAsia="zh-CN"/>
              </w:rPr>
            </w:pPr>
            <w:r>
              <w:rPr>
                <w:rFonts w:hint="eastAsia" w:cs="Times New Roman"/>
                <w:color w:val="auto"/>
                <w:spacing w:val="10"/>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60" w:hRule="atLeast"/>
          <w:jc w:val="center"/>
        </w:trPr>
        <w:tc>
          <w:tcPr>
            <w:tcW w:w="834" w:type="dxa"/>
            <w:vMerge w:val="continue"/>
            <w:tcBorders>
              <w:left w:val="single" w:color="auto" w:sz="6" w:space="0"/>
              <w:right w:val="single" w:color="auto" w:sz="6" w:space="0"/>
            </w:tcBorders>
            <w:noWrap w:val="0"/>
            <w:vAlign w:val="center"/>
          </w:tcPr>
          <w:p>
            <w:pPr>
              <w:widowControl/>
              <w:spacing w:line="360" w:lineRule="exact"/>
              <w:ind w:firstLine="0" w:firstLineChars="0"/>
              <w:jc w:val="center"/>
              <w:rPr>
                <w:rFonts w:hint="default" w:ascii="Times New Roman" w:hAnsi="Times New Roman" w:eastAsia="宋体" w:cs="Times New Roman"/>
                <w:color w:val="auto"/>
                <w:spacing w:val="10"/>
                <w:sz w:val="21"/>
                <w:szCs w:val="21"/>
              </w:rPr>
            </w:pPr>
          </w:p>
        </w:tc>
        <w:tc>
          <w:tcPr>
            <w:tcW w:w="1950"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沸点（℃）</w:t>
            </w:r>
          </w:p>
        </w:tc>
        <w:tc>
          <w:tcPr>
            <w:tcW w:w="1857" w:type="dxa"/>
            <w:gridSpan w:val="3"/>
            <w:tcBorders>
              <w:top w:val="single" w:color="auto" w:sz="6" w:space="0"/>
              <w:left w:val="single" w:color="auto" w:sz="6" w:space="0"/>
              <w:bottom w:val="single" w:color="auto" w:sz="6"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lang w:val="en-US" w:eastAsia="zh-CN"/>
              </w:rPr>
            </w:pPr>
            <w:r>
              <w:rPr>
                <w:rFonts w:hint="eastAsia" w:cs="Times New Roman"/>
                <w:color w:val="auto"/>
                <w:spacing w:val="10"/>
                <w:sz w:val="21"/>
                <w:szCs w:val="21"/>
                <w:lang w:val="en-US" w:eastAsia="zh-CN"/>
              </w:rPr>
              <w:t>102.2</w:t>
            </w:r>
          </w:p>
        </w:tc>
        <w:tc>
          <w:tcPr>
            <w:tcW w:w="2758" w:type="dxa"/>
            <w:gridSpan w:val="8"/>
            <w:tcBorders>
              <w:top w:val="single" w:color="auto" w:sz="6" w:space="0"/>
              <w:left w:val="single" w:color="auto" w:sz="4" w:space="0"/>
              <w:bottom w:val="single" w:color="auto" w:sz="6" w:space="0"/>
              <w:right w:val="single" w:color="auto" w:sz="4" w:space="0"/>
            </w:tcBorders>
            <w:noWrap w:val="0"/>
            <w:vAlign w:val="center"/>
          </w:tcPr>
          <w:p>
            <w:pPr>
              <w:spacing w:line="360" w:lineRule="exact"/>
              <w:ind w:firstLine="0" w:firstLineChars="0"/>
              <w:jc w:val="center"/>
              <w:rPr>
                <w:rFonts w:hint="eastAsia" w:cs="Times New Roman"/>
                <w:color w:val="auto"/>
                <w:spacing w:val="10"/>
                <w:sz w:val="21"/>
                <w:szCs w:val="21"/>
                <w:lang w:val="en-US" w:eastAsia="zh-CN"/>
              </w:rPr>
            </w:pPr>
            <w:r>
              <w:rPr>
                <w:rFonts w:hint="eastAsia" w:cs="Times New Roman"/>
                <w:color w:val="auto"/>
                <w:spacing w:val="10"/>
                <w:sz w:val="21"/>
                <w:szCs w:val="21"/>
                <w:lang w:val="en-US" w:eastAsia="zh-CN"/>
              </w:rPr>
              <w:t>饱和蒸汽压（kPa）</w:t>
            </w:r>
          </w:p>
        </w:tc>
        <w:tc>
          <w:tcPr>
            <w:tcW w:w="1780" w:type="dxa"/>
            <w:gridSpan w:val="3"/>
            <w:tcBorders>
              <w:top w:val="single" w:color="auto" w:sz="6" w:space="0"/>
              <w:left w:val="single" w:color="auto" w:sz="4" w:space="0"/>
              <w:bottom w:val="single" w:color="auto" w:sz="6" w:space="0"/>
              <w:right w:val="single" w:color="auto" w:sz="6" w:space="0"/>
            </w:tcBorders>
            <w:noWrap w:val="0"/>
            <w:vAlign w:val="center"/>
          </w:tcPr>
          <w:p>
            <w:pPr>
              <w:spacing w:line="360" w:lineRule="exact"/>
              <w:ind w:firstLine="0" w:firstLineChars="0"/>
              <w:jc w:val="center"/>
              <w:rPr>
                <w:rFonts w:hint="eastAsia" w:cs="Times New Roman"/>
                <w:color w:val="auto"/>
                <w:spacing w:val="10"/>
                <w:sz w:val="21"/>
                <w:szCs w:val="21"/>
                <w:lang w:val="en-US" w:eastAsia="zh-CN"/>
              </w:rPr>
            </w:pPr>
            <w:r>
              <w:rPr>
                <w:rFonts w:hint="eastAsia" w:cs="Times New Roman"/>
                <w:color w:val="auto"/>
                <w:spacing w:val="10"/>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78" w:hRule="atLeast"/>
          <w:jc w:val="center"/>
        </w:trPr>
        <w:tc>
          <w:tcPr>
            <w:tcW w:w="834" w:type="dxa"/>
            <w:vMerge w:val="continue"/>
            <w:tcBorders>
              <w:left w:val="single" w:color="auto" w:sz="6" w:space="0"/>
              <w:right w:val="single" w:color="auto" w:sz="6" w:space="0"/>
            </w:tcBorders>
            <w:noWrap w:val="0"/>
            <w:vAlign w:val="center"/>
          </w:tcPr>
          <w:p>
            <w:pPr>
              <w:widowControl/>
              <w:spacing w:line="360" w:lineRule="exact"/>
              <w:ind w:firstLine="0" w:firstLineChars="0"/>
              <w:jc w:val="center"/>
              <w:rPr>
                <w:rFonts w:hint="default" w:ascii="Times New Roman" w:hAnsi="Times New Roman" w:eastAsia="宋体" w:cs="Times New Roman"/>
                <w:color w:val="auto"/>
                <w:spacing w:val="10"/>
                <w:sz w:val="21"/>
                <w:szCs w:val="21"/>
              </w:rPr>
            </w:pPr>
          </w:p>
        </w:tc>
        <w:tc>
          <w:tcPr>
            <w:tcW w:w="1950" w:type="dxa"/>
            <w:tcBorders>
              <w:top w:val="single" w:color="auto" w:sz="6" w:space="0"/>
              <w:left w:val="single" w:color="auto" w:sz="6"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溶解性</w:t>
            </w:r>
          </w:p>
        </w:tc>
        <w:tc>
          <w:tcPr>
            <w:tcW w:w="6395" w:type="dxa"/>
            <w:gridSpan w:val="14"/>
            <w:tcBorders>
              <w:top w:val="single" w:color="auto" w:sz="6" w:space="0"/>
              <w:left w:val="single" w:color="auto" w:sz="6" w:space="0"/>
              <w:bottom w:val="single" w:color="auto" w:sz="6" w:space="0"/>
              <w:right w:val="single" w:color="auto" w:sz="6" w:space="0"/>
            </w:tcBorders>
            <w:noWrap w:val="0"/>
            <w:vAlign w:val="center"/>
          </w:tcPr>
          <w:p>
            <w:pPr>
              <w:spacing w:line="3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溶于水</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371" w:hRule="atLeast"/>
          <w:jc w:val="center"/>
        </w:trPr>
        <w:tc>
          <w:tcPr>
            <w:tcW w:w="834" w:type="dxa"/>
            <w:vMerge w:val="restart"/>
            <w:tcBorders>
              <w:top w:val="single" w:color="auto" w:sz="6" w:space="0"/>
              <w:left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rPr>
              <w:t>毒性</w:t>
            </w:r>
            <w:r>
              <w:rPr>
                <w:rFonts w:hint="eastAsia" w:cs="Times New Roman"/>
                <w:color w:val="auto"/>
                <w:spacing w:val="10"/>
                <w:sz w:val="21"/>
                <w:szCs w:val="21"/>
                <w:lang w:val="en-US" w:eastAsia="zh-CN"/>
              </w:rPr>
              <w:t>及健康危害</w:t>
            </w:r>
          </w:p>
        </w:tc>
        <w:tc>
          <w:tcPr>
            <w:tcW w:w="1950" w:type="dxa"/>
            <w:tcBorders>
              <w:top w:val="single" w:color="auto" w:sz="6" w:space="0"/>
              <w:left w:val="single" w:color="auto" w:sz="6" w:space="0"/>
              <w:bottom w:val="single" w:color="auto" w:sz="4"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侵入途径</w:t>
            </w:r>
          </w:p>
        </w:tc>
        <w:tc>
          <w:tcPr>
            <w:tcW w:w="6395" w:type="dxa"/>
            <w:gridSpan w:val="14"/>
            <w:tcBorders>
              <w:top w:val="single" w:color="auto" w:sz="6" w:space="0"/>
              <w:left w:val="single" w:color="auto" w:sz="4" w:space="0"/>
              <w:bottom w:val="single" w:color="auto" w:sz="4"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吸入、食入、经皮吸收</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47" w:hRule="atLeast"/>
          <w:jc w:val="center"/>
        </w:trPr>
        <w:tc>
          <w:tcPr>
            <w:tcW w:w="834" w:type="dxa"/>
            <w:vMerge w:val="continue"/>
            <w:tcBorders>
              <w:left w:val="single" w:color="auto" w:sz="6" w:space="0"/>
              <w:bottom w:val="single" w:color="auto" w:sz="4"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p>
        </w:tc>
        <w:tc>
          <w:tcPr>
            <w:tcW w:w="1950" w:type="dxa"/>
            <w:tcBorders>
              <w:top w:val="single" w:color="auto" w:sz="4" w:space="0"/>
              <w:left w:val="single" w:color="auto" w:sz="6" w:space="0"/>
              <w:bottom w:val="single" w:color="auto" w:sz="4"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毒性</w:t>
            </w:r>
          </w:p>
        </w:tc>
        <w:tc>
          <w:tcPr>
            <w:tcW w:w="6395" w:type="dxa"/>
            <w:gridSpan w:val="14"/>
            <w:tcBorders>
              <w:top w:val="single" w:color="auto" w:sz="4" w:space="0"/>
              <w:left w:val="single" w:color="auto" w:sz="4" w:space="0"/>
              <w:bottom w:val="single" w:color="auto" w:sz="4"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LD</w:t>
            </w:r>
            <w:r>
              <w:rPr>
                <w:rFonts w:hint="eastAsia" w:cs="Times New Roman"/>
                <w:color w:val="auto"/>
                <w:spacing w:val="10"/>
                <w:sz w:val="21"/>
                <w:szCs w:val="21"/>
                <w:vertAlign w:val="subscript"/>
                <w:lang w:val="en-US" w:eastAsia="zh-CN"/>
              </w:rPr>
              <w:t>5</w:t>
            </w:r>
            <w:r>
              <w:rPr>
                <w:rFonts w:hint="eastAsia" w:cs="Times New Roman"/>
                <w:color w:val="auto"/>
                <w:spacing w:val="10"/>
                <w:sz w:val="21"/>
                <w:szCs w:val="21"/>
                <w:lang w:val="en-US" w:eastAsia="zh-CN"/>
              </w:rPr>
              <w:t>o</w:t>
            </w:r>
            <w:r>
              <w:rPr>
                <w:rFonts w:hint="eastAsia" w:cs="Times New Roman"/>
                <w:color w:val="auto"/>
                <w:spacing w:val="10"/>
                <w:sz w:val="21"/>
                <w:szCs w:val="21"/>
                <w:lang w:eastAsia="zh-CN"/>
              </w:rPr>
              <w:t>：</w:t>
            </w:r>
            <w:r>
              <w:rPr>
                <w:rFonts w:hint="default" w:ascii="Times New Roman" w:hAnsi="Times New Roman" w:eastAsia="宋体" w:cs="Times New Roman"/>
                <w:color w:val="auto"/>
                <w:spacing w:val="10"/>
                <w:sz w:val="21"/>
                <w:szCs w:val="21"/>
              </w:rPr>
              <w:t>5800mg/kg</w:t>
            </w:r>
            <w:r>
              <w:rPr>
                <w:rFonts w:hint="eastAsia" w:cs="Times New Roman"/>
                <w:color w:val="auto"/>
                <w:spacing w:val="10"/>
                <w:sz w:val="21"/>
                <w:szCs w:val="21"/>
                <w:lang w:val="en-US" w:eastAsia="zh-CN"/>
              </w:rPr>
              <w:t>（</w:t>
            </w:r>
            <w:r>
              <w:rPr>
                <w:rFonts w:hint="default" w:ascii="Times New Roman" w:hAnsi="Times New Roman" w:eastAsia="宋体" w:cs="Times New Roman"/>
                <w:color w:val="auto"/>
                <w:spacing w:val="10"/>
                <w:sz w:val="21"/>
                <w:szCs w:val="21"/>
              </w:rPr>
              <w:t>小鼠经口</w:t>
            </w:r>
            <w:r>
              <w:rPr>
                <w:rFonts w:hint="eastAsia" w:cs="Times New Roman"/>
                <w:color w:val="auto"/>
                <w:spacing w:val="10"/>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359" w:hRule="atLeast"/>
          <w:jc w:val="center"/>
        </w:trPr>
        <w:tc>
          <w:tcPr>
            <w:tcW w:w="834" w:type="dxa"/>
            <w:vMerge w:val="continue"/>
            <w:tcBorders>
              <w:left w:val="single" w:color="auto" w:sz="6" w:space="0"/>
              <w:bottom w:val="single" w:color="auto" w:sz="4"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p>
        </w:tc>
        <w:tc>
          <w:tcPr>
            <w:tcW w:w="1950" w:type="dxa"/>
            <w:tcBorders>
              <w:top w:val="single" w:color="auto" w:sz="4" w:space="0"/>
              <w:left w:val="single" w:color="auto" w:sz="6" w:space="0"/>
              <w:bottom w:val="single" w:color="auto" w:sz="4"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健康危害</w:t>
            </w:r>
          </w:p>
        </w:tc>
        <w:tc>
          <w:tcPr>
            <w:tcW w:w="6395" w:type="dxa"/>
            <w:gridSpan w:val="14"/>
            <w:tcBorders>
              <w:top w:val="single" w:color="auto" w:sz="4" w:space="0"/>
              <w:left w:val="single" w:color="auto" w:sz="4" w:space="0"/>
              <w:bottom w:val="single" w:color="auto" w:sz="4"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次氯酸钠放出的游离氯可引起中毒，也可引起皮肤病。已知本品有致敏作用。用次氯酸钠漂白液洗手的工人，手掌大量出汗，指甲变薄，毛发脱落</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98" w:hRule="atLeast"/>
          <w:jc w:val="center"/>
        </w:trPr>
        <w:tc>
          <w:tcPr>
            <w:tcW w:w="834" w:type="dxa"/>
            <w:vMerge w:val="continue"/>
            <w:tcBorders>
              <w:left w:val="single" w:color="auto" w:sz="6" w:space="0"/>
              <w:bottom w:val="single" w:color="auto" w:sz="4"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p>
        </w:tc>
        <w:tc>
          <w:tcPr>
            <w:tcW w:w="1950" w:type="dxa"/>
            <w:tcBorders>
              <w:top w:val="single" w:color="auto" w:sz="4" w:space="0"/>
              <w:left w:val="single" w:color="auto" w:sz="6"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急救方法</w:t>
            </w:r>
          </w:p>
        </w:tc>
        <w:tc>
          <w:tcPr>
            <w:tcW w:w="6395" w:type="dxa"/>
            <w:gridSpan w:val="14"/>
            <w:tcBorders>
              <w:top w:val="single" w:color="auto" w:sz="4" w:space="0"/>
              <w:left w:val="single" w:color="auto" w:sz="4"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皮肤接触</w:t>
            </w:r>
            <w:r>
              <w:rPr>
                <w:rFonts w:hint="eastAsia" w:cs="Times New Roman"/>
                <w:color w:val="auto"/>
                <w:spacing w:val="10"/>
                <w:sz w:val="21"/>
                <w:szCs w:val="21"/>
                <w:lang w:eastAsia="zh-CN"/>
              </w:rPr>
              <w:t>：</w:t>
            </w:r>
            <w:r>
              <w:rPr>
                <w:rFonts w:hint="default" w:ascii="Times New Roman" w:hAnsi="Times New Roman" w:eastAsia="宋体" w:cs="Times New Roman"/>
                <w:color w:val="auto"/>
                <w:spacing w:val="10"/>
                <w:sz w:val="21"/>
                <w:szCs w:val="21"/>
              </w:rPr>
              <w:t>脱去被污染的衣着，用大量流动清水冲洗。</w:t>
            </w:r>
          </w:p>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眼睛接触</w:t>
            </w:r>
            <w:r>
              <w:rPr>
                <w:rFonts w:hint="eastAsia" w:cs="Times New Roman"/>
                <w:color w:val="auto"/>
                <w:spacing w:val="10"/>
                <w:sz w:val="21"/>
                <w:szCs w:val="21"/>
                <w:lang w:eastAsia="zh-CN"/>
              </w:rPr>
              <w:t>：</w:t>
            </w:r>
            <w:r>
              <w:rPr>
                <w:rFonts w:hint="default" w:ascii="Times New Roman" w:hAnsi="Times New Roman" w:eastAsia="宋体" w:cs="Times New Roman"/>
                <w:color w:val="auto"/>
                <w:spacing w:val="10"/>
                <w:sz w:val="21"/>
                <w:szCs w:val="21"/>
              </w:rPr>
              <w:t>提起眼脸，用流动清水或生理盐水冲洗，就医。</w:t>
            </w:r>
          </w:p>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吸入</w:t>
            </w:r>
            <w:r>
              <w:rPr>
                <w:rFonts w:hint="eastAsia" w:cs="Times New Roman"/>
                <w:color w:val="auto"/>
                <w:spacing w:val="10"/>
                <w:sz w:val="21"/>
                <w:szCs w:val="21"/>
                <w:lang w:eastAsia="zh-CN"/>
              </w:rPr>
              <w:t>：</w:t>
            </w:r>
            <w:r>
              <w:rPr>
                <w:rFonts w:hint="default" w:ascii="Times New Roman" w:hAnsi="Times New Roman" w:eastAsia="宋体" w:cs="Times New Roman"/>
                <w:color w:val="auto"/>
                <w:spacing w:val="10"/>
                <w:sz w:val="21"/>
                <w:szCs w:val="21"/>
              </w:rPr>
              <w:t>迅速脱离现场至空气新鲜处，保持呼吸道通畅，如呼吸困难，给输氧。如呼吸停止，立即进行人工呼吸，就医。</w:t>
            </w:r>
          </w:p>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食入</w:t>
            </w:r>
            <w:r>
              <w:rPr>
                <w:rFonts w:hint="eastAsia" w:cs="Times New Roman"/>
                <w:color w:val="auto"/>
                <w:spacing w:val="10"/>
                <w:sz w:val="21"/>
                <w:szCs w:val="21"/>
                <w:lang w:eastAsia="zh-CN"/>
              </w:rPr>
              <w:t>：</w:t>
            </w:r>
            <w:r>
              <w:rPr>
                <w:rFonts w:hint="default" w:ascii="Times New Roman" w:hAnsi="Times New Roman" w:eastAsia="宋体" w:cs="Times New Roman"/>
                <w:color w:val="auto"/>
                <w:spacing w:val="10"/>
                <w:sz w:val="21"/>
                <w:szCs w:val="21"/>
              </w:rPr>
              <w:t>饮足量温水，催吐，就医。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58" w:hRule="atLeast"/>
          <w:jc w:val="center"/>
        </w:trPr>
        <w:tc>
          <w:tcPr>
            <w:tcW w:w="834" w:type="dxa"/>
            <w:vMerge w:val="restart"/>
            <w:tcBorders>
              <w:top w:val="single" w:color="auto" w:sz="4" w:space="0"/>
              <w:left w:val="single" w:color="auto" w:sz="6" w:space="0"/>
              <w:right w:val="single" w:color="auto" w:sz="6" w:space="0"/>
            </w:tcBorders>
            <w:noWrap w:val="0"/>
            <w:vAlign w:val="center"/>
          </w:tcPr>
          <w:p>
            <w:pPr>
              <w:widowControl/>
              <w:spacing w:line="360" w:lineRule="exact"/>
              <w:ind w:firstLine="0" w:firstLineChars="0"/>
              <w:jc w:val="center"/>
              <w:rPr>
                <w:rFonts w:hint="default" w:ascii="Times New Roman" w:hAnsi="Times New Roman" w:eastAsia="宋体" w:cs="Times New Roman"/>
                <w:color w:val="auto"/>
                <w:spacing w:val="10"/>
                <w:sz w:val="21"/>
                <w:szCs w:val="21"/>
                <w:lang w:val="en-US" w:eastAsia="zh-CN"/>
              </w:rPr>
            </w:pPr>
            <w:r>
              <w:rPr>
                <w:rFonts w:hint="eastAsia" w:cs="Times New Roman"/>
                <w:color w:val="auto"/>
                <w:spacing w:val="10"/>
                <w:sz w:val="21"/>
                <w:szCs w:val="21"/>
                <w:lang w:val="en-US" w:eastAsia="zh-CN"/>
              </w:rPr>
              <w:t>燃烧爆炸危险性</w:t>
            </w:r>
          </w:p>
        </w:tc>
        <w:tc>
          <w:tcPr>
            <w:tcW w:w="1950" w:type="dxa"/>
            <w:tcBorders>
              <w:top w:val="single" w:color="auto" w:sz="6" w:space="0"/>
              <w:left w:val="single" w:color="auto" w:sz="6" w:space="0"/>
              <w:bottom w:val="single" w:color="auto" w:sz="4"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燃烧性</w:t>
            </w:r>
          </w:p>
        </w:tc>
        <w:tc>
          <w:tcPr>
            <w:tcW w:w="2488" w:type="dxa"/>
            <w:gridSpan w:val="4"/>
            <w:tcBorders>
              <w:top w:val="single" w:color="auto" w:sz="6" w:space="0"/>
              <w:left w:val="single" w:color="auto" w:sz="4" w:space="0"/>
              <w:bottom w:val="single" w:color="auto" w:sz="4"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不燃</w:t>
            </w:r>
          </w:p>
        </w:tc>
        <w:tc>
          <w:tcPr>
            <w:tcW w:w="1857" w:type="dxa"/>
            <w:gridSpan w:val="6"/>
            <w:tcBorders>
              <w:top w:val="single" w:color="auto" w:sz="6" w:space="0"/>
              <w:left w:val="single" w:color="auto" w:sz="4" w:space="0"/>
              <w:bottom w:val="single" w:color="auto" w:sz="4"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燃烧分解物</w:t>
            </w:r>
          </w:p>
        </w:tc>
        <w:tc>
          <w:tcPr>
            <w:tcW w:w="2050" w:type="dxa"/>
            <w:gridSpan w:val="4"/>
            <w:tcBorders>
              <w:top w:val="single" w:color="auto" w:sz="6" w:space="0"/>
              <w:left w:val="single" w:color="auto" w:sz="4" w:space="0"/>
              <w:bottom w:val="single" w:color="auto" w:sz="4"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氯化物</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834" w:type="dxa"/>
            <w:vMerge w:val="continue"/>
            <w:tcBorders>
              <w:left w:val="single" w:color="auto" w:sz="6" w:space="0"/>
              <w:right w:val="single" w:color="auto" w:sz="6" w:space="0"/>
            </w:tcBorders>
            <w:noWrap w:val="0"/>
            <w:vAlign w:val="center"/>
          </w:tcPr>
          <w:p>
            <w:pPr>
              <w:widowControl/>
              <w:spacing w:line="360" w:lineRule="exact"/>
              <w:ind w:firstLine="0" w:firstLineChars="0"/>
              <w:jc w:val="center"/>
              <w:rPr>
                <w:rFonts w:hint="eastAsia" w:cs="Times New Roman"/>
                <w:color w:val="auto"/>
                <w:spacing w:val="10"/>
                <w:sz w:val="21"/>
                <w:szCs w:val="21"/>
                <w:lang w:val="en-US" w:eastAsia="zh-CN"/>
              </w:rPr>
            </w:pPr>
          </w:p>
        </w:tc>
        <w:tc>
          <w:tcPr>
            <w:tcW w:w="1950" w:type="dxa"/>
            <w:tcBorders>
              <w:top w:val="single" w:color="auto" w:sz="4" w:space="0"/>
              <w:left w:val="single" w:color="auto" w:sz="6" w:space="0"/>
              <w:bottom w:val="single" w:color="auto" w:sz="4"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闪点</w:t>
            </w:r>
            <w:r>
              <w:rPr>
                <w:rFonts w:hint="eastAsia" w:ascii="宋体" w:hAnsi="宋体" w:eastAsia="宋体" w:cs="宋体"/>
                <w:color w:val="auto"/>
                <w:spacing w:val="10"/>
                <w:sz w:val="21"/>
                <w:szCs w:val="21"/>
              </w:rPr>
              <w:t>(</w:t>
            </w:r>
            <w:r>
              <w:rPr>
                <w:rFonts w:hint="default" w:ascii="Times New Roman" w:hAnsi="Times New Roman" w:eastAsia="宋体" w:cs="Times New Roman"/>
                <w:color w:val="auto"/>
                <w:spacing w:val="10"/>
                <w:sz w:val="21"/>
                <w:szCs w:val="21"/>
              </w:rPr>
              <w:t>℃</w:t>
            </w:r>
            <w:r>
              <w:rPr>
                <w:rFonts w:hint="eastAsia" w:ascii="宋体" w:hAnsi="宋体" w:eastAsia="宋体" w:cs="宋体"/>
                <w:color w:val="auto"/>
                <w:spacing w:val="10"/>
                <w:sz w:val="21"/>
                <w:szCs w:val="21"/>
              </w:rPr>
              <w:t>)</w:t>
            </w:r>
          </w:p>
        </w:tc>
        <w:tc>
          <w:tcPr>
            <w:tcW w:w="2488" w:type="dxa"/>
            <w:gridSpan w:val="4"/>
            <w:tcBorders>
              <w:top w:val="single" w:color="auto" w:sz="4" w:space="0"/>
              <w:left w:val="single" w:color="auto" w:sz="4" w:space="0"/>
              <w:bottom w:val="single" w:color="auto" w:sz="4"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eastAsia" w:cs="Times New Roman"/>
                <w:color w:val="auto"/>
                <w:spacing w:val="10"/>
                <w:sz w:val="21"/>
                <w:szCs w:val="21"/>
                <w:lang w:val="en-US" w:eastAsia="zh-CN"/>
              </w:rPr>
              <w:t>/</w:t>
            </w:r>
          </w:p>
        </w:tc>
        <w:tc>
          <w:tcPr>
            <w:tcW w:w="1857" w:type="dxa"/>
            <w:gridSpan w:val="6"/>
            <w:tcBorders>
              <w:top w:val="single" w:color="auto" w:sz="4" w:space="0"/>
              <w:left w:val="single" w:color="auto" w:sz="4" w:space="0"/>
              <w:bottom w:val="single" w:color="auto" w:sz="4"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爆炸上限</w:t>
            </w:r>
            <w:r>
              <w:rPr>
                <w:rFonts w:hint="eastAsia" w:ascii="宋体" w:hAnsi="宋体" w:eastAsia="宋体" w:cs="宋体"/>
                <w:color w:val="auto"/>
                <w:spacing w:val="10"/>
                <w:sz w:val="21"/>
                <w:szCs w:val="21"/>
              </w:rPr>
              <w:t>(</w:t>
            </w:r>
            <w:r>
              <w:rPr>
                <w:rFonts w:hint="default" w:ascii="Times New Roman" w:hAnsi="Times New Roman" w:eastAsia="宋体" w:cs="Times New Roman"/>
                <w:color w:val="auto"/>
                <w:spacing w:val="10"/>
                <w:sz w:val="21"/>
                <w:szCs w:val="21"/>
              </w:rPr>
              <w:t>V%</w:t>
            </w:r>
            <w:r>
              <w:rPr>
                <w:rFonts w:hint="eastAsia" w:ascii="宋体" w:hAnsi="宋体" w:eastAsia="宋体" w:cs="宋体"/>
                <w:color w:val="auto"/>
                <w:spacing w:val="10"/>
                <w:sz w:val="21"/>
                <w:szCs w:val="21"/>
              </w:rPr>
              <w:t>)</w:t>
            </w:r>
          </w:p>
        </w:tc>
        <w:tc>
          <w:tcPr>
            <w:tcW w:w="2050" w:type="dxa"/>
            <w:gridSpan w:val="4"/>
            <w:tcBorders>
              <w:top w:val="single" w:color="auto" w:sz="4" w:space="0"/>
              <w:left w:val="single" w:color="auto" w:sz="4" w:space="0"/>
              <w:bottom w:val="single" w:color="auto" w:sz="4"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eastAsia" w:cs="Times New Roman"/>
                <w:color w:val="auto"/>
                <w:spacing w:val="10"/>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63" w:hRule="atLeast"/>
          <w:jc w:val="center"/>
        </w:trPr>
        <w:tc>
          <w:tcPr>
            <w:tcW w:w="834" w:type="dxa"/>
            <w:vMerge w:val="continue"/>
            <w:tcBorders>
              <w:left w:val="single" w:color="auto" w:sz="6" w:space="0"/>
              <w:right w:val="single" w:color="auto" w:sz="6" w:space="0"/>
            </w:tcBorders>
            <w:noWrap w:val="0"/>
            <w:vAlign w:val="center"/>
          </w:tcPr>
          <w:p>
            <w:pPr>
              <w:widowControl/>
              <w:spacing w:line="360" w:lineRule="exact"/>
              <w:ind w:firstLine="0" w:firstLineChars="0"/>
              <w:jc w:val="center"/>
              <w:rPr>
                <w:rFonts w:hint="eastAsia" w:cs="Times New Roman"/>
                <w:color w:val="auto"/>
                <w:spacing w:val="10"/>
                <w:sz w:val="21"/>
                <w:szCs w:val="21"/>
                <w:lang w:val="en-US" w:eastAsia="zh-CN"/>
              </w:rPr>
            </w:pPr>
          </w:p>
        </w:tc>
        <w:tc>
          <w:tcPr>
            <w:tcW w:w="1950" w:type="dxa"/>
            <w:tcBorders>
              <w:top w:val="single" w:color="auto" w:sz="4" w:space="0"/>
              <w:left w:val="single" w:color="auto" w:sz="6" w:space="0"/>
              <w:bottom w:val="single" w:color="auto" w:sz="4"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引燃温度</w:t>
            </w:r>
            <w:r>
              <w:rPr>
                <w:rFonts w:hint="eastAsia" w:ascii="宋体" w:hAnsi="宋体" w:eastAsia="宋体" w:cs="宋体"/>
                <w:color w:val="auto"/>
                <w:spacing w:val="10"/>
                <w:sz w:val="21"/>
                <w:szCs w:val="21"/>
              </w:rPr>
              <w:t>(</w:t>
            </w:r>
            <w:r>
              <w:rPr>
                <w:rFonts w:hint="default" w:ascii="Times New Roman" w:hAnsi="Times New Roman" w:eastAsia="宋体" w:cs="Times New Roman"/>
                <w:color w:val="auto"/>
                <w:spacing w:val="10"/>
                <w:sz w:val="21"/>
                <w:szCs w:val="21"/>
              </w:rPr>
              <w:t>℃</w:t>
            </w:r>
            <w:r>
              <w:rPr>
                <w:rFonts w:hint="eastAsia" w:ascii="宋体" w:hAnsi="宋体" w:eastAsia="宋体" w:cs="宋体"/>
                <w:color w:val="auto"/>
                <w:spacing w:val="10"/>
                <w:sz w:val="21"/>
                <w:szCs w:val="21"/>
              </w:rPr>
              <w:t>)</w:t>
            </w:r>
          </w:p>
        </w:tc>
        <w:tc>
          <w:tcPr>
            <w:tcW w:w="2488" w:type="dxa"/>
            <w:gridSpan w:val="4"/>
            <w:tcBorders>
              <w:top w:val="single" w:color="auto" w:sz="4" w:space="0"/>
              <w:left w:val="single" w:color="auto" w:sz="4" w:space="0"/>
              <w:bottom w:val="single" w:color="auto" w:sz="4"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eastAsia" w:cs="Times New Roman"/>
                <w:color w:val="auto"/>
                <w:spacing w:val="10"/>
                <w:sz w:val="21"/>
                <w:szCs w:val="21"/>
                <w:lang w:val="en-US" w:eastAsia="zh-CN"/>
              </w:rPr>
              <w:t>/</w:t>
            </w:r>
          </w:p>
        </w:tc>
        <w:tc>
          <w:tcPr>
            <w:tcW w:w="1857" w:type="dxa"/>
            <w:gridSpan w:val="6"/>
            <w:tcBorders>
              <w:top w:val="single" w:color="auto" w:sz="4" w:space="0"/>
              <w:left w:val="single" w:color="auto" w:sz="4" w:space="0"/>
              <w:bottom w:val="single" w:color="auto" w:sz="4"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爆炸</w:t>
            </w:r>
            <w:r>
              <w:rPr>
                <w:rFonts w:hint="eastAsia" w:cs="Times New Roman"/>
                <w:color w:val="auto"/>
                <w:spacing w:val="10"/>
                <w:sz w:val="21"/>
                <w:szCs w:val="21"/>
                <w:lang w:val="en-US" w:eastAsia="zh-CN"/>
              </w:rPr>
              <w:t>下</w:t>
            </w:r>
            <w:r>
              <w:rPr>
                <w:rFonts w:hint="default" w:ascii="Times New Roman" w:hAnsi="Times New Roman" w:eastAsia="宋体" w:cs="Times New Roman"/>
                <w:color w:val="auto"/>
                <w:spacing w:val="10"/>
                <w:sz w:val="21"/>
                <w:szCs w:val="21"/>
              </w:rPr>
              <w:t>限</w:t>
            </w:r>
            <w:r>
              <w:rPr>
                <w:rFonts w:hint="eastAsia" w:ascii="宋体" w:hAnsi="宋体" w:eastAsia="宋体" w:cs="宋体"/>
                <w:color w:val="auto"/>
                <w:spacing w:val="10"/>
                <w:sz w:val="21"/>
                <w:szCs w:val="21"/>
              </w:rPr>
              <w:t>(</w:t>
            </w:r>
            <w:r>
              <w:rPr>
                <w:rFonts w:hint="default" w:ascii="Times New Roman" w:hAnsi="Times New Roman" w:eastAsia="宋体" w:cs="Times New Roman"/>
                <w:color w:val="auto"/>
                <w:spacing w:val="10"/>
                <w:sz w:val="21"/>
                <w:szCs w:val="21"/>
              </w:rPr>
              <w:t>V%</w:t>
            </w:r>
            <w:r>
              <w:rPr>
                <w:rFonts w:hint="eastAsia" w:ascii="宋体" w:hAnsi="宋体" w:eastAsia="宋体" w:cs="宋体"/>
                <w:color w:val="auto"/>
                <w:spacing w:val="10"/>
                <w:sz w:val="21"/>
                <w:szCs w:val="21"/>
              </w:rPr>
              <w:t>)</w:t>
            </w:r>
          </w:p>
        </w:tc>
        <w:tc>
          <w:tcPr>
            <w:tcW w:w="2050" w:type="dxa"/>
            <w:gridSpan w:val="4"/>
            <w:tcBorders>
              <w:top w:val="single" w:color="auto" w:sz="4" w:space="0"/>
              <w:left w:val="single" w:color="auto" w:sz="4" w:space="0"/>
              <w:bottom w:val="single" w:color="auto" w:sz="4"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eastAsia" w:cs="Times New Roman"/>
                <w:color w:val="auto"/>
                <w:spacing w:val="10"/>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34" w:type="dxa"/>
            <w:vMerge w:val="continue"/>
            <w:tcBorders>
              <w:left w:val="single" w:color="auto" w:sz="6" w:space="0"/>
              <w:right w:val="single" w:color="auto" w:sz="6" w:space="0"/>
            </w:tcBorders>
            <w:noWrap w:val="0"/>
            <w:vAlign w:val="center"/>
          </w:tcPr>
          <w:p>
            <w:pPr>
              <w:widowControl/>
              <w:spacing w:line="360" w:lineRule="exact"/>
              <w:ind w:firstLine="0" w:firstLineChars="0"/>
              <w:jc w:val="center"/>
              <w:rPr>
                <w:rFonts w:hint="eastAsia" w:cs="Times New Roman"/>
                <w:color w:val="auto"/>
                <w:spacing w:val="10"/>
                <w:sz w:val="21"/>
                <w:szCs w:val="21"/>
                <w:lang w:val="en-US" w:eastAsia="zh-CN"/>
              </w:rPr>
            </w:pPr>
          </w:p>
        </w:tc>
        <w:tc>
          <w:tcPr>
            <w:tcW w:w="1950" w:type="dxa"/>
            <w:tcBorders>
              <w:top w:val="single" w:color="auto" w:sz="4" w:space="0"/>
              <w:left w:val="single" w:color="auto" w:sz="6" w:space="0"/>
              <w:bottom w:val="single" w:color="auto" w:sz="4"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危险特性</w:t>
            </w:r>
          </w:p>
        </w:tc>
        <w:tc>
          <w:tcPr>
            <w:tcW w:w="6395" w:type="dxa"/>
            <w:gridSpan w:val="14"/>
            <w:tcBorders>
              <w:top w:val="single" w:color="auto" w:sz="4" w:space="0"/>
              <w:left w:val="single" w:color="auto" w:sz="4" w:space="0"/>
              <w:bottom w:val="single" w:color="auto" w:sz="4"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与有机物、日光接触发出有毒的氯气。对大多数金属有轻微的腐蚀。与酸接触时散出具有强刺激型和腐蚀性气体。</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86" w:hRule="atLeast"/>
          <w:jc w:val="center"/>
        </w:trPr>
        <w:tc>
          <w:tcPr>
            <w:tcW w:w="834" w:type="dxa"/>
            <w:vMerge w:val="continue"/>
            <w:tcBorders>
              <w:left w:val="single" w:color="auto" w:sz="6" w:space="0"/>
              <w:right w:val="single" w:color="auto" w:sz="6" w:space="0"/>
            </w:tcBorders>
            <w:noWrap w:val="0"/>
            <w:vAlign w:val="center"/>
          </w:tcPr>
          <w:p>
            <w:pPr>
              <w:widowControl/>
              <w:spacing w:line="360" w:lineRule="exact"/>
              <w:ind w:firstLine="0" w:firstLineChars="0"/>
              <w:jc w:val="center"/>
              <w:rPr>
                <w:rFonts w:hint="eastAsia" w:cs="Times New Roman"/>
                <w:color w:val="auto"/>
                <w:spacing w:val="10"/>
                <w:sz w:val="21"/>
                <w:szCs w:val="21"/>
                <w:lang w:val="en-US" w:eastAsia="zh-CN"/>
              </w:rPr>
            </w:pPr>
          </w:p>
        </w:tc>
        <w:tc>
          <w:tcPr>
            <w:tcW w:w="1950" w:type="dxa"/>
            <w:tcBorders>
              <w:top w:val="single" w:color="auto" w:sz="4" w:space="0"/>
              <w:left w:val="single" w:color="auto" w:sz="6" w:space="0"/>
              <w:bottom w:val="single" w:color="auto" w:sz="4"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建规火险分级</w:t>
            </w:r>
          </w:p>
        </w:tc>
        <w:tc>
          <w:tcPr>
            <w:tcW w:w="1426"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戍</w:t>
            </w:r>
          </w:p>
        </w:tc>
        <w:tc>
          <w:tcPr>
            <w:tcW w:w="1188"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稳定性</w:t>
            </w:r>
          </w:p>
        </w:tc>
        <w:tc>
          <w:tcPr>
            <w:tcW w:w="1350"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不稳定</w:t>
            </w:r>
          </w:p>
        </w:tc>
        <w:tc>
          <w:tcPr>
            <w:tcW w:w="1200" w:type="dxa"/>
            <w:gridSpan w:val="4"/>
            <w:tcBorders>
              <w:top w:val="single" w:color="auto" w:sz="4" w:space="0"/>
              <w:left w:val="single" w:color="auto" w:sz="4" w:space="0"/>
              <w:bottom w:val="single" w:color="auto" w:sz="4"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聚合危害</w:t>
            </w:r>
          </w:p>
        </w:tc>
        <w:tc>
          <w:tcPr>
            <w:tcW w:w="1231" w:type="dxa"/>
            <w:gridSpan w:val="2"/>
            <w:tcBorders>
              <w:top w:val="single" w:color="auto" w:sz="4" w:space="0"/>
              <w:left w:val="single" w:color="auto" w:sz="4" w:space="0"/>
              <w:bottom w:val="single" w:color="auto" w:sz="4"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不聚合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556" w:hRule="atLeast"/>
          <w:jc w:val="center"/>
        </w:trPr>
        <w:tc>
          <w:tcPr>
            <w:tcW w:w="834" w:type="dxa"/>
            <w:vMerge w:val="continue"/>
            <w:tcBorders>
              <w:left w:val="single" w:color="auto" w:sz="6" w:space="0"/>
              <w:right w:val="single" w:color="auto" w:sz="6" w:space="0"/>
            </w:tcBorders>
            <w:noWrap w:val="0"/>
            <w:vAlign w:val="center"/>
          </w:tcPr>
          <w:p>
            <w:pPr>
              <w:widowControl/>
              <w:spacing w:line="360" w:lineRule="exact"/>
              <w:ind w:firstLine="0" w:firstLineChars="0"/>
              <w:jc w:val="center"/>
              <w:rPr>
                <w:rFonts w:hint="eastAsia" w:cs="Times New Roman"/>
                <w:color w:val="auto"/>
                <w:spacing w:val="10"/>
                <w:sz w:val="21"/>
                <w:szCs w:val="21"/>
                <w:lang w:val="en-US" w:eastAsia="zh-CN"/>
              </w:rPr>
            </w:pPr>
          </w:p>
        </w:tc>
        <w:tc>
          <w:tcPr>
            <w:tcW w:w="1950" w:type="dxa"/>
            <w:tcBorders>
              <w:top w:val="single" w:color="auto" w:sz="4" w:space="0"/>
              <w:left w:val="single" w:color="auto" w:sz="6" w:space="0"/>
              <w:bottom w:val="single" w:color="auto" w:sz="4"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禁忌物</w:t>
            </w:r>
          </w:p>
        </w:tc>
        <w:tc>
          <w:tcPr>
            <w:tcW w:w="6395" w:type="dxa"/>
            <w:gridSpan w:val="14"/>
            <w:tcBorders>
              <w:top w:val="single" w:color="auto" w:sz="4" w:space="0"/>
              <w:left w:val="single" w:color="auto" w:sz="4" w:space="0"/>
              <w:bottom w:val="single" w:color="auto" w:sz="4"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还原剂、易燃或可燃物、自燃物、酸类、碱类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40" w:hRule="atLeast"/>
          <w:jc w:val="center"/>
        </w:trPr>
        <w:tc>
          <w:tcPr>
            <w:tcW w:w="834" w:type="dxa"/>
            <w:vMerge w:val="continue"/>
            <w:tcBorders>
              <w:left w:val="single" w:color="auto" w:sz="6" w:space="0"/>
              <w:right w:val="single" w:color="auto" w:sz="6" w:space="0"/>
            </w:tcBorders>
            <w:noWrap w:val="0"/>
            <w:vAlign w:val="center"/>
          </w:tcPr>
          <w:p>
            <w:pPr>
              <w:widowControl/>
              <w:spacing w:line="360" w:lineRule="exact"/>
              <w:ind w:firstLine="0" w:firstLineChars="0"/>
              <w:jc w:val="center"/>
              <w:rPr>
                <w:rFonts w:hint="eastAsia" w:cs="Times New Roman"/>
                <w:color w:val="auto"/>
                <w:spacing w:val="10"/>
                <w:sz w:val="21"/>
                <w:szCs w:val="21"/>
                <w:lang w:val="en-US" w:eastAsia="zh-CN"/>
              </w:rPr>
            </w:pPr>
          </w:p>
        </w:tc>
        <w:tc>
          <w:tcPr>
            <w:tcW w:w="1950" w:type="dxa"/>
            <w:tcBorders>
              <w:top w:val="single" w:color="auto" w:sz="4" w:space="0"/>
              <w:left w:val="single" w:color="auto" w:sz="6" w:space="0"/>
              <w:bottom w:val="single" w:color="auto" w:sz="4"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储运条件与泄漏处理</w:t>
            </w:r>
          </w:p>
        </w:tc>
        <w:tc>
          <w:tcPr>
            <w:tcW w:w="6395" w:type="dxa"/>
            <w:gridSpan w:val="14"/>
            <w:tcBorders>
              <w:top w:val="single" w:color="auto" w:sz="4" w:space="0"/>
              <w:left w:val="single" w:color="auto" w:sz="4" w:space="0"/>
              <w:bottom w:val="single" w:color="auto" w:sz="4"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储运条件:储存于阴凉、干燥、通风的仓间内。远离火种、热源，防止阳光直射。应与还原剂、易燃或可燃物、酸类、碱类分开存放。分装和搬运作业应注意个人防护。搬运时应轻装轻卸，防止包装和容器损坏。泄漏处理:迅速撤离泄漏污染区工作人员至安全区，并进行隔离，严格限制出入。建议应急处理人员带自给正压式呼吸器，穿一般作业工作服。不要直接接触泄漏物。尽可能切断泄漏源。防止进入下水道、排洪沟等限制性空间。小量泄露:用砂土、蛭石或其它惰性材料吸收。大量泄漏:构筑围堤或挖坑收容。用泡沫覆盖，降低蒸汽灾害。用泵转移至槽车或专用收集器内，回收或运至废物处理场所处置。</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382" w:hRule="atLeast"/>
          <w:jc w:val="center"/>
        </w:trPr>
        <w:tc>
          <w:tcPr>
            <w:tcW w:w="834" w:type="dxa"/>
            <w:vMerge w:val="continue"/>
            <w:tcBorders>
              <w:left w:val="single" w:color="auto" w:sz="6" w:space="0"/>
              <w:bottom w:val="single" w:color="auto" w:sz="4" w:space="0"/>
              <w:right w:val="single" w:color="auto" w:sz="6" w:space="0"/>
            </w:tcBorders>
            <w:noWrap w:val="0"/>
            <w:vAlign w:val="center"/>
          </w:tcPr>
          <w:p>
            <w:pPr>
              <w:widowControl/>
              <w:spacing w:line="360" w:lineRule="exact"/>
              <w:ind w:firstLine="0" w:firstLineChars="0"/>
              <w:jc w:val="center"/>
              <w:rPr>
                <w:rFonts w:hint="eastAsia" w:cs="Times New Roman"/>
                <w:color w:val="auto"/>
                <w:spacing w:val="10"/>
                <w:sz w:val="21"/>
                <w:szCs w:val="21"/>
                <w:lang w:val="en-US" w:eastAsia="zh-CN"/>
              </w:rPr>
            </w:pPr>
          </w:p>
        </w:tc>
        <w:tc>
          <w:tcPr>
            <w:tcW w:w="1950" w:type="dxa"/>
            <w:tcBorders>
              <w:top w:val="single" w:color="auto" w:sz="4" w:space="0"/>
              <w:left w:val="single" w:color="auto" w:sz="6" w:space="0"/>
              <w:bottom w:val="single" w:color="auto" w:sz="6" w:space="0"/>
              <w:right w:val="single" w:color="auto" w:sz="4"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灭火方法</w:t>
            </w:r>
          </w:p>
        </w:tc>
        <w:tc>
          <w:tcPr>
            <w:tcW w:w="6395" w:type="dxa"/>
            <w:gridSpan w:val="14"/>
            <w:tcBorders>
              <w:top w:val="single" w:color="auto" w:sz="4" w:space="0"/>
              <w:left w:val="single" w:color="auto" w:sz="4" w:space="0"/>
              <w:bottom w:val="single" w:color="auto" w:sz="6" w:space="0"/>
              <w:right w:val="single" w:color="auto" w:sz="6" w:space="0"/>
            </w:tcBorders>
            <w:noWrap w:val="0"/>
            <w:vAlign w:val="center"/>
          </w:tcPr>
          <w:p>
            <w:pPr>
              <w:spacing w:line="360" w:lineRule="exact"/>
              <w:ind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用雾状水、泡沫、二氧化碳、砂土灭火</w:t>
            </w:r>
          </w:p>
        </w:tc>
      </w:tr>
    </w:tbl>
    <w:p>
      <w:pPr>
        <w:keepNext/>
        <w:keepLines/>
        <w:pageBreakBefore w:val="0"/>
        <w:widowControl w:val="0"/>
        <w:kinsoku/>
        <w:wordWrap/>
        <w:overflowPunct/>
        <w:topLinePunct w:val="0"/>
        <w:autoSpaceDE/>
        <w:autoSpaceDN/>
        <w:bidi w:val="0"/>
        <w:adjustRightInd/>
        <w:snapToGrid/>
        <w:spacing w:beforeAutospacing="0" w:afterAutospacing="0" w:line="560" w:lineRule="exact"/>
        <w:ind w:left="280" w:leftChars="100" w:firstLine="0" w:firstLineChars="0"/>
        <w:jc w:val="both"/>
        <w:textAlignment w:val="auto"/>
        <w:outlineLvl w:val="1"/>
        <w:rPr>
          <w:rFonts w:hint="eastAsia" w:ascii="Times New Roman" w:hAnsi="Times New Roman" w:eastAsia="黑体" w:cs="Times New Roman"/>
          <w:b/>
          <w:color w:val="auto"/>
          <w:kern w:val="2"/>
          <w:sz w:val="30"/>
          <w:szCs w:val="24"/>
          <w:lang w:val="en-US" w:eastAsia="zh-CN" w:bidi="ar-SA"/>
        </w:rPr>
      </w:pPr>
      <w:bookmarkStart w:id="192" w:name="_Toc30753"/>
      <w:bookmarkStart w:id="193" w:name="_Toc20106"/>
      <w:r>
        <w:rPr>
          <w:rFonts w:hint="eastAsia" w:ascii="Times New Roman" w:hAnsi="Times New Roman" w:eastAsia="黑体" w:cs="Times New Roman"/>
          <w:b/>
          <w:color w:val="auto"/>
          <w:kern w:val="2"/>
          <w:sz w:val="30"/>
          <w:szCs w:val="24"/>
          <w:lang w:val="en-US" w:eastAsia="zh-CN" w:bidi="ar-SA"/>
        </w:rPr>
        <w:t>3.</w:t>
      </w:r>
      <w:r>
        <w:rPr>
          <w:rFonts w:hint="eastAsia" w:eastAsia="黑体" w:cs="Times New Roman"/>
          <w:b/>
          <w:color w:val="auto"/>
          <w:kern w:val="2"/>
          <w:sz w:val="30"/>
          <w:szCs w:val="24"/>
          <w:lang w:val="en-US" w:eastAsia="zh-CN" w:bidi="ar-SA"/>
        </w:rPr>
        <w:t>6</w:t>
      </w:r>
      <w:r>
        <w:rPr>
          <w:rFonts w:hint="eastAsia" w:ascii="Times New Roman" w:hAnsi="Times New Roman" w:eastAsia="黑体" w:cs="Times New Roman"/>
          <w:b/>
          <w:color w:val="auto"/>
          <w:kern w:val="2"/>
          <w:sz w:val="30"/>
          <w:szCs w:val="24"/>
          <w:lang w:val="en-US" w:eastAsia="zh-CN" w:bidi="ar-SA"/>
        </w:rPr>
        <w:t xml:space="preserve"> 主要危险、有害因素分布</w:t>
      </w:r>
      <w:bookmarkEnd w:id="192"/>
      <w:bookmarkEnd w:id="193"/>
    </w:p>
    <w:p>
      <w:pPr>
        <w:pageBreakBefore w:val="0"/>
        <w:widowControl w:val="0"/>
        <w:kinsoku/>
        <w:wordWrap/>
        <w:overflowPunct/>
        <w:topLinePunct w:val="0"/>
        <w:autoSpaceDE/>
        <w:autoSpaceDN/>
        <w:bidi w:val="0"/>
        <w:adjustRightInd/>
        <w:snapToGrid/>
        <w:spacing w:line="560" w:lineRule="exact"/>
        <w:ind w:firstLine="200"/>
        <w:textAlignment w:val="auto"/>
        <w:rPr>
          <w:rFonts w:hint="default"/>
          <w:color w:val="auto"/>
          <w:lang w:val="en-US" w:eastAsia="zh-CN"/>
        </w:rPr>
      </w:pPr>
      <w:r>
        <w:rPr>
          <w:rFonts w:hint="eastAsia" w:ascii="Times New Roman" w:eastAsia="宋体"/>
          <w:color w:val="auto"/>
          <w:lang w:val="en-US" w:eastAsia="zh-CN"/>
        </w:rPr>
        <w:t>本</w:t>
      </w:r>
      <w:r>
        <w:rPr>
          <w:rFonts w:hint="default"/>
          <w:color w:val="auto"/>
          <w:lang w:val="en-US" w:eastAsia="zh-CN"/>
        </w:rPr>
        <w:t>项目危险、有害因素</w:t>
      </w:r>
      <w:r>
        <w:rPr>
          <w:rFonts w:hint="eastAsia" w:ascii="Times New Roman" w:eastAsia="宋体"/>
          <w:color w:val="auto"/>
          <w:lang w:val="en-US" w:eastAsia="zh-CN"/>
        </w:rPr>
        <w:t>汇总</w:t>
      </w:r>
      <w:r>
        <w:rPr>
          <w:rFonts w:hint="default"/>
          <w:color w:val="auto"/>
          <w:lang w:val="en-US" w:eastAsia="zh-CN"/>
        </w:rPr>
        <w:t>分布情况见表</w:t>
      </w:r>
      <w:r>
        <w:rPr>
          <w:rFonts w:hint="eastAsia" w:ascii="Times New Roman" w:eastAsia="宋体"/>
          <w:color w:val="auto"/>
          <w:lang w:val="en-US" w:eastAsia="zh-CN"/>
        </w:rPr>
        <w:t>3-</w:t>
      </w:r>
      <w:r>
        <w:rPr>
          <w:rFonts w:hint="eastAsia"/>
          <w:color w:val="auto"/>
          <w:lang w:val="en-US" w:eastAsia="zh-CN"/>
        </w:rPr>
        <w:t>5</w:t>
      </w:r>
      <w:r>
        <w:rPr>
          <w:rFonts w:hint="default"/>
          <w:color w:val="auto"/>
          <w:lang w:val="en-US" w:eastAsia="zh-CN"/>
        </w:rPr>
        <w:t>。</w:t>
      </w:r>
    </w:p>
    <w:p>
      <w:pPr>
        <w:bidi w:val="0"/>
        <w:spacing w:line="240" w:lineRule="auto"/>
        <w:ind w:firstLine="0" w:firstLineChars="0"/>
        <w:jc w:val="center"/>
        <w:rPr>
          <w:rFonts w:hint="default"/>
          <w:color w:val="auto"/>
          <w:lang w:val="en-US" w:eastAsia="zh-CN"/>
        </w:rPr>
      </w:pPr>
      <w:r>
        <w:rPr>
          <w:rFonts w:hint="default"/>
          <w:color w:val="auto"/>
          <w:lang w:val="en-US" w:eastAsia="zh-CN"/>
        </w:rPr>
        <w:t>表3-</w:t>
      </w:r>
      <w:r>
        <w:rPr>
          <w:rFonts w:hint="eastAsia"/>
          <w:color w:val="auto"/>
          <w:lang w:val="en-US" w:eastAsia="zh-CN"/>
        </w:rPr>
        <w:t>5</w:t>
      </w:r>
      <w:r>
        <w:rPr>
          <w:rFonts w:hint="eastAsia" w:ascii="Times New Roman" w:eastAsia="宋体"/>
          <w:color w:val="auto"/>
          <w:lang w:val="en-US" w:eastAsia="zh-CN"/>
        </w:rPr>
        <w:t xml:space="preserve"> </w:t>
      </w:r>
      <w:r>
        <w:rPr>
          <w:rFonts w:hint="default"/>
          <w:color w:val="auto"/>
          <w:lang w:val="en-US" w:eastAsia="zh-CN"/>
        </w:rPr>
        <w:t>危险、有害因素</w:t>
      </w:r>
      <w:r>
        <w:rPr>
          <w:rFonts w:hint="eastAsia" w:ascii="Times New Roman" w:eastAsia="宋体"/>
          <w:color w:val="auto"/>
          <w:lang w:val="en-US" w:eastAsia="zh-CN"/>
        </w:rPr>
        <w:t>汇总分布</w:t>
      </w:r>
      <w:r>
        <w:rPr>
          <w:rFonts w:hint="default"/>
          <w:color w:val="auto"/>
          <w:lang w:val="en-US" w:eastAsia="zh-CN"/>
        </w:rPr>
        <w:t>表</w:t>
      </w:r>
    </w:p>
    <w:tbl>
      <w:tblPr>
        <w:tblStyle w:val="34"/>
        <w:tblW w:w="808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2"/>
        <w:gridCol w:w="856"/>
        <w:gridCol w:w="2439"/>
        <w:gridCol w:w="39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822" w:type="dxa"/>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序号</w:t>
            </w:r>
          </w:p>
        </w:tc>
        <w:tc>
          <w:tcPr>
            <w:tcW w:w="3295" w:type="dxa"/>
            <w:gridSpan w:val="2"/>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en-US"/>
              </w:rPr>
            </w:pPr>
            <w:r>
              <w:rPr>
                <w:rFonts w:hint="eastAsia" w:ascii="Times New Roman" w:hAnsi="Times New Roman" w:eastAsia="宋体" w:cs="Times New Roman"/>
                <w:snapToGrid w:val="0"/>
                <w:color w:val="auto"/>
                <w:kern w:val="0"/>
                <w:sz w:val="21"/>
                <w:szCs w:val="21"/>
                <w:lang w:eastAsia="en-US"/>
              </w:rPr>
              <w:t>危险、有害因素</w:t>
            </w:r>
          </w:p>
        </w:tc>
        <w:tc>
          <w:tcPr>
            <w:tcW w:w="3966" w:type="dxa"/>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存在场所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822" w:type="dxa"/>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w:t>
            </w:r>
          </w:p>
        </w:tc>
        <w:tc>
          <w:tcPr>
            <w:tcW w:w="3295" w:type="dxa"/>
            <w:gridSpan w:val="2"/>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en-US"/>
              </w:rPr>
            </w:pPr>
            <w:r>
              <w:rPr>
                <w:rFonts w:hint="default" w:ascii="Times New Roman" w:hAnsi="Times New Roman" w:eastAsia="宋体" w:cs="Times New Roman"/>
                <w:snapToGrid w:val="0"/>
                <w:color w:val="auto"/>
                <w:kern w:val="0"/>
                <w:sz w:val="21"/>
                <w:szCs w:val="21"/>
                <w:lang w:val="en-US" w:eastAsia="en-US"/>
              </w:rPr>
              <w:t>机械伤害</w:t>
            </w:r>
          </w:p>
        </w:tc>
        <w:tc>
          <w:tcPr>
            <w:tcW w:w="3966" w:type="dxa"/>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en-US"/>
              </w:rPr>
            </w:pPr>
            <w:r>
              <w:rPr>
                <w:rFonts w:hint="eastAsia" w:ascii="Times New Roman" w:hAnsi="Times New Roman" w:eastAsia="宋体" w:cs="Times New Roman"/>
                <w:snapToGrid w:val="0"/>
                <w:color w:val="auto"/>
                <w:kern w:val="0"/>
                <w:sz w:val="21"/>
                <w:szCs w:val="21"/>
                <w:lang w:eastAsia="en-US"/>
              </w:rPr>
              <w:t>破碎机、球磨机、浮选机及各类泵等机械设备的传动部位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822" w:type="dxa"/>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2</w:t>
            </w:r>
          </w:p>
        </w:tc>
        <w:tc>
          <w:tcPr>
            <w:tcW w:w="3295" w:type="dxa"/>
            <w:gridSpan w:val="2"/>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en-US"/>
              </w:rPr>
            </w:pPr>
            <w:r>
              <w:rPr>
                <w:rFonts w:hint="default" w:ascii="Times New Roman" w:hAnsi="Times New Roman" w:eastAsia="宋体" w:cs="Times New Roman"/>
                <w:snapToGrid w:val="0"/>
                <w:color w:val="auto"/>
                <w:kern w:val="0"/>
                <w:sz w:val="21"/>
                <w:szCs w:val="21"/>
                <w:lang w:val="en-US" w:eastAsia="en-US"/>
              </w:rPr>
              <w:t>车辆伤害</w:t>
            </w:r>
          </w:p>
        </w:tc>
        <w:tc>
          <w:tcPr>
            <w:tcW w:w="3966" w:type="dxa"/>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en-US"/>
              </w:rPr>
            </w:pPr>
            <w:r>
              <w:rPr>
                <w:rFonts w:hint="default" w:ascii="Times New Roman" w:hAnsi="Times New Roman" w:eastAsia="宋体" w:cs="Times New Roman"/>
                <w:snapToGrid w:val="0"/>
                <w:color w:val="auto"/>
                <w:kern w:val="0"/>
                <w:sz w:val="21"/>
                <w:szCs w:val="21"/>
                <w:lang w:val="en-US" w:eastAsia="en-US"/>
              </w:rPr>
              <w:t>车辆运输场所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822" w:type="dxa"/>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3</w:t>
            </w:r>
          </w:p>
        </w:tc>
        <w:tc>
          <w:tcPr>
            <w:tcW w:w="3295" w:type="dxa"/>
            <w:gridSpan w:val="2"/>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en-US"/>
              </w:rPr>
            </w:pPr>
            <w:r>
              <w:rPr>
                <w:rFonts w:hint="default" w:ascii="Times New Roman" w:hAnsi="Times New Roman" w:eastAsia="宋体" w:cs="Times New Roman"/>
                <w:snapToGrid w:val="0"/>
                <w:color w:val="auto"/>
                <w:kern w:val="0"/>
                <w:sz w:val="21"/>
                <w:szCs w:val="21"/>
                <w:lang w:val="en-US" w:eastAsia="en-US"/>
              </w:rPr>
              <w:t>物体打击</w:t>
            </w:r>
          </w:p>
        </w:tc>
        <w:tc>
          <w:tcPr>
            <w:tcW w:w="3966" w:type="dxa"/>
            <w:vAlign w:val="center"/>
          </w:tcPr>
          <w:p>
            <w:pPr>
              <w:widowControl/>
              <w:kinsoku w:val="0"/>
              <w:autoSpaceDE/>
              <w:autoSpaceDN/>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eastAsia="en-US"/>
              </w:rPr>
              <w:t>高处作业或在高处平台上作业</w:t>
            </w:r>
            <w:r>
              <w:rPr>
                <w:rFonts w:hint="eastAsia" w:ascii="Times New Roman" w:hAnsi="Times New Roman" w:eastAsia="宋体" w:cs="Times New Roman"/>
                <w:snapToGrid w:val="0"/>
                <w:color w:val="auto"/>
                <w:kern w:val="0"/>
                <w:sz w:val="21"/>
                <w:szCs w:val="21"/>
                <w:lang w:val="en-US" w:eastAsia="zh-CN"/>
              </w:rPr>
              <w:t>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822" w:type="dxa"/>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4</w:t>
            </w:r>
          </w:p>
        </w:tc>
        <w:tc>
          <w:tcPr>
            <w:tcW w:w="3295" w:type="dxa"/>
            <w:gridSpan w:val="2"/>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en-US"/>
              </w:rPr>
            </w:pPr>
            <w:r>
              <w:rPr>
                <w:rFonts w:hint="default" w:ascii="Times New Roman" w:hAnsi="Times New Roman" w:eastAsia="宋体" w:cs="Times New Roman"/>
                <w:snapToGrid w:val="0"/>
                <w:color w:val="auto"/>
                <w:kern w:val="0"/>
                <w:sz w:val="21"/>
                <w:szCs w:val="21"/>
                <w:lang w:val="en-US" w:eastAsia="en-US"/>
              </w:rPr>
              <w:t>起重伤害</w:t>
            </w:r>
          </w:p>
        </w:tc>
        <w:tc>
          <w:tcPr>
            <w:tcW w:w="3966" w:type="dxa"/>
            <w:vAlign w:val="center"/>
          </w:tcPr>
          <w:p>
            <w:pPr>
              <w:widowControl/>
              <w:kinsoku w:val="0"/>
              <w:autoSpaceDE/>
              <w:autoSpaceDN/>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eastAsia="en-US"/>
              </w:rPr>
              <w:t>起重机</w:t>
            </w:r>
            <w:r>
              <w:rPr>
                <w:rFonts w:hint="eastAsia" w:ascii="Times New Roman" w:hAnsi="Times New Roman" w:eastAsia="宋体" w:cs="Times New Roman"/>
                <w:snapToGrid w:val="0"/>
                <w:color w:val="auto"/>
                <w:kern w:val="0"/>
                <w:sz w:val="21"/>
                <w:szCs w:val="21"/>
                <w:lang w:val="en-US" w:eastAsia="en-US"/>
              </w:rPr>
              <w:t>作业</w:t>
            </w:r>
            <w:r>
              <w:rPr>
                <w:rFonts w:hint="eastAsia" w:ascii="Times New Roman" w:hAnsi="Times New Roman" w:eastAsia="宋体" w:cs="Times New Roman"/>
                <w:snapToGrid w:val="0"/>
                <w:color w:val="auto"/>
                <w:kern w:val="0"/>
                <w:sz w:val="21"/>
                <w:szCs w:val="21"/>
                <w:lang w:val="en-US" w:eastAsia="zh-CN"/>
              </w:rPr>
              <w:t>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822" w:type="dxa"/>
            <w:vAlign w:val="center"/>
          </w:tcPr>
          <w:p>
            <w:pPr>
              <w:widowControl/>
              <w:kinsoku w:val="0"/>
              <w:autoSpaceDE/>
              <w:autoSpaceDN/>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5</w:t>
            </w:r>
          </w:p>
        </w:tc>
        <w:tc>
          <w:tcPr>
            <w:tcW w:w="3295" w:type="dxa"/>
            <w:gridSpan w:val="2"/>
            <w:vAlign w:val="center"/>
          </w:tcPr>
          <w:p>
            <w:pPr>
              <w:widowControl/>
              <w:kinsoku w:val="0"/>
              <w:autoSpaceDE/>
              <w:autoSpaceDN/>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坍塌</w:t>
            </w:r>
          </w:p>
        </w:tc>
        <w:tc>
          <w:tcPr>
            <w:tcW w:w="3966" w:type="dxa"/>
            <w:vAlign w:val="center"/>
          </w:tcPr>
          <w:p>
            <w:pPr>
              <w:widowControl/>
              <w:kinsoku w:val="0"/>
              <w:autoSpaceDE/>
              <w:autoSpaceDN/>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lang w:eastAsia="en-US"/>
              </w:rPr>
            </w:pPr>
            <w:r>
              <w:rPr>
                <w:rFonts w:hint="eastAsia" w:ascii="Times New Roman" w:hAnsi="Times New Roman" w:eastAsia="宋体" w:cs="Times New Roman"/>
                <w:snapToGrid w:val="0"/>
                <w:color w:val="auto"/>
                <w:kern w:val="0"/>
                <w:sz w:val="21"/>
                <w:szCs w:val="21"/>
                <w:lang w:eastAsia="en-US"/>
              </w:rPr>
              <w:t>原矿仓、粉矿仓、废石仓、中间仓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822" w:type="dxa"/>
            <w:vAlign w:val="center"/>
          </w:tcPr>
          <w:p>
            <w:pPr>
              <w:widowControl/>
              <w:kinsoku w:val="0"/>
              <w:autoSpaceDE/>
              <w:autoSpaceDN/>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lang w:eastAsia="zh-CN"/>
              </w:rPr>
            </w:pPr>
            <w:r>
              <w:rPr>
                <w:rFonts w:hint="eastAsia" w:cs="Times New Roman"/>
                <w:snapToGrid w:val="0"/>
                <w:color w:val="auto"/>
                <w:kern w:val="0"/>
                <w:sz w:val="21"/>
                <w:szCs w:val="21"/>
                <w:lang w:val="en-US" w:eastAsia="zh-CN"/>
              </w:rPr>
              <w:t>6</w:t>
            </w:r>
          </w:p>
        </w:tc>
        <w:tc>
          <w:tcPr>
            <w:tcW w:w="3295" w:type="dxa"/>
            <w:gridSpan w:val="2"/>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en-US"/>
              </w:rPr>
            </w:pPr>
            <w:r>
              <w:rPr>
                <w:rFonts w:hint="default" w:ascii="Times New Roman" w:hAnsi="Times New Roman" w:eastAsia="宋体" w:cs="Times New Roman"/>
                <w:snapToGrid w:val="0"/>
                <w:color w:val="auto"/>
                <w:kern w:val="0"/>
                <w:sz w:val="21"/>
                <w:szCs w:val="21"/>
                <w:lang w:val="en-US" w:eastAsia="en-US"/>
              </w:rPr>
              <w:t>高处坠落</w:t>
            </w:r>
          </w:p>
        </w:tc>
        <w:tc>
          <w:tcPr>
            <w:tcW w:w="3966" w:type="dxa"/>
            <w:vAlign w:val="center"/>
          </w:tcPr>
          <w:p>
            <w:pPr>
              <w:widowControl/>
              <w:kinsoku w:val="0"/>
              <w:autoSpaceDE/>
              <w:autoSpaceDN/>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eastAsia="en-US"/>
              </w:rPr>
              <w:t>选矿厂车间内部高处平台、浓密机等高位作业</w:t>
            </w:r>
            <w:r>
              <w:rPr>
                <w:rFonts w:hint="eastAsia" w:ascii="Times New Roman" w:hAnsi="Times New Roman" w:eastAsia="宋体" w:cs="Times New Roman"/>
                <w:snapToGrid w:val="0"/>
                <w:color w:val="auto"/>
                <w:kern w:val="0"/>
                <w:sz w:val="21"/>
                <w:szCs w:val="21"/>
                <w:lang w:val="en-US" w:eastAsia="zh-CN"/>
              </w:rPr>
              <w:t>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822" w:type="dxa"/>
            <w:vAlign w:val="center"/>
          </w:tcPr>
          <w:p>
            <w:pPr>
              <w:widowControl/>
              <w:kinsoku w:val="0"/>
              <w:autoSpaceDE/>
              <w:autoSpaceDN/>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lang w:eastAsia="zh-CN"/>
              </w:rPr>
            </w:pPr>
            <w:r>
              <w:rPr>
                <w:rFonts w:hint="eastAsia" w:cs="Times New Roman"/>
                <w:snapToGrid w:val="0"/>
                <w:color w:val="auto"/>
                <w:kern w:val="0"/>
                <w:sz w:val="21"/>
                <w:szCs w:val="21"/>
                <w:lang w:val="en-US" w:eastAsia="zh-CN"/>
              </w:rPr>
              <w:t>7</w:t>
            </w:r>
          </w:p>
        </w:tc>
        <w:tc>
          <w:tcPr>
            <w:tcW w:w="3295" w:type="dxa"/>
            <w:gridSpan w:val="2"/>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en-US"/>
              </w:rPr>
            </w:pPr>
            <w:r>
              <w:rPr>
                <w:rFonts w:hint="default" w:ascii="Times New Roman" w:hAnsi="Times New Roman" w:eastAsia="宋体" w:cs="Times New Roman"/>
                <w:snapToGrid w:val="0"/>
                <w:color w:val="auto"/>
                <w:kern w:val="0"/>
                <w:sz w:val="21"/>
                <w:szCs w:val="21"/>
                <w:lang w:val="en-US" w:eastAsia="en-US"/>
              </w:rPr>
              <w:t>触电</w:t>
            </w:r>
          </w:p>
        </w:tc>
        <w:tc>
          <w:tcPr>
            <w:tcW w:w="3966" w:type="dxa"/>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en-US"/>
              </w:rPr>
            </w:pPr>
            <w:r>
              <w:rPr>
                <w:rFonts w:hint="default" w:ascii="Times New Roman" w:hAnsi="Times New Roman" w:eastAsia="宋体" w:cs="Times New Roman"/>
                <w:snapToGrid w:val="0"/>
                <w:color w:val="auto"/>
                <w:kern w:val="0"/>
                <w:sz w:val="21"/>
                <w:szCs w:val="21"/>
                <w:lang w:val="en-US" w:eastAsia="en-US"/>
              </w:rPr>
              <w:t>电气设备区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822" w:type="dxa"/>
            <w:vAlign w:val="center"/>
          </w:tcPr>
          <w:p>
            <w:pPr>
              <w:widowControl/>
              <w:kinsoku w:val="0"/>
              <w:autoSpaceDE/>
              <w:autoSpaceDN/>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lang w:eastAsia="zh-CN"/>
              </w:rPr>
            </w:pPr>
            <w:r>
              <w:rPr>
                <w:rFonts w:hint="eastAsia" w:cs="Times New Roman"/>
                <w:snapToGrid w:val="0"/>
                <w:color w:val="auto"/>
                <w:kern w:val="0"/>
                <w:sz w:val="21"/>
                <w:szCs w:val="21"/>
                <w:lang w:val="en-US" w:eastAsia="zh-CN"/>
              </w:rPr>
              <w:t>8</w:t>
            </w:r>
          </w:p>
        </w:tc>
        <w:tc>
          <w:tcPr>
            <w:tcW w:w="3295" w:type="dxa"/>
            <w:gridSpan w:val="2"/>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en-US"/>
              </w:rPr>
            </w:pPr>
            <w:r>
              <w:rPr>
                <w:rFonts w:hint="default" w:ascii="Times New Roman" w:hAnsi="Times New Roman" w:eastAsia="宋体" w:cs="Times New Roman"/>
                <w:snapToGrid w:val="0"/>
                <w:color w:val="auto"/>
                <w:kern w:val="0"/>
                <w:sz w:val="21"/>
                <w:szCs w:val="21"/>
                <w:lang w:val="en-US" w:eastAsia="en-US"/>
              </w:rPr>
              <w:t>火灾</w:t>
            </w:r>
          </w:p>
        </w:tc>
        <w:tc>
          <w:tcPr>
            <w:tcW w:w="3966" w:type="dxa"/>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en-US"/>
              </w:rPr>
            </w:pPr>
            <w:r>
              <w:rPr>
                <w:rFonts w:hint="default" w:ascii="Times New Roman" w:hAnsi="Times New Roman" w:eastAsia="宋体" w:cs="Times New Roman"/>
                <w:snapToGrid w:val="0"/>
                <w:color w:val="auto"/>
                <w:kern w:val="0"/>
                <w:sz w:val="21"/>
                <w:szCs w:val="21"/>
                <w:lang w:val="en-US" w:eastAsia="en-US"/>
              </w:rPr>
              <w:t>电缆密集区、动火作业区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822" w:type="dxa"/>
            <w:vAlign w:val="center"/>
          </w:tcPr>
          <w:p>
            <w:pPr>
              <w:widowControl/>
              <w:kinsoku w:val="0"/>
              <w:autoSpaceDE/>
              <w:autoSpaceDN/>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lang w:eastAsia="zh-CN"/>
              </w:rPr>
            </w:pPr>
            <w:r>
              <w:rPr>
                <w:rFonts w:hint="eastAsia" w:cs="Times New Roman"/>
                <w:snapToGrid w:val="0"/>
                <w:color w:val="auto"/>
                <w:kern w:val="0"/>
                <w:sz w:val="21"/>
                <w:szCs w:val="21"/>
                <w:lang w:val="en-US" w:eastAsia="zh-CN"/>
              </w:rPr>
              <w:t>9</w:t>
            </w:r>
          </w:p>
        </w:tc>
        <w:tc>
          <w:tcPr>
            <w:tcW w:w="3295" w:type="dxa"/>
            <w:gridSpan w:val="2"/>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en-US"/>
              </w:rPr>
            </w:pPr>
            <w:r>
              <w:rPr>
                <w:rFonts w:hint="default" w:ascii="Times New Roman" w:hAnsi="Times New Roman" w:eastAsia="宋体" w:cs="Times New Roman"/>
                <w:snapToGrid w:val="0"/>
                <w:color w:val="auto"/>
                <w:kern w:val="0"/>
                <w:sz w:val="21"/>
                <w:szCs w:val="21"/>
                <w:lang w:val="en-US" w:eastAsia="en-US"/>
              </w:rPr>
              <w:t>淹溺</w:t>
            </w:r>
          </w:p>
        </w:tc>
        <w:tc>
          <w:tcPr>
            <w:tcW w:w="3966" w:type="dxa"/>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en-US"/>
              </w:rPr>
            </w:pPr>
            <w:r>
              <w:rPr>
                <w:rFonts w:hint="default" w:ascii="Times New Roman" w:hAnsi="Times New Roman" w:eastAsia="宋体" w:cs="Times New Roman"/>
                <w:snapToGrid w:val="0"/>
                <w:color w:val="auto"/>
                <w:kern w:val="0"/>
                <w:sz w:val="21"/>
                <w:szCs w:val="21"/>
                <w:lang w:eastAsia="en-US"/>
              </w:rPr>
              <w:t>高位水池、浓密机、回水水池等处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822" w:type="dxa"/>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10</w:t>
            </w:r>
          </w:p>
        </w:tc>
        <w:tc>
          <w:tcPr>
            <w:tcW w:w="3295" w:type="dxa"/>
            <w:gridSpan w:val="2"/>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en-US"/>
              </w:rPr>
            </w:pPr>
            <w:r>
              <w:rPr>
                <w:rFonts w:hint="eastAsia" w:ascii="Times New Roman" w:hAnsi="Times New Roman" w:eastAsia="宋体" w:cs="Times New Roman"/>
                <w:snapToGrid w:val="0"/>
                <w:color w:val="auto"/>
                <w:kern w:val="0"/>
                <w:sz w:val="21"/>
                <w:szCs w:val="21"/>
                <w:lang w:eastAsia="en-US"/>
              </w:rPr>
              <w:t>中毒窒息</w:t>
            </w:r>
          </w:p>
        </w:tc>
        <w:tc>
          <w:tcPr>
            <w:tcW w:w="3966" w:type="dxa"/>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en-US"/>
              </w:rPr>
            </w:pPr>
            <w:r>
              <w:rPr>
                <w:rFonts w:hint="eastAsia" w:ascii="Times New Roman" w:hAnsi="Times New Roman" w:eastAsia="宋体" w:cs="Times New Roman"/>
                <w:snapToGrid w:val="0"/>
                <w:color w:val="auto"/>
                <w:kern w:val="0"/>
                <w:sz w:val="21"/>
                <w:szCs w:val="21"/>
                <w:lang w:eastAsia="en-US"/>
              </w:rPr>
              <w:t>选矿药剂制备车间、其他有限空间处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jc w:val="center"/>
        </w:trPr>
        <w:tc>
          <w:tcPr>
            <w:tcW w:w="822" w:type="dxa"/>
            <w:vAlign w:val="center"/>
          </w:tcPr>
          <w:p>
            <w:pPr>
              <w:widowControl/>
              <w:kinsoku w:val="0"/>
              <w:autoSpaceDE/>
              <w:autoSpaceDN/>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en-US"/>
              </w:rPr>
              <w:t>1</w:t>
            </w:r>
            <w:r>
              <w:rPr>
                <w:rFonts w:hint="eastAsia" w:cs="Times New Roman"/>
                <w:snapToGrid w:val="0"/>
                <w:color w:val="auto"/>
                <w:kern w:val="0"/>
                <w:sz w:val="21"/>
                <w:szCs w:val="21"/>
                <w:lang w:val="en-US" w:eastAsia="zh-CN"/>
              </w:rPr>
              <w:t>1</w:t>
            </w:r>
          </w:p>
        </w:tc>
        <w:tc>
          <w:tcPr>
            <w:tcW w:w="3295" w:type="dxa"/>
            <w:gridSpan w:val="2"/>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en-US"/>
              </w:rPr>
            </w:pPr>
            <w:r>
              <w:rPr>
                <w:rFonts w:hint="eastAsia" w:ascii="Times New Roman" w:hAnsi="Times New Roman" w:eastAsia="宋体" w:cs="Times New Roman"/>
                <w:snapToGrid w:val="0"/>
                <w:color w:val="auto"/>
                <w:kern w:val="0"/>
                <w:sz w:val="21"/>
                <w:szCs w:val="21"/>
                <w:lang w:eastAsia="en-US"/>
              </w:rPr>
              <w:t>有限空间作业</w:t>
            </w:r>
          </w:p>
        </w:tc>
        <w:tc>
          <w:tcPr>
            <w:tcW w:w="3966" w:type="dxa"/>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en-US"/>
              </w:rPr>
            </w:pPr>
            <w:r>
              <w:rPr>
                <w:rFonts w:hint="eastAsia" w:ascii="Times New Roman" w:hAnsi="Times New Roman" w:eastAsia="宋体" w:cs="Times New Roman"/>
                <w:snapToGrid w:val="0"/>
                <w:color w:val="auto"/>
                <w:kern w:val="0"/>
                <w:sz w:val="21"/>
                <w:szCs w:val="21"/>
                <w:lang w:eastAsia="en-US"/>
              </w:rPr>
              <w:t>选矿厂循环水池、浓缩池、新水水池等处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jc w:val="center"/>
        </w:trPr>
        <w:tc>
          <w:tcPr>
            <w:tcW w:w="822" w:type="dxa"/>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1</w:t>
            </w:r>
            <w:r>
              <w:rPr>
                <w:rFonts w:hint="eastAsia" w:cs="Times New Roman"/>
                <w:snapToGrid w:val="0"/>
                <w:color w:val="auto"/>
                <w:kern w:val="0"/>
                <w:sz w:val="21"/>
                <w:szCs w:val="21"/>
                <w:lang w:val="en-US" w:eastAsia="zh-CN"/>
              </w:rPr>
              <w:t>2</w:t>
            </w:r>
          </w:p>
        </w:tc>
        <w:tc>
          <w:tcPr>
            <w:tcW w:w="3295" w:type="dxa"/>
            <w:gridSpan w:val="2"/>
            <w:vAlign w:val="center"/>
          </w:tcPr>
          <w:p>
            <w:pPr>
              <w:widowControl/>
              <w:kinsoku w:val="0"/>
              <w:autoSpaceDE/>
              <w:autoSpaceDN/>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lang w:val="en-US" w:eastAsia="en-US"/>
              </w:rPr>
            </w:pPr>
            <w:r>
              <w:rPr>
                <w:rFonts w:hint="eastAsia" w:ascii="Times New Roman" w:hAnsi="Times New Roman" w:eastAsia="宋体" w:cs="Times New Roman"/>
                <w:snapToGrid w:val="0"/>
                <w:color w:val="auto"/>
                <w:kern w:val="0"/>
                <w:sz w:val="21"/>
                <w:szCs w:val="21"/>
                <w:lang w:eastAsia="en-US"/>
              </w:rPr>
              <w:t>灼烫</w:t>
            </w:r>
          </w:p>
        </w:tc>
        <w:tc>
          <w:tcPr>
            <w:tcW w:w="3966" w:type="dxa"/>
            <w:vAlign w:val="center"/>
          </w:tcPr>
          <w:p>
            <w:pPr>
              <w:widowControl/>
              <w:kinsoku w:val="0"/>
              <w:autoSpaceDE/>
              <w:autoSpaceDN/>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蒸气加温干燥、蒸气加温制备选矿药剂场所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jc w:val="center"/>
        </w:trPr>
        <w:tc>
          <w:tcPr>
            <w:tcW w:w="822" w:type="dxa"/>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1</w:t>
            </w:r>
            <w:r>
              <w:rPr>
                <w:rFonts w:hint="eastAsia" w:cs="Times New Roman"/>
                <w:snapToGrid w:val="0"/>
                <w:color w:val="auto"/>
                <w:kern w:val="0"/>
                <w:sz w:val="21"/>
                <w:szCs w:val="21"/>
                <w:lang w:val="en-US" w:eastAsia="zh-CN"/>
              </w:rPr>
              <w:t>3</w:t>
            </w:r>
          </w:p>
        </w:tc>
        <w:tc>
          <w:tcPr>
            <w:tcW w:w="3295" w:type="dxa"/>
            <w:gridSpan w:val="2"/>
            <w:vAlign w:val="center"/>
          </w:tcPr>
          <w:p>
            <w:pPr>
              <w:widowControl/>
              <w:kinsoku w:val="0"/>
              <w:autoSpaceDE/>
              <w:autoSpaceDN/>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lang w:val="en-US" w:eastAsia="en-US"/>
              </w:rPr>
            </w:pPr>
            <w:r>
              <w:rPr>
                <w:rFonts w:hint="eastAsia" w:ascii="Times New Roman" w:hAnsi="Times New Roman" w:eastAsia="宋体" w:cs="Times New Roman"/>
                <w:snapToGrid w:val="0"/>
                <w:color w:val="auto"/>
                <w:kern w:val="0"/>
                <w:sz w:val="21"/>
                <w:szCs w:val="21"/>
                <w:lang w:eastAsia="en-US"/>
              </w:rPr>
              <w:t>药剂</w:t>
            </w:r>
          </w:p>
        </w:tc>
        <w:tc>
          <w:tcPr>
            <w:tcW w:w="3966" w:type="dxa"/>
            <w:vAlign w:val="center"/>
          </w:tcPr>
          <w:p>
            <w:pPr>
              <w:widowControl/>
              <w:kinsoku w:val="0"/>
              <w:autoSpaceDE/>
              <w:autoSpaceDN/>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lang w:val="en-US" w:eastAsia="en-US"/>
              </w:rPr>
            </w:pPr>
            <w:r>
              <w:rPr>
                <w:rFonts w:hint="eastAsia" w:ascii="Times New Roman" w:hAnsi="Times New Roman" w:eastAsia="宋体" w:cs="Times New Roman"/>
                <w:snapToGrid w:val="0"/>
                <w:color w:val="auto"/>
                <w:kern w:val="0"/>
                <w:sz w:val="21"/>
                <w:szCs w:val="21"/>
                <w:lang w:val="en-US" w:eastAsia="zh-CN"/>
              </w:rPr>
              <w:t>选矿药剂制备车间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jc w:val="center"/>
        </w:trPr>
        <w:tc>
          <w:tcPr>
            <w:tcW w:w="822" w:type="dxa"/>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14</w:t>
            </w:r>
          </w:p>
        </w:tc>
        <w:tc>
          <w:tcPr>
            <w:tcW w:w="3295" w:type="dxa"/>
            <w:gridSpan w:val="2"/>
            <w:vAlign w:val="center"/>
          </w:tcPr>
          <w:p>
            <w:pPr>
              <w:widowControl/>
              <w:kinsoku w:val="0"/>
              <w:autoSpaceDE/>
              <w:autoSpaceDN/>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lang w:eastAsia="en-US"/>
              </w:rPr>
            </w:pPr>
            <w:r>
              <w:rPr>
                <w:rFonts w:hint="eastAsia" w:ascii="Times New Roman" w:hAnsi="Times New Roman" w:eastAsia="宋体" w:cs="Times New Roman"/>
                <w:snapToGrid w:val="0"/>
                <w:color w:val="auto"/>
                <w:kern w:val="0"/>
                <w:sz w:val="21"/>
                <w:szCs w:val="21"/>
                <w:lang w:eastAsia="en-US"/>
              </w:rPr>
              <w:t>容器爆炸</w:t>
            </w:r>
          </w:p>
        </w:tc>
        <w:tc>
          <w:tcPr>
            <w:tcW w:w="3966" w:type="dxa"/>
            <w:vAlign w:val="center"/>
          </w:tcPr>
          <w:p>
            <w:pPr>
              <w:widowControl/>
              <w:kinsoku w:val="0"/>
              <w:autoSpaceDE/>
              <w:autoSpaceDN/>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乙炔瓶、液氧瓶等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822" w:type="dxa"/>
            <w:vMerge w:val="restart"/>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eastAsia="宋体" w:cs="Times New Roman"/>
                <w:snapToGrid w:val="0"/>
                <w:color w:val="auto"/>
                <w:kern w:val="0"/>
                <w:sz w:val="21"/>
                <w:szCs w:val="21"/>
                <w:lang w:eastAsia="zh-CN"/>
              </w:rPr>
              <w:t>1</w:t>
            </w:r>
            <w:r>
              <w:rPr>
                <w:rFonts w:hint="eastAsia" w:cs="Times New Roman"/>
                <w:snapToGrid w:val="0"/>
                <w:color w:val="auto"/>
                <w:kern w:val="0"/>
                <w:sz w:val="21"/>
                <w:szCs w:val="21"/>
                <w:lang w:val="en-US" w:eastAsia="zh-CN"/>
              </w:rPr>
              <w:t>5</w:t>
            </w:r>
          </w:p>
        </w:tc>
        <w:tc>
          <w:tcPr>
            <w:tcW w:w="856" w:type="dxa"/>
            <w:vMerge w:val="restart"/>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en-US"/>
              </w:rPr>
            </w:pPr>
            <w:r>
              <w:rPr>
                <w:rFonts w:hint="default" w:ascii="Times New Roman" w:hAnsi="Times New Roman" w:eastAsia="宋体" w:cs="Times New Roman"/>
                <w:snapToGrid w:val="0"/>
                <w:color w:val="auto"/>
                <w:kern w:val="0"/>
                <w:sz w:val="21"/>
                <w:szCs w:val="21"/>
                <w:lang w:val="en-US" w:eastAsia="en-US"/>
              </w:rPr>
              <w:t>其它</w:t>
            </w:r>
          </w:p>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en-US"/>
              </w:rPr>
            </w:pPr>
            <w:r>
              <w:rPr>
                <w:rFonts w:hint="default" w:ascii="Times New Roman" w:hAnsi="Times New Roman" w:eastAsia="宋体" w:cs="Times New Roman"/>
                <w:snapToGrid w:val="0"/>
                <w:color w:val="auto"/>
                <w:kern w:val="0"/>
                <w:sz w:val="21"/>
                <w:szCs w:val="21"/>
                <w:lang w:val="en-US" w:eastAsia="en-US"/>
              </w:rPr>
              <w:t>伤害</w:t>
            </w:r>
          </w:p>
        </w:tc>
        <w:tc>
          <w:tcPr>
            <w:tcW w:w="2439" w:type="dxa"/>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en-US"/>
              </w:rPr>
            </w:pPr>
            <w:r>
              <w:rPr>
                <w:rFonts w:hint="default" w:ascii="Times New Roman" w:hAnsi="Times New Roman" w:eastAsia="宋体" w:cs="Times New Roman"/>
                <w:snapToGrid w:val="0"/>
                <w:color w:val="auto"/>
                <w:kern w:val="0"/>
                <w:sz w:val="21"/>
                <w:szCs w:val="21"/>
                <w:lang w:val="en-US" w:eastAsia="en-US"/>
              </w:rPr>
              <w:t>噪声、粉尘</w:t>
            </w:r>
          </w:p>
        </w:tc>
        <w:tc>
          <w:tcPr>
            <w:tcW w:w="3966" w:type="dxa"/>
            <w:vAlign w:val="center"/>
          </w:tcPr>
          <w:p>
            <w:pPr>
              <w:widowControl/>
              <w:kinsoku w:val="0"/>
              <w:autoSpaceDE/>
              <w:autoSpaceDN/>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en-US"/>
              </w:rPr>
              <w:t>棒磨机、球磨机、破碎机、研磨机、振动筛及各类风机、泵的运行噪声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822" w:type="dxa"/>
            <w:vMerge w:val="continue"/>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56" w:type="dxa"/>
            <w:vMerge w:val="continue"/>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439" w:type="dxa"/>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en-US"/>
              </w:rPr>
            </w:pPr>
            <w:r>
              <w:rPr>
                <w:rFonts w:hint="default" w:ascii="Times New Roman" w:hAnsi="Times New Roman" w:eastAsia="宋体" w:cs="Times New Roman"/>
                <w:snapToGrid w:val="0"/>
                <w:color w:val="auto"/>
                <w:kern w:val="0"/>
                <w:sz w:val="21"/>
                <w:szCs w:val="21"/>
                <w:lang w:val="en-US" w:eastAsia="en-US"/>
              </w:rPr>
              <w:t>高温、低温</w:t>
            </w:r>
          </w:p>
        </w:tc>
        <w:tc>
          <w:tcPr>
            <w:tcW w:w="3966" w:type="dxa"/>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en-US"/>
              </w:rPr>
            </w:pPr>
            <w:r>
              <w:rPr>
                <w:rFonts w:hint="default" w:ascii="Times New Roman" w:hAnsi="Times New Roman" w:eastAsia="宋体" w:cs="Times New Roman"/>
                <w:snapToGrid w:val="0"/>
                <w:color w:val="auto"/>
                <w:kern w:val="0"/>
                <w:sz w:val="21"/>
                <w:szCs w:val="21"/>
                <w:lang w:val="en-US" w:eastAsia="en-US"/>
              </w:rPr>
              <w:t>夏季、冬季室外作业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822" w:type="dxa"/>
            <w:vMerge w:val="continue"/>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856" w:type="dxa"/>
            <w:vMerge w:val="continue"/>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439" w:type="dxa"/>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en-US"/>
              </w:rPr>
            </w:pPr>
            <w:r>
              <w:rPr>
                <w:rFonts w:hint="eastAsia" w:ascii="Times New Roman" w:hAnsi="Times New Roman" w:eastAsia="宋体" w:cs="Times New Roman"/>
                <w:snapToGrid w:val="0"/>
                <w:color w:val="auto"/>
                <w:kern w:val="0"/>
                <w:sz w:val="21"/>
                <w:szCs w:val="21"/>
                <w:lang w:eastAsia="en-US"/>
              </w:rPr>
              <w:t>X射线、微波</w:t>
            </w:r>
          </w:p>
        </w:tc>
        <w:tc>
          <w:tcPr>
            <w:tcW w:w="3966" w:type="dxa"/>
            <w:vAlign w:val="center"/>
          </w:tcPr>
          <w:p>
            <w:pPr>
              <w:widowControl/>
              <w:kinsoku w:val="0"/>
              <w:autoSpaceDE/>
              <w:autoSpaceDN/>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en-US"/>
              </w:rPr>
            </w:pPr>
            <w:r>
              <w:rPr>
                <w:rFonts w:hint="eastAsia" w:ascii="Times New Roman" w:hAnsi="Times New Roman" w:eastAsia="宋体" w:cs="Times New Roman"/>
                <w:snapToGrid w:val="0"/>
                <w:color w:val="auto"/>
                <w:kern w:val="0"/>
                <w:sz w:val="21"/>
                <w:szCs w:val="21"/>
                <w:lang w:eastAsia="en-US"/>
              </w:rPr>
              <w:t>预选厂房X射线</w:t>
            </w:r>
            <w:r>
              <w:rPr>
                <w:rFonts w:hint="eastAsia" w:cs="Times New Roman"/>
                <w:snapToGrid w:val="0"/>
                <w:color w:val="auto"/>
                <w:kern w:val="0"/>
                <w:sz w:val="21"/>
                <w:szCs w:val="21"/>
                <w:lang w:eastAsia="zh-CN"/>
              </w:rPr>
              <w:t>、</w:t>
            </w:r>
            <w:r>
              <w:rPr>
                <w:rFonts w:hint="eastAsia" w:ascii="Times New Roman" w:hAnsi="Times New Roman" w:eastAsia="宋体" w:cs="Times New Roman"/>
                <w:snapToGrid w:val="0"/>
                <w:color w:val="auto"/>
                <w:kern w:val="0"/>
                <w:sz w:val="21"/>
                <w:szCs w:val="21"/>
                <w:lang w:eastAsia="en-US"/>
              </w:rPr>
              <w:t>微波烘干机</w:t>
            </w:r>
          </w:p>
        </w:tc>
      </w:tr>
    </w:tbl>
    <w:p>
      <w:pPr>
        <w:pStyle w:val="3"/>
        <w:bidi w:val="0"/>
        <w:rPr>
          <w:rFonts w:hint="eastAsia"/>
          <w:color w:val="auto"/>
          <w:lang w:val="en-US" w:eastAsia="zh-CN"/>
        </w:rPr>
      </w:pPr>
      <w:bookmarkStart w:id="194" w:name="_Toc12015"/>
      <w:bookmarkStart w:id="195" w:name="_Toc6887"/>
      <w:r>
        <w:rPr>
          <w:rFonts w:hint="eastAsia"/>
          <w:color w:val="auto"/>
          <w:lang w:val="en-US" w:eastAsia="zh-CN"/>
        </w:rPr>
        <w:t>3.7 重大危险源辨识</w:t>
      </w:r>
      <w:bookmarkEnd w:id="191"/>
      <w:bookmarkEnd w:id="194"/>
      <w:bookmarkEnd w:id="195"/>
    </w:p>
    <w:p>
      <w:pPr>
        <w:pStyle w:val="4"/>
        <w:bidi w:val="0"/>
        <w:rPr>
          <w:rFonts w:hint="default"/>
          <w:color w:val="auto"/>
          <w:lang w:val="en-US" w:eastAsia="zh-CN"/>
        </w:rPr>
      </w:pPr>
      <w:bookmarkStart w:id="196" w:name="_Toc13633"/>
      <w:bookmarkStart w:id="197" w:name="_Toc28305"/>
      <w:bookmarkStart w:id="198" w:name="_Toc15205"/>
      <w:r>
        <w:rPr>
          <w:rFonts w:hint="default"/>
          <w:color w:val="auto"/>
          <w:lang w:val="en-US" w:eastAsia="zh-CN"/>
        </w:rPr>
        <w:t>3.</w:t>
      </w:r>
      <w:r>
        <w:rPr>
          <w:rFonts w:hint="eastAsia"/>
          <w:color w:val="auto"/>
          <w:lang w:val="en-US" w:eastAsia="zh-CN"/>
        </w:rPr>
        <w:t>7</w:t>
      </w:r>
      <w:r>
        <w:rPr>
          <w:rFonts w:hint="default"/>
          <w:color w:val="auto"/>
          <w:lang w:val="en-US" w:eastAsia="zh-CN"/>
        </w:rPr>
        <w:t>.1 重大危险源辨识依据</w:t>
      </w:r>
      <w:bookmarkEnd w:id="196"/>
      <w:bookmarkEnd w:id="197"/>
      <w:bookmarkEnd w:id="198"/>
    </w:p>
    <w:p>
      <w:pPr>
        <w:rPr>
          <w:rFonts w:hint="default"/>
          <w:color w:val="auto"/>
          <w:lang w:val="en-US" w:eastAsia="zh-CN"/>
        </w:rPr>
      </w:pPr>
      <w:r>
        <w:rPr>
          <w:rFonts w:hint="default"/>
          <w:color w:val="auto"/>
          <w:lang w:val="en-US" w:eastAsia="zh-CN"/>
        </w:rPr>
        <w:t>《危险化学品重大危险源辨识》（GB18218-2018）规定：</w:t>
      </w:r>
    </w:p>
    <w:p>
      <w:pPr>
        <w:rPr>
          <w:rFonts w:hint="default"/>
          <w:color w:val="auto"/>
          <w:lang w:val="en-US" w:eastAsia="zh-CN"/>
        </w:rPr>
      </w:pPr>
      <w:r>
        <w:rPr>
          <w:rFonts w:hint="default"/>
          <w:color w:val="auto"/>
          <w:lang w:val="en-US" w:eastAsia="zh-CN"/>
        </w:rPr>
        <w:t>单元：涉及危险化学品生产、储存装置、设施或场所。分为生产单元和储存单元。</w:t>
      </w:r>
    </w:p>
    <w:p>
      <w:pPr>
        <w:rPr>
          <w:rFonts w:hint="default"/>
          <w:color w:val="auto"/>
          <w:lang w:val="en-US" w:eastAsia="zh-CN"/>
        </w:rPr>
      </w:pPr>
      <w:r>
        <w:rPr>
          <w:rFonts w:hint="default"/>
          <w:color w:val="auto"/>
          <w:lang w:val="en-US" w:eastAsia="zh-CN"/>
        </w:rPr>
        <w:t>生产单元：危险化学品的生产、加工及使用等的装置及设施，当装置及设施之间有切断阀时，以切断阀作为分隔界限划分为独立的单元。</w:t>
      </w:r>
    </w:p>
    <w:p>
      <w:pPr>
        <w:rPr>
          <w:rFonts w:hint="default"/>
          <w:color w:val="auto"/>
          <w:lang w:val="en-US" w:eastAsia="zh-CN"/>
        </w:rPr>
      </w:pPr>
      <w:r>
        <w:rPr>
          <w:rFonts w:hint="default"/>
          <w:color w:val="auto"/>
          <w:lang w:val="en-US" w:eastAsia="zh-CN"/>
        </w:rPr>
        <w:t>储存单元：用于储存危险化学品的储罐或仓库组成的相对独立的区域，储罐区以罐区防火堤为界限划分为独立的单元，仓库以独立库房</w:t>
      </w:r>
      <w:r>
        <w:rPr>
          <w:rFonts w:hint="eastAsia" w:ascii="Times New Roman" w:eastAsia="宋体"/>
          <w:color w:val="auto"/>
          <w:lang w:val="en-US" w:eastAsia="zh-CN"/>
        </w:rPr>
        <w:t>（</w:t>
      </w:r>
      <w:r>
        <w:rPr>
          <w:rFonts w:hint="default"/>
          <w:color w:val="auto"/>
          <w:lang w:val="en-US" w:eastAsia="zh-CN"/>
        </w:rPr>
        <w:t>独立建筑物〉为界限划分为独立的单元。</w:t>
      </w:r>
    </w:p>
    <w:p>
      <w:pPr>
        <w:rPr>
          <w:rFonts w:hint="default"/>
          <w:color w:val="auto"/>
          <w:lang w:val="en-US" w:eastAsia="zh-CN"/>
        </w:rPr>
      </w:pPr>
      <w:r>
        <w:rPr>
          <w:rFonts w:hint="default"/>
          <w:color w:val="auto"/>
          <w:lang w:val="en-US" w:eastAsia="zh-CN"/>
        </w:rPr>
        <w:t>临界量：某种或某类危险化学品构成重大危险源所规定的最小数量。</w:t>
      </w:r>
    </w:p>
    <w:p>
      <w:pPr>
        <w:rPr>
          <w:rFonts w:hint="default"/>
          <w:color w:val="auto"/>
          <w:lang w:val="en-US" w:eastAsia="zh-CN"/>
        </w:rPr>
      </w:pPr>
      <w:r>
        <w:rPr>
          <w:rFonts w:hint="default"/>
          <w:color w:val="auto"/>
          <w:lang w:val="en-US" w:eastAsia="zh-CN"/>
        </w:rPr>
        <w:t>危险化学品重大危险源：长期地或临时地生产、储存、使用和经营危险化学品，且危险化学品的数量等于或超过临界量的单元。</w:t>
      </w:r>
    </w:p>
    <w:p>
      <w:pPr>
        <w:rPr>
          <w:rFonts w:hint="default"/>
          <w:color w:val="auto"/>
          <w:lang w:val="en-US" w:eastAsia="zh-CN"/>
        </w:rPr>
      </w:pPr>
      <w:r>
        <w:rPr>
          <w:rFonts w:hint="default"/>
          <w:color w:val="auto"/>
          <w:lang w:val="en-US" w:eastAsia="zh-CN"/>
        </w:rPr>
        <w:t>混合物：由两种或者多种物质组成的混合体或者溶液。</w:t>
      </w:r>
    </w:p>
    <w:p>
      <w:pPr>
        <w:rPr>
          <w:rFonts w:hint="default"/>
          <w:color w:val="auto"/>
          <w:lang w:val="en-US" w:eastAsia="zh-CN"/>
        </w:rPr>
      </w:pPr>
      <w:r>
        <w:rPr>
          <w:rFonts w:hint="default"/>
          <w:color w:val="auto"/>
          <w:lang w:val="en-US" w:eastAsia="zh-CN"/>
        </w:rPr>
        <w:t>生产单元、储存单元内存在的危险化学品为多品种时，则按下式计算，若满足下面公式，则为重大危险源：</w:t>
      </w:r>
    </w:p>
    <w:p>
      <w:pPr>
        <w:rPr>
          <w:rFonts w:hint="default"/>
          <w:color w:val="auto"/>
          <w:lang w:val="en-US" w:eastAsia="zh-CN"/>
        </w:rPr>
      </w:pPr>
      <w:r>
        <w:rPr>
          <w:rFonts w:hint="default"/>
          <w:color w:val="auto"/>
          <w:lang w:val="en-US" w:eastAsia="zh-CN"/>
        </w:rPr>
        <w:t>S＝q1/Q1＋q2/Q2＋…＋qn/Qn≥1</w:t>
      </w:r>
    </w:p>
    <w:p>
      <w:pPr>
        <w:rPr>
          <w:rFonts w:hint="default"/>
          <w:color w:val="auto"/>
          <w:lang w:val="en-US" w:eastAsia="zh-CN"/>
        </w:rPr>
      </w:pPr>
      <w:r>
        <w:rPr>
          <w:rFonts w:hint="default"/>
          <w:color w:val="auto"/>
          <w:lang w:val="en-US" w:eastAsia="zh-CN"/>
        </w:rPr>
        <w:t>式中：S－辨识指标；</w:t>
      </w:r>
    </w:p>
    <w:p>
      <w:pPr>
        <w:rPr>
          <w:rFonts w:hint="default"/>
          <w:color w:val="auto"/>
          <w:lang w:val="en-US" w:eastAsia="zh-CN"/>
        </w:rPr>
      </w:pPr>
      <w:r>
        <w:rPr>
          <w:rFonts w:hint="default"/>
          <w:color w:val="auto"/>
          <w:lang w:val="en-US" w:eastAsia="zh-CN"/>
        </w:rPr>
        <w:t>q1,q2 , …qn －每种危险化学品实际存在量，t；</w:t>
      </w:r>
    </w:p>
    <w:p>
      <w:pPr>
        <w:rPr>
          <w:rFonts w:hint="default"/>
          <w:color w:val="auto"/>
          <w:lang w:val="en-US" w:eastAsia="zh-CN"/>
        </w:rPr>
      </w:pPr>
      <w:r>
        <w:rPr>
          <w:rFonts w:hint="default"/>
          <w:color w:val="auto"/>
          <w:lang w:val="en-US" w:eastAsia="zh-CN"/>
        </w:rPr>
        <w:t>Q1,Q2…Qn－与每种危险化学品相对应的临界量，t。</w:t>
      </w:r>
    </w:p>
    <w:p>
      <w:pPr>
        <w:pStyle w:val="4"/>
        <w:bidi w:val="0"/>
        <w:rPr>
          <w:rFonts w:hint="default"/>
          <w:color w:val="auto"/>
          <w:lang w:val="en-US" w:eastAsia="zh-CN"/>
        </w:rPr>
      </w:pPr>
      <w:bookmarkStart w:id="199" w:name="_Toc20975"/>
      <w:bookmarkStart w:id="200" w:name="_Toc17693"/>
      <w:bookmarkStart w:id="201" w:name="_Toc21507"/>
      <w:r>
        <w:rPr>
          <w:rFonts w:hint="default"/>
          <w:color w:val="auto"/>
          <w:lang w:val="en-US" w:eastAsia="zh-CN"/>
        </w:rPr>
        <w:t>3.</w:t>
      </w:r>
      <w:r>
        <w:rPr>
          <w:rFonts w:hint="eastAsia"/>
          <w:color w:val="auto"/>
          <w:lang w:val="en-US" w:eastAsia="zh-CN"/>
        </w:rPr>
        <w:t>7</w:t>
      </w:r>
      <w:r>
        <w:rPr>
          <w:rFonts w:hint="default"/>
          <w:color w:val="auto"/>
          <w:lang w:val="en-US" w:eastAsia="zh-CN"/>
        </w:rPr>
        <w:t>.</w:t>
      </w:r>
      <w:r>
        <w:rPr>
          <w:rFonts w:hint="eastAsia"/>
          <w:color w:val="auto"/>
          <w:lang w:val="en-US" w:eastAsia="zh-CN"/>
        </w:rPr>
        <w:t>2</w:t>
      </w:r>
      <w:r>
        <w:rPr>
          <w:rFonts w:hint="default"/>
          <w:color w:val="auto"/>
          <w:lang w:val="en-US" w:eastAsia="zh-CN"/>
        </w:rPr>
        <w:t xml:space="preserve"> 重大危险源辨识</w:t>
      </w:r>
      <w:bookmarkEnd w:id="199"/>
      <w:bookmarkEnd w:id="200"/>
      <w:bookmarkEnd w:id="201"/>
    </w:p>
    <w:p>
      <w:pPr>
        <w:rPr>
          <w:rFonts w:hint="default"/>
          <w:color w:val="auto"/>
          <w:lang w:val="en-US" w:eastAsia="zh-CN"/>
        </w:rPr>
      </w:pPr>
      <w:r>
        <w:rPr>
          <w:rFonts w:hint="default"/>
          <w:color w:val="auto"/>
          <w:lang w:val="en-US" w:eastAsia="zh-CN"/>
        </w:rPr>
        <w:t>本项目主</w:t>
      </w:r>
      <w:r>
        <w:rPr>
          <w:rFonts w:hint="default"/>
          <w:strike w:val="0"/>
          <w:dstrike w:val="0"/>
          <w:color w:val="auto"/>
          <w:lang w:val="en-US" w:eastAsia="zh-CN"/>
        </w:rPr>
        <w:t>要原材料为矿石，其它辅助材料如浓硫酸、丁黄药、2#油、石灰、次氯酸钠、水</w:t>
      </w:r>
      <w:r>
        <w:rPr>
          <w:rFonts w:hint="default"/>
          <w:color w:val="auto"/>
          <w:lang w:val="en-US" w:eastAsia="zh-CN"/>
        </w:rPr>
        <w:t>玻璃、731、油酸等均不属《危险化学品重大危险源辨识》中列出的物质。焊接切割用乙炔、压缩氧属于《危险化学品重大危险源辨识》中列出的物质，经询问</w:t>
      </w:r>
      <w:r>
        <w:rPr>
          <w:rFonts w:hint="eastAsia" w:ascii="Times New Roman" w:eastAsia="宋体"/>
          <w:color w:val="auto"/>
          <w:lang w:val="en-US" w:eastAsia="zh-CN"/>
        </w:rPr>
        <w:t>于都小东坑矿业有限公司</w:t>
      </w:r>
      <w:r>
        <w:rPr>
          <w:rFonts w:hint="default"/>
          <w:color w:val="auto"/>
          <w:lang w:val="en-US" w:eastAsia="zh-CN"/>
        </w:rPr>
        <w:t>相关管理人员，得知本项目乙炔储存量</w:t>
      </w:r>
      <w:r>
        <w:rPr>
          <w:rFonts w:hint="eastAsia"/>
          <w:strike w:val="0"/>
          <w:dstrike w:val="0"/>
          <w:color w:val="auto"/>
          <w:lang w:val="en-US" w:eastAsia="zh-CN"/>
        </w:rPr>
        <w:t>0.0408kg</w:t>
      </w:r>
      <w:r>
        <w:rPr>
          <w:rFonts w:hint="default"/>
          <w:color w:val="auto"/>
          <w:lang w:val="en-US" w:eastAsia="zh-CN"/>
        </w:rPr>
        <w:t>、压缩氧储存量</w:t>
      </w:r>
      <w:r>
        <w:rPr>
          <w:rFonts w:hint="eastAsia"/>
          <w:strike w:val="0"/>
          <w:dstrike w:val="0"/>
          <w:color w:val="auto"/>
          <w:lang w:val="en-US" w:eastAsia="zh-CN"/>
        </w:rPr>
        <w:t>0.2736t</w:t>
      </w:r>
      <w:r>
        <w:rPr>
          <w:rFonts w:hint="default"/>
          <w:color w:val="auto"/>
          <w:lang w:val="en-US" w:eastAsia="zh-CN"/>
        </w:rPr>
        <w:t>，均小于相应储存、使用场所临界量。</w:t>
      </w:r>
    </w:p>
    <w:p>
      <w:pPr>
        <w:rPr>
          <w:rFonts w:hint="default"/>
          <w:color w:val="auto"/>
          <w:lang w:val="en-US" w:eastAsia="zh-CN"/>
        </w:rPr>
      </w:pPr>
      <w:r>
        <w:rPr>
          <w:rFonts w:hint="default"/>
          <w:color w:val="auto"/>
          <w:lang w:val="en-US" w:eastAsia="zh-CN"/>
        </w:rPr>
        <w:t>结论：本项目不构成重大危险源。</w:t>
      </w:r>
    </w:p>
    <w:p>
      <w:pPr>
        <w:rPr>
          <w:rFonts w:hint="default"/>
          <w:color w:val="auto"/>
          <w:lang w:val="en-US" w:eastAsia="zh-CN"/>
        </w:rPr>
      </w:pPr>
      <w:r>
        <w:rPr>
          <w:rFonts w:hint="default"/>
          <w:color w:val="auto"/>
          <w:lang w:val="en-US" w:eastAsia="zh-CN"/>
        </w:rPr>
        <w:br w:type="page"/>
      </w:r>
    </w:p>
    <w:p>
      <w:pPr>
        <w:pStyle w:val="2"/>
        <w:numPr>
          <w:ilvl w:val="0"/>
          <w:numId w:val="1"/>
        </w:numPr>
        <w:bidi w:val="0"/>
        <w:rPr>
          <w:rFonts w:hint="default"/>
          <w:color w:val="auto"/>
          <w:lang w:val="en-US" w:eastAsia="zh-CN"/>
        </w:rPr>
      </w:pPr>
      <w:bookmarkStart w:id="202" w:name="_Toc16474"/>
      <w:bookmarkStart w:id="203" w:name="_Toc15192"/>
      <w:bookmarkStart w:id="204" w:name="_Toc1022"/>
      <w:r>
        <w:rPr>
          <w:rFonts w:hint="default"/>
          <w:color w:val="auto"/>
          <w:lang w:val="en-US" w:eastAsia="zh-CN"/>
        </w:rPr>
        <w:t>评价单元划分和评价方法选择</w:t>
      </w:r>
      <w:bookmarkEnd w:id="202"/>
      <w:bookmarkEnd w:id="203"/>
      <w:bookmarkEnd w:id="204"/>
    </w:p>
    <w:p>
      <w:pPr>
        <w:pStyle w:val="3"/>
        <w:bidi w:val="0"/>
        <w:rPr>
          <w:rFonts w:hint="default"/>
          <w:color w:val="auto"/>
          <w:lang w:val="en-US" w:eastAsia="zh-CN"/>
        </w:rPr>
      </w:pPr>
      <w:bookmarkStart w:id="205" w:name="_Toc21946"/>
      <w:bookmarkStart w:id="206" w:name="_Toc28738"/>
      <w:bookmarkStart w:id="207" w:name="_Toc6765"/>
      <w:r>
        <w:rPr>
          <w:rFonts w:hint="default"/>
          <w:color w:val="auto"/>
          <w:lang w:val="en-US" w:eastAsia="zh-CN"/>
        </w:rPr>
        <w:t>4.1 评价单元划分的原则和方法</w:t>
      </w:r>
      <w:bookmarkEnd w:id="205"/>
      <w:bookmarkEnd w:id="206"/>
      <w:bookmarkEnd w:id="207"/>
    </w:p>
    <w:p>
      <w:pPr>
        <w:bidi w:val="0"/>
        <w:rPr>
          <w:rFonts w:hint="default"/>
          <w:color w:val="auto"/>
          <w:lang w:val="en-US" w:eastAsia="zh-CN"/>
        </w:rPr>
      </w:pPr>
      <w:r>
        <w:rPr>
          <w:rFonts w:hint="default"/>
          <w:color w:val="auto"/>
          <w:lang w:val="en-US" w:eastAsia="zh-CN"/>
        </w:rPr>
        <w:t>为便于评价工作的进行</w:t>
      </w:r>
      <w:r>
        <w:rPr>
          <w:rFonts w:hint="eastAsia" w:ascii="Times New Roman" w:eastAsia="宋体"/>
          <w:color w:val="auto"/>
          <w:lang w:val="en-US" w:eastAsia="zh-CN"/>
        </w:rPr>
        <w:t>，</w:t>
      </w:r>
      <w:r>
        <w:rPr>
          <w:rFonts w:hint="default"/>
          <w:color w:val="auto"/>
          <w:lang w:val="en-US" w:eastAsia="zh-CN"/>
        </w:rPr>
        <w:t>有利于提高评价工作的准确性和针对性，对评价项目进行评价单元划分，评价单元一般以生产工艺、工艺装置、物料的特点和特征，结合危险、有害因素的类别、分布进行划分，还可以按评价的需要，将一个评价单元再划分为若干子评价单元或更细致的单元。</w:t>
      </w:r>
    </w:p>
    <w:p>
      <w:pPr>
        <w:bidi w:val="0"/>
        <w:rPr>
          <w:rFonts w:hint="default"/>
          <w:color w:val="auto"/>
          <w:lang w:val="en-US" w:eastAsia="zh-CN"/>
        </w:rPr>
      </w:pPr>
      <w:r>
        <w:rPr>
          <w:rFonts w:hint="default"/>
          <w:color w:val="auto"/>
          <w:lang w:val="en-US" w:eastAsia="zh-CN"/>
        </w:rPr>
        <w:t>评价单元划分原则和方法为</w:t>
      </w:r>
      <w:r>
        <w:rPr>
          <w:rFonts w:hint="eastAsia" w:ascii="Times New Roman" w:eastAsia="宋体"/>
          <w:color w:val="auto"/>
          <w:lang w:val="en-US" w:eastAsia="zh-CN"/>
        </w:rPr>
        <w:t>：</w:t>
      </w:r>
    </w:p>
    <w:p>
      <w:pPr>
        <w:bidi w:val="0"/>
        <w:rPr>
          <w:rFonts w:hint="default"/>
          <w:color w:val="auto"/>
          <w:lang w:val="en-US" w:eastAsia="zh-CN"/>
        </w:rPr>
      </w:pPr>
      <w:r>
        <w:rPr>
          <w:rFonts w:hint="default"/>
          <w:color w:val="auto"/>
          <w:lang w:val="en-US" w:eastAsia="zh-CN"/>
        </w:rPr>
        <w:t>1</w:t>
      </w:r>
      <w:r>
        <w:rPr>
          <w:rFonts w:hint="eastAsia" w:ascii="Times New Roman" w:eastAsia="宋体"/>
          <w:color w:val="auto"/>
          <w:lang w:val="en-US" w:eastAsia="zh-CN"/>
        </w:rPr>
        <w:t>、</w:t>
      </w:r>
      <w:r>
        <w:rPr>
          <w:rFonts w:hint="default"/>
          <w:color w:val="auto"/>
          <w:lang w:val="en-US" w:eastAsia="zh-CN"/>
        </w:rPr>
        <w:t>以危险、有害因素的类别为主划分</w:t>
      </w:r>
    </w:p>
    <w:p>
      <w:pPr>
        <w:bidi w:val="0"/>
        <w:rPr>
          <w:rFonts w:hint="default"/>
          <w:color w:val="auto"/>
          <w:lang w:val="en-US" w:eastAsia="zh-CN"/>
        </w:rPr>
      </w:pPr>
      <w:r>
        <w:rPr>
          <w:rFonts w:hint="default"/>
          <w:color w:val="auto"/>
          <w:lang w:val="en-US" w:eastAsia="zh-CN"/>
        </w:rPr>
        <w:t>1）按工艺方案、总体布置和自然条件、社会环境对企业的影响等综合</w:t>
      </w:r>
    </w:p>
    <w:p>
      <w:pPr>
        <w:bidi w:val="0"/>
        <w:ind w:left="0" w:leftChars="0" w:firstLine="0" w:firstLineChars="0"/>
        <w:rPr>
          <w:rFonts w:hint="default"/>
          <w:color w:val="auto"/>
          <w:lang w:val="en-US" w:eastAsia="zh-CN"/>
        </w:rPr>
      </w:pPr>
      <w:r>
        <w:rPr>
          <w:rFonts w:hint="default"/>
          <w:color w:val="auto"/>
          <w:lang w:val="en-US" w:eastAsia="zh-CN"/>
        </w:rPr>
        <w:t>方面的危险、有害因素分析和评价，宜将整个企业作为一个评价单元。</w:t>
      </w:r>
    </w:p>
    <w:p>
      <w:pPr>
        <w:bidi w:val="0"/>
        <w:rPr>
          <w:rFonts w:hint="default"/>
          <w:color w:val="auto"/>
          <w:lang w:val="en-US" w:eastAsia="zh-CN"/>
        </w:rPr>
      </w:pPr>
      <w:r>
        <w:rPr>
          <w:rFonts w:hint="default"/>
          <w:color w:val="auto"/>
          <w:lang w:val="en-US" w:eastAsia="zh-CN"/>
        </w:rPr>
        <w:t>2）将具有共性危险因素、有害因素的场所和装置划为一个单元。</w:t>
      </w:r>
    </w:p>
    <w:p>
      <w:pPr>
        <w:bidi w:val="0"/>
        <w:rPr>
          <w:rFonts w:hint="default"/>
          <w:color w:val="auto"/>
          <w:lang w:val="en-US" w:eastAsia="zh-CN"/>
        </w:rPr>
      </w:pPr>
      <w:r>
        <w:rPr>
          <w:rFonts w:hint="default"/>
          <w:color w:val="auto"/>
          <w:lang w:val="en-US" w:eastAsia="zh-CN"/>
        </w:rPr>
        <w:t>（1）按危险因素类别各划归一个单元，再按工艺、物料、作业特点（即</w:t>
      </w:r>
    </w:p>
    <w:p>
      <w:pPr>
        <w:bidi w:val="0"/>
        <w:ind w:left="0" w:leftChars="0" w:firstLine="0" w:firstLineChars="0"/>
        <w:rPr>
          <w:rFonts w:hint="default"/>
          <w:color w:val="auto"/>
          <w:lang w:val="en-US" w:eastAsia="zh-CN"/>
        </w:rPr>
      </w:pPr>
      <w:r>
        <w:rPr>
          <w:rFonts w:hint="default"/>
          <w:color w:val="auto"/>
          <w:lang w:val="en-US" w:eastAsia="zh-CN"/>
        </w:rPr>
        <w:t>其潜在危险因素不同）划分成子单元分别评价。</w:t>
      </w:r>
    </w:p>
    <w:p>
      <w:pPr>
        <w:bidi w:val="0"/>
        <w:rPr>
          <w:rFonts w:hint="default"/>
          <w:color w:val="auto"/>
          <w:lang w:val="en-US" w:eastAsia="zh-CN"/>
        </w:rPr>
      </w:pPr>
      <w:r>
        <w:rPr>
          <w:rFonts w:hint="default"/>
          <w:color w:val="auto"/>
          <w:lang w:val="en-US" w:eastAsia="zh-CN"/>
        </w:rPr>
        <w:t>（2）进行有害因素评价时，宜按有害因素（有害作业）的类别划分评 价单元。例如，将噪声、毒物、电磁辐射、粉尘、低温危害的场所各划归一个评价单元。</w:t>
      </w:r>
    </w:p>
    <w:p>
      <w:pPr>
        <w:bidi w:val="0"/>
        <w:rPr>
          <w:rFonts w:hint="default"/>
          <w:color w:val="auto"/>
          <w:lang w:val="en-US" w:eastAsia="zh-CN"/>
        </w:rPr>
      </w:pPr>
      <w:r>
        <w:rPr>
          <w:rFonts w:hint="default"/>
          <w:color w:val="auto"/>
          <w:lang w:val="en-US" w:eastAsia="zh-CN"/>
        </w:rPr>
        <w:t>2</w:t>
      </w:r>
      <w:r>
        <w:rPr>
          <w:rFonts w:hint="eastAsia" w:ascii="Times New Roman" w:eastAsia="宋体"/>
          <w:color w:val="auto"/>
          <w:lang w:val="en-US" w:eastAsia="zh-CN"/>
        </w:rPr>
        <w:t>、</w:t>
      </w:r>
      <w:r>
        <w:rPr>
          <w:rFonts w:hint="default"/>
          <w:color w:val="auto"/>
          <w:lang w:val="en-US" w:eastAsia="zh-CN"/>
        </w:rPr>
        <w:t>按装置和物质特征划分</w:t>
      </w:r>
    </w:p>
    <w:p>
      <w:pPr>
        <w:bidi w:val="0"/>
        <w:rPr>
          <w:rFonts w:hint="default"/>
          <w:color w:val="auto"/>
          <w:lang w:val="en-US" w:eastAsia="zh-CN"/>
        </w:rPr>
      </w:pPr>
      <w:r>
        <w:rPr>
          <w:rFonts w:hint="default"/>
          <w:color w:val="auto"/>
          <w:lang w:val="en-US" w:eastAsia="zh-CN"/>
        </w:rPr>
        <w:t>1）按装置工艺功能划分；</w:t>
      </w:r>
    </w:p>
    <w:p>
      <w:pPr>
        <w:bidi w:val="0"/>
        <w:rPr>
          <w:rFonts w:hint="default"/>
          <w:color w:val="auto"/>
          <w:lang w:val="en-US" w:eastAsia="zh-CN"/>
        </w:rPr>
      </w:pPr>
      <w:r>
        <w:rPr>
          <w:rFonts w:hint="default"/>
          <w:color w:val="auto"/>
          <w:lang w:val="en-US" w:eastAsia="zh-CN"/>
        </w:rPr>
        <w:t>2）按布置的相对独立性划分；</w:t>
      </w:r>
    </w:p>
    <w:p>
      <w:pPr>
        <w:bidi w:val="0"/>
        <w:rPr>
          <w:rFonts w:hint="default"/>
          <w:color w:val="auto"/>
          <w:lang w:val="en-US" w:eastAsia="zh-CN"/>
        </w:rPr>
      </w:pPr>
      <w:r>
        <w:rPr>
          <w:rFonts w:hint="default"/>
          <w:color w:val="auto"/>
          <w:lang w:val="en-US" w:eastAsia="zh-CN"/>
        </w:rPr>
        <w:t>3）按工艺条件划分；</w:t>
      </w:r>
    </w:p>
    <w:p>
      <w:pPr>
        <w:bidi w:val="0"/>
        <w:rPr>
          <w:rFonts w:hint="default"/>
          <w:color w:val="auto"/>
          <w:lang w:val="en-US" w:eastAsia="zh-CN"/>
        </w:rPr>
      </w:pPr>
      <w:r>
        <w:rPr>
          <w:rFonts w:hint="default"/>
          <w:color w:val="auto"/>
          <w:lang w:val="en-US" w:eastAsia="zh-CN"/>
        </w:rPr>
        <w:t>4）按贮存、处理危险物质的潜在化学能、毒性和危险物质的数量划分；</w:t>
      </w:r>
    </w:p>
    <w:p>
      <w:pPr>
        <w:bidi w:val="0"/>
        <w:rPr>
          <w:rFonts w:hint="default"/>
          <w:color w:val="auto"/>
          <w:lang w:val="en-US" w:eastAsia="zh-CN"/>
        </w:rPr>
      </w:pPr>
      <w:r>
        <w:rPr>
          <w:rFonts w:hint="default"/>
          <w:color w:val="auto"/>
          <w:lang w:val="en-US" w:eastAsia="zh-CN"/>
        </w:rPr>
        <w:t>5）按事故损失程度或危险性划分。</w:t>
      </w:r>
    </w:p>
    <w:p>
      <w:pPr>
        <w:bidi w:val="0"/>
        <w:rPr>
          <w:rFonts w:hint="default"/>
          <w:color w:val="auto"/>
          <w:lang w:val="en-US" w:eastAsia="zh-CN"/>
        </w:rPr>
      </w:pPr>
      <w:r>
        <w:rPr>
          <w:rFonts w:hint="default"/>
          <w:color w:val="auto"/>
          <w:lang w:val="en-US" w:eastAsia="zh-CN"/>
        </w:rPr>
        <w:t>3</w:t>
      </w:r>
      <w:r>
        <w:rPr>
          <w:rFonts w:hint="eastAsia" w:ascii="Times New Roman" w:eastAsia="宋体"/>
          <w:color w:val="auto"/>
          <w:lang w:val="en-US" w:eastAsia="zh-CN"/>
        </w:rPr>
        <w:t>、</w:t>
      </w:r>
      <w:r>
        <w:rPr>
          <w:rFonts w:hint="default"/>
          <w:color w:val="auto"/>
          <w:lang w:val="en-US" w:eastAsia="zh-CN"/>
        </w:rPr>
        <w:t>依据评价方法的有关具体规定划分。</w:t>
      </w:r>
    </w:p>
    <w:p>
      <w:pPr>
        <w:pStyle w:val="3"/>
        <w:bidi w:val="0"/>
        <w:rPr>
          <w:rFonts w:hint="default"/>
          <w:color w:val="auto"/>
          <w:lang w:val="en-US" w:eastAsia="zh-CN"/>
        </w:rPr>
      </w:pPr>
      <w:bookmarkStart w:id="208" w:name="_Toc13604"/>
      <w:bookmarkStart w:id="209" w:name="_Toc17052"/>
      <w:bookmarkStart w:id="210" w:name="_Toc21878"/>
      <w:r>
        <w:rPr>
          <w:rFonts w:hint="default"/>
          <w:color w:val="auto"/>
          <w:lang w:val="en-US" w:eastAsia="zh-CN"/>
        </w:rPr>
        <w:t>4.2 评价单元的划分</w:t>
      </w:r>
      <w:bookmarkEnd w:id="208"/>
      <w:bookmarkEnd w:id="209"/>
      <w:bookmarkEnd w:id="210"/>
    </w:p>
    <w:p>
      <w:pPr>
        <w:rPr>
          <w:rFonts w:hint="default"/>
          <w:color w:val="auto"/>
          <w:lang w:val="en-US" w:eastAsia="zh-CN"/>
        </w:rPr>
      </w:pPr>
      <w:r>
        <w:rPr>
          <w:rFonts w:hint="default"/>
          <w:color w:val="auto"/>
          <w:lang w:val="en-US" w:eastAsia="zh-CN"/>
        </w:rPr>
        <w:t>根据该建设项目的特点和现场调查情况，结合上述评价单元划分原则</w:t>
      </w:r>
      <w:r>
        <w:rPr>
          <w:rFonts w:hint="eastAsia" w:ascii="Times New Roman" w:eastAsia="宋体"/>
          <w:color w:val="auto"/>
          <w:lang w:val="en-US" w:eastAsia="zh-CN"/>
        </w:rPr>
        <w:t>，</w:t>
      </w:r>
      <w:r>
        <w:rPr>
          <w:rFonts w:hint="default"/>
          <w:color w:val="auto"/>
          <w:lang w:val="en-US" w:eastAsia="zh-CN"/>
        </w:rPr>
        <w:t>划分出</w:t>
      </w:r>
      <w:r>
        <w:rPr>
          <w:rFonts w:hint="eastAsia" w:ascii="Times New Roman" w:eastAsia="宋体"/>
          <w:color w:val="auto"/>
          <w:lang w:val="en-US" w:eastAsia="zh-CN"/>
        </w:rPr>
        <w:t>4</w:t>
      </w:r>
      <w:r>
        <w:rPr>
          <w:rFonts w:hint="default"/>
          <w:color w:val="auto"/>
          <w:lang w:val="en-US" w:eastAsia="zh-CN"/>
        </w:rPr>
        <w:t>个评价单元进行评价，即厂址选择单元、总图</w:t>
      </w:r>
      <w:r>
        <w:rPr>
          <w:rFonts w:hint="eastAsia"/>
          <w:color w:val="auto"/>
          <w:lang w:val="en-US" w:eastAsia="zh-CN"/>
        </w:rPr>
        <w:t>布置</w:t>
      </w:r>
      <w:r>
        <w:rPr>
          <w:rFonts w:hint="default"/>
          <w:color w:val="auto"/>
          <w:lang w:val="en-US" w:eastAsia="zh-CN"/>
        </w:rPr>
        <w:t>单元、生产工艺及设备设施单元、公辅设施单元。其中总图</w:t>
      </w:r>
      <w:r>
        <w:rPr>
          <w:rFonts w:hint="eastAsia"/>
          <w:color w:val="auto"/>
          <w:lang w:val="en-US" w:eastAsia="zh-CN"/>
        </w:rPr>
        <w:t>布置</w:t>
      </w:r>
      <w:r>
        <w:rPr>
          <w:rFonts w:hint="default"/>
          <w:color w:val="auto"/>
          <w:lang w:val="en-US" w:eastAsia="zh-CN"/>
        </w:rPr>
        <w:t>单元包含总平面布置、建</w:t>
      </w:r>
      <w:r>
        <w:rPr>
          <w:rFonts w:hint="eastAsia"/>
          <w:color w:val="auto"/>
          <w:lang w:val="en-US" w:eastAsia="zh-CN"/>
        </w:rPr>
        <w:t>（</w:t>
      </w:r>
      <w:r>
        <w:rPr>
          <w:rFonts w:hint="default"/>
          <w:color w:val="auto"/>
          <w:lang w:val="en-US" w:eastAsia="zh-CN"/>
        </w:rPr>
        <w:t>构</w:t>
      </w:r>
      <w:r>
        <w:rPr>
          <w:rFonts w:hint="eastAsia"/>
          <w:color w:val="auto"/>
          <w:lang w:val="en-US" w:eastAsia="zh-CN"/>
        </w:rPr>
        <w:t>）</w:t>
      </w:r>
      <w:r>
        <w:rPr>
          <w:rFonts w:hint="default"/>
          <w:color w:val="auto"/>
          <w:lang w:val="en-US" w:eastAsia="zh-CN"/>
        </w:rPr>
        <w:t>筑物子单元；公辅设施单元包含道路及运输子单元、给排水及消防设施子单元、供配电设施子单元、辅助设施子单元。定性定量评价过程中，将从评价子单元详细对各单元进行分析。</w:t>
      </w:r>
    </w:p>
    <w:p>
      <w:pPr>
        <w:pStyle w:val="3"/>
        <w:bidi w:val="0"/>
        <w:rPr>
          <w:rFonts w:hint="default"/>
          <w:color w:val="auto"/>
          <w:lang w:val="en-US" w:eastAsia="zh-CN"/>
        </w:rPr>
      </w:pPr>
      <w:bookmarkStart w:id="211" w:name="_Toc3055"/>
      <w:bookmarkStart w:id="212" w:name="_Toc13299"/>
      <w:bookmarkStart w:id="213" w:name="_Toc6539"/>
      <w:r>
        <w:rPr>
          <w:rFonts w:hint="default"/>
          <w:color w:val="auto"/>
          <w:lang w:val="en-US" w:eastAsia="zh-CN"/>
        </w:rPr>
        <w:t>4.3 评价方法的选择</w:t>
      </w:r>
      <w:bookmarkEnd w:id="211"/>
      <w:bookmarkEnd w:id="212"/>
      <w:bookmarkEnd w:id="213"/>
    </w:p>
    <w:p>
      <w:pPr>
        <w:pStyle w:val="4"/>
        <w:bidi w:val="0"/>
        <w:rPr>
          <w:rFonts w:hint="default"/>
          <w:color w:val="auto"/>
          <w:lang w:val="en-US" w:eastAsia="zh-CN"/>
        </w:rPr>
      </w:pPr>
      <w:bookmarkStart w:id="214" w:name="_Toc8310"/>
      <w:bookmarkStart w:id="215" w:name="_Toc11596"/>
      <w:bookmarkStart w:id="216" w:name="_Toc12408"/>
      <w:r>
        <w:rPr>
          <w:rFonts w:hint="default"/>
          <w:color w:val="auto"/>
          <w:lang w:val="en-US" w:eastAsia="zh-CN"/>
        </w:rPr>
        <w:t>4.3.1 评价方法的选择原则</w:t>
      </w:r>
      <w:bookmarkEnd w:id="214"/>
      <w:bookmarkEnd w:id="215"/>
      <w:bookmarkEnd w:id="216"/>
    </w:p>
    <w:p>
      <w:pPr>
        <w:rPr>
          <w:rFonts w:hint="default"/>
          <w:color w:val="auto"/>
          <w:lang w:val="en-US" w:eastAsia="zh-CN"/>
        </w:rPr>
      </w:pPr>
      <w:r>
        <w:rPr>
          <w:rFonts w:hint="default"/>
          <w:color w:val="auto"/>
          <w:lang w:val="en-US" w:eastAsia="zh-CN"/>
        </w:rPr>
        <w:t>在进行安全评价时，应该在认真分析并熟悉被评价系统的前提下</w:t>
      </w:r>
      <w:r>
        <w:rPr>
          <w:rFonts w:hint="eastAsia" w:ascii="Times New Roman" w:eastAsia="宋体"/>
          <w:color w:val="auto"/>
          <w:lang w:val="en-US" w:eastAsia="zh-CN"/>
        </w:rPr>
        <w:t>，</w:t>
      </w:r>
      <w:r>
        <w:rPr>
          <w:rFonts w:hint="default"/>
          <w:color w:val="auto"/>
          <w:lang w:val="en-US" w:eastAsia="zh-CN"/>
        </w:rPr>
        <w:t>选择安全评价方法。选择安全评价方法应遵循充分性、适应性、系统性、针对性和合理性的原则。</w:t>
      </w:r>
    </w:p>
    <w:p>
      <w:pPr>
        <w:numPr>
          <w:ilvl w:val="0"/>
          <w:numId w:val="8"/>
        </w:numPr>
        <w:rPr>
          <w:rFonts w:hint="default"/>
          <w:color w:val="auto"/>
          <w:lang w:val="en-US" w:eastAsia="zh-CN"/>
        </w:rPr>
      </w:pPr>
      <w:r>
        <w:rPr>
          <w:rFonts w:hint="default"/>
          <w:color w:val="auto"/>
          <w:lang w:val="en-US" w:eastAsia="zh-CN"/>
        </w:rPr>
        <w:t>充分性原则。充分性是指在选择安全评价方法之前，应该充分分析 评价的系统，掌握足够多的安全评价方法，并充分了解各种安全评价方法的优缺点、适用条件和范围，同时为安全评价工作准备充分的资料。</w:t>
      </w:r>
    </w:p>
    <w:p>
      <w:pPr>
        <w:numPr>
          <w:ilvl w:val="0"/>
          <w:numId w:val="8"/>
        </w:numPr>
        <w:ind w:left="0" w:leftChars="0" w:firstLine="560" w:firstLineChars="200"/>
        <w:rPr>
          <w:rFonts w:hint="default"/>
          <w:color w:val="auto"/>
          <w:lang w:val="en-US" w:eastAsia="zh-CN"/>
        </w:rPr>
      </w:pPr>
      <w:r>
        <w:rPr>
          <w:rFonts w:hint="default"/>
          <w:color w:val="auto"/>
          <w:lang w:val="en-US" w:eastAsia="zh-CN"/>
        </w:rPr>
        <w:t>适应性原则。适应性是指选择的安全评价方法应该适用被评价的系统。</w:t>
      </w:r>
    </w:p>
    <w:p>
      <w:pPr>
        <w:numPr>
          <w:ilvl w:val="0"/>
          <w:numId w:val="8"/>
        </w:numPr>
        <w:ind w:left="0" w:leftChars="0" w:firstLine="560" w:firstLineChars="200"/>
        <w:rPr>
          <w:rFonts w:hint="default"/>
          <w:color w:val="auto"/>
          <w:lang w:val="en-US" w:eastAsia="zh-CN"/>
        </w:rPr>
      </w:pPr>
      <w:r>
        <w:rPr>
          <w:rFonts w:hint="default"/>
          <w:color w:val="auto"/>
          <w:lang w:val="en-US" w:eastAsia="zh-CN"/>
        </w:rPr>
        <w:t>系统性原则。系统性是指选择的安全评价方法必须建立在被评价系统提供的系统化数据和资料的基础上。</w:t>
      </w:r>
    </w:p>
    <w:p>
      <w:pPr>
        <w:numPr>
          <w:ilvl w:val="0"/>
          <w:numId w:val="8"/>
        </w:numPr>
        <w:ind w:left="0" w:leftChars="0" w:firstLine="560" w:firstLineChars="200"/>
        <w:rPr>
          <w:rFonts w:hint="default"/>
          <w:color w:val="auto"/>
          <w:lang w:val="en-US" w:eastAsia="zh-CN"/>
        </w:rPr>
      </w:pPr>
      <w:r>
        <w:rPr>
          <w:rFonts w:hint="default"/>
          <w:color w:val="auto"/>
          <w:lang w:val="en-US" w:eastAsia="zh-CN"/>
        </w:rPr>
        <w:t>针对性原则。针对性是指所选择的安全评价方法应该能够提供所需的结果。</w:t>
      </w:r>
    </w:p>
    <w:p>
      <w:pPr>
        <w:numPr>
          <w:ilvl w:val="0"/>
          <w:numId w:val="8"/>
        </w:numPr>
        <w:ind w:left="0" w:leftChars="0" w:firstLine="560" w:firstLineChars="200"/>
        <w:rPr>
          <w:rFonts w:hint="default"/>
          <w:color w:val="auto"/>
          <w:lang w:val="en-US" w:eastAsia="zh-CN"/>
        </w:rPr>
      </w:pPr>
      <w:r>
        <w:rPr>
          <w:rFonts w:hint="default"/>
          <w:color w:val="auto"/>
          <w:lang w:val="en-US" w:eastAsia="zh-CN"/>
        </w:rPr>
        <w:t>合理性原则。在满足安全评价目的、能够提供所需的安全评价结果 的前提下，应该选择计算过程最简单、所需基础数据最少和最容易获取的安全评价方法。</w:t>
      </w:r>
    </w:p>
    <w:p>
      <w:pPr>
        <w:pStyle w:val="4"/>
        <w:bidi w:val="0"/>
        <w:rPr>
          <w:rFonts w:hint="default"/>
          <w:color w:val="auto"/>
          <w:lang w:val="en-US" w:eastAsia="zh-CN"/>
        </w:rPr>
      </w:pPr>
      <w:bookmarkStart w:id="217" w:name="_Toc15483"/>
      <w:bookmarkStart w:id="218" w:name="_Toc14837"/>
      <w:bookmarkStart w:id="219" w:name="_Toc14629"/>
      <w:r>
        <w:rPr>
          <w:rFonts w:hint="default"/>
          <w:color w:val="auto"/>
          <w:lang w:val="en-US" w:eastAsia="zh-CN"/>
        </w:rPr>
        <w:t>4.3.2 评价方法的选择过程</w:t>
      </w:r>
      <w:bookmarkEnd w:id="217"/>
      <w:bookmarkEnd w:id="218"/>
      <w:bookmarkEnd w:id="219"/>
    </w:p>
    <w:p>
      <w:pPr>
        <w:rPr>
          <w:rFonts w:hint="default"/>
          <w:color w:val="auto"/>
          <w:lang w:val="en-US" w:eastAsia="zh-CN"/>
        </w:rPr>
      </w:pPr>
      <w:r>
        <w:rPr>
          <w:rFonts w:hint="default"/>
          <w:color w:val="auto"/>
          <w:lang w:val="en-US" w:eastAsia="zh-CN"/>
        </w:rPr>
        <w:t>1</w:t>
      </w:r>
      <w:r>
        <w:rPr>
          <w:rFonts w:hint="eastAsia" w:ascii="Times New Roman" w:eastAsia="宋体"/>
          <w:color w:val="auto"/>
          <w:lang w:val="en-US" w:eastAsia="zh-CN"/>
        </w:rPr>
        <w:t xml:space="preserve">. </w:t>
      </w:r>
      <w:r>
        <w:rPr>
          <w:rFonts w:hint="default"/>
          <w:color w:val="auto"/>
          <w:lang w:val="en-US" w:eastAsia="zh-CN"/>
        </w:rPr>
        <w:t>详细分析被评价的系统，明确通过安全评价要达到的目标。</w:t>
      </w:r>
    </w:p>
    <w:p>
      <w:pPr>
        <w:rPr>
          <w:rFonts w:hint="default"/>
          <w:color w:val="auto"/>
          <w:lang w:val="en-US" w:eastAsia="zh-CN"/>
        </w:rPr>
      </w:pPr>
      <w:r>
        <w:rPr>
          <w:rFonts w:hint="default"/>
          <w:color w:val="auto"/>
          <w:lang w:val="en-US" w:eastAsia="zh-CN"/>
        </w:rPr>
        <w:t>2</w:t>
      </w:r>
      <w:r>
        <w:rPr>
          <w:rFonts w:hint="eastAsia" w:ascii="Times New Roman" w:eastAsia="宋体"/>
          <w:color w:val="auto"/>
          <w:lang w:val="en-US" w:eastAsia="zh-CN"/>
        </w:rPr>
        <w:t xml:space="preserve">. </w:t>
      </w:r>
      <w:r>
        <w:rPr>
          <w:rFonts w:hint="default"/>
          <w:color w:val="auto"/>
          <w:lang w:val="en-US" w:eastAsia="zh-CN"/>
        </w:rPr>
        <w:t>收集安全评价方法，并将安全评价方法进行分类整理，明确各安全评价方法的适用条件。</w:t>
      </w:r>
    </w:p>
    <w:p>
      <w:pPr>
        <w:rPr>
          <w:rFonts w:hint="default"/>
          <w:color w:val="auto"/>
          <w:lang w:val="en-US" w:eastAsia="zh-CN"/>
        </w:rPr>
      </w:pPr>
      <w:r>
        <w:rPr>
          <w:rFonts w:hint="default"/>
          <w:color w:val="auto"/>
          <w:lang w:val="en-US" w:eastAsia="zh-CN"/>
        </w:rPr>
        <w:t>3</w:t>
      </w:r>
      <w:r>
        <w:rPr>
          <w:rFonts w:hint="eastAsia" w:ascii="Times New Roman" w:eastAsia="宋体"/>
          <w:color w:val="auto"/>
          <w:lang w:val="en-US" w:eastAsia="zh-CN"/>
        </w:rPr>
        <w:t xml:space="preserve">. </w:t>
      </w:r>
      <w:r>
        <w:rPr>
          <w:rFonts w:hint="default"/>
          <w:color w:val="auto"/>
          <w:lang w:val="en-US" w:eastAsia="zh-CN"/>
        </w:rPr>
        <w:t>明确被评价的系统能够提供的基础数据、工艺和其它资料。</w:t>
      </w:r>
    </w:p>
    <w:p>
      <w:pPr>
        <w:rPr>
          <w:rFonts w:hint="default"/>
          <w:color w:val="auto"/>
          <w:lang w:val="en-US" w:eastAsia="zh-CN"/>
        </w:rPr>
      </w:pPr>
      <w:r>
        <w:rPr>
          <w:rFonts w:hint="default"/>
          <w:color w:val="auto"/>
          <w:lang w:val="en-US" w:eastAsia="zh-CN"/>
        </w:rPr>
        <w:t>综合考虑各种因素，该项目确定选择安全检查表法（SCL）、预先危险</w:t>
      </w:r>
    </w:p>
    <w:p>
      <w:pPr>
        <w:ind w:left="0" w:leftChars="0" w:firstLine="0" w:firstLineChars="0"/>
        <w:rPr>
          <w:rFonts w:hint="default"/>
          <w:color w:val="auto"/>
          <w:lang w:val="en-US" w:eastAsia="zh-CN"/>
        </w:rPr>
      </w:pPr>
      <w:r>
        <w:rPr>
          <w:rFonts w:hint="default"/>
          <w:color w:val="auto"/>
          <w:lang w:val="en-US" w:eastAsia="zh-CN"/>
        </w:rPr>
        <w:t>分析法（PHA）、</w:t>
      </w:r>
      <w:r>
        <w:rPr>
          <w:rFonts w:hint="default"/>
          <w:color w:val="auto"/>
          <w:lang w:val="en-US" w:eastAsia="en-US"/>
        </w:rPr>
        <w:t>综合评价法</w:t>
      </w:r>
      <w:r>
        <w:rPr>
          <w:rFonts w:hint="default"/>
          <w:color w:val="auto"/>
          <w:lang w:val="en-US" w:eastAsia="zh-CN"/>
        </w:rPr>
        <w:t>作为本次评价方法。</w:t>
      </w:r>
    </w:p>
    <w:p>
      <w:pPr>
        <w:pStyle w:val="4"/>
        <w:bidi w:val="0"/>
        <w:rPr>
          <w:rFonts w:hint="default"/>
          <w:color w:val="auto"/>
          <w:lang w:val="en-US" w:eastAsia="zh-CN"/>
        </w:rPr>
      </w:pPr>
      <w:bookmarkStart w:id="220" w:name="_Toc3683"/>
      <w:bookmarkStart w:id="221" w:name="_Toc25187"/>
      <w:bookmarkStart w:id="222" w:name="_Toc5963"/>
      <w:r>
        <w:rPr>
          <w:rFonts w:hint="default"/>
          <w:color w:val="auto"/>
          <w:lang w:val="en-US" w:eastAsia="zh-CN"/>
        </w:rPr>
        <w:t>4.3.3 各单元评价方法的选择</w:t>
      </w:r>
      <w:bookmarkEnd w:id="220"/>
      <w:bookmarkEnd w:id="221"/>
      <w:bookmarkEnd w:id="222"/>
    </w:p>
    <w:p>
      <w:pPr>
        <w:rPr>
          <w:rFonts w:hint="default"/>
          <w:color w:val="auto"/>
          <w:lang w:val="en-US" w:eastAsia="zh-CN"/>
        </w:rPr>
      </w:pPr>
      <w:r>
        <w:rPr>
          <w:rFonts w:hint="default"/>
          <w:color w:val="auto"/>
          <w:lang w:val="en-US" w:eastAsia="zh-CN"/>
        </w:rPr>
        <w:t>依据该建设项目的工程特点，各评价单元选用的评价方法见表4-1所示。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default"/>
          <w:color w:val="auto"/>
          <w:lang w:val="en-US" w:eastAsia="zh-CN"/>
        </w:rPr>
        <w:t>表4-1</w:t>
      </w:r>
      <w:r>
        <w:rPr>
          <w:rFonts w:hint="eastAsia" w:ascii="Times New Roman" w:eastAsia="宋体"/>
          <w:color w:val="auto"/>
          <w:lang w:val="en-US" w:eastAsia="zh-CN"/>
        </w:rPr>
        <w:t xml:space="preserve"> </w:t>
      </w:r>
      <w:r>
        <w:rPr>
          <w:rFonts w:hint="default"/>
          <w:color w:val="auto"/>
          <w:lang w:val="en-US" w:eastAsia="zh-CN"/>
        </w:rPr>
        <w:t>各评价单元选用的评价方法表</w:t>
      </w:r>
    </w:p>
    <w:tbl>
      <w:tblPr>
        <w:tblStyle w:val="34"/>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28"/>
        <w:gridCol w:w="2485"/>
        <w:gridCol w:w="2404"/>
        <w:gridCol w:w="26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atLeast"/>
          <w:jc w:val="center"/>
        </w:trPr>
        <w:tc>
          <w:tcPr>
            <w:tcW w:w="2209" w:type="pct"/>
            <w:gridSpan w:val="2"/>
            <w:tcBorders>
              <w:right w:val="single" w:color="000000" w:sz="2" w:space="0"/>
              <w:tl2br w:val="single" w:color="000000" w:sz="4" w:space="0"/>
            </w:tcBorders>
            <w:vAlign w:val="top"/>
          </w:tcPr>
          <w:p>
            <w:pPr>
              <w:keepNext w:val="0"/>
              <w:keepLines w:val="0"/>
              <w:pageBreakBefore w:val="0"/>
              <w:kinsoku w:val="0"/>
              <w:wordWrap/>
              <w:overflowPunct/>
              <w:topLinePunct w:val="0"/>
              <w:autoSpaceDE w:val="0"/>
              <w:autoSpaceDN w:val="0"/>
              <w:bidi w:val="0"/>
              <w:adjustRightInd w:val="0"/>
              <w:snapToGrid w:val="0"/>
              <w:spacing w:line="226"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cs="Times New Roman"/>
                <w:snapToGrid w:val="0"/>
                <w:color w:val="auto"/>
                <w:spacing w:val="7"/>
                <w:kern w:val="0"/>
                <w:sz w:val="21"/>
                <w:szCs w:val="21"/>
                <w:lang w:val="en-US" w:eastAsia="zh-CN" w:bidi="ar-SA"/>
              </w:rPr>
              <w:t xml:space="preserve">              </w:t>
            </w:r>
            <w:r>
              <w:rPr>
                <w:rFonts w:hint="default" w:ascii="Times New Roman" w:hAnsi="Times New Roman" w:eastAsia="宋体" w:cs="Times New Roman"/>
                <w:snapToGrid w:val="0"/>
                <w:color w:val="auto"/>
                <w:spacing w:val="7"/>
                <w:kern w:val="0"/>
                <w:sz w:val="21"/>
                <w:szCs w:val="21"/>
                <w:lang w:val="en-US" w:eastAsia="en-US" w:bidi="ar-SA"/>
              </w:rPr>
              <w:t>评价方法</w:t>
            </w:r>
          </w:p>
          <w:p>
            <w:pPr>
              <w:keepNext w:val="0"/>
              <w:keepLines w:val="0"/>
              <w:pageBreakBefore w:val="0"/>
              <w:kinsoku w:val="0"/>
              <w:wordWrap/>
              <w:overflowPunct/>
              <w:topLinePunct w:val="0"/>
              <w:autoSpaceDE w:val="0"/>
              <w:autoSpaceDN w:val="0"/>
              <w:bidi w:val="0"/>
              <w:adjustRightInd w:val="0"/>
              <w:snapToGrid w:val="0"/>
              <w:spacing w:line="226" w:lineRule="auto"/>
              <w:ind w:left="0" w:firstLine="0" w:firstLineChars="0"/>
              <w:jc w:val="center"/>
              <w:textAlignment w:val="baseline"/>
              <w:rPr>
                <w:rFonts w:hint="default" w:ascii="Times New Roman" w:hAnsi="Times New Roman" w:eastAsia="宋体" w:cs="Times New Roman"/>
                <w:snapToGrid w:val="0"/>
                <w:color w:val="auto"/>
                <w:spacing w:val="7"/>
                <w:kern w:val="0"/>
                <w:sz w:val="21"/>
                <w:szCs w:val="21"/>
                <w:lang w:val="en-US" w:eastAsia="en-US" w:bidi="ar-SA"/>
              </w:rPr>
            </w:pPr>
          </w:p>
          <w:p>
            <w:pPr>
              <w:keepNext w:val="0"/>
              <w:keepLines w:val="0"/>
              <w:pageBreakBefore w:val="0"/>
              <w:kinsoku w:val="0"/>
              <w:wordWrap/>
              <w:overflowPunct/>
              <w:topLinePunct w:val="0"/>
              <w:autoSpaceDE w:val="0"/>
              <w:autoSpaceDN w:val="0"/>
              <w:bidi w:val="0"/>
              <w:adjustRightInd w:val="0"/>
              <w:snapToGrid w:val="0"/>
              <w:spacing w:line="226" w:lineRule="auto"/>
              <w:ind w:lef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评价单元</w:t>
            </w:r>
          </w:p>
        </w:tc>
        <w:tc>
          <w:tcPr>
            <w:tcW w:w="1323" w:type="pct"/>
            <w:tcBorders>
              <w:left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安全检查表法</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w:t>
            </w:r>
            <w:r>
              <w:rPr>
                <w:rFonts w:hint="default" w:ascii="Times New Roman" w:hAnsi="Times New Roman" w:eastAsia="宋体" w:cs="Times New Roman"/>
                <w:snapToGrid w:val="0"/>
                <w:color w:val="auto"/>
                <w:kern w:val="0"/>
                <w:sz w:val="21"/>
                <w:szCs w:val="21"/>
                <w:lang w:val="en-US" w:eastAsia="en-US" w:bidi="ar-SA"/>
              </w:rPr>
              <w:t>SCL</w:t>
            </w:r>
            <w:r>
              <w:rPr>
                <w:rFonts w:hint="default" w:ascii="Times New Roman" w:hAnsi="Times New Roman" w:eastAsia="宋体" w:cs="Times New Roman"/>
                <w:snapToGrid w:val="0"/>
                <w:color w:val="auto"/>
                <w:spacing w:val="3"/>
                <w:kern w:val="0"/>
                <w:sz w:val="21"/>
                <w:szCs w:val="21"/>
                <w:lang w:val="en-US" w:eastAsia="en-US" w:bidi="ar-SA"/>
              </w:rPr>
              <w:t>）</w:t>
            </w:r>
          </w:p>
        </w:tc>
        <w:tc>
          <w:tcPr>
            <w:tcW w:w="146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预先危险分析法</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w:t>
            </w:r>
            <w:r>
              <w:rPr>
                <w:rFonts w:hint="default" w:ascii="Times New Roman" w:hAnsi="Times New Roman" w:eastAsia="宋体" w:cs="Times New Roman"/>
                <w:snapToGrid w:val="0"/>
                <w:color w:val="auto"/>
                <w:kern w:val="0"/>
                <w:sz w:val="21"/>
                <w:szCs w:val="21"/>
                <w:lang w:val="en-US" w:eastAsia="en-US" w:bidi="ar-SA"/>
              </w:rPr>
              <w:t>PHA</w:t>
            </w:r>
            <w:r>
              <w:rPr>
                <w:rFonts w:hint="default" w:ascii="Times New Roman" w:hAnsi="Times New Roman" w:eastAsia="宋体" w:cs="Times New Roman"/>
                <w:snapToGrid w:val="0"/>
                <w:color w:val="auto"/>
                <w:spacing w:val="3"/>
                <w:kern w:val="0"/>
                <w:sz w:val="21"/>
                <w:szCs w:val="21"/>
                <w:lang w:val="en-US" w:eastAsia="en-US"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841"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Arial" w:cs="Times New Roman"/>
                <w:snapToGrid w:val="0"/>
                <w:color w:val="auto"/>
                <w:kern w:val="0"/>
                <w:sz w:val="21"/>
                <w:szCs w:val="21"/>
                <w:lang w:val="en-US" w:eastAsia="en-US"/>
              </w:rPr>
            </w:pPr>
            <w:r>
              <w:rPr>
                <w:rFonts w:hint="default" w:ascii="Times New Roman" w:hAnsi="Times New Roman" w:eastAsia="Arial" w:cs="Times New Roman"/>
                <w:snapToGrid w:val="0"/>
                <w:color w:val="auto"/>
                <w:kern w:val="0"/>
                <w:sz w:val="21"/>
                <w:szCs w:val="21"/>
                <w:lang w:val="en-US" w:eastAsia="en-US"/>
              </w:rPr>
              <w:t>1</w:t>
            </w:r>
          </w:p>
        </w:tc>
        <w:tc>
          <w:tcPr>
            <w:tcW w:w="1368"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Arial" w:cs="Times New Roman"/>
                <w:snapToGrid w:val="0"/>
                <w:color w:val="auto"/>
                <w:kern w:val="0"/>
                <w:sz w:val="21"/>
                <w:szCs w:val="21"/>
                <w:lang w:val="en-US" w:eastAsia="en-US"/>
              </w:rPr>
            </w:pPr>
            <w:r>
              <w:rPr>
                <w:rFonts w:hint="default" w:ascii="Times New Roman" w:hAnsi="Times New Roman" w:eastAsia="Arial" w:cs="Times New Roman"/>
                <w:snapToGrid w:val="0"/>
                <w:color w:val="auto"/>
                <w:kern w:val="0"/>
                <w:sz w:val="21"/>
                <w:szCs w:val="21"/>
                <w:lang w:val="en-US" w:eastAsia="en-US"/>
              </w:rPr>
              <w:t>厂址选择单元</w:t>
            </w:r>
          </w:p>
        </w:tc>
        <w:tc>
          <w:tcPr>
            <w:tcW w:w="1323"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position w:val="1"/>
                <w:sz w:val="21"/>
                <w:szCs w:val="21"/>
                <w:lang w:val="en-US" w:eastAsia="en-US" w:bidi="ar-SA"/>
              </w:rPr>
              <w:t>√</w:t>
            </w:r>
          </w:p>
        </w:tc>
        <w:tc>
          <w:tcPr>
            <w:tcW w:w="146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Arial" w:cs="Times New Roman"/>
                <w:snapToGrid w:val="0"/>
                <w:color w:val="auto"/>
                <w:kern w:val="0"/>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841"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Arial" w:cs="Times New Roman"/>
                <w:snapToGrid w:val="0"/>
                <w:color w:val="auto"/>
                <w:kern w:val="0"/>
                <w:sz w:val="21"/>
                <w:szCs w:val="21"/>
                <w:lang w:val="en-US" w:eastAsia="en-US"/>
              </w:rPr>
            </w:pPr>
            <w:r>
              <w:rPr>
                <w:rFonts w:hint="default" w:ascii="Times New Roman" w:hAnsi="Times New Roman" w:eastAsia="Arial" w:cs="Times New Roman"/>
                <w:snapToGrid w:val="0"/>
                <w:color w:val="auto"/>
                <w:kern w:val="0"/>
                <w:sz w:val="21"/>
                <w:szCs w:val="21"/>
                <w:lang w:val="en-US" w:eastAsia="en-US"/>
              </w:rPr>
              <w:t>2</w:t>
            </w:r>
          </w:p>
        </w:tc>
        <w:tc>
          <w:tcPr>
            <w:tcW w:w="1368"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Arial" w:cs="Times New Roman"/>
                <w:snapToGrid w:val="0"/>
                <w:color w:val="auto"/>
                <w:kern w:val="0"/>
                <w:sz w:val="21"/>
                <w:szCs w:val="21"/>
                <w:lang w:val="en-US" w:eastAsia="en-US"/>
              </w:rPr>
            </w:pPr>
            <w:r>
              <w:rPr>
                <w:rFonts w:hint="default" w:ascii="Times New Roman" w:hAnsi="Times New Roman" w:eastAsia="Arial" w:cs="Times New Roman"/>
                <w:snapToGrid w:val="0"/>
                <w:color w:val="auto"/>
                <w:kern w:val="0"/>
                <w:sz w:val="21"/>
                <w:szCs w:val="21"/>
                <w:lang w:val="en-US" w:eastAsia="en-US"/>
              </w:rPr>
              <w:t>总</w:t>
            </w:r>
            <w:r>
              <w:rPr>
                <w:rFonts w:hint="eastAsia" w:cs="Times New Roman"/>
                <w:snapToGrid w:val="0"/>
                <w:color w:val="auto"/>
                <w:kern w:val="0"/>
                <w:sz w:val="21"/>
                <w:szCs w:val="21"/>
                <w:lang w:val="en-US" w:eastAsia="zh-CN"/>
              </w:rPr>
              <w:t>图</w:t>
            </w:r>
            <w:r>
              <w:rPr>
                <w:rFonts w:hint="eastAsia" w:eastAsia="宋体" w:cs="Times New Roman"/>
                <w:snapToGrid w:val="0"/>
                <w:color w:val="auto"/>
                <w:kern w:val="0"/>
                <w:sz w:val="21"/>
                <w:szCs w:val="21"/>
                <w:lang w:val="en-US" w:eastAsia="zh-CN"/>
              </w:rPr>
              <w:t>布置</w:t>
            </w:r>
            <w:r>
              <w:rPr>
                <w:rFonts w:hint="default" w:ascii="Times New Roman" w:hAnsi="Times New Roman" w:eastAsia="Arial" w:cs="Times New Roman"/>
                <w:snapToGrid w:val="0"/>
                <w:color w:val="auto"/>
                <w:kern w:val="0"/>
                <w:sz w:val="21"/>
                <w:szCs w:val="21"/>
                <w:lang w:val="en-US" w:eastAsia="en-US"/>
              </w:rPr>
              <w:t>单元</w:t>
            </w:r>
          </w:p>
        </w:tc>
        <w:tc>
          <w:tcPr>
            <w:tcW w:w="1323"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position w:val="1"/>
                <w:sz w:val="21"/>
                <w:szCs w:val="21"/>
                <w:lang w:val="en-US" w:eastAsia="en-US" w:bidi="ar-SA"/>
              </w:rPr>
              <w:t>√</w:t>
            </w:r>
          </w:p>
        </w:tc>
        <w:tc>
          <w:tcPr>
            <w:tcW w:w="146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jc w:val="center"/>
        </w:trPr>
        <w:tc>
          <w:tcPr>
            <w:tcW w:w="841"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Arial" w:cs="Times New Roman"/>
                <w:snapToGrid w:val="0"/>
                <w:color w:val="auto"/>
                <w:kern w:val="0"/>
                <w:sz w:val="21"/>
                <w:szCs w:val="21"/>
                <w:lang w:val="en-US" w:eastAsia="en-US"/>
              </w:rPr>
            </w:pPr>
            <w:r>
              <w:rPr>
                <w:rFonts w:hint="default" w:ascii="Times New Roman" w:hAnsi="Times New Roman" w:eastAsia="Arial" w:cs="Times New Roman"/>
                <w:snapToGrid w:val="0"/>
                <w:color w:val="auto"/>
                <w:kern w:val="0"/>
                <w:sz w:val="21"/>
                <w:szCs w:val="21"/>
                <w:lang w:val="en-US" w:eastAsia="en-US"/>
              </w:rPr>
              <w:t>3</w:t>
            </w:r>
          </w:p>
        </w:tc>
        <w:tc>
          <w:tcPr>
            <w:tcW w:w="1368"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Arial" w:cs="Times New Roman"/>
                <w:snapToGrid w:val="0"/>
                <w:color w:val="auto"/>
                <w:kern w:val="0"/>
                <w:sz w:val="21"/>
                <w:szCs w:val="21"/>
                <w:lang w:val="en-US" w:eastAsia="en-US"/>
              </w:rPr>
            </w:pPr>
            <w:r>
              <w:rPr>
                <w:rFonts w:hint="default" w:ascii="Times New Roman" w:hAnsi="Times New Roman" w:eastAsia="Arial" w:cs="Times New Roman"/>
                <w:snapToGrid w:val="0"/>
                <w:color w:val="auto"/>
                <w:kern w:val="0"/>
                <w:sz w:val="21"/>
                <w:szCs w:val="21"/>
                <w:lang w:val="en-US" w:eastAsia="en-US"/>
              </w:rPr>
              <w:t>生产工艺及设备设施单元</w:t>
            </w:r>
          </w:p>
        </w:tc>
        <w:tc>
          <w:tcPr>
            <w:tcW w:w="1323"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Arial" w:cs="Times New Roman"/>
                <w:snapToGrid w:val="0"/>
                <w:color w:val="auto"/>
                <w:kern w:val="0"/>
                <w:sz w:val="21"/>
                <w:szCs w:val="21"/>
                <w:lang w:eastAsia="en-US"/>
              </w:rPr>
            </w:pPr>
            <w:r>
              <w:rPr>
                <w:rFonts w:hint="default" w:ascii="Times New Roman" w:hAnsi="Times New Roman" w:eastAsia="宋体" w:cs="Times New Roman"/>
                <w:snapToGrid w:val="0"/>
                <w:color w:val="auto"/>
                <w:kern w:val="0"/>
                <w:position w:val="1"/>
                <w:sz w:val="21"/>
                <w:szCs w:val="21"/>
                <w:lang w:val="en-US" w:eastAsia="en-US" w:bidi="ar-SA"/>
              </w:rPr>
              <w:t>√</w:t>
            </w:r>
          </w:p>
        </w:tc>
        <w:tc>
          <w:tcPr>
            <w:tcW w:w="146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position w:val="1"/>
                <w:sz w:val="21"/>
                <w:szCs w:val="21"/>
                <w:lang w:val="en-US" w:eastAsia="en-US"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41"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Arial" w:cs="Times New Roman"/>
                <w:snapToGrid w:val="0"/>
                <w:color w:val="auto"/>
                <w:kern w:val="0"/>
                <w:sz w:val="21"/>
                <w:szCs w:val="21"/>
                <w:lang w:val="en-US" w:eastAsia="en-US"/>
              </w:rPr>
            </w:pPr>
            <w:r>
              <w:rPr>
                <w:rFonts w:hint="default" w:ascii="Times New Roman" w:hAnsi="Times New Roman" w:eastAsia="Arial" w:cs="Times New Roman"/>
                <w:snapToGrid w:val="0"/>
                <w:color w:val="auto"/>
                <w:kern w:val="0"/>
                <w:sz w:val="21"/>
                <w:szCs w:val="21"/>
                <w:lang w:val="en-US" w:eastAsia="en-US"/>
              </w:rPr>
              <w:t>4</w:t>
            </w:r>
          </w:p>
        </w:tc>
        <w:tc>
          <w:tcPr>
            <w:tcW w:w="1368"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Arial" w:cs="Times New Roman"/>
                <w:snapToGrid w:val="0"/>
                <w:color w:val="auto"/>
                <w:kern w:val="0"/>
                <w:sz w:val="21"/>
                <w:szCs w:val="21"/>
                <w:lang w:val="en-US" w:eastAsia="en-US"/>
              </w:rPr>
            </w:pPr>
            <w:r>
              <w:rPr>
                <w:rFonts w:hint="default" w:ascii="Times New Roman" w:hAnsi="Times New Roman" w:eastAsia="Arial" w:cs="Times New Roman"/>
                <w:snapToGrid w:val="0"/>
                <w:color w:val="auto"/>
                <w:kern w:val="0"/>
                <w:sz w:val="21"/>
                <w:szCs w:val="21"/>
                <w:lang w:val="en-US" w:eastAsia="en-US"/>
              </w:rPr>
              <w:t>公辅设施单元</w:t>
            </w:r>
          </w:p>
        </w:tc>
        <w:tc>
          <w:tcPr>
            <w:tcW w:w="1323"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Arial" w:cs="Times New Roman"/>
                <w:snapToGrid w:val="0"/>
                <w:color w:val="auto"/>
                <w:kern w:val="0"/>
                <w:sz w:val="21"/>
                <w:szCs w:val="21"/>
                <w:lang w:eastAsia="en-US"/>
              </w:rPr>
            </w:pPr>
            <w:r>
              <w:rPr>
                <w:rFonts w:hint="default" w:ascii="Times New Roman" w:hAnsi="Times New Roman" w:eastAsia="宋体" w:cs="Times New Roman"/>
                <w:snapToGrid w:val="0"/>
                <w:color w:val="auto"/>
                <w:kern w:val="0"/>
                <w:position w:val="1"/>
                <w:sz w:val="21"/>
                <w:szCs w:val="21"/>
                <w:lang w:val="en-US" w:eastAsia="en-US" w:bidi="ar-SA"/>
              </w:rPr>
              <w:t>√</w:t>
            </w:r>
          </w:p>
        </w:tc>
        <w:tc>
          <w:tcPr>
            <w:tcW w:w="146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Arial" w:cs="Times New Roman"/>
                <w:snapToGrid w:val="0"/>
                <w:color w:val="auto"/>
                <w:kern w:val="0"/>
                <w:sz w:val="21"/>
                <w:szCs w:val="21"/>
                <w:lang w:eastAsia="en-US"/>
              </w:rPr>
            </w:pPr>
          </w:p>
        </w:tc>
      </w:tr>
    </w:tbl>
    <w:p>
      <w:pPr>
        <w:pStyle w:val="4"/>
        <w:bidi w:val="0"/>
        <w:rPr>
          <w:rFonts w:hint="default"/>
          <w:color w:val="auto"/>
          <w:lang w:val="en-US" w:eastAsia="zh-CN"/>
        </w:rPr>
      </w:pPr>
      <w:bookmarkStart w:id="223" w:name="_Toc8957"/>
      <w:bookmarkStart w:id="224" w:name="_Toc1840"/>
      <w:bookmarkStart w:id="225" w:name="_Toc27479"/>
      <w:r>
        <w:rPr>
          <w:rFonts w:hint="default"/>
          <w:color w:val="auto"/>
          <w:lang w:val="en-US" w:eastAsia="zh-CN"/>
        </w:rPr>
        <w:t>4.3.4 评价方法的选择</w:t>
      </w:r>
      <w:bookmarkEnd w:id="223"/>
      <w:bookmarkEnd w:id="224"/>
      <w:bookmarkEnd w:id="225"/>
    </w:p>
    <w:p>
      <w:pPr>
        <w:bidi w:val="0"/>
        <w:rPr>
          <w:rFonts w:hint="default"/>
          <w:color w:val="auto"/>
          <w:lang w:val="en-US" w:eastAsia="zh-CN"/>
        </w:rPr>
      </w:pPr>
      <w:r>
        <w:rPr>
          <w:rFonts w:hint="default"/>
          <w:color w:val="auto"/>
          <w:lang w:val="en-US" w:eastAsia="zh-CN"/>
        </w:rPr>
        <w:t>1</w:t>
      </w:r>
      <w:r>
        <w:rPr>
          <w:rFonts w:hint="eastAsia" w:ascii="Times New Roman" w:eastAsia="宋体"/>
          <w:color w:val="auto"/>
          <w:lang w:val="en-US" w:eastAsia="zh-CN"/>
        </w:rPr>
        <w:t xml:space="preserve">. </w:t>
      </w:r>
      <w:r>
        <w:rPr>
          <w:rFonts w:hint="default"/>
          <w:color w:val="auto"/>
          <w:lang w:val="en-US" w:eastAsia="zh-CN"/>
        </w:rPr>
        <w:t>选定安全检查表法的原因在于，项目可行性研究报告对项目厂址选 择、总平面布置等已有方案，已具备采用相关规程、规范要求实施安全检查的条件。该项目</w:t>
      </w:r>
      <w:r>
        <w:rPr>
          <w:rFonts w:hint="eastAsia" w:ascii="Times New Roman" w:eastAsia="宋体"/>
          <w:color w:val="auto"/>
          <w:lang w:val="en-US" w:eastAsia="zh-CN"/>
        </w:rPr>
        <w:t>厂</w:t>
      </w:r>
      <w:r>
        <w:rPr>
          <w:rFonts w:hint="default"/>
          <w:color w:val="auto"/>
          <w:lang w:val="en-US" w:eastAsia="zh-CN"/>
        </w:rPr>
        <w:t>址选择与总平面</w:t>
      </w:r>
      <w:r>
        <w:rPr>
          <w:rFonts w:hint="eastAsia" w:ascii="Times New Roman" w:eastAsia="宋体"/>
          <w:color w:val="auto"/>
          <w:lang w:val="en-US" w:eastAsia="zh-CN"/>
        </w:rPr>
        <w:t>运输</w:t>
      </w:r>
      <w:r>
        <w:rPr>
          <w:rFonts w:hint="default"/>
          <w:color w:val="auto"/>
          <w:lang w:val="en-US" w:eastAsia="zh-CN"/>
        </w:rPr>
        <w:t>单元采用了此方法。</w:t>
      </w:r>
    </w:p>
    <w:p>
      <w:pPr>
        <w:numPr>
          <w:ilvl w:val="0"/>
          <w:numId w:val="9"/>
        </w:numPr>
        <w:bidi w:val="0"/>
        <w:rPr>
          <w:rFonts w:hint="default"/>
          <w:color w:val="auto"/>
          <w:lang w:val="en-US" w:eastAsia="zh-CN"/>
        </w:rPr>
      </w:pPr>
      <w:r>
        <w:rPr>
          <w:rFonts w:hint="default"/>
          <w:color w:val="auto"/>
          <w:lang w:val="en-US" w:eastAsia="zh-CN"/>
        </w:rPr>
        <w:t>选定预先危险分析法的原因在于</w:t>
      </w:r>
      <w:r>
        <w:rPr>
          <w:rFonts w:hint="eastAsia" w:ascii="Times New Roman" w:eastAsia="宋体"/>
          <w:color w:val="auto"/>
          <w:lang w:val="en-US" w:eastAsia="zh-CN"/>
        </w:rPr>
        <w:t>，</w:t>
      </w:r>
      <w:r>
        <w:rPr>
          <w:rFonts w:hint="default"/>
          <w:color w:val="auto"/>
          <w:lang w:val="en-US" w:eastAsia="zh-CN"/>
        </w:rPr>
        <w:t>项目处于可行性研究阶段，项目 尚在图纸上，无实物可供现场考察分析，所以要想弄清拟建项目建成后系统中可能存在事故的可能类型及其危害程度，并在此基础上提出各种可行的安全对策措施，必须结合拟建项目的各项设计资料，类比分析同类工程以往生产过程中发生的事故情况，而这种分析方法正好是预先危险分析的基本分析步骤。</w:t>
      </w:r>
      <w:r>
        <w:rPr>
          <w:rFonts w:hint="eastAsia" w:ascii="Times New Roman" w:eastAsia="宋体"/>
          <w:color w:val="auto"/>
          <w:lang w:val="en-US" w:eastAsia="zh-CN"/>
        </w:rPr>
        <w:t>因此，该项目生产工艺流程单元</w:t>
      </w:r>
      <w:r>
        <w:rPr>
          <w:rFonts w:hint="default"/>
          <w:color w:val="auto"/>
          <w:lang w:val="en-US" w:eastAsia="zh-CN"/>
        </w:rPr>
        <w:t>采用了此方法。</w:t>
      </w:r>
    </w:p>
    <w:p>
      <w:pPr>
        <w:pStyle w:val="3"/>
        <w:bidi w:val="0"/>
        <w:rPr>
          <w:rFonts w:hint="default"/>
          <w:color w:val="auto"/>
          <w:lang w:val="en-US" w:eastAsia="zh-CN"/>
        </w:rPr>
      </w:pPr>
      <w:bookmarkStart w:id="226" w:name="_Toc32501"/>
      <w:bookmarkStart w:id="227" w:name="_Toc20405"/>
      <w:bookmarkStart w:id="228" w:name="_Toc1054"/>
      <w:r>
        <w:rPr>
          <w:rFonts w:hint="default"/>
          <w:color w:val="auto"/>
          <w:lang w:val="en-US" w:eastAsia="zh-CN"/>
        </w:rPr>
        <w:t>4.4 评价方法的介绍</w:t>
      </w:r>
      <w:bookmarkEnd w:id="226"/>
      <w:bookmarkEnd w:id="227"/>
      <w:bookmarkEnd w:id="228"/>
    </w:p>
    <w:p>
      <w:pPr>
        <w:pStyle w:val="4"/>
        <w:bidi w:val="0"/>
        <w:rPr>
          <w:rFonts w:hint="default"/>
          <w:color w:val="auto"/>
          <w:lang w:val="en-US" w:eastAsia="zh-CN"/>
        </w:rPr>
      </w:pPr>
      <w:bookmarkStart w:id="229" w:name="_Toc8702"/>
      <w:bookmarkStart w:id="230" w:name="_Toc12315"/>
      <w:bookmarkStart w:id="231" w:name="_Toc22813"/>
      <w:r>
        <w:rPr>
          <w:rFonts w:hint="default"/>
          <w:color w:val="auto"/>
          <w:lang w:val="en-US" w:eastAsia="zh-CN"/>
        </w:rPr>
        <w:t>4.4.1 安全检查表法（SCL）</w:t>
      </w:r>
      <w:bookmarkEnd w:id="229"/>
      <w:bookmarkEnd w:id="230"/>
      <w:bookmarkEnd w:id="231"/>
    </w:p>
    <w:p>
      <w:pPr>
        <w:bidi w:val="0"/>
        <w:rPr>
          <w:rFonts w:hint="default"/>
          <w:color w:val="auto"/>
          <w:lang w:val="en-US" w:eastAsia="zh-CN"/>
        </w:rPr>
      </w:pPr>
      <w:r>
        <w:rPr>
          <w:rFonts w:hint="default"/>
          <w:color w:val="auto"/>
          <w:lang w:val="en-US" w:eastAsia="zh-CN"/>
        </w:rPr>
        <w:t>安全检查表分析法（Safety Checklist Analysis）简称为SCL，是将一系列分析项目列出检查表进行检查、分析，以确定系统的状态，这些项目可包括设备、设施、工艺、操作、管理等各个方面。安全检查表分析法既可以用于简单的快速分析，也可以用于深层次的细致地分析，是识别已知危险的较为有效的分析方法之一。该方法主要是符合性检查。评价人员通过确定标准的设计或操作以建立传统的安全检查表，然后用它产生一系列基于缺陷或差异的问题。所完成的安全检查表包括对提出的问题回答</w:t>
      </w:r>
      <w:r>
        <w:rPr>
          <w:rFonts w:hint="eastAsia"/>
          <w:color w:val="auto"/>
          <w:lang w:val="en-US" w:eastAsia="zh-CN"/>
        </w:rPr>
        <w:t>“满足要求”或“下一步设计补充”</w:t>
      </w:r>
      <w:r>
        <w:rPr>
          <w:rFonts w:hint="default"/>
          <w:color w:val="auto"/>
          <w:lang w:val="en-US" w:eastAsia="zh-CN"/>
        </w:rPr>
        <w:t>。</w:t>
      </w:r>
    </w:p>
    <w:p>
      <w:pPr>
        <w:numPr>
          <w:ilvl w:val="0"/>
          <w:numId w:val="0"/>
        </w:numPr>
        <w:bidi w:val="0"/>
        <w:ind w:firstLine="560" w:firstLineChars="200"/>
        <w:rPr>
          <w:rFonts w:hint="default"/>
          <w:color w:val="auto"/>
          <w:lang w:val="en-US" w:eastAsia="zh-CN"/>
        </w:rPr>
      </w:pPr>
      <w:r>
        <w:rPr>
          <w:rFonts w:hint="eastAsia" w:ascii="Times New Roman" w:eastAsia="宋体"/>
          <w:color w:val="auto"/>
          <w:lang w:val="en-US" w:eastAsia="zh-CN"/>
        </w:rPr>
        <w:t>一、</w:t>
      </w:r>
      <w:r>
        <w:rPr>
          <w:rFonts w:hint="default"/>
          <w:color w:val="auto"/>
          <w:lang w:val="en-US" w:eastAsia="zh-CN"/>
        </w:rPr>
        <w:t>安全检查表编制的主要依据</w:t>
      </w:r>
    </w:p>
    <w:p>
      <w:pPr>
        <w:bidi w:val="0"/>
        <w:rPr>
          <w:rFonts w:hint="default"/>
          <w:color w:val="auto"/>
          <w:lang w:val="en-US" w:eastAsia="zh-CN"/>
        </w:rPr>
      </w:pPr>
      <w:r>
        <w:rPr>
          <w:rFonts w:hint="default"/>
          <w:color w:val="auto"/>
          <w:lang w:val="en-US" w:eastAsia="zh-CN"/>
        </w:rPr>
        <w:t>1</w:t>
      </w:r>
      <w:r>
        <w:rPr>
          <w:rFonts w:hint="eastAsia" w:ascii="Times New Roman" w:eastAsia="宋体"/>
          <w:color w:val="auto"/>
          <w:lang w:val="en-US" w:eastAsia="zh-CN"/>
        </w:rPr>
        <w:t xml:space="preserve">. </w:t>
      </w:r>
      <w:r>
        <w:rPr>
          <w:rFonts w:hint="default"/>
          <w:color w:val="auto"/>
          <w:lang w:val="en-US" w:eastAsia="zh-CN"/>
        </w:rPr>
        <w:t>有关法律、法规、标准；</w:t>
      </w:r>
    </w:p>
    <w:p>
      <w:pPr>
        <w:bidi w:val="0"/>
        <w:rPr>
          <w:rFonts w:hint="default"/>
          <w:color w:val="auto"/>
          <w:lang w:val="en-US" w:eastAsia="zh-CN"/>
        </w:rPr>
      </w:pPr>
      <w:r>
        <w:rPr>
          <w:rFonts w:hint="default"/>
          <w:color w:val="auto"/>
          <w:lang w:val="en-US" w:eastAsia="zh-CN"/>
        </w:rPr>
        <w:t>2</w:t>
      </w:r>
      <w:r>
        <w:rPr>
          <w:rFonts w:hint="eastAsia" w:ascii="Times New Roman" w:eastAsia="宋体"/>
          <w:color w:val="auto"/>
          <w:lang w:val="en-US" w:eastAsia="zh-CN"/>
        </w:rPr>
        <w:t xml:space="preserve">. </w:t>
      </w:r>
      <w:r>
        <w:rPr>
          <w:rFonts w:hint="default"/>
          <w:color w:val="auto"/>
          <w:lang w:val="en-US" w:eastAsia="zh-CN"/>
        </w:rPr>
        <w:t>事故安全、经验、教训。</w:t>
      </w:r>
    </w:p>
    <w:p>
      <w:pPr>
        <w:bidi w:val="0"/>
        <w:rPr>
          <w:rFonts w:hint="default"/>
          <w:color w:val="auto"/>
          <w:lang w:val="en-US" w:eastAsia="zh-CN"/>
        </w:rPr>
      </w:pPr>
      <w:r>
        <w:rPr>
          <w:rFonts w:hint="eastAsia" w:ascii="Times New Roman" w:eastAsia="宋体"/>
          <w:color w:val="auto"/>
          <w:lang w:val="en-US" w:eastAsia="zh-CN"/>
        </w:rPr>
        <w:t xml:space="preserve">二、 </w:t>
      </w:r>
      <w:r>
        <w:rPr>
          <w:rFonts w:hint="default"/>
          <w:color w:val="auto"/>
          <w:lang w:val="en-US" w:eastAsia="zh-CN"/>
        </w:rPr>
        <w:t>安全检查表分析三个步骤</w:t>
      </w:r>
    </w:p>
    <w:p>
      <w:pPr>
        <w:bidi w:val="0"/>
        <w:rPr>
          <w:rFonts w:hint="default"/>
          <w:color w:val="auto"/>
          <w:lang w:val="en-US" w:eastAsia="zh-CN"/>
        </w:rPr>
      </w:pPr>
      <w:r>
        <w:rPr>
          <w:rFonts w:hint="default"/>
          <w:color w:val="auto"/>
          <w:lang w:val="en-US" w:eastAsia="zh-CN"/>
        </w:rPr>
        <w:t>1</w:t>
      </w:r>
      <w:r>
        <w:rPr>
          <w:rFonts w:hint="eastAsia" w:ascii="Times New Roman" w:eastAsia="宋体"/>
          <w:color w:val="auto"/>
          <w:lang w:val="en-US" w:eastAsia="zh-CN"/>
        </w:rPr>
        <w:t xml:space="preserve">. </w:t>
      </w:r>
      <w:r>
        <w:rPr>
          <w:rFonts w:hint="default"/>
          <w:color w:val="auto"/>
          <w:lang w:val="en-US" w:eastAsia="zh-CN"/>
        </w:rPr>
        <w:t>选择或确定合适的安全检查表；</w:t>
      </w:r>
    </w:p>
    <w:p>
      <w:pPr>
        <w:bidi w:val="0"/>
        <w:rPr>
          <w:rFonts w:hint="default"/>
          <w:color w:val="auto"/>
          <w:lang w:val="en-US" w:eastAsia="zh-CN"/>
        </w:rPr>
      </w:pPr>
      <w:r>
        <w:rPr>
          <w:rFonts w:hint="default"/>
          <w:color w:val="auto"/>
          <w:lang w:val="en-US" w:eastAsia="zh-CN"/>
        </w:rPr>
        <w:t>2</w:t>
      </w:r>
      <w:r>
        <w:rPr>
          <w:rFonts w:hint="eastAsia" w:ascii="Times New Roman" w:eastAsia="宋体"/>
          <w:color w:val="auto"/>
          <w:lang w:val="en-US" w:eastAsia="zh-CN"/>
        </w:rPr>
        <w:t xml:space="preserve">. </w:t>
      </w:r>
      <w:r>
        <w:rPr>
          <w:rFonts w:hint="default"/>
          <w:color w:val="auto"/>
          <w:lang w:val="en-US" w:eastAsia="zh-CN"/>
        </w:rPr>
        <w:t>完成分析；</w:t>
      </w:r>
    </w:p>
    <w:p>
      <w:pPr>
        <w:bidi w:val="0"/>
        <w:rPr>
          <w:rFonts w:hint="default"/>
          <w:color w:val="auto"/>
          <w:lang w:val="en-US" w:eastAsia="zh-CN"/>
        </w:rPr>
      </w:pPr>
      <w:r>
        <w:rPr>
          <w:rFonts w:hint="default"/>
          <w:color w:val="auto"/>
          <w:lang w:val="en-US" w:eastAsia="zh-CN"/>
        </w:rPr>
        <w:t>3）编制分析结果文件。</w:t>
      </w:r>
    </w:p>
    <w:p>
      <w:pPr>
        <w:bidi w:val="0"/>
        <w:rPr>
          <w:rFonts w:hint="default"/>
          <w:color w:val="auto"/>
          <w:lang w:val="en-US" w:eastAsia="zh-CN"/>
        </w:rPr>
      </w:pPr>
      <w:r>
        <w:rPr>
          <w:rFonts w:hint="eastAsia" w:ascii="Times New Roman" w:eastAsia="宋体"/>
          <w:color w:val="auto"/>
          <w:lang w:val="en-US" w:eastAsia="zh-CN"/>
        </w:rPr>
        <w:t>三、</w:t>
      </w:r>
      <w:r>
        <w:rPr>
          <w:rFonts w:hint="default"/>
          <w:color w:val="auto"/>
          <w:lang w:val="en-US" w:eastAsia="zh-CN"/>
        </w:rPr>
        <w:t>评价程序</w:t>
      </w:r>
    </w:p>
    <w:p>
      <w:pPr>
        <w:bidi w:val="0"/>
        <w:rPr>
          <w:rFonts w:hint="default"/>
          <w:color w:val="auto"/>
          <w:lang w:val="en-US" w:eastAsia="zh-CN"/>
        </w:rPr>
      </w:pPr>
      <w:r>
        <w:rPr>
          <w:rFonts w:hint="default"/>
          <w:color w:val="auto"/>
          <w:lang w:val="en-US" w:eastAsia="zh-CN"/>
        </w:rPr>
        <w:t>1</w:t>
      </w:r>
      <w:r>
        <w:rPr>
          <w:rFonts w:hint="eastAsia" w:ascii="Times New Roman" w:eastAsia="宋体"/>
          <w:color w:val="auto"/>
          <w:lang w:val="en-US" w:eastAsia="zh-CN"/>
        </w:rPr>
        <w:t xml:space="preserve">. </w:t>
      </w:r>
      <w:r>
        <w:rPr>
          <w:rFonts w:hint="default"/>
          <w:color w:val="auto"/>
          <w:lang w:val="en-US" w:eastAsia="zh-CN"/>
        </w:rPr>
        <w:t>熟悉评价对象；</w:t>
      </w:r>
    </w:p>
    <w:p>
      <w:pPr>
        <w:bidi w:val="0"/>
        <w:rPr>
          <w:rFonts w:hint="default"/>
          <w:color w:val="auto"/>
          <w:lang w:val="en-US" w:eastAsia="zh-CN"/>
        </w:rPr>
      </w:pPr>
      <w:r>
        <w:rPr>
          <w:rFonts w:hint="eastAsia" w:ascii="Times New Roman" w:eastAsia="宋体"/>
          <w:color w:val="auto"/>
          <w:lang w:val="en-US" w:eastAsia="zh-CN"/>
        </w:rPr>
        <w:t xml:space="preserve">2. </w:t>
      </w:r>
      <w:r>
        <w:rPr>
          <w:rFonts w:hint="default"/>
          <w:color w:val="auto"/>
          <w:lang w:val="en-US" w:eastAsia="zh-CN"/>
        </w:rPr>
        <w:t>搜集资料，包括法律、法规、规程、标准、事故安全、经验教训等资料；</w:t>
      </w:r>
    </w:p>
    <w:p>
      <w:pPr>
        <w:bidi w:val="0"/>
        <w:rPr>
          <w:rFonts w:hint="default"/>
          <w:color w:val="auto"/>
          <w:lang w:val="en-US" w:eastAsia="zh-CN"/>
        </w:rPr>
      </w:pPr>
      <w:r>
        <w:rPr>
          <w:rFonts w:hint="eastAsia" w:ascii="Times New Roman" w:eastAsia="宋体"/>
          <w:color w:val="auto"/>
          <w:lang w:val="en-US" w:eastAsia="zh-CN"/>
        </w:rPr>
        <w:t xml:space="preserve">3. </w:t>
      </w:r>
      <w:r>
        <w:rPr>
          <w:rFonts w:hint="default"/>
          <w:color w:val="auto"/>
          <w:lang w:val="en-US" w:eastAsia="zh-CN"/>
        </w:rPr>
        <w:t>编制安全检查表；</w:t>
      </w:r>
    </w:p>
    <w:p>
      <w:pPr>
        <w:bidi w:val="0"/>
        <w:rPr>
          <w:rFonts w:hint="default"/>
          <w:color w:val="auto"/>
          <w:lang w:val="en-US" w:eastAsia="zh-CN"/>
        </w:rPr>
      </w:pPr>
      <w:r>
        <w:rPr>
          <w:rFonts w:hint="eastAsia" w:ascii="Times New Roman" w:eastAsia="宋体"/>
          <w:color w:val="auto"/>
          <w:lang w:val="en-US" w:eastAsia="zh-CN"/>
        </w:rPr>
        <w:t xml:space="preserve">4. </w:t>
      </w:r>
      <w:r>
        <w:rPr>
          <w:rFonts w:hint="default"/>
          <w:color w:val="auto"/>
          <w:lang w:val="en-US" w:eastAsia="zh-CN"/>
        </w:rPr>
        <w:t>按检查表逐项检查；</w:t>
      </w:r>
    </w:p>
    <w:p>
      <w:pPr>
        <w:bidi w:val="0"/>
        <w:rPr>
          <w:rFonts w:hint="default"/>
          <w:color w:val="auto"/>
          <w:lang w:val="en-US" w:eastAsia="zh-CN"/>
        </w:rPr>
      </w:pPr>
      <w:r>
        <w:rPr>
          <w:rFonts w:hint="eastAsia" w:ascii="Times New Roman" w:eastAsia="宋体"/>
          <w:color w:val="auto"/>
          <w:lang w:val="en-US" w:eastAsia="zh-CN"/>
        </w:rPr>
        <w:t xml:space="preserve">5. </w:t>
      </w:r>
      <w:r>
        <w:rPr>
          <w:rFonts w:hint="default"/>
          <w:color w:val="auto"/>
          <w:lang w:val="en-US" w:eastAsia="zh-CN"/>
        </w:rPr>
        <w:t>分析、评价检查结果。</w:t>
      </w:r>
    </w:p>
    <w:p>
      <w:pPr>
        <w:pStyle w:val="4"/>
        <w:bidi w:val="0"/>
        <w:rPr>
          <w:rFonts w:hint="default"/>
          <w:color w:val="auto"/>
          <w:lang w:val="en-US" w:eastAsia="zh-CN"/>
        </w:rPr>
      </w:pPr>
      <w:bookmarkStart w:id="232" w:name="_Toc3665"/>
      <w:bookmarkStart w:id="233" w:name="_Toc2633"/>
      <w:bookmarkStart w:id="234" w:name="_Toc21879"/>
      <w:r>
        <w:rPr>
          <w:rFonts w:hint="default"/>
          <w:color w:val="auto"/>
          <w:lang w:val="en-US" w:eastAsia="zh-CN"/>
        </w:rPr>
        <w:t>4.</w:t>
      </w:r>
      <w:r>
        <w:rPr>
          <w:rFonts w:hint="eastAsia"/>
          <w:color w:val="auto"/>
          <w:lang w:val="en-US" w:eastAsia="zh-CN"/>
        </w:rPr>
        <w:t>4</w:t>
      </w:r>
      <w:r>
        <w:rPr>
          <w:rFonts w:hint="default"/>
          <w:color w:val="auto"/>
          <w:lang w:val="en-US" w:eastAsia="zh-CN"/>
        </w:rPr>
        <w:t>.</w:t>
      </w:r>
      <w:r>
        <w:rPr>
          <w:rFonts w:hint="eastAsia"/>
          <w:color w:val="auto"/>
          <w:lang w:val="en-US" w:eastAsia="zh-CN"/>
        </w:rPr>
        <w:t>2</w:t>
      </w:r>
      <w:r>
        <w:rPr>
          <w:rFonts w:hint="default"/>
          <w:color w:val="auto"/>
          <w:lang w:val="en-US" w:eastAsia="zh-CN"/>
        </w:rPr>
        <w:t xml:space="preserve"> 预先危险性分析评价（PHA）</w:t>
      </w:r>
      <w:bookmarkEnd w:id="232"/>
      <w:bookmarkEnd w:id="233"/>
      <w:bookmarkEnd w:id="234"/>
    </w:p>
    <w:p>
      <w:pPr>
        <w:bidi w:val="0"/>
        <w:rPr>
          <w:rFonts w:hint="default"/>
          <w:color w:val="auto"/>
          <w:lang w:val="en-US" w:eastAsia="zh-CN"/>
        </w:rPr>
      </w:pPr>
      <w:r>
        <w:rPr>
          <w:rFonts w:hint="default"/>
          <w:color w:val="auto"/>
          <w:lang w:val="en-US" w:eastAsia="zh-CN"/>
        </w:rPr>
        <w:t>一、评价方法简介</w:t>
      </w:r>
    </w:p>
    <w:p>
      <w:pPr>
        <w:bidi w:val="0"/>
        <w:rPr>
          <w:rFonts w:hint="default"/>
          <w:color w:val="auto"/>
          <w:lang w:val="en-US" w:eastAsia="zh-CN"/>
        </w:rPr>
      </w:pPr>
      <w:r>
        <w:rPr>
          <w:rFonts w:hint="default"/>
          <w:color w:val="auto"/>
          <w:lang w:val="en-US" w:eastAsia="zh-CN"/>
        </w:rPr>
        <w:t>预先危险性分析（PHA）又称初步危险分析，主要用于对危险物质和装置的主要工艺区域等进行分析，用于分析物料、装置、工艺过程及能量失控时可能出现的危险性类别、条件及可能造成的后果，作宏观的概略分析，其目的是辨识系统中存在的潜在危险，确定其危险等级，防止危险发展成事故。</w:t>
      </w:r>
    </w:p>
    <w:p>
      <w:pPr>
        <w:bidi w:val="0"/>
        <w:rPr>
          <w:rFonts w:hint="default"/>
          <w:color w:val="auto"/>
          <w:lang w:val="en-US" w:eastAsia="zh-CN"/>
        </w:rPr>
      </w:pPr>
      <w:r>
        <w:rPr>
          <w:rFonts w:hint="default"/>
          <w:color w:val="auto"/>
          <w:lang w:val="en-US" w:eastAsia="zh-CN"/>
        </w:rPr>
        <w:t>其功能主要有：</w:t>
      </w:r>
    </w:p>
    <w:p>
      <w:pPr>
        <w:numPr>
          <w:ilvl w:val="0"/>
          <w:numId w:val="10"/>
        </w:numPr>
        <w:bidi w:val="0"/>
        <w:rPr>
          <w:rFonts w:hint="default"/>
          <w:color w:val="auto"/>
          <w:lang w:val="en-US" w:eastAsia="zh-CN"/>
        </w:rPr>
      </w:pPr>
      <w:r>
        <w:rPr>
          <w:rFonts w:hint="default"/>
          <w:color w:val="auto"/>
          <w:lang w:val="en-US" w:eastAsia="zh-CN"/>
        </w:rPr>
        <w:t>大体识别与系统有关的主要危险；</w:t>
      </w:r>
    </w:p>
    <w:p>
      <w:pPr>
        <w:numPr>
          <w:ilvl w:val="0"/>
          <w:numId w:val="10"/>
        </w:numPr>
        <w:bidi w:val="0"/>
        <w:ind w:left="0" w:leftChars="0" w:firstLine="560" w:firstLineChars="200"/>
        <w:rPr>
          <w:rFonts w:hint="default"/>
          <w:color w:val="auto"/>
          <w:lang w:val="en-US" w:eastAsia="zh-CN"/>
        </w:rPr>
      </w:pPr>
      <w:r>
        <w:rPr>
          <w:rFonts w:hint="default"/>
          <w:color w:val="auto"/>
          <w:lang w:val="en-US" w:eastAsia="zh-CN"/>
        </w:rPr>
        <w:t>鉴别产生危险的原因；</w:t>
      </w:r>
    </w:p>
    <w:p>
      <w:pPr>
        <w:numPr>
          <w:ilvl w:val="0"/>
          <w:numId w:val="10"/>
        </w:numPr>
        <w:bidi w:val="0"/>
        <w:ind w:left="0" w:leftChars="0" w:firstLine="560" w:firstLineChars="200"/>
        <w:rPr>
          <w:rFonts w:hint="default"/>
          <w:color w:val="auto"/>
          <w:lang w:val="en-US" w:eastAsia="zh-CN"/>
        </w:rPr>
      </w:pPr>
      <w:r>
        <w:rPr>
          <w:rFonts w:hint="default"/>
          <w:color w:val="auto"/>
          <w:lang w:val="en-US" w:eastAsia="zh-CN"/>
        </w:rPr>
        <w:t>估计事故出现对人体及系统产生的影响；</w:t>
      </w:r>
    </w:p>
    <w:p>
      <w:pPr>
        <w:numPr>
          <w:ilvl w:val="0"/>
          <w:numId w:val="10"/>
        </w:numPr>
        <w:bidi w:val="0"/>
        <w:ind w:left="0" w:leftChars="0" w:firstLine="560" w:firstLineChars="200"/>
        <w:rPr>
          <w:rFonts w:hint="default"/>
          <w:color w:val="auto"/>
          <w:lang w:val="en-US" w:eastAsia="zh-CN"/>
        </w:rPr>
      </w:pPr>
      <w:r>
        <w:rPr>
          <w:rFonts w:hint="default"/>
          <w:color w:val="auto"/>
          <w:lang w:val="en-US" w:eastAsia="zh-CN"/>
        </w:rPr>
        <w:t>判定已识别的危险等级，并提出消除或控制危险性的措施。</w:t>
      </w:r>
    </w:p>
    <w:p>
      <w:pPr>
        <w:bidi w:val="0"/>
        <w:rPr>
          <w:rFonts w:hint="default"/>
          <w:color w:val="auto"/>
          <w:lang w:val="en-US" w:eastAsia="zh-CN"/>
        </w:rPr>
      </w:pPr>
      <w:r>
        <w:rPr>
          <w:rFonts w:hint="default"/>
          <w:color w:val="auto"/>
          <w:lang w:val="en-US" w:eastAsia="zh-CN"/>
        </w:rPr>
        <w:t>二、分析步骤</w:t>
      </w:r>
    </w:p>
    <w:p>
      <w:pPr>
        <w:bidi w:val="0"/>
        <w:rPr>
          <w:rFonts w:hint="default"/>
          <w:color w:val="auto"/>
          <w:lang w:val="en-US" w:eastAsia="zh-CN"/>
        </w:rPr>
      </w:pPr>
      <w:r>
        <w:rPr>
          <w:rFonts w:hint="default"/>
          <w:color w:val="auto"/>
          <w:lang w:val="en-US" w:eastAsia="zh-CN"/>
        </w:rPr>
        <w:t>预先危险性分步骤为：</w:t>
      </w:r>
    </w:p>
    <w:p>
      <w:pPr>
        <w:numPr>
          <w:ilvl w:val="0"/>
          <w:numId w:val="11"/>
        </w:numPr>
        <w:bidi w:val="0"/>
        <w:rPr>
          <w:rFonts w:hint="default"/>
          <w:color w:val="auto"/>
          <w:lang w:val="en-US" w:eastAsia="zh-CN"/>
        </w:rPr>
      </w:pPr>
      <w:r>
        <w:rPr>
          <w:rFonts w:hint="default"/>
          <w:color w:val="auto"/>
          <w:lang w:val="en-US" w:eastAsia="zh-CN"/>
        </w:rPr>
        <w:t>通过经验判断、技术诊断或其他方法调查确定危险源；</w:t>
      </w:r>
    </w:p>
    <w:p>
      <w:pPr>
        <w:numPr>
          <w:ilvl w:val="0"/>
          <w:numId w:val="11"/>
        </w:numPr>
        <w:bidi w:val="0"/>
        <w:ind w:left="0" w:leftChars="0" w:firstLine="560" w:firstLineChars="200"/>
        <w:rPr>
          <w:rFonts w:hint="default"/>
          <w:color w:val="auto"/>
          <w:lang w:val="en-US" w:eastAsia="zh-CN"/>
        </w:rPr>
      </w:pPr>
      <w:r>
        <w:rPr>
          <w:rFonts w:hint="default"/>
          <w:color w:val="auto"/>
          <w:lang w:val="en-US" w:eastAsia="zh-CN"/>
        </w:rPr>
        <w:t>根据过去的经验教训及同类行业中发生的事故情况，判断能够造成系统故障、物质损失和人员伤害的危险性，分析事故的可能类型；</w:t>
      </w:r>
    </w:p>
    <w:p>
      <w:pPr>
        <w:numPr>
          <w:ilvl w:val="0"/>
          <w:numId w:val="11"/>
        </w:numPr>
        <w:bidi w:val="0"/>
        <w:ind w:left="0" w:leftChars="0" w:firstLine="560" w:firstLineChars="200"/>
        <w:rPr>
          <w:rFonts w:hint="default"/>
          <w:color w:val="auto"/>
          <w:lang w:val="en-US" w:eastAsia="zh-CN"/>
        </w:rPr>
      </w:pPr>
      <w:r>
        <w:rPr>
          <w:rFonts w:hint="default"/>
          <w:color w:val="auto"/>
          <w:lang w:val="en-US" w:eastAsia="zh-CN"/>
        </w:rPr>
        <w:t>对确定的危险源，制定预先危险性分析表；</w:t>
      </w:r>
    </w:p>
    <w:p>
      <w:pPr>
        <w:numPr>
          <w:ilvl w:val="0"/>
          <w:numId w:val="11"/>
        </w:numPr>
        <w:bidi w:val="0"/>
        <w:ind w:left="0" w:leftChars="0" w:firstLine="560" w:firstLineChars="200"/>
        <w:rPr>
          <w:rFonts w:hint="default"/>
          <w:color w:val="auto"/>
          <w:lang w:val="en-US" w:eastAsia="zh-CN"/>
        </w:rPr>
      </w:pPr>
      <w:r>
        <w:rPr>
          <w:rFonts w:hint="default"/>
          <w:color w:val="auto"/>
          <w:lang w:val="en-US" w:eastAsia="zh-CN"/>
        </w:rPr>
        <w:t>进行危险性分级；</w:t>
      </w:r>
    </w:p>
    <w:p>
      <w:pPr>
        <w:numPr>
          <w:ilvl w:val="0"/>
          <w:numId w:val="11"/>
        </w:numPr>
        <w:bidi w:val="0"/>
        <w:ind w:left="0" w:leftChars="0" w:firstLine="560" w:firstLineChars="200"/>
        <w:rPr>
          <w:rFonts w:hint="default"/>
          <w:color w:val="auto"/>
          <w:lang w:val="en-US" w:eastAsia="zh-CN"/>
        </w:rPr>
      </w:pPr>
      <w:r>
        <w:rPr>
          <w:rFonts w:hint="default"/>
          <w:color w:val="auto"/>
          <w:lang w:val="en-US" w:eastAsia="zh-CN"/>
        </w:rPr>
        <w:t>制定对策措施。</w:t>
      </w:r>
    </w:p>
    <w:p>
      <w:pPr>
        <w:bidi w:val="0"/>
        <w:rPr>
          <w:rFonts w:hint="default"/>
          <w:color w:val="auto"/>
          <w:lang w:val="en-US" w:eastAsia="zh-CN"/>
        </w:rPr>
      </w:pPr>
      <w:r>
        <w:rPr>
          <w:rFonts w:hint="default"/>
          <w:color w:val="auto"/>
          <w:lang w:val="en-US" w:eastAsia="zh-CN"/>
        </w:rPr>
        <w:t>三、预先危险性等级划分</w:t>
      </w:r>
    </w:p>
    <w:p>
      <w:pPr>
        <w:bidi w:val="0"/>
        <w:rPr>
          <w:rFonts w:hint="default"/>
          <w:color w:val="auto"/>
          <w:lang w:val="en-US" w:eastAsia="zh-CN"/>
        </w:rPr>
      </w:pPr>
      <w:r>
        <w:rPr>
          <w:rFonts w:hint="default"/>
          <w:color w:val="auto"/>
          <w:lang w:val="en-US" w:eastAsia="zh-CN"/>
        </w:rPr>
        <w:t>在分析系统危险性时，为了衡量危险性大小及其对系统破坏性的影响程度，将各类危险性划分为4个等级。等级表见表4-</w:t>
      </w:r>
      <w:r>
        <w:rPr>
          <w:rFonts w:hint="eastAsia" w:ascii="Times New Roman" w:eastAsia="宋体"/>
          <w:color w:val="auto"/>
          <w:lang w:val="en-US" w:eastAsia="zh-CN"/>
        </w:rPr>
        <w:t>2</w:t>
      </w:r>
      <w:r>
        <w:rPr>
          <w:rFonts w:hint="default"/>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default"/>
          <w:color w:val="auto"/>
          <w:lang w:val="en-US" w:eastAsia="zh-CN"/>
        </w:rPr>
        <w:t>表4-</w:t>
      </w:r>
      <w:r>
        <w:rPr>
          <w:rFonts w:hint="eastAsia" w:ascii="Times New Roman" w:eastAsia="宋体"/>
          <w:color w:val="auto"/>
          <w:lang w:val="en-US" w:eastAsia="zh-CN"/>
        </w:rPr>
        <w:t xml:space="preserve">2 </w:t>
      </w:r>
      <w:r>
        <w:rPr>
          <w:rFonts w:hint="default"/>
          <w:color w:val="auto"/>
          <w:lang w:val="en-US" w:eastAsia="zh-CN"/>
        </w:rPr>
        <w:t>危险等级划分表</w:t>
      </w:r>
    </w:p>
    <w:tbl>
      <w:tblPr>
        <w:tblStyle w:val="15"/>
        <w:tblW w:w="4888" w:type="pct"/>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
        <w:gridCol w:w="1257"/>
        <w:gridCol w:w="7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98" w:type="pct"/>
            <w:noWrap w:val="0"/>
            <w:vAlign w:val="center"/>
          </w:tcPr>
          <w:p>
            <w:pPr>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级别</w:t>
            </w:r>
          </w:p>
        </w:tc>
        <w:tc>
          <w:tcPr>
            <w:tcW w:w="692" w:type="pct"/>
            <w:noWrap w:val="0"/>
            <w:vAlign w:val="center"/>
          </w:tcPr>
          <w:p>
            <w:pPr>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危险程度</w:t>
            </w:r>
          </w:p>
        </w:tc>
        <w:tc>
          <w:tcPr>
            <w:tcW w:w="4009" w:type="pct"/>
            <w:noWrap w:val="0"/>
            <w:vAlign w:val="center"/>
          </w:tcPr>
          <w:p>
            <w:pPr>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可能导致的后果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98" w:type="pct"/>
            <w:noWrap w:val="0"/>
            <w:vAlign w:val="center"/>
          </w:tcPr>
          <w:p>
            <w:pPr>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Ⅰ</w:t>
            </w:r>
          </w:p>
        </w:tc>
        <w:tc>
          <w:tcPr>
            <w:tcW w:w="692" w:type="pct"/>
            <w:noWrap w:val="0"/>
            <w:vAlign w:val="center"/>
          </w:tcPr>
          <w:p>
            <w:pPr>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安全的</w:t>
            </w:r>
          </w:p>
        </w:tc>
        <w:tc>
          <w:tcPr>
            <w:tcW w:w="4009" w:type="pct"/>
            <w:noWrap w:val="0"/>
            <w:vAlign w:val="center"/>
          </w:tcPr>
          <w:p>
            <w:pPr>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不会造成人员伤亡及系统损坏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98" w:type="pct"/>
            <w:noWrap w:val="0"/>
            <w:vAlign w:val="center"/>
          </w:tcPr>
          <w:p>
            <w:pPr>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c>
          <w:tcPr>
            <w:tcW w:w="692" w:type="pct"/>
            <w:noWrap w:val="0"/>
            <w:vAlign w:val="center"/>
          </w:tcPr>
          <w:p>
            <w:pPr>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临界的</w:t>
            </w:r>
          </w:p>
        </w:tc>
        <w:tc>
          <w:tcPr>
            <w:tcW w:w="4009" w:type="pct"/>
            <w:noWrap w:val="0"/>
            <w:vAlign w:val="center"/>
          </w:tcPr>
          <w:p>
            <w:pPr>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处于事故的边缘状态，暂时还不致于造成人员伤亡、系统损坏或降低系统性能，但应予以排除或采取控制措施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298" w:type="pct"/>
            <w:noWrap w:val="0"/>
            <w:vAlign w:val="center"/>
          </w:tcPr>
          <w:p>
            <w:pPr>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692" w:type="pct"/>
            <w:noWrap w:val="0"/>
            <w:vAlign w:val="center"/>
          </w:tcPr>
          <w:p>
            <w:pPr>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危险的</w:t>
            </w:r>
          </w:p>
        </w:tc>
        <w:tc>
          <w:tcPr>
            <w:tcW w:w="4009" w:type="pct"/>
            <w:noWrap w:val="0"/>
            <w:vAlign w:val="center"/>
          </w:tcPr>
          <w:p>
            <w:pPr>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会造成人员伤亡及系统损坏，要立即采取防范对策措施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298" w:type="pct"/>
            <w:noWrap w:val="0"/>
            <w:vAlign w:val="center"/>
          </w:tcPr>
          <w:p>
            <w:pPr>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Ⅳ</w:t>
            </w:r>
          </w:p>
        </w:tc>
        <w:tc>
          <w:tcPr>
            <w:tcW w:w="692" w:type="pct"/>
            <w:noWrap w:val="0"/>
            <w:vAlign w:val="center"/>
          </w:tcPr>
          <w:p>
            <w:pPr>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灾难性的</w:t>
            </w:r>
          </w:p>
        </w:tc>
        <w:tc>
          <w:tcPr>
            <w:tcW w:w="4009" w:type="pct"/>
            <w:noWrap w:val="0"/>
            <w:vAlign w:val="center"/>
          </w:tcPr>
          <w:p>
            <w:pPr>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造成人员重大伤亡及系统严重破坏的灾难性事故，必须予以果断排除并进行重点防范</w:t>
            </w:r>
          </w:p>
        </w:tc>
      </w:tr>
    </w:tbl>
    <w:p>
      <w:pPr>
        <w:bidi w:val="0"/>
        <w:rPr>
          <w:rFonts w:hint="default"/>
          <w:color w:val="auto"/>
          <w:lang w:val="en-US" w:eastAsia="zh-CN"/>
        </w:rPr>
      </w:pPr>
    </w:p>
    <w:p>
      <w:pPr>
        <w:rPr>
          <w:rFonts w:hint="default"/>
          <w:color w:val="auto"/>
          <w:lang w:val="en-US" w:eastAsia="zh-CN"/>
        </w:rPr>
      </w:pPr>
      <w:r>
        <w:rPr>
          <w:rFonts w:hint="default"/>
          <w:color w:val="auto"/>
          <w:lang w:val="en-US" w:eastAsia="zh-CN"/>
        </w:rPr>
        <w:br w:type="page"/>
      </w:r>
    </w:p>
    <w:p>
      <w:pPr>
        <w:pStyle w:val="2"/>
        <w:numPr>
          <w:ilvl w:val="0"/>
          <w:numId w:val="1"/>
        </w:numPr>
        <w:bidi w:val="0"/>
        <w:rPr>
          <w:rFonts w:hint="default" w:ascii="Times New Roman" w:hAnsi="Times New Roman" w:cs="Times New Roman"/>
          <w:color w:val="auto"/>
          <w:lang w:val="en-US" w:eastAsia="zh-CN"/>
        </w:rPr>
      </w:pPr>
      <w:bookmarkStart w:id="235" w:name="_Toc23452"/>
      <w:bookmarkStart w:id="236" w:name="_Toc25372"/>
      <w:bookmarkStart w:id="237" w:name="_Toc19432"/>
      <w:r>
        <w:rPr>
          <w:rFonts w:hint="eastAsia" w:ascii="Times New Roman" w:hAnsi="Times New Roman" w:cs="Times New Roman"/>
          <w:color w:val="auto"/>
          <w:lang w:val="en-US" w:eastAsia="zh-CN"/>
        </w:rPr>
        <w:t>定性、定量评价</w:t>
      </w:r>
      <w:bookmarkEnd w:id="235"/>
      <w:bookmarkEnd w:id="236"/>
      <w:bookmarkEnd w:id="237"/>
    </w:p>
    <w:p>
      <w:pPr>
        <w:pStyle w:val="3"/>
        <w:bidi w:val="0"/>
        <w:rPr>
          <w:rFonts w:hint="default"/>
          <w:color w:val="auto"/>
          <w:lang w:val="en-US" w:eastAsia="zh-CN"/>
        </w:rPr>
      </w:pPr>
      <w:bookmarkStart w:id="238" w:name="_Toc17716"/>
      <w:bookmarkStart w:id="239" w:name="_Toc5109"/>
      <w:bookmarkStart w:id="240" w:name="_Toc4026"/>
      <w:r>
        <w:rPr>
          <w:rFonts w:hint="default"/>
          <w:color w:val="auto"/>
          <w:lang w:val="en-US" w:eastAsia="zh-CN"/>
        </w:rPr>
        <w:t>5.1 厂址选择单元</w:t>
      </w:r>
      <w:bookmarkEnd w:id="238"/>
      <w:bookmarkEnd w:id="239"/>
      <w:bookmarkEnd w:id="240"/>
    </w:p>
    <w:p>
      <w:pPr>
        <w:pStyle w:val="4"/>
        <w:bidi w:val="0"/>
        <w:rPr>
          <w:rFonts w:hint="default"/>
          <w:color w:val="auto"/>
          <w:lang w:val="en-US" w:eastAsia="zh-CN"/>
        </w:rPr>
      </w:pPr>
      <w:bookmarkStart w:id="241" w:name="_Toc15168"/>
      <w:bookmarkStart w:id="242" w:name="_Toc2934"/>
      <w:bookmarkStart w:id="243" w:name="_Toc421"/>
      <w:r>
        <w:rPr>
          <w:rFonts w:hint="default"/>
          <w:color w:val="auto"/>
          <w:lang w:val="en-US" w:eastAsia="zh-CN"/>
        </w:rPr>
        <w:t>5.1.1 安全检查表法分析评价</w:t>
      </w:r>
      <w:bookmarkEnd w:id="241"/>
      <w:bookmarkEnd w:id="242"/>
      <w:bookmarkEnd w:id="243"/>
    </w:p>
    <w:p>
      <w:pPr>
        <w:rPr>
          <w:rFonts w:hint="default"/>
          <w:color w:val="auto"/>
          <w:lang w:val="en-US" w:eastAsia="zh-CN"/>
        </w:rPr>
      </w:pPr>
      <w:r>
        <w:rPr>
          <w:rFonts w:hint="default"/>
          <w:color w:val="auto"/>
          <w:lang w:val="en-US" w:eastAsia="zh-CN"/>
        </w:rPr>
        <w:t>采用安全检查表法对《于都小东坑矿业有限公司小东坑钨矿区30万吨/年矿山工程建设项目可行性研究报告》</w:t>
      </w:r>
      <w:r>
        <w:rPr>
          <w:rFonts w:hint="eastAsia" w:ascii="Times New Roman" w:eastAsia="宋体"/>
          <w:color w:val="auto"/>
          <w:lang w:val="en-US" w:eastAsia="zh-CN"/>
        </w:rPr>
        <w:t>中选矿厂工程建设项目的</w:t>
      </w:r>
      <w:r>
        <w:rPr>
          <w:rFonts w:hint="default"/>
          <w:color w:val="auto"/>
          <w:lang w:val="en-US" w:eastAsia="zh-CN"/>
        </w:rPr>
        <w:t>建设选址的安全、合理性进行分析评价。依据《工业企业总平面设计规范》（GB50187-2012）、《有色金属工业总图规划及运输设计标准》（GB50544-20</w:t>
      </w:r>
      <w:r>
        <w:rPr>
          <w:rFonts w:hint="eastAsia"/>
          <w:color w:val="auto"/>
          <w:lang w:val="en-US" w:eastAsia="zh-CN"/>
        </w:rPr>
        <w:t>09</w:t>
      </w:r>
      <w:r>
        <w:rPr>
          <w:rFonts w:hint="default"/>
          <w:color w:val="auto"/>
          <w:lang w:val="en-US" w:eastAsia="zh-CN"/>
        </w:rPr>
        <w:t>）</w:t>
      </w:r>
      <w:r>
        <w:rPr>
          <w:rFonts w:hint="eastAsia"/>
          <w:color w:val="auto"/>
          <w:lang w:val="en-US" w:eastAsia="zh-CN"/>
        </w:rPr>
        <w:t>、</w:t>
      </w:r>
      <w:r>
        <w:rPr>
          <w:rFonts w:hint="default"/>
          <w:color w:val="auto"/>
          <w:lang w:val="en-US" w:eastAsia="zh-CN"/>
        </w:rPr>
        <w:t>《选矿安全规程》（GB/T18152-2000），使用安全检查表法检查厂址选择是否符合相关要求，检查情况见表</w:t>
      </w:r>
      <w:r>
        <w:rPr>
          <w:rFonts w:hint="eastAsia" w:ascii="Times New Roman" w:eastAsia="宋体"/>
          <w:color w:val="auto"/>
          <w:lang w:val="en-US" w:eastAsia="zh-CN"/>
        </w:rPr>
        <w:t>5-</w:t>
      </w:r>
      <w:r>
        <w:rPr>
          <w:rFonts w:hint="default"/>
          <w:color w:val="auto"/>
          <w:lang w:val="en-US" w:eastAsia="zh-CN"/>
        </w:rPr>
        <w:t>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w:t>
      </w:r>
      <w:r>
        <w:rPr>
          <w:rFonts w:hint="eastAsia" w:ascii="Times New Roman" w:hAnsi="Times New Roman" w:eastAsia="宋体" w:cs="Times New Roman"/>
          <w:color w:val="auto"/>
          <w:lang w:val="en-US" w:eastAsia="zh-CN"/>
        </w:rPr>
        <w:t xml:space="preserve">5-1 </w:t>
      </w:r>
      <w:r>
        <w:rPr>
          <w:rFonts w:hint="default" w:ascii="Times New Roman" w:hAnsi="Times New Roman" w:eastAsia="宋体" w:cs="Times New Roman"/>
          <w:color w:val="auto"/>
          <w:lang w:val="en-US" w:eastAsia="zh-CN"/>
        </w:rPr>
        <w:t>厂址选择</w:t>
      </w:r>
      <w:r>
        <w:rPr>
          <w:rFonts w:hint="eastAsia" w:cs="Times New Roman"/>
          <w:color w:val="auto"/>
          <w:lang w:val="en-US" w:eastAsia="zh-CN"/>
        </w:rPr>
        <w:t>单元</w:t>
      </w:r>
      <w:r>
        <w:rPr>
          <w:rFonts w:hint="default" w:ascii="Times New Roman" w:hAnsi="Times New Roman" w:eastAsia="宋体" w:cs="Times New Roman"/>
          <w:color w:val="auto"/>
          <w:lang w:val="en-US" w:eastAsia="zh-CN"/>
        </w:rPr>
        <w:t>安全检查表</w:t>
      </w:r>
    </w:p>
    <w:tbl>
      <w:tblPr>
        <w:tblStyle w:val="34"/>
        <w:tblW w:w="964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3756"/>
        <w:gridCol w:w="2045"/>
        <w:gridCol w:w="2191"/>
        <w:gridCol w:w="11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3" w:hRule="atLeast"/>
          <w:jc w:val="center"/>
        </w:trPr>
        <w:tc>
          <w:tcPr>
            <w:tcW w:w="506" w:type="dxa"/>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b/>
                <w:bCs/>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序号</w:t>
            </w:r>
          </w:p>
        </w:tc>
        <w:tc>
          <w:tcPr>
            <w:tcW w:w="375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b/>
                <w:bCs/>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检查项目和内容</w:t>
            </w:r>
          </w:p>
        </w:tc>
        <w:tc>
          <w:tcPr>
            <w:tcW w:w="2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b/>
                <w:bCs/>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检查依据</w:t>
            </w:r>
          </w:p>
        </w:tc>
        <w:tc>
          <w:tcPr>
            <w:tcW w:w="219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b/>
                <w:bCs/>
                <w:snapToGrid w:val="0"/>
                <w:color w:val="auto"/>
                <w:kern w:val="0"/>
                <w:sz w:val="21"/>
                <w:szCs w:val="21"/>
                <w:lang w:val="en-US" w:eastAsia="zh-CN" w:bidi="ar-SA"/>
              </w:rPr>
            </w:pPr>
            <w:r>
              <w:rPr>
                <w:rFonts w:hint="eastAsia" w:cs="Times New Roman"/>
                <w:b/>
                <w:bCs/>
                <w:snapToGrid w:val="0"/>
                <w:color w:val="auto"/>
                <w:kern w:val="0"/>
                <w:sz w:val="21"/>
                <w:szCs w:val="21"/>
                <w:lang w:val="en-US" w:eastAsia="zh-CN" w:bidi="ar-SA"/>
              </w:rPr>
              <w:t>检查情况</w:t>
            </w:r>
          </w:p>
        </w:tc>
        <w:tc>
          <w:tcPr>
            <w:tcW w:w="114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b/>
                <w:bCs/>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检查结果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 w:hRule="atLeast"/>
          <w:jc w:val="center"/>
        </w:trPr>
        <w:tc>
          <w:tcPr>
            <w:tcW w:w="50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375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spacing w:val="6"/>
                <w:kern w:val="0"/>
                <w:sz w:val="21"/>
                <w:szCs w:val="21"/>
                <w:lang w:val="en-US" w:eastAsia="en-US" w:bidi="ar-SA"/>
              </w:rPr>
              <w:t>厂址选择应符合国家的工业布局、城镇（乡）总体规划及土地利用总体规划的要求。</w:t>
            </w:r>
          </w:p>
        </w:tc>
        <w:tc>
          <w:tcPr>
            <w:tcW w:w="2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《工业企业总平面设计</w:t>
            </w:r>
            <w:r>
              <w:rPr>
                <w:rFonts w:hint="default" w:ascii="Times New Roman" w:hAnsi="Times New Roman" w:eastAsia="宋体" w:cs="Times New Roman"/>
                <w:snapToGrid w:val="0"/>
                <w:color w:val="auto"/>
                <w:kern w:val="0"/>
                <w:sz w:val="21"/>
                <w:szCs w:val="21"/>
                <w:lang w:val="en-US" w:eastAsia="en-US" w:bidi="ar-SA"/>
              </w:rPr>
              <w:t>规范》（GB50187-2012）第</w:t>
            </w:r>
            <w:r>
              <w:rPr>
                <w:rFonts w:hint="eastAsia" w:cs="Times New Roman"/>
                <w:snapToGrid w:val="0"/>
                <w:color w:val="auto"/>
                <w:kern w:val="0"/>
                <w:sz w:val="21"/>
                <w:szCs w:val="21"/>
                <w:lang w:val="en-US" w:eastAsia="zh-CN" w:bidi="ar-SA"/>
              </w:rPr>
              <w:t>3.0.1</w:t>
            </w:r>
            <w:r>
              <w:rPr>
                <w:rFonts w:hint="default" w:ascii="Times New Roman" w:hAnsi="Times New Roman" w:eastAsia="宋体" w:cs="Times New Roman"/>
                <w:snapToGrid w:val="0"/>
                <w:color w:val="auto"/>
                <w:kern w:val="0"/>
                <w:sz w:val="21"/>
                <w:szCs w:val="21"/>
                <w:lang w:val="en-US" w:eastAsia="en-US" w:bidi="ar-SA"/>
              </w:rPr>
              <w:t>条</w:t>
            </w:r>
          </w:p>
        </w:tc>
        <w:tc>
          <w:tcPr>
            <w:tcW w:w="219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26"/>
                <w:kern w:val="0"/>
                <w:sz w:val="21"/>
                <w:szCs w:val="21"/>
                <w:lang w:val="en-US" w:eastAsia="zh-CN" w:bidi="ar-SA"/>
              </w:rPr>
            </w:pPr>
            <w:r>
              <w:rPr>
                <w:rFonts w:hint="eastAsia" w:cs="Times New Roman"/>
                <w:snapToGrid w:val="0"/>
                <w:color w:val="auto"/>
                <w:spacing w:val="26"/>
                <w:kern w:val="0"/>
                <w:sz w:val="21"/>
                <w:szCs w:val="21"/>
                <w:lang w:val="en-US" w:eastAsia="zh-CN" w:bidi="ar-SA"/>
              </w:rPr>
              <w:t>按要求办理了相关的手续（如征地、可行性研究等）。</w:t>
            </w:r>
          </w:p>
        </w:tc>
        <w:tc>
          <w:tcPr>
            <w:tcW w:w="114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3" w:hRule="atLeast"/>
          <w:jc w:val="center"/>
        </w:trPr>
        <w:tc>
          <w:tcPr>
            <w:tcW w:w="50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375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21"/>
                <w:kern w:val="0"/>
                <w:sz w:val="21"/>
                <w:szCs w:val="21"/>
                <w:lang w:val="en-US" w:eastAsia="en-US" w:bidi="ar-SA"/>
              </w:rPr>
            </w:pPr>
            <w:r>
              <w:rPr>
                <w:rFonts w:hint="eastAsia" w:cs="Times New Roman"/>
                <w:snapToGrid w:val="0"/>
                <w:color w:val="auto"/>
                <w:spacing w:val="21"/>
                <w:kern w:val="0"/>
                <w:sz w:val="21"/>
                <w:szCs w:val="21"/>
                <w:lang w:val="en-US" w:eastAsia="zh-CN" w:bidi="ar-SA"/>
              </w:rPr>
              <w:t>2.1</w:t>
            </w:r>
            <w:r>
              <w:rPr>
                <w:rFonts w:hint="default" w:ascii="Times New Roman" w:hAnsi="Times New Roman" w:eastAsia="宋体" w:cs="Times New Roman"/>
                <w:snapToGrid w:val="0"/>
                <w:color w:val="auto"/>
                <w:spacing w:val="21"/>
                <w:kern w:val="0"/>
                <w:sz w:val="21"/>
                <w:szCs w:val="21"/>
                <w:lang w:val="en-US" w:eastAsia="en-US" w:bidi="ar-SA"/>
              </w:rPr>
              <w:t>厂址选择应对原料、燃料及辅助材料的来源、产品流向、建设条件、经济、社会、人文、城镇土地利用现状与规划、环境保护、文物古迹、占地拆迁、对协作、施工条件等各种因素进行深入的调查研究，并应进行多方案技术经济比较后确定。</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2.2厂址应有便利和经济的交通运输条件,与厂外铁路、公路的连接应便捷、工程量小。</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2.3选择厂址,应有完整的地形、工程地质、水文地质、地震、气象及环境影响评价等方面的资料作依据。</w:t>
            </w:r>
          </w:p>
        </w:tc>
        <w:tc>
          <w:tcPr>
            <w:tcW w:w="2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《工业企业总平面设计</w:t>
            </w:r>
            <w:r>
              <w:rPr>
                <w:rFonts w:hint="default" w:ascii="Times New Roman" w:hAnsi="Times New Roman" w:eastAsia="宋体" w:cs="Times New Roman"/>
                <w:snapToGrid w:val="0"/>
                <w:color w:val="auto"/>
                <w:kern w:val="0"/>
                <w:sz w:val="21"/>
                <w:szCs w:val="21"/>
                <w:lang w:val="en-US" w:eastAsia="en-US" w:bidi="ar-SA"/>
              </w:rPr>
              <w:t>规范》（GB50187-2012）</w:t>
            </w:r>
            <w:r>
              <w:rPr>
                <w:rFonts w:hint="default" w:ascii="Times New Roman" w:hAnsi="Times New Roman" w:eastAsia="宋体" w:cs="Times New Roman"/>
                <w:snapToGrid w:val="0"/>
                <w:color w:val="auto"/>
                <w:spacing w:val="1"/>
                <w:kern w:val="0"/>
                <w:sz w:val="21"/>
                <w:szCs w:val="21"/>
                <w:lang w:val="en-US" w:eastAsia="en-US" w:bidi="ar-SA"/>
              </w:rPr>
              <w:t>第3.0.</w:t>
            </w:r>
            <w:r>
              <w:rPr>
                <w:rFonts w:hint="eastAsia" w:cs="Times New Roman"/>
                <w:snapToGrid w:val="0"/>
                <w:color w:val="auto"/>
                <w:spacing w:val="1"/>
                <w:kern w:val="0"/>
                <w:sz w:val="21"/>
                <w:szCs w:val="21"/>
                <w:lang w:val="en-US" w:eastAsia="zh-CN" w:bidi="ar-SA"/>
              </w:rPr>
              <w:t>3~3.0.4、3.0.8</w:t>
            </w:r>
            <w:r>
              <w:rPr>
                <w:rFonts w:hint="default" w:ascii="Times New Roman" w:hAnsi="Times New Roman" w:eastAsia="宋体" w:cs="Times New Roman"/>
                <w:snapToGrid w:val="0"/>
                <w:color w:val="auto"/>
                <w:spacing w:val="1"/>
                <w:kern w:val="0"/>
                <w:sz w:val="21"/>
                <w:szCs w:val="21"/>
                <w:lang w:val="en-US" w:eastAsia="en-US" w:bidi="ar-SA"/>
              </w:rPr>
              <w:t>条</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1"/>
                <w:kern w:val="0"/>
                <w:sz w:val="21"/>
                <w:szCs w:val="21"/>
                <w:lang w:val="en-US" w:eastAsia="zh-CN" w:bidi="ar-SA"/>
              </w:rPr>
            </w:pPr>
            <w:r>
              <w:rPr>
                <w:rFonts w:hint="default" w:ascii="Times New Roman" w:hAnsi="Times New Roman" w:eastAsia="宋体" w:cs="Times New Roman"/>
                <w:snapToGrid w:val="0"/>
                <w:color w:val="auto"/>
                <w:spacing w:val="1"/>
                <w:kern w:val="0"/>
                <w:sz w:val="21"/>
                <w:szCs w:val="21"/>
                <w:lang w:val="en-US" w:eastAsia="en-US" w:bidi="ar-SA"/>
              </w:rPr>
              <w:t>《有色金属工业总图规划及运输设计标准》（</w:t>
            </w:r>
            <w:r>
              <w:rPr>
                <w:rFonts w:hint="eastAsia" w:cs="Times New Roman"/>
                <w:snapToGrid w:val="0"/>
                <w:color w:val="auto"/>
                <w:spacing w:val="1"/>
                <w:kern w:val="0"/>
                <w:sz w:val="21"/>
                <w:szCs w:val="21"/>
                <w:lang w:val="en-US" w:eastAsia="zh-CN" w:bidi="ar-SA"/>
              </w:rPr>
              <w:t>GB50544-2009</w:t>
            </w:r>
            <w:r>
              <w:rPr>
                <w:rFonts w:hint="default" w:ascii="Times New Roman" w:hAnsi="Times New Roman" w:eastAsia="宋体" w:cs="Times New Roman"/>
                <w:snapToGrid w:val="0"/>
                <w:color w:val="auto"/>
                <w:spacing w:val="1"/>
                <w:kern w:val="0"/>
                <w:sz w:val="21"/>
                <w:szCs w:val="21"/>
                <w:lang w:val="en-US" w:eastAsia="en-US" w:bidi="ar-SA"/>
              </w:rPr>
              <w:t>）</w:t>
            </w:r>
            <w:r>
              <w:rPr>
                <w:rFonts w:hint="eastAsia" w:cs="Times New Roman"/>
                <w:snapToGrid w:val="0"/>
                <w:color w:val="auto"/>
                <w:spacing w:val="1"/>
                <w:kern w:val="0"/>
                <w:sz w:val="21"/>
                <w:szCs w:val="21"/>
                <w:lang w:val="en-US" w:eastAsia="zh-CN" w:bidi="ar-SA"/>
              </w:rPr>
              <w:t>第3.0.6条</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1"/>
                <w:kern w:val="0"/>
                <w:sz w:val="21"/>
                <w:szCs w:val="21"/>
                <w:lang w:val="en-US" w:eastAsia="zh-CN" w:bidi="ar-SA"/>
              </w:rPr>
            </w:pPr>
            <w:r>
              <w:rPr>
                <w:rFonts w:hint="default" w:cs="Times New Roman"/>
                <w:snapToGrid w:val="0"/>
                <w:color w:val="auto"/>
                <w:spacing w:val="1"/>
                <w:kern w:val="0"/>
                <w:sz w:val="21"/>
                <w:szCs w:val="21"/>
                <w:lang w:val="en-US" w:eastAsia="zh-CN" w:bidi="ar-SA"/>
              </w:rPr>
              <w:t>《选矿安全规程》（</w:t>
            </w:r>
            <w:r>
              <w:rPr>
                <w:rFonts w:hint="eastAsia" w:cs="Times New Roman"/>
                <w:snapToGrid w:val="0"/>
                <w:color w:val="auto"/>
                <w:spacing w:val="1"/>
                <w:kern w:val="0"/>
                <w:sz w:val="21"/>
                <w:szCs w:val="21"/>
                <w:lang w:val="en-US" w:eastAsia="zh-CN" w:bidi="ar-SA"/>
              </w:rPr>
              <w:t>GB/T18152-2000</w:t>
            </w:r>
            <w:r>
              <w:rPr>
                <w:rFonts w:hint="default" w:cs="Times New Roman"/>
                <w:snapToGrid w:val="0"/>
                <w:color w:val="auto"/>
                <w:spacing w:val="1"/>
                <w:kern w:val="0"/>
                <w:sz w:val="21"/>
                <w:szCs w:val="21"/>
                <w:lang w:val="en-US" w:eastAsia="zh-CN" w:bidi="ar-SA"/>
              </w:rPr>
              <w:t>）</w:t>
            </w:r>
            <w:r>
              <w:rPr>
                <w:rFonts w:hint="eastAsia" w:cs="Times New Roman"/>
                <w:snapToGrid w:val="0"/>
                <w:color w:val="auto"/>
                <w:spacing w:val="1"/>
                <w:kern w:val="0"/>
                <w:sz w:val="21"/>
                <w:szCs w:val="21"/>
                <w:lang w:val="en-US" w:eastAsia="zh-CN" w:bidi="ar-SA"/>
              </w:rPr>
              <w:t>第5.1.1条</w:t>
            </w:r>
          </w:p>
        </w:tc>
        <w:tc>
          <w:tcPr>
            <w:tcW w:w="219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26"/>
                <w:kern w:val="0"/>
                <w:sz w:val="21"/>
                <w:szCs w:val="21"/>
                <w:lang w:val="en-US" w:eastAsia="en-US" w:bidi="ar-SA"/>
              </w:rPr>
            </w:pPr>
            <w:r>
              <w:rPr>
                <w:rFonts w:hint="default" w:ascii="Times New Roman" w:hAnsi="Times New Roman" w:eastAsia="宋体" w:cs="Times New Roman"/>
                <w:snapToGrid w:val="0"/>
                <w:color w:val="auto"/>
                <w:spacing w:val="26"/>
                <w:kern w:val="0"/>
                <w:sz w:val="21"/>
                <w:szCs w:val="21"/>
                <w:lang w:val="en-US" w:eastAsia="en-US" w:bidi="ar-SA"/>
              </w:rPr>
              <w:t>选矿厂区布置在竖井井口工业场地东北侧约250m，运输距离短，运输生产成本</w:t>
            </w:r>
            <w:r>
              <w:rPr>
                <w:rFonts w:hint="eastAsia" w:ascii="Times New Roman" w:hAnsi="Times New Roman" w:eastAsia="宋体" w:cs="Times New Roman"/>
                <w:snapToGrid w:val="0"/>
                <w:color w:val="auto"/>
                <w:spacing w:val="26"/>
                <w:kern w:val="0"/>
                <w:sz w:val="21"/>
                <w:szCs w:val="21"/>
                <w:lang w:val="en-US" w:eastAsia="zh-CN" w:bidi="ar-SA"/>
              </w:rPr>
              <w:t>低</w:t>
            </w:r>
            <w:r>
              <w:rPr>
                <w:rFonts w:hint="default" w:ascii="Times New Roman" w:hAnsi="Times New Roman" w:eastAsia="宋体" w:cs="Times New Roman"/>
                <w:snapToGrid w:val="0"/>
                <w:color w:val="auto"/>
                <w:spacing w:val="26"/>
                <w:kern w:val="0"/>
                <w:sz w:val="21"/>
                <w:szCs w:val="21"/>
                <w:lang w:val="en-US" w:eastAsia="en-US" w:bidi="ar-SA"/>
              </w:rPr>
              <w:t>。</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26"/>
                <w:kern w:val="0"/>
                <w:sz w:val="21"/>
                <w:szCs w:val="21"/>
                <w:lang w:val="en-US" w:eastAsia="zh-CN" w:bidi="ar-SA"/>
              </w:rPr>
            </w:pPr>
            <w:r>
              <w:rPr>
                <w:rFonts w:hint="eastAsia" w:cs="Times New Roman"/>
                <w:snapToGrid w:val="0"/>
                <w:color w:val="auto"/>
                <w:spacing w:val="26"/>
                <w:kern w:val="0"/>
                <w:sz w:val="21"/>
                <w:szCs w:val="21"/>
                <w:lang w:val="en-US" w:eastAsia="zh-CN" w:bidi="ar-SA"/>
              </w:rPr>
              <w:t>有</w:t>
            </w:r>
            <w:r>
              <w:rPr>
                <w:rFonts w:hint="eastAsia" w:cs="Times New Roman"/>
                <w:snapToGrid w:val="0"/>
                <w:color w:val="auto"/>
                <w:spacing w:val="21"/>
                <w:kern w:val="0"/>
                <w:sz w:val="21"/>
                <w:szCs w:val="21"/>
                <w:lang w:val="en-US" w:eastAsia="zh-CN" w:bidi="ar-SA"/>
              </w:rPr>
              <w:t>完整的地形、工程地质、水文地质、地震、气象及环境影响评价等方面的资料作依据。</w:t>
            </w:r>
          </w:p>
        </w:tc>
        <w:tc>
          <w:tcPr>
            <w:tcW w:w="114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3" w:hRule="atLeast"/>
          <w:jc w:val="center"/>
        </w:trPr>
        <w:tc>
          <w:tcPr>
            <w:tcW w:w="50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3</w:t>
            </w:r>
          </w:p>
        </w:tc>
        <w:tc>
          <w:tcPr>
            <w:tcW w:w="375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3.1选择厂址,宜避开岩溶、流砂、淤泥、湿陷性黄土、断层、塌方、泥石流、滑坡等不良地质地段;否则,应采取可靠的安全措施。</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3.2厂址应位于不受洪水、潮水或内涝威胁的地带,并应符合下列规定:</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1.当厂址不可避免地位于受洪水、潮水或内涝威胁的地带时,必须采取防洪、排涝的防护措施。</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2.凡受江、河、潮、海洪水、潮水或山洪威胁的工业企业,防洪标准应符合现行国家标准《防洪标准》GB50201的有关规定</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3.3山区建厂,当厂址位于山坡或山脚处时,应采取防止山洪、泥石流等自然灾害危害的加固措施,应对山坡的稳定性等作出地质灾害的危险性评估报告。</w:t>
            </w:r>
          </w:p>
        </w:tc>
        <w:tc>
          <w:tcPr>
            <w:tcW w:w="2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1"/>
                <w:kern w:val="0"/>
                <w:sz w:val="21"/>
                <w:szCs w:val="21"/>
                <w:lang w:val="en-US" w:eastAsia="zh-CN" w:bidi="ar-SA"/>
              </w:rPr>
            </w:pPr>
            <w:r>
              <w:rPr>
                <w:rFonts w:hint="default" w:cs="Times New Roman"/>
                <w:snapToGrid w:val="0"/>
                <w:color w:val="auto"/>
                <w:spacing w:val="1"/>
                <w:kern w:val="0"/>
                <w:sz w:val="21"/>
                <w:szCs w:val="21"/>
                <w:lang w:val="en-US" w:eastAsia="zh-CN" w:bidi="ar-SA"/>
              </w:rPr>
              <w:t>《选矿安全规程》（</w:t>
            </w:r>
            <w:r>
              <w:rPr>
                <w:rFonts w:hint="eastAsia" w:cs="Times New Roman"/>
                <w:snapToGrid w:val="0"/>
                <w:color w:val="auto"/>
                <w:spacing w:val="1"/>
                <w:kern w:val="0"/>
                <w:sz w:val="21"/>
                <w:szCs w:val="21"/>
                <w:lang w:val="en-US" w:eastAsia="zh-CN" w:bidi="ar-SA"/>
              </w:rPr>
              <w:t>GB/T18152-2000</w:t>
            </w:r>
            <w:r>
              <w:rPr>
                <w:rFonts w:hint="default" w:cs="Times New Roman"/>
                <w:snapToGrid w:val="0"/>
                <w:color w:val="auto"/>
                <w:spacing w:val="1"/>
                <w:kern w:val="0"/>
                <w:sz w:val="21"/>
                <w:szCs w:val="21"/>
                <w:lang w:val="en-US" w:eastAsia="zh-CN" w:bidi="ar-SA"/>
              </w:rPr>
              <w:t>）</w:t>
            </w:r>
            <w:r>
              <w:rPr>
                <w:rFonts w:hint="eastAsia" w:cs="Times New Roman"/>
                <w:snapToGrid w:val="0"/>
                <w:color w:val="auto"/>
                <w:spacing w:val="1"/>
                <w:kern w:val="0"/>
                <w:sz w:val="21"/>
                <w:szCs w:val="21"/>
                <w:lang w:val="en-US" w:eastAsia="zh-CN" w:bidi="ar-SA"/>
              </w:rPr>
              <w:t>第5.1.2条</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1"/>
                <w:kern w:val="0"/>
                <w:sz w:val="21"/>
                <w:szCs w:val="21"/>
                <w:lang w:val="en-US" w:eastAsia="zh-CN" w:bidi="ar-SA"/>
              </w:rPr>
            </w:pPr>
            <w:r>
              <w:rPr>
                <w:rFonts w:hint="default" w:cs="Times New Roman"/>
                <w:snapToGrid w:val="0"/>
                <w:color w:val="auto"/>
                <w:spacing w:val="1"/>
                <w:kern w:val="0"/>
                <w:sz w:val="21"/>
                <w:szCs w:val="21"/>
                <w:lang w:val="en-US" w:eastAsia="zh-CN" w:bidi="ar-SA"/>
              </w:rPr>
              <w:t>《工业企业总平面设计规范》（GB50187-2012）第3.0.</w:t>
            </w:r>
            <w:r>
              <w:rPr>
                <w:rFonts w:hint="eastAsia" w:cs="Times New Roman"/>
                <w:snapToGrid w:val="0"/>
                <w:color w:val="auto"/>
                <w:spacing w:val="1"/>
                <w:kern w:val="0"/>
                <w:sz w:val="21"/>
                <w:szCs w:val="21"/>
                <w:lang w:val="en-US" w:eastAsia="zh-CN" w:bidi="ar-SA"/>
              </w:rPr>
              <w:t>12</w:t>
            </w:r>
            <w:r>
              <w:rPr>
                <w:rFonts w:hint="default" w:cs="Times New Roman"/>
                <w:snapToGrid w:val="0"/>
                <w:color w:val="auto"/>
                <w:spacing w:val="1"/>
                <w:kern w:val="0"/>
                <w:sz w:val="21"/>
                <w:szCs w:val="21"/>
                <w:lang w:val="en-US" w:eastAsia="zh-CN" w:bidi="ar-SA"/>
              </w:rPr>
              <w:t>~3.0</w:t>
            </w:r>
            <w:r>
              <w:rPr>
                <w:rFonts w:hint="eastAsia" w:cs="Times New Roman"/>
                <w:snapToGrid w:val="0"/>
                <w:color w:val="auto"/>
                <w:spacing w:val="1"/>
                <w:kern w:val="0"/>
                <w:sz w:val="21"/>
                <w:szCs w:val="21"/>
                <w:lang w:val="en-US" w:eastAsia="zh-CN" w:bidi="ar-SA"/>
              </w:rPr>
              <w:t>.13</w:t>
            </w:r>
            <w:r>
              <w:rPr>
                <w:rFonts w:hint="default" w:cs="Times New Roman"/>
                <w:snapToGrid w:val="0"/>
                <w:color w:val="auto"/>
                <w:spacing w:val="1"/>
                <w:kern w:val="0"/>
                <w:sz w:val="21"/>
                <w:szCs w:val="21"/>
                <w:lang w:val="en-US" w:eastAsia="zh-CN" w:bidi="ar-SA"/>
              </w:rPr>
              <w:t>条</w:t>
            </w:r>
          </w:p>
        </w:tc>
        <w:tc>
          <w:tcPr>
            <w:tcW w:w="219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26"/>
                <w:kern w:val="0"/>
                <w:sz w:val="21"/>
                <w:szCs w:val="21"/>
                <w:lang w:val="en-US" w:eastAsia="zh-CN" w:bidi="ar-SA"/>
              </w:rPr>
            </w:pPr>
            <w:r>
              <w:rPr>
                <w:rFonts w:hint="eastAsia" w:cs="Times New Roman"/>
                <w:snapToGrid w:val="0"/>
                <w:color w:val="auto"/>
                <w:spacing w:val="26"/>
                <w:kern w:val="0"/>
                <w:sz w:val="21"/>
                <w:szCs w:val="21"/>
                <w:lang w:val="en-US" w:eastAsia="zh-CN" w:bidi="ar-SA"/>
              </w:rPr>
              <w:t>有</w:t>
            </w:r>
            <w:r>
              <w:rPr>
                <w:rFonts w:hint="default" w:ascii="Times New Roman" w:hAnsi="Times New Roman" w:eastAsia="宋体" w:cs="Times New Roman"/>
                <w:snapToGrid w:val="0"/>
                <w:color w:val="auto"/>
                <w:spacing w:val="26"/>
                <w:kern w:val="0"/>
                <w:sz w:val="21"/>
                <w:szCs w:val="21"/>
                <w:lang w:val="en-US" w:eastAsia="zh-CN" w:bidi="ar-SA"/>
              </w:rPr>
              <w:t>岩土工程勘察报告（详勘）</w:t>
            </w:r>
            <w:r>
              <w:rPr>
                <w:rFonts w:hint="eastAsia" w:cs="Times New Roman"/>
                <w:snapToGrid w:val="0"/>
                <w:color w:val="auto"/>
                <w:spacing w:val="26"/>
                <w:kern w:val="0"/>
                <w:sz w:val="21"/>
                <w:szCs w:val="21"/>
                <w:lang w:val="en-US" w:eastAsia="zh-CN" w:bidi="ar-SA"/>
              </w:rPr>
              <w:t>，满足上述条件。</w:t>
            </w:r>
          </w:p>
        </w:tc>
        <w:tc>
          <w:tcPr>
            <w:tcW w:w="114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3"/>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3" w:hRule="atLeast"/>
          <w:jc w:val="center"/>
        </w:trPr>
        <w:tc>
          <w:tcPr>
            <w:tcW w:w="50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4</w:t>
            </w:r>
          </w:p>
        </w:tc>
        <w:tc>
          <w:tcPr>
            <w:tcW w:w="375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厂址应具有满足建设及生产所需的用水量和用电量条件,高耗能企业宜临近水源及电源选址。</w:t>
            </w:r>
          </w:p>
        </w:tc>
        <w:tc>
          <w:tcPr>
            <w:tcW w:w="2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1"/>
                <w:kern w:val="0"/>
                <w:sz w:val="21"/>
                <w:szCs w:val="21"/>
                <w:lang w:val="en-US" w:eastAsia="zh-CN" w:bidi="ar-SA"/>
              </w:rPr>
            </w:pPr>
            <w:r>
              <w:rPr>
                <w:rFonts w:hint="default" w:cs="Times New Roman"/>
                <w:snapToGrid w:val="0"/>
                <w:color w:val="auto"/>
                <w:spacing w:val="1"/>
                <w:kern w:val="0"/>
                <w:sz w:val="21"/>
                <w:szCs w:val="21"/>
                <w:lang w:val="en-US" w:eastAsia="zh-CN" w:bidi="ar-SA"/>
              </w:rPr>
              <w:t>《工业企业总平面设计规范》（GB50187-2012）第3.0.</w:t>
            </w:r>
            <w:r>
              <w:rPr>
                <w:rFonts w:hint="eastAsia" w:cs="Times New Roman"/>
                <w:snapToGrid w:val="0"/>
                <w:color w:val="auto"/>
                <w:spacing w:val="1"/>
                <w:kern w:val="0"/>
                <w:sz w:val="21"/>
                <w:szCs w:val="21"/>
                <w:lang w:val="en-US" w:eastAsia="zh-CN" w:bidi="ar-SA"/>
              </w:rPr>
              <w:t>6</w:t>
            </w:r>
            <w:r>
              <w:rPr>
                <w:rFonts w:hint="default" w:cs="Times New Roman"/>
                <w:snapToGrid w:val="0"/>
                <w:color w:val="auto"/>
                <w:spacing w:val="1"/>
                <w:kern w:val="0"/>
                <w:sz w:val="21"/>
                <w:szCs w:val="21"/>
                <w:lang w:val="en-US" w:eastAsia="zh-CN" w:bidi="ar-SA"/>
              </w:rPr>
              <w:t>条</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1"/>
                <w:kern w:val="0"/>
                <w:sz w:val="21"/>
                <w:szCs w:val="21"/>
                <w:lang w:val="en-US" w:eastAsia="zh-CN" w:bidi="ar-SA"/>
              </w:rPr>
            </w:pPr>
            <w:r>
              <w:rPr>
                <w:rFonts w:hint="default" w:cs="Times New Roman"/>
                <w:snapToGrid w:val="0"/>
                <w:color w:val="auto"/>
                <w:spacing w:val="1"/>
                <w:kern w:val="0"/>
                <w:sz w:val="21"/>
                <w:szCs w:val="21"/>
                <w:lang w:val="en-US" w:eastAsia="zh-CN" w:bidi="ar-SA"/>
              </w:rPr>
              <w:t>《有色金属工业总图规划及运输设计标准》（</w:t>
            </w:r>
            <w:r>
              <w:rPr>
                <w:rFonts w:hint="eastAsia" w:cs="Times New Roman"/>
                <w:snapToGrid w:val="0"/>
                <w:color w:val="auto"/>
                <w:spacing w:val="1"/>
                <w:kern w:val="0"/>
                <w:sz w:val="21"/>
                <w:szCs w:val="21"/>
                <w:lang w:val="en-US" w:eastAsia="zh-CN" w:bidi="ar-SA"/>
              </w:rPr>
              <w:t>GB50544-2009</w:t>
            </w:r>
            <w:r>
              <w:rPr>
                <w:rFonts w:hint="default" w:cs="Times New Roman"/>
                <w:snapToGrid w:val="0"/>
                <w:color w:val="auto"/>
                <w:spacing w:val="1"/>
                <w:kern w:val="0"/>
                <w:sz w:val="21"/>
                <w:szCs w:val="21"/>
                <w:lang w:val="en-US" w:eastAsia="zh-CN" w:bidi="ar-SA"/>
              </w:rPr>
              <w:t>）第3.0.</w:t>
            </w:r>
            <w:r>
              <w:rPr>
                <w:rFonts w:hint="eastAsia" w:cs="Times New Roman"/>
                <w:snapToGrid w:val="0"/>
                <w:color w:val="auto"/>
                <w:spacing w:val="1"/>
                <w:kern w:val="0"/>
                <w:sz w:val="21"/>
                <w:szCs w:val="21"/>
                <w:lang w:val="en-US" w:eastAsia="zh-CN" w:bidi="ar-SA"/>
              </w:rPr>
              <w:t>11</w:t>
            </w:r>
            <w:r>
              <w:rPr>
                <w:rFonts w:hint="default" w:cs="Times New Roman"/>
                <w:snapToGrid w:val="0"/>
                <w:color w:val="auto"/>
                <w:spacing w:val="1"/>
                <w:kern w:val="0"/>
                <w:sz w:val="21"/>
                <w:szCs w:val="21"/>
                <w:lang w:val="en-US" w:eastAsia="zh-CN" w:bidi="ar-SA"/>
              </w:rPr>
              <w:t>条</w:t>
            </w:r>
          </w:p>
        </w:tc>
        <w:tc>
          <w:tcPr>
            <w:tcW w:w="219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26"/>
                <w:kern w:val="0"/>
                <w:sz w:val="21"/>
                <w:szCs w:val="21"/>
                <w:lang w:val="en-US" w:eastAsia="zh-CN" w:bidi="ar-SA"/>
              </w:rPr>
            </w:pPr>
            <w:r>
              <w:rPr>
                <w:rFonts w:hint="eastAsia" w:cs="Times New Roman"/>
                <w:snapToGrid w:val="0"/>
                <w:color w:val="auto"/>
                <w:spacing w:val="26"/>
                <w:kern w:val="0"/>
                <w:sz w:val="21"/>
                <w:szCs w:val="21"/>
                <w:lang w:val="en-US" w:eastAsia="zh-CN" w:bidi="ar-SA"/>
              </w:rPr>
              <w:t>有满足生产所需的水源、电源。</w:t>
            </w:r>
          </w:p>
        </w:tc>
        <w:tc>
          <w:tcPr>
            <w:tcW w:w="114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3"/>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0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5</w:t>
            </w:r>
          </w:p>
        </w:tc>
        <w:tc>
          <w:tcPr>
            <w:tcW w:w="375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厂址选择应利用荒山劣地、滩涂,不应对现有土地和植被的水土保持功能造成破坏。</w:t>
            </w:r>
          </w:p>
        </w:tc>
        <w:tc>
          <w:tcPr>
            <w:tcW w:w="2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1"/>
                <w:kern w:val="0"/>
                <w:sz w:val="21"/>
                <w:szCs w:val="21"/>
                <w:lang w:val="en-US" w:eastAsia="zh-CN" w:bidi="ar-SA"/>
              </w:rPr>
            </w:pPr>
            <w:r>
              <w:rPr>
                <w:rFonts w:hint="default" w:cs="Times New Roman"/>
                <w:snapToGrid w:val="0"/>
                <w:color w:val="auto"/>
                <w:spacing w:val="1"/>
                <w:kern w:val="0"/>
                <w:sz w:val="21"/>
                <w:szCs w:val="21"/>
                <w:lang w:val="en-US" w:eastAsia="zh-CN" w:bidi="ar-SA"/>
              </w:rPr>
              <w:t>《有色金属工业总图规划及运输设计标准》（</w:t>
            </w:r>
            <w:r>
              <w:rPr>
                <w:rFonts w:hint="eastAsia" w:cs="Times New Roman"/>
                <w:snapToGrid w:val="0"/>
                <w:color w:val="auto"/>
                <w:spacing w:val="1"/>
                <w:kern w:val="0"/>
                <w:sz w:val="21"/>
                <w:szCs w:val="21"/>
                <w:lang w:val="en-US" w:eastAsia="zh-CN" w:bidi="ar-SA"/>
              </w:rPr>
              <w:t>GB50544-2009</w:t>
            </w:r>
            <w:r>
              <w:rPr>
                <w:rFonts w:hint="default" w:cs="Times New Roman"/>
                <w:snapToGrid w:val="0"/>
                <w:color w:val="auto"/>
                <w:spacing w:val="1"/>
                <w:kern w:val="0"/>
                <w:sz w:val="21"/>
                <w:szCs w:val="21"/>
                <w:lang w:val="en-US" w:eastAsia="zh-CN" w:bidi="ar-SA"/>
              </w:rPr>
              <w:t>）第3.0.</w:t>
            </w:r>
            <w:r>
              <w:rPr>
                <w:rFonts w:hint="eastAsia" w:cs="Times New Roman"/>
                <w:snapToGrid w:val="0"/>
                <w:color w:val="auto"/>
                <w:spacing w:val="1"/>
                <w:kern w:val="0"/>
                <w:sz w:val="21"/>
                <w:szCs w:val="21"/>
                <w:lang w:val="en-US" w:eastAsia="zh-CN" w:bidi="ar-SA"/>
              </w:rPr>
              <w:t>3</w:t>
            </w:r>
            <w:r>
              <w:rPr>
                <w:rFonts w:hint="default" w:cs="Times New Roman"/>
                <w:snapToGrid w:val="0"/>
                <w:color w:val="auto"/>
                <w:spacing w:val="1"/>
                <w:kern w:val="0"/>
                <w:sz w:val="21"/>
                <w:szCs w:val="21"/>
                <w:lang w:val="en-US" w:eastAsia="zh-CN" w:bidi="ar-SA"/>
              </w:rPr>
              <w:t>条</w:t>
            </w:r>
          </w:p>
        </w:tc>
        <w:tc>
          <w:tcPr>
            <w:tcW w:w="219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26"/>
                <w:kern w:val="0"/>
                <w:sz w:val="21"/>
                <w:szCs w:val="21"/>
                <w:lang w:val="en-US" w:eastAsia="zh-CN" w:bidi="ar-SA"/>
              </w:rPr>
            </w:pPr>
            <w:r>
              <w:rPr>
                <w:rFonts w:hint="eastAsia" w:cs="Times New Roman"/>
                <w:snapToGrid w:val="0"/>
                <w:color w:val="auto"/>
                <w:spacing w:val="21"/>
                <w:kern w:val="0"/>
                <w:sz w:val="21"/>
                <w:szCs w:val="21"/>
                <w:lang w:val="en-US" w:eastAsia="zh-CN" w:bidi="ar-SA"/>
              </w:rPr>
              <w:t>利用荒山劣地，不占用耕地、好地。</w:t>
            </w:r>
          </w:p>
        </w:tc>
        <w:tc>
          <w:tcPr>
            <w:tcW w:w="114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3"/>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3" w:hRule="atLeast"/>
          <w:jc w:val="center"/>
        </w:trPr>
        <w:tc>
          <w:tcPr>
            <w:tcW w:w="50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6</w:t>
            </w:r>
          </w:p>
        </w:tc>
        <w:tc>
          <w:tcPr>
            <w:tcW w:w="375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6.1厂址应满足近期建设所必需的场地面积和适宜的建厂地形,并应根据工业企业远期发展规划的需要,留有适当的发展余地。</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6.2厂址选择应符合节约用地要求,近期建设应有满足企业建设所需的场地面积,远期建设宜根据企业发展规划的需要留有发展余地。</w:t>
            </w:r>
          </w:p>
        </w:tc>
        <w:tc>
          <w:tcPr>
            <w:tcW w:w="2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1"/>
                <w:kern w:val="0"/>
                <w:sz w:val="21"/>
                <w:szCs w:val="21"/>
                <w:lang w:val="en-US" w:eastAsia="zh-CN" w:bidi="ar-SA"/>
              </w:rPr>
            </w:pPr>
            <w:r>
              <w:rPr>
                <w:rFonts w:hint="default" w:cs="Times New Roman"/>
                <w:snapToGrid w:val="0"/>
                <w:color w:val="auto"/>
                <w:spacing w:val="1"/>
                <w:kern w:val="0"/>
                <w:sz w:val="21"/>
                <w:szCs w:val="21"/>
                <w:lang w:val="en-US" w:eastAsia="zh-CN" w:bidi="ar-SA"/>
              </w:rPr>
              <w:t>《工业企业总平面设计规范》（GB50187-2012）第3.0.</w:t>
            </w:r>
            <w:r>
              <w:rPr>
                <w:rFonts w:hint="eastAsia" w:cs="Times New Roman"/>
                <w:snapToGrid w:val="0"/>
                <w:color w:val="auto"/>
                <w:spacing w:val="1"/>
                <w:kern w:val="0"/>
                <w:sz w:val="21"/>
                <w:szCs w:val="21"/>
                <w:lang w:val="en-US" w:eastAsia="zh-CN" w:bidi="ar-SA"/>
              </w:rPr>
              <w:t>9</w:t>
            </w:r>
            <w:r>
              <w:rPr>
                <w:rFonts w:hint="default" w:cs="Times New Roman"/>
                <w:snapToGrid w:val="0"/>
                <w:color w:val="auto"/>
                <w:spacing w:val="1"/>
                <w:kern w:val="0"/>
                <w:sz w:val="21"/>
                <w:szCs w:val="21"/>
                <w:lang w:val="en-US" w:eastAsia="zh-CN" w:bidi="ar-SA"/>
              </w:rPr>
              <w:t>条</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1"/>
                <w:kern w:val="0"/>
                <w:sz w:val="21"/>
                <w:szCs w:val="21"/>
                <w:lang w:val="en-US" w:eastAsia="zh-CN" w:bidi="ar-SA"/>
              </w:rPr>
            </w:pPr>
            <w:r>
              <w:rPr>
                <w:rFonts w:hint="default" w:cs="Times New Roman"/>
                <w:snapToGrid w:val="0"/>
                <w:color w:val="auto"/>
                <w:spacing w:val="1"/>
                <w:kern w:val="0"/>
                <w:sz w:val="21"/>
                <w:szCs w:val="21"/>
                <w:lang w:val="en-US" w:eastAsia="zh-CN" w:bidi="ar-SA"/>
              </w:rPr>
              <w:t>《有色金属工业总图规划及运输设计标准》（</w:t>
            </w:r>
            <w:r>
              <w:rPr>
                <w:rFonts w:hint="eastAsia" w:cs="Times New Roman"/>
                <w:snapToGrid w:val="0"/>
                <w:color w:val="auto"/>
                <w:spacing w:val="1"/>
                <w:kern w:val="0"/>
                <w:sz w:val="21"/>
                <w:szCs w:val="21"/>
                <w:lang w:val="en-US" w:eastAsia="zh-CN" w:bidi="ar-SA"/>
              </w:rPr>
              <w:t>GB50544-2009</w:t>
            </w:r>
            <w:r>
              <w:rPr>
                <w:rFonts w:hint="default" w:cs="Times New Roman"/>
                <w:snapToGrid w:val="0"/>
                <w:color w:val="auto"/>
                <w:spacing w:val="1"/>
                <w:kern w:val="0"/>
                <w:sz w:val="21"/>
                <w:szCs w:val="21"/>
                <w:lang w:val="en-US" w:eastAsia="zh-CN" w:bidi="ar-SA"/>
              </w:rPr>
              <w:t>）第3.0.</w:t>
            </w:r>
            <w:r>
              <w:rPr>
                <w:rFonts w:hint="eastAsia" w:cs="Times New Roman"/>
                <w:snapToGrid w:val="0"/>
                <w:color w:val="auto"/>
                <w:spacing w:val="1"/>
                <w:kern w:val="0"/>
                <w:sz w:val="21"/>
                <w:szCs w:val="21"/>
                <w:lang w:val="en-US" w:eastAsia="zh-CN" w:bidi="ar-SA"/>
              </w:rPr>
              <w:t>12</w:t>
            </w:r>
            <w:r>
              <w:rPr>
                <w:rFonts w:hint="default" w:cs="Times New Roman"/>
                <w:snapToGrid w:val="0"/>
                <w:color w:val="auto"/>
                <w:spacing w:val="1"/>
                <w:kern w:val="0"/>
                <w:sz w:val="21"/>
                <w:szCs w:val="21"/>
                <w:lang w:val="en-US" w:eastAsia="zh-CN" w:bidi="ar-SA"/>
              </w:rPr>
              <w:t>条</w:t>
            </w:r>
          </w:p>
        </w:tc>
        <w:tc>
          <w:tcPr>
            <w:tcW w:w="219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选矿工业场地占地面积55亩，能满足要求。</w:t>
            </w:r>
          </w:p>
        </w:tc>
        <w:tc>
          <w:tcPr>
            <w:tcW w:w="114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3"/>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jc w:val="center"/>
        </w:trPr>
        <w:tc>
          <w:tcPr>
            <w:tcW w:w="50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7</w:t>
            </w:r>
          </w:p>
        </w:tc>
        <w:tc>
          <w:tcPr>
            <w:tcW w:w="375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厂址应有利于同邻近工业企业和依托城镇在生产、交通运输、动力公用、机修和器材供应、综合利用、发展循环经济和生活设施等方面的协作。</w:t>
            </w:r>
          </w:p>
        </w:tc>
        <w:tc>
          <w:tcPr>
            <w:tcW w:w="2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1"/>
                <w:kern w:val="0"/>
                <w:sz w:val="21"/>
                <w:szCs w:val="21"/>
                <w:lang w:val="en-US" w:eastAsia="zh-CN" w:bidi="ar-SA"/>
              </w:rPr>
            </w:pPr>
            <w:r>
              <w:rPr>
                <w:rFonts w:hint="default" w:cs="Times New Roman"/>
                <w:snapToGrid w:val="0"/>
                <w:color w:val="auto"/>
                <w:spacing w:val="1"/>
                <w:kern w:val="0"/>
                <w:sz w:val="21"/>
                <w:szCs w:val="21"/>
                <w:lang w:val="en-US" w:eastAsia="zh-CN" w:bidi="ar-SA"/>
              </w:rPr>
              <w:t>《工业企业总平面设计规范》（GB50187-2012）第3.0.</w:t>
            </w:r>
            <w:r>
              <w:rPr>
                <w:rFonts w:hint="eastAsia" w:cs="Times New Roman"/>
                <w:snapToGrid w:val="0"/>
                <w:color w:val="auto"/>
                <w:spacing w:val="1"/>
                <w:kern w:val="0"/>
                <w:sz w:val="21"/>
                <w:szCs w:val="21"/>
                <w:lang w:val="en-US" w:eastAsia="zh-CN" w:bidi="ar-SA"/>
              </w:rPr>
              <w:t>11</w:t>
            </w:r>
            <w:r>
              <w:rPr>
                <w:rFonts w:hint="default" w:cs="Times New Roman"/>
                <w:snapToGrid w:val="0"/>
                <w:color w:val="auto"/>
                <w:spacing w:val="1"/>
                <w:kern w:val="0"/>
                <w:sz w:val="21"/>
                <w:szCs w:val="21"/>
                <w:lang w:val="en-US" w:eastAsia="zh-CN" w:bidi="ar-SA"/>
              </w:rPr>
              <w:t>条</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1"/>
                <w:kern w:val="0"/>
                <w:sz w:val="21"/>
                <w:szCs w:val="21"/>
                <w:lang w:val="en-US" w:eastAsia="zh-CN" w:bidi="ar-SA"/>
              </w:rPr>
            </w:pPr>
            <w:r>
              <w:rPr>
                <w:rFonts w:hint="default" w:cs="Times New Roman"/>
                <w:snapToGrid w:val="0"/>
                <w:color w:val="auto"/>
                <w:spacing w:val="1"/>
                <w:kern w:val="0"/>
                <w:sz w:val="21"/>
                <w:szCs w:val="21"/>
                <w:lang w:val="en-US" w:eastAsia="zh-CN" w:bidi="ar-SA"/>
              </w:rPr>
              <w:t>《有色金属工业总图规划及运输设计标准》（</w:t>
            </w:r>
            <w:r>
              <w:rPr>
                <w:rFonts w:hint="eastAsia" w:cs="Times New Roman"/>
                <w:snapToGrid w:val="0"/>
                <w:color w:val="auto"/>
                <w:spacing w:val="1"/>
                <w:kern w:val="0"/>
                <w:sz w:val="21"/>
                <w:szCs w:val="21"/>
                <w:lang w:val="en-US" w:eastAsia="zh-CN" w:bidi="ar-SA"/>
              </w:rPr>
              <w:t>GB50544-2009</w:t>
            </w:r>
            <w:r>
              <w:rPr>
                <w:rFonts w:hint="default" w:cs="Times New Roman"/>
                <w:snapToGrid w:val="0"/>
                <w:color w:val="auto"/>
                <w:spacing w:val="1"/>
                <w:kern w:val="0"/>
                <w:sz w:val="21"/>
                <w:szCs w:val="21"/>
                <w:lang w:val="en-US" w:eastAsia="zh-CN" w:bidi="ar-SA"/>
              </w:rPr>
              <w:t>）第3.0.</w:t>
            </w:r>
            <w:r>
              <w:rPr>
                <w:rFonts w:hint="eastAsia" w:cs="Times New Roman"/>
                <w:snapToGrid w:val="0"/>
                <w:color w:val="auto"/>
                <w:spacing w:val="1"/>
                <w:kern w:val="0"/>
                <w:sz w:val="21"/>
                <w:szCs w:val="21"/>
                <w:lang w:val="en-US" w:eastAsia="zh-CN" w:bidi="ar-SA"/>
              </w:rPr>
              <w:t>9</w:t>
            </w:r>
            <w:r>
              <w:rPr>
                <w:rFonts w:hint="default" w:cs="Times New Roman"/>
                <w:snapToGrid w:val="0"/>
                <w:color w:val="auto"/>
                <w:spacing w:val="1"/>
                <w:kern w:val="0"/>
                <w:sz w:val="21"/>
                <w:szCs w:val="21"/>
                <w:lang w:val="en-US" w:eastAsia="zh-CN" w:bidi="ar-SA"/>
              </w:rPr>
              <w:t>条</w:t>
            </w:r>
          </w:p>
        </w:tc>
        <w:tc>
          <w:tcPr>
            <w:tcW w:w="219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选矿工业场地满足要求</w:t>
            </w:r>
          </w:p>
        </w:tc>
        <w:tc>
          <w:tcPr>
            <w:tcW w:w="114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3"/>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3" w:hRule="atLeast"/>
          <w:jc w:val="center"/>
        </w:trPr>
        <w:tc>
          <w:tcPr>
            <w:tcW w:w="50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8</w:t>
            </w:r>
          </w:p>
        </w:tc>
        <w:tc>
          <w:tcPr>
            <w:tcW w:w="375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厂址应避免洪水淹没。场地的设计标高,应高出当地计算水位0.5m以上。</w:t>
            </w:r>
          </w:p>
        </w:tc>
        <w:tc>
          <w:tcPr>
            <w:tcW w:w="2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1"/>
                <w:kern w:val="0"/>
                <w:sz w:val="21"/>
                <w:szCs w:val="21"/>
                <w:lang w:val="en-US" w:eastAsia="zh-CN" w:bidi="ar-SA"/>
              </w:rPr>
            </w:pPr>
            <w:r>
              <w:rPr>
                <w:rFonts w:hint="default" w:cs="Times New Roman"/>
                <w:snapToGrid w:val="0"/>
                <w:color w:val="auto"/>
                <w:spacing w:val="1"/>
                <w:kern w:val="0"/>
                <w:sz w:val="21"/>
                <w:szCs w:val="21"/>
                <w:lang w:val="en-US" w:eastAsia="zh-CN" w:bidi="ar-SA"/>
              </w:rPr>
              <w:t>《选矿安全规程》（</w:t>
            </w:r>
            <w:r>
              <w:rPr>
                <w:rFonts w:hint="eastAsia" w:cs="Times New Roman"/>
                <w:snapToGrid w:val="0"/>
                <w:color w:val="auto"/>
                <w:spacing w:val="1"/>
                <w:kern w:val="0"/>
                <w:sz w:val="21"/>
                <w:szCs w:val="21"/>
                <w:lang w:val="en-US" w:eastAsia="zh-CN" w:bidi="ar-SA"/>
              </w:rPr>
              <w:t>GB/T18152-2000</w:t>
            </w:r>
            <w:r>
              <w:rPr>
                <w:rFonts w:hint="default" w:cs="Times New Roman"/>
                <w:snapToGrid w:val="0"/>
                <w:color w:val="auto"/>
                <w:spacing w:val="1"/>
                <w:kern w:val="0"/>
                <w:sz w:val="21"/>
                <w:szCs w:val="21"/>
                <w:lang w:val="en-US" w:eastAsia="zh-CN" w:bidi="ar-SA"/>
              </w:rPr>
              <w:t>）第5.1.2条</w:t>
            </w:r>
          </w:p>
        </w:tc>
        <w:tc>
          <w:tcPr>
            <w:tcW w:w="219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可研中没有提及历史最高计算水位。后续设计中增加该部分表述，以免洪水淹没场地。</w:t>
            </w:r>
          </w:p>
        </w:tc>
        <w:tc>
          <w:tcPr>
            <w:tcW w:w="114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3"/>
                <w:kern w:val="0"/>
                <w:sz w:val="21"/>
                <w:szCs w:val="21"/>
                <w:lang w:val="en-US" w:eastAsia="zh-CN" w:bidi="ar-SA"/>
              </w:rPr>
            </w:pPr>
            <w:r>
              <w:rPr>
                <w:rFonts w:hint="eastAsia" w:cs="Times New Roman"/>
                <w:snapToGrid w:val="0"/>
                <w:color w:val="auto"/>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jc w:val="center"/>
        </w:trPr>
        <w:tc>
          <w:tcPr>
            <w:tcW w:w="50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9</w:t>
            </w:r>
          </w:p>
        </w:tc>
        <w:tc>
          <w:tcPr>
            <w:tcW w:w="375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9.1下列地段和地区不应选为厂址:</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1.发震断层和抗震设防烈度为9度及高于9度的地震区。</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2.有泥石流、流沙、严重滑坡、溶洞等直接危害的地段。</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3.采矿塌落(错动)区地表界限内。</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4.爆破危险区界限内。</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5.坝或堤决溃后可能淹没的地区。</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6.有严重放射性物质污染的影响区。</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7.生活居住区、文教区、水源保护区、名胜古迹、风景游览区:温泉、疗养区、自然保护区和其他需要特别保护的区域。</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8.对飞机起落、机场通信、电视转播、雷达导航和重要的天文、气象、地震观察,以及军事设施等规定有影响的范围内。</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9.很严重的自重湿陷性黄土地段,厚度大的新近堆积黄土地段和高压缩性的饱和黄土地段等地质条件恶劣地段。</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10.具有开采价值的矿藏区。</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11.受海啸或湖涌危害的地区。</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9.2厂址不应选择在地下采空区塌落界限和露天爆破危险区以内,也不应选择在炸药加工厂、爆破器材库及油库最小安全距离范围内。</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9.3厂址应避免选在地震断层带和基本烈度高于9度的地区;否则应按国家有关抗震规定进行设防。</w:t>
            </w:r>
          </w:p>
        </w:tc>
        <w:tc>
          <w:tcPr>
            <w:tcW w:w="2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1"/>
                <w:kern w:val="0"/>
                <w:sz w:val="21"/>
                <w:szCs w:val="21"/>
                <w:lang w:val="en-US" w:eastAsia="zh-CN" w:bidi="ar-SA"/>
              </w:rPr>
            </w:pPr>
            <w:r>
              <w:rPr>
                <w:rFonts w:hint="default" w:cs="Times New Roman"/>
                <w:snapToGrid w:val="0"/>
                <w:color w:val="auto"/>
                <w:spacing w:val="1"/>
                <w:kern w:val="0"/>
                <w:sz w:val="21"/>
                <w:szCs w:val="21"/>
                <w:lang w:val="en-US" w:eastAsia="zh-CN" w:bidi="ar-SA"/>
              </w:rPr>
              <w:t>《工业企业总平面设计规范》（GB50187-2012）第3.0.</w:t>
            </w:r>
            <w:r>
              <w:rPr>
                <w:rFonts w:hint="eastAsia" w:cs="Times New Roman"/>
                <w:snapToGrid w:val="0"/>
                <w:color w:val="auto"/>
                <w:spacing w:val="1"/>
                <w:kern w:val="0"/>
                <w:sz w:val="21"/>
                <w:szCs w:val="21"/>
                <w:lang w:val="en-US" w:eastAsia="zh-CN" w:bidi="ar-SA"/>
              </w:rPr>
              <w:t>14</w:t>
            </w:r>
            <w:r>
              <w:rPr>
                <w:rFonts w:hint="default" w:cs="Times New Roman"/>
                <w:snapToGrid w:val="0"/>
                <w:color w:val="auto"/>
                <w:spacing w:val="1"/>
                <w:kern w:val="0"/>
                <w:sz w:val="21"/>
                <w:szCs w:val="21"/>
                <w:lang w:val="en-US" w:eastAsia="zh-CN" w:bidi="ar-SA"/>
              </w:rPr>
              <w:t>条</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1"/>
                <w:kern w:val="0"/>
                <w:sz w:val="21"/>
                <w:szCs w:val="21"/>
                <w:lang w:val="en-US" w:eastAsia="zh-CN" w:bidi="ar-SA"/>
              </w:rPr>
            </w:pPr>
            <w:r>
              <w:rPr>
                <w:rFonts w:hint="default" w:cs="Times New Roman"/>
                <w:snapToGrid w:val="0"/>
                <w:color w:val="auto"/>
                <w:spacing w:val="1"/>
                <w:kern w:val="0"/>
                <w:sz w:val="21"/>
                <w:szCs w:val="21"/>
                <w:lang w:val="en-US" w:eastAsia="zh-CN" w:bidi="ar-SA"/>
              </w:rPr>
              <w:t>《有色金属工业总图规划及运输设计标准》（</w:t>
            </w:r>
            <w:r>
              <w:rPr>
                <w:rFonts w:hint="eastAsia" w:cs="Times New Roman"/>
                <w:snapToGrid w:val="0"/>
                <w:color w:val="auto"/>
                <w:spacing w:val="1"/>
                <w:kern w:val="0"/>
                <w:sz w:val="21"/>
                <w:szCs w:val="21"/>
                <w:lang w:val="en-US" w:eastAsia="zh-CN" w:bidi="ar-SA"/>
              </w:rPr>
              <w:t>GB50544-2009</w:t>
            </w:r>
            <w:r>
              <w:rPr>
                <w:rFonts w:hint="default" w:cs="Times New Roman"/>
                <w:snapToGrid w:val="0"/>
                <w:color w:val="auto"/>
                <w:spacing w:val="1"/>
                <w:kern w:val="0"/>
                <w:sz w:val="21"/>
                <w:szCs w:val="21"/>
                <w:lang w:val="en-US" w:eastAsia="zh-CN" w:bidi="ar-SA"/>
              </w:rPr>
              <w:t>）第3.0.</w:t>
            </w:r>
            <w:r>
              <w:rPr>
                <w:rFonts w:hint="eastAsia" w:cs="Times New Roman"/>
                <w:snapToGrid w:val="0"/>
                <w:color w:val="auto"/>
                <w:spacing w:val="1"/>
                <w:kern w:val="0"/>
                <w:sz w:val="21"/>
                <w:szCs w:val="21"/>
                <w:lang w:val="en-US" w:eastAsia="zh-CN" w:bidi="ar-SA"/>
              </w:rPr>
              <w:t>4~3.05</w:t>
            </w:r>
            <w:r>
              <w:rPr>
                <w:rFonts w:hint="default" w:cs="Times New Roman"/>
                <w:snapToGrid w:val="0"/>
                <w:color w:val="auto"/>
                <w:spacing w:val="1"/>
                <w:kern w:val="0"/>
                <w:sz w:val="21"/>
                <w:szCs w:val="21"/>
                <w:lang w:val="en-US" w:eastAsia="zh-CN" w:bidi="ar-SA"/>
              </w:rPr>
              <w:t>条</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1"/>
                <w:kern w:val="0"/>
                <w:sz w:val="21"/>
                <w:szCs w:val="21"/>
                <w:lang w:val="en-US" w:eastAsia="zh-CN" w:bidi="ar-SA"/>
              </w:rPr>
            </w:pPr>
            <w:r>
              <w:rPr>
                <w:rFonts w:hint="default" w:cs="Times New Roman"/>
                <w:snapToGrid w:val="0"/>
                <w:color w:val="auto"/>
                <w:spacing w:val="1"/>
                <w:kern w:val="0"/>
                <w:sz w:val="21"/>
                <w:szCs w:val="21"/>
                <w:lang w:val="en-US" w:eastAsia="zh-CN" w:bidi="ar-SA"/>
              </w:rPr>
              <w:t>《选矿安全规程》（</w:t>
            </w:r>
            <w:r>
              <w:rPr>
                <w:rFonts w:hint="eastAsia" w:cs="Times New Roman"/>
                <w:snapToGrid w:val="0"/>
                <w:color w:val="auto"/>
                <w:spacing w:val="1"/>
                <w:kern w:val="0"/>
                <w:sz w:val="21"/>
                <w:szCs w:val="21"/>
                <w:lang w:val="en-US" w:eastAsia="zh-CN" w:bidi="ar-SA"/>
              </w:rPr>
              <w:t>GB/T18152-2000</w:t>
            </w:r>
            <w:r>
              <w:rPr>
                <w:rFonts w:hint="default" w:cs="Times New Roman"/>
                <w:snapToGrid w:val="0"/>
                <w:color w:val="auto"/>
                <w:spacing w:val="1"/>
                <w:kern w:val="0"/>
                <w:sz w:val="21"/>
                <w:szCs w:val="21"/>
                <w:lang w:val="en-US" w:eastAsia="zh-CN" w:bidi="ar-SA"/>
              </w:rPr>
              <w:t>）第5.1.</w:t>
            </w:r>
            <w:r>
              <w:rPr>
                <w:rFonts w:hint="eastAsia" w:cs="Times New Roman"/>
                <w:snapToGrid w:val="0"/>
                <w:color w:val="auto"/>
                <w:spacing w:val="1"/>
                <w:kern w:val="0"/>
                <w:sz w:val="21"/>
                <w:szCs w:val="21"/>
                <w:lang w:val="en-US" w:eastAsia="zh-CN" w:bidi="ar-SA"/>
              </w:rPr>
              <w:t>3~5.1.4</w:t>
            </w:r>
            <w:r>
              <w:rPr>
                <w:rFonts w:hint="default" w:cs="Times New Roman"/>
                <w:snapToGrid w:val="0"/>
                <w:color w:val="auto"/>
                <w:spacing w:val="1"/>
                <w:kern w:val="0"/>
                <w:sz w:val="21"/>
                <w:szCs w:val="21"/>
                <w:lang w:val="en-US" w:eastAsia="zh-CN" w:bidi="ar-SA"/>
              </w:rPr>
              <w:t>条</w:t>
            </w:r>
          </w:p>
        </w:tc>
        <w:tc>
          <w:tcPr>
            <w:tcW w:w="219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厂址不位于上述地段和地区。</w:t>
            </w:r>
          </w:p>
        </w:tc>
        <w:tc>
          <w:tcPr>
            <w:tcW w:w="114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3"/>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3" w:hRule="atLeast"/>
          <w:jc w:val="center"/>
        </w:trPr>
        <w:tc>
          <w:tcPr>
            <w:tcW w:w="50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10</w:t>
            </w:r>
          </w:p>
        </w:tc>
        <w:tc>
          <w:tcPr>
            <w:tcW w:w="375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10.1联合企业中不同类型的工厂应按生产性质、相互关系、协作条件等因素分区集中布置。对产生有害气体、烟、雾、粉尘等有害物质的工厂,应采取防止危害的治理措施。</w:t>
            </w:r>
          </w:p>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10.2产生有害气体、烟、雾、粉尘等有害物质的工业企业与居住区之间应按现行国家标准《制定地方大气污染物排放标准的技术方法》GB/T3840和有关工业企业设计卫生标准的规定,设置卫生防护距离,并应符合下列规定:</w:t>
            </w:r>
          </w:p>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1.卫生防护距离用地应利用原有绿地、水塘、河流、耕地山岗和不利于建筑房屋的地带。</w:t>
            </w:r>
          </w:p>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2.在卫生防护距离内不应设置永久居住的房屋,有条件时应绿化。</w:t>
            </w:r>
          </w:p>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right="0" w:firstLine="0" w:firstLineChars="0"/>
              <w:jc w:val="center"/>
              <w:textAlignment w:val="baseline"/>
              <w:rPr>
                <w:rFonts w:hint="default"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10.3产生高噪声的工业企业,总体规划应符合现行国家标准《声环境质量标准》GB3096、工业企业噪声控制设计规范》GBJ87和《工业企业厂界环境噪声排放标准》GB12348的有关规定。</w:t>
            </w:r>
          </w:p>
        </w:tc>
        <w:tc>
          <w:tcPr>
            <w:tcW w:w="2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right="0" w:firstLine="0" w:firstLineChars="0"/>
              <w:jc w:val="center"/>
              <w:textAlignment w:val="baseline"/>
              <w:rPr>
                <w:rFonts w:hint="default" w:cs="Times New Roman"/>
                <w:snapToGrid w:val="0"/>
                <w:color w:val="auto"/>
                <w:spacing w:val="1"/>
                <w:kern w:val="0"/>
                <w:sz w:val="21"/>
                <w:szCs w:val="21"/>
                <w:lang w:val="en-US" w:eastAsia="zh-CN" w:bidi="ar-SA"/>
              </w:rPr>
            </w:pPr>
            <w:r>
              <w:rPr>
                <w:rFonts w:hint="default" w:cs="Times New Roman"/>
                <w:snapToGrid w:val="0"/>
                <w:color w:val="auto"/>
                <w:spacing w:val="1"/>
                <w:kern w:val="0"/>
                <w:sz w:val="21"/>
                <w:szCs w:val="21"/>
                <w:lang w:val="en-US" w:eastAsia="zh-CN" w:bidi="ar-SA"/>
              </w:rPr>
              <w:t>《工业企业总平面设计规范》（GB50187-2012）第</w:t>
            </w:r>
            <w:r>
              <w:rPr>
                <w:rFonts w:hint="eastAsia" w:cs="Times New Roman"/>
                <w:snapToGrid w:val="0"/>
                <w:color w:val="auto"/>
                <w:spacing w:val="1"/>
                <w:kern w:val="0"/>
                <w:sz w:val="21"/>
                <w:szCs w:val="21"/>
                <w:lang w:val="en-US" w:eastAsia="zh-CN" w:bidi="ar-SA"/>
              </w:rPr>
              <w:t>4.1</w:t>
            </w:r>
            <w:r>
              <w:rPr>
                <w:rFonts w:hint="default" w:cs="Times New Roman"/>
                <w:snapToGrid w:val="0"/>
                <w:color w:val="auto"/>
                <w:spacing w:val="1"/>
                <w:kern w:val="0"/>
                <w:sz w:val="21"/>
                <w:szCs w:val="21"/>
                <w:lang w:val="en-US" w:eastAsia="zh-CN" w:bidi="ar-SA"/>
              </w:rPr>
              <w:t>.</w:t>
            </w:r>
            <w:r>
              <w:rPr>
                <w:rFonts w:hint="eastAsia" w:cs="Times New Roman"/>
                <w:snapToGrid w:val="0"/>
                <w:color w:val="auto"/>
                <w:spacing w:val="1"/>
                <w:kern w:val="0"/>
                <w:sz w:val="21"/>
                <w:szCs w:val="21"/>
                <w:lang w:val="en-US" w:eastAsia="zh-CN" w:bidi="ar-SA"/>
              </w:rPr>
              <w:t>5、4.2.1、4.2.4</w:t>
            </w:r>
            <w:r>
              <w:rPr>
                <w:rFonts w:hint="default" w:cs="Times New Roman"/>
                <w:snapToGrid w:val="0"/>
                <w:color w:val="auto"/>
                <w:spacing w:val="1"/>
                <w:kern w:val="0"/>
                <w:sz w:val="21"/>
                <w:szCs w:val="21"/>
                <w:lang w:val="en-US" w:eastAsia="zh-CN" w:bidi="ar-SA"/>
              </w:rPr>
              <w:t>条</w:t>
            </w:r>
          </w:p>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right="0" w:firstLine="0" w:firstLineChars="0"/>
              <w:jc w:val="center"/>
              <w:textAlignment w:val="baseline"/>
              <w:rPr>
                <w:rFonts w:hint="default" w:cs="Times New Roman"/>
                <w:snapToGrid w:val="0"/>
                <w:color w:val="auto"/>
                <w:spacing w:val="1"/>
                <w:kern w:val="0"/>
                <w:sz w:val="21"/>
                <w:szCs w:val="21"/>
                <w:lang w:val="en-US" w:eastAsia="zh-CN" w:bidi="ar-SA"/>
              </w:rPr>
            </w:pPr>
          </w:p>
        </w:tc>
        <w:tc>
          <w:tcPr>
            <w:tcW w:w="219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选矿厂生产性粉尘采用密闭或吸风罩抽尘、除尘设备净化方法处理。</w:t>
            </w:r>
          </w:p>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厂区卫生防护距离内无永久居住的房屋。</w:t>
            </w:r>
          </w:p>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right="0" w:firstLine="0" w:firstLineChars="0"/>
              <w:jc w:val="center"/>
              <w:textAlignment w:val="baseline"/>
              <w:rPr>
                <w:rFonts w:hint="default"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选矿厂有</w:t>
            </w:r>
            <w:r>
              <w:rPr>
                <w:rFonts w:hint="default" w:cs="Times New Roman"/>
                <w:snapToGrid w:val="0"/>
                <w:color w:val="auto"/>
                <w:spacing w:val="21"/>
                <w:kern w:val="0"/>
                <w:sz w:val="21"/>
                <w:szCs w:val="21"/>
                <w:lang w:val="en-US" w:eastAsia="zh-CN" w:bidi="ar-SA"/>
              </w:rPr>
              <w:t>噪声污染防治措施</w:t>
            </w:r>
            <w:r>
              <w:rPr>
                <w:rFonts w:hint="eastAsia" w:cs="Times New Roman"/>
                <w:snapToGrid w:val="0"/>
                <w:color w:val="auto"/>
                <w:spacing w:val="21"/>
                <w:kern w:val="0"/>
                <w:sz w:val="21"/>
                <w:szCs w:val="21"/>
                <w:lang w:val="en-US" w:eastAsia="zh-CN" w:bidi="ar-SA"/>
              </w:rPr>
              <w:t>。</w:t>
            </w:r>
          </w:p>
        </w:tc>
        <w:tc>
          <w:tcPr>
            <w:tcW w:w="114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right="0" w:firstLine="0" w:firstLineChars="0"/>
              <w:jc w:val="center"/>
              <w:textAlignment w:val="baseline"/>
              <w:rPr>
                <w:rFonts w:hint="default" w:cs="Times New Roman"/>
                <w:snapToGrid w:val="0"/>
                <w:color w:val="auto"/>
                <w:spacing w:val="3"/>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3" w:hRule="atLeast"/>
          <w:jc w:val="center"/>
        </w:trPr>
        <w:tc>
          <w:tcPr>
            <w:tcW w:w="50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11</w:t>
            </w:r>
          </w:p>
        </w:tc>
        <w:tc>
          <w:tcPr>
            <w:tcW w:w="375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选矿工业场地与采矿场、尾矿库、水源地等的相对位置应根据物流输送能耗小的原则确定,场地宜临近采矿场或尾矿库,应具有便捷的精矿外运条件。</w:t>
            </w:r>
          </w:p>
        </w:tc>
        <w:tc>
          <w:tcPr>
            <w:tcW w:w="2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right="0" w:firstLine="0" w:firstLineChars="0"/>
              <w:jc w:val="center"/>
              <w:textAlignment w:val="baseline"/>
              <w:rPr>
                <w:rFonts w:hint="default" w:cs="Times New Roman"/>
                <w:snapToGrid w:val="0"/>
                <w:color w:val="auto"/>
                <w:spacing w:val="1"/>
                <w:kern w:val="0"/>
                <w:sz w:val="21"/>
                <w:szCs w:val="21"/>
                <w:lang w:val="en-US" w:eastAsia="zh-CN" w:bidi="ar-SA"/>
              </w:rPr>
            </w:pPr>
            <w:r>
              <w:rPr>
                <w:rFonts w:hint="default" w:cs="Times New Roman"/>
                <w:snapToGrid w:val="0"/>
                <w:color w:val="auto"/>
                <w:spacing w:val="1"/>
                <w:kern w:val="0"/>
                <w:sz w:val="21"/>
                <w:szCs w:val="21"/>
                <w:lang w:val="en-US" w:eastAsia="zh-CN" w:bidi="ar-SA"/>
              </w:rPr>
              <w:t>《有色金属工业总图规划及运输设计标准》（</w:t>
            </w:r>
            <w:r>
              <w:rPr>
                <w:rFonts w:hint="eastAsia" w:cs="Times New Roman"/>
                <w:snapToGrid w:val="0"/>
                <w:color w:val="auto"/>
                <w:spacing w:val="1"/>
                <w:kern w:val="0"/>
                <w:sz w:val="21"/>
                <w:szCs w:val="21"/>
                <w:lang w:val="en-US" w:eastAsia="zh-CN" w:bidi="ar-SA"/>
              </w:rPr>
              <w:t>GB50544-2009</w:t>
            </w:r>
            <w:r>
              <w:rPr>
                <w:rFonts w:hint="default" w:cs="Times New Roman"/>
                <w:snapToGrid w:val="0"/>
                <w:color w:val="auto"/>
                <w:spacing w:val="1"/>
                <w:kern w:val="0"/>
                <w:sz w:val="21"/>
                <w:szCs w:val="21"/>
                <w:lang w:val="en-US" w:eastAsia="zh-CN" w:bidi="ar-SA"/>
              </w:rPr>
              <w:t>）第</w:t>
            </w:r>
            <w:r>
              <w:rPr>
                <w:rFonts w:hint="eastAsia" w:cs="Times New Roman"/>
                <w:snapToGrid w:val="0"/>
                <w:color w:val="auto"/>
                <w:spacing w:val="1"/>
                <w:kern w:val="0"/>
                <w:sz w:val="21"/>
                <w:szCs w:val="21"/>
                <w:lang w:val="en-US" w:eastAsia="zh-CN" w:bidi="ar-SA"/>
              </w:rPr>
              <w:t>4.4.2</w:t>
            </w:r>
            <w:r>
              <w:rPr>
                <w:rFonts w:hint="default" w:cs="Times New Roman"/>
                <w:snapToGrid w:val="0"/>
                <w:color w:val="auto"/>
                <w:spacing w:val="1"/>
                <w:kern w:val="0"/>
                <w:sz w:val="21"/>
                <w:szCs w:val="21"/>
                <w:lang w:val="en-US" w:eastAsia="zh-CN" w:bidi="ar-SA"/>
              </w:rPr>
              <w:t>条</w:t>
            </w:r>
          </w:p>
        </w:tc>
        <w:tc>
          <w:tcPr>
            <w:tcW w:w="219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选矿厂区布置在竖井井口工业场地东北侧约250m，尾矿库位于选厂东南侧约250m，于都小东坑矿业有限公司设计从罗江乡笙竹村新建一条公路到小东坑矿区。</w:t>
            </w:r>
          </w:p>
        </w:tc>
        <w:tc>
          <w:tcPr>
            <w:tcW w:w="114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60" w:lineRule="exact"/>
              <w:ind w:left="0" w:right="0" w:firstLine="0" w:firstLineChars="0"/>
              <w:jc w:val="center"/>
              <w:textAlignment w:val="baseline"/>
              <w:rPr>
                <w:rFonts w:hint="default" w:cs="Times New Roman"/>
                <w:snapToGrid w:val="0"/>
                <w:color w:val="auto"/>
                <w:spacing w:val="3"/>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3" w:hRule="atLeast"/>
          <w:jc w:val="center"/>
        </w:trPr>
        <w:tc>
          <w:tcPr>
            <w:tcW w:w="50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12</w:t>
            </w:r>
          </w:p>
        </w:tc>
        <w:tc>
          <w:tcPr>
            <w:tcW w:w="375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总变电站宜靠近负荷中心或主要用户,其位置的选择应符合下列规定:</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1.应靠近厂区边缘,且输电线路进出方便的地段。</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2.不得受粉尘、水雾、腐蚀性气体等污染源的影响,并应位于散发粉尘、腐蚀性气体污染源全年最小频率风向的下风侧和散发水雾场所冬季盛行风向的上风侧。</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3.不得布置在有强烈振动设施的场地附近。</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4.应有运输变压器的道路宜布置在地势较高地段。</w:t>
            </w:r>
          </w:p>
        </w:tc>
        <w:tc>
          <w:tcPr>
            <w:tcW w:w="2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1"/>
                <w:kern w:val="0"/>
                <w:sz w:val="21"/>
                <w:szCs w:val="21"/>
                <w:lang w:val="en-US" w:eastAsia="zh-CN" w:bidi="ar-SA"/>
              </w:rPr>
            </w:pPr>
            <w:r>
              <w:rPr>
                <w:rFonts w:hint="default" w:cs="Times New Roman"/>
                <w:snapToGrid w:val="0"/>
                <w:color w:val="auto"/>
                <w:spacing w:val="1"/>
                <w:kern w:val="0"/>
                <w:sz w:val="21"/>
                <w:szCs w:val="21"/>
                <w:lang w:val="en-US" w:eastAsia="zh-CN" w:bidi="ar-SA"/>
              </w:rPr>
              <w:t>《工业企业总平面设计规范》（GB50187-2012）第</w:t>
            </w:r>
            <w:r>
              <w:rPr>
                <w:rFonts w:hint="eastAsia" w:cs="Times New Roman"/>
                <w:snapToGrid w:val="0"/>
                <w:color w:val="auto"/>
                <w:spacing w:val="1"/>
                <w:kern w:val="0"/>
                <w:sz w:val="21"/>
                <w:szCs w:val="21"/>
                <w:lang w:val="en-US" w:eastAsia="zh-CN" w:bidi="ar-SA"/>
              </w:rPr>
              <w:t>4.4.5</w:t>
            </w:r>
            <w:r>
              <w:rPr>
                <w:rFonts w:hint="default" w:cs="Times New Roman"/>
                <w:snapToGrid w:val="0"/>
                <w:color w:val="auto"/>
                <w:spacing w:val="1"/>
                <w:kern w:val="0"/>
                <w:sz w:val="21"/>
                <w:szCs w:val="21"/>
                <w:lang w:val="en-US" w:eastAsia="zh-CN" w:bidi="ar-SA"/>
              </w:rPr>
              <w:t>条</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1"/>
                <w:kern w:val="0"/>
                <w:sz w:val="21"/>
                <w:szCs w:val="21"/>
                <w:lang w:val="en-US" w:eastAsia="zh-CN" w:bidi="ar-SA"/>
              </w:rPr>
            </w:pPr>
            <w:r>
              <w:rPr>
                <w:rFonts w:hint="default" w:cs="Times New Roman"/>
                <w:snapToGrid w:val="0"/>
                <w:color w:val="auto"/>
                <w:spacing w:val="1"/>
                <w:kern w:val="0"/>
                <w:sz w:val="21"/>
                <w:szCs w:val="21"/>
                <w:lang w:val="en-US" w:eastAsia="zh-CN" w:bidi="ar-SA"/>
              </w:rPr>
              <w:t>《有色金属工业总图规划及运输设计标准》（</w:t>
            </w:r>
            <w:r>
              <w:rPr>
                <w:rFonts w:hint="eastAsia" w:cs="Times New Roman"/>
                <w:snapToGrid w:val="0"/>
                <w:color w:val="auto"/>
                <w:spacing w:val="1"/>
                <w:kern w:val="0"/>
                <w:sz w:val="21"/>
                <w:szCs w:val="21"/>
                <w:lang w:val="en-US" w:eastAsia="zh-CN" w:bidi="ar-SA"/>
              </w:rPr>
              <w:t>GB50544-2009</w:t>
            </w:r>
            <w:r>
              <w:rPr>
                <w:rFonts w:hint="default" w:cs="Times New Roman"/>
                <w:snapToGrid w:val="0"/>
                <w:color w:val="auto"/>
                <w:spacing w:val="1"/>
                <w:kern w:val="0"/>
                <w:sz w:val="21"/>
                <w:szCs w:val="21"/>
                <w:lang w:val="en-US" w:eastAsia="zh-CN" w:bidi="ar-SA"/>
              </w:rPr>
              <w:t>）第</w:t>
            </w:r>
            <w:r>
              <w:rPr>
                <w:rFonts w:hint="eastAsia" w:cs="Times New Roman"/>
                <w:snapToGrid w:val="0"/>
                <w:color w:val="auto"/>
                <w:spacing w:val="1"/>
                <w:kern w:val="0"/>
                <w:sz w:val="21"/>
                <w:szCs w:val="21"/>
                <w:lang w:val="en-US" w:eastAsia="zh-CN" w:bidi="ar-SA"/>
              </w:rPr>
              <w:t>4.5.1</w:t>
            </w:r>
            <w:r>
              <w:rPr>
                <w:rFonts w:hint="default" w:cs="Times New Roman"/>
                <w:snapToGrid w:val="0"/>
                <w:color w:val="auto"/>
                <w:spacing w:val="1"/>
                <w:kern w:val="0"/>
                <w:sz w:val="21"/>
                <w:szCs w:val="21"/>
                <w:lang w:val="en-US" w:eastAsia="zh-CN" w:bidi="ar-SA"/>
              </w:rPr>
              <w:t>条</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1"/>
                <w:kern w:val="0"/>
                <w:sz w:val="21"/>
                <w:szCs w:val="21"/>
                <w:lang w:val="en-US" w:eastAsia="zh-CN" w:bidi="ar-SA"/>
              </w:rPr>
            </w:pPr>
          </w:p>
        </w:tc>
        <w:tc>
          <w:tcPr>
            <w:tcW w:w="219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采矿工业场地地面+405m竖井井口平台设一座10kV总配电所。</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不受粉尘、水雾、腐蚀性气体等污染源的影响</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没有布置在有强烈振动设施的场地附近。</w:t>
            </w:r>
          </w:p>
        </w:tc>
        <w:tc>
          <w:tcPr>
            <w:tcW w:w="114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3"/>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3" w:hRule="atLeast"/>
          <w:jc w:val="center"/>
        </w:trPr>
        <w:tc>
          <w:tcPr>
            <w:tcW w:w="50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13</w:t>
            </w:r>
          </w:p>
        </w:tc>
        <w:tc>
          <w:tcPr>
            <w:tcW w:w="375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13.1居住区应位于向大气排放有害气体、烟、雾、粉尘等有害物质的工业企业全年最小频率风向的下风侧，其卫生防护距离应符合国家现行有关工业企业设计卫生标准的规定。</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13.2在居民区建厂时,厂址应位于居民区常年最小风频方向的上风侧。在山区建厂时,应根据当地小区气象,确定厂区与居民区的位置。</w:t>
            </w:r>
          </w:p>
        </w:tc>
        <w:tc>
          <w:tcPr>
            <w:tcW w:w="2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1"/>
                <w:kern w:val="0"/>
                <w:sz w:val="21"/>
                <w:szCs w:val="21"/>
                <w:lang w:val="en-US" w:eastAsia="zh-CN" w:bidi="ar-SA"/>
              </w:rPr>
            </w:pPr>
            <w:r>
              <w:rPr>
                <w:rFonts w:hint="default" w:cs="Times New Roman"/>
                <w:snapToGrid w:val="0"/>
                <w:color w:val="auto"/>
                <w:spacing w:val="1"/>
                <w:kern w:val="0"/>
                <w:sz w:val="21"/>
                <w:szCs w:val="21"/>
                <w:lang w:val="en-US" w:eastAsia="zh-CN" w:bidi="ar-SA"/>
              </w:rPr>
              <w:t>《工业企业总平面设计规范》（GB50187-2012）第</w:t>
            </w:r>
            <w:r>
              <w:rPr>
                <w:rFonts w:hint="eastAsia" w:cs="Times New Roman"/>
                <w:snapToGrid w:val="0"/>
                <w:color w:val="auto"/>
                <w:spacing w:val="1"/>
                <w:kern w:val="0"/>
                <w:sz w:val="21"/>
                <w:szCs w:val="21"/>
                <w:lang w:val="en-US" w:eastAsia="zh-CN" w:bidi="ar-SA"/>
              </w:rPr>
              <w:t>4.5.3</w:t>
            </w:r>
            <w:r>
              <w:rPr>
                <w:rFonts w:hint="default" w:cs="Times New Roman"/>
                <w:snapToGrid w:val="0"/>
                <w:color w:val="auto"/>
                <w:spacing w:val="1"/>
                <w:kern w:val="0"/>
                <w:sz w:val="21"/>
                <w:szCs w:val="21"/>
                <w:lang w:val="en-US" w:eastAsia="zh-CN" w:bidi="ar-SA"/>
              </w:rPr>
              <w:t>条</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1"/>
                <w:kern w:val="0"/>
                <w:sz w:val="21"/>
                <w:szCs w:val="21"/>
                <w:lang w:val="en-US" w:eastAsia="zh-CN" w:bidi="ar-SA"/>
              </w:rPr>
            </w:pPr>
            <w:r>
              <w:rPr>
                <w:rFonts w:hint="default" w:cs="Times New Roman"/>
                <w:snapToGrid w:val="0"/>
                <w:color w:val="auto"/>
                <w:spacing w:val="1"/>
                <w:kern w:val="0"/>
                <w:sz w:val="21"/>
                <w:szCs w:val="21"/>
                <w:lang w:val="en-US" w:eastAsia="zh-CN" w:bidi="ar-SA"/>
              </w:rPr>
              <w:t>《选矿安全规程》（</w:t>
            </w:r>
            <w:r>
              <w:rPr>
                <w:rFonts w:hint="eastAsia" w:cs="Times New Roman"/>
                <w:snapToGrid w:val="0"/>
                <w:color w:val="auto"/>
                <w:spacing w:val="1"/>
                <w:kern w:val="0"/>
                <w:sz w:val="21"/>
                <w:szCs w:val="21"/>
                <w:lang w:val="en-US" w:eastAsia="zh-CN" w:bidi="ar-SA"/>
              </w:rPr>
              <w:t>GB/T18152-2000</w:t>
            </w:r>
            <w:r>
              <w:rPr>
                <w:rFonts w:hint="default" w:cs="Times New Roman"/>
                <w:snapToGrid w:val="0"/>
                <w:color w:val="auto"/>
                <w:spacing w:val="1"/>
                <w:kern w:val="0"/>
                <w:sz w:val="21"/>
                <w:szCs w:val="21"/>
                <w:lang w:val="en-US" w:eastAsia="zh-CN" w:bidi="ar-SA"/>
              </w:rPr>
              <w:t>）第5.1.</w:t>
            </w:r>
            <w:r>
              <w:rPr>
                <w:rFonts w:hint="eastAsia" w:cs="Times New Roman"/>
                <w:snapToGrid w:val="0"/>
                <w:color w:val="auto"/>
                <w:spacing w:val="1"/>
                <w:kern w:val="0"/>
                <w:sz w:val="21"/>
                <w:szCs w:val="21"/>
                <w:lang w:val="en-US" w:eastAsia="zh-CN" w:bidi="ar-SA"/>
              </w:rPr>
              <w:t>6</w:t>
            </w:r>
            <w:r>
              <w:rPr>
                <w:rFonts w:hint="default" w:cs="Times New Roman"/>
                <w:snapToGrid w:val="0"/>
                <w:color w:val="auto"/>
                <w:spacing w:val="1"/>
                <w:kern w:val="0"/>
                <w:sz w:val="21"/>
                <w:szCs w:val="21"/>
                <w:lang w:val="en-US" w:eastAsia="zh-CN" w:bidi="ar-SA"/>
              </w:rPr>
              <w:t>条</w:t>
            </w:r>
          </w:p>
        </w:tc>
        <w:tc>
          <w:tcPr>
            <w:tcW w:w="219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厂区周边无居民区，不存在上述情况。</w:t>
            </w:r>
          </w:p>
        </w:tc>
        <w:tc>
          <w:tcPr>
            <w:tcW w:w="114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3"/>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3" w:hRule="atLeast"/>
          <w:jc w:val="center"/>
        </w:trPr>
        <w:tc>
          <w:tcPr>
            <w:tcW w:w="50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14</w:t>
            </w:r>
          </w:p>
        </w:tc>
        <w:tc>
          <w:tcPr>
            <w:tcW w:w="375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选厂一般建构筑物地基土的承载力标准值,应大150kPa(1.5kgf/cm</w:t>
            </w:r>
            <w:r>
              <w:rPr>
                <w:rFonts w:hint="eastAsia" w:cs="Times New Roman"/>
                <w:snapToGrid w:val="0"/>
                <w:color w:val="auto"/>
                <w:spacing w:val="21"/>
                <w:kern w:val="0"/>
                <w:sz w:val="21"/>
                <w:szCs w:val="21"/>
                <w:vertAlign w:val="superscript"/>
                <w:lang w:val="en-US" w:eastAsia="zh-CN" w:bidi="ar-SA"/>
              </w:rPr>
              <w:t>2</w:t>
            </w:r>
            <w:r>
              <w:rPr>
                <w:rFonts w:hint="eastAsia" w:cs="Times New Roman"/>
                <w:snapToGrid w:val="0"/>
                <w:color w:val="auto"/>
                <w:spacing w:val="21"/>
                <w:kern w:val="0"/>
                <w:sz w:val="21"/>
                <w:szCs w:val="21"/>
                <w:lang w:val="en-US" w:eastAsia="zh-CN" w:bidi="ar-SA"/>
              </w:rPr>
              <w:t>);主要建构筑物地基土的承载力标准值,应大于250kPa(2.5kgf/cm</w:t>
            </w:r>
            <w:r>
              <w:rPr>
                <w:rFonts w:hint="eastAsia" w:cs="Times New Roman"/>
                <w:snapToGrid w:val="0"/>
                <w:color w:val="auto"/>
                <w:spacing w:val="21"/>
                <w:kern w:val="0"/>
                <w:sz w:val="21"/>
                <w:szCs w:val="21"/>
                <w:vertAlign w:val="superscript"/>
                <w:lang w:val="en-US" w:eastAsia="zh-CN" w:bidi="ar-SA"/>
              </w:rPr>
              <w:t>2</w:t>
            </w:r>
            <w:r>
              <w:rPr>
                <w:rFonts w:hint="eastAsia" w:cs="Times New Roman"/>
                <w:snapToGrid w:val="0"/>
                <w:color w:val="auto"/>
                <w:spacing w:val="21"/>
                <w:kern w:val="0"/>
                <w:sz w:val="21"/>
                <w:szCs w:val="21"/>
                <w:lang w:val="en-US" w:eastAsia="zh-CN" w:bidi="ar-SA"/>
              </w:rPr>
              <w:t>)。如地基土承载力不满足要求,应对地基进行妥善处理。</w:t>
            </w:r>
          </w:p>
        </w:tc>
        <w:tc>
          <w:tcPr>
            <w:tcW w:w="2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1"/>
                <w:kern w:val="0"/>
                <w:sz w:val="21"/>
                <w:szCs w:val="21"/>
                <w:lang w:val="en-US" w:eastAsia="zh-CN" w:bidi="ar-SA"/>
              </w:rPr>
            </w:pPr>
            <w:r>
              <w:rPr>
                <w:rFonts w:hint="default" w:cs="Times New Roman"/>
                <w:snapToGrid w:val="0"/>
                <w:color w:val="auto"/>
                <w:spacing w:val="1"/>
                <w:kern w:val="0"/>
                <w:sz w:val="21"/>
                <w:szCs w:val="21"/>
                <w:lang w:val="en-US" w:eastAsia="zh-CN" w:bidi="ar-SA"/>
              </w:rPr>
              <w:t>《选矿安全规程》（</w:t>
            </w:r>
            <w:r>
              <w:rPr>
                <w:rFonts w:hint="eastAsia" w:cs="Times New Roman"/>
                <w:snapToGrid w:val="0"/>
                <w:color w:val="auto"/>
                <w:spacing w:val="1"/>
                <w:kern w:val="0"/>
                <w:sz w:val="21"/>
                <w:szCs w:val="21"/>
                <w:lang w:val="en-US" w:eastAsia="zh-CN" w:bidi="ar-SA"/>
              </w:rPr>
              <w:t>GB/T18152-2000</w:t>
            </w:r>
            <w:r>
              <w:rPr>
                <w:rFonts w:hint="default" w:cs="Times New Roman"/>
                <w:snapToGrid w:val="0"/>
                <w:color w:val="auto"/>
                <w:spacing w:val="1"/>
                <w:kern w:val="0"/>
                <w:sz w:val="21"/>
                <w:szCs w:val="21"/>
                <w:lang w:val="en-US" w:eastAsia="zh-CN" w:bidi="ar-SA"/>
              </w:rPr>
              <w:t>）第5.1.</w:t>
            </w:r>
            <w:r>
              <w:rPr>
                <w:rFonts w:hint="eastAsia" w:cs="Times New Roman"/>
                <w:snapToGrid w:val="0"/>
                <w:color w:val="auto"/>
                <w:spacing w:val="1"/>
                <w:kern w:val="0"/>
                <w:sz w:val="21"/>
                <w:szCs w:val="21"/>
                <w:lang w:val="en-US" w:eastAsia="zh-CN" w:bidi="ar-SA"/>
              </w:rPr>
              <w:t>7</w:t>
            </w:r>
            <w:r>
              <w:rPr>
                <w:rFonts w:hint="default" w:cs="Times New Roman"/>
                <w:snapToGrid w:val="0"/>
                <w:color w:val="auto"/>
                <w:spacing w:val="1"/>
                <w:kern w:val="0"/>
                <w:sz w:val="21"/>
                <w:szCs w:val="21"/>
                <w:lang w:val="en-US" w:eastAsia="zh-CN" w:bidi="ar-SA"/>
              </w:rPr>
              <w:t>条</w:t>
            </w:r>
          </w:p>
        </w:tc>
        <w:tc>
          <w:tcPr>
            <w:tcW w:w="219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21"/>
                <w:kern w:val="0"/>
                <w:sz w:val="21"/>
                <w:szCs w:val="21"/>
                <w:lang w:val="en-US" w:eastAsia="zh-CN" w:bidi="ar-SA"/>
              </w:rPr>
            </w:pPr>
            <w:r>
              <w:rPr>
                <w:rFonts w:hint="eastAsia" w:cs="Times New Roman"/>
                <w:snapToGrid w:val="0"/>
                <w:color w:val="auto"/>
                <w:spacing w:val="21"/>
                <w:kern w:val="0"/>
                <w:sz w:val="21"/>
                <w:szCs w:val="21"/>
                <w:lang w:val="en-US" w:eastAsia="zh-CN" w:bidi="ar-SA"/>
              </w:rPr>
              <w:t>地基土承载力满足要求。</w:t>
            </w:r>
          </w:p>
        </w:tc>
        <w:tc>
          <w:tcPr>
            <w:tcW w:w="114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3"/>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bl>
    <w:p>
      <w:pPr>
        <w:pStyle w:val="4"/>
        <w:bidi w:val="0"/>
        <w:rPr>
          <w:rFonts w:hint="default"/>
          <w:color w:val="auto"/>
          <w:lang w:val="en-US" w:eastAsia="zh-CN"/>
        </w:rPr>
      </w:pPr>
      <w:bookmarkStart w:id="244" w:name="_Toc11630"/>
      <w:bookmarkStart w:id="245" w:name="_Toc2367"/>
      <w:r>
        <w:rPr>
          <w:rFonts w:hint="eastAsia"/>
          <w:color w:val="auto"/>
          <w:lang w:val="en-US" w:eastAsia="zh-CN"/>
        </w:rPr>
        <w:t>5.1.2 单元评价小结</w:t>
      </w:r>
      <w:bookmarkEnd w:id="244"/>
      <w:bookmarkEnd w:id="245"/>
    </w:p>
    <w:p>
      <w:pPr>
        <w:bidi w:val="0"/>
        <w:rPr>
          <w:rFonts w:hint="default"/>
          <w:color w:val="auto"/>
          <w:lang w:val="en-US" w:eastAsia="zh-CN"/>
        </w:rPr>
      </w:pPr>
      <w:r>
        <w:rPr>
          <w:rFonts w:hint="default"/>
          <w:color w:val="auto"/>
          <w:lang w:val="en-US" w:eastAsia="zh-CN"/>
        </w:rPr>
        <w:t>本单元对该项目厂址选择进行了</w:t>
      </w:r>
      <w:r>
        <w:rPr>
          <w:rFonts w:hint="eastAsia"/>
          <w:color w:val="auto"/>
          <w:lang w:val="en-US" w:eastAsia="zh-CN"/>
        </w:rPr>
        <w:t>14</w:t>
      </w:r>
      <w:r>
        <w:rPr>
          <w:rFonts w:hint="default"/>
          <w:color w:val="auto"/>
          <w:lang w:val="en-US" w:eastAsia="zh-CN"/>
        </w:rPr>
        <w:t>项检查，</w:t>
      </w:r>
      <w:r>
        <w:rPr>
          <w:rFonts w:hint="eastAsia"/>
          <w:color w:val="auto"/>
          <w:lang w:val="en-US" w:eastAsia="zh-CN"/>
        </w:rPr>
        <w:t>13</w:t>
      </w:r>
      <w:r>
        <w:rPr>
          <w:rFonts w:hint="default"/>
          <w:color w:val="auto"/>
          <w:lang w:val="en-US" w:eastAsia="zh-CN"/>
        </w:rPr>
        <w:t>项</w:t>
      </w:r>
      <w:r>
        <w:rPr>
          <w:rFonts w:hint="eastAsia"/>
          <w:bCs/>
          <w:color w:val="auto"/>
          <w:szCs w:val="28"/>
        </w:rPr>
        <w:t>满足要求</w:t>
      </w:r>
      <w:r>
        <w:rPr>
          <w:rFonts w:hint="default"/>
          <w:color w:val="auto"/>
          <w:lang w:val="en-US" w:eastAsia="zh-CN"/>
        </w:rPr>
        <w:t>，</w:t>
      </w:r>
      <w:r>
        <w:rPr>
          <w:rFonts w:hint="eastAsia"/>
          <w:color w:val="auto"/>
          <w:lang w:val="en-US" w:eastAsia="zh-CN"/>
        </w:rPr>
        <w:t>1</w:t>
      </w:r>
      <w:r>
        <w:rPr>
          <w:rFonts w:hint="default"/>
          <w:color w:val="auto"/>
          <w:lang w:val="en-US" w:eastAsia="zh-CN"/>
        </w:rPr>
        <w:t>项</w:t>
      </w:r>
      <w:r>
        <w:rPr>
          <w:rFonts w:hint="eastAsia"/>
          <w:color w:val="auto"/>
          <w:lang w:val="en-US" w:eastAsia="zh-CN"/>
        </w:rPr>
        <w:t>需</w:t>
      </w:r>
      <w:r>
        <w:rPr>
          <w:rFonts w:hint="default"/>
          <w:color w:val="auto"/>
          <w:lang w:val="en-US" w:eastAsia="zh-CN"/>
        </w:rPr>
        <w:t>下一步设计补充，</w:t>
      </w:r>
      <w:r>
        <w:rPr>
          <w:rFonts w:hint="eastAsia"/>
          <w:color w:val="auto"/>
          <w:lang w:val="en-US" w:eastAsia="zh-CN"/>
        </w:rPr>
        <w:t>下一步设计</w:t>
      </w:r>
      <w:r>
        <w:rPr>
          <w:rFonts w:hint="default"/>
          <w:color w:val="auto"/>
          <w:lang w:val="en-US" w:eastAsia="zh-CN"/>
        </w:rPr>
        <w:t>需</w:t>
      </w:r>
      <w:r>
        <w:rPr>
          <w:rFonts w:hint="eastAsia"/>
          <w:color w:val="auto"/>
          <w:lang w:val="en-US" w:eastAsia="zh-CN"/>
        </w:rPr>
        <w:t>增加历史最高计算水位内容。</w:t>
      </w:r>
    </w:p>
    <w:p>
      <w:pPr>
        <w:bidi w:val="0"/>
        <w:rPr>
          <w:rFonts w:hint="eastAsia"/>
          <w:color w:val="auto"/>
          <w:lang w:val="en-US" w:eastAsia="zh-CN"/>
        </w:rPr>
      </w:pPr>
      <w:r>
        <w:rPr>
          <w:rFonts w:hint="default"/>
          <w:color w:val="auto"/>
          <w:lang w:val="en-US" w:eastAsia="zh-CN"/>
        </w:rPr>
        <w:t>于都小东坑矿业有限公司选矿厂</w:t>
      </w:r>
      <w:r>
        <w:rPr>
          <w:rFonts w:hint="eastAsia"/>
          <w:color w:val="auto"/>
          <w:lang w:val="en-US" w:eastAsia="zh-CN"/>
        </w:rPr>
        <w:t>工程建设项目</w:t>
      </w:r>
      <w:r>
        <w:rPr>
          <w:rFonts w:hint="default"/>
          <w:color w:val="auto"/>
          <w:lang w:val="en-US" w:eastAsia="zh-CN"/>
        </w:rPr>
        <w:t>按要求办理了相关的手续（如征地、可行性研究等）</w:t>
      </w:r>
      <w:r>
        <w:rPr>
          <w:rFonts w:hint="eastAsia"/>
          <w:color w:val="auto"/>
          <w:lang w:val="en-US" w:eastAsia="zh-CN"/>
        </w:rPr>
        <w:t>，不占用耕地、好地，有满足生产所需的水源、电源</w:t>
      </w:r>
      <w:r>
        <w:rPr>
          <w:rFonts w:hint="default"/>
          <w:color w:val="auto"/>
          <w:lang w:val="en-US" w:eastAsia="zh-CN"/>
        </w:rPr>
        <w:t>。厂址临近原料</w:t>
      </w:r>
      <w:r>
        <w:rPr>
          <w:rFonts w:hint="eastAsia"/>
          <w:color w:val="auto"/>
          <w:lang w:val="en-US" w:eastAsia="zh-CN"/>
        </w:rPr>
        <w:t>产地，</w:t>
      </w:r>
      <w:r>
        <w:rPr>
          <w:rFonts w:hint="default"/>
          <w:color w:val="auto"/>
          <w:lang w:val="en-US" w:eastAsia="zh-CN"/>
        </w:rPr>
        <w:t>有方便、经济的交通运输条件</w:t>
      </w:r>
      <w:r>
        <w:rPr>
          <w:rFonts w:hint="eastAsia"/>
          <w:color w:val="auto"/>
          <w:lang w:val="en-US" w:eastAsia="zh-CN"/>
        </w:rPr>
        <w:t>，</w:t>
      </w:r>
      <w:r>
        <w:rPr>
          <w:rFonts w:hint="default"/>
          <w:color w:val="auto"/>
          <w:lang w:val="en-US" w:eastAsia="zh-CN"/>
        </w:rPr>
        <w:t>满足物料运输方式和安全生产的要求</w:t>
      </w:r>
      <w:r>
        <w:rPr>
          <w:rFonts w:hint="eastAsia"/>
          <w:color w:val="auto"/>
          <w:lang w:val="en-US" w:eastAsia="zh-CN"/>
        </w:rPr>
        <w:t>，有岩土工程勘察报告（详勘），地基土承载力满足要求</w:t>
      </w:r>
      <w:r>
        <w:rPr>
          <w:rFonts w:hint="default"/>
          <w:color w:val="auto"/>
          <w:lang w:val="en-US" w:eastAsia="zh-CN"/>
        </w:rPr>
        <w:t>。</w:t>
      </w:r>
      <w:r>
        <w:rPr>
          <w:rFonts w:hint="eastAsia"/>
          <w:color w:val="auto"/>
          <w:lang w:val="en-US" w:eastAsia="zh-CN"/>
        </w:rPr>
        <w:t>后续在增加历史最高计算水位内容后，风险可控。</w:t>
      </w:r>
    </w:p>
    <w:p>
      <w:pPr>
        <w:pStyle w:val="3"/>
        <w:bidi w:val="0"/>
        <w:rPr>
          <w:rFonts w:hint="eastAsia"/>
          <w:color w:val="auto"/>
          <w:lang w:val="en-US" w:eastAsia="zh-CN"/>
        </w:rPr>
      </w:pPr>
      <w:bookmarkStart w:id="246" w:name="_Toc20774"/>
      <w:bookmarkStart w:id="247" w:name="_Toc14443"/>
      <w:r>
        <w:rPr>
          <w:rFonts w:hint="eastAsia"/>
          <w:color w:val="auto"/>
          <w:lang w:val="en-US" w:eastAsia="zh-CN"/>
        </w:rPr>
        <w:t>5.2 总图布置单元</w:t>
      </w:r>
      <w:bookmarkEnd w:id="246"/>
      <w:bookmarkEnd w:id="247"/>
    </w:p>
    <w:p>
      <w:pPr>
        <w:pStyle w:val="4"/>
        <w:bidi w:val="0"/>
        <w:rPr>
          <w:rFonts w:hint="eastAsia"/>
          <w:color w:val="auto"/>
          <w:lang w:val="en-US" w:eastAsia="zh-CN"/>
        </w:rPr>
      </w:pPr>
      <w:bookmarkStart w:id="248" w:name="_Toc23777"/>
      <w:bookmarkStart w:id="249" w:name="_Toc29594"/>
      <w:r>
        <w:rPr>
          <w:rFonts w:hint="eastAsia"/>
          <w:color w:val="auto"/>
          <w:lang w:val="en-US" w:eastAsia="zh-CN"/>
        </w:rPr>
        <w:t>5.2.1 总平面布置子单元</w:t>
      </w:r>
      <w:bookmarkEnd w:id="248"/>
      <w:bookmarkEnd w:id="249"/>
    </w:p>
    <w:p>
      <w:pPr>
        <w:rPr>
          <w:rFonts w:hint="eastAsia"/>
          <w:color w:val="auto"/>
          <w:lang w:val="en-US" w:eastAsia="zh-CN"/>
        </w:rPr>
      </w:pPr>
      <w:r>
        <w:rPr>
          <w:rFonts w:hint="eastAsia"/>
          <w:color w:val="auto"/>
          <w:lang w:val="en-US" w:eastAsia="zh-CN"/>
        </w:rPr>
        <w:t>依据《工业企业总平面设计规范》（GB50187-2012）、《有色金属工业总图规划及运输设计标准》（GB50544-2009），采用安全检查表法对该拟建项目总平面布置的安全、合理性是否符合相关要求进行检查，检查情况见表5-2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 xml:space="preserve">2 </w:t>
      </w:r>
      <w:r>
        <w:rPr>
          <w:rFonts w:hint="default" w:ascii="Times New Roman" w:hAnsi="Times New Roman" w:eastAsia="宋体" w:cs="Times New Roman"/>
          <w:color w:val="auto"/>
          <w:lang w:val="en-US" w:eastAsia="zh-CN"/>
        </w:rPr>
        <w:t>总平面布置</w:t>
      </w:r>
      <w:r>
        <w:rPr>
          <w:rFonts w:hint="eastAsia" w:cs="Times New Roman"/>
          <w:color w:val="auto"/>
          <w:lang w:val="en-US" w:eastAsia="zh-CN"/>
        </w:rPr>
        <w:t>子单元</w:t>
      </w:r>
      <w:r>
        <w:rPr>
          <w:rFonts w:hint="default" w:ascii="Times New Roman" w:hAnsi="Times New Roman" w:eastAsia="宋体" w:cs="Times New Roman"/>
          <w:color w:val="auto"/>
          <w:lang w:val="en-US" w:eastAsia="zh-CN"/>
        </w:rPr>
        <w:t>安全检查表</w:t>
      </w:r>
    </w:p>
    <w:tbl>
      <w:tblPr>
        <w:tblStyle w:val="34"/>
        <w:tblW w:w="99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3474"/>
        <w:gridCol w:w="2250"/>
        <w:gridCol w:w="2588"/>
        <w:gridCol w:w="10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567" w:type="dxa"/>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序号</w:t>
            </w:r>
          </w:p>
        </w:tc>
        <w:tc>
          <w:tcPr>
            <w:tcW w:w="347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检查项目和内容</w:t>
            </w:r>
          </w:p>
        </w:tc>
        <w:tc>
          <w:tcPr>
            <w:tcW w:w="22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检查依据</w:t>
            </w:r>
          </w:p>
        </w:tc>
        <w:tc>
          <w:tcPr>
            <w:tcW w:w="25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b/>
                <w:bCs/>
                <w:snapToGrid w:val="0"/>
                <w:color w:val="auto"/>
                <w:kern w:val="0"/>
                <w:sz w:val="21"/>
                <w:szCs w:val="21"/>
                <w:lang w:val="en-US" w:eastAsia="zh-CN" w:bidi="ar-SA"/>
              </w:rPr>
              <w:t>检查情况</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检查结果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2"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347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eastAsia"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en-US" w:bidi="ar-SA"/>
              </w:rPr>
              <w:t>总平面布置应在总体规划的基础上,根据工业企业的性质、规、生产流程、交通运输、环境保护,以及防火、安全、卫生、节能、施工、检修、厂区发展等要求,结合场地自然条件,经技术经济比较后择优确定</w:t>
            </w:r>
            <w:r>
              <w:rPr>
                <w:rFonts w:hint="eastAsia" w:cs="Times New Roman"/>
                <w:snapToGrid w:val="0"/>
                <w:color w:val="auto"/>
                <w:spacing w:val="4"/>
                <w:kern w:val="0"/>
                <w:sz w:val="21"/>
                <w:szCs w:val="21"/>
                <w:lang w:val="en-US" w:eastAsia="zh-CN" w:bidi="ar-SA"/>
              </w:rPr>
              <w:t>。</w:t>
            </w:r>
          </w:p>
        </w:tc>
        <w:tc>
          <w:tcPr>
            <w:tcW w:w="22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《工业企业总平面设计</w:t>
            </w:r>
            <w:r>
              <w:rPr>
                <w:rFonts w:hint="default" w:ascii="Times New Roman" w:hAnsi="Times New Roman" w:eastAsia="宋体" w:cs="Times New Roman"/>
                <w:snapToGrid w:val="0"/>
                <w:color w:val="auto"/>
                <w:spacing w:val="-1"/>
                <w:kern w:val="0"/>
                <w:sz w:val="21"/>
                <w:szCs w:val="21"/>
                <w:lang w:val="en-US" w:eastAsia="en-US" w:bidi="ar-SA"/>
              </w:rPr>
              <w:t>规范》（GB50187-2012）</w:t>
            </w:r>
            <w:r>
              <w:rPr>
                <w:rFonts w:hint="default" w:ascii="Times New Roman" w:hAnsi="Times New Roman" w:eastAsia="宋体" w:cs="Times New Roman"/>
                <w:snapToGrid w:val="0"/>
                <w:color w:val="auto"/>
                <w:spacing w:val="1"/>
                <w:kern w:val="0"/>
                <w:sz w:val="21"/>
                <w:szCs w:val="21"/>
                <w:lang w:val="en-US" w:eastAsia="en-US" w:bidi="ar-SA"/>
              </w:rPr>
              <w:t>第5</w:t>
            </w:r>
            <w:r>
              <w:rPr>
                <w:rFonts w:hint="eastAsia" w:ascii="Times New Roman" w:hAnsi="Times New Roman" w:eastAsia="宋体" w:cs="Times New Roman"/>
                <w:snapToGrid w:val="0"/>
                <w:color w:val="auto"/>
                <w:spacing w:val="1"/>
                <w:kern w:val="0"/>
                <w:sz w:val="21"/>
                <w:szCs w:val="21"/>
                <w:lang w:val="en-US" w:eastAsia="zh-CN" w:bidi="ar-SA"/>
              </w:rPr>
              <w:t>.</w:t>
            </w:r>
            <w:r>
              <w:rPr>
                <w:rFonts w:hint="default" w:ascii="Times New Roman" w:hAnsi="Times New Roman" w:eastAsia="宋体" w:cs="Times New Roman"/>
                <w:snapToGrid w:val="0"/>
                <w:color w:val="auto"/>
                <w:spacing w:val="1"/>
                <w:kern w:val="0"/>
                <w:sz w:val="21"/>
                <w:szCs w:val="21"/>
                <w:lang w:val="en-US" w:eastAsia="en-US" w:bidi="ar-SA"/>
              </w:rPr>
              <w:t>1.</w:t>
            </w:r>
            <w:r>
              <w:rPr>
                <w:rFonts w:hint="eastAsia" w:cs="Times New Roman"/>
                <w:snapToGrid w:val="0"/>
                <w:color w:val="auto"/>
                <w:spacing w:val="1"/>
                <w:kern w:val="0"/>
                <w:sz w:val="21"/>
                <w:szCs w:val="21"/>
                <w:lang w:val="en-US" w:eastAsia="zh-CN" w:bidi="ar-SA"/>
              </w:rPr>
              <w:t>1</w:t>
            </w:r>
            <w:r>
              <w:rPr>
                <w:rFonts w:hint="default" w:ascii="Times New Roman" w:hAnsi="Times New Roman" w:eastAsia="宋体" w:cs="Times New Roman"/>
                <w:snapToGrid w:val="0"/>
                <w:color w:val="auto"/>
                <w:spacing w:val="1"/>
                <w:kern w:val="0"/>
                <w:sz w:val="21"/>
                <w:szCs w:val="21"/>
                <w:lang w:val="en-US" w:eastAsia="en-US" w:bidi="ar-SA"/>
              </w:rPr>
              <w:t>条</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《有色金属工业总图规划及运输设计标准》（</w:t>
            </w:r>
            <w:r>
              <w:rPr>
                <w:rFonts w:hint="eastAsia" w:cs="Times New Roman"/>
                <w:snapToGrid w:val="0"/>
                <w:color w:val="auto"/>
                <w:spacing w:val="1"/>
                <w:kern w:val="0"/>
                <w:sz w:val="21"/>
                <w:szCs w:val="21"/>
                <w:lang w:val="en-US" w:eastAsia="zh-CN" w:bidi="ar-SA"/>
              </w:rPr>
              <w:t>GB50544-2009</w:t>
            </w:r>
            <w:r>
              <w:rPr>
                <w:rFonts w:hint="default" w:ascii="Times New Roman" w:hAnsi="Times New Roman" w:eastAsia="宋体" w:cs="Times New Roman"/>
                <w:snapToGrid w:val="0"/>
                <w:color w:val="auto"/>
                <w:spacing w:val="1"/>
                <w:kern w:val="0"/>
                <w:sz w:val="21"/>
                <w:szCs w:val="21"/>
                <w:lang w:val="en-US" w:eastAsia="en-US" w:bidi="ar-SA"/>
              </w:rPr>
              <w:t>）第</w:t>
            </w:r>
            <w:r>
              <w:rPr>
                <w:rFonts w:hint="eastAsia" w:cs="Times New Roman"/>
                <w:snapToGrid w:val="0"/>
                <w:color w:val="auto"/>
                <w:spacing w:val="1"/>
                <w:kern w:val="0"/>
                <w:sz w:val="21"/>
                <w:szCs w:val="21"/>
                <w:lang w:val="en-US" w:eastAsia="zh-CN" w:bidi="ar-SA"/>
              </w:rPr>
              <w:t>5.1.1</w:t>
            </w:r>
            <w:r>
              <w:rPr>
                <w:rFonts w:hint="default" w:ascii="Times New Roman" w:hAnsi="Times New Roman" w:eastAsia="宋体" w:cs="Times New Roman"/>
                <w:snapToGrid w:val="0"/>
                <w:color w:val="auto"/>
                <w:spacing w:val="1"/>
                <w:kern w:val="0"/>
                <w:sz w:val="21"/>
                <w:szCs w:val="21"/>
                <w:lang w:val="en-US" w:eastAsia="en-US" w:bidi="ar-SA"/>
              </w:rPr>
              <w:t>条</w:t>
            </w:r>
          </w:p>
        </w:tc>
        <w:tc>
          <w:tcPr>
            <w:tcW w:w="25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en-US" w:bidi="ar-SA"/>
              </w:rPr>
              <w:t>总平面布置在总体规划的基础上,经技术经济比较后确定</w:t>
            </w:r>
            <w:r>
              <w:rPr>
                <w:rFonts w:hint="eastAsia" w:cs="Times New Roman"/>
                <w:snapToGrid w:val="0"/>
                <w:color w:val="auto"/>
                <w:spacing w:val="4"/>
                <w:kern w:val="0"/>
                <w:sz w:val="21"/>
                <w:szCs w:val="21"/>
                <w:lang w:val="en-US" w:eastAsia="zh-CN" w:bidi="ar-SA"/>
              </w:rPr>
              <w:t>。</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p>
        </w:tc>
        <w:tc>
          <w:tcPr>
            <w:tcW w:w="347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18"/>
                <w:kern w:val="0"/>
                <w:sz w:val="21"/>
                <w:szCs w:val="21"/>
                <w:lang w:val="en-US" w:eastAsia="en-US" w:bidi="ar-SA"/>
              </w:rPr>
            </w:pPr>
            <w:r>
              <w:rPr>
                <w:rFonts w:hint="default" w:ascii="Times New Roman" w:hAnsi="Times New Roman" w:eastAsia="宋体" w:cs="Times New Roman"/>
                <w:snapToGrid w:val="0"/>
                <w:color w:val="auto"/>
                <w:spacing w:val="18"/>
                <w:kern w:val="0"/>
                <w:sz w:val="21"/>
                <w:szCs w:val="21"/>
                <w:lang w:val="en-US" w:eastAsia="en-US" w:bidi="ar-SA"/>
              </w:rPr>
              <w:t>总平面布置应节约集约用地,提高土地利用率。布置时，应符合下列规定:</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18"/>
                <w:kern w:val="0"/>
                <w:sz w:val="21"/>
                <w:szCs w:val="21"/>
                <w:lang w:val="en-US" w:eastAsia="en-US" w:bidi="ar-SA"/>
              </w:rPr>
            </w:pPr>
            <w:r>
              <w:rPr>
                <w:rFonts w:hint="default" w:ascii="Times New Roman" w:hAnsi="Times New Roman" w:eastAsia="宋体" w:cs="Times New Roman"/>
                <w:snapToGrid w:val="0"/>
                <w:color w:val="auto"/>
                <w:spacing w:val="18"/>
                <w:kern w:val="0"/>
                <w:sz w:val="21"/>
                <w:szCs w:val="21"/>
                <w:lang w:val="en-US" w:eastAsia="en-US" w:bidi="ar-SA"/>
              </w:rPr>
              <w:t>1</w:t>
            </w:r>
            <w:r>
              <w:rPr>
                <w:rFonts w:hint="eastAsia" w:cs="Times New Roman"/>
                <w:snapToGrid w:val="0"/>
                <w:color w:val="auto"/>
                <w:spacing w:val="18"/>
                <w:kern w:val="0"/>
                <w:sz w:val="21"/>
                <w:szCs w:val="21"/>
                <w:lang w:val="en-US" w:eastAsia="zh-CN" w:bidi="ar-SA"/>
              </w:rPr>
              <w:t>.</w:t>
            </w:r>
            <w:r>
              <w:rPr>
                <w:rFonts w:hint="default" w:ascii="Times New Roman" w:hAnsi="Times New Roman" w:eastAsia="宋体" w:cs="Times New Roman"/>
                <w:snapToGrid w:val="0"/>
                <w:color w:val="auto"/>
                <w:spacing w:val="18"/>
                <w:kern w:val="0"/>
                <w:sz w:val="21"/>
                <w:szCs w:val="21"/>
                <w:lang w:val="en-US" w:eastAsia="en-US" w:bidi="ar-SA"/>
              </w:rPr>
              <w:t>在符合生产流程、操作要求和使用功能的前提下,建筑物、构筑物等设施应采用集中、联合、多层布置。</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18"/>
                <w:kern w:val="0"/>
                <w:sz w:val="21"/>
                <w:szCs w:val="21"/>
                <w:lang w:val="en-US" w:eastAsia="en-US" w:bidi="ar-SA"/>
              </w:rPr>
            </w:pPr>
            <w:r>
              <w:rPr>
                <w:rFonts w:hint="default" w:ascii="Times New Roman" w:hAnsi="Times New Roman" w:eastAsia="宋体" w:cs="Times New Roman"/>
                <w:snapToGrid w:val="0"/>
                <w:color w:val="auto"/>
                <w:spacing w:val="18"/>
                <w:kern w:val="0"/>
                <w:sz w:val="21"/>
                <w:szCs w:val="21"/>
                <w:lang w:val="en-US" w:eastAsia="en-US" w:bidi="ar-SA"/>
              </w:rPr>
              <w:t>2</w:t>
            </w:r>
            <w:r>
              <w:rPr>
                <w:rFonts w:hint="eastAsia" w:cs="Times New Roman"/>
                <w:snapToGrid w:val="0"/>
                <w:color w:val="auto"/>
                <w:spacing w:val="18"/>
                <w:kern w:val="0"/>
                <w:sz w:val="21"/>
                <w:szCs w:val="21"/>
                <w:lang w:val="en-US" w:eastAsia="zh-CN" w:bidi="ar-SA"/>
              </w:rPr>
              <w:t>.</w:t>
            </w:r>
            <w:r>
              <w:rPr>
                <w:rFonts w:hint="default" w:ascii="Times New Roman" w:hAnsi="Times New Roman" w:eastAsia="宋体" w:cs="Times New Roman"/>
                <w:snapToGrid w:val="0"/>
                <w:color w:val="auto"/>
                <w:spacing w:val="18"/>
                <w:kern w:val="0"/>
                <w:sz w:val="21"/>
                <w:szCs w:val="21"/>
                <w:lang w:val="en-US" w:eastAsia="en-US" w:bidi="ar-SA"/>
              </w:rPr>
              <w:t>应按企业规模和功能分区合理地确定通道宽度</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18"/>
                <w:kern w:val="0"/>
                <w:sz w:val="21"/>
                <w:szCs w:val="21"/>
                <w:lang w:val="en-US" w:eastAsia="en-US" w:bidi="ar-SA"/>
              </w:rPr>
            </w:pPr>
            <w:r>
              <w:rPr>
                <w:rFonts w:hint="default" w:ascii="Times New Roman" w:hAnsi="Times New Roman" w:eastAsia="宋体" w:cs="Times New Roman"/>
                <w:snapToGrid w:val="0"/>
                <w:color w:val="auto"/>
                <w:spacing w:val="18"/>
                <w:kern w:val="0"/>
                <w:sz w:val="21"/>
                <w:szCs w:val="21"/>
                <w:lang w:val="en-US" w:eastAsia="en-US" w:bidi="ar-SA"/>
              </w:rPr>
              <w:t>厂区功能分区及建筑物、构筑物的外形宜规整</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8"/>
                <w:kern w:val="0"/>
                <w:sz w:val="21"/>
                <w:szCs w:val="21"/>
                <w:lang w:val="en-US" w:eastAsia="en-US" w:bidi="ar-SA"/>
              </w:rPr>
              <w:t>3</w:t>
            </w:r>
            <w:r>
              <w:rPr>
                <w:rFonts w:hint="eastAsia" w:cs="Times New Roman"/>
                <w:snapToGrid w:val="0"/>
                <w:color w:val="auto"/>
                <w:spacing w:val="18"/>
                <w:kern w:val="0"/>
                <w:sz w:val="21"/>
                <w:szCs w:val="21"/>
                <w:lang w:val="en-US" w:eastAsia="zh-CN" w:bidi="ar-SA"/>
              </w:rPr>
              <w:t>.</w:t>
            </w:r>
            <w:r>
              <w:rPr>
                <w:rFonts w:hint="default" w:ascii="Times New Roman" w:hAnsi="Times New Roman" w:eastAsia="宋体" w:cs="Times New Roman"/>
                <w:snapToGrid w:val="0"/>
                <w:color w:val="auto"/>
                <w:spacing w:val="18"/>
                <w:kern w:val="0"/>
                <w:sz w:val="21"/>
                <w:szCs w:val="21"/>
                <w:lang w:val="en-US" w:eastAsia="en-US" w:bidi="ar-SA"/>
              </w:rPr>
              <w:t>功能分区内各项设施的布置应紧凑、合理。</w:t>
            </w:r>
          </w:p>
        </w:tc>
        <w:tc>
          <w:tcPr>
            <w:tcW w:w="22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《工业企业总平面设计</w:t>
            </w:r>
            <w:r>
              <w:rPr>
                <w:rFonts w:hint="default" w:ascii="Times New Roman" w:hAnsi="Times New Roman" w:eastAsia="宋体" w:cs="Times New Roman"/>
                <w:snapToGrid w:val="0"/>
                <w:color w:val="auto"/>
                <w:spacing w:val="-1"/>
                <w:kern w:val="0"/>
                <w:sz w:val="21"/>
                <w:szCs w:val="21"/>
                <w:lang w:val="en-US" w:eastAsia="en-US" w:bidi="ar-SA"/>
              </w:rPr>
              <w:t>规范》（GB50187-2012）</w:t>
            </w:r>
            <w:r>
              <w:rPr>
                <w:rFonts w:hint="default" w:ascii="Times New Roman" w:hAnsi="Times New Roman" w:eastAsia="宋体" w:cs="Times New Roman"/>
                <w:snapToGrid w:val="0"/>
                <w:color w:val="auto"/>
                <w:spacing w:val="1"/>
                <w:kern w:val="0"/>
                <w:sz w:val="21"/>
                <w:szCs w:val="21"/>
                <w:lang w:val="en-US" w:eastAsia="en-US" w:bidi="ar-SA"/>
              </w:rPr>
              <w:t>第5</w:t>
            </w:r>
            <w:r>
              <w:rPr>
                <w:rFonts w:hint="eastAsia" w:ascii="Times New Roman" w:hAnsi="Times New Roman" w:eastAsia="宋体" w:cs="Times New Roman"/>
                <w:snapToGrid w:val="0"/>
                <w:color w:val="auto"/>
                <w:spacing w:val="1"/>
                <w:kern w:val="0"/>
                <w:sz w:val="21"/>
                <w:szCs w:val="21"/>
                <w:lang w:val="en-US" w:eastAsia="zh-CN" w:bidi="ar-SA"/>
              </w:rPr>
              <w:t>.</w:t>
            </w:r>
            <w:r>
              <w:rPr>
                <w:rFonts w:hint="default" w:ascii="Times New Roman" w:hAnsi="Times New Roman" w:eastAsia="宋体" w:cs="Times New Roman"/>
                <w:snapToGrid w:val="0"/>
                <w:color w:val="auto"/>
                <w:spacing w:val="1"/>
                <w:kern w:val="0"/>
                <w:sz w:val="21"/>
                <w:szCs w:val="21"/>
                <w:lang w:val="en-US" w:eastAsia="en-US" w:bidi="ar-SA"/>
              </w:rPr>
              <w:t>1.</w:t>
            </w:r>
            <w:r>
              <w:rPr>
                <w:rFonts w:hint="eastAsia" w:cs="Times New Roman"/>
                <w:snapToGrid w:val="0"/>
                <w:color w:val="auto"/>
                <w:spacing w:val="1"/>
                <w:kern w:val="0"/>
                <w:sz w:val="21"/>
                <w:szCs w:val="21"/>
                <w:lang w:val="en-US" w:eastAsia="zh-CN" w:bidi="ar-SA"/>
              </w:rPr>
              <w:t>2</w:t>
            </w:r>
            <w:r>
              <w:rPr>
                <w:rFonts w:hint="default" w:ascii="Times New Roman" w:hAnsi="Times New Roman" w:eastAsia="宋体" w:cs="Times New Roman"/>
                <w:snapToGrid w:val="0"/>
                <w:color w:val="auto"/>
                <w:spacing w:val="1"/>
                <w:kern w:val="0"/>
                <w:sz w:val="21"/>
                <w:szCs w:val="21"/>
                <w:lang w:val="en-US" w:eastAsia="en-US" w:bidi="ar-SA"/>
              </w:rPr>
              <w:t>条</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《有色金属工业总图规划及运输设计标准》（</w:t>
            </w:r>
            <w:r>
              <w:rPr>
                <w:rFonts w:hint="eastAsia" w:cs="Times New Roman"/>
                <w:snapToGrid w:val="0"/>
                <w:color w:val="auto"/>
                <w:spacing w:val="1"/>
                <w:kern w:val="0"/>
                <w:sz w:val="21"/>
                <w:szCs w:val="21"/>
                <w:lang w:val="en-US" w:eastAsia="zh-CN" w:bidi="ar-SA"/>
              </w:rPr>
              <w:t>GB50544-2009</w:t>
            </w:r>
            <w:r>
              <w:rPr>
                <w:rFonts w:hint="default" w:ascii="Times New Roman" w:hAnsi="Times New Roman" w:eastAsia="宋体" w:cs="Times New Roman"/>
                <w:snapToGrid w:val="0"/>
                <w:color w:val="auto"/>
                <w:spacing w:val="1"/>
                <w:kern w:val="0"/>
                <w:sz w:val="21"/>
                <w:szCs w:val="21"/>
                <w:lang w:val="en-US" w:eastAsia="en-US" w:bidi="ar-SA"/>
              </w:rPr>
              <w:t>）第</w:t>
            </w:r>
            <w:r>
              <w:rPr>
                <w:rFonts w:hint="eastAsia" w:cs="Times New Roman"/>
                <w:snapToGrid w:val="0"/>
                <w:color w:val="auto"/>
                <w:spacing w:val="1"/>
                <w:kern w:val="0"/>
                <w:sz w:val="21"/>
                <w:szCs w:val="21"/>
                <w:lang w:val="en-US" w:eastAsia="zh-CN" w:bidi="ar-SA"/>
              </w:rPr>
              <w:t>5.1.2</w:t>
            </w:r>
            <w:r>
              <w:rPr>
                <w:rFonts w:hint="default" w:ascii="Times New Roman" w:hAnsi="Times New Roman" w:eastAsia="宋体" w:cs="Times New Roman"/>
                <w:snapToGrid w:val="0"/>
                <w:color w:val="auto"/>
                <w:spacing w:val="1"/>
                <w:kern w:val="0"/>
                <w:sz w:val="21"/>
                <w:szCs w:val="21"/>
                <w:lang w:val="en-US" w:eastAsia="en-US" w:bidi="ar-SA"/>
              </w:rPr>
              <w:t>条</w:t>
            </w:r>
          </w:p>
        </w:tc>
        <w:tc>
          <w:tcPr>
            <w:tcW w:w="25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cs="Times New Roman"/>
                <w:snapToGrid w:val="0"/>
                <w:color w:val="auto"/>
                <w:spacing w:val="8"/>
                <w:kern w:val="0"/>
                <w:sz w:val="21"/>
                <w:szCs w:val="21"/>
                <w:lang w:val="en-US" w:eastAsia="zh-CN" w:bidi="ar-SA"/>
              </w:rPr>
            </w:pPr>
            <w:r>
              <w:rPr>
                <w:rFonts w:hint="default" w:ascii="Times New Roman" w:hAnsi="Times New Roman" w:eastAsia="宋体" w:cs="Times New Roman"/>
                <w:snapToGrid w:val="0"/>
                <w:color w:val="auto"/>
                <w:spacing w:val="8"/>
                <w:kern w:val="0"/>
                <w:sz w:val="21"/>
                <w:szCs w:val="21"/>
                <w:lang w:val="en-US" w:eastAsia="en-US" w:bidi="ar-SA"/>
              </w:rPr>
              <w:t>选矿工业场地中粗破厂房、筛分厂房、中细碎厂房、选厂配电室均位于标高为+378m台阶，筛洗及预选厂房标高为+370.5m，根据选矿工艺要求，主厂房采用台阶式布置，共包括9个台阶，从西向东标高依次为+370m、+367m、+366m、+363.5m、+358.5m、+355m、+350m、+348m、+345m</w:t>
            </w:r>
            <w:r>
              <w:rPr>
                <w:rFonts w:hint="eastAsia" w:cs="Times New Roman"/>
                <w:snapToGrid w:val="0"/>
                <w:color w:val="auto"/>
                <w:spacing w:val="8"/>
                <w:kern w:val="0"/>
                <w:sz w:val="21"/>
                <w:szCs w:val="21"/>
                <w:lang w:val="en-US" w:eastAsia="zh-CN" w:bidi="ar-SA"/>
              </w:rPr>
              <w:t>。</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3</w:t>
            </w:r>
          </w:p>
        </w:tc>
        <w:tc>
          <w:tcPr>
            <w:tcW w:w="347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厂区的通道宽度应符合下列规定:</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r>
              <w:rPr>
                <w:rFonts w:hint="eastAsia" w:cs="Times New Roman"/>
                <w:snapToGrid w:val="0"/>
                <w:color w:val="auto"/>
                <w:kern w:val="0"/>
                <w:sz w:val="21"/>
                <w:szCs w:val="21"/>
                <w:lang w:val="en-US" w:eastAsia="zh-CN" w:bidi="ar-SA"/>
              </w:rPr>
              <w:t>.</w:t>
            </w:r>
            <w:r>
              <w:rPr>
                <w:rFonts w:hint="default" w:ascii="Times New Roman" w:hAnsi="Times New Roman" w:eastAsia="宋体" w:cs="Times New Roman"/>
                <w:snapToGrid w:val="0"/>
                <w:color w:val="auto"/>
                <w:kern w:val="0"/>
                <w:sz w:val="21"/>
                <w:szCs w:val="21"/>
                <w:lang w:val="en-US" w:eastAsia="en-US" w:bidi="ar-SA"/>
              </w:rPr>
              <w:t>应符合通道两侧建筑物、构筑物及露天设施对防火、安全与卫生间距的要求。</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eastAsia"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en-US" w:bidi="ar-SA"/>
              </w:rPr>
              <w:t>2</w:t>
            </w:r>
            <w:r>
              <w:rPr>
                <w:rFonts w:hint="eastAsia" w:cs="Times New Roman"/>
                <w:snapToGrid w:val="0"/>
                <w:color w:val="auto"/>
                <w:kern w:val="0"/>
                <w:sz w:val="21"/>
                <w:szCs w:val="21"/>
                <w:lang w:val="en-US" w:eastAsia="zh-CN" w:bidi="ar-SA"/>
              </w:rPr>
              <w:t>.</w:t>
            </w:r>
            <w:r>
              <w:rPr>
                <w:rFonts w:hint="default" w:ascii="Times New Roman" w:hAnsi="Times New Roman" w:eastAsia="宋体" w:cs="Times New Roman"/>
                <w:snapToGrid w:val="0"/>
                <w:color w:val="auto"/>
                <w:kern w:val="0"/>
                <w:sz w:val="21"/>
                <w:szCs w:val="21"/>
                <w:lang w:val="en-US" w:eastAsia="en-US" w:bidi="ar-SA"/>
              </w:rPr>
              <w:t>应符合铁路、道路与带式输送机通廊等工业运输线路的布置要求</w:t>
            </w:r>
            <w:r>
              <w:rPr>
                <w:rFonts w:hint="eastAsia" w:cs="Times New Roman"/>
                <w:snapToGrid w:val="0"/>
                <w:color w:val="auto"/>
                <w:kern w:val="0"/>
                <w:sz w:val="21"/>
                <w:szCs w:val="21"/>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3.</w:t>
            </w:r>
            <w:r>
              <w:rPr>
                <w:rFonts w:hint="default" w:ascii="Times New Roman" w:hAnsi="Times New Roman" w:eastAsia="宋体" w:cs="Times New Roman"/>
                <w:snapToGrid w:val="0"/>
                <w:color w:val="auto"/>
                <w:kern w:val="0"/>
                <w:sz w:val="21"/>
                <w:szCs w:val="21"/>
                <w:lang w:val="en-US" w:eastAsia="en-US" w:bidi="ar-SA"/>
              </w:rPr>
              <w:t>应符合各种工程管线的布置要求</w:t>
            </w:r>
            <w:r>
              <w:rPr>
                <w:rFonts w:hint="eastAsia" w:cs="Times New Roman"/>
                <w:snapToGrid w:val="0"/>
                <w:color w:val="auto"/>
                <w:kern w:val="0"/>
                <w:sz w:val="21"/>
                <w:szCs w:val="21"/>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6"/>
                <w:kern w:val="0"/>
                <w:sz w:val="21"/>
                <w:szCs w:val="21"/>
                <w:lang w:val="en-US" w:eastAsia="en-US" w:bidi="ar-SA"/>
              </w:rPr>
            </w:pPr>
            <w:r>
              <w:rPr>
                <w:rFonts w:hint="eastAsia" w:cs="Times New Roman"/>
                <w:snapToGrid w:val="0"/>
                <w:color w:val="auto"/>
                <w:kern w:val="0"/>
                <w:sz w:val="21"/>
                <w:szCs w:val="21"/>
                <w:lang w:val="en-US" w:eastAsia="zh-CN" w:bidi="ar-SA"/>
              </w:rPr>
              <w:t>4</w:t>
            </w:r>
            <w:r>
              <w:rPr>
                <w:rFonts w:hint="eastAsia" w:cs="Times New Roman"/>
                <w:snapToGrid w:val="0"/>
                <w:color w:val="auto"/>
                <w:spacing w:val="-6"/>
                <w:kern w:val="0"/>
                <w:sz w:val="21"/>
                <w:szCs w:val="21"/>
                <w:lang w:val="en-US" w:eastAsia="zh-CN" w:bidi="ar-SA"/>
              </w:rPr>
              <w:t>.</w:t>
            </w:r>
            <w:r>
              <w:rPr>
                <w:rFonts w:hint="default" w:ascii="Times New Roman" w:hAnsi="Times New Roman" w:eastAsia="宋体" w:cs="Times New Roman"/>
                <w:snapToGrid w:val="0"/>
                <w:color w:val="auto"/>
                <w:spacing w:val="-6"/>
                <w:kern w:val="0"/>
                <w:sz w:val="21"/>
                <w:szCs w:val="21"/>
                <w:lang w:val="en-US" w:eastAsia="en-US" w:bidi="ar-SA"/>
              </w:rPr>
              <w:t>应符合绿化布置的要求。</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6"/>
                <w:kern w:val="0"/>
                <w:sz w:val="21"/>
                <w:szCs w:val="21"/>
                <w:lang w:val="en-US" w:eastAsia="en-US" w:bidi="ar-SA"/>
              </w:rPr>
            </w:pPr>
            <w:r>
              <w:rPr>
                <w:rFonts w:hint="eastAsia" w:cs="Times New Roman"/>
                <w:snapToGrid w:val="0"/>
                <w:color w:val="auto"/>
                <w:spacing w:val="-6"/>
                <w:kern w:val="0"/>
                <w:sz w:val="21"/>
                <w:szCs w:val="21"/>
                <w:lang w:val="en-US" w:eastAsia="zh-CN" w:bidi="ar-SA"/>
              </w:rPr>
              <w:t>5.</w:t>
            </w:r>
            <w:r>
              <w:rPr>
                <w:rFonts w:hint="default" w:ascii="Times New Roman" w:hAnsi="Times New Roman" w:eastAsia="宋体" w:cs="Times New Roman"/>
                <w:snapToGrid w:val="0"/>
                <w:color w:val="auto"/>
                <w:spacing w:val="-6"/>
                <w:kern w:val="0"/>
                <w:sz w:val="21"/>
                <w:szCs w:val="21"/>
                <w:lang w:val="en-US" w:eastAsia="en-US" w:bidi="ar-SA"/>
              </w:rPr>
              <w:t>应符合施工、安装与检修的要求。</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cs="Times New Roman"/>
                <w:snapToGrid w:val="0"/>
                <w:color w:val="auto"/>
                <w:kern w:val="0"/>
                <w:sz w:val="21"/>
                <w:szCs w:val="21"/>
                <w:lang w:val="en-US" w:eastAsia="zh-CN" w:bidi="ar-SA"/>
              </w:rPr>
              <w:t>6.</w:t>
            </w:r>
            <w:r>
              <w:rPr>
                <w:rFonts w:hint="default" w:ascii="Times New Roman" w:hAnsi="Times New Roman" w:eastAsia="宋体" w:cs="Times New Roman"/>
                <w:snapToGrid w:val="0"/>
                <w:color w:val="auto"/>
                <w:kern w:val="0"/>
                <w:sz w:val="21"/>
                <w:szCs w:val="21"/>
                <w:lang w:val="en-US" w:eastAsia="en-US" w:bidi="ar-SA"/>
              </w:rPr>
              <w:t>应符合竖向设计的要求。</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7.</w:t>
            </w:r>
            <w:r>
              <w:rPr>
                <w:rFonts w:hint="default" w:ascii="Times New Roman" w:hAnsi="Times New Roman" w:eastAsia="宋体" w:cs="Times New Roman"/>
                <w:snapToGrid w:val="0"/>
                <w:color w:val="auto"/>
                <w:kern w:val="0"/>
                <w:sz w:val="21"/>
                <w:szCs w:val="21"/>
                <w:lang w:val="en-US" w:eastAsia="en-US" w:bidi="ar-SA"/>
              </w:rPr>
              <w:t>应符合预留发展用地的要求</w:t>
            </w:r>
            <w:r>
              <w:rPr>
                <w:rFonts w:hint="eastAsia" w:cs="Times New Roman"/>
                <w:snapToGrid w:val="0"/>
                <w:color w:val="auto"/>
                <w:kern w:val="0"/>
                <w:sz w:val="21"/>
                <w:szCs w:val="21"/>
                <w:lang w:val="en-US" w:eastAsia="zh-CN" w:bidi="ar-SA"/>
              </w:rPr>
              <w:t>。</w:t>
            </w:r>
          </w:p>
        </w:tc>
        <w:tc>
          <w:tcPr>
            <w:tcW w:w="22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《工业企业总平面设计</w:t>
            </w:r>
            <w:r>
              <w:rPr>
                <w:rFonts w:hint="default" w:ascii="Times New Roman" w:hAnsi="Times New Roman" w:eastAsia="宋体" w:cs="Times New Roman"/>
                <w:snapToGrid w:val="0"/>
                <w:color w:val="auto"/>
                <w:spacing w:val="-1"/>
                <w:kern w:val="0"/>
                <w:sz w:val="21"/>
                <w:szCs w:val="21"/>
                <w:lang w:val="en-US" w:eastAsia="en-US" w:bidi="ar-SA"/>
              </w:rPr>
              <w:t>规范》（GB50187-2012）</w:t>
            </w:r>
            <w:r>
              <w:rPr>
                <w:rFonts w:hint="default" w:ascii="Times New Roman" w:hAnsi="Times New Roman" w:eastAsia="宋体" w:cs="Times New Roman"/>
                <w:snapToGrid w:val="0"/>
                <w:color w:val="auto"/>
                <w:spacing w:val="1"/>
                <w:kern w:val="0"/>
                <w:sz w:val="21"/>
                <w:szCs w:val="21"/>
                <w:lang w:val="en-US" w:eastAsia="en-US" w:bidi="ar-SA"/>
              </w:rPr>
              <w:t>第5</w:t>
            </w:r>
            <w:r>
              <w:rPr>
                <w:rFonts w:hint="eastAsia" w:ascii="Times New Roman" w:hAnsi="Times New Roman" w:eastAsia="宋体" w:cs="Times New Roman"/>
                <w:snapToGrid w:val="0"/>
                <w:color w:val="auto"/>
                <w:spacing w:val="1"/>
                <w:kern w:val="0"/>
                <w:sz w:val="21"/>
                <w:szCs w:val="21"/>
                <w:lang w:val="en-US" w:eastAsia="zh-CN" w:bidi="ar-SA"/>
              </w:rPr>
              <w:t>.</w:t>
            </w:r>
            <w:r>
              <w:rPr>
                <w:rFonts w:hint="default" w:ascii="Times New Roman" w:hAnsi="Times New Roman" w:eastAsia="宋体" w:cs="Times New Roman"/>
                <w:snapToGrid w:val="0"/>
                <w:color w:val="auto"/>
                <w:spacing w:val="1"/>
                <w:kern w:val="0"/>
                <w:sz w:val="21"/>
                <w:szCs w:val="21"/>
                <w:lang w:val="en-US" w:eastAsia="en-US" w:bidi="ar-SA"/>
              </w:rPr>
              <w:t>1.</w:t>
            </w:r>
            <w:r>
              <w:rPr>
                <w:rFonts w:hint="eastAsia" w:cs="Times New Roman"/>
                <w:snapToGrid w:val="0"/>
                <w:color w:val="auto"/>
                <w:spacing w:val="1"/>
                <w:kern w:val="0"/>
                <w:sz w:val="21"/>
                <w:szCs w:val="21"/>
                <w:lang w:val="en-US" w:eastAsia="zh-CN" w:bidi="ar-SA"/>
              </w:rPr>
              <w:t>4</w:t>
            </w:r>
            <w:r>
              <w:rPr>
                <w:rFonts w:hint="default" w:ascii="Times New Roman" w:hAnsi="Times New Roman" w:eastAsia="宋体" w:cs="Times New Roman"/>
                <w:snapToGrid w:val="0"/>
                <w:color w:val="auto"/>
                <w:spacing w:val="1"/>
                <w:kern w:val="0"/>
                <w:sz w:val="21"/>
                <w:szCs w:val="21"/>
                <w:lang w:val="en-US" w:eastAsia="en-US" w:bidi="ar-SA"/>
              </w:rPr>
              <w:t>条</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《有色金属工业总图规划及运输设计标准》（</w:t>
            </w:r>
            <w:r>
              <w:rPr>
                <w:rFonts w:hint="eastAsia" w:cs="Times New Roman"/>
                <w:snapToGrid w:val="0"/>
                <w:color w:val="auto"/>
                <w:spacing w:val="1"/>
                <w:kern w:val="0"/>
                <w:sz w:val="21"/>
                <w:szCs w:val="21"/>
                <w:lang w:val="en-US" w:eastAsia="zh-CN" w:bidi="ar-SA"/>
              </w:rPr>
              <w:t>GB50544-2009</w:t>
            </w:r>
            <w:r>
              <w:rPr>
                <w:rFonts w:hint="default" w:ascii="Times New Roman" w:hAnsi="Times New Roman" w:eastAsia="宋体" w:cs="Times New Roman"/>
                <w:snapToGrid w:val="0"/>
                <w:color w:val="auto"/>
                <w:spacing w:val="1"/>
                <w:kern w:val="0"/>
                <w:sz w:val="21"/>
                <w:szCs w:val="21"/>
                <w:lang w:val="en-US" w:eastAsia="en-US" w:bidi="ar-SA"/>
              </w:rPr>
              <w:t>）第</w:t>
            </w:r>
            <w:r>
              <w:rPr>
                <w:rFonts w:hint="eastAsia" w:cs="Times New Roman"/>
                <w:snapToGrid w:val="0"/>
                <w:color w:val="auto"/>
                <w:spacing w:val="1"/>
                <w:kern w:val="0"/>
                <w:sz w:val="21"/>
                <w:szCs w:val="21"/>
                <w:lang w:val="en-US" w:eastAsia="zh-CN" w:bidi="ar-SA"/>
              </w:rPr>
              <w:t>5.1.3</w:t>
            </w:r>
            <w:r>
              <w:rPr>
                <w:rFonts w:hint="default" w:ascii="Times New Roman" w:hAnsi="Times New Roman" w:eastAsia="宋体" w:cs="Times New Roman"/>
                <w:snapToGrid w:val="0"/>
                <w:color w:val="auto"/>
                <w:spacing w:val="1"/>
                <w:kern w:val="0"/>
                <w:sz w:val="21"/>
                <w:szCs w:val="21"/>
                <w:lang w:val="en-US" w:eastAsia="en-US" w:bidi="ar-SA"/>
              </w:rPr>
              <w:t>条</w:t>
            </w:r>
          </w:p>
        </w:tc>
        <w:tc>
          <w:tcPr>
            <w:tcW w:w="25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从《可研报告》及其附图可知，</w:t>
            </w:r>
            <w:r>
              <w:rPr>
                <w:rFonts w:hint="eastAsia" w:cs="Times New Roman"/>
                <w:snapToGrid w:val="0"/>
                <w:color w:val="auto"/>
                <w:kern w:val="0"/>
                <w:sz w:val="21"/>
                <w:szCs w:val="21"/>
                <w:lang w:val="en-US" w:eastAsia="zh-CN" w:bidi="ar-SA"/>
              </w:rPr>
              <w:t>未对</w:t>
            </w:r>
            <w:r>
              <w:rPr>
                <w:rFonts w:hint="default" w:ascii="Times New Roman" w:hAnsi="Times New Roman" w:eastAsia="宋体" w:cs="Times New Roman"/>
                <w:snapToGrid w:val="0"/>
                <w:color w:val="auto"/>
                <w:kern w:val="0"/>
                <w:sz w:val="21"/>
                <w:szCs w:val="21"/>
                <w:lang w:val="en-US" w:eastAsia="en-US" w:bidi="ar-SA"/>
              </w:rPr>
              <w:t>两侧建筑物、构筑物及露天设施对防火、安全与卫生间距的要求</w:t>
            </w:r>
            <w:r>
              <w:rPr>
                <w:rFonts w:hint="eastAsia" w:cs="Times New Roman"/>
                <w:snapToGrid w:val="0"/>
                <w:color w:val="auto"/>
                <w:kern w:val="0"/>
                <w:sz w:val="21"/>
                <w:szCs w:val="21"/>
                <w:lang w:val="en-US" w:eastAsia="zh-CN" w:bidi="ar-SA"/>
              </w:rPr>
              <w:t>做出</w:t>
            </w:r>
            <w:r>
              <w:rPr>
                <w:rFonts w:hint="default" w:ascii="Times New Roman" w:hAnsi="Times New Roman" w:eastAsia="宋体" w:cs="Times New Roman"/>
                <w:snapToGrid w:val="0"/>
                <w:color w:val="auto"/>
                <w:kern w:val="0"/>
                <w:sz w:val="21"/>
                <w:szCs w:val="21"/>
                <w:lang w:val="en-US" w:eastAsia="en-US" w:bidi="ar-SA"/>
              </w:rPr>
              <w:t>。</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cs="Times New Roman"/>
                <w:snapToGrid w:val="0"/>
                <w:color w:val="auto"/>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5"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4</w:t>
            </w:r>
          </w:p>
        </w:tc>
        <w:tc>
          <w:tcPr>
            <w:tcW w:w="347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总平面布置应充分利用地形、地势、工程地质及水文地质条件</w:t>
            </w:r>
            <w:r>
              <w:rPr>
                <w:rFonts w:hint="eastAsia" w:cs="Times New Roman"/>
                <w:snapToGrid w:val="0"/>
                <w:color w:val="auto"/>
                <w:kern w:val="0"/>
                <w:sz w:val="21"/>
                <w:szCs w:val="21"/>
                <w:lang w:val="en-US" w:eastAsia="zh-CN" w:bidi="ar-SA"/>
              </w:rPr>
              <w:t>，</w:t>
            </w:r>
            <w:r>
              <w:rPr>
                <w:rFonts w:hint="default" w:ascii="Times New Roman" w:hAnsi="Times New Roman" w:eastAsia="宋体" w:cs="Times New Roman"/>
                <w:snapToGrid w:val="0"/>
                <w:color w:val="auto"/>
                <w:kern w:val="0"/>
                <w:sz w:val="21"/>
                <w:szCs w:val="21"/>
                <w:lang w:val="en-US" w:eastAsia="en-US" w:bidi="ar-SA"/>
              </w:rPr>
              <w:t>布置建筑物、构筑物和有关设施,应减少土</w:t>
            </w:r>
            <w:r>
              <w:rPr>
                <w:rFonts w:hint="eastAsia" w:cs="Times New Roman"/>
                <w:snapToGrid w:val="0"/>
                <w:color w:val="auto"/>
                <w:kern w:val="0"/>
                <w:sz w:val="21"/>
                <w:szCs w:val="21"/>
                <w:lang w:val="en-US" w:eastAsia="zh-CN" w:bidi="ar-SA"/>
              </w:rPr>
              <w:t>（</w:t>
            </w:r>
            <w:r>
              <w:rPr>
                <w:rFonts w:hint="default" w:ascii="Times New Roman" w:hAnsi="Times New Roman" w:eastAsia="宋体" w:cs="Times New Roman"/>
                <w:snapToGrid w:val="0"/>
                <w:color w:val="auto"/>
                <w:kern w:val="0"/>
                <w:sz w:val="21"/>
                <w:szCs w:val="21"/>
                <w:lang w:val="en-US" w:eastAsia="en-US" w:bidi="ar-SA"/>
              </w:rPr>
              <w:t>石</w:t>
            </w:r>
            <w:r>
              <w:rPr>
                <w:rFonts w:hint="eastAsia" w:cs="Times New Roman"/>
                <w:snapToGrid w:val="0"/>
                <w:color w:val="auto"/>
                <w:kern w:val="0"/>
                <w:sz w:val="21"/>
                <w:szCs w:val="21"/>
                <w:lang w:val="en-US" w:eastAsia="zh-CN" w:bidi="ar-SA"/>
              </w:rPr>
              <w:t>）</w:t>
            </w:r>
            <w:r>
              <w:rPr>
                <w:rFonts w:hint="default" w:ascii="Times New Roman" w:hAnsi="Times New Roman" w:eastAsia="宋体" w:cs="Times New Roman"/>
                <w:snapToGrid w:val="0"/>
                <w:color w:val="auto"/>
                <w:kern w:val="0"/>
                <w:sz w:val="21"/>
                <w:szCs w:val="21"/>
                <w:lang w:val="en-US" w:eastAsia="en-US" w:bidi="ar-SA"/>
              </w:rPr>
              <w:t>方工程量和基础工程费用</w:t>
            </w:r>
            <w:r>
              <w:rPr>
                <w:rFonts w:hint="eastAsia" w:cs="Times New Roman"/>
                <w:snapToGrid w:val="0"/>
                <w:color w:val="auto"/>
                <w:kern w:val="0"/>
                <w:sz w:val="21"/>
                <w:szCs w:val="21"/>
                <w:lang w:val="en-US" w:eastAsia="zh-CN" w:bidi="ar-SA"/>
              </w:rPr>
              <w:t>，</w:t>
            </w:r>
            <w:r>
              <w:rPr>
                <w:rFonts w:hint="default" w:ascii="Times New Roman" w:hAnsi="Times New Roman" w:eastAsia="宋体" w:cs="Times New Roman"/>
                <w:snapToGrid w:val="0"/>
                <w:color w:val="auto"/>
                <w:kern w:val="0"/>
                <w:sz w:val="21"/>
                <w:szCs w:val="21"/>
                <w:lang w:val="en-US" w:eastAsia="en-US" w:bidi="ar-SA"/>
              </w:rPr>
              <w:t>并应符合下列规定:</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r>
              <w:rPr>
                <w:rFonts w:hint="eastAsia" w:cs="Times New Roman"/>
                <w:snapToGrid w:val="0"/>
                <w:color w:val="auto"/>
                <w:kern w:val="0"/>
                <w:sz w:val="21"/>
                <w:szCs w:val="21"/>
                <w:lang w:val="en-US" w:eastAsia="zh-CN" w:bidi="ar-SA"/>
              </w:rPr>
              <w:t>.</w:t>
            </w:r>
            <w:r>
              <w:rPr>
                <w:rFonts w:hint="default" w:ascii="Times New Roman" w:hAnsi="Times New Roman" w:eastAsia="宋体" w:cs="Times New Roman"/>
                <w:snapToGrid w:val="0"/>
                <w:color w:val="auto"/>
                <w:kern w:val="0"/>
                <w:sz w:val="21"/>
                <w:szCs w:val="21"/>
                <w:lang w:val="en-US" w:eastAsia="en-US" w:bidi="ar-SA"/>
              </w:rPr>
              <w:t>当厂区地形坡度较大时,建筑物、构筑物的长轴宜顺等高线布置。</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2</w:t>
            </w:r>
            <w:r>
              <w:rPr>
                <w:rFonts w:hint="eastAsia" w:cs="Times New Roman"/>
                <w:snapToGrid w:val="0"/>
                <w:color w:val="auto"/>
                <w:kern w:val="0"/>
                <w:sz w:val="21"/>
                <w:szCs w:val="21"/>
                <w:lang w:val="en-US" w:eastAsia="zh-CN" w:bidi="ar-SA"/>
              </w:rPr>
              <w:t>.</w:t>
            </w:r>
            <w:r>
              <w:rPr>
                <w:rFonts w:hint="default" w:ascii="Times New Roman" w:hAnsi="Times New Roman" w:eastAsia="宋体" w:cs="Times New Roman"/>
                <w:snapToGrid w:val="0"/>
                <w:color w:val="auto"/>
                <w:kern w:val="0"/>
                <w:sz w:val="21"/>
                <w:szCs w:val="21"/>
                <w:lang w:val="en-US" w:eastAsia="en-US" w:bidi="ar-SA"/>
              </w:rPr>
              <w:t>应结合地形及竖向设计,为物料采用自流管道及高站台、低货位等设施创造条件。</w:t>
            </w:r>
          </w:p>
        </w:tc>
        <w:tc>
          <w:tcPr>
            <w:tcW w:w="22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《工业企业总平面设计</w:t>
            </w:r>
            <w:r>
              <w:rPr>
                <w:rFonts w:hint="default" w:ascii="Times New Roman" w:hAnsi="Times New Roman" w:eastAsia="宋体" w:cs="Times New Roman"/>
                <w:snapToGrid w:val="0"/>
                <w:color w:val="auto"/>
                <w:spacing w:val="-1"/>
                <w:kern w:val="0"/>
                <w:sz w:val="21"/>
                <w:szCs w:val="21"/>
                <w:lang w:val="en-US" w:eastAsia="en-US" w:bidi="ar-SA"/>
              </w:rPr>
              <w:t>规范》（GB50187-2012）</w:t>
            </w:r>
            <w:r>
              <w:rPr>
                <w:rFonts w:hint="default" w:ascii="Times New Roman" w:hAnsi="Times New Roman" w:eastAsia="宋体" w:cs="Times New Roman"/>
                <w:snapToGrid w:val="0"/>
                <w:color w:val="auto"/>
                <w:spacing w:val="1"/>
                <w:kern w:val="0"/>
                <w:sz w:val="21"/>
                <w:szCs w:val="21"/>
                <w:lang w:val="en-US" w:eastAsia="en-US" w:bidi="ar-SA"/>
              </w:rPr>
              <w:t>第5</w:t>
            </w:r>
            <w:r>
              <w:rPr>
                <w:rFonts w:hint="eastAsia" w:ascii="Times New Roman" w:hAnsi="Times New Roman" w:eastAsia="宋体" w:cs="Times New Roman"/>
                <w:snapToGrid w:val="0"/>
                <w:color w:val="auto"/>
                <w:spacing w:val="1"/>
                <w:kern w:val="0"/>
                <w:sz w:val="21"/>
                <w:szCs w:val="21"/>
                <w:lang w:val="en-US" w:eastAsia="zh-CN" w:bidi="ar-SA"/>
              </w:rPr>
              <w:t>.</w:t>
            </w:r>
            <w:r>
              <w:rPr>
                <w:rFonts w:hint="default" w:ascii="Times New Roman" w:hAnsi="Times New Roman" w:eastAsia="宋体" w:cs="Times New Roman"/>
                <w:snapToGrid w:val="0"/>
                <w:color w:val="auto"/>
                <w:spacing w:val="1"/>
                <w:kern w:val="0"/>
                <w:sz w:val="21"/>
                <w:szCs w:val="21"/>
                <w:lang w:val="en-US" w:eastAsia="en-US" w:bidi="ar-SA"/>
              </w:rPr>
              <w:t>1.</w:t>
            </w:r>
            <w:r>
              <w:rPr>
                <w:rFonts w:hint="eastAsia" w:cs="Times New Roman"/>
                <w:snapToGrid w:val="0"/>
                <w:color w:val="auto"/>
                <w:spacing w:val="1"/>
                <w:kern w:val="0"/>
                <w:sz w:val="21"/>
                <w:szCs w:val="21"/>
                <w:lang w:val="en-US" w:eastAsia="zh-CN" w:bidi="ar-SA"/>
              </w:rPr>
              <w:t>5</w:t>
            </w:r>
            <w:r>
              <w:rPr>
                <w:rFonts w:hint="default" w:ascii="Times New Roman" w:hAnsi="Times New Roman" w:eastAsia="宋体" w:cs="Times New Roman"/>
                <w:snapToGrid w:val="0"/>
                <w:color w:val="auto"/>
                <w:spacing w:val="1"/>
                <w:kern w:val="0"/>
                <w:sz w:val="21"/>
                <w:szCs w:val="21"/>
                <w:lang w:val="en-US" w:eastAsia="en-US" w:bidi="ar-SA"/>
              </w:rPr>
              <w:t>条</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《有色金属工业总图规划及运输设计标准》（</w:t>
            </w:r>
            <w:r>
              <w:rPr>
                <w:rFonts w:hint="eastAsia" w:cs="Times New Roman"/>
                <w:snapToGrid w:val="0"/>
                <w:color w:val="auto"/>
                <w:spacing w:val="1"/>
                <w:kern w:val="0"/>
                <w:sz w:val="21"/>
                <w:szCs w:val="21"/>
                <w:lang w:val="en-US" w:eastAsia="zh-CN" w:bidi="ar-SA"/>
              </w:rPr>
              <w:t>GB50544-2009</w:t>
            </w:r>
            <w:r>
              <w:rPr>
                <w:rFonts w:hint="default" w:ascii="Times New Roman" w:hAnsi="Times New Roman" w:eastAsia="宋体" w:cs="Times New Roman"/>
                <w:snapToGrid w:val="0"/>
                <w:color w:val="auto"/>
                <w:spacing w:val="1"/>
                <w:kern w:val="0"/>
                <w:sz w:val="21"/>
                <w:szCs w:val="21"/>
                <w:lang w:val="en-US" w:eastAsia="en-US" w:bidi="ar-SA"/>
              </w:rPr>
              <w:t>）第</w:t>
            </w:r>
            <w:r>
              <w:rPr>
                <w:rFonts w:hint="eastAsia" w:cs="Times New Roman"/>
                <w:snapToGrid w:val="0"/>
                <w:color w:val="auto"/>
                <w:spacing w:val="1"/>
                <w:kern w:val="0"/>
                <w:sz w:val="21"/>
                <w:szCs w:val="21"/>
                <w:lang w:val="en-US" w:eastAsia="zh-CN" w:bidi="ar-SA"/>
              </w:rPr>
              <w:t>5.1.9</w:t>
            </w:r>
            <w:r>
              <w:rPr>
                <w:rFonts w:hint="default" w:ascii="Times New Roman" w:hAnsi="Times New Roman" w:eastAsia="宋体" w:cs="Times New Roman"/>
                <w:snapToGrid w:val="0"/>
                <w:color w:val="auto"/>
                <w:spacing w:val="1"/>
                <w:kern w:val="0"/>
                <w:sz w:val="21"/>
                <w:szCs w:val="21"/>
                <w:lang w:val="en-US" w:eastAsia="en-US" w:bidi="ar-SA"/>
              </w:rPr>
              <w:t>条</w:t>
            </w:r>
          </w:p>
        </w:tc>
        <w:tc>
          <w:tcPr>
            <w:tcW w:w="25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cs="Times New Roman"/>
                <w:snapToGrid w:val="0"/>
                <w:color w:val="auto"/>
                <w:spacing w:val="8"/>
                <w:kern w:val="0"/>
                <w:sz w:val="21"/>
                <w:szCs w:val="21"/>
                <w:lang w:val="en-US" w:eastAsia="zh-CN" w:bidi="ar-SA"/>
              </w:rPr>
            </w:pPr>
            <w:r>
              <w:rPr>
                <w:rFonts w:hint="eastAsia" w:cs="Times New Roman"/>
                <w:snapToGrid w:val="0"/>
                <w:color w:val="auto"/>
                <w:spacing w:val="8"/>
                <w:kern w:val="0"/>
                <w:sz w:val="21"/>
                <w:szCs w:val="21"/>
                <w:lang w:val="en-US" w:eastAsia="zh-CN" w:bidi="ar-SA"/>
              </w:rPr>
              <w:t>选矿厂其他厂房依山势而建，充分利用地形。</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eastAsia="宋体" w:cs="Times New Roman"/>
                <w:snapToGrid w:val="0"/>
                <w:color w:val="auto"/>
                <w:spacing w:val="8"/>
                <w:kern w:val="0"/>
                <w:sz w:val="21"/>
                <w:szCs w:val="21"/>
                <w:lang w:val="en-US" w:eastAsia="zh-CN" w:bidi="ar-SA"/>
              </w:rPr>
            </w:pPr>
            <w:r>
              <w:rPr>
                <w:rFonts w:hint="default" w:cs="Times New Roman"/>
                <w:snapToGrid w:val="0"/>
                <w:color w:val="auto"/>
                <w:spacing w:val="8"/>
                <w:kern w:val="0"/>
                <w:sz w:val="21"/>
                <w:szCs w:val="21"/>
                <w:lang w:val="en-US" w:eastAsia="zh-CN" w:bidi="ar-SA"/>
              </w:rPr>
              <w:t>有岩土工程勘察报告（详勘）</w:t>
            </w:r>
            <w:r>
              <w:rPr>
                <w:rFonts w:hint="eastAsia" w:cs="Times New Roman"/>
                <w:snapToGrid w:val="0"/>
                <w:color w:val="auto"/>
                <w:spacing w:val="8"/>
                <w:kern w:val="0"/>
                <w:sz w:val="21"/>
                <w:szCs w:val="21"/>
                <w:lang w:val="en-US" w:eastAsia="zh-CN" w:bidi="ar-SA"/>
              </w:rPr>
              <w:t>，</w:t>
            </w:r>
            <w:r>
              <w:rPr>
                <w:rFonts w:hint="default" w:ascii="Times New Roman" w:hAnsi="Times New Roman" w:eastAsia="宋体" w:cs="Times New Roman"/>
                <w:snapToGrid w:val="0"/>
                <w:color w:val="auto"/>
                <w:kern w:val="0"/>
                <w:sz w:val="21"/>
                <w:szCs w:val="21"/>
                <w:lang w:val="en-US" w:eastAsia="en-US" w:bidi="ar-SA"/>
              </w:rPr>
              <w:t>工程地质及水文地质条件</w:t>
            </w:r>
            <w:r>
              <w:rPr>
                <w:rFonts w:hint="eastAsia" w:ascii="Times New Roman" w:hAnsi="Times New Roman" w:eastAsia="宋体" w:cs="Times New Roman"/>
                <w:snapToGrid w:val="0"/>
                <w:color w:val="auto"/>
                <w:kern w:val="0"/>
                <w:sz w:val="21"/>
                <w:szCs w:val="21"/>
                <w:lang w:val="en-US" w:eastAsia="zh-CN" w:bidi="ar-SA"/>
              </w:rPr>
              <w:t>满足。</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rPr>
              <w:t>5</w:t>
            </w:r>
          </w:p>
        </w:tc>
        <w:tc>
          <w:tcPr>
            <w:tcW w:w="347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总平面布置应结合当地气象条件,使建筑物具有良好的朝向、采光和自然通风条件。高温、热加工、有特殊要求和人员较多的建筑物,应避免西晒。</w:t>
            </w:r>
          </w:p>
        </w:tc>
        <w:tc>
          <w:tcPr>
            <w:tcW w:w="22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《工业企业总平面设计</w:t>
            </w:r>
            <w:r>
              <w:rPr>
                <w:rFonts w:hint="default" w:ascii="Times New Roman" w:hAnsi="Times New Roman" w:eastAsia="宋体" w:cs="Times New Roman"/>
                <w:snapToGrid w:val="0"/>
                <w:color w:val="auto"/>
                <w:spacing w:val="-1"/>
                <w:kern w:val="0"/>
                <w:sz w:val="21"/>
                <w:szCs w:val="21"/>
                <w:lang w:val="en-US" w:eastAsia="en-US" w:bidi="ar-SA"/>
              </w:rPr>
              <w:t>规范》（GB50187-2012）</w:t>
            </w:r>
            <w:r>
              <w:rPr>
                <w:rFonts w:hint="default" w:ascii="Times New Roman" w:hAnsi="Times New Roman" w:eastAsia="宋体" w:cs="Times New Roman"/>
                <w:snapToGrid w:val="0"/>
                <w:color w:val="auto"/>
                <w:spacing w:val="1"/>
                <w:kern w:val="0"/>
                <w:sz w:val="21"/>
                <w:szCs w:val="21"/>
                <w:lang w:val="en-US" w:eastAsia="en-US" w:bidi="ar-SA"/>
              </w:rPr>
              <w:t>第5</w:t>
            </w:r>
            <w:r>
              <w:rPr>
                <w:rFonts w:hint="eastAsia" w:ascii="Times New Roman" w:hAnsi="Times New Roman" w:eastAsia="宋体" w:cs="Times New Roman"/>
                <w:snapToGrid w:val="0"/>
                <w:color w:val="auto"/>
                <w:spacing w:val="1"/>
                <w:kern w:val="0"/>
                <w:sz w:val="21"/>
                <w:szCs w:val="21"/>
                <w:lang w:val="en-US" w:eastAsia="zh-CN" w:bidi="ar-SA"/>
              </w:rPr>
              <w:t>.</w:t>
            </w:r>
            <w:r>
              <w:rPr>
                <w:rFonts w:hint="default" w:ascii="Times New Roman" w:hAnsi="Times New Roman" w:eastAsia="宋体" w:cs="Times New Roman"/>
                <w:snapToGrid w:val="0"/>
                <w:color w:val="auto"/>
                <w:spacing w:val="1"/>
                <w:kern w:val="0"/>
                <w:sz w:val="21"/>
                <w:szCs w:val="21"/>
                <w:lang w:val="en-US" w:eastAsia="en-US" w:bidi="ar-SA"/>
              </w:rPr>
              <w:t>1.</w:t>
            </w:r>
            <w:r>
              <w:rPr>
                <w:rFonts w:hint="eastAsia" w:cs="Times New Roman"/>
                <w:snapToGrid w:val="0"/>
                <w:color w:val="auto"/>
                <w:spacing w:val="1"/>
                <w:kern w:val="0"/>
                <w:sz w:val="21"/>
                <w:szCs w:val="21"/>
                <w:lang w:val="en-US" w:eastAsia="zh-CN" w:bidi="ar-SA"/>
              </w:rPr>
              <w:t>6</w:t>
            </w:r>
            <w:r>
              <w:rPr>
                <w:rFonts w:hint="default" w:ascii="Times New Roman" w:hAnsi="Times New Roman" w:eastAsia="宋体" w:cs="Times New Roman"/>
                <w:snapToGrid w:val="0"/>
                <w:color w:val="auto"/>
                <w:spacing w:val="1"/>
                <w:kern w:val="0"/>
                <w:sz w:val="21"/>
                <w:szCs w:val="21"/>
                <w:lang w:val="en-US" w:eastAsia="en-US" w:bidi="ar-SA"/>
              </w:rPr>
              <w:t>条</w:t>
            </w:r>
          </w:p>
        </w:tc>
        <w:tc>
          <w:tcPr>
            <w:tcW w:w="25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结合</w:t>
            </w:r>
            <w:r>
              <w:rPr>
                <w:rFonts w:hint="eastAsia" w:cs="Times New Roman"/>
                <w:snapToGrid w:val="0"/>
                <w:color w:val="auto"/>
                <w:spacing w:val="2"/>
                <w:kern w:val="0"/>
                <w:sz w:val="21"/>
                <w:szCs w:val="21"/>
                <w:lang w:val="en-US" w:eastAsia="zh-CN" w:bidi="ar-SA"/>
              </w:rPr>
              <w:t>了</w:t>
            </w:r>
            <w:r>
              <w:rPr>
                <w:rFonts w:hint="default" w:ascii="Times New Roman" w:hAnsi="Times New Roman" w:eastAsia="宋体" w:cs="Times New Roman"/>
                <w:snapToGrid w:val="0"/>
                <w:color w:val="auto"/>
                <w:spacing w:val="2"/>
                <w:kern w:val="0"/>
                <w:sz w:val="21"/>
                <w:szCs w:val="21"/>
                <w:lang w:val="en-US" w:eastAsia="en-US" w:bidi="ar-SA"/>
              </w:rPr>
              <w:t>当地气象条件,建筑物有良好的朝向、采光和自然通风条件。</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6"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6</w:t>
            </w:r>
          </w:p>
        </w:tc>
        <w:tc>
          <w:tcPr>
            <w:tcW w:w="347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总平面布置应防止高温、有害气体、烟、雾、粉尘、强烈振动和高噪声对周围环境和人身安全的危害，并应符合国家现行有关工业企业卫生设计标准的规定。</w:t>
            </w:r>
          </w:p>
        </w:tc>
        <w:tc>
          <w:tcPr>
            <w:tcW w:w="22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《工业企业总平面设计</w:t>
            </w:r>
            <w:r>
              <w:rPr>
                <w:rFonts w:hint="default" w:ascii="Times New Roman" w:hAnsi="Times New Roman" w:eastAsia="宋体" w:cs="Times New Roman"/>
                <w:snapToGrid w:val="0"/>
                <w:color w:val="auto"/>
                <w:spacing w:val="-1"/>
                <w:kern w:val="0"/>
                <w:sz w:val="21"/>
                <w:szCs w:val="21"/>
                <w:lang w:val="en-US" w:eastAsia="en-US" w:bidi="ar-SA"/>
              </w:rPr>
              <w:t>规范》（GB50187-2012）</w:t>
            </w:r>
            <w:r>
              <w:rPr>
                <w:rFonts w:hint="default" w:ascii="Times New Roman" w:hAnsi="Times New Roman" w:eastAsia="宋体" w:cs="Times New Roman"/>
                <w:snapToGrid w:val="0"/>
                <w:color w:val="auto"/>
                <w:spacing w:val="1"/>
                <w:kern w:val="0"/>
                <w:sz w:val="21"/>
                <w:szCs w:val="21"/>
                <w:lang w:val="en-US" w:eastAsia="en-US" w:bidi="ar-SA"/>
              </w:rPr>
              <w:t>第5</w:t>
            </w:r>
            <w:r>
              <w:rPr>
                <w:rFonts w:hint="eastAsia" w:ascii="Times New Roman" w:hAnsi="Times New Roman" w:eastAsia="宋体" w:cs="Times New Roman"/>
                <w:snapToGrid w:val="0"/>
                <w:color w:val="auto"/>
                <w:spacing w:val="1"/>
                <w:kern w:val="0"/>
                <w:sz w:val="21"/>
                <w:szCs w:val="21"/>
                <w:lang w:val="en-US" w:eastAsia="zh-CN" w:bidi="ar-SA"/>
              </w:rPr>
              <w:t>.</w:t>
            </w:r>
            <w:r>
              <w:rPr>
                <w:rFonts w:hint="default" w:ascii="Times New Roman" w:hAnsi="Times New Roman" w:eastAsia="宋体" w:cs="Times New Roman"/>
                <w:snapToGrid w:val="0"/>
                <w:color w:val="auto"/>
                <w:spacing w:val="1"/>
                <w:kern w:val="0"/>
                <w:sz w:val="21"/>
                <w:szCs w:val="21"/>
                <w:lang w:val="en-US" w:eastAsia="en-US" w:bidi="ar-SA"/>
              </w:rPr>
              <w:t>1.</w:t>
            </w:r>
            <w:r>
              <w:rPr>
                <w:rFonts w:hint="eastAsia" w:cs="Times New Roman"/>
                <w:snapToGrid w:val="0"/>
                <w:color w:val="auto"/>
                <w:spacing w:val="1"/>
                <w:kern w:val="0"/>
                <w:sz w:val="21"/>
                <w:szCs w:val="21"/>
                <w:lang w:val="en-US" w:eastAsia="zh-CN" w:bidi="ar-SA"/>
              </w:rPr>
              <w:t>7</w:t>
            </w:r>
            <w:r>
              <w:rPr>
                <w:rFonts w:hint="default" w:ascii="Times New Roman" w:hAnsi="Times New Roman" w:eastAsia="宋体" w:cs="Times New Roman"/>
                <w:snapToGrid w:val="0"/>
                <w:color w:val="auto"/>
                <w:spacing w:val="1"/>
                <w:kern w:val="0"/>
                <w:sz w:val="21"/>
                <w:szCs w:val="21"/>
                <w:lang w:val="en-US" w:eastAsia="en-US" w:bidi="ar-SA"/>
              </w:rPr>
              <w:t>条</w:t>
            </w:r>
          </w:p>
        </w:tc>
        <w:tc>
          <w:tcPr>
            <w:tcW w:w="25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选厂主要车间以密闭收尘为主，喷雾洒水降尘为辅。同时采用除尘风机对产尘点进行换气。</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破碎等关键设备选用加工精度和装配质量较高、噪声相对更低的进口设备。</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对振动筛、球磨机等采用固有频率较高的钢铝板做成的隔声罩进行隔声，同时尽量减小噪声辐射面积降低声能的辐射，并加大构件的阻尼，有效地控制金属板的振动，以提高隔声效果。</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在具备条件的地方增加隔声操作间，把操作工人与噪声源隔离开，以减轻噪声对操作工人的危害。</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7</w:t>
            </w:r>
          </w:p>
        </w:tc>
        <w:tc>
          <w:tcPr>
            <w:tcW w:w="347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8"/>
                <w:kern w:val="0"/>
                <w:sz w:val="21"/>
                <w:szCs w:val="21"/>
                <w:lang w:val="en-US" w:eastAsia="en-US" w:bidi="ar-SA"/>
              </w:rPr>
            </w:pPr>
            <w:r>
              <w:rPr>
                <w:rFonts w:hint="default" w:ascii="Times New Roman" w:hAnsi="Times New Roman" w:eastAsia="宋体" w:cs="Times New Roman"/>
                <w:snapToGrid w:val="0"/>
                <w:color w:val="auto"/>
                <w:spacing w:val="18"/>
                <w:kern w:val="0"/>
                <w:sz w:val="21"/>
                <w:szCs w:val="21"/>
                <w:lang w:val="en-US" w:eastAsia="en-US" w:bidi="ar-SA"/>
              </w:rPr>
              <w:t>总平面布置应合理地组织货流和人流,并应符合下列规定:</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8"/>
                <w:kern w:val="0"/>
                <w:sz w:val="21"/>
                <w:szCs w:val="21"/>
                <w:lang w:val="en-US" w:eastAsia="en-US" w:bidi="ar-SA"/>
              </w:rPr>
            </w:pPr>
            <w:r>
              <w:rPr>
                <w:rFonts w:hint="eastAsia" w:cs="Times New Roman"/>
                <w:snapToGrid w:val="0"/>
                <w:color w:val="auto"/>
                <w:spacing w:val="18"/>
                <w:kern w:val="0"/>
                <w:sz w:val="21"/>
                <w:szCs w:val="21"/>
                <w:lang w:val="en-US" w:eastAsia="zh-CN" w:bidi="ar-SA"/>
              </w:rPr>
              <w:t>1.</w:t>
            </w:r>
            <w:r>
              <w:rPr>
                <w:rFonts w:hint="default" w:ascii="Times New Roman" w:hAnsi="Times New Roman" w:eastAsia="宋体" w:cs="Times New Roman"/>
                <w:snapToGrid w:val="0"/>
                <w:color w:val="auto"/>
                <w:spacing w:val="18"/>
                <w:kern w:val="0"/>
                <w:sz w:val="21"/>
                <w:szCs w:val="21"/>
                <w:lang w:val="en-US" w:eastAsia="en-US" w:bidi="ar-SA"/>
              </w:rPr>
              <w:t>运输线路的布置应保证物流顺畅、径路短捷、不折返。</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8"/>
                <w:kern w:val="0"/>
                <w:sz w:val="21"/>
                <w:szCs w:val="21"/>
                <w:lang w:val="en-US" w:eastAsia="en-US" w:bidi="ar-SA"/>
              </w:rPr>
            </w:pPr>
            <w:r>
              <w:rPr>
                <w:rFonts w:hint="eastAsia" w:cs="Times New Roman"/>
                <w:snapToGrid w:val="0"/>
                <w:color w:val="auto"/>
                <w:spacing w:val="18"/>
                <w:kern w:val="0"/>
                <w:sz w:val="21"/>
                <w:szCs w:val="21"/>
                <w:lang w:val="en-US" w:eastAsia="zh-CN" w:bidi="ar-SA"/>
              </w:rPr>
              <w:t>2.</w:t>
            </w:r>
            <w:r>
              <w:rPr>
                <w:rFonts w:hint="default" w:ascii="Times New Roman" w:hAnsi="Times New Roman" w:eastAsia="宋体" w:cs="Times New Roman"/>
                <w:snapToGrid w:val="0"/>
                <w:color w:val="auto"/>
                <w:spacing w:val="18"/>
                <w:kern w:val="0"/>
                <w:sz w:val="21"/>
                <w:szCs w:val="21"/>
                <w:lang w:val="en-US" w:eastAsia="en-US" w:bidi="ar-SA"/>
              </w:rPr>
              <w:t>应避免运输繁忙的铁路与道路平面交叉。</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18"/>
                <w:kern w:val="0"/>
                <w:sz w:val="21"/>
                <w:szCs w:val="21"/>
                <w:lang w:val="en-US" w:eastAsia="zh-CN" w:bidi="ar-SA"/>
              </w:rPr>
            </w:pPr>
            <w:r>
              <w:rPr>
                <w:rFonts w:hint="eastAsia" w:cs="Times New Roman"/>
                <w:snapToGrid w:val="0"/>
                <w:color w:val="auto"/>
                <w:spacing w:val="18"/>
                <w:kern w:val="0"/>
                <w:sz w:val="21"/>
                <w:szCs w:val="21"/>
                <w:lang w:val="en-US" w:eastAsia="zh-CN" w:bidi="ar-SA"/>
              </w:rPr>
              <w:t>3.</w:t>
            </w:r>
            <w:r>
              <w:rPr>
                <w:rFonts w:hint="default" w:ascii="Times New Roman" w:hAnsi="Times New Roman" w:eastAsia="宋体" w:cs="Times New Roman"/>
                <w:snapToGrid w:val="0"/>
                <w:color w:val="auto"/>
                <w:spacing w:val="18"/>
                <w:kern w:val="0"/>
                <w:sz w:val="21"/>
                <w:szCs w:val="21"/>
                <w:lang w:val="en-US" w:eastAsia="en-US" w:bidi="ar-SA"/>
              </w:rPr>
              <w:t>应使人、货分流,应避免运输繁忙的货流与人流交叉</w:t>
            </w:r>
            <w:r>
              <w:rPr>
                <w:rFonts w:hint="eastAsia" w:cs="Times New Roman"/>
                <w:snapToGrid w:val="0"/>
                <w:color w:val="auto"/>
                <w:spacing w:val="18"/>
                <w:kern w:val="0"/>
                <w:sz w:val="21"/>
                <w:szCs w:val="21"/>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cs="Times New Roman"/>
                <w:snapToGrid w:val="0"/>
                <w:color w:val="auto"/>
                <w:spacing w:val="18"/>
                <w:kern w:val="0"/>
                <w:sz w:val="21"/>
                <w:szCs w:val="21"/>
                <w:lang w:val="en-US" w:eastAsia="zh-CN" w:bidi="ar-SA"/>
              </w:rPr>
              <w:t>4.</w:t>
            </w:r>
            <w:r>
              <w:rPr>
                <w:rFonts w:hint="default" w:ascii="Times New Roman" w:hAnsi="Times New Roman" w:eastAsia="宋体" w:cs="Times New Roman"/>
                <w:snapToGrid w:val="0"/>
                <w:color w:val="auto"/>
                <w:spacing w:val="18"/>
                <w:kern w:val="0"/>
                <w:sz w:val="21"/>
                <w:szCs w:val="21"/>
                <w:lang w:val="en-US" w:eastAsia="en-US" w:bidi="ar-SA"/>
              </w:rPr>
              <w:t>应避免进出厂的主要货流与企业外部交通干线的平面交叉。</w:t>
            </w:r>
          </w:p>
        </w:tc>
        <w:tc>
          <w:tcPr>
            <w:tcW w:w="22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《工业企业总平面设计</w:t>
            </w:r>
            <w:r>
              <w:rPr>
                <w:rFonts w:hint="default" w:ascii="Times New Roman" w:hAnsi="Times New Roman" w:eastAsia="宋体" w:cs="Times New Roman"/>
                <w:snapToGrid w:val="0"/>
                <w:color w:val="auto"/>
                <w:spacing w:val="-1"/>
                <w:kern w:val="0"/>
                <w:sz w:val="21"/>
                <w:szCs w:val="21"/>
                <w:lang w:val="en-US" w:eastAsia="en-US" w:bidi="ar-SA"/>
              </w:rPr>
              <w:t>规范》（GB50187-2012）</w:t>
            </w:r>
            <w:r>
              <w:rPr>
                <w:rFonts w:hint="default" w:ascii="Times New Roman" w:hAnsi="Times New Roman" w:eastAsia="宋体" w:cs="Times New Roman"/>
                <w:snapToGrid w:val="0"/>
                <w:color w:val="auto"/>
                <w:spacing w:val="1"/>
                <w:kern w:val="0"/>
                <w:sz w:val="21"/>
                <w:szCs w:val="21"/>
                <w:lang w:val="en-US" w:eastAsia="en-US" w:bidi="ar-SA"/>
              </w:rPr>
              <w:t>第5</w:t>
            </w:r>
            <w:r>
              <w:rPr>
                <w:rFonts w:hint="eastAsia" w:ascii="Times New Roman" w:hAnsi="Times New Roman" w:eastAsia="宋体" w:cs="Times New Roman"/>
                <w:snapToGrid w:val="0"/>
                <w:color w:val="auto"/>
                <w:spacing w:val="1"/>
                <w:kern w:val="0"/>
                <w:sz w:val="21"/>
                <w:szCs w:val="21"/>
                <w:lang w:val="en-US" w:eastAsia="zh-CN" w:bidi="ar-SA"/>
              </w:rPr>
              <w:t>.</w:t>
            </w:r>
            <w:r>
              <w:rPr>
                <w:rFonts w:hint="default" w:ascii="Times New Roman" w:hAnsi="Times New Roman" w:eastAsia="宋体" w:cs="Times New Roman"/>
                <w:snapToGrid w:val="0"/>
                <w:color w:val="auto"/>
                <w:spacing w:val="1"/>
                <w:kern w:val="0"/>
                <w:sz w:val="21"/>
                <w:szCs w:val="21"/>
                <w:lang w:val="en-US" w:eastAsia="en-US" w:bidi="ar-SA"/>
              </w:rPr>
              <w:t>1.</w:t>
            </w:r>
            <w:r>
              <w:rPr>
                <w:rFonts w:hint="eastAsia" w:cs="Times New Roman"/>
                <w:snapToGrid w:val="0"/>
                <w:color w:val="auto"/>
                <w:spacing w:val="1"/>
                <w:kern w:val="0"/>
                <w:sz w:val="21"/>
                <w:szCs w:val="21"/>
                <w:lang w:val="en-US" w:eastAsia="zh-CN" w:bidi="ar-SA"/>
              </w:rPr>
              <w:t>8</w:t>
            </w:r>
            <w:r>
              <w:rPr>
                <w:rFonts w:hint="default" w:ascii="Times New Roman" w:hAnsi="Times New Roman" w:eastAsia="宋体" w:cs="Times New Roman"/>
                <w:snapToGrid w:val="0"/>
                <w:color w:val="auto"/>
                <w:spacing w:val="1"/>
                <w:kern w:val="0"/>
                <w:sz w:val="21"/>
                <w:szCs w:val="21"/>
                <w:lang w:val="en-US" w:eastAsia="en-US" w:bidi="ar-SA"/>
              </w:rPr>
              <w:t>条</w:t>
            </w:r>
          </w:p>
        </w:tc>
        <w:tc>
          <w:tcPr>
            <w:tcW w:w="25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cs="Times New Roman"/>
                <w:snapToGrid w:val="0"/>
                <w:color w:val="auto"/>
                <w:spacing w:val="8"/>
                <w:kern w:val="0"/>
                <w:sz w:val="21"/>
                <w:szCs w:val="21"/>
                <w:lang w:val="en-US" w:eastAsia="zh-CN" w:bidi="ar-SA"/>
              </w:rPr>
              <w:t>总平面布置符合上述规定</w:t>
            </w:r>
            <w:r>
              <w:rPr>
                <w:rFonts w:hint="default" w:ascii="Times New Roman" w:hAnsi="Times New Roman" w:eastAsia="宋体" w:cs="Times New Roman"/>
                <w:snapToGrid w:val="0"/>
                <w:color w:val="auto"/>
                <w:spacing w:val="8"/>
                <w:kern w:val="0"/>
                <w:sz w:val="21"/>
                <w:szCs w:val="21"/>
                <w:lang w:val="en-US" w:eastAsia="en-US" w:bidi="ar-SA"/>
              </w:rPr>
              <w:t>。</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8</w:t>
            </w:r>
          </w:p>
        </w:tc>
        <w:tc>
          <w:tcPr>
            <w:tcW w:w="347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18"/>
                <w:kern w:val="0"/>
                <w:sz w:val="21"/>
                <w:szCs w:val="21"/>
                <w:lang w:val="en-US" w:eastAsia="zh-CN" w:bidi="ar-SA"/>
              </w:rPr>
            </w:pPr>
            <w:r>
              <w:rPr>
                <w:rFonts w:hint="eastAsia" w:cs="Times New Roman"/>
                <w:snapToGrid w:val="0"/>
                <w:color w:val="auto"/>
                <w:spacing w:val="18"/>
                <w:kern w:val="0"/>
                <w:sz w:val="21"/>
                <w:szCs w:val="21"/>
                <w:lang w:val="en-US" w:eastAsia="zh-CN" w:bidi="ar-SA"/>
              </w:rPr>
              <w:t>工业企业的建筑物、构筑物之间及其与铁路、道路之间的防火间距,以及消防通道的设置,除应符合现行国家标准《建筑设计防火规范》GB50016的规定外,尚应符合国家现行有关标准的规定。</w:t>
            </w:r>
          </w:p>
        </w:tc>
        <w:tc>
          <w:tcPr>
            <w:tcW w:w="22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8"/>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《工业企业总平面设计规范》（GB50187-2012）第5.1.</w:t>
            </w:r>
            <w:r>
              <w:rPr>
                <w:rFonts w:hint="eastAsia" w:cs="Times New Roman"/>
                <w:snapToGrid w:val="0"/>
                <w:color w:val="auto"/>
                <w:spacing w:val="8"/>
                <w:kern w:val="0"/>
                <w:sz w:val="21"/>
                <w:szCs w:val="21"/>
                <w:lang w:val="en-US" w:eastAsia="zh-CN" w:bidi="ar-SA"/>
              </w:rPr>
              <w:t>10</w:t>
            </w:r>
            <w:r>
              <w:rPr>
                <w:rFonts w:hint="default" w:ascii="Times New Roman" w:hAnsi="Times New Roman" w:eastAsia="宋体" w:cs="Times New Roman"/>
                <w:snapToGrid w:val="0"/>
                <w:color w:val="auto"/>
                <w:spacing w:val="8"/>
                <w:kern w:val="0"/>
                <w:sz w:val="21"/>
                <w:szCs w:val="21"/>
                <w:lang w:val="en-US" w:eastAsia="en-US" w:bidi="ar-SA"/>
              </w:rPr>
              <w:t>条</w:t>
            </w:r>
          </w:p>
        </w:tc>
        <w:tc>
          <w:tcPr>
            <w:tcW w:w="258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spacing w:val="8"/>
                <w:kern w:val="0"/>
                <w:sz w:val="21"/>
                <w:szCs w:val="21"/>
                <w:lang w:val="en-US" w:eastAsia="zh-CN" w:bidi="ar-SA"/>
              </w:rPr>
            </w:pPr>
            <w:r>
              <w:rPr>
                <w:rFonts w:hint="default" w:cs="Times New Roman"/>
                <w:snapToGrid w:val="0"/>
                <w:color w:val="auto"/>
                <w:spacing w:val="8"/>
                <w:kern w:val="0"/>
                <w:sz w:val="21"/>
                <w:szCs w:val="21"/>
                <w:lang w:val="en-US" w:eastAsia="zh-CN" w:bidi="ar-SA"/>
              </w:rPr>
              <w:t>从《可研报告》及其附图可知，本工程建筑物的建筑耐火等级为二级。建筑生产类别为戊类，</w:t>
            </w:r>
            <w:r>
              <w:rPr>
                <w:rFonts w:hint="eastAsia" w:cs="Times New Roman"/>
                <w:snapToGrid w:val="0"/>
                <w:color w:val="auto"/>
                <w:spacing w:val="8"/>
                <w:kern w:val="0"/>
                <w:sz w:val="21"/>
                <w:szCs w:val="21"/>
                <w:lang w:val="en-US" w:eastAsia="zh-CN" w:bidi="ar-SA"/>
              </w:rPr>
              <w:t>建构筑物之间防火间距满足要求，但未提及建构筑物与道路之间的防火间距及消防通道的设置。</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spacing w:val="3"/>
                <w:kern w:val="0"/>
                <w:sz w:val="21"/>
                <w:szCs w:val="21"/>
                <w:lang w:val="en-US" w:eastAsia="zh-CN" w:bidi="ar-SA"/>
              </w:rPr>
            </w:pPr>
            <w:r>
              <w:rPr>
                <w:rFonts w:hint="eastAsia" w:cs="Times New Roman"/>
                <w:snapToGrid w:val="0"/>
                <w:color w:val="auto"/>
                <w:kern w:val="0"/>
                <w:sz w:val="21"/>
                <w:szCs w:val="21"/>
                <w:lang w:val="en-US" w:eastAsia="zh-CN" w:bidi="ar-SA"/>
              </w:rPr>
              <w:t>下一步设计补充</w:t>
            </w:r>
          </w:p>
        </w:tc>
      </w:tr>
    </w:tbl>
    <w:p>
      <w:pPr>
        <w:pStyle w:val="4"/>
        <w:bidi w:val="0"/>
        <w:rPr>
          <w:rFonts w:hint="eastAsia"/>
          <w:color w:val="auto"/>
          <w:lang w:val="en-US" w:eastAsia="zh-CN"/>
        </w:rPr>
      </w:pPr>
      <w:bookmarkStart w:id="250" w:name="_Toc22535"/>
      <w:bookmarkStart w:id="251" w:name="_Toc22992"/>
      <w:bookmarkStart w:id="252" w:name="_Toc23160"/>
      <w:r>
        <w:rPr>
          <w:rFonts w:hint="eastAsia"/>
          <w:color w:val="auto"/>
          <w:lang w:val="en-US" w:eastAsia="zh-CN"/>
        </w:rPr>
        <w:t>5.2.2 建（构）筑物子单元</w:t>
      </w:r>
      <w:bookmarkEnd w:id="250"/>
      <w:bookmarkEnd w:id="251"/>
      <w:bookmarkEnd w:id="252"/>
    </w:p>
    <w:p>
      <w:pPr>
        <w:rPr>
          <w:rFonts w:hint="eastAsia"/>
          <w:color w:val="auto"/>
          <w:lang w:val="en-US" w:eastAsia="zh-CN"/>
        </w:rPr>
      </w:pPr>
      <w:r>
        <w:rPr>
          <w:rFonts w:hint="eastAsia"/>
          <w:color w:val="auto"/>
          <w:lang w:val="en-US" w:eastAsia="zh-CN"/>
        </w:rPr>
        <w:t>依据《选矿安全规程》（GB/T18152-2000）、《有色金属工业总图规划及运输设计标准》（GB50544-2009），使用安全检查表法检查建（构）筑物子单元是否符合相关要求，检查情况见表5-3。</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default" w:ascii="Times New Roman" w:hAnsi="Times New Roman" w:eastAsia="宋体" w:cs="Times New Roman"/>
          <w:color w:val="auto"/>
          <w:lang w:val="en-US" w:eastAsia="zh-CN"/>
        </w:rPr>
        <w:t>表</w:t>
      </w:r>
      <w:r>
        <w:rPr>
          <w:rFonts w:hint="eastAsia" w:ascii="Times New Roman" w:hAnsi="Times New Roman" w:eastAsia="宋体" w:cs="Times New Roman"/>
          <w:color w:val="auto"/>
          <w:lang w:val="en-US" w:eastAsia="zh-CN"/>
        </w:rPr>
        <w:t xml:space="preserve">5-3 </w:t>
      </w:r>
      <w:r>
        <w:rPr>
          <w:rFonts w:hint="default" w:ascii="Times New Roman" w:hAnsi="Times New Roman" w:eastAsia="宋体" w:cs="Times New Roman"/>
          <w:color w:val="auto"/>
          <w:lang w:val="en-US" w:eastAsia="zh-CN"/>
        </w:rPr>
        <w:t>建（构）筑物</w:t>
      </w:r>
      <w:r>
        <w:rPr>
          <w:rFonts w:hint="eastAsia" w:cs="Times New Roman"/>
          <w:color w:val="auto"/>
          <w:lang w:val="en-US" w:eastAsia="zh-CN"/>
        </w:rPr>
        <w:t>子单元</w:t>
      </w:r>
      <w:r>
        <w:rPr>
          <w:rFonts w:hint="default" w:ascii="Times New Roman" w:hAnsi="Times New Roman" w:eastAsia="宋体" w:cs="Times New Roman"/>
          <w:color w:val="auto"/>
          <w:lang w:val="en-US" w:eastAsia="zh-CN"/>
        </w:rPr>
        <w:t>安全检查表</w:t>
      </w:r>
    </w:p>
    <w:tbl>
      <w:tblPr>
        <w:tblStyle w:val="34"/>
        <w:tblW w:w="99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3131"/>
        <w:gridCol w:w="2308"/>
        <w:gridCol w:w="2873"/>
        <w:gridCol w:w="10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567" w:type="dxa"/>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序号</w:t>
            </w:r>
          </w:p>
        </w:tc>
        <w:tc>
          <w:tcPr>
            <w:tcW w:w="313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检查项目和内容</w:t>
            </w:r>
          </w:p>
        </w:tc>
        <w:tc>
          <w:tcPr>
            <w:tcW w:w="230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检查依据</w:t>
            </w:r>
          </w:p>
        </w:tc>
        <w:tc>
          <w:tcPr>
            <w:tcW w:w="287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b/>
                <w:bCs/>
                <w:snapToGrid w:val="0"/>
                <w:color w:val="auto"/>
                <w:kern w:val="0"/>
                <w:sz w:val="21"/>
                <w:szCs w:val="21"/>
                <w:lang w:val="en-US" w:eastAsia="zh-CN" w:bidi="ar-SA"/>
              </w:rPr>
              <w:t>检查情况</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检查结果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8"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313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破碎厂房、主厂房、浓缩池和精矿脱水厂房的布置,应利用自然地形及高差降低矿石和矿浆的提升或压送能耗,宜采用重力自流输送矿石和矿浆。</w:t>
            </w:r>
          </w:p>
        </w:tc>
        <w:tc>
          <w:tcPr>
            <w:tcW w:w="230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《有色金属工业总图规划及运输设计标准》（</w:t>
            </w:r>
            <w:r>
              <w:rPr>
                <w:rFonts w:hint="eastAsia" w:cs="Times New Roman"/>
                <w:snapToGrid w:val="0"/>
                <w:color w:val="auto"/>
                <w:spacing w:val="1"/>
                <w:kern w:val="0"/>
                <w:sz w:val="21"/>
                <w:szCs w:val="21"/>
                <w:lang w:val="en-US" w:eastAsia="zh-CN" w:bidi="ar-SA"/>
              </w:rPr>
              <w:t>GB50544-2009</w:t>
            </w:r>
            <w:r>
              <w:rPr>
                <w:rFonts w:hint="default" w:ascii="Times New Roman" w:hAnsi="Times New Roman" w:eastAsia="宋体" w:cs="Times New Roman"/>
                <w:snapToGrid w:val="0"/>
                <w:color w:val="auto"/>
                <w:spacing w:val="1"/>
                <w:kern w:val="0"/>
                <w:sz w:val="21"/>
                <w:szCs w:val="21"/>
                <w:lang w:val="en-US" w:eastAsia="en-US" w:bidi="ar-SA"/>
              </w:rPr>
              <w:t>）第5.</w:t>
            </w:r>
            <w:r>
              <w:rPr>
                <w:rFonts w:hint="eastAsia" w:cs="Times New Roman"/>
                <w:snapToGrid w:val="0"/>
                <w:color w:val="auto"/>
                <w:spacing w:val="1"/>
                <w:kern w:val="0"/>
                <w:sz w:val="21"/>
                <w:szCs w:val="21"/>
                <w:lang w:val="en-US" w:eastAsia="zh-CN" w:bidi="ar-SA"/>
              </w:rPr>
              <w:t>3.1</w:t>
            </w:r>
            <w:r>
              <w:rPr>
                <w:rFonts w:hint="default" w:ascii="Times New Roman" w:hAnsi="Times New Roman" w:eastAsia="宋体" w:cs="Times New Roman"/>
                <w:snapToGrid w:val="0"/>
                <w:color w:val="auto"/>
                <w:spacing w:val="1"/>
                <w:kern w:val="0"/>
                <w:sz w:val="21"/>
                <w:szCs w:val="21"/>
                <w:lang w:val="en-US" w:eastAsia="en-US" w:bidi="ar-SA"/>
              </w:rPr>
              <w:t>条</w:t>
            </w:r>
          </w:p>
        </w:tc>
        <w:tc>
          <w:tcPr>
            <w:tcW w:w="287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选矿厂区布置在竖井井口工业场地东北侧约250m，高度从+385m～+325m。</w:t>
            </w:r>
            <w:r>
              <w:rPr>
                <w:rFonts w:hint="eastAsia" w:cs="Times New Roman"/>
                <w:snapToGrid w:val="0"/>
                <w:color w:val="auto"/>
                <w:kern w:val="0"/>
                <w:sz w:val="21"/>
                <w:szCs w:val="21"/>
                <w:lang w:val="en-US" w:eastAsia="zh-CN" w:bidi="ar-SA"/>
              </w:rPr>
              <w:t>利用自然地形和高差布置。</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8"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2</w:t>
            </w:r>
          </w:p>
        </w:tc>
        <w:tc>
          <w:tcPr>
            <w:tcW w:w="313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原矿受矿仓、粗碎广房、储矿仓或缓冲矿仓宜临近采矿出矿口布置,并应布置在采矿开采地表塌陷区和错动区界限外及爆破警戒范围外。</w:t>
            </w:r>
          </w:p>
        </w:tc>
        <w:tc>
          <w:tcPr>
            <w:tcW w:w="230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《有色金属工业总图规划及运输设计标准》（</w:t>
            </w:r>
            <w:r>
              <w:rPr>
                <w:rFonts w:hint="eastAsia" w:cs="Times New Roman"/>
                <w:snapToGrid w:val="0"/>
                <w:color w:val="auto"/>
                <w:spacing w:val="1"/>
                <w:kern w:val="0"/>
                <w:sz w:val="21"/>
                <w:szCs w:val="21"/>
                <w:lang w:val="en-US" w:eastAsia="zh-CN" w:bidi="ar-SA"/>
              </w:rPr>
              <w:t>GB50544-2009</w:t>
            </w:r>
            <w:r>
              <w:rPr>
                <w:rFonts w:hint="default" w:ascii="Times New Roman" w:hAnsi="Times New Roman" w:eastAsia="宋体" w:cs="Times New Roman"/>
                <w:snapToGrid w:val="0"/>
                <w:color w:val="auto"/>
                <w:spacing w:val="1"/>
                <w:kern w:val="0"/>
                <w:sz w:val="21"/>
                <w:szCs w:val="21"/>
                <w:lang w:val="en-US" w:eastAsia="en-US" w:bidi="ar-SA"/>
              </w:rPr>
              <w:t>）第5.</w:t>
            </w:r>
            <w:r>
              <w:rPr>
                <w:rFonts w:hint="eastAsia" w:cs="Times New Roman"/>
                <w:snapToGrid w:val="0"/>
                <w:color w:val="auto"/>
                <w:spacing w:val="1"/>
                <w:kern w:val="0"/>
                <w:sz w:val="21"/>
                <w:szCs w:val="21"/>
                <w:lang w:val="en-US" w:eastAsia="zh-CN" w:bidi="ar-SA"/>
              </w:rPr>
              <w:t>3.3</w:t>
            </w:r>
            <w:r>
              <w:rPr>
                <w:rFonts w:hint="default" w:ascii="Times New Roman" w:hAnsi="Times New Roman" w:eastAsia="宋体" w:cs="Times New Roman"/>
                <w:snapToGrid w:val="0"/>
                <w:color w:val="auto"/>
                <w:spacing w:val="1"/>
                <w:kern w:val="0"/>
                <w:sz w:val="21"/>
                <w:szCs w:val="21"/>
                <w:lang w:val="en-US" w:eastAsia="en-US" w:bidi="ar-SA"/>
              </w:rPr>
              <w:t>条</w:t>
            </w:r>
          </w:p>
        </w:tc>
        <w:tc>
          <w:tcPr>
            <w:tcW w:w="287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选矿厂区布置在竖井井口工业场地东北侧约250m，布置在采矿开采地表塌陷区和错动区界限外及爆破警戒范围外。</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8"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3</w:t>
            </w:r>
          </w:p>
        </w:tc>
        <w:tc>
          <w:tcPr>
            <w:tcW w:w="313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粉矿仓应紧邻主厂房布置,输送粉矿的带式输送机宜垂直于地形等高线布置。</w:t>
            </w:r>
          </w:p>
        </w:tc>
        <w:tc>
          <w:tcPr>
            <w:tcW w:w="230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《有色金属工业总图规划及运输设计标准》（</w:t>
            </w:r>
            <w:r>
              <w:rPr>
                <w:rFonts w:hint="eastAsia" w:cs="Times New Roman"/>
                <w:snapToGrid w:val="0"/>
                <w:color w:val="auto"/>
                <w:spacing w:val="1"/>
                <w:kern w:val="0"/>
                <w:sz w:val="21"/>
                <w:szCs w:val="21"/>
                <w:lang w:val="en-US" w:eastAsia="zh-CN" w:bidi="ar-SA"/>
              </w:rPr>
              <w:t>GB50544-2009</w:t>
            </w:r>
            <w:r>
              <w:rPr>
                <w:rFonts w:hint="default" w:ascii="Times New Roman" w:hAnsi="Times New Roman" w:eastAsia="宋体" w:cs="Times New Roman"/>
                <w:snapToGrid w:val="0"/>
                <w:color w:val="auto"/>
                <w:spacing w:val="1"/>
                <w:kern w:val="0"/>
                <w:sz w:val="21"/>
                <w:szCs w:val="21"/>
                <w:lang w:val="en-US" w:eastAsia="en-US" w:bidi="ar-SA"/>
              </w:rPr>
              <w:t>）第5.</w:t>
            </w:r>
            <w:r>
              <w:rPr>
                <w:rFonts w:hint="eastAsia" w:cs="Times New Roman"/>
                <w:snapToGrid w:val="0"/>
                <w:color w:val="auto"/>
                <w:spacing w:val="1"/>
                <w:kern w:val="0"/>
                <w:sz w:val="21"/>
                <w:szCs w:val="21"/>
                <w:lang w:val="en-US" w:eastAsia="zh-CN" w:bidi="ar-SA"/>
              </w:rPr>
              <w:t>3.7</w:t>
            </w:r>
            <w:r>
              <w:rPr>
                <w:rFonts w:hint="default" w:ascii="Times New Roman" w:hAnsi="Times New Roman" w:eastAsia="宋体" w:cs="Times New Roman"/>
                <w:snapToGrid w:val="0"/>
                <w:color w:val="auto"/>
                <w:spacing w:val="1"/>
                <w:kern w:val="0"/>
                <w:sz w:val="21"/>
                <w:szCs w:val="21"/>
                <w:lang w:val="en-US" w:eastAsia="en-US" w:bidi="ar-SA"/>
              </w:rPr>
              <w:t>条</w:t>
            </w:r>
          </w:p>
        </w:tc>
        <w:tc>
          <w:tcPr>
            <w:tcW w:w="287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default" w:cs="Times New Roman"/>
                <w:snapToGrid w:val="0"/>
                <w:color w:val="auto"/>
                <w:spacing w:val="8"/>
                <w:kern w:val="0"/>
                <w:sz w:val="21"/>
                <w:szCs w:val="21"/>
                <w:lang w:val="en-US" w:eastAsia="zh-CN" w:bidi="ar-SA"/>
              </w:rPr>
              <w:t>从《可研报告》附图可知，</w:t>
            </w:r>
            <w:r>
              <w:rPr>
                <w:rFonts w:hint="eastAsia" w:ascii="Times New Roman" w:hAnsi="Times New Roman" w:eastAsia="宋体" w:cs="Times New Roman"/>
                <w:snapToGrid w:val="0"/>
                <w:color w:val="auto"/>
                <w:kern w:val="0"/>
                <w:sz w:val="21"/>
                <w:szCs w:val="21"/>
                <w:lang w:val="en-US" w:eastAsia="zh-CN" w:bidi="ar-SA"/>
              </w:rPr>
              <w:t>粉矿仓紧邻主厂房布置</w:t>
            </w:r>
            <w:r>
              <w:rPr>
                <w:rFonts w:hint="eastAsia" w:cs="Times New Roman"/>
                <w:snapToGrid w:val="0"/>
                <w:color w:val="auto"/>
                <w:kern w:val="0"/>
                <w:sz w:val="21"/>
                <w:szCs w:val="21"/>
                <w:lang w:val="en-US" w:eastAsia="zh-CN" w:bidi="ar-SA"/>
              </w:rPr>
              <w:t>，</w:t>
            </w:r>
            <w:r>
              <w:rPr>
                <w:rFonts w:hint="eastAsia" w:ascii="Times New Roman" w:hAnsi="Times New Roman" w:eastAsia="宋体" w:cs="Times New Roman"/>
                <w:snapToGrid w:val="0"/>
                <w:color w:val="auto"/>
                <w:kern w:val="0"/>
                <w:sz w:val="21"/>
                <w:szCs w:val="21"/>
                <w:lang w:val="en-US" w:eastAsia="zh-CN" w:bidi="ar-SA"/>
              </w:rPr>
              <w:t>带式输送机垂直于地形等高线布置</w:t>
            </w:r>
            <w:r>
              <w:rPr>
                <w:rFonts w:hint="eastAsia" w:cs="Times New Roman"/>
                <w:snapToGrid w:val="0"/>
                <w:color w:val="auto"/>
                <w:kern w:val="0"/>
                <w:sz w:val="21"/>
                <w:szCs w:val="21"/>
                <w:lang w:val="en-US" w:eastAsia="zh-CN" w:bidi="ar-SA"/>
              </w:rPr>
              <w:t>。</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8"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4</w:t>
            </w:r>
          </w:p>
        </w:tc>
        <w:tc>
          <w:tcPr>
            <w:tcW w:w="313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确定建构筑物位置时，应遵守下列规定：</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w:t>
            </w:r>
            <w:r>
              <w:rPr>
                <w:rFonts w:hint="eastAsia" w:ascii="Times New Roman" w:hAnsi="Times New Roman" w:eastAsia="宋体" w:cs="Times New Roman"/>
                <w:snapToGrid w:val="0"/>
                <w:color w:val="auto"/>
                <w:kern w:val="0"/>
                <w:sz w:val="21"/>
                <w:szCs w:val="21"/>
                <w:lang w:val="en-US" w:eastAsia="zh-CN" w:bidi="ar-SA"/>
              </w:rPr>
              <w:t>荷载较大的主要建构筑物（破碎间、磨矿间、精矿仓等），布置在地质条件较好的地段；</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2.</w:t>
            </w:r>
            <w:r>
              <w:rPr>
                <w:rFonts w:hint="eastAsia" w:ascii="Times New Roman" w:hAnsi="Times New Roman" w:eastAsia="宋体" w:cs="Times New Roman"/>
                <w:snapToGrid w:val="0"/>
                <w:color w:val="auto"/>
                <w:kern w:val="0"/>
                <w:sz w:val="21"/>
                <w:szCs w:val="21"/>
                <w:lang w:val="en-US" w:eastAsia="zh-CN" w:bidi="ar-SA"/>
              </w:rPr>
              <w:t>产生烟尘及有毒有害气体的车间，布置在厂区的边缘和不产生有毒有害气体的车间最小风频方向的上风侧。</w:t>
            </w:r>
          </w:p>
        </w:tc>
        <w:tc>
          <w:tcPr>
            <w:tcW w:w="230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eastAsia" w:ascii="Times New Roman" w:hAnsi="Times New Roman" w:eastAsia="宋体" w:cs="Times New Roman"/>
                <w:snapToGrid w:val="0"/>
                <w:color w:val="auto"/>
                <w:spacing w:val="1"/>
                <w:kern w:val="0"/>
                <w:sz w:val="21"/>
                <w:szCs w:val="21"/>
                <w:lang w:val="en-US" w:eastAsia="zh-CN" w:bidi="ar-SA"/>
              </w:rPr>
              <w:t>《选矿安全规程》（</w:t>
            </w:r>
            <w:r>
              <w:rPr>
                <w:rFonts w:hint="eastAsia" w:cs="Times New Roman"/>
                <w:snapToGrid w:val="0"/>
                <w:color w:val="auto"/>
                <w:spacing w:val="1"/>
                <w:kern w:val="0"/>
                <w:sz w:val="21"/>
                <w:szCs w:val="21"/>
                <w:lang w:val="en-US" w:eastAsia="zh-CN" w:bidi="ar-SA"/>
              </w:rPr>
              <w:t>GB/T18152-2000</w:t>
            </w:r>
            <w:r>
              <w:rPr>
                <w:rFonts w:hint="eastAsia" w:ascii="Times New Roman" w:hAnsi="Times New Roman" w:eastAsia="宋体" w:cs="Times New Roman"/>
                <w:snapToGrid w:val="0"/>
                <w:color w:val="auto"/>
                <w:spacing w:val="1"/>
                <w:kern w:val="0"/>
                <w:sz w:val="21"/>
                <w:szCs w:val="21"/>
                <w:lang w:val="en-US" w:eastAsia="zh-CN" w:bidi="ar-SA"/>
              </w:rPr>
              <w:t>）第5.2.1条</w:t>
            </w:r>
          </w:p>
        </w:tc>
        <w:tc>
          <w:tcPr>
            <w:tcW w:w="287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建构筑物位置时，满足上述规定。</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8"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5</w:t>
            </w:r>
          </w:p>
        </w:tc>
        <w:tc>
          <w:tcPr>
            <w:tcW w:w="313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建构筑物之间的防火间距和消防车道的布置，应符合GBJ16的有关规定，存放易燃易爆物品的仓库，应布置在建筑物最小风频方向的上风侧，及经常喷出火花和有明火火源的建筑物的最小风频方向的下风侧。</w:t>
            </w:r>
          </w:p>
        </w:tc>
        <w:tc>
          <w:tcPr>
            <w:tcW w:w="230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eastAsia" w:ascii="Times New Roman" w:hAnsi="Times New Roman" w:eastAsia="宋体" w:cs="Times New Roman"/>
                <w:snapToGrid w:val="0"/>
                <w:color w:val="auto"/>
                <w:spacing w:val="1"/>
                <w:kern w:val="0"/>
                <w:sz w:val="21"/>
                <w:szCs w:val="21"/>
                <w:lang w:val="en-US" w:eastAsia="zh-CN" w:bidi="ar-SA"/>
              </w:rPr>
              <w:t>《选矿安全规程》（</w:t>
            </w:r>
            <w:r>
              <w:rPr>
                <w:rFonts w:hint="eastAsia" w:cs="Times New Roman"/>
                <w:snapToGrid w:val="0"/>
                <w:color w:val="auto"/>
                <w:spacing w:val="1"/>
                <w:kern w:val="0"/>
                <w:sz w:val="21"/>
                <w:szCs w:val="21"/>
                <w:lang w:val="en-US" w:eastAsia="zh-CN" w:bidi="ar-SA"/>
              </w:rPr>
              <w:t>GB/T18152-2000</w:t>
            </w:r>
            <w:r>
              <w:rPr>
                <w:rFonts w:hint="eastAsia" w:ascii="Times New Roman" w:hAnsi="Times New Roman" w:eastAsia="宋体" w:cs="Times New Roman"/>
                <w:snapToGrid w:val="0"/>
                <w:color w:val="auto"/>
                <w:spacing w:val="1"/>
                <w:kern w:val="0"/>
                <w:sz w:val="21"/>
                <w:szCs w:val="21"/>
                <w:lang w:val="en-US" w:eastAsia="zh-CN" w:bidi="ar-SA"/>
              </w:rPr>
              <w:t>）第5.2.2条</w:t>
            </w:r>
          </w:p>
        </w:tc>
        <w:tc>
          <w:tcPr>
            <w:tcW w:w="287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default" w:cs="Times New Roman"/>
                <w:snapToGrid w:val="0"/>
                <w:color w:val="auto"/>
                <w:spacing w:val="8"/>
                <w:kern w:val="0"/>
                <w:sz w:val="21"/>
                <w:szCs w:val="21"/>
                <w:lang w:val="en-US" w:eastAsia="zh-CN" w:bidi="ar-SA"/>
              </w:rPr>
              <w:t>从《可研报告》及其附图</w:t>
            </w:r>
            <w:r>
              <w:rPr>
                <w:rFonts w:hint="eastAsia" w:cs="Times New Roman"/>
                <w:snapToGrid w:val="0"/>
                <w:color w:val="auto"/>
                <w:spacing w:val="8"/>
                <w:kern w:val="0"/>
                <w:sz w:val="21"/>
                <w:szCs w:val="21"/>
                <w:lang w:val="en-US" w:eastAsia="zh-CN" w:bidi="ar-SA"/>
              </w:rPr>
              <w:t>中未提及</w:t>
            </w:r>
            <w:r>
              <w:rPr>
                <w:rFonts w:hint="eastAsia" w:cs="Times New Roman"/>
                <w:snapToGrid w:val="0"/>
                <w:color w:val="auto"/>
                <w:kern w:val="0"/>
                <w:sz w:val="21"/>
                <w:szCs w:val="21"/>
                <w:lang w:val="en-US" w:eastAsia="zh-CN" w:bidi="ar-SA"/>
              </w:rPr>
              <w:t>。</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r>
              <w:rPr>
                <w:rFonts w:hint="eastAsia" w:cs="Times New Roman"/>
                <w:snapToGrid w:val="0"/>
                <w:color w:val="auto"/>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8"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6</w:t>
            </w:r>
          </w:p>
        </w:tc>
        <w:tc>
          <w:tcPr>
            <w:tcW w:w="313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应设置通达厂房、仓库和可燃原料堆场的消防车道（也可利用交通运输道路），其宽度应不小于3.5m。尽头式消防车道，应设回车道或不小于12m×12m的回车场。</w:t>
            </w:r>
          </w:p>
        </w:tc>
        <w:tc>
          <w:tcPr>
            <w:tcW w:w="230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eastAsia" w:ascii="Times New Roman" w:hAnsi="Times New Roman" w:eastAsia="宋体" w:cs="Times New Roman"/>
                <w:snapToGrid w:val="0"/>
                <w:color w:val="auto"/>
                <w:spacing w:val="1"/>
                <w:kern w:val="0"/>
                <w:sz w:val="21"/>
                <w:szCs w:val="21"/>
                <w:lang w:val="en-US" w:eastAsia="zh-CN" w:bidi="ar-SA"/>
              </w:rPr>
              <w:t>《选矿安全规程》（</w:t>
            </w:r>
            <w:r>
              <w:rPr>
                <w:rFonts w:hint="eastAsia" w:cs="Times New Roman"/>
                <w:snapToGrid w:val="0"/>
                <w:color w:val="auto"/>
                <w:spacing w:val="1"/>
                <w:kern w:val="0"/>
                <w:sz w:val="21"/>
                <w:szCs w:val="21"/>
                <w:lang w:val="en-US" w:eastAsia="zh-CN" w:bidi="ar-SA"/>
              </w:rPr>
              <w:t>GB/T18152-2000</w:t>
            </w:r>
            <w:r>
              <w:rPr>
                <w:rFonts w:hint="eastAsia" w:ascii="Times New Roman" w:hAnsi="Times New Roman" w:eastAsia="宋体" w:cs="Times New Roman"/>
                <w:snapToGrid w:val="0"/>
                <w:color w:val="auto"/>
                <w:spacing w:val="1"/>
                <w:kern w:val="0"/>
                <w:sz w:val="21"/>
                <w:szCs w:val="21"/>
                <w:lang w:val="en-US" w:eastAsia="zh-CN" w:bidi="ar-SA"/>
              </w:rPr>
              <w:t>）第5.2.3条</w:t>
            </w:r>
          </w:p>
        </w:tc>
        <w:tc>
          <w:tcPr>
            <w:tcW w:w="287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default" w:cs="Times New Roman"/>
                <w:snapToGrid w:val="0"/>
                <w:color w:val="auto"/>
                <w:spacing w:val="8"/>
                <w:kern w:val="0"/>
                <w:sz w:val="21"/>
                <w:szCs w:val="21"/>
                <w:lang w:val="en-US" w:eastAsia="zh-CN" w:bidi="ar-SA"/>
              </w:rPr>
              <w:t>从《可研报告》及其附图</w:t>
            </w:r>
            <w:r>
              <w:rPr>
                <w:rFonts w:hint="eastAsia" w:cs="Times New Roman"/>
                <w:snapToGrid w:val="0"/>
                <w:color w:val="auto"/>
                <w:spacing w:val="8"/>
                <w:kern w:val="0"/>
                <w:sz w:val="21"/>
                <w:szCs w:val="21"/>
                <w:lang w:val="en-US" w:eastAsia="zh-CN" w:bidi="ar-SA"/>
              </w:rPr>
              <w:t>中未提及</w:t>
            </w:r>
            <w:r>
              <w:rPr>
                <w:rFonts w:hint="eastAsia" w:cs="Times New Roman"/>
                <w:snapToGrid w:val="0"/>
                <w:color w:val="auto"/>
                <w:kern w:val="0"/>
                <w:sz w:val="21"/>
                <w:szCs w:val="21"/>
                <w:lang w:val="en-US" w:eastAsia="zh-CN" w:bidi="ar-SA"/>
              </w:rPr>
              <w:t>。</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r>
              <w:rPr>
                <w:rFonts w:hint="eastAsia" w:cs="Times New Roman"/>
                <w:snapToGrid w:val="0"/>
                <w:color w:val="auto"/>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8"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7</w:t>
            </w:r>
          </w:p>
        </w:tc>
        <w:tc>
          <w:tcPr>
            <w:tcW w:w="313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应避免将建构筑物的一部分布置在河滨或低洼处，而另一部分布置在高处。</w:t>
            </w:r>
          </w:p>
        </w:tc>
        <w:tc>
          <w:tcPr>
            <w:tcW w:w="230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eastAsia" w:ascii="Times New Roman" w:hAnsi="Times New Roman" w:eastAsia="宋体" w:cs="Times New Roman"/>
                <w:snapToGrid w:val="0"/>
                <w:color w:val="auto"/>
                <w:spacing w:val="1"/>
                <w:kern w:val="0"/>
                <w:sz w:val="21"/>
                <w:szCs w:val="21"/>
                <w:lang w:val="en-US" w:eastAsia="zh-CN" w:bidi="ar-SA"/>
              </w:rPr>
              <w:t>《选矿安全规程》（</w:t>
            </w:r>
            <w:r>
              <w:rPr>
                <w:rFonts w:hint="eastAsia" w:cs="Times New Roman"/>
                <w:snapToGrid w:val="0"/>
                <w:color w:val="auto"/>
                <w:spacing w:val="1"/>
                <w:kern w:val="0"/>
                <w:sz w:val="21"/>
                <w:szCs w:val="21"/>
                <w:lang w:val="en-US" w:eastAsia="zh-CN" w:bidi="ar-SA"/>
              </w:rPr>
              <w:t>GB/T18152-2000</w:t>
            </w:r>
            <w:r>
              <w:rPr>
                <w:rFonts w:hint="eastAsia" w:ascii="Times New Roman" w:hAnsi="Times New Roman" w:eastAsia="宋体" w:cs="Times New Roman"/>
                <w:snapToGrid w:val="0"/>
                <w:color w:val="auto"/>
                <w:spacing w:val="1"/>
                <w:kern w:val="0"/>
                <w:sz w:val="21"/>
                <w:szCs w:val="21"/>
                <w:lang w:val="en-US" w:eastAsia="zh-CN" w:bidi="ar-SA"/>
              </w:rPr>
              <w:t>）第5.2.4条</w:t>
            </w:r>
          </w:p>
        </w:tc>
        <w:tc>
          <w:tcPr>
            <w:tcW w:w="287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建构筑物</w:t>
            </w:r>
            <w:r>
              <w:rPr>
                <w:rFonts w:hint="eastAsia" w:cs="Times New Roman"/>
                <w:snapToGrid w:val="0"/>
                <w:color w:val="auto"/>
                <w:kern w:val="0"/>
                <w:sz w:val="21"/>
                <w:szCs w:val="21"/>
                <w:lang w:val="en-US" w:eastAsia="zh-CN" w:bidi="ar-SA"/>
              </w:rPr>
              <w:t>未布置在河滨或低洼处。</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8"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8</w:t>
            </w:r>
          </w:p>
        </w:tc>
        <w:tc>
          <w:tcPr>
            <w:tcW w:w="313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厂内铁路、道路的布置。应符合GB4387、GB146.1、GB146.2、GbJ12和GBJ22的有关规定。</w:t>
            </w:r>
          </w:p>
        </w:tc>
        <w:tc>
          <w:tcPr>
            <w:tcW w:w="230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eastAsia" w:ascii="Times New Roman" w:hAnsi="Times New Roman" w:eastAsia="宋体" w:cs="Times New Roman"/>
                <w:snapToGrid w:val="0"/>
                <w:color w:val="auto"/>
                <w:spacing w:val="1"/>
                <w:kern w:val="0"/>
                <w:sz w:val="21"/>
                <w:szCs w:val="21"/>
                <w:lang w:val="en-US" w:eastAsia="zh-CN" w:bidi="ar-SA"/>
              </w:rPr>
              <w:t>《选矿安全规程》（</w:t>
            </w:r>
            <w:r>
              <w:rPr>
                <w:rFonts w:hint="eastAsia" w:cs="Times New Roman"/>
                <w:snapToGrid w:val="0"/>
                <w:color w:val="auto"/>
                <w:spacing w:val="1"/>
                <w:kern w:val="0"/>
                <w:sz w:val="21"/>
                <w:szCs w:val="21"/>
                <w:lang w:val="en-US" w:eastAsia="zh-CN" w:bidi="ar-SA"/>
              </w:rPr>
              <w:t>GB/T18152-2000</w:t>
            </w:r>
            <w:r>
              <w:rPr>
                <w:rFonts w:hint="eastAsia" w:ascii="Times New Roman" w:hAnsi="Times New Roman" w:eastAsia="宋体" w:cs="Times New Roman"/>
                <w:snapToGrid w:val="0"/>
                <w:color w:val="auto"/>
                <w:spacing w:val="1"/>
                <w:kern w:val="0"/>
                <w:sz w:val="21"/>
                <w:szCs w:val="21"/>
                <w:lang w:val="en-US" w:eastAsia="zh-CN" w:bidi="ar-SA"/>
              </w:rPr>
              <w:t>）第5.2.5条</w:t>
            </w:r>
          </w:p>
        </w:tc>
        <w:tc>
          <w:tcPr>
            <w:tcW w:w="287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选矿工业场地道路采用混凝土路面，路面宽度为6m，路面结构：C25混凝土路面厚25cm，水泥稳定碎石基层厚20cm，天然沙砾垫层15cm，地基夯实。最小转弯半径（内缘）9.0m</w:t>
            </w:r>
            <w:r>
              <w:rPr>
                <w:rFonts w:hint="eastAsia" w:cs="Times New Roman"/>
                <w:snapToGrid w:val="0"/>
                <w:color w:val="auto"/>
                <w:kern w:val="0"/>
                <w:sz w:val="21"/>
                <w:szCs w:val="21"/>
                <w:lang w:val="en-US" w:eastAsia="zh-CN" w:bidi="ar-SA"/>
              </w:rPr>
              <w:t>，符合有关规定。</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8"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9</w:t>
            </w:r>
          </w:p>
        </w:tc>
        <w:tc>
          <w:tcPr>
            <w:tcW w:w="313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采用架空索道运输时，索道不应通过厂区、居民区；索道通过铁路和道路的上方时，应采取安全措施。索道与高压线交叉时，应执行国家有关规定。</w:t>
            </w:r>
          </w:p>
        </w:tc>
        <w:tc>
          <w:tcPr>
            <w:tcW w:w="230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eastAsia" w:ascii="Times New Roman" w:hAnsi="Times New Roman" w:eastAsia="宋体" w:cs="Times New Roman"/>
                <w:snapToGrid w:val="0"/>
                <w:color w:val="auto"/>
                <w:spacing w:val="1"/>
                <w:kern w:val="0"/>
                <w:sz w:val="21"/>
                <w:szCs w:val="21"/>
                <w:lang w:val="en-US" w:eastAsia="zh-CN" w:bidi="ar-SA"/>
              </w:rPr>
              <w:t>《选矿安全规程》（</w:t>
            </w:r>
            <w:r>
              <w:rPr>
                <w:rFonts w:hint="eastAsia" w:cs="Times New Roman"/>
                <w:snapToGrid w:val="0"/>
                <w:color w:val="auto"/>
                <w:spacing w:val="1"/>
                <w:kern w:val="0"/>
                <w:sz w:val="21"/>
                <w:szCs w:val="21"/>
                <w:lang w:val="en-US" w:eastAsia="zh-CN" w:bidi="ar-SA"/>
              </w:rPr>
              <w:t>GB/T18152-2000</w:t>
            </w:r>
            <w:r>
              <w:rPr>
                <w:rFonts w:hint="eastAsia" w:ascii="Times New Roman" w:hAnsi="Times New Roman" w:eastAsia="宋体" w:cs="Times New Roman"/>
                <w:snapToGrid w:val="0"/>
                <w:color w:val="auto"/>
                <w:spacing w:val="1"/>
                <w:kern w:val="0"/>
                <w:sz w:val="21"/>
                <w:szCs w:val="21"/>
                <w:lang w:val="en-US" w:eastAsia="zh-CN" w:bidi="ar-SA"/>
              </w:rPr>
              <w:t>）第5.2.6条</w:t>
            </w:r>
          </w:p>
        </w:tc>
        <w:tc>
          <w:tcPr>
            <w:tcW w:w="287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未采用</w:t>
            </w:r>
            <w:r>
              <w:rPr>
                <w:rFonts w:hint="eastAsia" w:ascii="Times New Roman" w:hAnsi="Times New Roman" w:eastAsia="宋体" w:cs="Times New Roman"/>
                <w:snapToGrid w:val="0"/>
                <w:color w:val="auto"/>
                <w:kern w:val="0"/>
                <w:sz w:val="21"/>
                <w:szCs w:val="21"/>
                <w:lang w:val="en-US" w:eastAsia="zh-CN" w:bidi="ar-SA"/>
              </w:rPr>
              <w:t>架空索道运输</w:t>
            </w:r>
            <w:r>
              <w:rPr>
                <w:rFonts w:hint="eastAsia" w:cs="Times New Roman"/>
                <w:snapToGrid w:val="0"/>
                <w:color w:val="auto"/>
                <w:kern w:val="0"/>
                <w:sz w:val="21"/>
                <w:szCs w:val="21"/>
                <w:lang w:val="en-US" w:eastAsia="zh-CN" w:bidi="ar-SA"/>
              </w:rPr>
              <w:t>。</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8"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10</w:t>
            </w:r>
          </w:p>
        </w:tc>
        <w:tc>
          <w:tcPr>
            <w:tcW w:w="313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浮选药剂库、油脂库到进风井、通风机扩散器的距离，应不小于下列规定：</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贮药、油容积小于10m</w:t>
            </w:r>
            <w:r>
              <w:rPr>
                <w:rFonts w:hint="eastAsia" w:ascii="Times New Roman" w:hAnsi="Times New Roman" w:eastAsia="宋体" w:cs="Times New Roman"/>
                <w:snapToGrid w:val="0"/>
                <w:color w:val="auto"/>
                <w:kern w:val="0"/>
                <w:sz w:val="21"/>
                <w:szCs w:val="21"/>
                <w:vertAlign w:val="superscript"/>
                <w:lang w:val="en-US" w:eastAsia="zh-CN" w:bidi="ar-SA"/>
              </w:rPr>
              <w:t>3</w:t>
            </w:r>
            <w:r>
              <w:rPr>
                <w:rFonts w:hint="eastAsia" w:ascii="Times New Roman" w:hAnsi="Times New Roman" w:eastAsia="宋体" w:cs="Times New Roman"/>
                <w:snapToGrid w:val="0"/>
                <w:color w:val="auto"/>
                <w:kern w:val="0"/>
                <w:sz w:val="21"/>
                <w:szCs w:val="21"/>
                <w:lang w:val="en-US" w:eastAsia="zh-CN" w:bidi="ar-SA"/>
              </w:rPr>
              <w:t>——20m；</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贮药、油容积10～50m</w:t>
            </w:r>
            <w:r>
              <w:rPr>
                <w:rFonts w:hint="eastAsia" w:ascii="Times New Roman" w:hAnsi="Times New Roman" w:eastAsia="宋体" w:cs="Times New Roman"/>
                <w:snapToGrid w:val="0"/>
                <w:color w:val="auto"/>
                <w:kern w:val="0"/>
                <w:sz w:val="21"/>
                <w:szCs w:val="21"/>
                <w:vertAlign w:val="superscript"/>
                <w:lang w:val="en-US" w:eastAsia="zh-CN" w:bidi="ar-SA"/>
              </w:rPr>
              <w:t>3</w:t>
            </w:r>
            <w:r>
              <w:rPr>
                <w:rFonts w:hint="eastAsia" w:ascii="Times New Roman" w:hAnsi="Times New Roman" w:eastAsia="宋体" w:cs="Times New Roman"/>
                <w:snapToGrid w:val="0"/>
                <w:color w:val="auto"/>
                <w:kern w:val="0"/>
                <w:sz w:val="21"/>
                <w:szCs w:val="21"/>
                <w:lang w:val="en-US" w:eastAsia="zh-CN" w:bidi="ar-SA"/>
              </w:rPr>
              <w:t>——30m；</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贮药、油容积50～100m</w:t>
            </w:r>
            <w:r>
              <w:rPr>
                <w:rFonts w:hint="eastAsia" w:ascii="Times New Roman" w:hAnsi="Times New Roman" w:eastAsia="宋体" w:cs="Times New Roman"/>
                <w:snapToGrid w:val="0"/>
                <w:color w:val="auto"/>
                <w:kern w:val="0"/>
                <w:sz w:val="21"/>
                <w:szCs w:val="21"/>
                <w:vertAlign w:val="superscript"/>
                <w:lang w:val="en-US" w:eastAsia="zh-CN" w:bidi="ar-SA"/>
              </w:rPr>
              <w:t>3</w:t>
            </w:r>
            <w:r>
              <w:rPr>
                <w:rFonts w:hint="eastAsia" w:ascii="Times New Roman" w:hAnsi="Times New Roman" w:eastAsia="宋体" w:cs="Times New Roman"/>
                <w:snapToGrid w:val="0"/>
                <w:color w:val="auto"/>
                <w:kern w:val="0"/>
                <w:sz w:val="21"/>
                <w:szCs w:val="21"/>
                <w:lang w:val="en-US" w:eastAsia="zh-CN" w:bidi="ar-SA"/>
              </w:rPr>
              <w:t>——50m；</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贮药、油容积大于100m</w:t>
            </w:r>
            <w:r>
              <w:rPr>
                <w:rFonts w:hint="eastAsia" w:ascii="Times New Roman" w:hAnsi="Times New Roman" w:eastAsia="宋体" w:cs="Times New Roman"/>
                <w:snapToGrid w:val="0"/>
                <w:color w:val="auto"/>
                <w:kern w:val="0"/>
                <w:sz w:val="21"/>
                <w:szCs w:val="21"/>
                <w:vertAlign w:val="superscript"/>
                <w:lang w:val="en-US" w:eastAsia="zh-CN" w:bidi="ar-SA"/>
              </w:rPr>
              <w:t>3</w:t>
            </w:r>
            <w:r>
              <w:rPr>
                <w:rFonts w:hint="eastAsia" w:ascii="Times New Roman" w:hAnsi="Times New Roman" w:eastAsia="宋体" w:cs="Times New Roman"/>
                <w:snapToGrid w:val="0"/>
                <w:color w:val="auto"/>
                <w:kern w:val="0"/>
                <w:sz w:val="21"/>
                <w:szCs w:val="21"/>
                <w:lang w:val="en-US" w:eastAsia="zh-CN" w:bidi="ar-SA"/>
              </w:rPr>
              <w:t>——80m。</w:t>
            </w:r>
          </w:p>
        </w:tc>
        <w:tc>
          <w:tcPr>
            <w:tcW w:w="230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eastAsia" w:ascii="Times New Roman" w:hAnsi="Times New Roman" w:eastAsia="宋体" w:cs="Times New Roman"/>
                <w:snapToGrid w:val="0"/>
                <w:color w:val="auto"/>
                <w:spacing w:val="1"/>
                <w:kern w:val="0"/>
                <w:sz w:val="21"/>
                <w:szCs w:val="21"/>
                <w:lang w:val="en-US" w:eastAsia="zh-CN" w:bidi="ar-SA"/>
              </w:rPr>
              <w:t>《选矿安全规程》（</w:t>
            </w:r>
            <w:r>
              <w:rPr>
                <w:rFonts w:hint="eastAsia" w:cs="Times New Roman"/>
                <w:snapToGrid w:val="0"/>
                <w:color w:val="auto"/>
                <w:spacing w:val="1"/>
                <w:kern w:val="0"/>
                <w:sz w:val="21"/>
                <w:szCs w:val="21"/>
                <w:lang w:val="en-US" w:eastAsia="zh-CN" w:bidi="ar-SA"/>
              </w:rPr>
              <w:t>GB/T18152-2000</w:t>
            </w:r>
            <w:r>
              <w:rPr>
                <w:rFonts w:hint="eastAsia" w:ascii="Times New Roman" w:hAnsi="Times New Roman" w:eastAsia="宋体" w:cs="Times New Roman"/>
                <w:snapToGrid w:val="0"/>
                <w:color w:val="auto"/>
                <w:spacing w:val="1"/>
                <w:kern w:val="0"/>
                <w:sz w:val="21"/>
                <w:szCs w:val="21"/>
                <w:lang w:val="en-US" w:eastAsia="zh-CN" w:bidi="ar-SA"/>
              </w:rPr>
              <w:t>）第5.2.7条</w:t>
            </w:r>
          </w:p>
        </w:tc>
        <w:tc>
          <w:tcPr>
            <w:tcW w:w="287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cs="Times New Roman"/>
                <w:snapToGrid w:val="0"/>
                <w:color w:val="auto"/>
                <w:kern w:val="0"/>
                <w:sz w:val="21"/>
                <w:szCs w:val="21"/>
                <w:lang w:val="en-US" w:eastAsia="zh-CN" w:bidi="ar-SA"/>
              </w:rPr>
            </w:pPr>
            <w:r>
              <w:rPr>
                <w:rFonts w:hint="default" w:cs="Times New Roman"/>
                <w:snapToGrid w:val="0"/>
                <w:color w:val="auto"/>
                <w:spacing w:val="8"/>
                <w:kern w:val="0"/>
                <w:sz w:val="21"/>
                <w:szCs w:val="21"/>
                <w:lang w:val="en-US" w:eastAsia="zh-CN" w:bidi="ar-SA"/>
              </w:rPr>
              <w:t>从《可研报告》及其附图</w:t>
            </w:r>
            <w:r>
              <w:rPr>
                <w:rFonts w:hint="eastAsia" w:cs="Times New Roman"/>
                <w:snapToGrid w:val="0"/>
                <w:color w:val="auto"/>
                <w:spacing w:val="8"/>
                <w:kern w:val="0"/>
                <w:sz w:val="21"/>
                <w:szCs w:val="21"/>
                <w:lang w:val="en-US" w:eastAsia="zh-CN" w:bidi="ar-SA"/>
              </w:rPr>
              <w:t>中未看出</w:t>
            </w:r>
            <w:r>
              <w:rPr>
                <w:rFonts w:hint="default"/>
                <w:color w:val="auto"/>
                <w:sz w:val="21"/>
                <w:szCs w:val="21"/>
                <w:lang w:val="en-US" w:eastAsia="zh-CN"/>
              </w:rPr>
              <w:t>药</w:t>
            </w:r>
            <w:r>
              <w:rPr>
                <w:rFonts w:hint="default" w:ascii="Times New Roman" w:hAnsi="Times New Roman" w:eastAsia="宋体" w:cs="Times New Roman"/>
                <w:snapToGrid w:val="0"/>
                <w:color w:val="auto"/>
                <w:kern w:val="0"/>
                <w:sz w:val="21"/>
                <w:szCs w:val="21"/>
                <w:lang w:val="en-US" w:eastAsia="zh-CN" w:bidi="ar-SA"/>
              </w:rPr>
              <w:t>剂仓库</w:t>
            </w:r>
            <w:r>
              <w:rPr>
                <w:rFonts w:hint="eastAsia" w:ascii="Times New Roman" w:hAnsi="Times New Roman" w:eastAsia="宋体" w:cs="Times New Roman"/>
                <w:snapToGrid w:val="0"/>
                <w:color w:val="auto"/>
                <w:kern w:val="0"/>
                <w:sz w:val="21"/>
                <w:szCs w:val="21"/>
                <w:lang w:val="en-US" w:eastAsia="zh-CN" w:bidi="ar-SA"/>
              </w:rPr>
              <w:t>到进风井、通风机扩散器的距离</w:t>
            </w:r>
            <w:r>
              <w:rPr>
                <w:rFonts w:hint="eastAsia" w:cs="Times New Roman"/>
                <w:snapToGrid w:val="0"/>
                <w:color w:val="auto"/>
                <w:kern w:val="0"/>
                <w:sz w:val="21"/>
                <w:szCs w:val="21"/>
                <w:lang w:val="en-US" w:eastAsia="zh-CN" w:bidi="ar-SA"/>
              </w:rPr>
              <w:t>。</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eastAsia" w:cs="Times New Roman"/>
                <w:snapToGrid w:val="0"/>
                <w:color w:val="auto"/>
                <w:kern w:val="0"/>
                <w:sz w:val="21"/>
                <w:szCs w:val="21"/>
                <w:lang w:val="en-US" w:eastAsia="zh-CN" w:bidi="ar-SA"/>
              </w:rPr>
              <w:t>下一步设计补充</w:t>
            </w:r>
          </w:p>
        </w:tc>
      </w:tr>
    </w:tbl>
    <w:p>
      <w:pPr>
        <w:pStyle w:val="4"/>
        <w:bidi w:val="0"/>
        <w:rPr>
          <w:rFonts w:hint="default"/>
          <w:color w:val="auto"/>
          <w:lang w:val="en-US" w:eastAsia="zh-CN"/>
        </w:rPr>
      </w:pPr>
      <w:bookmarkStart w:id="253" w:name="_Toc30026"/>
      <w:bookmarkStart w:id="254" w:name="_Toc25423"/>
      <w:bookmarkStart w:id="255" w:name="_Toc10630"/>
      <w:r>
        <w:rPr>
          <w:rFonts w:hint="default"/>
          <w:color w:val="auto"/>
          <w:lang w:val="en-US" w:eastAsia="zh-CN"/>
        </w:rPr>
        <w:t>5.2.</w:t>
      </w:r>
      <w:r>
        <w:rPr>
          <w:rFonts w:hint="eastAsia"/>
          <w:color w:val="auto"/>
          <w:lang w:val="en-US" w:eastAsia="zh-CN"/>
        </w:rPr>
        <w:t>3</w:t>
      </w:r>
      <w:r>
        <w:rPr>
          <w:rFonts w:hint="default"/>
          <w:color w:val="auto"/>
          <w:lang w:val="en-US" w:eastAsia="zh-CN"/>
        </w:rPr>
        <w:t xml:space="preserve"> 单元评价小结</w:t>
      </w:r>
      <w:bookmarkEnd w:id="253"/>
      <w:bookmarkEnd w:id="254"/>
      <w:bookmarkEnd w:id="255"/>
    </w:p>
    <w:p>
      <w:pPr>
        <w:rPr>
          <w:rFonts w:hint="eastAsia"/>
          <w:color w:val="auto"/>
          <w:lang w:val="en-US" w:eastAsia="zh-CN"/>
        </w:rPr>
      </w:pPr>
      <w:r>
        <w:rPr>
          <w:rFonts w:hint="eastAsia"/>
          <w:color w:val="auto"/>
          <w:lang w:val="en-US" w:eastAsia="zh-CN"/>
        </w:rPr>
        <w:t>通过对总图布</w:t>
      </w:r>
      <w:r>
        <w:rPr>
          <w:rFonts w:hint="eastAsia" w:ascii="Times New Roman" w:hAnsi="Times New Roman" w:cs="Times New Roman"/>
          <w:color w:val="auto"/>
          <w:lang w:val="en-US" w:eastAsia="zh-CN"/>
        </w:rPr>
        <w:t>置进行了18项检查，1</w:t>
      </w:r>
      <w:r>
        <w:rPr>
          <w:rFonts w:hint="eastAsia" w:cs="Times New Roman"/>
          <w:color w:val="auto"/>
          <w:lang w:val="en-US" w:eastAsia="zh-CN"/>
        </w:rPr>
        <w:t>3</w:t>
      </w:r>
      <w:r>
        <w:rPr>
          <w:rFonts w:hint="eastAsia" w:ascii="Times New Roman" w:hAnsi="Times New Roman" w:cs="Times New Roman"/>
          <w:color w:val="auto"/>
          <w:lang w:val="en-US" w:eastAsia="zh-CN"/>
        </w:rPr>
        <w:t>项满足要求，</w:t>
      </w:r>
      <w:r>
        <w:rPr>
          <w:rFonts w:hint="eastAsia" w:cs="Times New Roman"/>
          <w:color w:val="auto"/>
          <w:lang w:val="en-US" w:eastAsia="zh-CN"/>
        </w:rPr>
        <w:t>5</w:t>
      </w:r>
      <w:r>
        <w:rPr>
          <w:rFonts w:hint="eastAsia" w:ascii="Times New Roman" w:hAnsi="Times New Roman" w:cs="Times New Roman"/>
          <w:color w:val="auto"/>
          <w:lang w:val="en-US" w:eastAsia="zh-CN"/>
        </w:rPr>
        <w:t>项需下一步设计补充，下一步设计</w:t>
      </w:r>
      <w:r>
        <w:rPr>
          <w:rFonts w:hint="eastAsia"/>
          <w:color w:val="auto"/>
          <w:lang w:val="en-US" w:eastAsia="zh-CN"/>
        </w:rPr>
        <w:t>需补充建构筑物之间、建构筑物与道路之间的防火间距；消防通道的布置和药剂仓库到进风井、通风机扩散器的距离进行补充说明，并在附图上体现出来。</w:t>
      </w:r>
    </w:p>
    <w:p>
      <w:pPr>
        <w:rPr>
          <w:rFonts w:hint="default"/>
          <w:color w:val="auto"/>
          <w:lang w:val="en-US" w:eastAsia="zh-CN"/>
        </w:rPr>
      </w:pPr>
      <w:r>
        <w:rPr>
          <w:rFonts w:hint="eastAsia"/>
          <w:color w:val="auto"/>
          <w:lang w:val="en-US" w:eastAsia="zh-CN"/>
        </w:rPr>
        <w:t>于都小东坑矿业有限公司选矿厂工程建设项目总平面布置符合总体规划的基础，依山势而建，充分利用了地形，结合了当地气象条件，建筑物有良好的朝向、采光和自然通风条件，对除尘、防噪等安全与职业卫生做了防范措施，上述存在的问题，在初步设计和安全设施设计中应予补充完善。</w:t>
      </w:r>
    </w:p>
    <w:p>
      <w:pPr>
        <w:pStyle w:val="3"/>
        <w:bidi w:val="0"/>
        <w:rPr>
          <w:rFonts w:hint="eastAsia"/>
          <w:color w:val="auto"/>
          <w:lang w:val="en-US" w:eastAsia="zh-CN"/>
        </w:rPr>
      </w:pPr>
      <w:bookmarkStart w:id="256" w:name="_Toc13988"/>
      <w:bookmarkStart w:id="257" w:name="_Toc25558"/>
      <w:r>
        <w:rPr>
          <w:rFonts w:hint="eastAsia"/>
          <w:color w:val="auto"/>
          <w:lang w:val="en-US" w:eastAsia="zh-CN"/>
        </w:rPr>
        <w:t>5.3 生产工艺及设备设施单元</w:t>
      </w:r>
      <w:bookmarkEnd w:id="256"/>
      <w:bookmarkEnd w:id="257"/>
    </w:p>
    <w:p>
      <w:pPr>
        <w:pStyle w:val="4"/>
        <w:bidi w:val="0"/>
        <w:rPr>
          <w:rFonts w:hint="eastAsia"/>
          <w:color w:val="auto"/>
          <w:lang w:val="en-US" w:eastAsia="zh-CN"/>
        </w:rPr>
      </w:pPr>
      <w:bookmarkStart w:id="258" w:name="_Toc9466"/>
      <w:bookmarkStart w:id="259" w:name="_Toc20647"/>
      <w:bookmarkStart w:id="260" w:name="_Toc29030"/>
      <w:r>
        <w:rPr>
          <w:rFonts w:hint="eastAsia"/>
          <w:color w:val="auto"/>
          <w:lang w:val="en-US" w:eastAsia="zh-CN"/>
        </w:rPr>
        <w:t xml:space="preserve">5.3.1 </w:t>
      </w:r>
      <w:bookmarkEnd w:id="258"/>
      <w:r>
        <w:rPr>
          <w:rFonts w:hint="eastAsia"/>
          <w:color w:val="auto"/>
          <w:lang w:val="en-US" w:eastAsia="zh-CN"/>
        </w:rPr>
        <w:t>预先危险分析评价</w:t>
      </w:r>
      <w:bookmarkEnd w:id="259"/>
      <w:bookmarkEnd w:id="260"/>
    </w:p>
    <w:p>
      <w:pPr>
        <w:rPr>
          <w:rFonts w:hint="eastAsia"/>
          <w:color w:val="auto"/>
          <w:lang w:val="en-US" w:eastAsia="zh-CN"/>
        </w:rPr>
      </w:pPr>
      <w:r>
        <w:rPr>
          <w:rFonts w:hint="eastAsia"/>
          <w:color w:val="auto"/>
          <w:lang w:val="en-US" w:eastAsia="zh-CN"/>
        </w:rPr>
        <w:t>于都小东坑矿业有限公司选矿厂选矿工艺流程，按碎矿，磨矿，浮、重、磁选联合，脱水等工艺顺序布置。采用预先危险分析法（PHA）对本工艺流程进行评价，分析结果见表5-4。</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表5-</w:t>
      </w:r>
      <w:r>
        <w:rPr>
          <w:rFonts w:hint="eastAsia" w:cs="Times New Roman"/>
          <w:color w:val="auto"/>
          <w:lang w:val="en-US" w:eastAsia="zh-CN"/>
        </w:rPr>
        <w:t>4</w:t>
      </w:r>
      <w:r>
        <w:rPr>
          <w:rFonts w:hint="eastAsia" w:ascii="Times New Roman" w:hAnsi="Times New Roman" w:eastAsia="宋体" w:cs="Times New Roman"/>
          <w:color w:val="auto"/>
          <w:lang w:val="en-US" w:eastAsia="zh-CN"/>
        </w:rPr>
        <w:t xml:space="preserve"> 工艺流程单元预先危险分析表（PHA）</w:t>
      </w:r>
    </w:p>
    <w:tbl>
      <w:tblPr>
        <w:tblStyle w:val="34"/>
        <w:tblW w:w="512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77"/>
        <w:gridCol w:w="881"/>
        <w:gridCol w:w="3422"/>
        <w:gridCol w:w="553"/>
        <w:gridCol w:w="580"/>
        <w:gridCol w:w="31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1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kern w:val="0"/>
                <w:sz w:val="21"/>
                <w:szCs w:val="21"/>
                <w:lang w:val="en-US" w:eastAsia="zh-CN" w:bidi="ar-SA"/>
              </w:rPr>
            </w:pPr>
            <w:r>
              <w:rPr>
                <w:rFonts w:hint="eastAsia" w:ascii="Times New Roman" w:hAnsi="Times New Roman" w:eastAsia="宋体" w:cs="Times New Roman"/>
                <w:b/>
                <w:bCs/>
                <w:snapToGrid w:val="0"/>
                <w:color w:val="auto"/>
                <w:kern w:val="0"/>
                <w:sz w:val="21"/>
                <w:szCs w:val="21"/>
                <w:lang w:val="en-US" w:eastAsia="zh-CN"/>
              </w:rPr>
              <w:t>事故</w:t>
            </w:r>
          </w:p>
        </w:tc>
        <w:tc>
          <w:tcPr>
            <w:tcW w:w="473" w:type="pct"/>
            <w:tcBorders>
              <w:right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b/>
                <w:bCs/>
                <w:snapToGrid w:val="0"/>
                <w:color w:val="auto"/>
                <w:kern w:val="0"/>
                <w:sz w:val="21"/>
                <w:szCs w:val="21"/>
                <w:lang w:val="en-US" w:eastAsia="zh-CN" w:bidi="ar-SA"/>
              </w:rPr>
            </w:pPr>
            <w:r>
              <w:rPr>
                <w:rFonts w:hint="eastAsia" w:ascii="Times New Roman" w:hAnsi="Times New Roman" w:eastAsia="宋体" w:cs="Times New Roman"/>
                <w:b/>
                <w:bCs/>
                <w:snapToGrid w:val="0"/>
                <w:color w:val="auto"/>
                <w:kern w:val="0"/>
                <w:sz w:val="21"/>
                <w:szCs w:val="21"/>
                <w:lang w:val="en-US" w:eastAsia="zh-CN" w:bidi="ar-SA"/>
              </w:rPr>
              <w:t>危险部位</w:t>
            </w:r>
          </w:p>
        </w:tc>
        <w:tc>
          <w:tcPr>
            <w:tcW w:w="1836" w:type="pct"/>
            <w:tcBorders>
              <w:left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b/>
                <w:bCs/>
                <w:snapToGrid w:val="0"/>
                <w:color w:val="auto"/>
                <w:kern w:val="0"/>
                <w:sz w:val="21"/>
                <w:szCs w:val="21"/>
                <w:lang w:val="en-US" w:eastAsia="zh-CN" w:bidi="ar-SA"/>
              </w:rPr>
            </w:pPr>
            <w:r>
              <w:rPr>
                <w:rFonts w:hint="eastAsia" w:ascii="Times New Roman" w:hAnsi="Times New Roman" w:eastAsia="宋体" w:cs="Times New Roman"/>
                <w:b/>
                <w:bCs/>
                <w:snapToGrid w:val="0"/>
                <w:color w:val="auto"/>
                <w:kern w:val="0"/>
                <w:sz w:val="21"/>
                <w:szCs w:val="21"/>
                <w:lang w:val="en-US" w:eastAsia="zh-CN" w:bidi="ar-SA"/>
              </w:rPr>
              <w:t>诱导因素</w:t>
            </w:r>
          </w:p>
        </w:tc>
        <w:tc>
          <w:tcPr>
            <w:tcW w:w="29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b/>
                <w:bCs/>
                <w:snapToGrid w:val="0"/>
                <w:color w:val="auto"/>
                <w:kern w:val="0"/>
                <w:sz w:val="21"/>
                <w:szCs w:val="21"/>
                <w:lang w:val="en-US" w:eastAsia="zh-CN" w:bidi="ar-SA"/>
              </w:rPr>
            </w:pPr>
            <w:r>
              <w:rPr>
                <w:rFonts w:hint="eastAsia" w:ascii="Times New Roman" w:hAnsi="Times New Roman" w:eastAsia="宋体" w:cs="Times New Roman"/>
                <w:b/>
                <w:bCs/>
                <w:snapToGrid w:val="0"/>
                <w:color w:val="auto"/>
                <w:kern w:val="0"/>
                <w:sz w:val="21"/>
                <w:szCs w:val="21"/>
                <w:lang w:val="en-US" w:eastAsia="zh-CN" w:bidi="ar-SA"/>
              </w:rPr>
              <w:t>事故后果</w:t>
            </w:r>
          </w:p>
        </w:tc>
        <w:tc>
          <w:tcPr>
            <w:tcW w:w="31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b/>
                <w:bCs/>
                <w:snapToGrid w:val="0"/>
                <w:color w:val="auto"/>
                <w:kern w:val="0"/>
                <w:sz w:val="21"/>
                <w:szCs w:val="21"/>
                <w:lang w:val="en-US" w:eastAsia="zh-CN" w:bidi="ar-SA"/>
              </w:rPr>
            </w:pPr>
            <w:r>
              <w:rPr>
                <w:rFonts w:hint="eastAsia" w:ascii="Times New Roman" w:hAnsi="Times New Roman" w:eastAsia="宋体" w:cs="Times New Roman"/>
                <w:b/>
                <w:bCs/>
                <w:snapToGrid w:val="0"/>
                <w:color w:val="auto"/>
                <w:kern w:val="0"/>
                <w:sz w:val="21"/>
                <w:szCs w:val="21"/>
                <w:lang w:val="en-US" w:eastAsia="zh-CN" w:bidi="ar-SA"/>
              </w:rPr>
              <w:t>危险等级</w:t>
            </w:r>
          </w:p>
        </w:tc>
        <w:tc>
          <w:tcPr>
            <w:tcW w:w="166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b/>
                <w:bCs/>
                <w:snapToGrid w:val="0"/>
                <w:color w:val="auto"/>
                <w:kern w:val="0"/>
                <w:sz w:val="21"/>
                <w:szCs w:val="21"/>
                <w:lang w:val="en-US" w:eastAsia="zh-CN" w:bidi="ar-SA"/>
              </w:rPr>
            </w:pPr>
            <w:r>
              <w:rPr>
                <w:rFonts w:hint="eastAsia" w:ascii="Times New Roman" w:hAnsi="Times New Roman" w:eastAsia="宋体" w:cs="Times New Roman"/>
                <w:b/>
                <w:bCs/>
                <w:snapToGrid w:val="0"/>
                <w:color w:val="auto"/>
                <w:kern w:val="0"/>
                <w:sz w:val="21"/>
                <w:szCs w:val="21"/>
                <w:lang w:val="en-US" w:eastAsia="zh-CN" w:bidi="ar-SA"/>
              </w:rPr>
              <w:t>措施建议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8" w:hRule="atLeast"/>
          <w:jc w:val="center"/>
        </w:trPr>
        <w:tc>
          <w:tcPr>
            <w:tcW w:w="41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position w:val="4"/>
                <w:sz w:val="21"/>
                <w:szCs w:val="21"/>
                <w:lang w:val="en-US" w:eastAsia="en-US" w:bidi="ar-SA"/>
              </w:rPr>
              <w:t>机械</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伤害</w:t>
            </w:r>
          </w:p>
        </w:tc>
        <w:tc>
          <w:tcPr>
            <w:tcW w:w="473" w:type="pct"/>
            <w:tcBorders>
              <w:right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z w:val="21"/>
                <w:szCs w:val="21"/>
              </w:rPr>
              <w:t>选、维修等环节使用多种机械（如破碎机、皮带输送等）</w:t>
            </w:r>
          </w:p>
        </w:tc>
        <w:tc>
          <w:tcPr>
            <w:tcW w:w="1836" w:type="pct"/>
            <w:tcBorders>
              <w:left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0"/>
                <w:kern w:val="0"/>
                <w:sz w:val="21"/>
                <w:szCs w:val="21"/>
                <w:lang w:val="en-US" w:eastAsia="en-US" w:bidi="ar-SA"/>
              </w:rPr>
              <w:t>1.转动部位没有防护或者</w:t>
            </w:r>
            <w:r>
              <w:rPr>
                <w:rFonts w:hint="default" w:ascii="Times New Roman" w:hAnsi="Times New Roman" w:eastAsia="宋体" w:cs="Times New Roman"/>
                <w:snapToGrid w:val="0"/>
                <w:color w:val="auto"/>
                <w:spacing w:val="4"/>
                <w:kern w:val="0"/>
                <w:sz w:val="21"/>
                <w:szCs w:val="21"/>
                <w:lang w:val="en-US" w:eastAsia="en-US" w:bidi="ar-SA"/>
              </w:rPr>
              <w:t>防护不到位；</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center"/>
              <w:textAlignment w:val="baseline"/>
              <w:rPr>
                <w:rFonts w:hint="default" w:ascii="Times New Roman" w:hAnsi="Times New Roman" w:eastAsia="宋体" w:cs="Times New Roman"/>
                <w:snapToGrid w:val="0"/>
                <w:color w:val="auto"/>
                <w:spacing w:val="4"/>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2.检修时站位不当，或者检</w:t>
            </w:r>
            <w:r>
              <w:rPr>
                <w:rFonts w:hint="default" w:ascii="Times New Roman" w:hAnsi="Times New Roman" w:eastAsia="宋体" w:cs="Times New Roman"/>
                <w:snapToGrid w:val="0"/>
                <w:color w:val="auto"/>
                <w:spacing w:val="4"/>
                <w:kern w:val="0"/>
                <w:sz w:val="21"/>
                <w:szCs w:val="21"/>
                <w:lang w:val="en-US" w:eastAsia="en-US" w:bidi="ar-SA"/>
              </w:rPr>
              <w:t>修时误操作设备突然启动；</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1"/>
                <w:kern w:val="0"/>
                <w:sz w:val="21"/>
                <w:szCs w:val="21"/>
                <w:lang w:val="en-US" w:eastAsia="en-US" w:bidi="ar-SA"/>
              </w:rPr>
              <w:t>3.设备运行时手或者身体</w:t>
            </w:r>
            <w:r>
              <w:rPr>
                <w:rFonts w:hint="default" w:ascii="Times New Roman" w:hAnsi="Times New Roman" w:eastAsia="宋体" w:cs="Times New Roman"/>
                <w:snapToGrid w:val="0"/>
                <w:color w:val="auto"/>
                <w:spacing w:val="8"/>
                <w:kern w:val="0"/>
                <w:sz w:val="21"/>
                <w:szCs w:val="21"/>
                <w:lang w:val="en-US" w:eastAsia="en-US" w:bidi="ar-SA"/>
              </w:rPr>
              <w:t>其他部位接触</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4.作业人员存在心理异常，</w:t>
            </w:r>
            <w:r>
              <w:rPr>
                <w:rFonts w:hint="default" w:ascii="Times New Roman" w:hAnsi="Times New Roman" w:eastAsia="宋体" w:cs="Times New Roman"/>
                <w:snapToGrid w:val="0"/>
                <w:color w:val="auto"/>
                <w:spacing w:val="3"/>
                <w:kern w:val="0"/>
                <w:sz w:val="21"/>
                <w:szCs w:val="21"/>
                <w:lang w:val="en-US" w:eastAsia="en-US" w:bidi="ar-SA"/>
              </w:rPr>
              <w:t>如情绪紧张、冒险心理以及</w:t>
            </w:r>
            <w:r>
              <w:rPr>
                <w:rFonts w:hint="default" w:ascii="Times New Roman" w:hAnsi="Times New Roman" w:eastAsia="宋体" w:cs="Times New Roman"/>
                <w:snapToGrid w:val="0"/>
                <w:color w:val="auto"/>
                <w:spacing w:val="6"/>
                <w:kern w:val="0"/>
                <w:sz w:val="21"/>
                <w:szCs w:val="21"/>
                <w:lang w:val="en-US" w:eastAsia="en-US" w:bidi="ar-SA"/>
              </w:rPr>
              <w:t>辨识功能缺陷；</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5.机械设备存在隐患，未进行相关检查；起重用吊具、</w:t>
            </w:r>
            <w:r>
              <w:rPr>
                <w:rFonts w:hint="default" w:ascii="Times New Roman" w:hAnsi="Times New Roman" w:eastAsia="宋体" w:cs="Times New Roman"/>
                <w:snapToGrid w:val="0"/>
                <w:color w:val="auto"/>
                <w:spacing w:val="3"/>
                <w:kern w:val="0"/>
                <w:sz w:val="21"/>
                <w:szCs w:val="21"/>
                <w:lang w:val="en-US" w:eastAsia="en-US" w:bidi="ar-SA"/>
              </w:rPr>
              <w:t>索具存在变形、裂纹、磨损</w:t>
            </w:r>
            <w:r>
              <w:rPr>
                <w:rFonts w:hint="default" w:ascii="Times New Roman" w:hAnsi="Times New Roman" w:eastAsia="宋体" w:cs="Times New Roman"/>
                <w:snapToGrid w:val="0"/>
                <w:color w:val="auto"/>
                <w:spacing w:val="4"/>
                <w:kern w:val="0"/>
                <w:sz w:val="21"/>
                <w:szCs w:val="21"/>
                <w:lang w:val="en-US" w:eastAsia="en-US" w:bidi="ar-SA"/>
              </w:rPr>
              <w:t>等缺陷；</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center"/>
              <w:textAlignment w:val="baseline"/>
              <w:rPr>
                <w:rFonts w:hint="default" w:ascii="Times New Roman" w:hAnsi="Times New Roman" w:eastAsia="宋体" w:cs="Times New Roman"/>
                <w:snapToGrid w:val="0"/>
                <w:color w:val="auto"/>
                <w:spacing w:val="4"/>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6.机械运动部位防护不当，</w:t>
            </w:r>
            <w:r>
              <w:rPr>
                <w:rFonts w:hint="default" w:ascii="Times New Roman" w:hAnsi="Times New Roman" w:eastAsia="宋体" w:cs="Times New Roman"/>
                <w:snapToGrid w:val="0"/>
                <w:color w:val="auto"/>
                <w:spacing w:val="4"/>
                <w:kern w:val="0"/>
                <w:sz w:val="21"/>
                <w:szCs w:val="21"/>
                <w:lang w:val="en-US" w:eastAsia="en-US" w:bidi="ar-SA"/>
              </w:rPr>
              <w:t>人体靠得太近、没有防护；</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7.设备检修时没有停车，带</w:t>
            </w:r>
            <w:r>
              <w:rPr>
                <w:rFonts w:hint="default" w:ascii="Times New Roman" w:hAnsi="Times New Roman" w:eastAsia="宋体" w:cs="Times New Roman"/>
                <w:snapToGrid w:val="0"/>
                <w:color w:val="auto"/>
                <w:spacing w:val="3"/>
                <w:kern w:val="0"/>
                <w:sz w:val="21"/>
                <w:szCs w:val="21"/>
                <w:lang w:val="en-US" w:eastAsia="en-US" w:bidi="ar-SA"/>
              </w:rPr>
              <w:t>险作业；检修时没有有效监</w:t>
            </w:r>
            <w:r>
              <w:rPr>
                <w:rFonts w:hint="default" w:ascii="Times New Roman" w:hAnsi="Times New Roman" w:eastAsia="宋体" w:cs="Times New Roman"/>
                <w:snapToGrid w:val="0"/>
                <w:color w:val="auto"/>
                <w:spacing w:val="7"/>
                <w:kern w:val="0"/>
                <w:sz w:val="21"/>
                <w:szCs w:val="21"/>
                <w:lang w:val="en-US" w:eastAsia="en-US" w:bidi="ar-SA"/>
              </w:rPr>
              <w:t>护，设备突然启动；</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1"/>
                <w:kern w:val="0"/>
                <w:sz w:val="21"/>
                <w:szCs w:val="21"/>
                <w:lang w:val="en-US" w:eastAsia="en-US" w:bidi="ar-SA"/>
              </w:rPr>
              <w:t>8.相关机械设备的操作规</w:t>
            </w:r>
            <w:r>
              <w:rPr>
                <w:rFonts w:hint="default" w:ascii="Times New Roman" w:hAnsi="Times New Roman" w:eastAsia="宋体" w:cs="Times New Roman"/>
                <w:snapToGrid w:val="0"/>
                <w:color w:val="auto"/>
                <w:spacing w:val="8"/>
                <w:kern w:val="0"/>
                <w:sz w:val="21"/>
                <w:szCs w:val="21"/>
                <w:lang w:val="en-US" w:eastAsia="en-US" w:bidi="ar-SA"/>
              </w:rPr>
              <w:t>程及管理制度不完善。</w:t>
            </w:r>
          </w:p>
        </w:tc>
        <w:tc>
          <w:tcPr>
            <w:tcW w:w="29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position w:val="4"/>
                <w:sz w:val="21"/>
                <w:szCs w:val="21"/>
                <w:lang w:val="en-US" w:eastAsia="en-US" w:bidi="ar-SA"/>
              </w:rPr>
              <w:t>人员</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伤亡</w:t>
            </w:r>
          </w:p>
        </w:tc>
        <w:tc>
          <w:tcPr>
            <w:tcW w:w="311" w:type="pct"/>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Ⅱ</w:t>
            </w:r>
          </w:p>
        </w:tc>
        <w:tc>
          <w:tcPr>
            <w:tcW w:w="166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1"/>
                <w:kern w:val="0"/>
                <w:sz w:val="21"/>
                <w:szCs w:val="21"/>
                <w:lang w:val="en-US" w:eastAsia="en-US" w:bidi="ar-SA"/>
              </w:rPr>
              <w:t>1.加强设备防护和作业人员</w:t>
            </w:r>
            <w:r>
              <w:rPr>
                <w:rFonts w:hint="default" w:ascii="Times New Roman" w:hAnsi="Times New Roman" w:eastAsia="宋体" w:cs="Times New Roman"/>
                <w:snapToGrid w:val="0"/>
                <w:color w:val="auto"/>
                <w:spacing w:val="5"/>
                <w:kern w:val="0"/>
                <w:sz w:val="21"/>
                <w:szCs w:val="21"/>
                <w:lang w:val="en-US" w:eastAsia="en-US" w:bidi="ar-SA"/>
              </w:rPr>
              <w:t>个体防护；</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2"/>
                <w:kern w:val="0"/>
                <w:sz w:val="21"/>
                <w:szCs w:val="21"/>
                <w:lang w:val="en-US" w:eastAsia="en-US" w:bidi="ar-SA"/>
              </w:rPr>
              <w:t>2.操作人员持证上岗，加强</w:t>
            </w:r>
            <w:r>
              <w:rPr>
                <w:rFonts w:hint="default" w:ascii="Times New Roman" w:hAnsi="Times New Roman" w:eastAsia="宋体" w:cs="Times New Roman"/>
                <w:snapToGrid w:val="0"/>
                <w:color w:val="auto"/>
                <w:spacing w:val="6"/>
                <w:kern w:val="0"/>
                <w:sz w:val="21"/>
                <w:szCs w:val="21"/>
                <w:lang w:val="en-US" w:eastAsia="en-US" w:bidi="ar-SA"/>
              </w:rPr>
              <w:t>安全教育培训；</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2"/>
                <w:kern w:val="0"/>
                <w:sz w:val="21"/>
                <w:szCs w:val="21"/>
                <w:lang w:val="en-US" w:eastAsia="en-US" w:bidi="ar-SA"/>
              </w:rPr>
              <w:t>3.危险部位做好警示，作业</w:t>
            </w:r>
            <w:r>
              <w:rPr>
                <w:rFonts w:hint="default" w:ascii="Times New Roman" w:hAnsi="Times New Roman" w:eastAsia="宋体" w:cs="Times New Roman"/>
                <w:snapToGrid w:val="0"/>
                <w:color w:val="auto"/>
                <w:spacing w:val="7"/>
                <w:kern w:val="0"/>
                <w:sz w:val="21"/>
                <w:szCs w:val="21"/>
                <w:lang w:val="en-US" w:eastAsia="en-US" w:bidi="ar-SA"/>
              </w:rPr>
              <w:t>人员保持注意力集中。</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6"/>
                <w:kern w:val="0"/>
                <w:sz w:val="21"/>
                <w:szCs w:val="21"/>
                <w:lang w:val="en-US" w:eastAsia="en-US" w:bidi="ar-SA"/>
              </w:rPr>
              <w:t>4.应加强对作业人员的选</w:t>
            </w:r>
            <w:r>
              <w:rPr>
                <w:rFonts w:hint="default" w:ascii="Times New Roman" w:hAnsi="Times New Roman" w:eastAsia="宋体" w:cs="Times New Roman"/>
                <w:snapToGrid w:val="0"/>
                <w:color w:val="auto"/>
                <w:spacing w:val="9"/>
                <w:kern w:val="0"/>
                <w:sz w:val="21"/>
                <w:szCs w:val="21"/>
                <w:lang w:val="en-US" w:eastAsia="en-US" w:bidi="ar-SA"/>
              </w:rPr>
              <w:t>择，存在负荷超限、心理异</w:t>
            </w:r>
            <w:r>
              <w:rPr>
                <w:rFonts w:hint="default" w:ascii="Times New Roman" w:hAnsi="Times New Roman" w:eastAsia="宋体" w:cs="Times New Roman"/>
                <w:snapToGrid w:val="0"/>
                <w:color w:val="auto"/>
                <w:spacing w:val="7"/>
                <w:kern w:val="0"/>
                <w:sz w:val="21"/>
                <w:szCs w:val="21"/>
                <w:lang w:val="en-US" w:eastAsia="en-US" w:bidi="ar-SA"/>
              </w:rPr>
              <w:t>常人员不得参与作业。</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2"/>
                <w:kern w:val="0"/>
                <w:sz w:val="21"/>
                <w:szCs w:val="21"/>
                <w:lang w:val="en-US" w:eastAsia="en-US" w:bidi="ar-SA"/>
              </w:rPr>
              <w:t>5.各种机械设备应定期进行</w:t>
            </w:r>
            <w:r>
              <w:rPr>
                <w:rFonts w:hint="default" w:ascii="Times New Roman" w:hAnsi="Times New Roman" w:eastAsia="宋体" w:cs="Times New Roman"/>
                <w:snapToGrid w:val="0"/>
                <w:color w:val="auto"/>
                <w:spacing w:val="9"/>
                <w:kern w:val="0"/>
                <w:sz w:val="21"/>
                <w:szCs w:val="21"/>
                <w:lang w:val="en-US" w:eastAsia="en-US" w:bidi="ar-SA"/>
              </w:rPr>
              <w:t>检查，发现问题及时解决，机械设备在使用时严格遵守操作规程操作，尽量减少误</w:t>
            </w:r>
            <w:r>
              <w:rPr>
                <w:rFonts w:hint="default" w:ascii="Times New Roman" w:hAnsi="Times New Roman" w:eastAsia="宋体" w:cs="Times New Roman"/>
                <w:snapToGrid w:val="0"/>
                <w:color w:val="auto"/>
                <w:spacing w:val="28"/>
                <w:kern w:val="0"/>
                <w:sz w:val="21"/>
                <w:szCs w:val="21"/>
                <w:lang w:val="en-US" w:eastAsia="en-US" w:bidi="ar-SA"/>
              </w:rPr>
              <w:t>操作以防止机械伤害的发</w:t>
            </w:r>
            <w:r>
              <w:rPr>
                <w:rFonts w:hint="default" w:ascii="Times New Roman" w:hAnsi="Times New Roman" w:eastAsia="宋体" w:cs="Times New Roman"/>
                <w:snapToGrid w:val="0"/>
                <w:color w:val="auto"/>
                <w:kern w:val="0"/>
                <w:sz w:val="21"/>
                <w:szCs w:val="21"/>
                <w:lang w:val="en-US" w:eastAsia="en-US" w:bidi="ar-SA"/>
              </w:rPr>
              <w:t>生。</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2"/>
                <w:kern w:val="0"/>
                <w:sz w:val="21"/>
                <w:szCs w:val="21"/>
                <w:lang w:val="en-US" w:eastAsia="en-US" w:bidi="ar-SA"/>
              </w:rPr>
              <w:t>6.各种机械设备的安全防护</w:t>
            </w:r>
            <w:r>
              <w:rPr>
                <w:rFonts w:hint="default" w:ascii="Times New Roman" w:hAnsi="Times New Roman" w:eastAsia="宋体" w:cs="Times New Roman"/>
                <w:snapToGrid w:val="0"/>
                <w:color w:val="auto"/>
                <w:spacing w:val="8"/>
                <w:kern w:val="0"/>
                <w:sz w:val="21"/>
                <w:szCs w:val="21"/>
                <w:lang w:val="en-US" w:eastAsia="en-US" w:bidi="ar-SA"/>
              </w:rPr>
              <w:t>装置应做到灵敏有效。</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2"/>
                <w:kern w:val="0"/>
                <w:sz w:val="21"/>
                <w:szCs w:val="21"/>
                <w:lang w:val="en-US" w:eastAsia="en-US" w:bidi="ar-SA"/>
              </w:rPr>
              <w:t>7.检查设备及紧急停车开关</w:t>
            </w:r>
            <w:r>
              <w:rPr>
                <w:rFonts w:hint="default" w:ascii="Times New Roman" w:hAnsi="Times New Roman" w:eastAsia="宋体" w:cs="Times New Roman"/>
                <w:snapToGrid w:val="0"/>
                <w:color w:val="auto"/>
                <w:spacing w:val="9"/>
                <w:kern w:val="0"/>
                <w:sz w:val="21"/>
                <w:szCs w:val="21"/>
                <w:lang w:val="en-US" w:eastAsia="en-US" w:bidi="ar-SA"/>
              </w:rPr>
              <w:t>时必须停车，切断电源，必</w:t>
            </w:r>
            <w:r>
              <w:rPr>
                <w:rFonts w:hint="default" w:ascii="Times New Roman" w:hAnsi="Times New Roman" w:eastAsia="宋体" w:cs="Times New Roman"/>
                <w:snapToGrid w:val="0"/>
                <w:color w:val="auto"/>
                <w:spacing w:val="6"/>
                <w:kern w:val="0"/>
                <w:sz w:val="21"/>
                <w:szCs w:val="21"/>
                <w:lang w:val="en-US" w:eastAsia="en-US" w:bidi="ar-SA"/>
              </w:rPr>
              <w:t>须有人监护等。</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1"/>
                <w:kern w:val="0"/>
                <w:sz w:val="21"/>
                <w:szCs w:val="21"/>
                <w:lang w:val="en-US" w:eastAsia="en-US" w:bidi="ar-SA"/>
              </w:rPr>
              <w:t>8.制订完善的设备运行和维</w:t>
            </w:r>
            <w:r>
              <w:rPr>
                <w:rFonts w:hint="default" w:ascii="Times New Roman" w:hAnsi="Times New Roman" w:eastAsia="宋体" w:cs="Times New Roman"/>
                <w:snapToGrid w:val="0"/>
                <w:color w:val="auto"/>
                <w:spacing w:val="-3"/>
                <w:kern w:val="0"/>
                <w:sz w:val="21"/>
                <w:szCs w:val="21"/>
                <w:lang w:val="en-US" w:eastAsia="en-US" w:bidi="ar-SA"/>
              </w:rPr>
              <w:t>修安全操作规程，严格执行，</w:t>
            </w:r>
            <w:r>
              <w:rPr>
                <w:rFonts w:hint="default" w:ascii="Times New Roman" w:hAnsi="Times New Roman" w:eastAsia="宋体" w:cs="Times New Roman"/>
                <w:snapToGrid w:val="0"/>
                <w:color w:val="auto"/>
                <w:spacing w:val="9"/>
                <w:kern w:val="0"/>
                <w:sz w:val="21"/>
                <w:szCs w:val="21"/>
                <w:lang w:val="en-US" w:eastAsia="en-US" w:bidi="ar-SA"/>
              </w:rPr>
              <w:t>使用设备人员应参加相应的培训，正确穿戴劳动防护用</w:t>
            </w:r>
            <w:r>
              <w:rPr>
                <w:rFonts w:hint="default" w:ascii="Times New Roman" w:hAnsi="Times New Roman" w:eastAsia="宋体" w:cs="Times New Roman"/>
                <w:snapToGrid w:val="0"/>
                <w:color w:val="auto"/>
                <w:kern w:val="0"/>
                <w:sz w:val="21"/>
                <w:szCs w:val="21"/>
                <w:lang w:val="en-US" w:eastAsia="en-US" w:bidi="ar-SA"/>
              </w:rPr>
              <w:t>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5" w:hRule="atLeast"/>
          <w:jc w:val="center"/>
        </w:trPr>
        <w:tc>
          <w:tcPr>
            <w:tcW w:w="41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火灾</w:t>
            </w:r>
          </w:p>
        </w:tc>
        <w:tc>
          <w:tcPr>
            <w:tcW w:w="473" w:type="pct"/>
            <w:tcBorders>
              <w:right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动火作</w:t>
            </w:r>
            <w:r>
              <w:rPr>
                <w:rFonts w:hint="default" w:ascii="Times New Roman" w:hAnsi="Times New Roman" w:eastAsia="宋体" w:cs="Times New Roman"/>
                <w:snapToGrid w:val="0"/>
                <w:color w:val="auto"/>
                <w:spacing w:val="-7"/>
                <w:kern w:val="0"/>
                <w:sz w:val="21"/>
                <w:szCs w:val="21"/>
                <w:lang w:val="en-US" w:eastAsia="en-US" w:bidi="ar-SA"/>
              </w:rPr>
              <w:t>业、电</w:t>
            </w:r>
            <w:r>
              <w:rPr>
                <w:rFonts w:hint="default" w:ascii="Times New Roman" w:hAnsi="Times New Roman" w:eastAsia="宋体" w:cs="Times New Roman"/>
                <w:snapToGrid w:val="0"/>
                <w:color w:val="auto"/>
                <w:spacing w:val="7"/>
                <w:kern w:val="0"/>
                <w:sz w:val="21"/>
                <w:szCs w:val="21"/>
                <w:lang w:val="en-US" w:eastAsia="en-US" w:bidi="ar-SA"/>
              </w:rPr>
              <w:t>缆或用电设备</w:t>
            </w:r>
          </w:p>
        </w:tc>
        <w:tc>
          <w:tcPr>
            <w:tcW w:w="1836" w:type="pct"/>
            <w:tcBorders>
              <w:left w:val="single" w:color="000000" w:sz="2" w:space="0"/>
            </w:tcBorders>
            <w:vAlign w:val="center"/>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0" w:line="320" w:lineRule="exact"/>
              <w:ind w:leftChars="0" w:right="0" w:rightChars="0"/>
              <w:jc w:val="both"/>
              <w:textAlignment w:val="baseline"/>
              <w:rPr>
                <w:rFonts w:hint="default" w:ascii="Times New Roman" w:hAnsi="Times New Roman" w:eastAsia="宋体" w:cs="Times New Roman"/>
                <w:snapToGrid w:val="0"/>
                <w:color w:val="auto"/>
                <w:spacing w:val="6"/>
                <w:kern w:val="0"/>
                <w:sz w:val="21"/>
                <w:szCs w:val="21"/>
                <w:lang w:val="en-US" w:eastAsia="en-US" w:bidi="ar-SA"/>
              </w:rPr>
            </w:pPr>
            <w:r>
              <w:rPr>
                <w:rFonts w:hint="eastAsia" w:ascii="Times New Roman" w:hAnsi="Times New Roman" w:eastAsia="宋体" w:cs="Times New Roman"/>
                <w:snapToGrid w:val="0"/>
                <w:color w:val="auto"/>
                <w:spacing w:val="17"/>
                <w:kern w:val="0"/>
                <w:sz w:val="21"/>
                <w:szCs w:val="21"/>
                <w:lang w:val="en-US" w:eastAsia="zh-CN" w:bidi="ar-SA"/>
              </w:rPr>
              <w:t>1.</w:t>
            </w:r>
            <w:r>
              <w:rPr>
                <w:rFonts w:hint="default" w:ascii="Times New Roman" w:hAnsi="Times New Roman" w:eastAsia="宋体" w:cs="Times New Roman"/>
                <w:snapToGrid w:val="0"/>
                <w:color w:val="auto"/>
                <w:spacing w:val="17"/>
                <w:kern w:val="0"/>
                <w:sz w:val="21"/>
                <w:szCs w:val="21"/>
                <w:lang w:val="en-US" w:eastAsia="en-US" w:bidi="ar-SA"/>
              </w:rPr>
              <w:t>电焊作业区与可燃物距</w:t>
            </w:r>
            <w:r>
              <w:rPr>
                <w:rFonts w:hint="default" w:ascii="Times New Roman" w:hAnsi="Times New Roman" w:eastAsia="宋体" w:cs="Times New Roman"/>
                <w:snapToGrid w:val="0"/>
                <w:color w:val="auto"/>
                <w:spacing w:val="6"/>
                <w:kern w:val="0"/>
                <w:sz w:val="21"/>
                <w:szCs w:val="21"/>
                <w:lang w:val="en-US" w:eastAsia="en-US" w:bidi="ar-SA"/>
              </w:rPr>
              <w:t>离近，火花四溅导致火灾。</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0" w:line="320" w:lineRule="exact"/>
              <w:ind w:leftChars="0" w:right="0" w:right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spacing w:val="7"/>
                <w:kern w:val="0"/>
                <w:sz w:val="21"/>
                <w:szCs w:val="21"/>
                <w:lang w:val="en-US" w:eastAsia="zh-CN" w:bidi="ar-SA"/>
              </w:rPr>
              <w:t>2.</w:t>
            </w:r>
            <w:r>
              <w:rPr>
                <w:rFonts w:hint="default" w:ascii="Times New Roman" w:hAnsi="Times New Roman" w:eastAsia="宋体" w:cs="Times New Roman"/>
                <w:snapToGrid w:val="0"/>
                <w:color w:val="auto"/>
                <w:spacing w:val="7"/>
                <w:kern w:val="0"/>
                <w:sz w:val="21"/>
                <w:szCs w:val="21"/>
                <w:lang w:val="en-US" w:eastAsia="en-US" w:bidi="ar-SA"/>
              </w:rPr>
              <w:t>控制、动力、高压等电缆</w:t>
            </w:r>
            <w:r>
              <w:rPr>
                <w:rFonts w:hint="default" w:ascii="Times New Roman" w:hAnsi="Times New Roman" w:eastAsia="宋体" w:cs="Times New Roman"/>
                <w:snapToGrid w:val="0"/>
                <w:color w:val="auto"/>
                <w:spacing w:val="8"/>
                <w:kern w:val="0"/>
                <w:sz w:val="21"/>
                <w:szCs w:val="21"/>
                <w:lang w:val="en-US" w:eastAsia="en-US" w:bidi="ar-SA"/>
              </w:rPr>
              <w:t>未采用阻燃电缆。</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3.用电设备或电缆老化，造</w:t>
            </w:r>
            <w:r>
              <w:rPr>
                <w:rFonts w:hint="default" w:ascii="Times New Roman" w:hAnsi="Times New Roman" w:eastAsia="宋体" w:cs="Times New Roman"/>
                <w:snapToGrid w:val="0"/>
                <w:color w:val="auto"/>
                <w:spacing w:val="6"/>
                <w:kern w:val="0"/>
                <w:sz w:val="21"/>
                <w:szCs w:val="21"/>
                <w:lang w:val="en-US" w:eastAsia="en-US" w:bidi="ar-SA"/>
              </w:rPr>
              <w:t>成击穿短路。</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2"/>
                <w:kern w:val="0"/>
                <w:sz w:val="21"/>
                <w:szCs w:val="21"/>
                <w:lang w:val="en-US" w:eastAsia="en-US" w:bidi="ar-SA"/>
              </w:rPr>
              <w:t>4.动力电缆中间接头盒的</w:t>
            </w:r>
            <w:r>
              <w:rPr>
                <w:rFonts w:hint="default" w:ascii="Times New Roman" w:hAnsi="Times New Roman" w:eastAsia="宋体" w:cs="Times New Roman"/>
                <w:snapToGrid w:val="0"/>
                <w:color w:val="auto"/>
                <w:spacing w:val="3"/>
                <w:kern w:val="0"/>
                <w:sz w:val="21"/>
                <w:szCs w:val="21"/>
                <w:lang w:val="en-US" w:eastAsia="en-US" w:bidi="ar-SA"/>
              </w:rPr>
              <w:t>两侧及其邻近区段，未设防</w:t>
            </w:r>
            <w:r>
              <w:rPr>
                <w:rFonts w:hint="default" w:ascii="Times New Roman" w:hAnsi="Times New Roman" w:eastAsia="宋体" w:cs="Times New Roman"/>
                <w:snapToGrid w:val="0"/>
                <w:color w:val="auto"/>
                <w:spacing w:val="4"/>
                <w:kern w:val="0"/>
                <w:sz w:val="21"/>
                <w:szCs w:val="21"/>
                <w:lang w:val="en-US" w:eastAsia="en-US" w:bidi="ar-SA"/>
              </w:rPr>
              <w:t>火措施。</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1"/>
                <w:kern w:val="0"/>
                <w:sz w:val="21"/>
                <w:szCs w:val="21"/>
                <w:lang w:val="en-US" w:eastAsia="en-US" w:bidi="ar-SA"/>
              </w:rPr>
              <w:t>5.未设消防设施或者消防</w:t>
            </w:r>
            <w:r>
              <w:rPr>
                <w:rFonts w:hint="default" w:ascii="Times New Roman" w:hAnsi="Times New Roman" w:eastAsia="宋体" w:cs="Times New Roman"/>
                <w:snapToGrid w:val="0"/>
                <w:color w:val="auto"/>
                <w:spacing w:val="3"/>
                <w:kern w:val="0"/>
                <w:sz w:val="21"/>
                <w:szCs w:val="21"/>
                <w:lang w:val="en-US" w:eastAsia="en-US" w:bidi="ar-SA"/>
              </w:rPr>
              <w:t>设施失效，发生火灾后不能</w:t>
            </w:r>
            <w:r>
              <w:rPr>
                <w:rFonts w:hint="default" w:ascii="Times New Roman" w:hAnsi="Times New Roman" w:eastAsia="宋体" w:cs="Times New Roman"/>
                <w:snapToGrid w:val="0"/>
                <w:color w:val="auto"/>
                <w:spacing w:val="7"/>
                <w:kern w:val="0"/>
                <w:sz w:val="21"/>
                <w:szCs w:val="21"/>
                <w:lang w:val="en-US" w:eastAsia="en-US" w:bidi="ar-SA"/>
              </w:rPr>
              <w:t>及时控制火灾。</w:t>
            </w:r>
          </w:p>
        </w:tc>
        <w:tc>
          <w:tcPr>
            <w:tcW w:w="29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position w:val="4"/>
                <w:sz w:val="21"/>
                <w:szCs w:val="21"/>
                <w:lang w:val="en-US" w:eastAsia="en-US" w:bidi="ar-SA"/>
              </w:rPr>
              <w:t>人员</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伤亡</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position w:val="1"/>
                <w:sz w:val="21"/>
                <w:szCs w:val="21"/>
                <w:lang w:val="en-US" w:eastAsia="en-US" w:bidi="ar-SA"/>
              </w:rPr>
              <w:t>、</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position w:val="4"/>
                <w:sz w:val="21"/>
                <w:szCs w:val="21"/>
                <w:lang w:val="en-US" w:eastAsia="en-US" w:bidi="ar-SA"/>
              </w:rPr>
              <w:t>财产</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损失</w:t>
            </w:r>
          </w:p>
        </w:tc>
        <w:tc>
          <w:tcPr>
            <w:tcW w:w="311" w:type="pct"/>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Ⅱ</w:t>
            </w:r>
          </w:p>
        </w:tc>
        <w:tc>
          <w:tcPr>
            <w:tcW w:w="166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spacing w:val="12"/>
                <w:kern w:val="0"/>
                <w:sz w:val="21"/>
                <w:szCs w:val="21"/>
                <w:lang w:val="en-US" w:eastAsia="zh-CN" w:bidi="ar-SA"/>
              </w:rPr>
              <w:t>1</w:t>
            </w:r>
            <w:r>
              <w:rPr>
                <w:rFonts w:hint="default" w:ascii="Times New Roman" w:hAnsi="Times New Roman" w:eastAsia="宋体" w:cs="Times New Roman"/>
                <w:snapToGrid w:val="0"/>
                <w:color w:val="auto"/>
                <w:spacing w:val="12"/>
                <w:kern w:val="0"/>
                <w:sz w:val="21"/>
                <w:szCs w:val="21"/>
                <w:lang w:val="en-US" w:eastAsia="en-US" w:bidi="ar-SA"/>
              </w:rPr>
              <w:t>.控制、动力、高压电缆采</w:t>
            </w:r>
            <w:r>
              <w:rPr>
                <w:rFonts w:hint="default" w:ascii="Times New Roman" w:hAnsi="Times New Roman" w:eastAsia="宋体" w:cs="Times New Roman"/>
                <w:snapToGrid w:val="0"/>
                <w:color w:val="auto"/>
                <w:spacing w:val="6"/>
                <w:kern w:val="0"/>
                <w:sz w:val="21"/>
                <w:szCs w:val="21"/>
                <w:lang w:val="en-US" w:eastAsia="en-US" w:bidi="ar-SA"/>
              </w:rPr>
              <w:t>用阻燃电缆。</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leftChars="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spacing w:val="12"/>
                <w:kern w:val="0"/>
                <w:sz w:val="21"/>
                <w:szCs w:val="21"/>
                <w:lang w:val="en-US" w:eastAsia="zh-CN" w:bidi="ar-SA"/>
              </w:rPr>
              <w:t>2</w:t>
            </w:r>
            <w:r>
              <w:rPr>
                <w:rFonts w:hint="default" w:ascii="Times New Roman" w:hAnsi="Times New Roman" w:eastAsia="宋体" w:cs="Times New Roman"/>
                <w:snapToGrid w:val="0"/>
                <w:color w:val="auto"/>
                <w:spacing w:val="12"/>
                <w:kern w:val="0"/>
                <w:sz w:val="21"/>
                <w:szCs w:val="21"/>
                <w:lang w:val="en-US" w:eastAsia="en-US" w:bidi="ar-SA"/>
              </w:rPr>
              <w:t>.加强用电设备或电缆的检</w:t>
            </w:r>
            <w:r>
              <w:rPr>
                <w:rFonts w:hint="default" w:ascii="Times New Roman" w:hAnsi="Times New Roman" w:eastAsia="宋体" w:cs="Times New Roman"/>
                <w:snapToGrid w:val="0"/>
                <w:color w:val="auto"/>
                <w:spacing w:val="7"/>
                <w:kern w:val="0"/>
                <w:sz w:val="21"/>
                <w:szCs w:val="21"/>
                <w:lang w:val="en-US" w:eastAsia="en-US" w:bidi="ar-SA"/>
              </w:rPr>
              <w:t>查和定期测试工作。</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spacing w:val="12"/>
                <w:kern w:val="0"/>
                <w:sz w:val="21"/>
                <w:szCs w:val="21"/>
                <w:lang w:val="en-US" w:eastAsia="zh-CN" w:bidi="ar-SA"/>
              </w:rPr>
              <w:t>3</w:t>
            </w:r>
            <w:r>
              <w:rPr>
                <w:rFonts w:hint="default" w:ascii="Times New Roman" w:hAnsi="Times New Roman" w:eastAsia="宋体" w:cs="Times New Roman"/>
                <w:snapToGrid w:val="0"/>
                <w:color w:val="auto"/>
                <w:spacing w:val="12"/>
                <w:kern w:val="0"/>
                <w:sz w:val="21"/>
                <w:szCs w:val="21"/>
                <w:lang w:val="en-US" w:eastAsia="en-US" w:bidi="ar-SA"/>
              </w:rPr>
              <w:t>.动力电缆中间接头盒的两</w:t>
            </w:r>
            <w:r>
              <w:rPr>
                <w:rFonts w:hint="default" w:ascii="Times New Roman" w:hAnsi="Times New Roman" w:eastAsia="宋体" w:cs="Times New Roman"/>
                <w:snapToGrid w:val="0"/>
                <w:color w:val="auto"/>
                <w:spacing w:val="9"/>
                <w:kern w:val="0"/>
                <w:sz w:val="21"/>
                <w:szCs w:val="21"/>
                <w:lang w:val="en-US" w:eastAsia="en-US" w:bidi="ar-SA"/>
              </w:rPr>
              <w:t>侧及其邻近区段，宜增加防</w:t>
            </w:r>
            <w:r>
              <w:rPr>
                <w:rFonts w:hint="default" w:ascii="Times New Roman" w:hAnsi="Times New Roman" w:eastAsia="宋体" w:cs="Times New Roman"/>
                <w:snapToGrid w:val="0"/>
                <w:color w:val="auto"/>
                <w:spacing w:val="7"/>
                <w:kern w:val="0"/>
                <w:sz w:val="21"/>
                <w:szCs w:val="21"/>
                <w:lang w:val="en-US" w:eastAsia="en-US" w:bidi="ar-SA"/>
              </w:rPr>
              <w:t>火包带等措施。</w:t>
            </w:r>
          </w:p>
          <w:p>
            <w:pPr>
              <w:keepNext w:val="0"/>
              <w:keepLines w:val="0"/>
              <w:pageBreakBefore w:val="0"/>
              <w:widowControl/>
              <w:kinsoku w:val="0"/>
              <w:wordWrap/>
              <w:overflowPunct/>
              <w:topLinePunct w:val="0"/>
              <w:autoSpaceDE w:val="0"/>
              <w:autoSpaceDN w:val="0"/>
              <w:bidi w:val="0"/>
              <w:adjustRightInd w:val="0"/>
              <w:snapToGrid w:val="0"/>
              <w:spacing w:before="0" w:line="32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spacing w:val="10"/>
                <w:kern w:val="0"/>
                <w:sz w:val="21"/>
                <w:szCs w:val="21"/>
                <w:lang w:val="en-US" w:eastAsia="zh-CN" w:bidi="ar-SA"/>
              </w:rPr>
              <w:t>4</w:t>
            </w:r>
            <w:r>
              <w:rPr>
                <w:rFonts w:hint="default" w:ascii="Times New Roman" w:hAnsi="Times New Roman" w:eastAsia="宋体" w:cs="Times New Roman"/>
                <w:snapToGrid w:val="0"/>
                <w:color w:val="auto"/>
                <w:spacing w:val="10"/>
                <w:kern w:val="0"/>
                <w:sz w:val="21"/>
                <w:szCs w:val="21"/>
                <w:lang w:val="en-US" w:eastAsia="en-US" w:bidi="ar-SA"/>
              </w:rPr>
              <w:t>.易发生火灾的地方，放置</w:t>
            </w:r>
            <w:r>
              <w:rPr>
                <w:rFonts w:hint="default" w:ascii="Times New Roman" w:hAnsi="Times New Roman" w:eastAsia="宋体" w:cs="Times New Roman"/>
                <w:snapToGrid w:val="0"/>
                <w:color w:val="auto"/>
                <w:spacing w:val="8"/>
                <w:kern w:val="0"/>
                <w:sz w:val="21"/>
                <w:szCs w:val="21"/>
                <w:lang w:val="en-US" w:eastAsia="en-US" w:bidi="ar-SA"/>
              </w:rPr>
              <w:t>有效的固定式灭火装置。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3" w:hRule="atLeast"/>
          <w:jc w:val="center"/>
        </w:trPr>
        <w:tc>
          <w:tcPr>
            <w:tcW w:w="417" w:type="pct"/>
            <w:vAlign w:val="center"/>
          </w:tcPr>
          <w:p>
            <w:pPr>
              <w:keepNext w:val="0"/>
              <w:keepLines w:val="0"/>
              <w:pageBreakBefore w:val="0"/>
              <w:widowControl/>
              <w:kinsoku w:val="0"/>
              <w:wordWrap/>
              <w:overflowPunct/>
              <w:topLinePunct w:val="0"/>
              <w:autoSpaceDE w:val="0"/>
              <w:autoSpaceDN w:val="0"/>
              <w:bidi w:val="0"/>
              <w:adjustRightInd w:val="0"/>
              <w:snapToGrid w:val="0"/>
              <w:spacing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高处</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坠落</w:t>
            </w:r>
          </w:p>
        </w:tc>
        <w:tc>
          <w:tcPr>
            <w:tcW w:w="473" w:type="pct"/>
            <w:tcBorders>
              <w:right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7"/>
                <w:kern w:val="0"/>
                <w:sz w:val="21"/>
                <w:szCs w:val="21"/>
                <w:lang w:val="en-US" w:eastAsia="zh-CN" w:bidi="ar-SA"/>
              </w:rPr>
              <w:t>吊装作业、</w:t>
            </w:r>
            <w:r>
              <w:rPr>
                <w:rFonts w:hint="default" w:ascii="Times New Roman" w:hAnsi="Times New Roman" w:eastAsia="宋体" w:cs="Times New Roman"/>
                <w:snapToGrid w:val="0"/>
                <w:color w:val="auto"/>
                <w:spacing w:val="7"/>
                <w:kern w:val="0"/>
                <w:sz w:val="21"/>
                <w:szCs w:val="21"/>
                <w:lang w:val="en-US" w:eastAsia="en-US" w:bidi="ar-SA"/>
              </w:rPr>
              <w:t>检</w:t>
            </w:r>
            <w:r>
              <w:rPr>
                <w:rFonts w:hint="default" w:ascii="Times New Roman" w:hAnsi="Times New Roman" w:eastAsia="宋体" w:cs="Times New Roman"/>
                <w:snapToGrid w:val="0"/>
                <w:color w:val="auto"/>
                <w:spacing w:val="4"/>
                <w:kern w:val="0"/>
                <w:sz w:val="21"/>
                <w:szCs w:val="21"/>
                <w:lang w:val="en-US" w:eastAsia="en-US" w:bidi="ar-SA"/>
              </w:rPr>
              <w:t>修</w:t>
            </w:r>
            <w:r>
              <w:rPr>
                <w:rFonts w:hint="eastAsia" w:ascii="Times New Roman" w:hAnsi="Times New Roman" w:eastAsia="宋体" w:cs="Times New Roman"/>
                <w:snapToGrid w:val="0"/>
                <w:color w:val="auto"/>
                <w:spacing w:val="4"/>
                <w:kern w:val="0"/>
                <w:sz w:val="21"/>
                <w:szCs w:val="21"/>
                <w:lang w:val="en-US" w:eastAsia="zh-CN" w:bidi="ar-SA"/>
              </w:rPr>
              <w:t>设备</w:t>
            </w:r>
          </w:p>
        </w:tc>
        <w:tc>
          <w:tcPr>
            <w:tcW w:w="1836" w:type="pct"/>
            <w:tcBorders>
              <w:left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1.检修设备时，违反操作规</w:t>
            </w:r>
            <w:r>
              <w:rPr>
                <w:rFonts w:hint="default" w:ascii="Times New Roman" w:hAnsi="Times New Roman" w:eastAsia="宋体" w:cs="Times New Roman"/>
                <w:snapToGrid w:val="0"/>
                <w:color w:val="auto"/>
                <w:spacing w:val="7"/>
                <w:kern w:val="0"/>
                <w:sz w:val="21"/>
                <w:szCs w:val="21"/>
                <w:lang w:val="en-US" w:eastAsia="en-US" w:bidi="ar-SA"/>
              </w:rPr>
              <w:t>程进行高处作业；</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both"/>
              <w:textAlignment w:val="baseline"/>
              <w:rPr>
                <w:rFonts w:hint="eastAsia" w:ascii="Times New Roman" w:hAnsi="Times New Roman" w:eastAsia="宋体" w:cs="Times New Roman"/>
                <w:snapToGrid w:val="0"/>
                <w:color w:val="auto"/>
                <w:spacing w:val="6"/>
                <w:kern w:val="0"/>
                <w:sz w:val="21"/>
                <w:szCs w:val="21"/>
                <w:lang w:val="en-US" w:eastAsia="zh-CN" w:bidi="ar-SA"/>
              </w:rPr>
            </w:pPr>
            <w:r>
              <w:rPr>
                <w:rFonts w:hint="default" w:ascii="Times New Roman" w:hAnsi="Times New Roman" w:eastAsia="宋体" w:cs="Times New Roman"/>
                <w:snapToGrid w:val="0"/>
                <w:color w:val="auto"/>
                <w:spacing w:val="7"/>
                <w:kern w:val="0"/>
                <w:sz w:val="21"/>
                <w:szCs w:val="21"/>
                <w:lang w:val="en-US" w:eastAsia="en-US" w:bidi="ar-SA"/>
              </w:rPr>
              <w:t>2.恶劣天气进行高处作业；</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1"/>
                <w:kern w:val="0"/>
                <w:sz w:val="21"/>
                <w:szCs w:val="21"/>
                <w:lang w:val="en-US" w:eastAsia="en-US" w:bidi="ar-SA"/>
              </w:rPr>
              <w:t>3.防护栏缺失或者防护用</w:t>
            </w:r>
            <w:r>
              <w:rPr>
                <w:rFonts w:hint="default" w:ascii="Times New Roman" w:hAnsi="Times New Roman" w:eastAsia="宋体" w:cs="Times New Roman"/>
                <w:snapToGrid w:val="0"/>
                <w:color w:val="auto"/>
                <w:spacing w:val="6"/>
                <w:kern w:val="0"/>
                <w:sz w:val="21"/>
                <w:szCs w:val="21"/>
                <w:lang w:val="en-US" w:eastAsia="en-US" w:bidi="ar-SA"/>
              </w:rPr>
              <w:t>品使用不当。</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spacing w:val="18"/>
                <w:kern w:val="0"/>
                <w:sz w:val="21"/>
                <w:szCs w:val="21"/>
                <w:lang w:val="en-US" w:eastAsia="en-US" w:bidi="ar-SA"/>
              </w:rPr>
            </w:pPr>
            <w:r>
              <w:rPr>
                <w:rFonts w:hint="default" w:ascii="Times New Roman" w:hAnsi="Times New Roman" w:eastAsia="宋体" w:cs="Times New Roman"/>
                <w:snapToGrid w:val="0"/>
                <w:color w:val="auto"/>
                <w:spacing w:val="18"/>
                <w:kern w:val="0"/>
                <w:sz w:val="21"/>
                <w:szCs w:val="21"/>
                <w:lang w:val="en-US" w:eastAsia="en-US" w:bidi="ar-SA"/>
              </w:rPr>
              <w:t>4.起吊方式不当，捆绑不</w:t>
            </w:r>
            <w:r>
              <w:rPr>
                <w:rFonts w:hint="default" w:ascii="Times New Roman" w:hAnsi="Times New Roman" w:eastAsia="宋体" w:cs="Times New Roman"/>
                <w:snapToGrid w:val="0"/>
                <w:color w:val="auto"/>
                <w:spacing w:val="-2"/>
                <w:kern w:val="0"/>
                <w:sz w:val="21"/>
                <w:szCs w:val="21"/>
                <w:lang w:val="en-US" w:eastAsia="en-US" w:bidi="ar-SA"/>
              </w:rPr>
              <w:t>牢；</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leftChars="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5.违反操作规程：如超载起重、无证上岗；</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leftChars="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6.吊具失效、操作系统失灵</w:t>
            </w:r>
            <w:r>
              <w:rPr>
                <w:rFonts w:hint="default" w:ascii="Times New Roman" w:hAnsi="Times New Roman" w:eastAsia="宋体" w:cs="Times New Roman"/>
                <w:snapToGrid w:val="0"/>
                <w:color w:val="auto"/>
                <w:spacing w:val="7"/>
                <w:kern w:val="0"/>
                <w:sz w:val="21"/>
                <w:szCs w:val="21"/>
                <w:lang w:val="en-US" w:eastAsia="en-US" w:bidi="ar-SA"/>
              </w:rPr>
              <w:t>或安全装置失效；</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leftChars="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7.吊物悬空的时候，人从吊</w:t>
            </w:r>
            <w:r>
              <w:rPr>
                <w:rFonts w:hint="default" w:ascii="Times New Roman" w:hAnsi="Times New Roman" w:eastAsia="宋体" w:cs="Times New Roman"/>
                <w:snapToGrid w:val="0"/>
                <w:color w:val="auto"/>
                <w:spacing w:val="3"/>
                <w:kern w:val="0"/>
                <w:sz w:val="21"/>
                <w:szCs w:val="21"/>
                <w:lang w:val="en-US" w:eastAsia="en-US" w:bidi="ar-SA"/>
              </w:rPr>
              <w:t>物下通过、停留，或吊物从</w:t>
            </w:r>
            <w:r>
              <w:rPr>
                <w:rFonts w:hint="default" w:ascii="Times New Roman" w:hAnsi="Times New Roman" w:eastAsia="宋体" w:cs="Times New Roman"/>
                <w:snapToGrid w:val="0"/>
                <w:color w:val="auto"/>
                <w:spacing w:val="7"/>
                <w:kern w:val="0"/>
                <w:sz w:val="21"/>
                <w:szCs w:val="21"/>
                <w:lang w:val="en-US" w:eastAsia="en-US" w:bidi="ar-SA"/>
              </w:rPr>
              <w:t>人头顶上通过；</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leftChars="0" w:right="0" w:firstLine="0" w:firstLineChars="0"/>
              <w:jc w:val="both"/>
              <w:textAlignment w:val="baseline"/>
              <w:rPr>
                <w:rFonts w:hint="eastAsia"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spacing w:val="8"/>
                <w:kern w:val="0"/>
                <w:sz w:val="21"/>
                <w:szCs w:val="21"/>
                <w:lang w:val="en-US" w:eastAsia="en-US" w:bidi="ar-SA"/>
              </w:rPr>
              <w:t>8.不按规定归位造成超载、</w:t>
            </w:r>
            <w:r>
              <w:rPr>
                <w:rFonts w:hint="default" w:ascii="Times New Roman" w:hAnsi="Times New Roman" w:eastAsia="宋体" w:cs="Times New Roman"/>
                <w:snapToGrid w:val="0"/>
                <w:color w:val="auto"/>
                <w:spacing w:val="-8"/>
                <w:kern w:val="0"/>
                <w:sz w:val="21"/>
                <w:szCs w:val="21"/>
                <w:lang w:val="en-US" w:eastAsia="en-US" w:bidi="ar-SA"/>
              </w:rPr>
              <w:t>过卷扬、出轨、倾翻等事故；</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leftChars="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p>
        </w:tc>
        <w:tc>
          <w:tcPr>
            <w:tcW w:w="297" w:type="pct"/>
            <w:vAlign w:val="center"/>
          </w:tcPr>
          <w:p>
            <w:pPr>
              <w:keepNext w:val="0"/>
              <w:keepLines w:val="0"/>
              <w:pageBreakBefore w:val="0"/>
              <w:widowControl/>
              <w:kinsoku w:val="0"/>
              <w:wordWrap/>
              <w:overflowPunct/>
              <w:topLinePunct w:val="0"/>
              <w:autoSpaceDE w:val="0"/>
              <w:autoSpaceDN w:val="0"/>
              <w:bidi w:val="0"/>
              <w:adjustRightInd w:val="0"/>
              <w:snapToGrid w:val="0"/>
              <w:spacing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position w:val="4"/>
                <w:sz w:val="21"/>
                <w:szCs w:val="21"/>
                <w:lang w:val="en-US" w:eastAsia="en-US" w:bidi="ar-SA"/>
              </w:rPr>
              <w:t>人员</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伤亡</w:t>
            </w:r>
          </w:p>
        </w:tc>
        <w:tc>
          <w:tcPr>
            <w:tcW w:w="311" w:type="pct"/>
            <w:vAlign w:val="center"/>
          </w:tcPr>
          <w:p>
            <w:pPr>
              <w:keepNext w:val="0"/>
              <w:keepLines w:val="0"/>
              <w:pageBreakBefore w:val="0"/>
              <w:widowControl/>
              <w:kinsoku w:val="0"/>
              <w:wordWrap/>
              <w:overflowPunct/>
              <w:topLinePunct w:val="0"/>
              <w:autoSpaceDE w:val="0"/>
              <w:autoSpaceDN w:val="0"/>
              <w:bidi w:val="0"/>
              <w:adjustRightInd w:val="0"/>
              <w:snapToGrid w:val="0"/>
              <w:spacing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Ⅱ</w:t>
            </w:r>
          </w:p>
        </w:tc>
        <w:tc>
          <w:tcPr>
            <w:tcW w:w="166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1"/>
                <w:kern w:val="0"/>
                <w:sz w:val="21"/>
                <w:szCs w:val="21"/>
                <w:lang w:val="en-US" w:eastAsia="en-US" w:bidi="ar-SA"/>
              </w:rPr>
              <w:t>1.加强员工安全教育，提高</w:t>
            </w:r>
            <w:r>
              <w:rPr>
                <w:rFonts w:hint="default" w:ascii="Times New Roman" w:hAnsi="Times New Roman" w:eastAsia="宋体" w:cs="Times New Roman"/>
                <w:snapToGrid w:val="0"/>
                <w:color w:val="auto"/>
                <w:spacing w:val="5"/>
                <w:kern w:val="0"/>
                <w:sz w:val="21"/>
                <w:szCs w:val="21"/>
                <w:lang w:val="en-US" w:eastAsia="en-US" w:bidi="ar-SA"/>
              </w:rPr>
              <w:t>员工安全意识；</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2"/>
                <w:kern w:val="0"/>
                <w:sz w:val="21"/>
                <w:szCs w:val="21"/>
                <w:lang w:val="en-US" w:eastAsia="en-US" w:bidi="ar-SA"/>
              </w:rPr>
              <w:t>2.恶劣天气，不进行高处作</w:t>
            </w:r>
            <w:r>
              <w:rPr>
                <w:rFonts w:hint="default" w:ascii="Times New Roman" w:hAnsi="Times New Roman" w:eastAsia="宋体" w:cs="Times New Roman"/>
                <w:snapToGrid w:val="0"/>
                <w:color w:val="auto"/>
                <w:spacing w:val="7"/>
                <w:kern w:val="0"/>
                <w:sz w:val="21"/>
                <w:szCs w:val="21"/>
                <w:lang w:val="en-US" w:eastAsia="en-US" w:bidi="ar-SA"/>
              </w:rPr>
              <w:t>业，户外作业需2人以上，</w:t>
            </w:r>
            <w:r>
              <w:rPr>
                <w:rFonts w:hint="default" w:ascii="Times New Roman" w:hAnsi="Times New Roman" w:eastAsia="宋体" w:cs="Times New Roman"/>
                <w:snapToGrid w:val="0"/>
                <w:color w:val="auto"/>
                <w:spacing w:val="6"/>
                <w:kern w:val="0"/>
                <w:sz w:val="21"/>
                <w:szCs w:val="21"/>
                <w:lang w:val="en-US" w:eastAsia="en-US" w:bidi="ar-SA"/>
              </w:rPr>
              <w:t>一人监护；</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both"/>
              <w:textAlignment w:val="baseline"/>
              <w:rPr>
                <w:rFonts w:hint="default" w:ascii="Times New Roman" w:hAnsi="Times New Roman" w:eastAsia="宋体" w:cs="Times New Roman"/>
                <w:snapToGrid w:val="0"/>
                <w:color w:val="auto"/>
                <w:spacing w:val="12"/>
                <w:kern w:val="0"/>
                <w:sz w:val="21"/>
                <w:szCs w:val="21"/>
                <w:lang w:val="en-US" w:eastAsia="en-US" w:bidi="ar-SA"/>
              </w:rPr>
            </w:pPr>
            <w:r>
              <w:rPr>
                <w:rFonts w:hint="default" w:ascii="Times New Roman" w:hAnsi="Times New Roman" w:eastAsia="宋体" w:cs="Times New Roman"/>
                <w:snapToGrid w:val="0"/>
                <w:color w:val="auto"/>
                <w:spacing w:val="12"/>
                <w:kern w:val="0"/>
                <w:sz w:val="21"/>
                <w:szCs w:val="21"/>
                <w:lang w:val="en-US" w:eastAsia="en-US" w:bidi="ar-SA"/>
              </w:rPr>
              <w:t>3.高处作业做好安全防护措</w:t>
            </w:r>
            <w:r>
              <w:rPr>
                <w:rFonts w:hint="default" w:ascii="Times New Roman" w:hAnsi="Times New Roman" w:eastAsia="宋体" w:cs="Times New Roman"/>
                <w:snapToGrid w:val="0"/>
                <w:color w:val="auto"/>
                <w:kern w:val="0"/>
                <w:sz w:val="21"/>
                <w:szCs w:val="21"/>
                <w:lang w:val="en-US" w:eastAsia="en-US" w:bidi="ar-SA"/>
              </w:rPr>
              <w:t>施。</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leftChars="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2"/>
                <w:kern w:val="0"/>
                <w:sz w:val="21"/>
                <w:szCs w:val="21"/>
                <w:lang w:val="en-US" w:eastAsia="en-US" w:bidi="ar-SA"/>
              </w:rPr>
              <w:t>4.起吊前检查到位，捆绑牢</w:t>
            </w:r>
            <w:r>
              <w:rPr>
                <w:rFonts w:hint="default" w:ascii="Times New Roman" w:hAnsi="Times New Roman" w:eastAsia="宋体" w:cs="Times New Roman"/>
                <w:snapToGrid w:val="0"/>
                <w:color w:val="auto"/>
                <w:kern w:val="0"/>
                <w:sz w:val="21"/>
                <w:szCs w:val="21"/>
                <w:lang w:val="en-US" w:eastAsia="en-US" w:bidi="ar-SA"/>
              </w:rPr>
              <w:t>靠；</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leftChars="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2"/>
                <w:kern w:val="0"/>
                <w:sz w:val="21"/>
                <w:szCs w:val="21"/>
                <w:lang w:val="en-US" w:eastAsia="en-US" w:bidi="ar-SA"/>
              </w:rPr>
              <w:t>5.操作人员和指挥人员必须</w:t>
            </w:r>
            <w:r>
              <w:rPr>
                <w:rFonts w:hint="default" w:ascii="Times New Roman" w:hAnsi="Times New Roman" w:eastAsia="宋体" w:cs="Times New Roman"/>
                <w:snapToGrid w:val="0"/>
                <w:color w:val="auto"/>
                <w:spacing w:val="28"/>
                <w:kern w:val="0"/>
                <w:sz w:val="21"/>
                <w:szCs w:val="21"/>
                <w:lang w:val="en-US" w:eastAsia="en-US" w:bidi="ar-SA"/>
              </w:rPr>
              <w:t>有特种作业人员操作资格</w:t>
            </w:r>
            <w:r>
              <w:rPr>
                <w:rFonts w:hint="default" w:ascii="Times New Roman" w:hAnsi="Times New Roman" w:eastAsia="宋体" w:cs="Times New Roman"/>
                <w:snapToGrid w:val="0"/>
                <w:color w:val="auto"/>
                <w:kern w:val="0"/>
                <w:sz w:val="21"/>
                <w:szCs w:val="21"/>
                <w:lang w:val="en-US" w:eastAsia="en-US" w:bidi="ar-SA"/>
              </w:rPr>
              <w:t>证；</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leftChars="0" w:right="0" w:firstLine="0" w:firstLineChars="0"/>
              <w:jc w:val="both"/>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6.定期检查防护、保护装置，</w:t>
            </w:r>
            <w:r>
              <w:rPr>
                <w:rFonts w:hint="default" w:ascii="Times New Roman" w:hAnsi="Times New Roman" w:eastAsia="宋体" w:cs="Times New Roman"/>
                <w:snapToGrid w:val="0"/>
                <w:color w:val="auto"/>
                <w:spacing w:val="-3"/>
                <w:kern w:val="0"/>
                <w:sz w:val="21"/>
                <w:szCs w:val="21"/>
                <w:lang w:val="en-US" w:eastAsia="en-US" w:bidi="ar-SA"/>
              </w:rPr>
              <w:t>并确保装置齐全、完好有效；</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leftChars="0" w:right="0" w:firstLine="0" w:firstLineChars="0"/>
              <w:jc w:val="both"/>
              <w:textAlignment w:val="baseline"/>
              <w:rPr>
                <w:rFonts w:hint="default" w:ascii="Times New Roman" w:hAnsi="Times New Roman" w:eastAsia="宋体" w:cs="Times New Roman"/>
                <w:snapToGrid w:val="0"/>
                <w:color w:val="auto"/>
                <w:spacing w:val="-3"/>
                <w:kern w:val="0"/>
                <w:sz w:val="21"/>
                <w:szCs w:val="21"/>
                <w:lang w:val="en-US" w:eastAsia="en-US" w:bidi="ar-SA"/>
              </w:rPr>
            </w:pPr>
            <w:r>
              <w:rPr>
                <w:rFonts w:hint="default" w:ascii="Times New Roman" w:hAnsi="Times New Roman" w:eastAsia="宋体" w:cs="Times New Roman"/>
                <w:snapToGrid w:val="0"/>
                <w:color w:val="auto"/>
                <w:spacing w:val="12"/>
                <w:kern w:val="0"/>
                <w:sz w:val="21"/>
                <w:szCs w:val="21"/>
                <w:lang w:val="en-US" w:eastAsia="en-US" w:bidi="ar-SA"/>
              </w:rPr>
              <w:t>7.不准将起吊重物长期悬挂</w:t>
            </w:r>
            <w:r>
              <w:rPr>
                <w:rFonts w:hint="default" w:ascii="Times New Roman" w:hAnsi="Times New Roman" w:eastAsia="宋体" w:cs="Times New Roman"/>
                <w:snapToGrid w:val="0"/>
                <w:color w:val="auto"/>
                <w:spacing w:val="-3"/>
                <w:kern w:val="0"/>
                <w:sz w:val="21"/>
                <w:szCs w:val="21"/>
                <w:lang w:val="en-US" w:eastAsia="en-US" w:bidi="ar-SA"/>
              </w:rPr>
              <w:t>在空中</w:t>
            </w:r>
            <w:r>
              <w:rPr>
                <w:rFonts w:hint="eastAsia" w:ascii="Times New Roman" w:hAnsi="Times New Roman" w:eastAsia="宋体" w:cs="Times New Roman"/>
                <w:snapToGrid w:val="0"/>
                <w:color w:val="auto"/>
                <w:spacing w:val="-3"/>
                <w:kern w:val="0"/>
                <w:sz w:val="21"/>
                <w:szCs w:val="21"/>
                <w:lang w:val="en-US" w:eastAsia="zh-CN" w:bidi="ar-SA"/>
              </w:rPr>
              <w:t>，</w:t>
            </w:r>
            <w:r>
              <w:rPr>
                <w:rFonts w:hint="default" w:ascii="Times New Roman" w:hAnsi="Times New Roman" w:eastAsia="宋体" w:cs="Times New Roman"/>
                <w:snapToGrid w:val="0"/>
                <w:color w:val="auto"/>
                <w:spacing w:val="-3"/>
                <w:kern w:val="0"/>
                <w:sz w:val="21"/>
                <w:szCs w:val="21"/>
                <w:lang w:val="en-US" w:eastAsia="en-US" w:bidi="ar-SA"/>
              </w:rPr>
              <w:t>作业区域做好警示；</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leftChars="0" w:right="0" w:firstLine="0" w:firstLineChars="0"/>
              <w:jc w:val="both"/>
              <w:textAlignment w:val="baseline"/>
              <w:rPr>
                <w:rFonts w:hint="default" w:ascii="Times New Roman" w:hAnsi="Times New Roman" w:eastAsia="宋体" w:cs="Times New Roman"/>
                <w:snapToGrid w:val="0"/>
                <w:color w:val="auto"/>
                <w:spacing w:val="8"/>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8.制度相关操作规程，指导</w:t>
            </w:r>
            <w:r>
              <w:rPr>
                <w:rFonts w:hint="default" w:ascii="Times New Roman" w:hAnsi="Times New Roman" w:eastAsia="宋体" w:cs="Times New Roman"/>
                <w:snapToGrid w:val="0"/>
                <w:color w:val="auto"/>
                <w:spacing w:val="8"/>
                <w:kern w:val="0"/>
                <w:sz w:val="21"/>
                <w:szCs w:val="21"/>
                <w:lang w:val="en-US" w:eastAsia="en-US" w:bidi="ar-SA"/>
              </w:rPr>
              <w:t>操作人员按规程进行操作；</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leftChars="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2"/>
                <w:kern w:val="0"/>
                <w:sz w:val="21"/>
                <w:szCs w:val="21"/>
                <w:lang w:val="en-US" w:eastAsia="en-US" w:bidi="ar-SA"/>
              </w:rPr>
              <w:t>9.起重机的滑触线上严禁连</w:t>
            </w:r>
            <w:r>
              <w:rPr>
                <w:rFonts w:hint="default" w:ascii="Times New Roman" w:hAnsi="Times New Roman" w:eastAsia="宋体" w:cs="Times New Roman"/>
                <w:snapToGrid w:val="0"/>
                <w:color w:val="auto"/>
                <w:spacing w:val="28"/>
                <w:kern w:val="0"/>
                <w:sz w:val="21"/>
                <w:szCs w:val="21"/>
                <w:lang w:val="en-US" w:eastAsia="en-US" w:bidi="ar-SA"/>
              </w:rPr>
              <w:t>接与起重机无关的用电设</w:t>
            </w:r>
            <w:r>
              <w:rPr>
                <w:rFonts w:hint="default" w:ascii="Times New Roman" w:hAnsi="Times New Roman" w:eastAsia="宋体" w:cs="Times New Roman"/>
                <w:snapToGrid w:val="0"/>
                <w:color w:val="auto"/>
                <w:kern w:val="0"/>
                <w:sz w:val="21"/>
                <w:szCs w:val="21"/>
                <w:lang w:val="en-US" w:eastAsia="en-US" w:bidi="ar-SA"/>
              </w:rPr>
              <w:t>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jc w:val="center"/>
        </w:trPr>
        <w:tc>
          <w:tcPr>
            <w:tcW w:w="41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淹溺</w:t>
            </w:r>
          </w:p>
        </w:tc>
        <w:tc>
          <w:tcPr>
            <w:tcW w:w="473" w:type="pct"/>
            <w:tcBorders>
              <w:top w:val="single" w:color="000000" w:sz="2" w:space="0"/>
              <w:bottom w:val="single" w:color="000000" w:sz="2" w:space="0"/>
              <w:right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color w:val="auto"/>
                <w:sz w:val="21"/>
                <w:szCs w:val="21"/>
              </w:rPr>
              <w:t>循环水池、浓缩池、新水水池</w:t>
            </w:r>
            <w:r>
              <w:rPr>
                <w:rFonts w:hint="eastAsia" w:ascii="Times New Roman" w:hAnsi="Times New Roman" w:eastAsia="宋体" w:cs="Times New Roman"/>
                <w:color w:val="auto"/>
                <w:sz w:val="21"/>
                <w:szCs w:val="21"/>
                <w:lang w:val="en-US" w:eastAsia="zh-CN"/>
              </w:rPr>
              <w:t>等</w:t>
            </w:r>
          </w:p>
        </w:tc>
        <w:tc>
          <w:tcPr>
            <w:tcW w:w="1836" w:type="pct"/>
            <w:tcBorders>
              <w:top w:val="single" w:color="000000" w:sz="2" w:space="0"/>
              <w:left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9"/>
                <w:kern w:val="0"/>
                <w:sz w:val="21"/>
                <w:szCs w:val="21"/>
                <w:lang w:val="en-US" w:eastAsia="en-US" w:bidi="ar-SA"/>
              </w:rPr>
              <w:t>防护不当或者缺少警示</w:t>
            </w:r>
            <w:r>
              <w:rPr>
                <w:rFonts w:hint="default" w:ascii="Times New Roman" w:hAnsi="Times New Roman" w:eastAsia="宋体" w:cs="Times New Roman"/>
                <w:snapToGrid w:val="0"/>
                <w:color w:val="auto"/>
                <w:spacing w:val="3"/>
                <w:kern w:val="0"/>
                <w:sz w:val="21"/>
                <w:szCs w:val="21"/>
                <w:lang w:val="en-US" w:eastAsia="en-US" w:bidi="ar-SA"/>
              </w:rPr>
              <w:t>标识，无关人员进入危险区</w:t>
            </w:r>
            <w:r>
              <w:rPr>
                <w:rFonts w:hint="default" w:ascii="Times New Roman" w:hAnsi="Times New Roman" w:eastAsia="宋体" w:cs="Times New Roman"/>
                <w:snapToGrid w:val="0"/>
                <w:color w:val="auto"/>
                <w:kern w:val="0"/>
                <w:sz w:val="21"/>
                <w:szCs w:val="21"/>
                <w:lang w:val="en-US" w:eastAsia="en-US" w:bidi="ar-SA"/>
              </w:rPr>
              <w:t>域。</w:t>
            </w:r>
          </w:p>
        </w:tc>
        <w:tc>
          <w:tcPr>
            <w:tcW w:w="29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position w:val="4"/>
                <w:sz w:val="21"/>
                <w:szCs w:val="21"/>
                <w:lang w:val="en-US" w:eastAsia="en-US" w:bidi="ar-SA"/>
              </w:rPr>
              <w:t>人员</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伤亡</w:t>
            </w:r>
          </w:p>
        </w:tc>
        <w:tc>
          <w:tcPr>
            <w:tcW w:w="311" w:type="pct"/>
            <w:vAlign w:val="center"/>
          </w:tcPr>
          <w:p>
            <w:pPr>
              <w:keepNext w:val="0"/>
              <w:keepLines w:val="0"/>
              <w:pageBreakBefore w:val="0"/>
              <w:widowControl/>
              <w:kinsoku w:val="0"/>
              <w:wordWrap/>
              <w:overflowPunct/>
              <w:topLinePunct w:val="0"/>
              <w:autoSpaceDE w:val="0"/>
              <w:autoSpaceDN w:val="0"/>
              <w:bidi w:val="0"/>
              <w:adjustRightInd w:val="0"/>
              <w:snapToGrid w:val="0"/>
              <w:spacing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Ⅱ</w:t>
            </w:r>
          </w:p>
        </w:tc>
        <w:tc>
          <w:tcPr>
            <w:tcW w:w="166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做好水池周边防护和安全</w:t>
            </w:r>
            <w:r>
              <w:rPr>
                <w:rFonts w:hint="default" w:ascii="Times New Roman" w:hAnsi="Times New Roman" w:eastAsia="宋体" w:cs="Times New Roman"/>
                <w:snapToGrid w:val="0"/>
                <w:color w:val="auto"/>
                <w:spacing w:val="2"/>
                <w:kern w:val="0"/>
                <w:sz w:val="21"/>
                <w:szCs w:val="21"/>
                <w:lang w:val="en-US" w:eastAsia="en-US" w:bidi="ar-SA"/>
              </w:rPr>
              <w:t>警示。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0" w:hRule="atLeast"/>
          <w:jc w:val="center"/>
        </w:trPr>
        <w:tc>
          <w:tcPr>
            <w:tcW w:w="41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触电</w:t>
            </w:r>
          </w:p>
        </w:tc>
        <w:tc>
          <w:tcPr>
            <w:tcW w:w="473" w:type="pct"/>
            <w:tcBorders>
              <w:top w:val="single" w:color="000000" w:sz="2" w:space="0"/>
              <w:bottom w:val="single" w:color="000000" w:sz="2" w:space="0"/>
              <w:right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color w:val="auto"/>
                <w:sz w:val="21"/>
                <w:szCs w:val="21"/>
              </w:rPr>
              <w:t>机械、照明等用电设备</w:t>
            </w:r>
          </w:p>
        </w:tc>
        <w:tc>
          <w:tcPr>
            <w:tcW w:w="1836" w:type="pct"/>
            <w:tcBorders>
              <w:top w:val="single" w:color="000000" w:sz="2" w:space="0"/>
              <w:left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1.电工违章作业，非电工违</w:t>
            </w:r>
            <w:r>
              <w:rPr>
                <w:rFonts w:hint="default" w:ascii="Times New Roman" w:hAnsi="Times New Roman" w:eastAsia="宋体" w:cs="Times New Roman"/>
                <w:snapToGrid w:val="0"/>
                <w:color w:val="auto"/>
                <w:spacing w:val="6"/>
                <w:kern w:val="0"/>
                <w:sz w:val="21"/>
                <w:szCs w:val="21"/>
                <w:lang w:val="en-US" w:eastAsia="en-US" w:bidi="ar-SA"/>
              </w:rPr>
              <w:t>章进行电气作业。</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9"/>
                <w:kern w:val="0"/>
                <w:sz w:val="21"/>
                <w:szCs w:val="21"/>
                <w:lang w:val="en-US" w:eastAsia="en-US" w:bidi="ar-SA"/>
              </w:rPr>
              <w:t>2.电气线路或电气设备绝</w:t>
            </w:r>
            <w:r>
              <w:rPr>
                <w:rFonts w:hint="default" w:ascii="Times New Roman" w:hAnsi="Times New Roman" w:eastAsia="宋体" w:cs="Times New Roman"/>
                <w:snapToGrid w:val="0"/>
                <w:color w:val="auto"/>
                <w:spacing w:val="3"/>
                <w:kern w:val="0"/>
                <w:sz w:val="21"/>
                <w:szCs w:val="21"/>
                <w:lang w:val="en-US" w:eastAsia="en-US" w:bidi="ar-SA"/>
              </w:rPr>
              <w:t>缘性能降低，电气设备、电动工具金属外壳带电，保护</w:t>
            </w:r>
            <w:r>
              <w:rPr>
                <w:rFonts w:hint="default" w:ascii="Times New Roman" w:hAnsi="Times New Roman" w:eastAsia="宋体" w:cs="Times New Roman"/>
                <w:snapToGrid w:val="0"/>
                <w:color w:val="auto"/>
                <w:spacing w:val="8"/>
                <w:kern w:val="0"/>
                <w:sz w:val="21"/>
                <w:szCs w:val="21"/>
                <w:lang w:val="en-US" w:eastAsia="en-US" w:bidi="ar-SA"/>
              </w:rPr>
              <w:t>接地或保护接零不当：</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3.电气设备缺少屏护遮拦、</w:t>
            </w:r>
            <w:r>
              <w:rPr>
                <w:rFonts w:hint="default" w:ascii="Times New Roman" w:hAnsi="Times New Roman" w:eastAsia="宋体" w:cs="Times New Roman"/>
                <w:snapToGrid w:val="0"/>
                <w:color w:val="auto"/>
                <w:spacing w:val="-8"/>
                <w:kern w:val="0"/>
                <w:sz w:val="21"/>
                <w:szCs w:val="21"/>
                <w:lang w:val="en-US" w:eastAsia="en-US" w:bidi="ar-SA"/>
              </w:rPr>
              <w:t>护网，室内高温、空气潮湿；</w:t>
            </w:r>
            <w:r>
              <w:rPr>
                <w:rFonts w:hint="default" w:ascii="Times New Roman" w:hAnsi="Times New Roman" w:eastAsia="宋体" w:cs="Times New Roman"/>
                <w:snapToGrid w:val="0"/>
                <w:color w:val="auto"/>
                <w:spacing w:val="3"/>
                <w:kern w:val="0"/>
                <w:sz w:val="21"/>
                <w:szCs w:val="21"/>
                <w:lang w:val="en-US" w:eastAsia="en-US" w:bidi="ar-SA"/>
              </w:rPr>
              <w:t>电力线路的电线质量、安装</w:t>
            </w:r>
            <w:r>
              <w:rPr>
                <w:rFonts w:hint="default" w:ascii="Times New Roman" w:hAnsi="Times New Roman" w:eastAsia="宋体" w:cs="Times New Roman"/>
                <w:snapToGrid w:val="0"/>
                <w:color w:val="auto"/>
                <w:spacing w:val="7"/>
                <w:kern w:val="0"/>
                <w:sz w:val="21"/>
                <w:szCs w:val="21"/>
                <w:lang w:val="en-US" w:eastAsia="en-US" w:bidi="ar-SA"/>
              </w:rPr>
              <w:t>质量及管理有缺陷：</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both"/>
              <w:textAlignment w:val="baseline"/>
              <w:rPr>
                <w:rFonts w:hint="default" w:ascii="Times New Roman" w:hAnsi="Times New Roman" w:eastAsia="宋体" w:cs="Times New Roman"/>
                <w:snapToGrid w:val="0"/>
                <w:color w:val="auto"/>
                <w:spacing w:val="4"/>
                <w:kern w:val="0"/>
                <w:sz w:val="21"/>
                <w:szCs w:val="21"/>
                <w:lang w:val="en-US" w:eastAsia="en-US" w:bidi="ar-SA"/>
              </w:rPr>
            </w:pPr>
            <w:r>
              <w:rPr>
                <w:rFonts w:hint="default" w:ascii="Times New Roman" w:hAnsi="Times New Roman" w:eastAsia="宋体" w:cs="Times New Roman"/>
                <w:snapToGrid w:val="0"/>
                <w:color w:val="auto"/>
                <w:spacing w:val="21"/>
                <w:kern w:val="0"/>
                <w:sz w:val="21"/>
                <w:szCs w:val="21"/>
                <w:lang w:val="en-US" w:eastAsia="en-US" w:bidi="ar-SA"/>
              </w:rPr>
              <w:t>4.防护用品和工具产品质</w:t>
            </w:r>
            <w:r>
              <w:rPr>
                <w:rFonts w:hint="default" w:ascii="Times New Roman" w:hAnsi="Times New Roman" w:eastAsia="宋体" w:cs="Times New Roman"/>
                <w:snapToGrid w:val="0"/>
                <w:color w:val="auto"/>
                <w:spacing w:val="3"/>
                <w:kern w:val="0"/>
                <w:sz w:val="21"/>
                <w:szCs w:val="21"/>
                <w:lang w:val="en-US" w:eastAsia="en-US" w:bidi="ar-SA"/>
              </w:rPr>
              <w:t>量不合格，或使用不当；手及人体其它部位、手持金属物体触及带电体，或因安全</w:t>
            </w:r>
            <w:r>
              <w:rPr>
                <w:rFonts w:hint="default" w:ascii="Times New Roman" w:hAnsi="Times New Roman" w:eastAsia="宋体" w:cs="Times New Roman"/>
                <w:snapToGrid w:val="0"/>
                <w:color w:val="auto"/>
                <w:spacing w:val="4"/>
                <w:kern w:val="0"/>
                <w:sz w:val="21"/>
                <w:szCs w:val="21"/>
                <w:lang w:val="en-US" w:eastAsia="en-US" w:bidi="ar-SA"/>
              </w:rPr>
              <w:t>距离不够，造成空气击穿；</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5.防护用品和工具的采购、</w:t>
            </w:r>
            <w:r>
              <w:rPr>
                <w:rFonts w:hint="default" w:ascii="Times New Roman" w:hAnsi="Times New Roman" w:eastAsia="宋体" w:cs="Times New Roman"/>
                <w:snapToGrid w:val="0"/>
                <w:color w:val="auto"/>
                <w:spacing w:val="3"/>
                <w:kern w:val="0"/>
                <w:sz w:val="21"/>
                <w:szCs w:val="21"/>
                <w:lang w:val="en-US" w:eastAsia="en-US" w:bidi="ar-SA"/>
              </w:rPr>
              <w:t>保管、检验、限废、更换有缺陷；移动式电动工具的使</w:t>
            </w:r>
            <w:r>
              <w:rPr>
                <w:rFonts w:hint="default" w:ascii="Times New Roman" w:hAnsi="Times New Roman" w:eastAsia="宋体" w:cs="Times New Roman"/>
                <w:snapToGrid w:val="0"/>
                <w:color w:val="auto"/>
                <w:spacing w:val="8"/>
                <w:kern w:val="0"/>
                <w:sz w:val="21"/>
                <w:szCs w:val="21"/>
                <w:lang w:val="en-US" w:eastAsia="en-US" w:bidi="ar-SA"/>
              </w:rPr>
              <w:t>用、保管、维修不当；</w:t>
            </w:r>
          </w:p>
        </w:tc>
        <w:tc>
          <w:tcPr>
            <w:tcW w:w="29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position w:val="4"/>
                <w:sz w:val="21"/>
                <w:szCs w:val="21"/>
                <w:lang w:val="en-US" w:eastAsia="en-US" w:bidi="ar-SA"/>
              </w:rPr>
              <w:t>人员</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伤亡</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position w:val="1"/>
                <w:sz w:val="21"/>
                <w:szCs w:val="21"/>
                <w:lang w:val="en-US" w:eastAsia="en-US" w:bidi="ar-SA"/>
              </w:rPr>
              <w:t>、</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position w:val="4"/>
                <w:sz w:val="21"/>
                <w:szCs w:val="21"/>
                <w:lang w:val="en-US" w:eastAsia="en-US" w:bidi="ar-SA"/>
              </w:rPr>
              <w:t>设备</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损坏</w:t>
            </w:r>
          </w:p>
        </w:tc>
        <w:tc>
          <w:tcPr>
            <w:tcW w:w="311" w:type="pct"/>
            <w:vAlign w:val="center"/>
          </w:tcPr>
          <w:p>
            <w:pPr>
              <w:keepNext w:val="0"/>
              <w:keepLines w:val="0"/>
              <w:pageBreakBefore w:val="0"/>
              <w:widowControl/>
              <w:kinsoku w:val="0"/>
              <w:wordWrap/>
              <w:overflowPunct/>
              <w:topLinePunct w:val="0"/>
              <w:autoSpaceDE w:val="0"/>
              <w:autoSpaceDN w:val="0"/>
              <w:bidi w:val="0"/>
              <w:adjustRightInd w:val="0"/>
              <w:snapToGrid w:val="0"/>
              <w:spacing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Ⅱ</w:t>
            </w:r>
          </w:p>
        </w:tc>
        <w:tc>
          <w:tcPr>
            <w:tcW w:w="166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7"/>
                <w:kern w:val="0"/>
                <w:sz w:val="21"/>
                <w:szCs w:val="21"/>
                <w:lang w:val="en-US" w:eastAsia="en-US" w:bidi="ar-SA"/>
              </w:rPr>
              <w:t>1.对电气作业人员采取培</w:t>
            </w:r>
            <w:r>
              <w:rPr>
                <w:rFonts w:hint="default" w:ascii="Times New Roman" w:hAnsi="Times New Roman" w:eastAsia="宋体" w:cs="Times New Roman"/>
                <w:snapToGrid w:val="0"/>
                <w:color w:val="auto"/>
                <w:spacing w:val="7"/>
                <w:kern w:val="0"/>
                <w:sz w:val="21"/>
                <w:szCs w:val="21"/>
                <w:lang w:val="en-US" w:eastAsia="en-US" w:bidi="ar-SA"/>
              </w:rPr>
              <w:t>训、持证上岗制度；</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2"/>
                <w:kern w:val="0"/>
                <w:sz w:val="21"/>
                <w:szCs w:val="21"/>
                <w:lang w:val="en-US" w:eastAsia="en-US" w:bidi="ar-SA"/>
              </w:rPr>
              <w:t>2.保证电气设备金属外壳接</w:t>
            </w:r>
            <w:r>
              <w:rPr>
                <w:rFonts w:hint="default" w:ascii="Times New Roman" w:hAnsi="Times New Roman" w:eastAsia="宋体" w:cs="Times New Roman"/>
                <w:snapToGrid w:val="0"/>
                <w:color w:val="auto"/>
                <w:spacing w:val="11"/>
                <w:kern w:val="0"/>
                <w:sz w:val="21"/>
                <w:szCs w:val="21"/>
                <w:lang w:val="en-US" w:eastAsia="en-US" w:bidi="ar-SA"/>
              </w:rPr>
              <w:t>地(零)，定期检测接地电阻</w:t>
            </w:r>
            <w:r>
              <w:rPr>
                <w:rFonts w:hint="default" w:ascii="Times New Roman" w:hAnsi="Times New Roman" w:eastAsia="宋体" w:cs="Times New Roman"/>
                <w:snapToGrid w:val="0"/>
                <w:color w:val="auto"/>
                <w:spacing w:val="7"/>
                <w:kern w:val="0"/>
                <w:sz w:val="21"/>
                <w:szCs w:val="21"/>
                <w:lang w:val="en-US" w:eastAsia="en-US" w:bidi="ar-SA"/>
              </w:rPr>
              <w:t>符合安全要求；</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9"/>
                <w:kern w:val="0"/>
                <w:sz w:val="21"/>
                <w:szCs w:val="21"/>
                <w:lang w:val="en-US" w:eastAsia="en-US" w:bidi="ar-SA"/>
              </w:rPr>
              <w:t>3.电力线路的电线质量、安</w:t>
            </w:r>
            <w:r>
              <w:rPr>
                <w:rFonts w:hint="default" w:ascii="Times New Roman" w:hAnsi="Times New Roman" w:eastAsia="宋体" w:cs="Times New Roman"/>
                <w:snapToGrid w:val="0"/>
                <w:color w:val="auto"/>
                <w:spacing w:val="28"/>
                <w:kern w:val="0"/>
                <w:sz w:val="21"/>
                <w:szCs w:val="21"/>
                <w:lang w:val="en-US" w:eastAsia="en-US" w:bidi="ar-SA"/>
              </w:rPr>
              <w:t>装质量等应进行相关的验</w:t>
            </w:r>
            <w:r>
              <w:rPr>
                <w:rFonts w:hint="default" w:ascii="Times New Roman" w:hAnsi="Times New Roman" w:eastAsia="宋体" w:cs="Times New Roman"/>
                <w:snapToGrid w:val="0"/>
                <w:color w:val="auto"/>
                <w:kern w:val="0"/>
                <w:sz w:val="21"/>
                <w:szCs w:val="21"/>
                <w:lang w:val="en-US" w:eastAsia="en-US" w:bidi="ar-SA"/>
              </w:rPr>
              <w:t>收；</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2"/>
                <w:kern w:val="0"/>
                <w:sz w:val="21"/>
                <w:szCs w:val="21"/>
                <w:lang w:val="en-US" w:eastAsia="en-US" w:bidi="ar-SA"/>
              </w:rPr>
              <w:t>4.根据工种配备必须要的防</w:t>
            </w:r>
            <w:r>
              <w:rPr>
                <w:rFonts w:hint="default" w:ascii="Times New Roman" w:hAnsi="Times New Roman" w:eastAsia="宋体" w:cs="Times New Roman"/>
                <w:snapToGrid w:val="0"/>
                <w:color w:val="auto"/>
                <w:spacing w:val="9"/>
                <w:kern w:val="0"/>
                <w:sz w:val="21"/>
                <w:szCs w:val="21"/>
                <w:lang w:val="en-US" w:eastAsia="en-US" w:bidi="ar-SA"/>
              </w:rPr>
              <w:t>护用品并正确使用，如绝缘鞋、绝缘手套、绝缘安全帽</w:t>
            </w:r>
            <w:r>
              <w:rPr>
                <w:rFonts w:hint="default" w:ascii="Times New Roman" w:hAnsi="Times New Roman" w:eastAsia="宋体" w:cs="Times New Roman"/>
                <w:snapToGrid w:val="0"/>
                <w:color w:val="auto"/>
                <w:spacing w:val="7"/>
                <w:kern w:val="0"/>
                <w:sz w:val="21"/>
                <w:szCs w:val="21"/>
                <w:lang w:val="en-US" w:eastAsia="en-US" w:bidi="ar-SA"/>
              </w:rPr>
              <w:t>等，并定期进行检测；</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2"/>
                <w:kern w:val="0"/>
                <w:sz w:val="21"/>
                <w:szCs w:val="21"/>
                <w:lang w:val="en-US" w:eastAsia="en-US" w:bidi="ar-SA"/>
              </w:rPr>
              <w:t>5.执行移动或电气设备及电</w:t>
            </w:r>
            <w:r>
              <w:rPr>
                <w:rFonts w:hint="default" w:ascii="Times New Roman" w:hAnsi="Times New Roman" w:eastAsia="宋体" w:cs="Times New Roman"/>
                <w:snapToGrid w:val="0"/>
                <w:color w:val="auto"/>
                <w:spacing w:val="9"/>
                <w:kern w:val="0"/>
                <w:sz w:val="21"/>
                <w:szCs w:val="21"/>
                <w:lang w:val="en-US" w:eastAsia="en-US" w:bidi="ar-SA"/>
              </w:rPr>
              <w:t>动工具的安全操作规程；作业人员必经上岗培训，掌握</w:t>
            </w:r>
            <w:r>
              <w:rPr>
                <w:rFonts w:hint="default" w:ascii="Times New Roman" w:hAnsi="Times New Roman" w:eastAsia="宋体" w:cs="Times New Roman"/>
                <w:snapToGrid w:val="0"/>
                <w:color w:val="auto"/>
                <w:spacing w:val="7"/>
                <w:kern w:val="0"/>
                <w:sz w:val="21"/>
                <w:szCs w:val="21"/>
                <w:lang w:val="en-US" w:eastAsia="en-US" w:bidi="ar-SA"/>
              </w:rPr>
              <w:t>安全作业知识。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7" w:hRule="atLeast"/>
          <w:jc w:val="center"/>
        </w:trPr>
        <w:tc>
          <w:tcPr>
            <w:tcW w:w="41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高温</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烫伤</w:t>
            </w:r>
          </w:p>
        </w:tc>
        <w:tc>
          <w:tcPr>
            <w:tcW w:w="473" w:type="pct"/>
            <w:tcBorders>
              <w:top w:val="single" w:color="000000" w:sz="2" w:space="0"/>
              <w:right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传</w:t>
            </w:r>
            <w:r>
              <w:rPr>
                <w:rFonts w:hint="default" w:ascii="Times New Roman" w:hAnsi="Times New Roman" w:eastAsia="宋体" w:cs="Times New Roman"/>
                <w:snapToGrid w:val="0"/>
                <w:color w:val="auto"/>
                <w:spacing w:val="5"/>
                <w:kern w:val="0"/>
                <w:sz w:val="21"/>
                <w:szCs w:val="21"/>
                <w:lang w:val="en-US" w:eastAsia="en-US" w:bidi="ar-SA"/>
              </w:rPr>
              <w:t>动轴</w:t>
            </w:r>
          </w:p>
        </w:tc>
        <w:tc>
          <w:tcPr>
            <w:tcW w:w="1836" w:type="pct"/>
            <w:tcBorders>
              <w:top w:val="single" w:color="000000" w:sz="2" w:space="0"/>
              <w:left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1"/>
                <w:kern w:val="0"/>
                <w:sz w:val="21"/>
                <w:szCs w:val="21"/>
                <w:lang w:val="en-US" w:eastAsia="en-US" w:bidi="ar-SA"/>
              </w:rPr>
              <w:t>设备各部件及电器损坏引</w:t>
            </w:r>
            <w:r>
              <w:rPr>
                <w:rFonts w:hint="default" w:ascii="Times New Roman" w:hAnsi="Times New Roman" w:eastAsia="宋体" w:cs="Times New Roman"/>
                <w:snapToGrid w:val="0"/>
                <w:color w:val="auto"/>
                <w:spacing w:val="3"/>
                <w:kern w:val="0"/>
                <w:sz w:val="21"/>
                <w:szCs w:val="21"/>
                <w:lang w:val="en-US" w:eastAsia="en-US" w:bidi="ar-SA"/>
              </w:rPr>
              <w:t>起轴承温度过高，检修设备</w:t>
            </w:r>
            <w:r>
              <w:rPr>
                <w:rFonts w:hint="default" w:ascii="Times New Roman" w:hAnsi="Times New Roman" w:eastAsia="宋体" w:cs="Times New Roman"/>
                <w:snapToGrid w:val="0"/>
                <w:color w:val="auto"/>
                <w:spacing w:val="22"/>
                <w:kern w:val="0"/>
                <w:sz w:val="21"/>
                <w:szCs w:val="21"/>
                <w:lang w:val="en-US" w:eastAsia="en-US" w:bidi="ar-SA"/>
              </w:rPr>
              <w:t>时注意力不集中或者防护</w:t>
            </w:r>
            <w:r>
              <w:rPr>
                <w:rFonts w:hint="default" w:ascii="Times New Roman" w:hAnsi="Times New Roman" w:eastAsia="宋体" w:cs="Times New Roman"/>
                <w:snapToGrid w:val="0"/>
                <w:color w:val="auto"/>
                <w:spacing w:val="8"/>
                <w:kern w:val="0"/>
                <w:sz w:val="21"/>
                <w:szCs w:val="21"/>
                <w:lang w:val="en-US" w:eastAsia="en-US" w:bidi="ar-SA"/>
              </w:rPr>
              <w:t>不到位接触到高温部位。</w:t>
            </w:r>
          </w:p>
        </w:tc>
        <w:tc>
          <w:tcPr>
            <w:tcW w:w="297" w:type="pct"/>
            <w:vAlign w:val="center"/>
          </w:tcPr>
          <w:p>
            <w:pPr>
              <w:keepNext w:val="0"/>
              <w:keepLines w:val="0"/>
              <w:pageBreakBefore w:val="0"/>
              <w:widowControl/>
              <w:kinsoku w:val="0"/>
              <w:wordWrap/>
              <w:overflowPunct/>
              <w:topLinePunct w:val="0"/>
              <w:autoSpaceDE w:val="0"/>
              <w:autoSpaceDN w:val="0"/>
              <w:bidi w:val="0"/>
              <w:adjustRightInd w:val="0"/>
              <w:snapToGrid w:val="0"/>
              <w:spacing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position w:val="4"/>
                <w:sz w:val="21"/>
                <w:szCs w:val="21"/>
                <w:lang w:val="en-US" w:eastAsia="en-US" w:bidi="ar-SA"/>
              </w:rPr>
              <w:t>设备</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损坏</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position w:val="1"/>
                <w:sz w:val="21"/>
                <w:szCs w:val="21"/>
                <w:lang w:val="en-US" w:eastAsia="en-US" w:bidi="ar-SA"/>
              </w:rPr>
              <w:t>、</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position w:val="4"/>
                <w:sz w:val="21"/>
                <w:szCs w:val="21"/>
                <w:lang w:val="en-US" w:eastAsia="en-US" w:bidi="ar-SA"/>
              </w:rPr>
              <w:t>人员</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伤亡</w:t>
            </w:r>
          </w:p>
        </w:tc>
        <w:tc>
          <w:tcPr>
            <w:tcW w:w="311" w:type="pct"/>
            <w:vAlign w:val="center"/>
          </w:tcPr>
          <w:p>
            <w:pPr>
              <w:keepNext w:val="0"/>
              <w:keepLines w:val="0"/>
              <w:pageBreakBefore w:val="0"/>
              <w:widowControl/>
              <w:kinsoku w:val="0"/>
              <w:wordWrap/>
              <w:overflowPunct/>
              <w:topLinePunct w:val="0"/>
              <w:autoSpaceDE w:val="0"/>
              <w:autoSpaceDN w:val="0"/>
              <w:bidi w:val="0"/>
              <w:adjustRightInd w:val="0"/>
              <w:snapToGrid w:val="0"/>
              <w:spacing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Ⅱ</w:t>
            </w:r>
          </w:p>
        </w:tc>
        <w:tc>
          <w:tcPr>
            <w:tcW w:w="166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1.定期检查，及时更换有问</w:t>
            </w:r>
            <w:r>
              <w:rPr>
                <w:rFonts w:hint="default" w:ascii="Times New Roman" w:hAnsi="Times New Roman" w:eastAsia="宋体" w:cs="Times New Roman"/>
                <w:snapToGrid w:val="0"/>
                <w:color w:val="auto"/>
                <w:spacing w:val="8"/>
                <w:kern w:val="0"/>
                <w:sz w:val="21"/>
                <w:szCs w:val="21"/>
                <w:lang w:val="en-US" w:eastAsia="en-US" w:bidi="ar-SA"/>
              </w:rPr>
              <w:t>题的部件和电器元件；</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2.选用有制造资质的正规厂</w:t>
            </w:r>
            <w:r>
              <w:rPr>
                <w:rFonts w:hint="default" w:ascii="Times New Roman" w:hAnsi="Times New Roman" w:eastAsia="宋体" w:cs="Times New Roman"/>
                <w:snapToGrid w:val="0"/>
                <w:color w:val="auto"/>
                <w:spacing w:val="9"/>
                <w:kern w:val="0"/>
                <w:sz w:val="21"/>
                <w:szCs w:val="21"/>
                <w:lang w:val="en-US" w:eastAsia="en-US" w:bidi="ar-SA"/>
              </w:rPr>
              <w:t>家生产的高质量的部件和电</w:t>
            </w:r>
            <w:r>
              <w:rPr>
                <w:rFonts w:hint="default" w:ascii="Times New Roman" w:hAnsi="Times New Roman" w:eastAsia="宋体" w:cs="Times New Roman"/>
                <w:snapToGrid w:val="0"/>
                <w:color w:val="auto"/>
                <w:spacing w:val="5"/>
                <w:kern w:val="0"/>
                <w:sz w:val="21"/>
                <w:szCs w:val="21"/>
                <w:lang w:val="en-US" w:eastAsia="en-US" w:bidi="ar-SA"/>
              </w:rPr>
              <w:t>器元件。</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3.加强员工安全教育，提高</w:t>
            </w:r>
            <w:r>
              <w:rPr>
                <w:rFonts w:hint="default" w:ascii="Times New Roman" w:hAnsi="Times New Roman" w:eastAsia="宋体" w:cs="Times New Roman"/>
                <w:snapToGrid w:val="0"/>
                <w:color w:val="auto"/>
                <w:spacing w:val="5"/>
                <w:kern w:val="0"/>
                <w:sz w:val="21"/>
                <w:szCs w:val="21"/>
                <w:lang w:val="en-US" w:eastAsia="en-US" w:bidi="ar-SA"/>
              </w:rPr>
              <w:t>员工安全意识；</w:t>
            </w:r>
          </w:p>
          <w:p>
            <w:pPr>
              <w:keepNext w:val="0"/>
              <w:keepLines w:val="0"/>
              <w:pageBreakBefore w:val="0"/>
              <w:widowControl/>
              <w:kinsoku w:val="0"/>
              <w:wordWrap/>
              <w:overflowPunct/>
              <w:topLinePunct w:val="0"/>
              <w:autoSpaceDE w:val="0"/>
              <w:autoSpaceDN w:val="0"/>
              <w:bidi w:val="0"/>
              <w:adjustRightInd w:val="0"/>
              <w:snapToGrid w:val="0"/>
              <w:spacing w:before="0" w:line="31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4.加强个人防护。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5" w:hRule="atLeast"/>
          <w:jc w:val="center"/>
        </w:trPr>
        <w:tc>
          <w:tcPr>
            <w:tcW w:w="41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position w:val="4"/>
                <w:sz w:val="21"/>
                <w:szCs w:val="21"/>
                <w:lang w:val="en-US" w:eastAsia="en-US" w:bidi="ar-SA"/>
              </w:rPr>
              <w:t>起重</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伤害</w:t>
            </w:r>
          </w:p>
        </w:tc>
        <w:tc>
          <w:tcPr>
            <w:tcW w:w="473"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19"/>
                <w:kern w:val="0"/>
                <w:sz w:val="21"/>
                <w:szCs w:val="21"/>
                <w:lang w:val="en-US" w:eastAsia="en-US" w:bidi="ar-SA"/>
              </w:rPr>
              <w:t>电动单梁起重机</w:t>
            </w:r>
          </w:p>
        </w:tc>
        <w:tc>
          <w:tcPr>
            <w:tcW w:w="183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spacing w:val="16"/>
                <w:kern w:val="0"/>
                <w:sz w:val="21"/>
                <w:szCs w:val="21"/>
                <w:lang w:val="en-US" w:eastAsia="zh-CN" w:bidi="ar-SA"/>
              </w:rPr>
            </w:pPr>
            <w:r>
              <w:rPr>
                <w:rFonts w:hint="eastAsia" w:ascii="Times New Roman" w:hAnsi="Times New Roman" w:eastAsia="宋体" w:cs="Times New Roman"/>
                <w:snapToGrid w:val="0"/>
                <w:color w:val="auto"/>
                <w:spacing w:val="16"/>
                <w:kern w:val="0"/>
                <w:sz w:val="21"/>
                <w:szCs w:val="21"/>
                <w:lang w:val="en-US" w:eastAsia="zh-CN" w:bidi="ar-SA"/>
              </w:rPr>
              <w:t>1.</w:t>
            </w:r>
            <w:r>
              <w:rPr>
                <w:rFonts w:hint="default" w:ascii="Times New Roman" w:hAnsi="Times New Roman" w:eastAsia="宋体" w:cs="Times New Roman"/>
                <w:snapToGrid w:val="0"/>
                <w:color w:val="auto"/>
                <w:spacing w:val="16"/>
                <w:kern w:val="0"/>
                <w:sz w:val="21"/>
                <w:szCs w:val="21"/>
                <w:lang w:val="en-US" w:eastAsia="en-US" w:bidi="ar-SA"/>
              </w:rPr>
              <w:t>起吊方式不当，捆绑不</w:t>
            </w:r>
            <w:r>
              <w:rPr>
                <w:rFonts w:hint="default" w:ascii="Times New Roman" w:hAnsi="Times New Roman" w:eastAsia="宋体" w:cs="Times New Roman"/>
                <w:snapToGrid w:val="0"/>
                <w:color w:val="auto"/>
                <w:spacing w:val="-2"/>
                <w:kern w:val="0"/>
                <w:sz w:val="21"/>
                <w:szCs w:val="21"/>
                <w:lang w:val="en-US" w:eastAsia="en-US" w:bidi="ar-SA"/>
              </w:rPr>
              <w:t>牢；</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2.违反操作规程：如超载起重、无证上岗；</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3.吊具失效、操作系统失灵或安全装置失效；</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4.吊物悬空的时候，人从吊物下通过、停留，或吊物从人头顶上通过；</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5.不按规定归位造成超载、过卷扬、出轨、倾翻等事故；</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6.起重设备带电；</w:t>
            </w:r>
          </w:p>
        </w:tc>
        <w:tc>
          <w:tcPr>
            <w:tcW w:w="29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position w:val="4"/>
                <w:sz w:val="21"/>
                <w:szCs w:val="21"/>
                <w:lang w:val="en-US" w:eastAsia="en-US" w:bidi="ar-SA"/>
              </w:rPr>
              <w:t>人员</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4"/>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伤亡</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设备</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损坏</w:t>
            </w:r>
          </w:p>
        </w:tc>
        <w:tc>
          <w:tcPr>
            <w:tcW w:w="311" w:type="pct"/>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Ⅲ</w:t>
            </w:r>
          </w:p>
        </w:tc>
        <w:tc>
          <w:tcPr>
            <w:tcW w:w="166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1"/>
                <w:kern w:val="0"/>
                <w:sz w:val="21"/>
                <w:szCs w:val="21"/>
                <w:lang w:val="en-US" w:eastAsia="en-US" w:bidi="ar-SA"/>
              </w:rPr>
            </w:pPr>
            <w:r>
              <w:rPr>
                <w:rFonts w:hint="eastAsia" w:ascii="Times New Roman" w:hAnsi="Times New Roman" w:eastAsia="宋体" w:cs="Times New Roman"/>
                <w:snapToGrid w:val="0"/>
                <w:color w:val="auto"/>
                <w:spacing w:val="11"/>
                <w:kern w:val="0"/>
                <w:sz w:val="21"/>
                <w:szCs w:val="21"/>
                <w:lang w:val="en-US" w:eastAsia="zh-CN" w:bidi="ar-SA"/>
              </w:rPr>
              <w:t>1.</w:t>
            </w:r>
            <w:r>
              <w:rPr>
                <w:rFonts w:hint="default" w:ascii="Times New Roman" w:hAnsi="Times New Roman" w:eastAsia="宋体" w:cs="Times New Roman"/>
                <w:snapToGrid w:val="0"/>
                <w:color w:val="auto"/>
                <w:spacing w:val="11"/>
                <w:kern w:val="0"/>
                <w:sz w:val="21"/>
                <w:szCs w:val="21"/>
                <w:lang w:val="en-US" w:eastAsia="en-US" w:bidi="ar-SA"/>
              </w:rPr>
              <w:t>起吊前检查到位，捆绑牢</w:t>
            </w:r>
            <w:r>
              <w:rPr>
                <w:rFonts w:hint="default" w:ascii="Times New Roman" w:hAnsi="Times New Roman" w:eastAsia="宋体" w:cs="Times New Roman"/>
                <w:snapToGrid w:val="0"/>
                <w:color w:val="auto"/>
                <w:kern w:val="0"/>
                <w:sz w:val="21"/>
                <w:szCs w:val="21"/>
                <w:lang w:val="en-US" w:eastAsia="en-US" w:bidi="ar-SA"/>
              </w:rPr>
              <w:t>靠；</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2.操作人员和指挥人员必须有特种作业人员操作资格证；</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3.定期检查防护、保护装置，并确保装置齐全、完好有效；</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4.不准将起吊重物长期悬挂在空中，作业区域做好警示；</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5.制度相关操作规程，指导操作人员按规程进行操作；</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6.起重机的滑触线上严禁连接与起重机无关的用电设备。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41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spacing w:val="4"/>
                <w:kern w:val="0"/>
                <w:sz w:val="21"/>
                <w:szCs w:val="21"/>
                <w:lang w:val="en-US" w:eastAsia="zh-CN" w:bidi="ar-SA"/>
              </w:rPr>
            </w:pPr>
            <w:r>
              <w:rPr>
                <w:rFonts w:hint="eastAsia" w:ascii="Times New Roman" w:hAnsi="Times New Roman" w:eastAsia="宋体" w:cs="Times New Roman"/>
                <w:snapToGrid w:val="0"/>
                <w:color w:val="auto"/>
                <w:spacing w:val="4"/>
                <w:kern w:val="0"/>
                <w:sz w:val="21"/>
                <w:szCs w:val="21"/>
                <w:lang w:val="en-US" w:eastAsia="zh-CN" w:bidi="ar-SA"/>
              </w:rPr>
              <w:t>物体</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eastAsia" w:ascii="Times New Roman" w:hAnsi="Times New Roman" w:eastAsia="宋体" w:cs="Times New Roman"/>
                <w:snapToGrid w:val="0"/>
                <w:color w:val="auto"/>
                <w:spacing w:val="4"/>
                <w:kern w:val="0"/>
                <w:sz w:val="21"/>
                <w:szCs w:val="21"/>
                <w:lang w:val="en-US" w:eastAsia="zh-CN" w:bidi="ar-SA"/>
              </w:rPr>
              <w:t>打击</w:t>
            </w:r>
          </w:p>
        </w:tc>
        <w:tc>
          <w:tcPr>
            <w:tcW w:w="473"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9"/>
                <w:kern w:val="0"/>
                <w:sz w:val="21"/>
                <w:szCs w:val="21"/>
                <w:lang w:val="en-US" w:eastAsia="zh-CN" w:bidi="ar-SA"/>
              </w:rPr>
            </w:pPr>
            <w:r>
              <w:rPr>
                <w:rFonts w:hint="eastAsia" w:ascii="Times New Roman" w:hAnsi="Times New Roman" w:eastAsia="宋体" w:cs="Times New Roman"/>
                <w:snapToGrid w:val="0"/>
                <w:color w:val="auto"/>
                <w:spacing w:val="19"/>
                <w:kern w:val="0"/>
                <w:sz w:val="21"/>
                <w:szCs w:val="21"/>
                <w:lang w:val="en-US" w:eastAsia="zh-CN" w:bidi="ar-SA"/>
              </w:rPr>
              <w:t>架空管线、高处作业平台</w:t>
            </w:r>
          </w:p>
        </w:tc>
        <w:tc>
          <w:tcPr>
            <w:tcW w:w="1836" w:type="pct"/>
            <w:vAlign w:val="center"/>
          </w:tcPr>
          <w:p>
            <w:pPr>
              <w:keepNext w:val="0"/>
              <w:keepLines w:val="0"/>
              <w:pageBreakBefore w:val="0"/>
              <w:widowControl/>
              <w:numPr>
                <w:ilvl w:val="0"/>
                <w:numId w:val="12"/>
              </w:numPr>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eastAsia" w:ascii="Times New Roman" w:hAnsi="Times New Roman" w:eastAsia="宋体" w:cs="Times New Roman"/>
                <w:snapToGrid w:val="0"/>
                <w:color w:val="auto"/>
                <w:spacing w:val="2"/>
                <w:kern w:val="0"/>
                <w:position w:val="4"/>
                <w:sz w:val="21"/>
                <w:szCs w:val="21"/>
                <w:lang w:val="en-US" w:eastAsia="zh-CN" w:bidi="ar-SA"/>
              </w:rPr>
            </w:pPr>
            <w:r>
              <w:rPr>
                <w:rFonts w:hint="default" w:ascii="Times New Roman" w:hAnsi="Times New Roman" w:eastAsia="宋体" w:cs="Times New Roman"/>
                <w:snapToGrid w:val="0"/>
                <w:color w:val="auto"/>
                <w:spacing w:val="2"/>
                <w:kern w:val="0"/>
                <w:position w:val="4"/>
                <w:sz w:val="21"/>
                <w:szCs w:val="21"/>
                <w:lang w:val="en-US" w:eastAsia="en-US" w:bidi="ar-SA"/>
              </w:rPr>
              <w:t>高处的物体固定不牢，架空管线等固定不牢</w:t>
            </w:r>
            <w:r>
              <w:rPr>
                <w:rFonts w:hint="eastAsia" w:ascii="Times New Roman" w:hAnsi="Times New Roman" w:eastAsia="宋体" w:cs="Times New Roman"/>
                <w:snapToGrid w:val="0"/>
                <w:color w:val="auto"/>
                <w:spacing w:val="2"/>
                <w:kern w:val="0"/>
                <w:position w:val="4"/>
                <w:sz w:val="21"/>
                <w:szCs w:val="21"/>
                <w:lang w:val="en-US" w:eastAsia="zh-CN" w:bidi="ar-SA"/>
              </w:rPr>
              <w:t>；</w:t>
            </w:r>
          </w:p>
          <w:p>
            <w:pPr>
              <w:keepNext w:val="0"/>
              <w:keepLines w:val="0"/>
              <w:pageBreakBefore w:val="0"/>
              <w:widowControl/>
              <w:numPr>
                <w:ilvl w:val="0"/>
                <w:numId w:val="12"/>
              </w:numPr>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因腐蚀或风造成断裂，检修时使用工具飞出击打到人体上而造成的物体打击伤害。</w:t>
            </w:r>
          </w:p>
          <w:p>
            <w:pPr>
              <w:keepNext w:val="0"/>
              <w:keepLines w:val="0"/>
              <w:pageBreakBefore w:val="0"/>
              <w:widowControl/>
              <w:numPr>
                <w:ilvl w:val="0"/>
                <w:numId w:val="12"/>
              </w:numPr>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高处作业或在高处平台上作业时，使用工具不合适、使用方法不当或违规操作、材料放置不当，造成高空落物等，易发生物体打击事故。</w:t>
            </w:r>
          </w:p>
        </w:tc>
        <w:tc>
          <w:tcPr>
            <w:tcW w:w="29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人员</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伤亡</w:t>
            </w:r>
          </w:p>
        </w:tc>
        <w:tc>
          <w:tcPr>
            <w:tcW w:w="311" w:type="pct"/>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Ⅲ</w:t>
            </w:r>
          </w:p>
        </w:tc>
        <w:tc>
          <w:tcPr>
            <w:tcW w:w="1664" w:type="pct"/>
            <w:vAlign w:val="center"/>
          </w:tcPr>
          <w:p>
            <w:pPr>
              <w:keepNext w:val="0"/>
              <w:keepLines w:val="0"/>
              <w:pageBreakBefore w:val="0"/>
              <w:widowControl/>
              <w:numPr>
                <w:ilvl w:val="0"/>
                <w:numId w:val="13"/>
              </w:numPr>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eastAsia" w:ascii="Times New Roman" w:hAnsi="Times New Roman" w:eastAsia="宋体" w:cs="Times New Roman"/>
                <w:snapToGrid w:val="0"/>
                <w:color w:val="auto"/>
                <w:spacing w:val="2"/>
                <w:kern w:val="0"/>
                <w:position w:val="4"/>
                <w:sz w:val="21"/>
                <w:szCs w:val="21"/>
                <w:lang w:val="en-US" w:eastAsia="zh-CN" w:bidi="ar-SA"/>
              </w:rPr>
            </w:pPr>
            <w:r>
              <w:rPr>
                <w:rFonts w:hint="eastAsia" w:ascii="Times New Roman" w:hAnsi="Times New Roman" w:eastAsia="宋体" w:cs="Times New Roman"/>
                <w:snapToGrid w:val="0"/>
                <w:color w:val="auto"/>
                <w:spacing w:val="2"/>
                <w:kern w:val="0"/>
                <w:position w:val="4"/>
                <w:sz w:val="21"/>
                <w:szCs w:val="21"/>
                <w:lang w:val="en-US" w:eastAsia="zh-CN" w:bidi="ar-SA"/>
              </w:rPr>
              <w:t>物料摆放稳固整齐，防倒塌措施有效。</w:t>
            </w:r>
          </w:p>
          <w:p>
            <w:pPr>
              <w:keepNext w:val="0"/>
              <w:keepLines w:val="0"/>
              <w:pageBreakBefore w:val="0"/>
              <w:widowControl/>
              <w:numPr>
                <w:ilvl w:val="0"/>
                <w:numId w:val="13"/>
              </w:numPr>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2"/>
                <w:kern w:val="0"/>
                <w:position w:val="4"/>
                <w:sz w:val="21"/>
                <w:szCs w:val="21"/>
                <w:lang w:val="en-US" w:eastAsia="zh-CN" w:bidi="ar-SA"/>
              </w:rPr>
            </w:pPr>
            <w:r>
              <w:rPr>
                <w:rFonts w:hint="default" w:ascii="Times New Roman" w:hAnsi="Times New Roman" w:eastAsia="宋体" w:cs="Times New Roman"/>
                <w:snapToGrid w:val="0"/>
                <w:color w:val="auto"/>
                <w:spacing w:val="2"/>
                <w:kern w:val="0"/>
                <w:position w:val="4"/>
                <w:sz w:val="21"/>
                <w:szCs w:val="21"/>
                <w:lang w:val="en-US" w:eastAsia="zh-CN" w:bidi="ar-SA"/>
              </w:rPr>
              <w:t>按要求正确佩戴安全帽。</w:t>
            </w:r>
          </w:p>
          <w:p>
            <w:pPr>
              <w:keepNext w:val="0"/>
              <w:keepLines w:val="0"/>
              <w:pageBreakBefore w:val="0"/>
              <w:widowControl/>
              <w:numPr>
                <w:ilvl w:val="0"/>
                <w:numId w:val="13"/>
              </w:numPr>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2"/>
                <w:kern w:val="0"/>
                <w:position w:val="4"/>
                <w:sz w:val="21"/>
                <w:szCs w:val="21"/>
                <w:lang w:val="en-US" w:eastAsia="zh-CN" w:bidi="ar-SA"/>
              </w:rPr>
            </w:pPr>
            <w:r>
              <w:rPr>
                <w:rFonts w:hint="default" w:ascii="Times New Roman" w:hAnsi="Times New Roman" w:eastAsia="宋体" w:cs="Times New Roman"/>
                <w:snapToGrid w:val="0"/>
                <w:color w:val="auto"/>
                <w:spacing w:val="2"/>
                <w:kern w:val="0"/>
                <w:position w:val="4"/>
                <w:sz w:val="21"/>
                <w:szCs w:val="21"/>
                <w:lang w:val="en-US" w:eastAsia="zh-CN" w:bidi="ar-SA"/>
              </w:rPr>
              <w:t>高处检修要划定作业区域，设置警示标志。</w:t>
            </w:r>
          </w:p>
          <w:p>
            <w:pPr>
              <w:keepNext w:val="0"/>
              <w:keepLines w:val="0"/>
              <w:pageBreakBefore w:val="0"/>
              <w:widowControl/>
              <w:numPr>
                <w:ilvl w:val="0"/>
                <w:numId w:val="13"/>
              </w:numPr>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2"/>
                <w:kern w:val="0"/>
                <w:position w:val="4"/>
                <w:sz w:val="21"/>
                <w:szCs w:val="21"/>
                <w:lang w:val="en-US" w:eastAsia="zh-CN" w:bidi="ar-SA"/>
              </w:rPr>
            </w:pPr>
            <w:r>
              <w:rPr>
                <w:rFonts w:hint="default" w:ascii="Times New Roman" w:hAnsi="Times New Roman" w:eastAsia="宋体" w:cs="Times New Roman"/>
                <w:snapToGrid w:val="0"/>
                <w:color w:val="auto"/>
                <w:spacing w:val="2"/>
                <w:kern w:val="0"/>
                <w:position w:val="4"/>
                <w:sz w:val="21"/>
                <w:szCs w:val="21"/>
                <w:lang w:val="en-US" w:eastAsia="zh-CN" w:bidi="ar-SA"/>
              </w:rPr>
              <w:t>高处作业常用工具要按规定放在工具袋内，不得随手乱扔、乱放。</w:t>
            </w:r>
          </w:p>
          <w:p>
            <w:pPr>
              <w:keepNext w:val="0"/>
              <w:keepLines w:val="0"/>
              <w:pageBreakBefore w:val="0"/>
              <w:widowControl/>
              <w:numPr>
                <w:ilvl w:val="0"/>
                <w:numId w:val="13"/>
              </w:numPr>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2"/>
                <w:kern w:val="0"/>
                <w:position w:val="4"/>
                <w:sz w:val="21"/>
                <w:szCs w:val="21"/>
                <w:lang w:val="en-US" w:eastAsia="zh-CN" w:bidi="ar-SA"/>
              </w:rPr>
            </w:pPr>
            <w:r>
              <w:rPr>
                <w:rFonts w:hint="default" w:ascii="Times New Roman" w:hAnsi="Times New Roman" w:eastAsia="宋体" w:cs="Times New Roman"/>
                <w:snapToGrid w:val="0"/>
                <w:color w:val="auto"/>
                <w:spacing w:val="2"/>
                <w:kern w:val="0"/>
                <w:position w:val="4"/>
                <w:sz w:val="21"/>
                <w:szCs w:val="21"/>
                <w:lang w:val="en-US" w:eastAsia="zh-CN" w:bidi="ar-SA"/>
              </w:rPr>
              <w:t>按规范要求设置脚手架和防护网。</w:t>
            </w:r>
          </w:p>
          <w:p>
            <w:pPr>
              <w:keepNext w:val="0"/>
              <w:keepLines w:val="0"/>
              <w:pageBreakBefore w:val="0"/>
              <w:widowControl/>
              <w:numPr>
                <w:ilvl w:val="0"/>
                <w:numId w:val="13"/>
              </w:numPr>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2"/>
                <w:kern w:val="0"/>
                <w:position w:val="4"/>
                <w:sz w:val="21"/>
                <w:szCs w:val="21"/>
                <w:lang w:val="en-US" w:eastAsia="zh-CN" w:bidi="ar-SA"/>
              </w:rPr>
            </w:pPr>
            <w:r>
              <w:rPr>
                <w:rFonts w:hint="default" w:ascii="Times New Roman" w:hAnsi="Times New Roman" w:eastAsia="宋体" w:cs="Times New Roman"/>
                <w:snapToGrid w:val="0"/>
                <w:color w:val="auto"/>
                <w:spacing w:val="2"/>
                <w:kern w:val="0"/>
                <w:position w:val="4"/>
                <w:sz w:val="21"/>
                <w:szCs w:val="21"/>
                <w:lang w:val="en-US" w:eastAsia="zh-CN" w:bidi="ar-SA"/>
              </w:rPr>
              <w:t>定期检查建构筑物，及时排除坍塌和落物安全隐患。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1" w:hRule="atLeast"/>
          <w:jc w:val="center"/>
        </w:trPr>
        <w:tc>
          <w:tcPr>
            <w:tcW w:w="41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其他</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伤害</w:t>
            </w:r>
          </w:p>
        </w:tc>
        <w:tc>
          <w:tcPr>
            <w:tcW w:w="473"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spacing w:val="2"/>
                <w:kern w:val="0"/>
                <w:position w:val="4"/>
                <w:sz w:val="21"/>
                <w:szCs w:val="21"/>
                <w:lang w:val="en-US" w:eastAsia="zh-CN" w:bidi="ar-SA"/>
              </w:rPr>
            </w:pPr>
            <w:r>
              <w:rPr>
                <w:rFonts w:hint="default" w:ascii="Times New Roman" w:hAnsi="Times New Roman" w:eastAsia="宋体" w:cs="Times New Roman"/>
                <w:snapToGrid w:val="0"/>
                <w:color w:val="auto"/>
                <w:spacing w:val="2"/>
                <w:kern w:val="0"/>
                <w:position w:val="4"/>
                <w:sz w:val="21"/>
                <w:szCs w:val="21"/>
                <w:lang w:val="en-US" w:eastAsia="en-US" w:bidi="ar-SA"/>
              </w:rPr>
              <w:t>粉尘、噪声、高（低）温</w:t>
            </w:r>
            <w:r>
              <w:rPr>
                <w:rFonts w:hint="eastAsia" w:ascii="Times New Roman" w:hAnsi="Times New Roman" w:eastAsia="宋体" w:cs="Times New Roman"/>
                <w:snapToGrid w:val="0"/>
                <w:color w:val="auto"/>
                <w:spacing w:val="2"/>
                <w:kern w:val="0"/>
                <w:position w:val="4"/>
                <w:sz w:val="21"/>
                <w:szCs w:val="21"/>
                <w:lang w:val="en-US" w:eastAsia="zh-CN" w:bidi="ar-SA"/>
              </w:rPr>
              <w:t>、中毒窒息</w:t>
            </w:r>
          </w:p>
        </w:tc>
        <w:tc>
          <w:tcPr>
            <w:tcW w:w="183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1.工艺设计不合理，或工艺粗糙产生粉尘、噪声；</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2.没有降尘除尘措施；</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3.设备设计缺陷或者质量不符合要求，运行产生噪声；</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4.没有消除噪声设施或者措施；</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5.接触粉尘和噪声人员没有按要求提供防护用品；</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left"/>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6.高、低温作业环境，没有降温、供暖措施。</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2"/>
                <w:kern w:val="0"/>
                <w:position w:val="4"/>
                <w:sz w:val="21"/>
                <w:szCs w:val="21"/>
                <w:lang w:val="en-US" w:eastAsia="zh-CN" w:bidi="ar-SA"/>
              </w:rPr>
            </w:pPr>
            <w:r>
              <w:rPr>
                <w:rFonts w:hint="eastAsia" w:ascii="Times New Roman" w:hAnsi="Times New Roman" w:eastAsia="宋体" w:cs="Times New Roman"/>
                <w:snapToGrid w:val="0"/>
                <w:color w:val="auto"/>
                <w:spacing w:val="2"/>
                <w:kern w:val="0"/>
                <w:position w:val="4"/>
                <w:sz w:val="21"/>
                <w:szCs w:val="21"/>
                <w:lang w:val="en-US" w:eastAsia="zh-CN" w:bidi="ar-SA"/>
              </w:rPr>
              <w:t>7.通风设计不合理：化验室没有设置通风设施，设计的通风时间过短等；有害气体涌出：化验过程中突然遇到含有大量窒息性气体、有毒气体，人员没有防护措施；出现意外情况</w:t>
            </w:r>
          </w:p>
        </w:tc>
        <w:tc>
          <w:tcPr>
            <w:tcW w:w="297"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人员</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伤亡</w:t>
            </w:r>
          </w:p>
        </w:tc>
        <w:tc>
          <w:tcPr>
            <w:tcW w:w="311"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Ⅱ</w:t>
            </w:r>
          </w:p>
        </w:tc>
        <w:tc>
          <w:tcPr>
            <w:tcW w:w="166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1.工艺设计需经审查合格，生产过程中严格按照设计施工，加强生产管理；</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2.产生粉尘场所，需按照降尘除尘措施，如洒水降尘，布袋除尘等措施；</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3.购买安装质量合格设备；</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4.产生噪声场所或者设备，需配置消音设施；</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5.给触粉尘和噪声岗位人员配备必要的防护用品；</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2"/>
                <w:kern w:val="0"/>
                <w:position w:val="4"/>
                <w:sz w:val="21"/>
                <w:szCs w:val="21"/>
                <w:lang w:val="en-US" w:eastAsia="en-US" w:bidi="ar-SA"/>
              </w:rPr>
            </w:pPr>
            <w:r>
              <w:rPr>
                <w:rFonts w:hint="default" w:ascii="Times New Roman" w:hAnsi="Times New Roman" w:eastAsia="宋体" w:cs="Times New Roman"/>
                <w:snapToGrid w:val="0"/>
                <w:color w:val="auto"/>
                <w:spacing w:val="2"/>
                <w:kern w:val="0"/>
                <w:position w:val="4"/>
                <w:sz w:val="21"/>
                <w:szCs w:val="21"/>
                <w:lang w:val="en-US" w:eastAsia="en-US" w:bidi="ar-SA"/>
              </w:rPr>
              <w:t>6.做好夏季防暑降温，冬季供暖工作，提供良好作业环境。</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both"/>
              <w:textAlignment w:val="baseline"/>
              <w:rPr>
                <w:rFonts w:hint="default" w:ascii="Times New Roman" w:hAnsi="Times New Roman" w:eastAsia="宋体" w:cs="Times New Roman"/>
                <w:snapToGrid w:val="0"/>
                <w:color w:val="auto"/>
                <w:spacing w:val="2"/>
                <w:kern w:val="0"/>
                <w:position w:val="4"/>
                <w:sz w:val="21"/>
                <w:szCs w:val="21"/>
                <w:lang w:val="en-US" w:eastAsia="zh-CN" w:bidi="ar-SA"/>
              </w:rPr>
            </w:pPr>
            <w:r>
              <w:rPr>
                <w:rFonts w:hint="eastAsia" w:ascii="Times New Roman" w:hAnsi="Times New Roman" w:eastAsia="宋体" w:cs="Times New Roman"/>
                <w:snapToGrid w:val="0"/>
                <w:color w:val="auto"/>
                <w:spacing w:val="2"/>
                <w:kern w:val="0"/>
                <w:position w:val="4"/>
                <w:sz w:val="21"/>
                <w:szCs w:val="21"/>
                <w:lang w:val="en-US" w:eastAsia="zh-CN" w:bidi="ar-SA"/>
              </w:rPr>
              <w:t>7.利用高侧窗组织自然通风，对通风要求较高的车间采用成品屋面自然通风器或机械通风。</w:t>
            </w:r>
          </w:p>
        </w:tc>
      </w:tr>
    </w:tbl>
    <w:p>
      <w:pPr>
        <w:pStyle w:val="4"/>
        <w:bidi w:val="0"/>
        <w:rPr>
          <w:rFonts w:hint="eastAsia" w:ascii="Times New Roman" w:hAnsi="Times New Roman" w:cs="Times New Roman"/>
          <w:color w:val="auto"/>
          <w:lang w:val="en-US" w:eastAsia="zh-CN"/>
        </w:rPr>
      </w:pPr>
      <w:bookmarkStart w:id="261" w:name="_Toc10425"/>
      <w:bookmarkStart w:id="262" w:name="_Toc11258"/>
      <w:r>
        <w:rPr>
          <w:rFonts w:hint="eastAsia" w:ascii="Times New Roman" w:hAnsi="Times New Roman" w:cs="Times New Roman"/>
          <w:color w:val="auto"/>
          <w:lang w:val="en-US" w:eastAsia="zh-CN"/>
        </w:rPr>
        <w:t>5.3.2 安全检查表法分析评价</w:t>
      </w:r>
      <w:bookmarkEnd w:id="261"/>
      <w:bookmarkEnd w:id="262"/>
    </w:p>
    <w:p>
      <w:pPr>
        <w:rPr>
          <w:rFonts w:hint="eastAsia"/>
          <w:color w:val="auto"/>
          <w:lang w:val="en-US" w:eastAsia="zh-CN"/>
        </w:rPr>
      </w:pPr>
      <w:r>
        <w:rPr>
          <w:rFonts w:hint="eastAsia"/>
          <w:color w:val="auto"/>
          <w:lang w:val="en-US" w:eastAsia="zh-CN"/>
        </w:rPr>
        <w:t>依据《选矿安全规程》（GB/T18152-2000）、《有色金属选矿厂工艺设计规范》（GB50782-2012）编制安全检查表，对评价项目的生产工艺及设备设施单元的符合性进行评价，检查情况见表5-5。</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w:t>
      </w:r>
      <w:r>
        <w:rPr>
          <w:rFonts w:hint="eastAsia" w:cs="Times New Roman"/>
          <w:color w:val="auto"/>
          <w:lang w:val="en-US" w:eastAsia="zh-CN"/>
        </w:rPr>
        <w:t>5</w:t>
      </w:r>
      <w:r>
        <w:rPr>
          <w:rFonts w:hint="eastAsia" w:ascii="Times New Roman" w:hAnsi="Times New Roman" w:eastAsia="宋体" w:cs="Times New Roman"/>
          <w:color w:val="auto"/>
          <w:lang w:val="en-US" w:eastAsia="zh-CN"/>
        </w:rPr>
        <w:t xml:space="preserve"> </w:t>
      </w:r>
      <w:r>
        <w:rPr>
          <w:rFonts w:hint="eastAsia"/>
          <w:color w:val="auto"/>
          <w:lang w:val="en-US" w:eastAsia="zh-CN"/>
        </w:rPr>
        <w:t>生产工艺及设备设施单元</w:t>
      </w:r>
      <w:r>
        <w:rPr>
          <w:rFonts w:hint="default" w:ascii="Times New Roman" w:hAnsi="Times New Roman" w:eastAsia="宋体" w:cs="Times New Roman"/>
          <w:color w:val="auto"/>
          <w:lang w:val="en-US" w:eastAsia="zh-CN"/>
        </w:rPr>
        <w:t>安全检查表</w:t>
      </w:r>
    </w:p>
    <w:tbl>
      <w:tblPr>
        <w:tblStyle w:val="34"/>
        <w:tblW w:w="99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3614"/>
        <w:gridCol w:w="2216"/>
        <w:gridCol w:w="2482"/>
        <w:gridCol w:w="10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567" w:type="dxa"/>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序号</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检查项目和内容</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检查依据</w:t>
            </w: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b/>
                <w:bCs/>
                <w:snapToGrid w:val="0"/>
                <w:color w:val="auto"/>
                <w:kern w:val="0"/>
                <w:sz w:val="21"/>
                <w:szCs w:val="21"/>
                <w:lang w:val="en-US" w:eastAsia="zh-CN" w:bidi="ar-SA"/>
              </w:rPr>
              <w:t>检查情况</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检查结果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9357" w:type="dxa"/>
            <w:gridSpan w:val="4"/>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破碎与筛分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1.1</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固定格筛和粗破碎机受矿槽的周围（给矿侧或翻车除外），以及螺旋分级机的槽体靠近磨矿机的排矿槽，均应设栏杆。</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《选矿安全规程》（</w:t>
            </w:r>
            <w:r>
              <w:rPr>
                <w:rFonts w:hint="eastAsia" w:cs="Times New Roman"/>
                <w:snapToGrid w:val="0"/>
                <w:color w:val="auto"/>
                <w:spacing w:val="1"/>
                <w:kern w:val="0"/>
                <w:sz w:val="21"/>
                <w:szCs w:val="21"/>
                <w:lang w:val="en-US" w:eastAsia="zh-CN" w:bidi="ar-SA"/>
              </w:rPr>
              <w:t>GB/T18152-2000</w:t>
            </w:r>
            <w:r>
              <w:rPr>
                <w:rFonts w:hint="default" w:ascii="Times New Roman" w:hAnsi="Times New Roman" w:eastAsia="宋体" w:cs="Times New Roman"/>
                <w:snapToGrid w:val="0"/>
                <w:color w:val="auto"/>
                <w:spacing w:val="1"/>
                <w:kern w:val="0"/>
                <w:sz w:val="21"/>
                <w:szCs w:val="21"/>
                <w:lang w:val="en-US" w:eastAsia="en-US" w:bidi="ar-SA"/>
              </w:rPr>
              <w:t>）第7.2.2条</w:t>
            </w: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《可研报告》及其附图中未提及</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spacing w:val="2"/>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1.2</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干式筛分作业应有除尘设施，并在密封状态下工作。密封装置应有便于检修、观察的门洞。</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《选矿安全规程》（</w:t>
            </w:r>
            <w:r>
              <w:rPr>
                <w:rFonts w:hint="eastAsia" w:cs="Times New Roman"/>
                <w:snapToGrid w:val="0"/>
                <w:color w:val="auto"/>
                <w:spacing w:val="1"/>
                <w:kern w:val="0"/>
                <w:sz w:val="21"/>
                <w:szCs w:val="21"/>
                <w:lang w:val="en-US" w:eastAsia="zh-CN" w:bidi="ar-SA"/>
              </w:rPr>
              <w:t>GB/T18152-2000</w:t>
            </w:r>
            <w:r>
              <w:rPr>
                <w:rFonts w:hint="default" w:ascii="Times New Roman" w:hAnsi="Times New Roman" w:eastAsia="宋体" w:cs="Times New Roman"/>
                <w:snapToGrid w:val="0"/>
                <w:color w:val="auto"/>
                <w:spacing w:val="1"/>
                <w:kern w:val="0"/>
                <w:sz w:val="21"/>
                <w:szCs w:val="21"/>
                <w:lang w:val="en-US" w:eastAsia="en-US" w:bidi="ar-SA"/>
              </w:rPr>
              <w:t>）第7.2.</w:t>
            </w:r>
            <w:r>
              <w:rPr>
                <w:rFonts w:hint="eastAsia" w:ascii="Times New Roman" w:hAnsi="Times New Roman" w:eastAsia="宋体" w:cs="Times New Roman"/>
                <w:snapToGrid w:val="0"/>
                <w:color w:val="auto"/>
                <w:spacing w:val="1"/>
                <w:kern w:val="0"/>
                <w:sz w:val="21"/>
                <w:szCs w:val="21"/>
                <w:lang w:val="en-US" w:eastAsia="zh-CN" w:bidi="ar-SA"/>
              </w:rPr>
              <w:t>9</w:t>
            </w:r>
            <w:r>
              <w:rPr>
                <w:rFonts w:hint="default" w:ascii="Times New Roman" w:hAnsi="Times New Roman" w:eastAsia="宋体" w:cs="Times New Roman"/>
                <w:snapToGrid w:val="0"/>
                <w:color w:val="auto"/>
                <w:spacing w:val="1"/>
                <w:kern w:val="0"/>
                <w:sz w:val="21"/>
                <w:szCs w:val="21"/>
                <w:lang w:val="en-US" w:eastAsia="en-US" w:bidi="ar-SA"/>
              </w:rPr>
              <w:t>条</w:t>
            </w: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设有除尘设施</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spacing w:val="2"/>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1.3</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破碎筛分流程及最终产品粒度应符合下列规定：</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破碎最终产品作为球磨机给矿时，大型选矿厂应采用三段一闭路破碎筛分流程,中、小型选矿厂宜采用两段一闭路破碎筛分流程,最终破碎产品粒度不宜大于12mm（ps&lt;9mm）</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《有色金属选矿厂工艺设计规范》（GB50782-2012）第</w:t>
            </w:r>
            <w:r>
              <w:rPr>
                <w:rFonts w:hint="eastAsia" w:ascii="Times New Roman" w:hAnsi="Times New Roman" w:eastAsia="宋体" w:cs="Times New Roman"/>
                <w:snapToGrid w:val="0"/>
                <w:color w:val="auto"/>
                <w:spacing w:val="1"/>
                <w:kern w:val="0"/>
                <w:sz w:val="21"/>
                <w:szCs w:val="21"/>
                <w:lang w:val="en-US" w:eastAsia="zh-CN" w:bidi="ar-SA"/>
              </w:rPr>
              <w:t>4</w:t>
            </w:r>
            <w:r>
              <w:rPr>
                <w:rFonts w:hint="default" w:ascii="Times New Roman" w:hAnsi="Times New Roman" w:eastAsia="宋体" w:cs="Times New Roman"/>
                <w:snapToGrid w:val="0"/>
                <w:color w:val="auto"/>
                <w:spacing w:val="1"/>
                <w:kern w:val="0"/>
                <w:sz w:val="21"/>
                <w:szCs w:val="21"/>
                <w:lang w:val="en-US" w:eastAsia="en-US" w:bidi="ar-SA"/>
              </w:rPr>
              <w:t>.2.</w:t>
            </w:r>
            <w:r>
              <w:rPr>
                <w:rFonts w:hint="eastAsia" w:ascii="Times New Roman" w:hAnsi="Times New Roman" w:eastAsia="宋体" w:cs="Times New Roman"/>
                <w:snapToGrid w:val="0"/>
                <w:color w:val="auto"/>
                <w:spacing w:val="1"/>
                <w:kern w:val="0"/>
                <w:sz w:val="21"/>
                <w:szCs w:val="21"/>
                <w:lang w:val="en-US" w:eastAsia="zh-CN" w:bidi="ar-SA"/>
              </w:rPr>
              <w:t>2</w:t>
            </w:r>
            <w:r>
              <w:rPr>
                <w:rFonts w:hint="default" w:ascii="Times New Roman" w:hAnsi="Times New Roman" w:eastAsia="宋体" w:cs="Times New Roman"/>
                <w:snapToGrid w:val="0"/>
                <w:color w:val="auto"/>
                <w:spacing w:val="1"/>
                <w:kern w:val="0"/>
                <w:sz w:val="21"/>
                <w:szCs w:val="21"/>
                <w:lang w:val="en-US" w:eastAsia="en-US" w:bidi="ar-SA"/>
              </w:rPr>
              <w:t>条</w:t>
            </w: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采用三段一闭路破碎筛分流程</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spacing w:val="2"/>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1.4</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破碎能力大于10kt/d的粗碎作业宜选用旋回破碎机,破碎能力小于10kt/d的粗碎作业宜选用颚式破碎机。</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《有色金属选矿厂工艺设计规范》（GB50782-2012）第</w:t>
            </w:r>
            <w:r>
              <w:rPr>
                <w:rFonts w:hint="eastAsia" w:ascii="Times New Roman" w:hAnsi="Times New Roman" w:eastAsia="宋体" w:cs="Times New Roman"/>
                <w:snapToGrid w:val="0"/>
                <w:color w:val="auto"/>
                <w:spacing w:val="1"/>
                <w:kern w:val="0"/>
                <w:sz w:val="21"/>
                <w:szCs w:val="21"/>
                <w:lang w:val="en-US" w:eastAsia="zh-CN" w:bidi="ar-SA"/>
              </w:rPr>
              <w:t>5.2.1</w:t>
            </w:r>
            <w:r>
              <w:rPr>
                <w:rFonts w:hint="default" w:ascii="Times New Roman" w:hAnsi="Times New Roman" w:eastAsia="宋体" w:cs="Times New Roman"/>
                <w:snapToGrid w:val="0"/>
                <w:color w:val="auto"/>
                <w:spacing w:val="1"/>
                <w:kern w:val="0"/>
                <w:sz w:val="21"/>
                <w:szCs w:val="21"/>
                <w:lang w:val="en-US" w:eastAsia="en-US" w:bidi="ar-SA"/>
              </w:rPr>
              <w:t>条</w:t>
            </w: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破碎能力小于10kt/d，粗碎作业选用颚式破碎机。</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1.5</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破碎中等可碎性矿石和易碎性矿石的中、小型选矿厂,中、细碎设备可选用圆锥破碎机、反击式破碎机、锤式破碎机和辊式破碎机等。</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《有色金属选矿厂工艺设计规范》（GB50782-2012）第</w:t>
            </w:r>
            <w:r>
              <w:rPr>
                <w:rFonts w:hint="eastAsia" w:ascii="Times New Roman" w:hAnsi="Times New Roman" w:eastAsia="宋体" w:cs="Times New Roman"/>
                <w:snapToGrid w:val="0"/>
                <w:color w:val="auto"/>
                <w:spacing w:val="1"/>
                <w:kern w:val="0"/>
                <w:sz w:val="21"/>
                <w:szCs w:val="21"/>
                <w:lang w:val="en-US" w:eastAsia="zh-CN" w:bidi="ar-SA"/>
              </w:rPr>
              <w:t>5.2.4</w:t>
            </w:r>
            <w:r>
              <w:rPr>
                <w:rFonts w:hint="default" w:ascii="Times New Roman" w:hAnsi="Times New Roman" w:eastAsia="宋体" w:cs="Times New Roman"/>
                <w:snapToGrid w:val="0"/>
                <w:color w:val="auto"/>
                <w:spacing w:val="1"/>
                <w:kern w:val="0"/>
                <w:sz w:val="21"/>
                <w:szCs w:val="21"/>
                <w:lang w:val="en-US" w:eastAsia="en-US" w:bidi="ar-SA"/>
              </w:rPr>
              <w:t>条</w:t>
            </w: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细碎设备选用圆锥破碎机。</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2</w:t>
            </w:r>
          </w:p>
        </w:tc>
        <w:tc>
          <w:tcPr>
            <w:tcW w:w="9357" w:type="dxa"/>
            <w:gridSpan w:val="4"/>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磨矿与分级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2.1</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磨矿机两侧和轴瓦侧面，应有防护栏杆。磨矿机运转时，人员不应在运转筒体两侧和下部逗留或工作；并应经常观察人孔门是否严密，严防磨矿介质飞出伤人。封闭磨矿机人孔时，应确认磨矿机内无人，方可封闭。</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《选矿安全规程》（</w:t>
            </w:r>
            <w:r>
              <w:rPr>
                <w:rFonts w:hint="eastAsia" w:cs="Times New Roman"/>
                <w:snapToGrid w:val="0"/>
                <w:color w:val="auto"/>
                <w:spacing w:val="1"/>
                <w:kern w:val="0"/>
                <w:sz w:val="21"/>
                <w:szCs w:val="21"/>
                <w:lang w:val="en-US" w:eastAsia="zh-CN" w:bidi="ar-SA"/>
              </w:rPr>
              <w:t>GB/T18152-2000</w:t>
            </w:r>
            <w:r>
              <w:rPr>
                <w:rFonts w:hint="default" w:ascii="Times New Roman" w:hAnsi="Times New Roman" w:eastAsia="宋体" w:cs="Times New Roman"/>
                <w:snapToGrid w:val="0"/>
                <w:color w:val="auto"/>
                <w:spacing w:val="1"/>
                <w:kern w:val="0"/>
                <w:sz w:val="21"/>
                <w:szCs w:val="21"/>
                <w:lang w:val="en-US" w:eastAsia="en-US" w:bidi="ar-SA"/>
              </w:rPr>
              <w:t>）第7.</w:t>
            </w:r>
            <w:r>
              <w:rPr>
                <w:rFonts w:hint="eastAsia" w:ascii="Times New Roman" w:hAnsi="Times New Roman" w:eastAsia="宋体" w:cs="Times New Roman"/>
                <w:snapToGrid w:val="0"/>
                <w:color w:val="auto"/>
                <w:spacing w:val="1"/>
                <w:kern w:val="0"/>
                <w:sz w:val="21"/>
                <w:szCs w:val="21"/>
                <w:lang w:val="en-US" w:eastAsia="zh-CN" w:bidi="ar-SA"/>
              </w:rPr>
              <w:t>3</w:t>
            </w:r>
            <w:r>
              <w:rPr>
                <w:rFonts w:hint="default" w:ascii="Times New Roman" w:hAnsi="Times New Roman" w:eastAsia="宋体" w:cs="Times New Roman"/>
                <w:snapToGrid w:val="0"/>
                <w:color w:val="auto"/>
                <w:spacing w:val="1"/>
                <w:kern w:val="0"/>
                <w:sz w:val="21"/>
                <w:szCs w:val="21"/>
                <w:lang w:val="en-US" w:eastAsia="en-US" w:bidi="ar-SA"/>
              </w:rPr>
              <w:t>.</w:t>
            </w:r>
            <w:r>
              <w:rPr>
                <w:rFonts w:hint="eastAsia" w:ascii="Times New Roman" w:hAnsi="Times New Roman" w:eastAsia="宋体" w:cs="Times New Roman"/>
                <w:snapToGrid w:val="0"/>
                <w:color w:val="auto"/>
                <w:spacing w:val="1"/>
                <w:kern w:val="0"/>
                <w:sz w:val="21"/>
                <w:szCs w:val="21"/>
                <w:lang w:val="en-US" w:eastAsia="zh-CN" w:bidi="ar-SA"/>
              </w:rPr>
              <w:t>1</w:t>
            </w:r>
            <w:r>
              <w:rPr>
                <w:rFonts w:hint="default" w:ascii="Times New Roman" w:hAnsi="Times New Roman" w:eastAsia="宋体" w:cs="Times New Roman"/>
                <w:snapToGrid w:val="0"/>
                <w:color w:val="auto"/>
                <w:spacing w:val="1"/>
                <w:kern w:val="0"/>
                <w:sz w:val="21"/>
                <w:szCs w:val="21"/>
                <w:lang w:val="en-US" w:eastAsia="en-US" w:bidi="ar-SA"/>
              </w:rPr>
              <w:t>条</w:t>
            </w: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《可研报告》及其附图中未提及</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2.2</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磨矿分级流程应符合下列规定：</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磨矿产品粒度为0.5mm~3mm时，大型选矿厂应首选半自磨流程或高压辊磨机与湿筛构成闭路的磨矿分级流程;中、小型选矿厂宜采用一段棒磨流程</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《有色金属选矿厂工艺设计规范》（GB50782-2012）第</w:t>
            </w:r>
            <w:r>
              <w:rPr>
                <w:rFonts w:hint="eastAsia" w:ascii="Times New Roman" w:hAnsi="Times New Roman" w:eastAsia="宋体" w:cs="Times New Roman"/>
                <w:snapToGrid w:val="0"/>
                <w:color w:val="auto"/>
                <w:spacing w:val="1"/>
                <w:kern w:val="0"/>
                <w:sz w:val="21"/>
                <w:szCs w:val="21"/>
                <w:lang w:val="en-US" w:eastAsia="zh-CN" w:bidi="ar-SA"/>
              </w:rPr>
              <w:t>4.4.1</w:t>
            </w:r>
            <w:r>
              <w:rPr>
                <w:rFonts w:hint="default" w:ascii="Times New Roman" w:hAnsi="Times New Roman" w:eastAsia="宋体" w:cs="Times New Roman"/>
                <w:snapToGrid w:val="0"/>
                <w:color w:val="auto"/>
                <w:spacing w:val="1"/>
                <w:kern w:val="0"/>
                <w:sz w:val="21"/>
                <w:szCs w:val="21"/>
                <w:lang w:val="en-US" w:eastAsia="en-US" w:bidi="ar-SA"/>
              </w:rPr>
              <w:t>条</w:t>
            </w: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磨矿产品粒度-10+6mm和-6+1.6mm，采用一段棒磨流程。</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spacing w:val="2"/>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2.3</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有用矿物嵌布粒度粗、细不均和易过粉碎的矿石，宜采用棒磨或阶段磨矿流程。</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《有色金属选矿厂工艺设计规范》（GB50782-2012）第4.4.1条</w:t>
            </w: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采用棒磨流程。</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spacing w:val="2"/>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2.4</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中、小型粗磨球磨机宜选用格子型,细磨球磨机宜选用溢流型。大型球磨机宜选用溢流型。</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《有色金属选矿厂工艺设计规范》（GB50782-2012）第</w:t>
            </w:r>
            <w:r>
              <w:rPr>
                <w:rFonts w:hint="eastAsia" w:ascii="Times New Roman" w:hAnsi="Times New Roman" w:eastAsia="宋体" w:cs="Times New Roman"/>
                <w:snapToGrid w:val="0"/>
                <w:color w:val="auto"/>
                <w:spacing w:val="1"/>
                <w:kern w:val="0"/>
                <w:sz w:val="21"/>
                <w:szCs w:val="21"/>
                <w:lang w:val="en-US" w:eastAsia="zh-CN" w:bidi="ar-SA"/>
              </w:rPr>
              <w:t>5.4.1</w:t>
            </w:r>
            <w:r>
              <w:rPr>
                <w:rFonts w:hint="default" w:ascii="Times New Roman" w:hAnsi="Times New Roman" w:eastAsia="宋体" w:cs="Times New Roman"/>
                <w:snapToGrid w:val="0"/>
                <w:color w:val="auto"/>
                <w:spacing w:val="1"/>
                <w:kern w:val="0"/>
                <w:sz w:val="21"/>
                <w:szCs w:val="21"/>
                <w:lang w:val="en-US" w:eastAsia="en-US" w:bidi="ar-SA"/>
              </w:rPr>
              <w:t>条</w:t>
            </w: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细磨球磨机选用溢流型</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spacing w:val="2"/>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2.5</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磨矿作业的分级设备,应与磨矿机型式相适应。格子型球磨机宜配以螺旋分级机，分离粒度小于0.15mm时，宜采用沉没式，也可采用分级机与水力旋流器联合分级;分离粒度大于或等于0.15mm时,宜采用高堰式。溢流型球机宜配以水力旋流器。</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《有色金属选矿厂工艺设计规范》（GB50782-2012）第5.4.</w:t>
            </w:r>
            <w:r>
              <w:rPr>
                <w:rFonts w:hint="eastAsia" w:ascii="Times New Roman" w:hAnsi="Times New Roman" w:eastAsia="宋体" w:cs="Times New Roman"/>
                <w:snapToGrid w:val="0"/>
                <w:color w:val="auto"/>
                <w:spacing w:val="1"/>
                <w:kern w:val="0"/>
                <w:sz w:val="21"/>
                <w:szCs w:val="21"/>
                <w:lang w:val="en-US" w:eastAsia="zh-CN" w:bidi="ar-SA"/>
              </w:rPr>
              <w:t>2</w:t>
            </w:r>
            <w:r>
              <w:rPr>
                <w:rFonts w:hint="default" w:ascii="Times New Roman" w:hAnsi="Times New Roman" w:eastAsia="宋体" w:cs="Times New Roman"/>
                <w:snapToGrid w:val="0"/>
                <w:color w:val="auto"/>
                <w:spacing w:val="1"/>
                <w:kern w:val="0"/>
                <w:sz w:val="21"/>
                <w:szCs w:val="21"/>
                <w:lang w:val="en-US" w:eastAsia="en-US" w:bidi="ar-SA"/>
              </w:rPr>
              <w:t>条</w:t>
            </w: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分离粒度-10+6mm和-6+1.6mm采用高堰式。</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spacing w:val="2"/>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3</w:t>
            </w:r>
          </w:p>
        </w:tc>
        <w:tc>
          <w:tcPr>
            <w:tcW w:w="9357" w:type="dxa"/>
            <w:gridSpan w:val="4"/>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选别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3.1</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浮选</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spacing w:val="2"/>
                <w:kern w:val="0"/>
                <w:sz w:val="21"/>
                <w:szCs w:val="21"/>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3.1.1</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配药间应单独设置,并应设通风装置。</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《选矿安全规程》（</w:t>
            </w:r>
            <w:r>
              <w:rPr>
                <w:rFonts w:hint="eastAsia" w:cs="Times New Roman"/>
                <w:snapToGrid w:val="0"/>
                <w:color w:val="auto"/>
                <w:spacing w:val="1"/>
                <w:kern w:val="0"/>
                <w:sz w:val="21"/>
                <w:szCs w:val="21"/>
                <w:lang w:val="en-US" w:eastAsia="zh-CN" w:bidi="ar-SA"/>
              </w:rPr>
              <w:t>GB/T18152-2000</w:t>
            </w:r>
            <w:r>
              <w:rPr>
                <w:rFonts w:hint="default" w:ascii="Times New Roman" w:hAnsi="Times New Roman" w:eastAsia="宋体" w:cs="Times New Roman"/>
                <w:snapToGrid w:val="0"/>
                <w:color w:val="auto"/>
                <w:spacing w:val="1"/>
                <w:kern w:val="0"/>
                <w:sz w:val="21"/>
                <w:szCs w:val="21"/>
                <w:lang w:val="en-US" w:eastAsia="en-US" w:bidi="ar-SA"/>
              </w:rPr>
              <w:t>）第7.</w:t>
            </w:r>
            <w:r>
              <w:rPr>
                <w:rFonts w:hint="eastAsia" w:ascii="Times New Roman" w:hAnsi="Times New Roman" w:eastAsia="宋体" w:cs="Times New Roman"/>
                <w:snapToGrid w:val="0"/>
                <w:color w:val="auto"/>
                <w:spacing w:val="1"/>
                <w:kern w:val="0"/>
                <w:sz w:val="21"/>
                <w:szCs w:val="21"/>
                <w:lang w:val="en-US" w:eastAsia="zh-CN" w:bidi="ar-SA"/>
              </w:rPr>
              <w:t>5.3.10</w:t>
            </w:r>
            <w:r>
              <w:rPr>
                <w:rFonts w:hint="default" w:ascii="Times New Roman" w:hAnsi="Times New Roman" w:eastAsia="宋体" w:cs="Times New Roman"/>
                <w:snapToGrid w:val="0"/>
                <w:color w:val="auto"/>
                <w:spacing w:val="1"/>
                <w:kern w:val="0"/>
                <w:sz w:val="21"/>
                <w:szCs w:val="21"/>
                <w:lang w:val="en-US" w:eastAsia="en-US" w:bidi="ar-SA"/>
              </w:rPr>
              <w:t>条</w:t>
            </w: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选厂设有专门的药剂仓库及制备间。但《可研报告》未提及药剂仓库及制备间的通风装置。</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3.1.2</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大型及特大型选矿厂的粗、扫选作业,宜选用充气机械搅拌式浮选机。对于易选或要求充气量不大的矿石，亦可选用机械搅拌自吸式浮选机。中、小型选矿厂宜选用配有吸浆槽的充气机械搅拌式浮选机,亦可选用机械搅拌自吸式浮选机。</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leftChars="0" w:right="0" w:rightChars="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《有色金属选矿厂工艺设计规范》（GB50782-2012）第5.</w:t>
            </w:r>
            <w:r>
              <w:rPr>
                <w:rFonts w:hint="eastAsia" w:ascii="Times New Roman" w:hAnsi="Times New Roman" w:eastAsia="宋体" w:cs="Times New Roman"/>
                <w:snapToGrid w:val="0"/>
                <w:color w:val="auto"/>
                <w:spacing w:val="1"/>
                <w:kern w:val="0"/>
                <w:sz w:val="21"/>
                <w:szCs w:val="21"/>
                <w:lang w:val="en-US" w:eastAsia="zh-CN" w:bidi="ar-SA"/>
              </w:rPr>
              <w:t>5.1</w:t>
            </w:r>
            <w:r>
              <w:rPr>
                <w:rFonts w:hint="default" w:ascii="Times New Roman" w:hAnsi="Times New Roman" w:eastAsia="宋体" w:cs="Times New Roman"/>
                <w:snapToGrid w:val="0"/>
                <w:color w:val="auto"/>
                <w:spacing w:val="1"/>
                <w:kern w:val="0"/>
                <w:sz w:val="21"/>
                <w:szCs w:val="21"/>
                <w:lang w:val="en-US" w:eastAsia="en-US" w:bidi="ar-SA"/>
              </w:rPr>
              <w:t>条</w:t>
            </w: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采用机械搅拌自吸式浮选机。</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leftChars="0" w:right="0" w:rightChars="0" w:firstLine="0" w:firstLineChars="0"/>
              <w:jc w:val="center"/>
              <w:textAlignment w:val="baseline"/>
              <w:rPr>
                <w:rFonts w:hint="eastAsia" w:ascii="Times New Roman" w:hAnsi="Times New Roman" w:eastAsia="宋体" w:cs="Times New Roman"/>
                <w:snapToGrid w:val="0"/>
                <w:color w:val="auto"/>
                <w:spacing w:val="2"/>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leftChars="0" w:right="0" w:rightChars="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3.1.3</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leftChars="0" w:right="0" w:rightChars="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浮选厂的粗、扫选作业的浮选机总槽数,不宜少于6槽.</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leftChars="0" w:right="0" w:rightChars="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《有色金属选矿厂工艺设计规范》（GB50782-2012）第5.</w:t>
            </w:r>
            <w:r>
              <w:rPr>
                <w:rFonts w:hint="eastAsia" w:ascii="Times New Roman" w:hAnsi="Times New Roman" w:eastAsia="宋体" w:cs="Times New Roman"/>
                <w:snapToGrid w:val="0"/>
                <w:color w:val="auto"/>
                <w:spacing w:val="1"/>
                <w:kern w:val="0"/>
                <w:sz w:val="21"/>
                <w:szCs w:val="21"/>
                <w:lang w:val="en-US" w:eastAsia="zh-CN" w:bidi="ar-SA"/>
              </w:rPr>
              <w:t>5.2</w:t>
            </w:r>
            <w:r>
              <w:rPr>
                <w:rFonts w:hint="default" w:ascii="Times New Roman" w:hAnsi="Times New Roman" w:eastAsia="宋体" w:cs="Times New Roman"/>
                <w:snapToGrid w:val="0"/>
                <w:color w:val="auto"/>
                <w:spacing w:val="1"/>
                <w:kern w:val="0"/>
                <w:sz w:val="21"/>
                <w:szCs w:val="21"/>
                <w:lang w:val="en-US" w:eastAsia="en-US" w:bidi="ar-SA"/>
              </w:rPr>
              <w:t>条</w:t>
            </w: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leftChars="0" w:right="0" w:rightChars="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不少于6槽</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leftChars="0" w:right="0" w:rightChars="0" w:firstLine="0" w:firstLineChars="0"/>
              <w:jc w:val="center"/>
              <w:textAlignment w:val="baseline"/>
              <w:rPr>
                <w:rFonts w:hint="eastAsia" w:ascii="Times New Roman" w:hAnsi="Times New Roman" w:eastAsia="宋体" w:cs="Times New Roman"/>
                <w:snapToGrid w:val="0"/>
                <w:color w:val="auto"/>
                <w:spacing w:val="2"/>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3.1.4</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选矿厂生产中,药剂可添加在磨矿机、浮选前泵池或分配器内。</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《有色金属选矿厂工艺设计规范》（GB50782-2012）第5.</w:t>
            </w:r>
            <w:r>
              <w:rPr>
                <w:rFonts w:hint="eastAsia" w:ascii="Times New Roman" w:hAnsi="Times New Roman" w:eastAsia="宋体" w:cs="Times New Roman"/>
                <w:snapToGrid w:val="0"/>
                <w:color w:val="auto"/>
                <w:spacing w:val="1"/>
                <w:kern w:val="0"/>
                <w:sz w:val="21"/>
                <w:szCs w:val="21"/>
                <w:lang w:val="en-US" w:eastAsia="zh-CN" w:bidi="ar-SA"/>
              </w:rPr>
              <w:t>5.6</w:t>
            </w:r>
            <w:r>
              <w:rPr>
                <w:rFonts w:hint="default" w:ascii="Times New Roman" w:hAnsi="Times New Roman" w:eastAsia="宋体" w:cs="Times New Roman"/>
                <w:snapToGrid w:val="0"/>
                <w:color w:val="auto"/>
                <w:spacing w:val="1"/>
                <w:kern w:val="0"/>
                <w:sz w:val="21"/>
                <w:szCs w:val="21"/>
                <w:lang w:val="en-US" w:eastAsia="en-US" w:bidi="ar-SA"/>
              </w:rPr>
              <w:t>条</w:t>
            </w: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药剂由主厂房药剂平台上的自动给药机添加至浮选各用药点。</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spacing w:val="2"/>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3.2</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重选</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spacing w:val="2"/>
                <w:kern w:val="0"/>
                <w:sz w:val="21"/>
                <w:szCs w:val="21"/>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3.2.1</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重选设备应根据物料性质、矿浆浓度、处理矿量、操作与维护等因素选择,应选用高效、节能的设备。</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《有色金属选矿厂工艺设计规范》（GB50782-2012）第5.</w:t>
            </w:r>
            <w:r>
              <w:rPr>
                <w:rFonts w:hint="eastAsia" w:ascii="Times New Roman" w:hAnsi="Times New Roman" w:eastAsia="宋体" w:cs="Times New Roman"/>
                <w:snapToGrid w:val="0"/>
                <w:color w:val="auto"/>
                <w:spacing w:val="1"/>
                <w:kern w:val="0"/>
                <w:sz w:val="21"/>
                <w:szCs w:val="21"/>
                <w:lang w:val="en-US" w:eastAsia="zh-CN" w:bidi="ar-SA"/>
              </w:rPr>
              <w:t>6.1</w:t>
            </w:r>
            <w:r>
              <w:rPr>
                <w:rFonts w:hint="default" w:ascii="Times New Roman" w:hAnsi="Times New Roman" w:eastAsia="宋体" w:cs="Times New Roman"/>
                <w:snapToGrid w:val="0"/>
                <w:color w:val="auto"/>
                <w:spacing w:val="1"/>
                <w:kern w:val="0"/>
                <w:sz w:val="21"/>
                <w:szCs w:val="21"/>
                <w:lang w:val="en-US" w:eastAsia="en-US" w:bidi="ar-SA"/>
              </w:rPr>
              <w:t>条</w:t>
            </w: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选用高效、节能的设备</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spacing w:val="2"/>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3.2.2</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0.074mm~20mm粗粒物料的分选,宜采用跳汰机。</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《有色金属选矿厂工艺设计规范》（GB50782-2012）第5.</w:t>
            </w:r>
            <w:r>
              <w:rPr>
                <w:rFonts w:hint="eastAsia" w:ascii="Times New Roman" w:hAnsi="Times New Roman" w:eastAsia="宋体" w:cs="Times New Roman"/>
                <w:snapToGrid w:val="0"/>
                <w:color w:val="auto"/>
                <w:spacing w:val="1"/>
                <w:kern w:val="0"/>
                <w:sz w:val="21"/>
                <w:szCs w:val="21"/>
                <w:lang w:val="en-US" w:eastAsia="zh-CN" w:bidi="ar-SA"/>
              </w:rPr>
              <w:t>6.2</w:t>
            </w:r>
            <w:r>
              <w:rPr>
                <w:rFonts w:hint="default" w:ascii="Times New Roman" w:hAnsi="Times New Roman" w:eastAsia="宋体" w:cs="Times New Roman"/>
                <w:snapToGrid w:val="0"/>
                <w:color w:val="auto"/>
                <w:spacing w:val="1"/>
                <w:kern w:val="0"/>
                <w:sz w:val="21"/>
                <w:szCs w:val="21"/>
                <w:lang w:val="en-US" w:eastAsia="en-US" w:bidi="ar-SA"/>
              </w:rPr>
              <w:t>条</w:t>
            </w: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-10+6mm和-6+1.6mm分</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别进行跳汰粗选</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spacing w:val="2"/>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3.2.3</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0.037mm~0.074mm物料的分选,可采用螺旋溜槽粗选，并宜采用摇床精选。</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《有色金属选矿厂工艺设计规范》（GB50782-2012）第5.</w:t>
            </w:r>
            <w:r>
              <w:rPr>
                <w:rFonts w:hint="eastAsia" w:ascii="Times New Roman" w:hAnsi="Times New Roman" w:eastAsia="宋体" w:cs="Times New Roman"/>
                <w:snapToGrid w:val="0"/>
                <w:color w:val="auto"/>
                <w:spacing w:val="1"/>
                <w:kern w:val="0"/>
                <w:sz w:val="21"/>
                <w:szCs w:val="21"/>
                <w:lang w:val="en-US" w:eastAsia="zh-CN" w:bidi="ar-SA"/>
              </w:rPr>
              <w:t>6.4</w:t>
            </w:r>
            <w:r>
              <w:rPr>
                <w:rFonts w:hint="default" w:ascii="Times New Roman" w:hAnsi="Times New Roman" w:eastAsia="宋体" w:cs="Times New Roman"/>
                <w:snapToGrid w:val="0"/>
                <w:color w:val="auto"/>
                <w:spacing w:val="1"/>
                <w:kern w:val="0"/>
                <w:sz w:val="21"/>
                <w:szCs w:val="21"/>
                <w:lang w:val="en-US" w:eastAsia="en-US" w:bidi="ar-SA"/>
              </w:rPr>
              <w:t>条</w:t>
            </w: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-1.6+0.5mm、-0.5+0.23mm、-0.23+0.154mm、-0.154+0.074mm四种</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粒级进行摇床扫选</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spacing w:val="2"/>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3.3</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磁选</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spacing w:val="2"/>
                <w:kern w:val="0"/>
                <w:sz w:val="21"/>
                <w:szCs w:val="21"/>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3.3.1</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干式弱磁场磁选机可分为磁滑轮和干式筒式磁选机。磁滑轮宜用于块状矿石选别;干式筒式磁选机宜用于破碎后或干式磨矿后细粒物料的选别。</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《有色金属选矿厂工艺设计规范》（GB50782-2012）第5.</w:t>
            </w:r>
            <w:r>
              <w:rPr>
                <w:rFonts w:hint="eastAsia" w:ascii="Times New Roman" w:hAnsi="Times New Roman" w:eastAsia="宋体" w:cs="Times New Roman"/>
                <w:snapToGrid w:val="0"/>
                <w:color w:val="auto"/>
                <w:spacing w:val="1"/>
                <w:kern w:val="0"/>
                <w:sz w:val="21"/>
                <w:szCs w:val="21"/>
                <w:lang w:val="en-US" w:eastAsia="zh-CN" w:bidi="ar-SA"/>
              </w:rPr>
              <w:t>7.4</w:t>
            </w:r>
            <w:r>
              <w:rPr>
                <w:rFonts w:hint="default" w:ascii="Times New Roman" w:hAnsi="Times New Roman" w:eastAsia="宋体" w:cs="Times New Roman"/>
                <w:snapToGrid w:val="0"/>
                <w:color w:val="auto"/>
                <w:spacing w:val="1"/>
                <w:kern w:val="0"/>
                <w:sz w:val="21"/>
                <w:szCs w:val="21"/>
                <w:lang w:val="en-US" w:eastAsia="en-US" w:bidi="ar-SA"/>
              </w:rPr>
              <w:t>条</w:t>
            </w: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采用干式磁选机，-1.6+0.2mm台浮精矿收集烘干后分粒级磁选。</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spacing w:val="2"/>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3.3.2</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干式盘式强磁场磁选机、辊式强磁场磁选机,宜用于稀有金属矿物的精选。</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《有色金属选矿厂工艺设计规范》（GB50782-2012）第5.</w:t>
            </w:r>
            <w:r>
              <w:rPr>
                <w:rFonts w:hint="eastAsia" w:ascii="Times New Roman" w:hAnsi="Times New Roman" w:eastAsia="宋体" w:cs="Times New Roman"/>
                <w:snapToGrid w:val="0"/>
                <w:color w:val="auto"/>
                <w:spacing w:val="1"/>
                <w:kern w:val="0"/>
                <w:sz w:val="21"/>
                <w:szCs w:val="21"/>
                <w:lang w:val="en-US" w:eastAsia="zh-CN" w:bidi="ar-SA"/>
              </w:rPr>
              <w:t>7.6</w:t>
            </w:r>
            <w:r>
              <w:rPr>
                <w:rFonts w:hint="default" w:ascii="Times New Roman" w:hAnsi="Times New Roman" w:eastAsia="宋体" w:cs="Times New Roman"/>
                <w:snapToGrid w:val="0"/>
                <w:color w:val="auto"/>
                <w:spacing w:val="1"/>
                <w:kern w:val="0"/>
                <w:sz w:val="21"/>
                <w:szCs w:val="21"/>
                <w:lang w:val="en-US" w:eastAsia="en-US" w:bidi="ar-SA"/>
              </w:rPr>
              <w:t>条</w:t>
            </w: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磁选黑钨精矿，钨矿属于稀有金属矿物。</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spacing w:val="2"/>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4</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脱水</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spacing w:val="2"/>
                <w:kern w:val="0"/>
                <w:sz w:val="21"/>
                <w:szCs w:val="21"/>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4.1</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通往周边传动式浓缩机中心盘的走桥和上下走梯,应设置栏杆。</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《选矿安全规程》（</w:t>
            </w:r>
            <w:r>
              <w:rPr>
                <w:rFonts w:hint="eastAsia" w:cs="Times New Roman"/>
                <w:snapToGrid w:val="0"/>
                <w:color w:val="auto"/>
                <w:spacing w:val="1"/>
                <w:kern w:val="0"/>
                <w:sz w:val="21"/>
                <w:szCs w:val="21"/>
                <w:lang w:val="en-US" w:eastAsia="zh-CN" w:bidi="ar-SA"/>
              </w:rPr>
              <w:t>GB/T18152-2000</w:t>
            </w:r>
            <w:r>
              <w:rPr>
                <w:rFonts w:hint="default" w:ascii="Times New Roman" w:hAnsi="Times New Roman" w:eastAsia="宋体" w:cs="Times New Roman"/>
                <w:snapToGrid w:val="0"/>
                <w:color w:val="auto"/>
                <w:spacing w:val="1"/>
                <w:kern w:val="0"/>
                <w:sz w:val="21"/>
                <w:szCs w:val="21"/>
                <w:lang w:val="en-US" w:eastAsia="en-US" w:bidi="ar-SA"/>
              </w:rPr>
              <w:t>）第7.</w:t>
            </w:r>
            <w:r>
              <w:rPr>
                <w:rFonts w:hint="eastAsia" w:ascii="Times New Roman" w:hAnsi="Times New Roman" w:eastAsia="宋体" w:cs="Times New Roman"/>
                <w:snapToGrid w:val="0"/>
                <w:color w:val="auto"/>
                <w:spacing w:val="1"/>
                <w:kern w:val="0"/>
                <w:sz w:val="21"/>
                <w:szCs w:val="21"/>
                <w:lang w:val="en-US" w:eastAsia="zh-CN" w:bidi="ar-SA"/>
              </w:rPr>
              <w:t>6.3</w:t>
            </w:r>
            <w:r>
              <w:rPr>
                <w:rFonts w:hint="default" w:ascii="Times New Roman" w:hAnsi="Times New Roman" w:eastAsia="宋体" w:cs="Times New Roman"/>
                <w:snapToGrid w:val="0"/>
                <w:color w:val="auto"/>
                <w:spacing w:val="1"/>
                <w:kern w:val="0"/>
                <w:sz w:val="21"/>
                <w:szCs w:val="21"/>
                <w:lang w:val="en-US" w:eastAsia="en-US" w:bidi="ar-SA"/>
              </w:rPr>
              <w:t>条</w:t>
            </w: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《可研报告》及其附图中未提及</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4.2</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浓缩机的溢流槽外沿,应高出地面至少0.4m;否则,应在靠近路边地段设置安全栏杆。</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《选矿安全规程》（</w:t>
            </w:r>
            <w:r>
              <w:rPr>
                <w:rFonts w:hint="eastAsia" w:cs="Times New Roman"/>
                <w:snapToGrid w:val="0"/>
                <w:color w:val="auto"/>
                <w:spacing w:val="1"/>
                <w:kern w:val="0"/>
                <w:sz w:val="21"/>
                <w:szCs w:val="21"/>
                <w:lang w:val="en-US" w:eastAsia="zh-CN" w:bidi="ar-SA"/>
              </w:rPr>
              <w:t>GB/T18152-2000</w:t>
            </w:r>
            <w:r>
              <w:rPr>
                <w:rFonts w:hint="default" w:ascii="Times New Roman" w:hAnsi="Times New Roman" w:eastAsia="宋体" w:cs="Times New Roman"/>
                <w:snapToGrid w:val="0"/>
                <w:color w:val="auto"/>
                <w:spacing w:val="1"/>
                <w:kern w:val="0"/>
                <w:sz w:val="21"/>
                <w:szCs w:val="21"/>
                <w:lang w:val="en-US" w:eastAsia="en-US" w:bidi="ar-SA"/>
              </w:rPr>
              <w:t>）第7.</w:t>
            </w:r>
            <w:r>
              <w:rPr>
                <w:rFonts w:hint="eastAsia" w:ascii="Times New Roman" w:hAnsi="Times New Roman" w:eastAsia="宋体" w:cs="Times New Roman"/>
                <w:snapToGrid w:val="0"/>
                <w:color w:val="auto"/>
                <w:spacing w:val="1"/>
                <w:kern w:val="0"/>
                <w:sz w:val="21"/>
                <w:szCs w:val="21"/>
                <w:lang w:val="en-US" w:eastAsia="zh-CN" w:bidi="ar-SA"/>
              </w:rPr>
              <w:t>6.5</w:t>
            </w:r>
            <w:r>
              <w:rPr>
                <w:rFonts w:hint="default" w:ascii="Times New Roman" w:hAnsi="Times New Roman" w:eastAsia="宋体" w:cs="Times New Roman"/>
                <w:snapToGrid w:val="0"/>
                <w:color w:val="auto"/>
                <w:spacing w:val="1"/>
                <w:kern w:val="0"/>
                <w:sz w:val="21"/>
                <w:szCs w:val="21"/>
                <w:lang w:val="en-US" w:eastAsia="en-US" w:bidi="ar-SA"/>
              </w:rPr>
              <w:t>条</w:t>
            </w: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《可研报告》及其附图中未提及</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spacing w:val="2"/>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4.3</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精矿脱水流程设计应根据精矿质量标准、运输对产品含水率的要求等,采用浓缩、过滤两段脱水流程或浓缩、过滤、干燥三段脱水流程。</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《有色金属选矿厂工艺设计规范》（GB50782-2012）第</w:t>
            </w:r>
            <w:r>
              <w:rPr>
                <w:rFonts w:hint="eastAsia" w:ascii="Times New Roman" w:hAnsi="Times New Roman" w:eastAsia="宋体" w:cs="Times New Roman"/>
                <w:snapToGrid w:val="0"/>
                <w:color w:val="auto"/>
                <w:spacing w:val="1"/>
                <w:kern w:val="0"/>
                <w:sz w:val="21"/>
                <w:szCs w:val="21"/>
                <w:lang w:val="en-US" w:eastAsia="zh-CN" w:bidi="ar-SA"/>
              </w:rPr>
              <w:t>4.9.1</w:t>
            </w:r>
            <w:r>
              <w:rPr>
                <w:rFonts w:hint="default" w:ascii="Times New Roman" w:hAnsi="Times New Roman" w:eastAsia="宋体" w:cs="Times New Roman"/>
                <w:snapToGrid w:val="0"/>
                <w:color w:val="auto"/>
                <w:spacing w:val="1"/>
                <w:kern w:val="0"/>
                <w:sz w:val="21"/>
                <w:szCs w:val="21"/>
                <w:lang w:val="en-US" w:eastAsia="en-US" w:bidi="ar-SA"/>
              </w:rPr>
              <w:t>条</w:t>
            </w: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黑钨精矿脱水采用自然脱水和微波烘干相结合的工艺；铜精矿脱水采用浓缩、过滤脱水工艺；白钨精矿、锡精矿、铋精矿采用自然脱水工艺。</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spacing w:val="2"/>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4.4</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精矿过滤宜选用节能型陶瓷真空过滤机;精矿含水率为8%~12%,且其可滤性较差时,宜选用自动压滤机。</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《有色金属选矿厂工艺设计规范》（GB50782-2012）第</w:t>
            </w:r>
            <w:r>
              <w:rPr>
                <w:rFonts w:hint="eastAsia" w:ascii="Times New Roman" w:hAnsi="Times New Roman" w:eastAsia="宋体" w:cs="Times New Roman"/>
                <w:snapToGrid w:val="0"/>
                <w:color w:val="auto"/>
                <w:spacing w:val="1"/>
                <w:kern w:val="0"/>
                <w:sz w:val="21"/>
                <w:szCs w:val="21"/>
                <w:lang w:val="en-US" w:eastAsia="zh-CN" w:bidi="ar-SA"/>
              </w:rPr>
              <w:t>5.9.2</w:t>
            </w:r>
            <w:r>
              <w:rPr>
                <w:rFonts w:hint="default" w:ascii="Times New Roman" w:hAnsi="Times New Roman" w:eastAsia="宋体" w:cs="Times New Roman"/>
                <w:snapToGrid w:val="0"/>
                <w:color w:val="auto"/>
                <w:spacing w:val="1"/>
                <w:kern w:val="0"/>
                <w:sz w:val="21"/>
                <w:szCs w:val="21"/>
                <w:lang w:val="en-US" w:eastAsia="en-US" w:bidi="ar-SA"/>
              </w:rPr>
              <w:t>条</w:t>
            </w: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选用陶瓷过滤机</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spacing w:val="2"/>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4.5</w:t>
            </w:r>
          </w:p>
        </w:tc>
        <w:tc>
          <w:tcPr>
            <w:tcW w:w="361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精矿粒度粗、密度大时,应选用内滤式圆筒型真空过滤机;精矿粒度小于0.2mm时,宜选用陶瓷真空过滤机、圆盘型真空过滤机、外滤式或折带式圆筒型真空过滤机;精矿粒度小于30mm时,宜选用压滤机。</w:t>
            </w:r>
          </w:p>
        </w:tc>
        <w:tc>
          <w:tcPr>
            <w:tcW w:w="221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《有色金属选矿厂工艺设计规范》（GB50782-2012）第</w:t>
            </w:r>
            <w:r>
              <w:rPr>
                <w:rFonts w:hint="eastAsia" w:ascii="Times New Roman" w:hAnsi="Times New Roman" w:eastAsia="宋体" w:cs="Times New Roman"/>
                <w:snapToGrid w:val="0"/>
                <w:color w:val="auto"/>
                <w:spacing w:val="1"/>
                <w:kern w:val="0"/>
                <w:sz w:val="21"/>
                <w:szCs w:val="21"/>
                <w:lang w:val="en-US" w:eastAsia="zh-CN" w:bidi="ar-SA"/>
              </w:rPr>
              <w:t>5.9.3</w:t>
            </w:r>
            <w:r>
              <w:rPr>
                <w:rFonts w:hint="default" w:ascii="Times New Roman" w:hAnsi="Times New Roman" w:eastAsia="宋体" w:cs="Times New Roman"/>
                <w:snapToGrid w:val="0"/>
                <w:color w:val="auto"/>
                <w:spacing w:val="1"/>
                <w:kern w:val="0"/>
                <w:sz w:val="21"/>
                <w:szCs w:val="21"/>
                <w:lang w:val="en-US" w:eastAsia="en-US" w:bidi="ar-SA"/>
              </w:rPr>
              <w:t>条</w:t>
            </w:r>
          </w:p>
        </w:tc>
        <w:tc>
          <w:tcPr>
            <w:tcW w:w="24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-1.6+0.2mm台浮精矿采用陶瓷过滤机</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spacing w:val="2"/>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bl>
    <w:p>
      <w:pPr>
        <w:pStyle w:val="4"/>
        <w:bidi w:val="0"/>
        <w:rPr>
          <w:rFonts w:hint="default"/>
          <w:color w:val="auto"/>
          <w:lang w:val="en-US" w:eastAsia="zh-CN"/>
        </w:rPr>
      </w:pPr>
      <w:bookmarkStart w:id="263" w:name="_Toc180"/>
      <w:bookmarkStart w:id="264" w:name="_Toc5538"/>
      <w:bookmarkStart w:id="265" w:name="_Toc31339"/>
      <w:r>
        <w:rPr>
          <w:rFonts w:hint="default"/>
          <w:color w:val="auto"/>
          <w:lang w:val="en-US" w:eastAsia="zh-CN"/>
        </w:rPr>
        <w:t>5.3.</w:t>
      </w:r>
      <w:r>
        <w:rPr>
          <w:rFonts w:hint="eastAsia"/>
          <w:color w:val="auto"/>
          <w:lang w:val="en-US" w:eastAsia="zh-CN"/>
        </w:rPr>
        <w:t xml:space="preserve">3 </w:t>
      </w:r>
      <w:r>
        <w:rPr>
          <w:rFonts w:hint="default"/>
          <w:color w:val="auto"/>
          <w:lang w:val="en-US" w:eastAsia="zh-CN"/>
        </w:rPr>
        <w:t>单元评价小结</w:t>
      </w:r>
      <w:bookmarkEnd w:id="263"/>
      <w:bookmarkEnd w:id="264"/>
      <w:bookmarkEnd w:id="265"/>
    </w:p>
    <w:p>
      <w:pPr>
        <w:rPr>
          <w:rFonts w:hint="eastAsia"/>
          <w:color w:val="auto"/>
          <w:lang w:val="en-US" w:eastAsia="zh-CN"/>
        </w:rPr>
      </w:pPr>
      <w:r>
        <w:rPr>
          <w:rFonts w:hint="eastAsia"/>
          <w:color w:val="auto"/>
          <w:lang w:val="en-US" w:eastAsia="zh-CN"/>
        </w:rPr>
        <w:t>通过预先危险性分析可知，生产工艺中可能发生机械伤害、火灾、高处坠落、淹溺、触电、高温烫伤、其它等级均为Ⅱ级，是临界的，如果超过临界状态就会导致事故的发生。因此，应采取相应的措施对各种危险因素进行排除和控制，使其处于可接受范围内。</w:t>
      </w:r>
    </w:p>
    <w:p>
      <w:pPr>
        <w:rPr>
          <w:rFonts w:hint="eastAsia"/>
          <w:color w:val="auto"/>
          <w:lang w:val="en-US" w:eastAsia="zh-CN"/>
        </w:rPr>
      </w:pPr>
      <w:r>
        <w:rPr>
          <w:rFonts w:hint="eastAsia"/>
          <w:color w:val="auto"/>
          <w:lang w:val="en-US" w:eastAsia="zh-CN"/>
        </w:rPr>
        <w:t>本单元对该项目生产工艺及设备设施进行了24项检查，19项满足要求，5项</w:t>
      </w:r>
      <w:r>
        <w:rPr>
          <w:rFonts w:hint="eastAsia" w:ascii="Times New Roman" w:hAnsi="Times New Roman" w:cs="Times New Roman"/>
          <w:color w:val="auto"/>
          <w:lang w:val="en-US" w:eastAsia="zh-CN"/>
        </w:rPr>
        <w:t>需下一步设计补充</w:t>
      </w:r>
      <w:r>
        <w:rPr>
          <w:rFonts w:hint="eastAsia"/>
          <w:color w:val="auto"/>
          <w:lang w:val="en-US" w:eastAsia="zh-CN"/>
        </w:rPr>
        <w:t>，《可研报告》及其附图中未提及楼梯、安全护栏、安全通道、安全出口以及药剂仓库及制备间的通风装置，后续在设计中应进行补充。</w:t>
      </w:r>
    </w:p>
    <w:p>
      <w:pPr>
        <w:rPr>
          <w:rFonts w:hint="eastAsia"/>
          <w:color w:val="auto"/>
          <w:lang w:val="en-US" w:eastAsia="zh-CN"/>
        </w:rPr>
      </w:pPr>
      <w:r>
        <w:rPr>
          <w:rFonts w:hint="eastAsia"/>
          <w:color w:val="auto"/>
          <w:lang w:val="en-US" w:eastAsia="zh-CN"/>
        </w:rPr>
        <w:t>于都小东坑矿业有限公司选矿厂工程建设项目的生产工艺及设备选型均符合有关规范的要求，部分安全设施暂未设计，后续在初步设计和安全设施设计中应予补充完善。</w:t>
      </w:r>
    </w:p>
    <w:p>
      <w:pPr>
        <w:pStyle w:val="3"/>
        <w:bidi w:val="0"/>
        <w:rPr>
          <w:rFonts w:hint="eastAsia"/>
          <w:color w:val="auto"/>
          <w:lang w:val="en-US" w:eastAsia="zh-CN"/>
        </w:rPr>
      </w:pPr>
      <w:bookmarkStart w:id="266" w:name="_Toc16053"/>
      <w:bookmarkStart w:id="267" w:name="_Toc5960"/>
      <w:r>
        <w:rPr>
          <w:rFonts w:hint="eastAsia"/>
          <w:color w:val="auto"/>
          <w:lang w:val="en-US" w:eastAsia="zh-CN"/>
        </w:rPr>
        <w:t>5.4 公辅设施单元</w:t>
      </w:r>
      <w:bookmarkEnd w:id="266"/>
      <w:bookmarkEnd w:id="267"/>
    </w:p>
    <w:p>
      <w:pPr>
        <w:pStyle w:val="4"/>
        <w:bidi w:val="0"/>
        <w:rPr>
          <w:rFonts w:hint="default"/>
          <w:color w:val="auto"/>
          <w:lang w:val="en-US" w:eastAsia="zh-CN"/>
        </w:rPr>
      </w:pPr>
      <w:bookmarkStart w:id="268" w:name="_Toc18057"/>
      <w:bookmarkStart w:id="269" w:name="_Toc24581"/>
      <w:r>
        <w:rPr>
          <w:rFonts w:hint="eastAsia"/>
          <w:color w:val="auto"/>
          <w:lang w:val="en-US" w:eastAsia="zh-CN"/>
        </w:rPr>
        <w:t xml:space="preserve">5.4.1 </w:t>
      </w:r>
      <w:r>
        <w:rPr>
          <w:rFonts w:hint="default"/>
          <w:color w:val="auto"/>
          <w:lang w:val="en-US" w:eastAsia="zh-CN"/>
        </w:rPr>
        <w:t>道路及运输子单元</w:t>
      </w:r>
      <w:bookmarkEnd w:id="268"/>
      <w:bookmarkEnd w:id="269"/>
    </w:p>
    <w:p>
      <w:pPr>
        <w:bidi w:val="0"/>
        <w:rPr>
          <w:rFonts w:hint="default"/>
          <w:color w:val="auto"/>
          <w:lang w:val="en-US" w:eastAsia="zh-CN"/>
        </w:rPr>
      </w:pPr>
      <w:r>
        <w:rPr>
          <w:rFonts w:hint="default"/>
          <w:color w:val="auto"/>
          <w:lang w:val="en-US" w:eastAsia="zh-CN"/>
        </w:rPr>
        <w:t>1、安全检查表法评价</w:t>
      </w:r>
    </w:p>
    <w:p>
      <w:pPr>
        <w:bidi w:val="0"/>
        <w:rPr>
          <w:rFonts w:hint="default"/>
          <w:color w:val="auto"/>
          <w:lang w:val="en-US" w:eastAsia="zh-CN"/>
        </w:rPr>
      </w:pPr>
      <w:r>
        <w:rPr>
          <w:rFonts w:hint="default"/>
          <w:color w:val="auto"/>
          <w:lang w:val="en-US" w:eastAsia="zh-CN"/>
        </w:rPr>
        <w:t>依据《工业企业总平面设计规范》（GB50187-2012）、《厂矿道路设计规范》GBJ22-87，使用安全检查表法对道路及运输是否符合相关要求进行检查，检查情况见表</w:t>
      </w:r>
      <w:r>
        <w:rPr>
          <w:rFonts w:hint="eastAsia"/>
          <w:color w:val="auto"/>
          <w:lang w:val="en-US" w:eastAsia="zh-CN"/>
        </w:rPr>
        <w:t>5-6</w:t>
      </w:r>
      <w:r>
        <w:rPr>
          <w:rFonts w:hint="default"/>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w:t>
      </w:r>
      <w:r>
        <w:rPr>
          <w:rFonts w:hint="eastAsia" w:cs="Times New Roman"/>
          <w:color w:val="auto"/>
          <w:lang w:val="en-US" w:eastAsia="zh-CN"/>
        </w:rPr>
        <w:t>6</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道路及运输</w:t>
      </w:r>
      <w:r>
        <w:rPr>
          <w:rFonts w:hint="eastAsia" w:ascii="Times New Roman" w:hAnsi="Times New Roman" w:eastAsia="宋体" w:cs="Times New Roman"/>
          <w:color w:val="auto"/>
          <w:lang w:val="en-US" w:eastAsia="zh-CN"/>
        </w:rPr>
        <w:t>子单元</w:t>
      </w:r>
      <w:r>
        <w:rPr>
          <w:rFonts w:hint="default" w:ascii="Times New Roman" w:hAnsi="Times New Roman" w:eastAsia="宋体" w:cs="Times New Roman"/>
          <w:color w:val="auto"/>
          <w:lang w:val="en-US" w:eastAsia="zh-CN"/>
        </w:rPr>
        <w:t>安全检查表</w:t>
      </w:r>
    </w:p>
    <w:tbl>
      <w:tblPr>
        <w:tblStyle w:val="34"/>
        <w:tblW w:w="99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3776"/>
        <w:gridCol w:w="1813"/>
        <w:gridCol w:w="2861"/>
        <w:gridCol w:w="9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567" w:type="dxa"/>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序号</w:t>
            </w:r>
          </w:p>
        </w:tc>
        <w:tc>
          <w:tcPr>
            <w:tcW w:w="37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检查项目和内容</w:t>
            </w:r>
          </w:p>
        </w:tc>
        <w:tc>
          <w:tcPr>
            <w:tcW w:w="181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检查依据</w:t>
            </w:r>
          </w:p>
        </w:tc>
        <w:tc>
          <w:tcPr>
            <w:tcW w:w="286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b/>
                <w:bCs/>
                <w:snapToGrid w:val="0"/>
                <w:color w:val="auto"/>
                <w:kern w:val="0"/>
                <w:sz w:val="21"/>
                <w:szCs w:val="21"/>
                <w:lang w:val="en-US" w:eastAsia="zh-CN" w:bidi="ar-SA"/>
              </w:rPr>
              <w:t>检查情况</w:t>
            </w:r>
          </w:p>
        </w:tc>
        <w:tc>
          <w:tcPr>
            <w:tcW w:w="90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检查结果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4"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w:t>
            </w:r>
          </w:p>
        </w:tc>
        <w:tc>
          <w:tcPr>
            <w:tcW w:w="37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en-US" w:bidi="ar-SA"/>
              </w:rPr>
              <w:t>企业内道路的布置应符合下列规定</w:t>
            </w:r>
            <w:r>
              <w:rPr>
                <w:rFonts w:hint="eastAsia" w:cs="Times New Roman"/>
                <w:snapToGrid w:val="0"/>
                <w:color w:val="auto"/>
                <w:kern w:val="0"/>
                <w:sz w:val="21"/>
                <w:szCs w:val="21"/>
                <w:lang w:val="en-US" w:eastAsia="zh-CN" w:bidi="ar-SA"/>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eastAsia"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w:t>
            </w:r>
            <w:r>
              <w:rPr>
                <w:rFonts w:hint="eastAsia" w:ascii="Times New Roman" w:hAnsi="Times New Roman" w:eastAsia="宋体" w:cs="Times New Roman"/>
                <w:snapToGrid w:val="0"/>
                <w:color w:val="auto"/>
                <w:kern w:val="0"/>
                <w:sz w:val="21"/>
                <w:szCs w:val="21"/>
                <w:lang w:val="en-US" w:eastAsia="en-US" w:bidi="ar-SA"/>
              </w:rPr>
              <w:t>应满足生产、运输、安装、检修、消防安全和施工的要求</w:t>
            </w:r>
            <w:r>
              <w:rPr>
                <w:rFonts w:hint="eastAsia" w:cs="Times New Roman"/>
                <w:snapToGrid w:val="0"/>
                <w:color w:val="auto"/>
                <w:kern w:val="0"/>
                <w:sz w:val="21"/>
                <w:szCs w:val="21"/>
                <w:lang w:val="en-US" w:eastAsia="zh-CN" w:bidi="ar-SA"/>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2.应有利于功能分区和街区的划分,并应与总平面布置相协调</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3.道路的走向宜与区内主要建筑物、构筑物轴线平行或垂直,并应呈环形布置。</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both"/>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cs="Times New Roman"/>
                <w:snapToGrid w:val="0"/>
                <w:color w:val="auto"/>
                <w:kern w:val="0"/>
                <w:sz w:val="21"/>
                <w:szCs w:val="21"/>
                <w:lang w:val="en-US" w:eastAsia="zh-CN" w:bidi="ar-SA"/>
              </w:rPr>
              <w:t>4.</w:t>
            </w:r>
            <w:r>
              <w:rPr>
                <w:rFonts w:hint="eastAsia" w:ascii="Times New Roman" w:hAnsi="Times New Roman" w:eastAsia="宋体" w:cs="Times New Roman"/>
                <w:snapToGrid w:val="0"/>
                <w:color w:val="auto"/>
                <w:kern w:val="0"/>
                <w:sz w:val="21"/>
                <w:szCs w:val="21"/>
                <w:lang w:val="en-US" w:eastAsia="en-US" w:bidi="ar-SA"/>
              </w:rPr>
              <w:t>应与竖向设计相协调,应有利于场地及道路的雨水排除。</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5</w:t>
            </w:r>
            <w:r>
              <w:rPr>
                <w:rFonts w:hint="eastAsia" w:cs="Times New Roman"/>
                <w:snapToGrid w:val="0"/>
                <w:color w:val="auto"/>
                <w:kern w:val="0"/>
                <w:sz w:val="21"/>
                <w:szCs w:val="21"/>
                <w:lang w:val="en-US" w:eastAsia="zh-CN" w:bidi="ar-SA"/>
              </w:rPr>
              <w:t>.</w:t>
            </w:r>
            <w:r>
              <w:rPr>
                <w:rFonts w:hint="eastAsia" w:ascii="Times New Roman" w:hAnsi="Times New Roman" w:eastAsia="宋体" w:cs="Times New Roman"/>
                <w:snapToGrid w:val="0"/>
                <w:color w:val="auto"/>
                <w:kern w:val="0"/>
                <w:sz w:val="21"/>
                <w:szCs w:val="21"/>
                <w:lang w:val="en-US" w:eastAsia="en-US" w:bidi="ar-SA"/>
              </w:rPr>
              <w:t>与厂外道路应连接方便、短捷。</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6</w:t>
            </w:r>
            <w:r>
              <w:rPr>
                <w:rFonts w:hint="eastAsia" w:cs="Times New Roman"/>
                <w:snapToGrid w:val="0"/>
                <w:color w:val="auto"/>
                <w:kern w:val="0"/>
                <w:sz w:val="21"/>
                <w:szCs w:val="21"/>
                <w:lang w:val="en-US" w:eastAsia="zh-CN" w:bidi="ar-SA"/>
              </w:rPr>
              <w:t>.</w:t>
            </w:r>
            <w:r>
              <w:rPr>
                <w:rFonts w:hint="eastAsia" w:ascii="Times New Roman" w:hAnsi="Times New Roman" w:eastAsia="宋体" w:cs="Times New Roman"/>
                <w:snapToGrid w:val="0"/>
                <w:color w:val="auto"/>
                <w:kern w:val="0"/>
                <w:sz w:val="21"/>
                <w:szCs w:val="21"/>
                <w:lang w:val="en-US" w:eastAsia="en-US" w:bidi="ar-SA"/>
              </w:rPr>
              <w:t>洁净厂房周围宜设置环形消防车道,环形消防车道可利用交通道路设置,有困难时,可沿厂房的两个长边设置消防车道。</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7</w:t>
            </w:r>
            <w:r>
              <w:rPr>
                <w:rFonts w:hint="eastAsia" w:cs="Times New Roman"/>
                <w:snapToGrid w:val="0"/>
                <w:color w:val="auto"/>
                <w:kern w:val="0"/>
                <w:sz w:val="21"/>
                <w:szCs w:val="21"/>
                <w:lang w:val="en-US" w:eastAsia="zh-CN" w:bidi="ar-SA"/>
              </w:rPr>
              <w:t>.</w:t>
            </w:r>
            <w:r>
              <w:rPr>
                <w:rFonts w:hint="eastAsia" w:ascii="Times New Roman" w:hAnsi="Times New Roman" w:eastAsia="宋体" w:cs="Times New Roman"/>
                <w:snapToGrid w:val="0"/>
                <w:color w:val="auto"/>
                <w:kern w:val="0"/>
                <w:sz w:val="21"/>
                <w:szCs w:val="21"/>
                <w:lang w:val="en-US" w:eastAsia="en-US" w:bidi="ar-SA"/>
              </w:rPr>
              <w:t>液化烃、可燃液体、可燃气体的罐区内,任何储罐中心与消防车道的距离应符合现行国家标准《石油化工企业设计防火规范》GB50160的有关规定。</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8</w:t>
            </w:r>
            <w:r>
              <w:rPr>
                <w:rFonts w:hint="eastAsia" w:cs="Times New Roman"/>
                <w:snapToGrid w:val="0"/>
                <w:color w:val="auto"/>
                <w:kern w:val="0"/>
                <w:sz w:val="21"/>
                <w:szCs w:val="21"/>
                <w:lang w:val="en-US" w:eastAsia="zh-CN" w:bidi="ar-SA"/>
              </w:rPr>
              <w:t>.</w:t>
            </w:r>
            <w:r>
              <w:rPr>
                <w:rFonts w:hint="eastAsia" w:ascii="Times New Roman" w:hAnsi="Times New Roman" w:eastAsia="宋体" w:cs="Times New Roman"/>
                <w:snapToGrid w:val="0"/>
                <w:color w:val="auto"/>
                <w:kern w:val="0"/>
                <w:sz w:val="21"/>
                <w:szCs w:val="21"/>
                <w:lang w:val="en-US" w:eastAsia="en-US" w:bidi="ar-SA"/>
              </w:rPr>
              <w:t>施工道路应与永久性道路相结合。</w:t>
            </w:r>
          </w:p>
        </w:tc>
        <w:tc>
          <w:tcPr>
            <w:tcW w:w="181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《工业企业总平面设计规范》（GB50187-2012）第</w:t>
            </w:r>
            <w:r>
              <w:rPr>
                <w:rFonts w:hint="eastAsia" w:cs="Times New Roman"/>
                <w:snapToGrid w:val="0"/>
                <w:color w:val="auto"/>
                <w:kern w:val="0"/>
                <w:sz w:val="21"/>
                <w:szCs w:val="21"/>
                <w:lang w:val="en-US" w:eastAsia="zh-CN" w:bidi="ar-SA"/>
              </w:rPr>
              <w:t>6.4.1</w:t>
            </w:r>
            <w:r>
              <w:rPr>
                <w:rFonts w:hint="eastAsia" w:ascii="Times New Roman" w:hAnsi="Times New Roman" w:eastAsia="宋体" w:cs="Times New Roman"/>
                <w:snapToGrid w:val="0"/>
                <w:color w:val="auto"/>
                <w:kern w:val="0"/>
                <w:sz w:val="21"/>
                <w:szCs w:val="21"/>
                <w:lang w:val="en-US" w:eastAsia="en-US" w:bidi="ar-SA"/>
              </w:rPr>
              <w:t>条</w:t>
            </w:r>
          </w:p>
        </w:tc>
        <w:tc>
          <w:tcPr>
            <w:tcW w:w="286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道路布置符合上述规定</w:t>
            </w:r>
          </w:p>
        </w:tc>
        <w:tc>
          <w:tcPr>
            <w:tcW w:w="90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spacing w:val="2"/>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2</w:t>
            </w:r>
          </w:p>
        </w:tc>
        <w:tc>
          <w:tcPr>
            <w:tcW w:w="37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厂内道路路面宽度应根据车辆、行人通行和消防需要确定</w:t>
            </w:r>
            <w:r>
              <w:rPr>
                <w:rFonts w:hint="eastAsia" w:cs="Times New Roman"/>
                <w:snapToGrid w:val="0"/>
                <w:color w:val="auto"/>
                <w:kern w:val="0"/>
                <w:sz w:val="21"/>
                <w:szCs w:val="21"/>
                <w:lang w:val="en-US" w:eastAsia="zh-CN" w:bidi="ar-SA"/>
              </w:rPr>
              <w:t>，</w:t>
            </w:r>
            <w:r>
              <w:rPr>
                <w:rFonts w:hint="eastAsia" w:ascii="Times New Roman" w:hAnsi="Times New Roman" w:eastAsia="宋体" w:cs="Times New Roman"/>
                <w:snapToGrid w:val="0"/>
                <w:color w:val="auto"/>
                <w:kern w:val="0"/>
                <w:sz w:val="21"/>
                <w:szCs w:val="21"/>
                <w:lang w:val="en-US" w:eastAsia="en-US" w:bidi="ar-SA"/>
              </w:rPr>
              <w:t>并宜按现行国家标准《厂矿道路设计规范》GBJ22的有关规定执行。</w:t>
            </w:r>
          </w:p>
        </w:tc>
        <w:tc>
          <w:tcPr>
            <w:tcW w:w="181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《工业企业总平面设计规范》（GB50187-2012）第</w:t>
            </w:r>
            <w:r>
              <w:rPr>
                <w:rFonts w:hint="eastAsia" w:cs="Times New Roman"/>
                <w:snapToGrid w:val="0"/>
                <w:color w:val="auto"/>
                <w:kern w:val="0"/>
                <w:sz w:val="21"/>
                <w:szCs w:val="21"/>
                <w:lang w:val="en-US" w:eastAsia="zh-CN" w:bidi="ar-SA"/>
              </w:rPr>
              <w:t>6.4.5</w:t>
            </w:r>
            <w:r>
              <w:rPr>
                <w:rFonts w:hint="eastAsia" w:ascii="Times New Roman" w:hAnsi="Times New Roman" w:eastAsia="宋体" w:cs="Times New Roman"/>
                <w:snapToGrid w:val="0"/>
                <w:color w:val="auto"/>
                <w:kern w:val="0"/>
                <w:sz w:val="21"/>
                <w:szCs w:val="21"/>
                <w:lang w:val="en-US" w:eastAsia="en-US" w:bidi="ar-SA"/>
              </w:rPr>
              <w:t>条</w:t>
            </w:r>
          </w:p>
        </w:tc>
        <w:tc>
          <w:tcPr>
            <w:tcW w:w="286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en-US" w:bidi="ar-SA"/>
              </w:rPr>
              <w:t>选矿工业场地道路采用混凝土路面，路面宽度为6m</w:t>
            </w:r>
            <w:r>
              <w:rPr>
                <w:rFonts w:hint="eastAsia" w:cs="Times New Roman"/>
                <w:snapToGrid w:val="0"/>
                <w:color w:val="auto"/>
                <w:kern w:val="0"/>
                <w:sz w:val="21"/>
                <w:szCs w:val="21"/>
                <w:lang w:val="en-US" w:eastAsia="zh-CN" w:bidi="ar-SA"/>
              </w:rPr>
              <w:t>。</w:t>
            </w:r>
          </w:p>
        </w:tc>
        <w:tc>
          <w:tcPr>
            <w:tcW w:w="90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cs="Times New Roman"/>
                <w:snapToGrid w:val="0"/>
                <w:color w:val="auto"/>
                <w:spacing w:val="2"/>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3</w:t>
            </w:r>
          </w:p>
        </w:tc>
        <w:tc>
          <w:tcPr>
            <w:tcW w:w="37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厂内道路最小圆曲线半径不得小于15m。厂内道路交叉口路面内边缘转弯半径应按现行国家标准《厂矿道路设计规范》GBJ22的有关规定执行,并应符合下列规定:</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1.当车流量不大时,除陡坡处外的车间引道及场地条件困难的主、次干道和支道,交叉口路面内边缘最小转弯半径可减少3m。</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2.行驶超长的特种载重汽车时,交叉口路面内边缘最小转弯半径应根据车型计算确定。</w:t>
            </w:r>
          </w:p>
        </w:tc>
        <w:tc>
          <w:tcPr>
            <w:tcW w:w="181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《工业企业总平面设计规范》（GB50187-2012）第</w:t>
            </w:r>
            <w:r>
              <w:rPr>
                <w:rFonts w:hint="eastAsia" w:cs="Times New Roman"/>
                <w:snapToGrid w:val="0"/>
                <w:color w:val="auto"/>
                <w:kern w:val="0"/>
                <w:sz w:val="21"/>
                <w:szCs w:val="21"/>
                <w:lang w:val="en-US" w:eastAsia="zh-CN" w:bidi="ar-SA"/>
              </w:rPr>
              <w:t>6.4.6</w:t>
            </w:r>
            <w:r>
              <w:rPr>
                <w:rFonts w:hint="eastAsia" w:ascii="Times New Roman" w:hAnsi="Times New Roman" w:eastAsia="宋体" w:cs="Times New Roman"/>
                <w:snapToGrid w:val="0"/>
                <w:color w:val="auto"/>
                <w:kern w:val="0"/>
                <w:sz w:val="21"/>
                <w:szCs w:val="21"/>
                <w:lang w:val="en-US" w:eastAsia="en-US" w:bidi="ar-SA"/>
              </w:rPr>
              <w:t>条</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《厂矿道路设计规范》GBJ22-87第2.3.4条</w:t>
            </w:r>
          </w:p>
        </w:tc>
        <w:tc>
          <w:tcPr>
            <w:tcW w:w="286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《可研报告》</w:t>
            </w:r>
            <w:r>
              <w:rPr>
                <w:rFonts w:hint="eastAsia" w:cs="Times New Roman"/>
                <w:snapToGrid w:val="0"/>
                <w:color w:val="auto"/>
                <w:kern w:val="0"/>
                <w:sz w:val="21"/>
                <w:szCs w:val="21"/>
                <w:lang w:val="en-US" w:eastAsia="zh-CN" w:bidi="ar-SA"/>
              </w:rPr>
              <w:t>只提到最小转弯半径（内缘）9.0m，</w:t>
            </w:r>
            <w:r>
              <w:rPr>
                <w:rFonts w:hint="eastAsia" w:ascii="Times New Roman" w:hAnsi="Times New Roman" w:eastAsia="宋体" w:cs="Times New Roman"/>
                <w:snapToGrid w:val="0"/>
                <w:color w:val="auto"/>
                <w:kern w:val="0"/>
                <w:sz w:val="21"/>
                <w:szCs w:val="21"/>
                <w:lang w:val="en-US" w:eastAsia="en-US" w:bidi="ar-SA"/>
              </w:rPr>
              <w:t>附图中</w:t>
            </w:r>
            <w:r>
              <w:rPr>
                <w:rFonts w:hint="eastAsia" w:cs="Times New Roman"/>
                <w:snapToGrid w:val="0"/>
                <w:color w:val="auto"/>
                <w:kern w:val="0"/>
                <w:sz w:val="21"/>
                <w:szCs w:val="21"/>
                <w:lang w:val="en-US" w:eastAsia="zh-CN" w:bidi="ar-SA"/>
              </w:rPr>
              <w:t>无道路情况。</w:t>
            </w:r>
          </w:p>
        </w:tc>
        <w:tc>
          <w:tcPr>
            <w:tcW w:w="90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spacing w:val="2"/>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4</w:t>
            </w:r>
          </w:p>
        </w:tc>
        <w:tc>
          <w:tcPr>
            <w:tcW w:w="37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厂矿道路在急弯、陡坡、视线不良等路段，应根据需要设置标志、柱式(墙式)护栏、分道墙(桩)、分道行驶路面标线、反光镜等安全设施;在桥头引道、高路堤、地形险峻等路段，应设置标志和护栏;在道路交叉口，应根据需要设置标志、栏杆;在严重积雪路段、漫水桥、过水路面，应设置标杆。</w:t>
            </w:r>
          </w:p>
        </w:tc>
        <w:tc>
          <w:tcPr>
            <w:tcW w:w="181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《厂矿道路设计规范》GBJ22-87第</w:t>
            </w:r>
            <w:r>
              <w:rPr>
                <w:rFonts w:hint="eastAsia" w:cs="Times New Roman"/>
                <w:snapToGrid w:val="0"/>
                <w:color w:val="auto"/>
                <w:kern w:val="0"/>
                <w:sz w:val="21"/>
                <w:szCs w:val="21"/>
                <w:lang w:val="en-US" w:eastAsia="zh-CN" w:bidi="ar-SA"/>
              </w:rPr>
              <w:t>7.1.1</w:t>
            </w:r>
            <w:r>
              <w:rPr>
                <w:rFonts w:hint="eastAsia" w:ascii="Times New Roman" w:hAnsi="Times New Roman" w:eastAsia="宋体" w:cs="Times New Roman"/>
                <w:snapToGrid w:val="0"/>
                <w:color w:val="auto"/>
                <w:kern w:val="0"/>
                <w:sz w:val="21"/>
                <w:szCs w:val="21"/>
                <w:lang w:val="en-US" w:eastAsia="en-US" w:bidi="ar-SA"/>
              </w:rPr>
              <w:t>条</w:t>
            </w:r>
          </w:p>
        </w:tc>
        <w:tc>
          <w:tcPr>
            <w:tcW w:w="286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《可研报告》</w:t>
            </w:r>
            <w:r>
              <w:rPr>
                <w:rFonts w:hint="eastAsia" w:cs="Times New Roman"/>
                <w:snapToGrid w:val="0"/>
                <w:color w:val="auto"/>
                <w:kern w:val="0"/>
                <w:sz w:val="21"/>
                <w:szCs w:val="21"/>
                <w:lang w:val="en-US" w:eastAsia="zh-CN" w:bidi="ar-SA"/>
              </w:rPr>
              <w:t>未提及。</w:t>
            </w:r>
          </w:p>
        </w:tc>
        <w:tc>
          <w:tcPr>
            <w:tcW w:w="90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spacing w:val="2"/>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5"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5</w:t>
            </w:r>
          </w:p>
        </w:tc>
        <w:tc>
          <w:tcPr>
            <w:tcW w:w="37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en-US" w:bidi="ar-SA"/>
              </w:rPr>
              <w:t>生产装置和建筑物的主要出入口,应根据需要设置与出入口或大门宽度相适应的引道或人行道，并应就近与厂内道路连接。大门宽度相适应的引道或人行道，并应就近与厂内道路连接。</w:t>
            </w:r>
          </w:p>
        </w:tc>
        <w:tc>
          <w:tcPr>
            <w:tcW w:w="181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《工业企业总平面设计规范》（GB50187-2012）第</w:t>
            </w:r>
            <w:r>
              <w:rPr>
                <w:rFonts w:hint="eastAsia" w:cs="Times New Roman"/>
                <w:snapToGrid w:val="0"/>
                <w:color w:val="auto"/>
                <w:kern w:val="0"/>
                <w:sz w:val="21"/>
                <w:szCs w:val="21"/>
                <w:lang w:val="en-US" w:eastAsia="zh-CN" w:bidi="ar-SA"/>
              </w:rPr>
              <w:t>6.4.8</w:t>
            </w:r>
            <w:r>
              <w:rPr>
                <w:rFonts w:hint="eastAsia" w:ascii="Times New Roman" w:hAnsi="Times New Roman" w:eastAsia="宋体" w:cs="Times New Roman"/>
                <w:snapToGrid w:val="0"/>
                <w:color w:val="auto"/>
                <w:kern w:val="0"/>
                <w:sz w:val="21"/>
                <w:szCs w:val="21"/>
                <w:lang w:val="en-US" w:eastAsia="en-US" w:bidi="ar-SA"/>
              </w:rPr>
              <w:t>条</w:t>
            </w:r>
          </w:p>
        </w:tc>
        <w:tc>
          <w:tcPr>
            <w:tcW w:w="286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《可研报告》</w:t>
            </w:r>
            <w:r>
              <w:rPr>
                <w:rFonts w:hint="eastAsia" w:cs="Times New Roman"/>
                <w:snapToGrid w:val="0"/>
                <w:color w:val="auto"/>
                <w:kern w:val="0"/>
                <w:sz w:val="21"/>
                <w:szCs w:val="21"/>
                <w:lang w:val="en-US" w:eastAsia="zh-CN" w:bidi="ar-SA"/>
              </w:rPr>
              <w:t>未提及。</w:t>
            </w:r>
          </w:p>
        </w:tc>
        <w:tc>
          <w:tcPr>
            <w:tcW w:w="90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spacing w:val="2"/>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6</w:t>
            </w:r>
          </w:p>
        </w:tc>
        <w:tc>
          <w:tcPr>
            <w:tcW w:w="37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厂区内道路的互相交叉宜采用平面交叉。平面交叉应设置在直线路段,并宜正交。当需要斜交时,交叉角不宜小于45°并应符合下列规定:</w:t>
            </w:r>
          </w:p>
          <w:p>
            <w:pPr>
              <w:keepNext w:val="0"/>
              <w:keepLines w:val="0"/>
              <w:pageBreakBefore w:val="0"/>
              <w:widowControl/>
              <w:numPr>
                <w:ilvl w:val="0"/>
                <w:numId w:val="14"/>
              </w:numPr>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en-US" w:bidi="ar-SA"/>
              </w:rPr>
              <w:t>露天矿山道路受地形等条件限制时,交叉角可适当减少</w:t>
            </w:r>
            <w:r>
              <w:rPr>
                <w:rFonts w:hint="eastAsia" w:cs="Times New Roman"/>
                <w:snapToGrid w:val="0"/>
                <w:color w:val="auto"/>
                <w:kern w:val="0"/>
                <w:sz w:val="21"/>
                <w:szCs w:val="21"/>
                <w:lang w:val="en-US" w:eastAsia="zh-CN" w:bidi="ar-SA"/>
              </w:rPr>
              <w:t>。</w:t>
            </w:r>
          </w:p>
          <w:p>
            <w:pPr>
              <w:keepNext w:val="0"/>
              <w:keepLines w:val="0"/>
              <w:pageBreakBefore w:val="0"/>
              <w:widowControl/>
              <w:numPr>
                <w:ilvl w:val="0"/>
                <w:numId w:val="14"/>
              </w:numPr>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道路交叉处对道路纵坡的要求可按现行国家标准《厂矿道路设计规范》GBJ22的有关规定执行。</w:t>
            </w:r>
          </w:p>
        </w:tc>
        <w:tc>
          <w:tcPr>
            <w:tcW w:w="181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《工业企业总平面设计规范》（GB50187-2012）第</w:t>
            </w:r>
            <w:r>
              <w:rPr>
                <w:rFonts w:hint="eastAsia" w:cs="Times New Roman"/>
                <w:snapToGrid w:val="0"/>
                <w:color w:val="auto"/>
                <w:kern w:val="0"/>
                <w:sz w:val="21"/>
                <w:szCs w:val="21"/>
                <w:lang w:val="en-US" w:eastAsia="zh-CN" w:bidi="ar-SA"/>
              </w:rPr>
              <w:t>6.4.13</w:t>
            </w:r>
            <w:r>
              <w:rPr>
                <w:rFonts w:hint="eastAsia" w:ascii="Times New Roman" w:hAnsi="Times New Roman" w:eastAsia="宋体" w:cs="Times New Roman"/>
                <w:snapToGrid w:val="0"/>
                <w:color w:val="auto"/>
                <w:kern w:val="0"/>
                <w:sz w:val="21"/>
                <w:szCs w:val="21"/>
                <w:lang w:val="en-US" w:eastAsia="en-US" w:bidi="ar-SA"/>
              </w:rPr>
              <w:t>条</w:t>
            </w:r>
          </w:p>
        </w:tc>
        <w:tc>
          <w:tcPr>
            <w:tcW w:w="286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《可研报告》</w:t>
            </w:r>
            <w:r>
              <w:rPr>
                <w:rFonts w:hint="eastAsia" w:cs="Times New Roman"/>
                <w:snapToGrid w:val="0"/>
                <w:color w:val="auto"/>
                <w:kern w:val="0"/>
                <w:sz w:val="21"/>
                <w:szCs w:val="21"/>
                <w:lang w:val="en-US" w:eastAsia="zh-CN" w:bidi="ar-SA"/>
              </w:rPr>
              <w:t>未提及。</w:t>
            </w:r>
          </w:p>
        </w:tc>
        <w:tc>
          <w:tcPr>
            <w:tcW w:w="90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spacing w:val="2"/>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7</w:t>
            </w:r>
          </w:p>
        </w:tc>
        <w:tc>
          <w:tcPr>
            <w:tcW w:w="3776" w:type="dxa"/>
            <w:vAlign w:val="center"/>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0" w:line="240" w:lineRule="auto"/>
              <w:ind w:leftChars="0" w:right="0" w:right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厂内道路边缘至建筑物、构筑物的最小距离应符合表6.4.17的规定</w:t>
            </w:r>
          </w:p>
        </w:tc>
        <w:tc>
          <w:tcPr>
            <w:tcW w:w="181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《工业企业总平面设计规范》（GB50187-2012）第</w:t>
            </w:r>
            <w:r>
              <w:rPr>
                <w:rFonts w:hint="eastAsia" w:cs="Times New Roman"/>
                <w:snapToGrid w:val="0"/>
                <w:color w:val="auto"/>
                <w:kern w:val="0"/>
                <w:sz w:val="21"/>
                <w:szCs w:val="21"/>
                <w:lang w:val="en-US" w:eastAsia="zh-CN" w:bidi="ar-SA"/>
              </w:rPr>
              <w:t>6.4.17</w:t>
            </w:r>
            <w:r>
              <w:rPr>
                <w:rFonts w:hint="eastAsia" w:ascii="Times New Roman" w:hAnsi="Times New Roman" w:eastAsia="宋体" w:cs="Times New Roman"/>
                <w:snapToGrid w:val="0"/>
                <w:color w:val="auto"/>
                <w:kern w:val="0"/>
                <w:sz w:val="21"/>
                <w:szCs w:val="21"/>
                <w:lang w:val="en-US" w:eastAsia="en-US" w:bidi="ar-SA"/>
              </w:rPr>
              <w:t>条</w:t>
            </w:r>
          </w:p>
        </w:tc>
        <w:tc>
          <w:tcPr>
            <w:tcW w:w="286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《可研报告》</w:t>
            </w:r>
            <w:r>
              <w:rPr>
                <w:rFonts w:hint="eastAsia" w:cs="Times New Roman"/>
                <w:snapToGrid w:val="0"/>
                <w:color w:val="auto"/>
                <w:kern w:val="0"/>
                <w:sz w:val="21"/>
                <w:szCs w:val="21"/>
                <w:lang w:val="en-US" w:eastAsia="zh-CN" w:bidi="ar-SA"/>
              </w:rPr>
              <w:t>未提及。</w:t>
            </w:r>
          </w:p>
        </w:tc>
        <w:tc>
          <w:tcPr>
            <w:tcW w:w="90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spacing w:val="2"/>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4"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8</w:t>
            </w:r>
          </w:p>
        </w:tc>
        <w:tc>
          <w:tcPr>
            <w:tcW w:w="37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厂矿道路应根据沿线地面水和地下水的实际情况，设置必要的边沟、截水沟、排水沟、渗沟等路基排水设施。厂矿道路，必要时可采用暗式排水系统，设置雨水口、雨水管等排水设施。厂内道路的排水设计，还应与厂区排水制度相配合。</w:t>
            </w:r>
          </w:p>
        </w:tc>
        <w:tc>
          <w:tcPr>
            <w:tcW w:w="181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en-US" w:bidi="ar-SA"/>
              </w:rPr>
              <w:t>《厂矿道路设计规范》GBJ22-87第3.5.1条</w:t>
            </w:r>
          </w:p>
        </w:tc>
        <w:tc>
          <w:tcPr>
            <w:tcW w:w="286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en-US" w:bidi="ar-SA"/>
              </w:rPr>
            </w:pPr>
            <w:r>
              <w:rPr>
                <w:rFonts w:hint="eastAsia" w:cs="Times New Roman"/>
                <w:snapToGrid w:val="0"/>
                <w:color w:val="auto"/>
                <w:kern w:val="0"/>
                <w:sz w:val="21"/>
                <w:szCs w:val="21"/>
                <w:lang w:val="en-US" w:eastAsia="zh-CN" w:bidi="ar-SA"/>
              </w:rPr>
              <w:t>厂区</w:t>
            </w:r>
            <w:r>
              <w:rPr>
                <w:rFonts w:hint="eastAsia" w:ascii="Times New Roman" w:hAnsi="Times New Roman" w:eastAsia="宋体" w:cs="Times New Roman"/>
                <w:snapToGrid w:val="0"/>
                <w:color w:val="auto"/>
                <w:kern w:val="0"/>
                <w:sz w:val="21"/>
                <w:szCs w:val="21"/>
                <w:lang w:val="en-US" w:eastAsia="en-US" w:bidi="ar-SA"/>
              </w:rPr>
              <w:t>各个场地周围设矩形排水明沟汇集场地和坡面雨水，经明沟汇集的雨水排至矿区东侧溪谷。</w:t>
            </w:r>
          </w:p>
        </w:tc>
        <w:tc>
          <w:tcPr>
            <w:tcW w:w="90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cs="Times New Roman"/>
                <w:snapToGrid w:val="0"/>
                <w:color w:val="auto"/>
                <w:spacing w:val="2"/>
                <w:kern w:val="0"/>
                <w:sz w:val="21"/>
                <w:szCs w:val="21"/>
                <w:lang w:val="en-US" w:eastAsia="zh-CN" w:bidi="ar-SA"/>
              </w:rPr>
              <w:t>满足要求</w:t>
            </w:r>
          </w:p>
        </w:tc>
      </w:tr>
    </w:tbl>
    <w:p>
      <w:pPr>
        <w:bidi w:val="0"/>
        <w:rPr>
          <w:rFonts w:hint="default"/>
          <w:color w:val="auto"/>
          <w:lang w:val="en-US" w:eastAsia="zh-CN"/>
        </w:rPr>
      </w:pPr>
      <w:r>
        <w:rPr>
          <w:rFonts w:hint="default"/>
          <w:color w:val="auto"/>
          <w:lang w:val="en-US" w:eastAsia="zh-CN"/>
        </w:rPr>
        <w:t>2、单元评价小结</w:t>
      </w:r>
    </w:p>
    <w:p>
      <w:pPr>
        <w:bidi w:val="0"/>
        <w:rPr>
          <w:rFonts w:hint="default"/>
          <w:color w:val="auto"/>
          <w:lang w:val="en-US" w:eastAsia="zh-CN"/>
        </w:rPr>
      </w:pPr>
      <w:r>
        <w:rPr>
          <w:rFonts w:hint="default"/>
          <w:color w:val="auto"/>
          <w:lang w:val="en-US" w:eastAsia="zh-CN"/>
        </w:rPr>
        <w:t>本子单元对该项目道路及运输子单元进行检查，检查</w:t>
      </w:r>
      <w:r>
        <w:rPr>
          <w:rFonts w:hint="eastAsia"/>
          <w:color w:val="auto"/>
          <w:lang w:val="en-US" w:eastAsia="zh-CN"/>
        </w:rPr>
        <w:t>8</w:t>
      </w:r>
      <w:r>
        <w:rPr>
          <w:rFonts w:hint="default"/>
          <w:color w:val="auto"/>
          <w:lang w:val="en-US" w:eastAsia="zh-CN"/>
        </w:rPr>
        <w:t>项，</w:t>
      </w:r>
      <w:r>
        <w:rPr>
          <w:rFonts w:hint="eastAsia"/>
          <w:color w:val="auto"/>
          <w:lang w:val="en-US" w:eastAsia="zh-CN"/>
        </w:rPr>
        <w:t>3项满足要求，5项需下一步设计补充，后续在</w:t>
      </w:r>
      <w:r>
        <w:rPr>
          <w:rFonts w:hint="default"/>
          <w:color w:val="auto"/>
          <w:lang w:val="en-US" w:eastAsia="zh-CN"/>
        </w:rPr>
        <w:t>初步设计和安全设施设计中应予以完善</w:t>
      </w:r>
      <w:r>
        <w:rPr>
          <w:rFonts w:hint="eastAsia"/>
          <w:color w:val="auto"/>
          <w:lang w:val="en-US" w:eastAsia="zh-CN"/>
        </w:rPr>
        <w:t>道路部分的设计内容</w:t>
      </w:r>
      <w:r>
        <w:rPr>
          <w:rFonts w:hint="default"/>
          <w:color w:val="auto"/>
          <w:lang w:val="en-US" w:eastAsia="zh-CN"/>
        </w:rPr>
        <w:t>，如厂内道路边缘至建筑物、构筑物的最小距离</w:t>
      </w:r>
      <w:r>
        <w:rPr>
          <w:rFonts w:hint="eastAsia"/>
          <w:color w:val="auto"/>
          <w:lang w:val="en-US" w:eastAsia="zh-CN"/>
        </w:rPr>
        <w:t>；</w:t>
      </w:r>
      <w:r>
        <w:rPr>
          <w:rFonts w:hint="eastAsia"/>
          <w:color w:val="auto"/>
          <w:lang w:val="en-US" w:eastAsia="en-US"/>
        </w:rPr>
        <w:t>最小圆曲线半径</w:t>
      </w:r>
      <w:r>
        <w:rPr>
          <w:rFonts w:hint="eastAsia"/>
          <w:color w:val="auto"/>
          <w:lang w:val="en-US" w:eastAsia="zh-CN"/>
        </w:rPr>
        <w:t>的情况；</w:t>
      </w:r>
      <w:r>
        <w:rPr>
          <w:rFonts w:hint="default"/>
          <w:color w:val="auto"/>
          <w:lang w:val="en-US" w:eastAsia="zh-CN"/>
        </w:rPr>
        <w:t>交通标志的形状、尺寸、颜色、图形以及位置</w:t>
      </w:r>
      <w:r>
        <w:rPr>
          <w:rFonts w:hint="eastAsia"/>
          <w:color w:val="auto"/>
          <w:lang w:val="en-US" w:eastAsia="zh-CN"/>
        </w:rPr>
        <w:t>等</w:t>
      </w:r>
      <w:r>
        <w:rPr>
          <w:rFonts w:hint="default"/>
          <w:color w:val="auto"/>
          <w:lang w:val="en-US" w:eastAsia="zh-CN"/>
        </w:rPr>
        <w:t>。</w:t>
      </w:r>
    </w:p>
    <w:p>
      <w:pPr>
        <w:pStyle w:val="4"/>
        <w:bidi w:val="0"/>
        <w:rPr>
          <w:rFonts w:hint="default"/>
          <w:color w:val="auto"/>
          <w:lang w:val="en-US" w:eastAsia="zh-CN"/>
        </w:rPr>
      </w:pPr>
      <w:bookmarkStart w:id="270" w:name="_Toc18006"/>
      <w:bookmarkStart w:id="271" w:name="_Toc26688"/>
      <w:r>
        <w:rPr>
          <w:rFonts w:hint="eastAsia"/>
          <w:color w:val="auto"/>
          <w:lang w:val="en-US" w:eastAsia="zh-CN"/>
        </w:rPr>
        <w:t xml:space="preserve">5.4.2 </w:t>
      </w:r>
      <w:r>
        <w:rPr>
          <w:rFonts w:hint="default"/>
          <w:color w:val="auto"/>
          <w:lang w:val="en-US" w:eastAsia="zh-CN"/>
        </w:rPr>
        <w:t>给排水及消防设施子单元</w:t>
      </w:r>
      <w:bookmarkEnd w:id="270"/>
      <w:bookmarkEnd w:id="271"/>
    </w:p>
    <w:p>
      <w:pPr>
        <w:rPr>
          <w:rFonts w:hint="default"/>
          <w:color w:val="auto"/>
          <w:lang w:val="en-US" w:eastAsia="zh-CN"/>
        </w:rPr>
      </w:pPr>
      <w:r>
        <w:rPr>
          <w:rFonts w:hint="default"/>
          <w:color w:val="auto"/>
          <w:lang w:val="en-US" w:eastAsia="zh-CN"/>
        </w:rPr>
        <w:t>1、安全检查表法评价</w:t>
      </w:r>
    </w:p>
    <w:p>
      <w:pPr>
        <w:rPr>
          <w:rFonts w:hint="default"/>
          <w:color w:val="auto"/>
          <w:lang w:val="en-US" w:eastAsia="zh-CN"/>
        </w:rPr>
      </w:pPr>
      <w:r>
        <w:rPr>
          <w:rFonts w:hint="default"/>
          <w:color w:val="auto"/>
          <w:lang w:val="en-US" w:eastAsia="zh-CN"/>
        </w:rPr>
        <w:t>依据《工业企业总平面设计规范》（GB50187-2012）</w:t>
      </w:r>
      <w:r>
        <w:rPr>
          <w:rFonts w:hint="eastAsia"/>
          <w:color w:val="auto"/>
          <w:lang w:val="en-US" w:eastAsia="zh-CN"/>
        </w:rPr>
        <w:t>、</w:t>
      </w:r>
      <w:r>
        <w:rPr>
          <w:rFonts w:hint="default"/>
          <w:color w:val="auto"/>
          <w:lang w:val="en-US" w:eastAsia="zh-CN"/>
        </w:rPr>
        <w:t>《建筑设计防火规范</w:t>
      </w:r>
      <w:r>
        <w:rPr>
          <w:rFonts w:hint="eastAsia"/>
          <w:color w:val="auto"/>
          <w:lang w:val="en-US" w:eastAsia="zh-CN"/>
        </w:rPr>
        <w:t>（2018年版）</w:t>
      </w:r>
      <w:r>
        <w:rPr>
          <w:rFonts w:hint="default"/>
          <w:color w:val="auto"/>
          <w:lang w:val="en-US" w:eastAsia="zh-CN"/>
        </w:rPr>
        <w:t>》（GB50</w:t>
      </w:r>
      <w:r>
        <w:rPr>
          <w:rFonts w:hint="eastAsia"/>
          <w:color w:val="auto"/>
          <w:lang w:val="en-US" w:eastAsia="zh-CN"/>
        </w:rPr>
        <w:t>016</w:t>
      </w:r>
      <w:r>
        <w:rPr>
          <w:rFonts w:hint="default"/>
          <w:color w:val="auto"/>
          <w:lang w:val="en-US" w:eastAsia="zh-CN"/>
        </w:rPr>
        <w:t>-20</w:t>
      </w:r>
      <w:r>
        <w:rPr>
          <w:rFonts w:hint="eastAsia"/>
          <w:color w:val="auto"/>
          <w:lang w:val="en-US" w:eastAsia="zh-CN"/>
        </w:rPr>
        <w:t>14</w:t>
      </w:r>
      <w:r>
        <w:rPr>
          <w:rFonts w:hint="default"/>
          <w:color w:val="auto"/>
          <w:lang w:val="en-US" w:eastAsia="zh-CN"/>
        </w:rPr>
        <w:t>）</w:t>
      </w:r>
      <w:r>
        <w:rPr>
          <w:rFonts w:hint="eastAsia"/>
          <w:color w:val="auto"/>
          <w:lang w:val="en-US" w:eastAsia="zh-CN"/>
        </w:rPr>
        <w:t>、</w:t>
      </w:r>
      <w:r>
        <w:rPr>
          <w:rFonts w:hint="default"/>
          <w:color w:val="auto"/>
          <w:lang w:val="en-US" w:eastAsia="zh-CN"/>
        </w:rPr>
        <w:t>《选矿安全规程》（</w:t>
      </w:r>
      <w:r>
        <w:rPr>
          <w:rFonts w:hint="eastAsia"/>
          <w:color w:val="auto"/>
          <w:lang w:val="en-US" w:eastAsia="zh-CN"/>
        </w:rPr>
        <w:t>GB/T18152-2000</w:t>
      </w:r>
      <w:r>
        <w:rPr>
          <w:rFonts w:hint="default"/>
          <w:color w:val="auto"/>
          <w:lang w:val="en-US" w:eastAsia="zh-CN"/>
        </w:rPr>
        <w:t>）</w:t>
      </w:r>
      <w:r>
        <w:rPr>
          <w:rFonts w:hint="eastAsia"/>
          <w:color w:val="auto"/>
          <w:lang w:val="en-US" w:eastAsia="zh-CN"/>
        </w:rPr>
        <w:t>，</w:t>
      </w:r>
      <w:r>
        <w:rPr>
          <w:rFonts w:hint="default"/>
          <w:color w:val="auto"/>
          <w:lang w:val="en-US" w:eastAsia="zh-CN"/>
        </w:rPr>
        <w:t>编制安全检查表，对评价项目给排水及消防设施进行符合性评价，见表</w:t>
      </w:r>
      <w:r>
        <w:rPr>
          <w:rFonts w:hint="eastAsia"/>
          <w:color w:val="auto"/>
          <w:lang w:val="en-US" w:eastAsia="zh-CN"/>
        </w:rPr>
        <w:t>5-7</w:t>
      </w:r>
      <w:r>
        <w:rPr>
          <w:rFonts w:hint="default"/>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w:t>
      </w:r>
      <w:r>
        <w:rPr>
          <w:rFonts w:hint="eastAsia" w:cs="Times New Roman"/>
          <w:color w:val="auto"/>
          <w:lang w:val="en-US" w:eastAsia="zh-CN"/>
        </w:rPr>
        <w:t>7</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给排水及消防设施</w:t>
      </w:r>
      <w:r>
        <w:rPr>
          <w:rFonts w:hint="eastAsia" w:ascii="Times New Roman" w:hAnsi="Times New Roman" w:eastAsia="宋体" w:cs="Times New Roman"/>
          <w:color w:val="auto"/>
          <w:lang w:val="en-US" w:eastAsia="zh-CN"/>
        </w:rPr>
        <w:t>子单元</w:t>
      </w:r>
      <w:r>
        <w:rPr>
          <w:rFonts w:hint="default" w:ascii="Times New Roman" w:hAnsi="Times New Roman" w:eastAsia="宋体" w:cs="Times New Roman"/>
          <w:color w:val="auto"/>
          <w:lang w:val="en-US" w:eastAsia="zh-CN"/>
        </w:rPr>
        <w:t>安全检查表</w:t>
      </w:r>
    </w:p>
    <w:tbl>
      <w:tblPr>
        <w:tblStyle w:val="34"/>
        <w:tblW w:w="99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3904"/>
        <w:gridCol w:w="2089"/>
        <w:gridCol w:w="2319"/>
        <w:gridCol w:w="10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567" w:type="dxa"/>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序号</w:t>
            </w:r>
          </w:p>
        </w:tc>
        <w:tc>
          <w:tcPr>
            <w:tcW w:w="39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检查项目和内容</w:t>
            </w:r>
          </w:p>
        </w:tc>
        <w:tc>
          <w:tcPr>
            <w:tcW w:w="20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检查依据</w:t>
            </w:r>
          </w:p>
        </w:tc>
        <w:tc>
          <w:tcPr>
            <w:tcW w:w="23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b/>
                <w:bCs/>
                <w:snapToGrid w:val="0"/>
                <w:color w:val="auto"/>
                <w:kern w:val="0"/>
                <w:sz w:val="21"/>
                <w:szCs w:val="21"/>
                <w:lang w:val="en-US" w:eastAsia="zh-CN" w:bidi="ar-SA"/>
              </w:rPr>
              <w:t>检查情况</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检查结果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39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4"/>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场地应有完整、有效的雨水排水系统。场地雨水的排除方式，应结合工业企业所在地区的雨水排除方式、建筑密度、环境卫生要求、地质和气候条件等因素，合理选择暗管、明沟或地面自然排渗等方式，并应符合下列要求：</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4"/>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1.厂区雨水排水管、沟应与厂外排雨水系统相衔接，场地雨水不得任意排至厂外；</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en-US" w:bidi="ar-SA"/>
              </w:rPr>
              <w:t>2.有条件的工业企业应建立雨水收集系统，应对收集的雨水充分利用；</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en-US" w:bidi="ar-SA"/>
              </w:rPr>
              <w:t>3.厂区雨水宜采用暗管排水。</w:t>
            </w:r>
          </w:p>
        </w:tc>
        <w:tc>
          <w:tcPr>
            <w:tcW w:w="20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《工业企业总平面设计</w:t>
            </w:r>
            <w:r>
              <w:rPr>
                <w:rFonts w:hint="default" w:ascii="Times New Roman" w:hAnsi="Times New Roman" w:eastAsia="宋体" w:cs="Times New Roman"/>
                <w:snapToGrid w:val="0"/>
                <w:color w:val="auto"/>
                <w:spacing w:val="-1"/>
                <w:kern w:val="0"/>
                <w:sz w:val="21"/>
                <w:szCs w:val="21"/>
                <w:lang w:val="en-US" w:eastAsia="en-US" w:bidi="ar-SA"/>
              </w:rPr>
              <w:t>规范》（GB50187-2012）</w:t>
            </w:r>
            <w:r>
              <w:rPr>
                <w:rFonts w:hint="default" w:ascii="Times New Roman" w:hAnsi="Times New Roman" w:eastAsia="宋体" w:cs="Times New Roman"/>
                <w:snapToGrid w:val="0"/>
                <w:color w:val="auto"/>
                <w:spacing w:val="1"/>
                <w:kern w:val="0"/>
                <w:sz w:val="21"/>
                <w:szCs w:val="21"/>
                <w:lang w:val="en-US" w:eastAsia="en-US" w:bidi="ar-SA"/>
              </w:rPr>
              <w:t>第</w:t>
            </w:r>
            <w:r>
              <w:rPr>
                <w:rFonts w:hint="eastAsia" w:cs="Times New Roman"/>
                <w:snapToGrid w:val="0"/>
                <w:color w:val="auto"/>
                <w:spacing w:val="1"/>
                <w:kern w:val="0"/>
                <w:sz w:val="21"/>
                <w:szCs w:val="21"/>
                <w:lang w:val="en-US" w:eastAsia="zh-CN" w:bidi="ar-SA"/>
              </w:rPr>
              <w:t>7.4.1</w:t>
            </w:r>
            <w:r>
              <w:rPr>
                <w:rFonts w:hint="default" w:ascii="Times New Roman" w:hAnsi="Times New Roman" w:eastAsia="宋体" w:cs="Times New Roman"/>
                <w:snapToGrid w:val="0"/>
                <w:color w:val="auto"/>
                <w:spacing w:val="1"/>
                <w:kern w:val="0"/>
                <w:sz w:val="21"/>
                <w:szCs w:val="21"/>
                <w:lang w:val="en-US" w:eastAsia="en-US" w:bidi="ar-SA"/>
              </w:rPr>
              <w:t>条</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p>
        </w:tc>
        <w:tc>
          <w:tcPr>
            <w:tcW w:w="23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选矿厂所在气候地夏季多雨、有时瞬时暴雨强度大。因此在各个场地周围设矩形排水明沟汇集场地和坡面雨水，经明沟汇集的雨水排至矿区东侧溪谷。</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2</w:t>
            </w:r>
          </w:p>
        </w:tc>
        <w:tc>
          <w:tcPr>
            <w:tcW w:w="39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4"/>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场地雨水排水设计流量计算应符合现行国家标准《室外排水设计规范》GB50014的有关规定</w:t>
            </w:r>
          </w:p>
        </w:tc>
        <w:tc>
          <w:tcPr>
            <w:tcW w:w="20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《工业企业总平面设计</w:t>
            </w:r>
            <w:r>
              <w:rPr>
                <w:rFonts w:hint="default" w:ascii="Times New Roman" w:hAnsi="Times New Roman" w:eastAsia="宋体" w:cs="Times New Roman"/>
                <w:snapToGrid w:val="0"/>
                <w:color w:val="auto"/>
                <w:spacing w:val="-1"/>
                <w:kern w:val="0"/>
                <w:sz w:val="21"/>
                <w:szCs w:val="21"/>
                <w:lang w:val="en-US" w:eastAsia="en-US" w:bidi="ar-SA"/>
              </w:rPr>
              <w:t>规范》（GB50187-2012）</w:t>
            </w:r>
            <w:r>
              <w:rPr>
                <w:rFonts w:hint="default" w:ascii="Times New Roman" w:hAnsi="Times New Roman" w:eastAsia="宋体" w:cs="Times New Roman"/>
                <w:snapToGrid w:val="0"/>
                <w:color w:val="auto"/>
                <w:spacing w:val="1"/>
                <w:kern w:val="0"/>
                <w:sz w:val="21"/>
                <w:szCs w:val="21"/>
                <w:lang w:val="en-US" w:eastAsia="en-US" w:bidi="ar-SA"/>
              </w:rPr>
              <w:t>第</w:t>
            </w:r>
            <w:r>
              <w:rPr>
                <w:rFonts w:hint="eastAsia" w:cs="Times New Roman"/>
                <w:snapToGrid w:val="0"/>
                <w:color w:val="auto"/>
                <w:spacing w:val="1"/>
                <w:kern w:val="0"/>
                <w:sz w:val="21"/>
                <w:szCs w:val="21"/>
                <w:lang w:val="en-US" w:eastAsia="zh-CN" w:bidi="ar-SA"/>
              </w:rPr>
              <w:t>7.4.2</w:t>
            </w:r>
            <w:r>
              <w:rPr>
                <w:rFonts w:hint="default" w:ascii="Times New Roman" w:hAnsi="Times New Roman" w:eastAsia="宋体" w:cs="Times New Roman"/>
                <w:snapToGrid w:val="0"/>
                <w:color w:val="auto"/>
                <w:spacing w:val="1"/>
                <w:kern w:val="0"/>
                <w:sz w:val="21"/>
                <w:szCs w:val="21"/>
                <w:lang w:val="en-US" w:eastAsia="en-US" w:bidi="ar-SA"/>
              </w:rPr>
              <w:t>条</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p>
        </w:tc>
        <w:tc>
          <w:tcPr>
            <w:tcW w:w="23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《可研报告》未进行</w:t>
            </w:r>
            <w:r>
              <w:rPr>
                <w:rFonts w:hint="default" w:ascii="Times New Roman" w:hAnsi="Times New Roman" w:eastAsia="宋体" w:cs="Times New Roman"/>
                <w:snapToGrid w:val="0"/>
                <w:color w:val="auto"/>
                <w:spacing w:val="4"/>
                <w:kern w:val="0"/>
                <w:sz w:val="21"/>
                <w:szCs w:val="21"/>
                <w:lang w:val="en-US" w:eastAsia="en-US" w:bidi="ar-SA"/>
              </w:rPr>
              <w:t>场地雨水排水设计流量计算</w:t>
            </w:r>
            <w:r>
              <w:rPr>
                <w:rFonts w:hint="eastAsia" w:cs="Times New Roman"/>
                <w:snapToGrid w:val="0"/>
                <w:color w:val="auto"/>
                <w:kern w:val="0"/>
                <w:sz w:val="21"/>
                <w:szCs w:val="21"/>
                <w:lang w:val="en-US" w:eastAsia="zh-CN" w:bidi="ar-SA"/>
              </w:rPr>
              <w:t>。</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3</w:t>
            </w:r>
          </w:p>
        </w:tc>
        <w:tc>
          <w:tcPr>
            <w:tcW w:w="39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4"/>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zh-CN" w:bidi="ar-SA"/>
              </w:rPr>
              <w:t>当采用明沟排水时,排水沟宜沿铁路、道路布置,并宜避免与其交叉。排出厂外的雨水不得对其他工程设施或农田造成危害。</w:t>
            </w:r>
          </w:p>
        </w:tc>
        <w:tc>
          <w:tcPr>
            <w:tcW w:w="20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《工业企业总平面设计</w:t>
            </w:r>
            <w:r>
              <w:rPr>
                <w:rFonts w:hint="default" w:ascii="Times New Roman" w:hAnsi="Times New Roman" w:eastAsia="宋体" w:cs="Times New Roman"/>
                <w:snapToGrid w:val="0"/>
                <w:color w:val="auto"/>
                <w:spacing w:val="-1"/>
                <w:kern w:val="0"/>
                <w:sz w:val="21"/>
                <w:szCs w:val="21"/>
                <w:lang w:val="en-US" w:eastAsia="en-US" w:bidi="ar-SA"/>
              </w:rPr>
              <w:t>规范》（GB50187-2012）</w:t>
            </w:r>
            <w:r>
              <w:rPr>
                <w:rFonts w:hint="default" w:ascii="Times New Roman" w:hAnsi="Times New Roman" w:eastAsia="宋体" w:cs="Times New Roman"/>
                <w:snapToGrid w:val="0"/>
                <w:color w:val="auto"/>
                <w:spacing w:val="1"/>
                <w:kern w:val="0"/>
                <w:sz w:val="21"/>
                <w:szCs w:val="21"/>
                <w:lang w:val="en-US" w:eastAsia="en-US" w:bidi="ar-SA"/>
              </w:rPr>
              <w:t>第</w:t>
            </w:r>
            <w:r>
              <w:rPr>
                <w:rFonts w:hint="eastAsia" w:cs="Times New Roman"/>
                <w:snapToGrid w:val="0"/>
                <w:color w:val="auto"/>
                <w:spacing w:val="1"/>
                <w:kern w:val="0"/>
                <w:sz w:val="21"/>
                <w:szCs w:val="21"/>
                <w:lang w:val="en-US" w:eastAsia="zh-CN" w:bidi="ar-SA"/>
              </w:rPr>
              <w:t>7.4.3</w:t>
            </w:r>
            <w:r>
              <w:rPr>
                <w:rFonts w:hint="default" w:ascii="Times New Roman" w:hAnsi="Times New Roman" w:eastAsia="宋体" w:cs="Times New Roman"/>
                <w:snapToGrid w:val="0"/>
                <w:color w:val="auto"/>
                <w:spacing w:val="1"/>
                <w:kern w:val="0"/>
                <w:sz w:val="21"/>
                <w:szCs w:val="21"/>
                <w:lang w:val="en-US" w:eastAsia="en-US" w:bidi="ar-SA"/>
              </w:rPr>
              <w:t>条</w:t>
            </w:r>
          </w:p>
        </w:tc>
        <w:tc>
          <w:tcPr>
            <w:tcW w:w="23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场地周围设矩形排水明沟汇集场地和坡面雨水，经明沟汇集的雨水排至矿区东侧溪谷。</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spacing w:val="2"/>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5"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4</w:t>
            </w:r>
          </w:p>
        </w:tc>
        <w:tc>
          <w:tcPr>
            <w:tcW w:w="39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场地的排水明沟宜采用矩形或梯形断面，并应符合下列规定:</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w:t>
            </w:r>
            <w:r>
              <w:rPr>
                <w:rFonts w:hint="eastAsia" w:cs="Times New Roman"/>
                <w:snapToGrid w:val="0"/>
                <w:color w:val="auto"/>
                <w:kern w:val="0"/>
                <w:sz w:val="21"/>
                <w:szCs w:val="21"/>
                <w:lang w:val="en-US" w:eastAsia="zh-CN" w:bidi="ar-SA"/>
              </w:rPr>
              <w:t>.</w:t>
            </w:r>
            <w:r>
              <w:rPr>
                <w:rFonts w:hint="eastAsia" w:ascii="Times New Roman" w:hAnsi="Times New Roman" w:eastAsia="宋体" w:cs="Times New Roman"/>
                <w:snapToGrid w:val="0"/>
                <w:color w:val="auto"/>
                <w:kern w:val="0"/>
                <w:sz w:val="21"/>
                <w:szCs w:val="21"/>
                <w:lang w:val="en-US" w:eastAsia="zh-CN" w:bidi="ar-SA"/>
              </w:rPr>
              <w:t>明沟起点的深度不宜小于0.2m,矩形明沟的沟底宽度不宜小于0.4m,梯形明沟的沟底宽度不宜小于0.3m。</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2</w:t>
            </w:r>
            <w:r>
              <w:rPr>
                <w:rFonts w:hint="eastAsia" w:cs="Times New Roman"/>
                <w:snapToGrid w:val="0"/>
                <w:color w:val="auto"/>
                <w:kern w:val="0"/>
                <w:sz w:val="21"/>
                <w:szCs w:val="21"/>
                <w:lang w:val="en-US" w:eastAsia="zh-CN" w:bidi="ar-SA"/>
              </w:rPr>
              <w:t>.</w:t>
            </w:r>
            <w:r>
              <w:rPr>
                <w:rFonts w:hint="eastAsia" w:ascii="Times New Roman" w:hAnsi="Times New Roman" w:eastAsia="宋体" w:cs="Times New Roman"/>
                <w:snapToGrid w:val="0"/>
                <w:color w:val="auto"/>
                <w:kern w:val="0"/>
                <w:sz w:val="21"/>
                <w:szCs w:val="21"/>
                <w:lang w:val="en-US" w:eastAsia="zh-CN" w:bidi="ar-SA"/>
              </w:rPr>
              <w:t>明沟的纵坡不宜小于3%;在地形平坦的困难地段,不宜小于2‰。</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3</w:t>
            </w:r>
            <w:r>
              <w:rPr>
                <w:rFonts w:hint="eastAsia" w:cs="Times New Roman"/>
                <w:snapToGrid w:val="0"/>
                <w:color w:val="auto"/>
                <w:kern w:val="0"/>
                <w:sz w:val="21"/>
                <w:szCs w:val="21"/>
                <w:lang w:val="en-US" w:eastAsia="zh-CN" w:bidi="ar-SA"/>
              </w:rPr>
              <w:t>.</w:t>
            </w:r>
            <w:r>
              <w:rPr>
                <w:rFonts w:hint="eastAsia" w:ascii="Times New Roman" w:hAnsi="Times New Roman" w:eastAsia="宋体" w:cs="Times New Roman"/>
                <w:snapToGrid w:val="0"/>
                <w:color w:val="auto"/>
                <w:kern w:val="0"/>
                <w:sz w:val="21"/>
                <w:szCs w:val="21"/>
                <w:lang w:val="en-US" w:eastAsia="zh-CN" w:bidi="ar-SA"/>
              </w:rPr>
              <w:t>按流量计算的明沟,沟顶应高于计算水位0.2m以上。</w:t>
            </w:r>
          </w:p>
        </w:tc>
        <w:tc>
          <w:tcPr>
            <w:tcW w:w="20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8"/>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《工业企业总平面设计</w:t>
            </w:r>
            <w:r>
              <w:rPr>
                <w:rFonts w:hint="default" w:ascii="Times New Roman" w:hAnsi="Times New Roman" w:eastAsia="宋体" w:cs="Times New Roman"/>
                <w:snapToGrid w:val="0"/>
                <w:color w:val="auto"/>
                <w:spacing w:val="-1"/>
                <w:kern w:val="0"/>
                <w:sz w:val="21"/>
                <w:szCs w:val="21"/>
                <w:lang w:val="en-US" w:eastAsia="en-US" w:bidi="ar-SA"/>
              </w:rPr>
              <w:t>规范》（GB50187-2012）</w:t>
            </w:r>
            <w:r>
              <w:rPr>
                <w:rFonts w:hint="default" w:ascii="Times New Roman" w:hAnsi="Times New Roman" w:eastAsia="宋体" w:cs="Times New Roman"/>
                <w:snapToGrid w:val="0"/>
                <w:color w:val="auto"/>
                <w:spacing w:val="1"/>
                <w:kern w:val="0"/>
                <w:sz w:val="21"/>
                <w:szCs w:val="21"/>
                <w:lang w:val="en-US" w:eastAsia="en-US" w:bidi="ar-SA"/>
              </w:rPr>
              <w:t>第</w:t>
            </w:r>
            <w:r>
              <w:rPr>
                <w:rFonts w:hint="eastAsia" w:cs="Times New Roman"/>
                <w:snapToGrid w:val="0"/>
                <w:color w:val="auto"/>
                <w:spacing w:val="1"/>
                <w:kern w:val="0"/>
                <w:sz w:val="21"/>
                <w:szCs w:val="21"/>
                <w:lang w:val="en-US" w:eastAsia="zh-CN" w:bidi="ar-SA"/>
              </w:rPr>
              <w:t>7.4.5</w:t>
            </w:r>
            <w:r>
              <w:rPr>
                <w:rFonts w:hint="default" w:ascii="Times New Roman" w:hAnsi="Times New Roman" w:eastAsia="宋体" w:cs="Times New Roman"/>
                <w:snapToGrid w:val="0"/>
                <w:color w:val="auto"/>
                <w:spacing w:val="1"/>
                <w:kern w:val="0"/>
                <w:sz w:val="21"/>
                <w:szCs w:val="21"/>
                <w:lang w:val="en-US" w:eastAsia="en-US" w:bidi="ar-SA"/>
              </w:rPr>
              <w:t>条</w:t>
            </w:r>
          </w:p>
        </w:tc>
        <w:tc>
          <w:tcPr>
            <w:tcW w:w="23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设</w:t>
            </w:r>
            <w:r>
              <w:rPr>
                <w:rFonts w:hint="eastAsia" w:ascii="Times New Roman" w:hAnsi="Times New Roman" w:eastAsia="宋体" w:cs="Times New Roman"/>
                <w:snapToGrid w:val="0"/>
                <w:color w:val="auto"/>
                <w:kern w:val="0"/>
                <w:sz w:val="21"/>
                <w:szCs w:val="21"/>
                <w:lang w:val="en-US" w:eastAsia="zh-CN" w:bidi="ar-SA"/>
              </w:rPr>
              <w:t>矩形排水明沟</w:t>
            </w:r>
            <w:r>
              <w:rPr>
                <w:rFonts w:hint="eastAsia" w:cs="Times New Roman"/>
                <w:snapToGrid w:val="0"/>
                <w:color w:val="auto"/>
                <w:kern w:val="0"/>
                <w:sz w:val="21"/>
                <w:szCs w:val="21"/>
                <w:lang w:val="en-US" w:eastAsia="zh-CN" w:bidi="ar-SA"/>
              </w:rPr>
              <w:t>，但明沟深度、坡度不详。</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5</w:t>
            </w:r>
          </w:p>
        </w:tc>
        <w:tc>
          <w:tcPr>
            <w:tcW w:w="39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在山坡地带建厂时,应在厂区上方设置山坡截水沟,并应在坡脚设置排水沟,同时应符合下列规定:</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w:t>
            </w:r>
            <w:r>
              <w:rPr>
                <w:rFonts w:hint="eastAsia" w:cs="Times New Roman"/>
                <w:snapToGrid w:val="0"/>
                <w:color w:val="auto"/>
                <w:kern w:val="0"/>
                <w:sz w:val="21"/>
                <w:szCs w:val="21"/>
                <w:lang w:val="en-US" w:eastAsia="zh-CN" w:bidi="ar-SA"/>
              </w:rPr>
              <w:t>.</w:t>
            </w:r>
            <w:r>
              <w:rPr>
                <w:rFonts w:hint="eastAsia" w:ascii="Times New Roman" w:hAnsi="Times New Roman" w:eastAsia="宋体" w:cs="Times New Roman"/>
                <w:snapToGrid w:val="0"/>
                <w:color w:val="auto"/>
                <w:kern w:val="0"/>
                <w:sz w:val="21"/>
                <w:szCs w:val="21"/>
                <w:lang w:val="en-US" w:eastAsia="zh-CN" w:bidi="ar-SA"/>
              </w:rPr>
              <w:t>截水沟至厂区挖方坡顶的距离不宜小于5m。</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2</w:t>
            </w:r>
            <w:r>
              <w:rPr>
                <w:rFonts w:hint="eastAsia" w:cs="Times New Roman"/>
                <w:snapToGrid w:val="0"/>
                <w:color w:val="auto"/>
                <w:kern w:val="0"/>
                <w:sz w:val="21"/>
                <w:szCs w:val="21"/>
                <w:lang w:val="en-US" w:eastAsia="zh-CN" w:bidi="ar-SA"/>
              </w:rPr>
              <w:t>.</w:t>
            </w:r>
            <w:r>
              <w:rPr>
                <w:rFonts w:hint="eastAsia" w:ascii="Times New Roman" w:hAnsi="Times New Roman" w:eastAsia="宋体" w:cs="Times New Roman"/>
                <w:snapToGrid w:val="0"/>
                <w:color w:val="auto"/>
                <w:kern w:val="0"/>
                <w:sz w:val="21"/>
                <w:szCs w:val="21"/>
                <w:lang w:val="en-US" w:eastAsia="zh-CN" w:bidi="ar-SA"/>
              </w:rPr>
              <w:t>当挖方边坡不高或截水沟铺砌加固时,截水沟至厂区挖方坡顶的距离不应小于2.5m。</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3</w:t>
            </w:r>
            <w:r>
              <w:rPr>
                <w:rFonts w:hint="eastAsia" w:cs="Times New Roman"/>
                <w:snapToGrid w:val="0"/>
                <w:color w:val="auto"/>
                <w:kern w:val="0"/>
                <w:sz w:val="21"/>
                <w:szCs w:val="21"/>
                <w:lang w:val="en-US" w:eastAsia="zh-CN" w:bidi="ar-SA"/>
              </w:rPr>
              <w:t>.</w:t>
            </w:r>
            <w:r>
              <w:rPr>
                <w:rFonts w:hint="eastAsia" w:ascii="Times New Roman" w:hAnsi="Times New Roman" w:eastAsia="宋体" w:cs="Times New Roman"/>
                <w:snapToGrid w:val="0"/>
                <w:color w:val="auto"/>
                <w:kern w:val="0"/>
                <w:sz w:val="21"/>
                <w:szCs w:val="21"/>
                <w:lang w:val="en-US" w:eastAsia="zh-CN" w:bidi="ar-SA"/>
              </w:rPr>
              <w:t>截水沟不应穿过厂区。当确有困难,必须穿过时，应从建筑密度较小的地段穿过。穿过地段的截水沟应加铺砌，并应确保厂区不受水害。</w:t>
            </w:r>
          </w:p>
        </w:tc>
        <w:tc>
          <w:tcPr>
            <w:tcW w:w="20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8"/>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《工业企业总平面设计</w:t>
            </w:r>
            <w:r>
              <w:rPr>
                <w:rFonts w:hint="default" w:ascii="Times New Roman" w:hAnsi="Times New Roman" w:eastAsia="宋体" w:cs="Times New Roman"/>
                <w:snapToGrid w:val="0"/>
                <w:color w:val="auto"/>
                <w:spacing w:val="-1"/>
                <w:kern w:val="0"/>
                <w:sz w:val="21"/>
                <w:szCs w:val="21"/>
                <w:lang w:val="en-US" w:eastAsia="en-US" w:bidi="ar-SA"/>
              </w:rPr>
              <w:t>规范》（GB50187-2012）</w:t>
            </w:r>
            <w:r>
              <w:rPr>
                <w:rFonts w:hint="default" w:ascii="Times New Roman" w:hAnsi="Times New Roman" w:eastAsia="宋体" w:cs="Times New Roman"/>
                <w:snapToGrid w:val="0"/>
                <w:color w:val="auto"/>
                <w:spacing w:val="1"/>
                <w:kern w:val="0"/>
                <w:sz w:val="21"/>
                <w:szCs w:val="21"/>
                <w:lang w:val="en-US" w:eastAsia="en-US" w:bidi="ar-SA"/>
              </w:rPr>
              <w:t>第</w:t>
            </w:r>
            <w:r>
              <w:rPr>
                <w:rFonts w:hint="eastAsia" w:cs="Times New Roman"/>
                <w:snapToGrid w:val="0"/>
                <w:color w:val="auto"/>
                <w:spacing w:val="1"/>
                <w:kern w:val="0"/>
                <w:sz w:val="21"/>
                <w:szCs w:val="21"/>
                <w:lang w:val="en-US" w:eastAsia="zh-CN" w:bidi="ar-SA"/>
              </w:rPr>
              <w:t>7.4.7</w:t>
            </w:r>
            <w:r>
              <w:rPr>
                <w:rFonts w:hint="default" w:ascii="Times New Roman" w:hAnsi="Times New Roman" w:eastAsia="宋体" w:cs="Times New Roman"/>
                <w:snapToGrid w:val="0"/>
                <w:color w:val="auto"/>
                <w:spacing w:val="1"/>
                <w:kern w:val="0"/>
                <w:sz w:val="21"/>
                <w:szCs w:val="21"/>
                <w:lang w:val="en-US" w:eastAsia="en-US" w:bidi="ar-SA"/>
              </w:rPr>
              <w:t>条</w:t>
            </w:r>
          </w:p>
        </w:tc>
        <w:tc>
          <w:tcPr>
            <w:tcW w:w="23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《可研报告》未进行说明。</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6</w:t>
            </w:r>
          </w:p>
        </w:tc>
        <w:tc>
          <w:tcPr>
            <w:tcW w:w="39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厂房和仓库的耐火等级可分为一、二、三、四级,相应建筑构件的燃烧性能和耐火极限,除本规范另有规定外，不应低于表3.2.1的规定。</w:t>
            </w:r>
          </w:p>
        </w:tc>
        <w:tc>
          <w:tcPr>
            <w:tcW w:w="20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zh-CN" w:bidi="ar-SA"/>
              </w:rPr>
              <w:t>《建筑设计防火规范（2018年版）》（GB50</w:t>
            </w:r>
            <w:r>
              <w:rPr>
                <w:rFonts w:hint="eastAsia" w:ascii="Times New Roman" w:hAnsi="Times New Roman" w:eastAsia="宋体" w:cs="Times New Roman"/>
                <w:snapToGrid w:val="0"/>
                <w:color w:val="auto"/>
                <w:spacing w:val="8"/>
                <w:kern w:val="0"/>
                <w:sz w:val="21"/>
                <w:szCs w:val="21"/>
                <w:lang w:val="en-US" w:eastAsia="zh-CN" w:bidi="ar-SA"/>
              </w:rPr>
              <w:t>016</w:t>
            </w:r>
            <w:r>
              <w:rPr>
                <w:rFonts w:hint="default" w:ascii="Times New Roman" w:hAnsi="Times New Roman" w:eastAsia="宋体" w:cs="Times New Roman"/>
                <w:snapToGrid w:val="0"/>
                <w:color w:val="auto"/>
                <w:spacing w:val="8"/>
                <w:kern w:val="0"/>
                <w:sz w:val="21"/>
                <w:szCs w:val="21"/>
                <w:lang w:val="en-US" w:eastAsia="zh-CN" w:bidi="ar-SA"/>
              </w:rPr>
              <w:t>-20</w:t>
            </w:r>
            <w:r>
              <w:rPr>
                <w:rFonts w:hint="eastAsia" w:ascii="Times New Roman" w:hAnsi="Times New Roman" w:eastAsia="宋体" w:cs="Times New Roman"/>
                <w:snapToGrid w:val="0"/>
                <w:color w:val="auto"/>
                <w:spacing w:val="8"/>
                <w:kern w:val="0"/>
                <w:sz w:val="21"/>
                <w:szCs w:val="21"/>
                <w:lang w:val="en-US" w:eastAsia="zh-CN" w:bidi="ar-SA"/>
              </w:rPr>
              <w:t>14</w:t>
            </w:r>
            <w:r>
              <w:rPr>
                <w:rFonts w:hint="default" w:ascii="Times New Roman" w:hAnsi="Times New Roman" w:eastAsia="宋体" w:cs="Times New Roman"/>
                <w:snapToGrid w:val="0"/>
                <w:color w:val="auto"/>
                <w:spacing w:val="8"/>
                <w:kern w:val="0"/>
                <w:sz w:val="21"/>
                <w:szCs w:val="21"/>
                <w:lang w:val="en-US" w:eastAsia="zh-CN" w:bidi="ar-SA"/>
              </w:rPr>
              <w:t>）</w:t>
            </w:r>
            <w:r>
              <w:rPr>
                <w:rFonts w:hint="default" w:ascii="Times New Roman" w:hAnsi="Times New Roman" w:eastAsia="宋体" w:cs="Times New Roman"/>
                <w:snapToGrid w:val="0"/>
                <w:color w:val="auto"/>
                <w:spacing w:val="1"/>
                <w:kern w:val="0"/>
                <w:sz w:val="21"/>
                <w:szCs w:val="21"/>
                <w:lang w:val="en-US" w:eastAsia="en-US" w:bidi="ar-SA"/>
              </w:rPr>
              <w:t>第</w:t>
            </w:r>
            <w:r>
              <w:rPr>
                <w:rFonts w:hint="eastAsia" w:cs="Times New Roman"/>
                <w:snapToGrid w:val="0"/>
                <w:color w:val="auto"/>
                <w:spacing w:val="1"/>
                <w:kern w:val="0"/>
                <w:sz w:val="21"/>
                <w:szCs w:val="21"/>
                <w:lang w:val="en-US" w:eastAsia="zh-CN" w:bidi="ar-SA"/>
              </w:rPr>
              <w:t>3.2.1</w:t>
            </w:r>
            <w:r>
              <w:rPr>
                <w:rFonts w:hint="default" w:ascii="Times New Roman" w:hAnsi="Times New Roman" w:eastAsia="宋体" w:cs="Times New Roman"/>
                <w:snapToGrid w:val="0"/>
                <w:color w:val="auto"/>
                <w:spacing w:val="1"/>
                <w:kern w:val="0"/>
                <w:sz w:val="21"/>
                <w:szCs w:val="21"/>
                <w:lang w:val="en-US" w:eastAsia="en-US" w:bidi="ar-SA"/>
              </w:rPr>
              <w:t>条</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《选矿安全规程》（</w:t>
            </w:r>
            <w:r>
              <w:rPr>
                <w:rFonts w:hint="eastAsia" w:cs="Times New Roman"/>
                <w:snapToGrid w:val="0"/>
                <w:color w:val="auto"/>
                <w:spacing w:val="1"/>
                <w:kern w:val="0"/>
                <w:sz w:val="21"/>
                <w:szCs w:val="21"/>
                <w:lang w:val="en-US" w:eastAsia="zh-CN" w:bidi="ar-SA"/>
              </w:rPr>
              <w:t>GB/T18152-2000</w:t>
            </w:r>
            <w:r>
              <w:rPr>
                <w:rFonts w:hint="default" w:ascii="Times New Roman" w:hAnsi="Times New Roman" w:eastAsia="宋体" w:cs="Times New Roman"/>
                <w:snapToGrid w:val="0"/>
                <w:color w:val="auto"/>
                <w:spacing w:val="1"/>
                <w:kern w:val="0"/>
                <w:sz w:val="21"/>
                <w:szCs w:val="21"/>
                <w:lang w:val="en-US" w:eastAsia="en-US" w:bidi="ar-SA"/>
              </w:rPr>
              <w:t>）第</w:t>
            </w:r>
            <w:r>
              <w:rPr>
                <w:rFonts w:hint="eastAsia" w:cs="Times New Roman"/>
                <w:snapToGrid w:val="0"/>
                <w:color w:val="auto"/>
                <w:spacing w:val="1"/>
                <w:kern w:val="0"/>
                <w:sz w:val="21"/>
                <w:szCs w:val="21"/>
                <w:lang w:val="en-US" w:eastAsia="zh-CN" w:bidi="ar-SA"/>
              </w:rPr>
              <w:t>11.2</w:t>
            </w:r>
            <w:r>
              <w:rPr>
                <w:rFonts w:hint="default" w:ascii="Times New Roman" w:hAnsi="Times New Roman" w:eastAsia="宋体" w:cs="Times New Roman"/>
                <w:snapToGrid w:val="0"/>
                <w:color w:val="auto"/>
                <w:spacing w:val="1"/>
                <w:kern w:val="0"/>
                <w:sz w:val="21"/>
                <w:szCs w:val="21"/>
                <w:lang w:val="en-US" w:eastAsia="en-US" w:bidi="ar-SA"/>
              </w:rPr>
              <w:t>条</w:t>
            </w:r>
          </w:p>
        </w:tc>
        <w:tc>
          <w:tcPr>
            <w:tcW w:w="23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厂房主要为钢筋砼或钢结构，耐火等级为二级，耐火等级符合规范规定。</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3"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7</w:t>
            </w:r>
          </w:p>
        </w:tc>
        <w:tc>
          <w:tcPr>
            <w:tcW w:w="39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一、二级耐火等级厂房(仓库)的屋面板应采用不燃材料。</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屋面防水层宜采用不燃、难燃材料,当采用可燃防水材料且铺设在可燃、难燃保温材料上时,防水材料或可燃、难燃保温材料应采用不燃材料作防护层</w:t>
            </w:r>
            <w:r>
              <w:rPr>
                <w:rFonts w:hint="eastAsia" w:cs="Times New Roman"/>
                <w:snapToGrid w:val="0"/>
                <w:color w:val="auto"/>
                <w:kern w:val="0"/>
                <w:sz w:val="21"/>
                <w:szCs w:val="21"/>
                <w:lang w:val="en-US" w:eastAsia="zh-CN" w:bidi="ar-SA"/>
              </w:rPr>
              <w:t>.</w:t>
            </w:r>
          </w:p>
        </w:tc>
        <w:tc>
          <w:tcPr>
            <w:tcW w:w="20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《建筑设计防火规范（2018年版）》（GB50016-2014）第3.2.</w:t>
            </w:r>
            <w:r>
              <w:rPr>
                <w:rFonts w:hint="eastAsia" w:cs="Times New Roman"/>
                <w:snapToGrid w:val="0"/>
                <w:color w:val="auto"/>
                <w:spacing w:val="1"/>
                <w:kern w:val="0"/>
                <w:sz w:val="21"/>
                <w:szCs w:val="21"/>
                <w:lang w:val="en-US" w:eastAsia="zh-CN" w:bidi="ar-SA"/>
              </w:rPr>
              <w:t>16</w:t>
            </w:r>
            <w:r>
              <w:rPr>
                <w:rFonts w:hint="default" w:ascii="Times New Roman" w:hAnsi="Times New Roman" w:eastAsia="宋体" w:cs="Times New Roman"/>
                <w:snapToGrid w:val="0"/>
                <w:color w:val="auto"/>
                <w:spacing w:val="1"/>
                <w:kern w:val="0"/>
                <w:sz w:val="21"/>
                <w:szCs w:val="21"/>
                <w:lang w:val="en-US" w:eastAsia="en-US" w:bidi="ar-SA"/>
              </w:rPr>
              <w:t>条</w:t>
            </w:r>
          </w:p>
        </w:tc>
        <w:tc>
          <w:tcPr>
            <w:tcW w:w="23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屋面板</w:t>
            </w:r>
            <w:r>
              <w:rPr>
                <w:rFonts w:hint="eastAsia" w:cs="Times New Roman"/>
                <w:snapToGrid w:val="0"/>
                <w:color w:val="auto"/>
                <w:kern w:val="0"/>
                <w:sz w:val="21"/>
                <w:szCs w:val="21"/>
                <w:lang w:val="en-US" w:eastAsia="zh-CN" w:bidi="ar-SA"/>
              </w:rPr>
              <w:t>采用</w:t>
            </w:r>
            <w:r>
              <w:rPr>
                <w:rFonts w:hint="eastAsia" w:ascii="Times New Roman" w:hAnsi="Times New Roman" w:eastAsia="宋体" w:cs="Times New Roman"/>
                <w:snapToGrid w:val="0"/>
                <w:color w:val="auto"/>
                <w:kern w:val="0"/>
                <w:sz w:val="21"/>
                <w:szCs w:val="21"/>
                <w:lang w:val="en-US" w:eastAsia="zh-CN" w:bidi="ar-SA"/>
              </w:rPr>
              <w:t>彩钢板</w:t>
            </w:r>
            <w:r>
              <w:rPr>
                <w:rFonts w:hint="eastAsia" w:cs="Times New Roman"/>
                <w:snapToGrid w:val="0"/>
                <w:color w:val="auto"/>
                <w:kern w:val="0"/>
                <w:sz w:val="21"/>
                <w:szCs w:val="21"/>
                <w:lang w:val="en-US" w:eastAsia="zh-CN" w:bidi="ar-SA"/>
              </w:rPr>
              <w:t>，</w:t>
            </w:r>
            <w:r>
              <w:rPr>
                <w:rFonts w:hint="eastAsia" w:ascii="Times New Roman" w:hAnsi="Times New Roman" w:eastAsia="宋体" w:cs="Times New Roman"/>
                <w:snapToGrid w:val="0"/>
                <w:color w:val="auto"/>
                <w:kern w:val="0"/>
                <w:sz w:val="21"/>
                <w:szCs w:val="21"/>
                <w:lang w:val="en-US" w:eastAsia="zh-CN" w:bidi="ar-SA"/>
              </w:rPr>
              <w:t>屋面防水</w:t>
            </w:r>
            <w:r>
              <w:rPr>
                <w:rFonts w:hint="eastAsia" w:cs="Times New Roman"/>
                <w:snapToGrid w:val="0"/>
                <w:color w:val="auto"/>
                <w:kern w:val="0"/>
                <w:sz w:val="21"/>
                <w:szCs w:val="21"/>
                <w:lang w:val="en-US" w:eastAsia="zh-CN" w:bidi="ar-SA"/>
              </w:rPr>
              <w:t>采用卷材柔性防水屋面，符合要求。</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9"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8</w:t>
            </w:r>
          </w:p>
        </w:tc>
        <w:tc>
          <w:tcPr>
            <w:tcW w:w="39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除本规范另有规定外,厂房的层数和每个防火分区的最大允许建筑面积应符合表3.3.1的规定。</w:t>
            </w:r>
          </w:p>
        </w:tc>
        <w:tc>
          <w:tcPr>
            <w:tcW w:w="20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《建筑设计防火规范（2018年版）》（GB50016-2014）第3.</w:t>
            </w:r>
            <w:r>
              <w:rPr>
                <w:rFonts w:hint="eastAsia" w:cs="Times New Roman"/>
                <w:snapToGrid w:val="0"/>
                <w:color w:val="auto"/>
                <w:spacing w:val="1"/>
                <w:kern w:val="0"/>
                <w:sz w:val="21"/>
                <w:szCs w:val="21"/>
                <w:lang w:val="en-US" w:eastAsia="zh-CN" w:bidi="ar-SA"/>
              </w:rPr>
              <w:t>3.1</w:t>
            </w:r>
            <w:r>
              <w:rPr>
                <w:rFonts w:hint="default" w:ascii="Times New Roman" w:hAnsi="Times New Roman" w:eastAsia="宋体" w:cs="Times New Roman"/>
                <w:snapToGrid w:val="0"/>
                <w:color w:val="auto"/>
                <w:spacing w:val="1"/>
                <w:kern w:val="0"/>
                <w:sz w:val="21"/>
                <w:szCs w:val="21"/>
                <w:lang w:val="en-US" w:eastAsia="en-US" w:bidi="ar-SA"/>
              </w:rPr>
              <w:t>条</w:t>
            </w:r>
          </w:p>
        </w:tc>
        <w:tc>
          <w:tcPr>
            <w:tcW w:w="23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厂房耐火等级、层数和每个防火分区面积符合要求。</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0"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9</w:t>
            </w:r>
          </w:p>
        </w:tc>
        <w:tc>
          <w:tcPr>
            <w:tcW w:w="39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员工宿舍严禁设置在厂房内。</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办公室、休息室等不应设置在甲、乙类厂房内，确需贴邻本厂房时，其耐火等级不应低于二级，并应采用耐火极限不低于3.00h的防爆墙与厂房分隔，且应设置独立的安全出口。</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办公室、休息室设置在丙类厂房内时，应采用耐火极限不低于2.50h的防火隔墙和1.00h的楼板与其他部位分隔，并应至少设置1个独立的安全出口。如隔墙上需开设相互连通的门时,应采用乙级防火门。</w:t>
            </w:r>
          </w:p>
        </w:tc>
        <w:tc>
          <w:tcPr>
            <w:tcW w:w="20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《建筑设计防火规范（2018年版）》第3.3.</w:t>
            </w:r>
            <w:r>
              <w:rPr>
                <w:rFonts w:hint="eastAsia" w:cs="Times New Roman"/>
                <w:snapToGrid w:val="0"/>
                <w:color w:val="auto"/>
                <w:spacing w:val="1"/>
                <w:kern w:val="0"/>
                <w:sz w:val="21"/>
                <w:szCs w:val="21"/>
                <w:lang w:val="en-US" w:eastAsia="zh-CN" w:bidi="ar-SA"/>
              </w:rPr>
              <w:t>5</w:t>
            </w:r>
            <w:r>
              <w:rPr>
                <w:rFonts w:hint="default" w:ascii="Times New Roman" w:hAnsi="Times New Roman" w:eastAsia="宋体" w:cs="Times New Roman"/>
                <w:snapToGrid w:val="0"/>
                <w:color w:val="auto"/>
                <w:spacing w:val="1"/>
                <w:kern w:val="0"/>
                <w:sz w:val="21"/>
                <w:szCs w:val="21"/>
                <w:lang w:val="en-US" w:eastAsia="en-US" w:bidi="ar-SA"/>
              </w:rPr>
              <w:t>条</w:t>
            </w:r>
          </w:p>
        </w:tc>
        <w:tc>
          <w:tcPr>
            <w:tcW w:w="23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厂房内无员工宿舍。</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10</w:t>
            </w:r>
          </w:p>
        </w:tc>
        <w:tc>
          <w:tcPr>
            <w:tcW w:w="39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厂房、库房、站房、地下室,应按国家有关规定设置适当数量的安全出口。安全疏散距离和楼梯、走道及门的宽度应符合防火规范，安全疏散门应向外开启。</w:t>
            </w:r>
          </w:p>
        </w:tc>
        <w:tc>
          <w:tcPr>
            <w:tcW w:w="20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《选矿安全规程》（</w:t>
            </w:r>
            <w:r>
              <w:rPr>
                <w:rFonts w:hint="eastAsia" w:cs="Times New Roman"/>
                <w:snapToGrid w:val="0"/>
                <w:color w:val="auto"/>
                <w:spacing w:val="1"/>
                <w:kern w:val="0"/>
                <w:sz w:val="21"/>
                <w:szCs w:val="21"/>
                <w:lang w:val="en-US" w:eastAsia="zh-CN" w:bidi="ar-SA"/>
              </w:rPr>
              <w:t>GB/T18152-2000</w:t>
            </w:r>
            <w:r>
              <w:rPr>
                <w:rFonts w:hint="default" w:ascii="Times New Roman" w:hAnsi="Times New Roman" w:eastAsia="宋体" w:cs="Times New Roman"/>
                <w:snapToGrid w:val="0"/>
                <w:color w:val="auto"/>
                <w:spacing w:val="1"/>
                <w:kern w:val="0"/>
                <w:sz w:val="21"/>
                <w:szCs w:val="21"/>
                <w:lang w:val="en-US" w:eastAsia="en-US" w:bidi="ar-SA"/>
              </w:rPr>
              <w:t>）第</w:t>
            </w:r>
            <w:r>
              <w:rPr>
                <w:rFonts w:hint="eastAsia" w:cs="Times New Roman"/>
                <w:snapToGrid w:val="0"/>
                <w:color w:val="auto"/>
                <w:spacing w:val="1"/>
                <w:kern w:val="0"/>
                <w:sz w:val="21"/>
                <w:szCs w:val="21"/>
                <w:lang w:val="en-US" w:eastAsia="zh-CN" w:bidi="ar-SA"/>
              </w:rPr>
              <w:t>11.3</w:t>
            </w:r>
            <w:r>
              <w:rPr>
                <w:rFonts w:hint="default" w:ascii="Times New Roman" w:hAnsi="Times New Roman" w:eastAsia="宋体" w:cs="Times New Roman"/>
                <w:snapToGrid w:val="0"/>
                <w:color w:val="auto"/>
                <w:spacing w:val="1"/>
                <w:kern w:val="0"/>
                <w:sz w:val="21"/>
                <w:szCs w:val="21"/>
                <w:lang w:val="en-US" w:eastAsia="en-US" w:bidi="ar-SA"/>
              </w:rPr>
              <w:t>条</w:t>
            </w:r>
          </w:p>
        </w:tc>
        <w:tc>
          <w:tcPr>
            <w:tcW w:w="23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《可研报告》未提及。</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4"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11</w:t>
            </w:r>
          </w:p>
        </w:tc>
        <w:tc>
          <w:tcPr>
            <w:tcW w:w="39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厂区及厂房、库房应按规定设置消防水管路系统和消防栓,消防栓应有足够的水量和水压。</w:t>
            </w:r>
          </w:p>
        </w:tc>
        <w:tc>
          <w:tcPr>
            <w:tcW w:w="20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《选矿安全规程》（</w:t>
            </w:r>
            <w:r>
              <w:rPr>
                <w:rFonts w:hint="eastAsia" w:cs="Times New Roman"/>
                <w:snapToGrid w:val="0"/>
                <w:color w:val="auto"/>
                <w:spacing w:val="1"/>
                <w:kern w:val="0"/>
                <w:sz w:val="21"/>
                <w:szCs w:val="21"/>
                <w:lang w:val="en-US" w:eastAsia="zh-CN" w:bidi="ar-SA"/>
              </w:rPr>
              <w:t>GB/T18152-2000</w:t>
            </w:r>
            <w:r>
              <w:rPr>
                <w:rFonts w:hint="default" w:ascii="Times New Roman" w:hAnsi="Times New Roman" w:eastAsia="宋体" w:cs="Times New Roman"/>
                <w:snapToGrid w:val="0"/>
                <w:color w:val="auto"/>
                <w:spacing w:val="1"/>
                <w:kern w:val="0"/>
                <w:sz w:val="21"/>
                <w:szCs w:val="21"/>
                <w:lang w:val="en-US" w:eastAsia="en-US" w:bidi="ar-SA"/>
              </w:rPr>
              <w:t>）第</w:t>
            </w:r>
            <w:r>
              <w:rPr>
                <w:rFonts w:hint="eastAsia" w:cs="Times New Roman"/>
                <w:snapToGrid w:val="0"/>
                <w:color w:val="auto"/>
                <w:spacing w:val="1"/>
                <w:kern w:val="0"/>
                <w:sz w:val="21"/>
                <w:szCs w:val="21"/>
                <w:lang w:val="en-US" w:eastAsia="zh-CN" w:bidi="ar-SA"/>
              </w:rPr>
              <w:t>11.4</w:t>
            </w:r>
            <w:r>
              <w:rPr>
                <w:rFonts w:hint="default" w:ascii="Times New Roman" w:hAnsi="Times New Roman" w:eastAsia="宋体" w:cs="Times New Roman"/>
                <w:snapToGrid w:val="0"/>
                <w:color w:val="auto"/>
                <w:spacing w:val="1"/>
                <w:kern w:val="0"/>
                <w:sz w:val="21"/>
                <w:szCs w:val="21"/>
                <w:lang w:val="en-US" w:eastAsia="en-US" w:bidi="ar-SA"/>
              </w:rPr>
              <w:t>条</w:t>
            </w:r>
          </w:p>
        </w:tc>
        <w:tc>
          <w:tcPr>
            <w:tcW w:w="23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设置有消防水管路系统和消防栓,消防栓有足够的水量和水压。</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12</w:t>
            </w:r>
          </w:p>
        </w:tc>
        <w:tc>
          <w:tcPr>
            <w:tcW w:w="39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消防给水和消防设施的设置应根据建筑的用途及其重要性、火灾危险性、火灾特性和环境条件等因素综合确定。</w:t>
            </w:r>
          </w:p>
        </w:tc>
        <w:tc>
          <w:tcPr>
            <w:tcW w:w="20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《建筑设计防火规范（2018年版）》第</w:t>
            </w:r>
            <w:r>
              <w:rPr>
                <w:rFonts w:hint="eastAsia" w:ascii="Times New Roman" w:hAnsi="Times New Roman" w:eastAsia="宋体" w:cs="Times New Roman"/>
                <w:snapToGrid w:val="0"/>
                <w:color w:val="auto"/>
                <w:spacing w:val="1"/>
                <w:kern w:val="0"/>
                <w:sz w:val="21"/>
                <w:szCs w:val="21"/>
                <w:lang w:val="en-US" w:eastAsia="zh-CN" w:bidi="ar-SA"/>
              </w:rPr>
              <w:t>8.1.1</w:t>
            </w:r>
            <w:r>
              <w:rPr>
                <w:rFonts w:hint="default" w:ascii="Times New Roman" w:hAnsi="Times New Roman" w:eastAsia="宋体" w:cs="Times New Roman"/>
                <w:snapToGrid w:val="0"/>
                <w:color w:val="auto"/>
                <w:spacing w:val="1"/>
                <w:kern w:val="0"/>
                <w:sz w:val="21"/>
                <w:szCs w:val="21"/>
                <w:lang w:val="en-US" w:eastAsia="en-US" w:bidi="ar-SA"/>
              </w:rPr>
              <w:t>条</w:t>
            </w:r>
          </w:p>
        </w:tc>
        <w:tc>
          <w:tcPr>
            <w:tcW w:w="23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《可研报告》已根据上述因素确定了</w:t>
            </w:r>
            <w:r>
              <w:rPr>
                <w:rFonts w:hint="eastAsia" w:ascii="Times New Roman" w:hAnsi="Times New Roman" w:eastAsia="宋体" w:cs="Times New Roman"/>
                <w:snapToGrid w:val="0"/>
                <w:color w:val="auto"/>
                <w:kern w:val="0"/>
                <w:sz w:val="21"/>
                <w:szCs w:val="21"/>
                <w:lang w:val="en-US" w:eastAsia="zh-CN" w:bidi="ar-SA"/>
              </w:rPr>
              <w:t>消防给水和消防设施的设置</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13</w:t>
            </w:r>
          </w:p>
        </w:tc>
        <w:tc>
          <w:tcPr>
            <w:tcW w:w="39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厂房、仓库、储罐(区)和堆场，应设置灭火器。</w:t>
            </w:r>
          </w:p>
        </w:tc>
        <w:tc>
          <w:tcPr>
            <w:tcW w:w="20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《建筑设计防火规范（2018年版）》第</w:t>
            </w:r>
            <w:r>
              <w:rPr>
                <w:rFonts w:hint="eastAsia" w:ascii="Times New Roman" w:hAnsi="Times New Roman" w:eastAsia="宋体" w:cs="Times New Roman"/>
                <w:snapToGrid w:val="0"/>
                <w:color w:val="auto"/>
                <w:spacing w:val="1"/>
                <w:kern w:val="0"/>
                <w:sz w:val="21"/>
                <w:szCs w:val="21"/>
                <w:lang w:val="en-US" w:eastAsia="zh-CN" w:bidi="ar-SA"/>
              </w:rPr>
              <w:t>8.1.10</w:t>
            </w:r>
            <w:r>
              <w:rPr>
                <w:rFonts w:hint="default" w:ascii="Times New Roman" w:hAnsi="Times New Roman" w:eastAsia="宋体" w:cs="Times New Roman"/>
                <w:snapToGrid w:val="0"/>
                <w:color w:val="auto"/>
                <w:spacing w:val="1"/>
                <w:kern w:val="0"/>
                <w:sz w:val="21"/>
                <w:szCs w:val="21"/>
                <w:lang w:val="en-US" w:eastAsia="en-US" w:bidi="ar-SA"/>
              </w:rPr>
              <w:t>条</w:t>
            </w:r>
          </w:p>
        </w:tc>
        <w:tc>
          <w:tcPr>
            <w:tcW w:w="23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《可研报告》已做要求。</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14</w:t>
            </w:r>
          </w:p>
        </w:tc>
        <w:tc>
          <w:tcPr>
            <w:tcW w:w="39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下列建筑或场所应设置室内消火栓系统：</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建筑占地面积大于300m</w:t>
            </w:r>
            <w:r>
              <w:rPr>
                <w:rFonts w:hint="eastAsia" w:ascii="Times New Roman" w:hAnsi="Times New Roman" w:eastAsia="宋体" w:cs="Times New Roman"/>
                <w:snapToGrid w:val="0"/>
                <w:color w:val="auto"/>
                <w:kern w:val="0"/>
                <w:sz w:val="21"/>
                <w:szCs w:val="21"/>
                <w:vertAlign w:val="superscript"/>
                <w:lang w:val="en-US" w:eastAsia="zh-CN" w:bidi="ar-SA"/>
              </w:rPr>
              <w:t>2</w:t>
            </w:r>
            <w:r>
              <w:rPr>
                <w:rFonts w:hint="eastAsia" w:ascii="Times New Roman" w:hAnsi="Times New Roman" w:eastAsia="宋体" w:cs="Times New Roman"/>
                <w:snapToGrid w:val="0"/>
                <w:color w:val="auto"/>
                <w:kern w:val="0"/>
                <w:sz w:val="21"/>
                <w:szCs w:val="21"/>
                <w:lang w:val="en-US" w:eastAsia="zh-CN" w:bidi="ar-SA"/>
              </w:rPr>
              <w:t>的厂房和仓库</w:t>
            </w:r>
          </w:p>
        </w:tc>
        <w:tc>
          <w:tcPr>
            <w:tcW w:w="208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《建筑设计防火规范（2018年版）》第</w:t>
            </w:r>
            <w:r>
              <w:rPr>
                <w:rFonts w:hint="eastAsia" w:ascii="Times New Roman" w:hAnsi="Times New Roman" w:eastAsia="宋体" w:cs="Times New Roman"/>
                <w:snapToGrid w:val="0"/>
                <w:color w:val="auto"/>
                <w:spacing w:val="1"/>
                <w:kern w:val="0"/>
                <w:sz w:val="21"/>
                <w:szCs w:val="21"/>
                <w:lang w:val="en-US" w:eastAsia="zh-CN" w:bidi="ar-SA"/>
              </w:rPr>
              <w:t>8.2.1</w:t>
            </w:r>
            <w:r>
              <w:rPr>
                <w:rFonts w:hint="default" w:ascii="Times New Roman" w:hAnsi="Times New Roman" w:eastAsia="宋体" w:cs="Times New Roman"/>
                <w:snapToGrid w:val="0"/>
                <w:color w:val="auto"/>
                <w:spacing w:val="1"/>
                <w:kern w:val="0"/>
                <w:sz w:val="21"/>
                <w:szCs w:val="21"/>
                <w:lang w:val="en-US" w:eastAsia="en-US" w:bidi="ar-SA"/>
              </w:rPr>
              <w:t>条</w:t>
            </w:r>
          </w:p>
        </w:tc>
        <w:tc>
          <w:tcPr>
            <w:tcW w:w="23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已按要求设置了</w:t>
            </w:r>
            <w:r>
              <w:rPr>
                <w:rFonts w:hint="eastAsia" w:ascii="Times New Roman" w:hAnsi="Times New Roman" w:eastAsia="宋体" w:cs="Times New Roman"/>
                <w:snapToGrid w:val="0"/>
                <w:color w:val="auto"/>
                <w:kern w:val="0"/>
                <w:sz w:val="21"/>
                <w:szCs w:val="21"/>
                <w:lang w:val="en-US" w:eastAsia="zh-CN" w:bidi="ar-SA"/>
              </w:rPr>
              <w:t>室内消火栓系统</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bl>
    <w:p>
      <w:pPr>
        <w:bidi w:val="0"/>
        <w:rPr>
          <w:rFonts w:hint="default"/>
          <w:color w:val="auto"/>
          <w:lang w:val="en-US" w:eastAsia="zh-CN"/>
        </w:rPr>
      </w:pPr>
      <w:r>
        <w:rPr>
          <w:rFonts w:hint="default"/>
          <w:color w:val="auto"/>
          <w:lang w:val="en-US" w:eastAsia="zh-CN"/>
        </w:rPr>
        <w:t>2 、单元评价小结</w:t>
      </w:r>
    </w:p>
    <w:p>
      <w:pPr>
        <w:bidi w:val="0"/>
        <w:rPr>
          <w:rFonts w:hint="default"/>
          <w:color w:val="auto"/>
          <w:lang w:val="en-US" w:eastAsia="zh-CN"/>
        </w:rPr>
      </w:pPr>
      <w:r>
        <w:rPr>
          <w:rFonts w:hint="default"/>
          <w:color w:val="auto"/>
          <w:lang w:val="en-US" w:eastAsia="zh-CN"/>
        </w:rPr>
        <w:t>本子单元对该项目道路及运输子单元进行检查，检查</w:t>
      </w:r>
      <w:r>
        <w:rPr>
          <w:rFonts w:hint="eastAsia"/>
          <w:color w:val="auto"/>
          <w:lang w:val="en-US" w:eastAsia="zh-CN"/>
        </w:rPr>
        <w:t>14</w:t>
      </w:r>
      <w:r>
        <w:rPr>
          <w:rFonts w:hint="default"/>
          <w:color w:val="auto"/>
          <w:lang w:val="en-US" w:eastAsia="zh-CN"/>
        </w:rPr>
        <w:t>项，</w:t>
      </w:r>
      <w:r>
        <w:rPr>
          <w:rFonts w:hint="eastAsia"/>
          <w:color w:val="auto"/>
          <w:lang w:val="en-US" w:eastAsia="zh-CN"/>
        </w:rPr>
        <w:t>10</w:t>
      </w:r>
      <w:r>
        <w:rPr>
          <w:rFonts w:hint="default"/>
          <w:color w:val="auto"/>
          <w:lang w:val="en-US" w:eastAsia="zh-CN"/>
        </w:rPr>
        <w:t>项满足要求，</w:t>
      </w:r>
      <w:r>
        <w:rPr>
          <w:rFonts w:hint="eastAsia"/>
          <w:color w:val="auto"/>
          <w:lang w:val="en-US" w:eastAsia="zh-CN"/>
        </w:rPr>
        <w:t>4</w:t>
      </w:r>
      <w:r>
        <w:rPr>
          <w:rFonts w:hint="default"/>
          <w:color w:val="auto"/>
          <w:lang w:val="en-US" w:eastAsia="zh-CN"/>
        </w:rPr>
        <w:t>项</w:t>
      </w:r>
      <w:r>
        <w:rPr>
          <w:rFonts w:hint="eastAsia"/>
          <w:color w:val="auto"/>
          <w:lang w:val="en-US" w:eastAsia="zh-CN"/>
        </w:rPr>
        <w:t>需</w:t>
      </w:r>
      <w:r>
        <w:rPr>
          <w:rFonts w:hint="default"/>
          <w:color w:val="auto"/>
          <w:lang w:val="en-US" w:eastAsia="zh-CN"/>
        </w:rPr>
        <w:t>下一步设计补充，后续在初步设计和安全设施设计中应予以完善给排水及消防设施部分的设计内容，如场地雨水排水设计流量计算</w:t>
      </w:r>
      <w:r>
        <w:rPr>
          <w:rFonts w:hint="eastAsia"/>
          <w:color w:val="auto"/>
          <w:lang w:val="en-US" w:eastAsia="zh-CN"/>
        </w:rPr>
        <w:t>；矩形排水明沟的尺寸；截、排水沟的布置；安全出口的布置等</w:t>
      </w:r>
      <w:r>
        <w:rPr>
          <w:rFonts w:hint="default"/>
          <w:color w:val="auto"/>
          <w:lang w:val="en-US" w:eastAsia="zh-CN"/>
        </w:rPr>
        <w:t>。</w:t>
      </w:r>
    </w:p>
    <w:p>
      <w:pPr>
        <w:pStyle w:val="4"/>
        <w:bidi w:val="0"/>
        <w:rPr>
          <w:rFonts w:hint="default"/>
          <w:color w:val="auto"/>
          <w:lang w:val="en-US" w:eastAsia="zh-CN"/>
        </w:rPr>
      </w:pPr>
      <w:bookmarkStart w:id="272" w:name="_Toc9966"/>
      <w:bookmarkStart w:id="273" w:name="_Toc24518"/>
      <w:r>
        <w:rPr>
          <w:rFonts w:hint="eastAsia"/>
          <w:color w:val="auto"/>
          <w:lang w:val="en-US" w:eastAsia="zh-CN"/>
        </w:rPr>
        <w:t xml:space="preserve">5.4.3 </w:t>
      </w:r>
      <w:r>
        <w:rPr>
          <w:rFonts w:hint="default"/>
          <w:color w:val="auto"/>
          <w:lang w:val="en-US" w:eastAsia="zh-CN"/>
        </w:rPr>
        <w:t>供配电设施子单元</w:t>
      </w:r>
      <w:bookmarkEnd w:id="272"/>
      <w:bookmarkEnd w:id="273"/>
    </w:p>
    <w:p>
      <w:pPr>
        <w:rPr>
          <w:rFonts w:hint="default"/>
          <w:color w:val="auto"/>
          <w:lang w:val="en-US" w:eastAsia="zh-CN"/>
        </w:rPr>
      </w:pPr>
      <w:r>
        <w:rPr>
          <w:rFonts w:hint="default"/>
          <w:color w:val="auto"/>
          <w:lang w:val="en-US" w:eastAsia="zh-CN"/>
        </w:rPr>
        <w:t>1、安全检查表法评价</w:t>
      </w:r>
    </w:p>
    <w:p>
      <w:pPr>
        <w:rPr>
          <w:rFonts w:hint="default"/>
          <w:color w:val="auto"/>
          <w:lang w:val="en-US" w:eastAsia="zh-CN"/>
        </w:rPr>
      </w:pPr>
      <w:r>
        <w:rPr>
          <w:rFonts w:hint="default"/>
          <w:color w:val="auto"/>
          <w:lang w:val="en-US" w:eastAsia="zh-CN"/>
        </w:rPr>
        <w:t>依据《矿山电力设计标准》</w:t>
      </w:r>
      <w:r>
        <w:rPr>
          <w:rFonts w:hint="eastAsia"/>
          <w:color w:val="auto"/>
          <w:lang w:val="en-US" w:eastAsia="zh-CN"/>
        </w:rPr>
        <w:t>（</w:t>
      </w:r>
      <w:r>
        <w:rPr>
          <w:rFonts w:hint="default"/>
          <w:color w:val="auto"/>
        </w:rPr>
        <w:t>GB50070-2020</w:t>
      </w:r>
      <w:r>
        <w:rPr>
          <w:rFonts w:hint="eastAsia"/>
          <w:color w:val="auto"/>
          <w:lang w:val="en-US" w:eastAsia="zh-CN"/>
        </w:rPr>
        <w:t>）、</w:t>
      </w:r>
      <w:r>
        <w:rPr>
          <w:rFonts w:hint="default"/>
          <w:color w:val="auto"/>
          <w:lang w:val="en-US" w:eastAsia="zh-CN"/>
        </w:rPr>
        <w:t>《选矿安全规程》（</w:t>
      </w:r>
      <w:r>
        <w:rPr>
          <w:rFonts w:hint="eastAsia"/>
          <w:color w:val="auto"/>
          <w:lang w:val="en-US" w:eastAsia="zh-CN"/>
        </w:rPr>
        <w:t>GB/T18152-2000</w:t>
      </w:r>
      <w:r>
        <w:rPr>
          <w:rFonts w:hint="default"/>
          <w:color w:val="auto"/>
          <w:lang w:val="en-US" w:eastAsia="zh-CN"/>
        </w:rPr>
        <w:t>）编制安全检查表，对评价项目供配电设施的符合性进行评价，见表</w:t>
      </w:r>
      <w:r>
        <w:rPr>
          <w:rFonts w:hint="eastAsia"/>
          <w:color w:val="auto"/>
          <w:lang w:val="en-US" w:eastAsia="zh-CN"/>
        </w:rPr>
        <w:t>5-8</w:t>
      </w:r>
      <w:r>
        <w:rPr>
          <w:rFonts w:hint="default"/>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w:t>
      </w:r>
      <w:r>
        <w:rPr>
          <w:rFonts w:hint="eastAsia" w:cs="Times New Roman"/>
          <w:color w:val="auto"/>
          <w:lang w:val="en-US" w:eastAsia="zh-CN"/>
        </w:rPr>
        <w:t>8</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供配电设施</w:t>
      </w:r>
      <w:r>
        <w:rPr>
          <w:rFonts w:hint="eastAsia" w:ascii="Times New Roman" w:hAnsi="Times New Roman" w:eastAsia="宋体" w:cs="Times New Roman"/>
          <w:color w:val="auto"/>
          <w:lang w:val="en-US" w:eastAsia="zh-CN"/>
        </w:rPr>
        <w:t>子单元</w:t>
      </w:r>
      <w:r>
        <w:rPr>
          <w:rFonts w:hint="default" w:ascii="Times New Roman" w:hAnsi="Times New Roman" w:eastAsia="宋体" w:cs="Times New Roman"/>
          <w:color w:val="auto"/>
          <w:lang w:val="en-US" w:eastAsia="zh-CN"/>
        </w:rPr>
        <w:t>安全检查表</w:t>
      </w:r>
    </w:p>
    <w:tbl>
      <w:tblPr>
        <w:tblStyle w:val="34"/>
        <w:tblW w:w="99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2850"/>
        <w:gridCol w:w="2334"/>
        <w:gridCol w:w="3128"/>
        <w:gridCol w:w="10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567" w:type="dxa"/>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序号</w:t>
            </w:r>
          </w:p>
        </w:tc>
        <w:tc>
          <w:tcPr>
            <w:tcW w:w="28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检查项目和内容</w:t>
            </w:r>
          </w:p>
        </w:tc>
        <w:tc>
          <w:tcPr>
            <w:tcW w:w="23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检查依据</w:t>
            </w:r>
          </w:p>
        </w:tc>
        <w:tc>
          <w:tcPr>
            <w:tcW w:w="31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b/>
                <w:bCs/>
                <w:snapToGrid w:val="0"/>
                <w:color w:val="auto"/>
                <w:kern w:val="0"/>
                <w:sz w:val="21"/>
                <w:szCs w:val="21"/>
                <w:lang w:val="en-US" w:eastAsia="zh-CN" w:bidi="ar-SA"/>
              </w:rPr>
              <w:t>检查情况</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检查结果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28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选矿厂的电源宜引自本企业地面主变电所;受条件限制时,亦可引自地区电力系统的变电所或其他变电所。大、中型选矿厂的电源进线不应少于两回路;任一电源进线回路故障时,其余回路应保证选矿厂全部一、二级用电负荷的电力需求</w:t>
            </w:r>
            <w:r>
              <w:rPr>
                <w:rFonts w:hint="default" w:ascii="Times New Roman" w:hAnsi="Times New Roman" w:eastAsia="宋体" w:cs="Times New Roman"/>
                <w:snapToGrid w:val="0"/>
                <w:color w:val="auto"/>
                <w:kern w:val="0"/>
                <w:sz w:val="21"/>
                <w:szCs w:val="21"/>
                <w:lang w:val="en-US" w:eastAsia="zh-CN" w:bidi="ar-SA"/>
              </w:rPr>
              <w:t>。</w:t>
            </w:r>
          </w:p>
        </w:tc>
        <w:tc>
          <w:tcPr>
            <w:tcW w:w="23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《矿山电力设计标准》（GB50070-2020）第7.1.1条</w:t>
            </w:r>
          </w:p>
        </w:tc>
        <w:tc>
          <w:tcPr>
            <w:tcW w:w="31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本工程拟在采矿工业场地地面+405m竖井井口平台设一座10kV总配电所。由该配电所以10kV电缆对选厂工业场地供电。</w:t>
            </w:r>
          </w:p>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由《可研报告》附图可知，电源进线不少于两回路。</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2</w:t>
            </w:r>
          </w:p>
        </w:tc>
        <w:tc>
          <w:tcPr>
            <w:tcW w:w="28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高压供、配电电压等级应通过技术经济比较确定,可采用35kV、20kV、10kV、6kV;低压配电电压宜采用380/660V,中、小型选矿厂可选用220/380V。</w:t>
            </w:r>
          </w:p>
        </w:tc>
        <w:tc>
          <w:tcPr>
            <w:tcW w:w="23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《矿山电力设计标准》（GB50070-2020）第7.1.</w:t>
            </w:r>
            <w:r>
              <w:rPr>
                <w:rFonts w:hint="eastAsia" w:cs="Times New Roman"/>
                <w:snapToGrid w:val="0"/>
                <w:color w:val="auto"/>
                <w:spacing w:val="1"/>
                <w:kern w:val="0"/>
                <w:sz w:val="21"/>
                <w:szCs w:val="21"/>
                <w:lang w:val="en-US" w:eastAsia="zh-CN" w:bidi="ar-SA"/>
              </w:rPr>
              <w:t>2</w:t>
            </w:r>
            <w:r>
              <w:rPr>
                <w:rFonts w:hint="default" w:ascii="Times New Roman" w:hAnsi="Times New Roman" w:eastAsia="宋体" w:cs="Times New Roman"/>
                <w:snapToGrid w:val="0"/>
                <w:color w:val="auto"/>
                <w:spacing w:val="1"/>
                <w:kern w:val="0"/>
                <w:sz w:val="21"/>
                <w:szCs w:val="21"/>
                <w:lang w:val="en-US" w:eastAsia="en-US" w:bidi="ar-SA"/>
              </w:rPr>
              <w:t>条</w:t>
            </w:r>
          </w:p>
        </w:tc>
        <w:tc>
          <w:tcPr>
            <w:tcW w:w="31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高压配电系统电压为~10kV；低压配电系统电压为~380/220V</w:t>
            </w:r>
            <w:r>
              <w:rPr>
                <w:rFonts w:hint="eastAsia" w:cs="Times New Roman"/>
                <w:snapToGrid w:val="0"/>
                <w:color w:val="auto"/>
                <w:kern w:val="0"/>
                <w:sz w:val="21"/>
                <w:szCs w:val="21"/>
                <w:lang w:val="en-US" w:eastAsia="zh-CN" w:bidi="ar-SA"/>
              </w:rPr>
              <w:t>。</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3</w:t>
            </w:r>
          </w:p>
        </w:tc>
        <w:tc>
          <w:tcPr>
            <w:tcW w:w="28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所有电气设备和线路，应根据对人的危害程度设置明显的警示标志、防护网和安全遮栏。</w:t>
            </w:r>
          </w:p>
        </w:tc>
        <w:tc>
          <w:tcPr>
            <w:tcW w:w="23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《选矿安全规程》（</w:t>
            </w:r>
            <w:r>
              <w:rPr>
                <w:rFonts w:hint="eastAsia" w:cs="Times New Roman"/>
                <w:snapToGrid w:val="0"/>
                <w:color w:val="auto"/>
                <w:spacing w:val="1"/>
                <w:kern w:val="0"/>
                <w:sz w:val="21"/>
                <w:szCs w:val="21"/>
                <w:lang w:val="en-US" w:eastAsia="zh-CN" w:bidi="ar-SA"/>
              </w:rPr>
              <w:t>GB/T18152-2000</w:t>
            </w:r>
            <w:r>
              <w:rPr>
                <w:rFonts w:hint="default" w:ascii="Times New Roman" w:hAnsi="Times New Roman" w:eastAsia="宋体" w:cs="Times New Roman"/>
                <w:snapToGrid w:val="0"/>
                <w:color w:val="auto"/>
                <w:spacing w:val="1"/>
                <w:kern w:val="0"/>
                <w:sz w:val="21"/>
                <w:szCs w:val="21"/>
                <w:lang w:val="en-US" w:eastAsia="en-US" w:bidi="ar-SA"/>
              </w:rPr>
              <w:t>）第10.1.4条</w:t>
            </w:r>
          </w:p>
        </w:tc>
        <w:tc>
          <w:tcPr>
            <w:tcW w:w="31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《可研报告》暂未做要求</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4</w:t>
            </w:r>
          </w:p>
        </w:tc>
        <w:tc>
          <w:tcPr>
            <w:tcW w:w="28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电气设备可能被人触及的裸露带电部分，应设置安全防护罩或遮栏及警示牌。</w:t>
            </w:r>
          </w:p>
        </w:tc>
        <w:tc>
          <w:tcPr>
            <w:tcW w:w="23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《选矿安全规程》（</w:t>
            </w:r>
            <w:r>
              <w:rPr>
                <w:rFonts w:hint="eastAsia" w:cs="Times New Roman"/>
                <w:snapToGrid w:val="0"/>
                <w:color w:val="auto"/>
                <w:spacing w:val="1"/>
                <w:kern w:val="0"/>
                <w:sz w:val="21"/>
                <w:szCs w:val="21"/>
                <w:lang w:val="en-US" w:eastAsia="zh-CN" w:bidi="ar-SA"/>
              </w:rPr>
              <w:t>GB/T18152-2000</w:t>
            </w:r>
            <w:r>
              <w:rPr>
                <w:rFonts w:hint="default" w:ascii="Times New Roman" w:hAnsi="Times New Roman" w:eastAsia="宋体" w:cs="Times New Roman"/>
                <w:snapToGrid w:val="0"/>
                <w:color w:val="auto"/>
                <w:spacing w:val="1"/>
                <w:kern w:val="0"/>
                <w:sz w:val="21"/>
                <w:szCs w:val="21"/>
                <w:lang w:val="en-US" w:eastAsia="en-US" w:bidi="ar-SA"/>
              </w:rPr>
              <w:t>）第10.1.</w:t>
            </w:r>
            <w:r>
              <w:rPr>
                <w:rFonts w:hint="eastAsia" w:cs="Times New Roman"/>
                <w:snapToGrid w:val="0"/>
                <w:color w:val="auto"/>
                <w:spacing w:val="1"/>
                <w:kern w:val="0"/>
                <w:sz w:val="21"/>
                <w:szCs w:val="21"/>
                <w:lang w:val="en-US" w:eastAsia="zh-CN" w:bidi="ar-SA"/>
              </w:rPr>
              <w:t>6</w:t>
            </w:r>
            <w:r>
              <w:rPr>
                <w:rFonts w:hint="default" w:ascii="Times New Roman" w:hAnsi="Times New Roman" w:eastAsia="宋体" w:cs="Times New Roman"/>
                <w:snapToGrid w:val="0"/>
                <w:color w:val="auto"/>
                <w:spacing w:val="1"/>
                <w:kern w:val="0"/>
                <w:sz w:val="21"/>
                <w:szCs w:val="21"/>
                <w:lang w:val="en-US" w:eastAsia="en-US" w:bidi="ar-SA"/>
              </w:rPr>
              <w:t>条</w:t>
            </w:r>
          </w:p>
        </w:tc>
        <w:tc>
          <w:tcPr>
            <w:tcW w:w="31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《可研报告》暂未做要求</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5</w:t>
            </w:r>
          </w:p>
        </w:tc>
        <w:tc>
          <w:tcPr>
            <w:tcW w:w="28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在带电的导线、设备、变压器、油开关附近，不应有损坏电气绝缘或引起电气火灾的热源。</w:t>
            </w:r>
          </w:p>
        </w:tc>
        <w:tc>
          <w:tcPr>
            <w:tcW w:w="23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《选矿安全规程》（</w:t>
            </w:r>
            <w:r>
              <w:rPr>
                <w:rFonts w:hint="eastAsia" w:cs="Times New Roman"/>
                <w:snapToGrid w:val="0"/>
                <w:color w:val="auto"/>
                <w:spacing w:val="1"/>
                <w:kern w:val="0"/>
                <w:sz w:val="21"/>
                <w:szCs w:val="21"/>
                <w:lang w:val="en-US" w:eastAsia="zh-CN" w:bidi="ar-SA"/>
              </w:rPr>
              <w:t>GB/T18152-2000</w:t>
            </w:r>
            <w:r>
              <w:rPr>
                <w:rFonts w:hint="default" w:ascii="Times New Roman" w:hAnsi="Times New Roman" w:eastAsia="宋体" w:cs="Times New Roman"/>
                <w:snapToGrid w:val="0"/>
                <w:color w:val="auto"/>
                <w:spacing w:val="1"/>
                <w:kern w:val="0"/>
                <w:sz w:val="21"/>
                <w:szCs w:val="21"/>
                <w:lang w:val="en-US" w:eastAsia="en-US" w:bidi="ar-SA"/>
              </w:rPr>
              <w:t>）第10.1.9条</w:t>
            </w:r>
          </w:p>
        </w:tc>
        <w:tc>
          <w:tcPr>
            <w:tcW w:w="31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无热源。</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6</w:t>
            </w:r>
          </w:p>
        </w:tc>
        <w:tc>
          <w:tcPr>
            <w:tcW w:w="28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厂区供配电系统，应尽量减少层次；同一电压的配电系统，级别不宜超过两级。</w:t>
            </w:r>
          </w:p>
        </w:tc>
        <w:tc>
          <w:tcPr>
            <w:tcW w:w="23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《选矿安全规程》（</w:t>
            </w:r>
            <w:r>
              <w:rPr>
                <w:rFonts w:hint="eastAsia" w:cs="Times New Roman"/>
                <w:snapToGrid w:val="0"/>
                <w:color w:val="auto"/>
                <w:spacing w:val="1"/>
                <w:kern w:val="0"/>
                <w:sz w:val="21"/>
                <w:szCs w:val="21"/>
                <w:lang w:val="en-US" w:eastAsia="zh-CN" w:bidi="ar-SA"/>
              </w:rPr>
              <w:t>GB/T18152-2000</w:t>
            </w:r>
            <w:r>
              <w:rPr>
                <w:rFonts w:hint="default" w:ascii="Times New Roman" w:hAnsi="Times New Roman" w:eastAsia="宋体" w:cs="Times New Roman"/>
                <w:snapToGrid w:val="0"/>
                <w:color w:val="auto"/>
                <w:spacing w:val="1"/>
                <w:kern w:val="0"/>
                <w:sz w:val="21"/>
                <w:szCs w:val="21"/>
                <w:lang w:val="en-US" w:eastAsia="en-US" w:bidi="ar-SA"/>
              </w:rPr>
              <w:t>）第10.2.1条</w:t>
            </w:r>
          </w:p>
        </w:tc>
        <w:tc>
          <w:tcPr>
            <w:tcW w:w="31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高压配电系统电压为~10kV；低压配电系统电压为~380/220V。</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7</w:t>
            </w:r>
          </w:p>
        </w:tc>
        <w:tc>
          <w:tcPr>
            <w:tcW w:w="28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变电所应有独立的避雷系统和防火、防潮及防止小动物窜入带电部位的措施。</w:t>
            </w:r>
          </w:p>
        </w:tc>
        <w:tc>
          <w:tcPr>
            <w:tcW w:w="23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《选矿安全规程》（</w:t>
            </w:r>
            <w:r>
              <w:rPr>
                <w:rFonts w:hint="eastAsia" w:cs="Times New Roman"/>
                <w:snapToGrid w:val="0"/>
                <w:color w:val="auto"/>
                <w:spacing w:val="1"/>
                <w:kern w:val="0"/>
                <w:sz w:val="21"/>
                <w:szCs w:val="21"/>
                <w:lang w:val="en-US" w:eastAsia="zh-CN" w:bidi="ar-SA"/>
              </w:rPr>
              <w:t>GB/T18152-2000</w:t>
            </w:r>
            <w:r>
              <w:rPr>
                <w:rFonts w:hint="default" w:ascii="Times New Roman" w:hAnsi="Times New Roman" w:eastAsia="宋体" w:cs="Times New Roman"/>
                <w:snapToGrid w:val="0"/>
                <w:color w:val="auto"/>
                <w:spacing w:val="1"/>
                <w:kern w:val="0"/>
                <w:sz w:val="21"/>
                <w:szCs w:val="21"/>
                <w:lang w:val="en-US" w:eastAsia="en-US" w:bidi="ar-SA"/>
              </w:rPr>
              <w:t>）第10.2.</w:t>
            </w:r>
            <w:r>
              <w:rPr>
                <w:rFonts w:hint="eastAsia" w:cs="Times New Roman"/>
                <w:snapToGrid w:val="0"/>
                <w:color w:val="auto"/>
                <w:spacing w:val="1"/>
                <w:kern w:val="0"/>
                <w:sz w:val="21"/>
                <w:szCs w:val="21"/>
                <w:lang w:val="en-US" w:eastAsia="zh-CN" w:bidi="ar-SA"/>
              </w:rPr>
              <w:t>3</w:t>
            </w:r>
            <w:r>
              <w:rPr>
                <w:rFonts w:hint="default" w:ascii="Times New Roman" w:hAnsi="Times New Roman" w:eastAsia="宋体" w:cs="Times New Roman"/>
                <w:snapToGrid w:val="0"/>
                <w:color w:val="auto"/>
                <w:spacing w:val="1"/>
                <w:kern w:val="0"/>
                <w:sz w:val="21"/>
                <w:szCs w:val="21"/>
                <w:lang w:val="en-US" w:eastAsia="en-US" w:bidi="ar-SA"/>
              </w:rPr>
              <w:t>条</w:t>
            </w:r>
          </w:p>
        </w:tc>
        <w:tc>
          <w:tcPr>
            <w:tcW w:w="31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有防雷、防火措施，无防潮及防止</w:t>
            </w:r>
            <w:r>
              <w:rPr>
                <w:rFonts w:hint="eastAsia" w:ascii="Times New Roman" w:hAnsi="Times New Roman" w:eastAsia="宋体" w:cs="Times New Roman"/>
                <w:snapToGrid w:val="0"/>
                <w:color w:val="auto"/>
                <w:kern w:val="0"/>
                <w:sz w:val="21"/>
                <w:szCs w:val="21"/>
                <w:lang w:val="en-US" w:eastAsia="zh-CN" w:bidi="ar-SA"/>
              </w:rPr>
              <w:t>小动物窜入</w:t>
            </w:r>
            <w:r>
              <w:rPr>
                <w:rFonts w:hint="eastAsia" w:cs="Times New Roman"/>
                <w:snapToGrid w:val="0"/>
                <w:color w:val="auto"/>
                <w:kern w:val="0"/>
                <w:sz w:val="21"/>
                <w:szCs w:val="21"/>
                <w:lang w:val="en-US" w:eastAsia="zh-CN" w:bidi="ar-SA"/>
              </w:rPr>
              <w:t>措施。</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8</w:t>
            </w:r>
          </w:p>
        </w:tc>
        <w:tc>
          <w:tcPr>
            <w:tcW w:w="28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变压器室的门应上锁，并在室外悬挂“高压危险”的标志牌。室外变压器四周应有不低于1.7m的围墙或栅栏，并与变压器保持一定距离。</w:t>
            </w:r>
          </w:p>
        </w:tc>
        <w:tc>
          <w:tcPr>
            <w:tcW w:w="23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《选矿安全规程》（</w:t>
            </w:r>
            <w:r>
              <w:rPr>
                <w:rFonts w:hint="eastAsia" w:cs="Times New Roman"/>
                <w:snapToGrid w:val="0"/>
                <w:color w:val="auto"/>
                <w:spacing w:val="1"/>
                <w:kern w:val="0"/>
                <w:sz w:val="21"/>
                <w:szCs w:val="21"/>
                <w:lang w:val="en-US" w:eastAsia="zh-CN" w:bidi="ar-SA"/>
              </w:rPr>
              <w:t>GB/T18152-2000</w:t>
            </w:r>
            <w:r>
              <w:rPr>
                <w:rFonts w:hint="default" w:ascii="Times New Roman" w:hAnsi="Times New Roman" w:eastAsia="宋体" w:cs="Times New Roman"/>
                <w:snapToGrid w:val="0"/>
                <w:color w:val="auto"/>
                <w:spacing w:val="1"/>
                <w:kern w:val="0"/>
                <w:sz w:val="21"/>
                <w:szCs w:val="21"/>
                <w:lang w:val="en-US" w:eastAsia="en-US" w:bidi="ar-SA"/>
              </w:rPr>
              <w:t>）第10.2.</w:t>
            </w:r>
            <w:r>
              <w:rPr>
                <w:rFonts w:hint="eastAsia" w:cs="Times New Roman"/>
                <w:snapToGrid w:val="0"/>
                <w:color w:val="auto"/>
                <w:spacing w:val="1"/>
                <w:kern w:val="0"/>
                <w:sz w:val="21"/>
                <w:szCs w:val="21"/>
                <w:lang w:val="en-US" w:eastAsia="zh-CN" w:bidi="ar-SA"/>
              </w:rPr>
              <w:t>5</w:t>
            </w:r>
            <w:r>
              <w:rPr>
                <w:rFonts w:hint="default" w:ascii="Times New Roman" w:hAnsi="Times New Roman" w:eastAsia="宋体" w:cs="Times New Roman"/>
                <w:snapToGrid w:val="0"/>
                <w:color w:val="auto"/>
                <w:spacing w:val="1"/>
                <w:kern w:val="0"/>
                <w:sz w:val="21"/>
                <w:szCs w:val="21"/>
                <w:lang w:val="en-US" w:eastAsia="en-US" w:bidi="ar-SA"/>
              </w:rPr>
              <w:t>条</w:t>
            </w:r>
          </w:p>
        </w:tc>
        <w:tc>
          <w:tcPr>
            <w:tcW w:w="31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《可研报告》暂未做要求</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9</w:t>
            </w:r>
          </w:p>
        </w:tc>
        <w:tc>
          <w:tcPr>
            <w:tcW w:w="28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变压器及其他变配电设备的外壳，均应可靠接地。保护接零的低压系统，变压器低压侧中性点应直接接地；保护接地的系统，中性点应通过击穿保险器接地。</w:t>
            </w:r>
          </w:p>
        </w:tc>
        <w:tc>
          <w:tcPr>
            <w:tcW w:w="23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《选矿安全规程》（</w:t>
            </w:r>
            <w:r>
              <w:rPr>
                <w:rFonts w:hint="eastAsia" w:cs="Times New Roman"/>
                <w:snapToGrid w:val="0"/>
                <w:color w:val="auto"/>
                <w:spacing w:val="1"/>
                <w:kern w:val="0"/>
                <w:sz w:val="21"/>
                <w:szCs w:val="21"/>
                <w:lang w:val="en-US" w:eastAsia="zh-CN" w:bidi="ar-SA"/>
              </w:rPr>
              <w:t>GB/T18152-2000</w:t>
            </w:r>
            <w:r>
              <w:rPr>
                <w:rFonts w:hint="default" w:ascii="Times New Roman" w:hAnsi="Times New Roman" w:eastAsia="宋体" w:cs="Times New Roman"/>
                <w:snapToGrid w:val="0"/>
                <w:color w:val="auto"/>
                <w:spacing w:val="1"/>
                <w:kern w:val="0"/>
                <w:sz w:val="21"/>
                <w:szCs w:val="21"/>
                <w:lang w:val="en-US" w:eastAsia="en-US" w:bidi="ar-SA"/>
              </w:rPr>
              <w:t>）第10.2.</w:t>
            </w:r>
            <w:r>
              <w:rPr>
                <w:rFonts w:hint="eastAsia" w:cs="Times New Roman"/>
                <w:snapToGrid w:val="0"/>
                <w:color w:val="auto"/>
                <w:spacing w:val="1"/>
                <w:kern w:val="0"/>
                <w:sz w:val="21"/>
                <w:szCs w:val="21"/>
                <w:lang w:val="en-US" w:eastAsia="zh-CN" w:bidi="ar-SA"/>
              </w:rPr>
              <w:t>8</w:t>
            </w:r>
            <w:r>
              <w:rPr>
                <w:rFonts w:hint="default" w:ascii="Times New Roman" w:hAnsi="Times New Roman" w:eastAsia="宋体" w:cs="Times New Roman"/>
                <w:snapToGrid w:val="0"/>
                <w:color w:val="auto"/>
                <w:spacing w:val="1"/>
                <w:kern w:val="0"/>
                <w:sz w:val="21"/>
                <w:szCs w:val="21"/>
                <w:lang w:val="en-US" w:eastAsia="en-US" w:bidi="ar-SA"/>
              </w:rPr>
              <w:t>条</w:t>
            </w:r>
          </w:p>
        </w:tc>
        <w:tc>
          <w:tcPr>
            <w:tcW w:w="31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有电气系统接地，地面各类接地装置的规范接地电阻见表2-4。</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10</w:t>
            </w:r>
          </w:p>
        </w:tc>
        <w:tc>
          <w:tcPr>
            <w:tcW w:w="28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高低压配电室配电柜（屏）前、后、两端的操作维护通道宽度，应满足GB50053的有关规定。</w:t>
            </w:r>
          </w:p>
        </w:tc>
        <w:tc>
          <w:tcPr>
            <w:tcW w:w="23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《选矿安全规程》（</w:t>
            </w:r>
            <w:r>
              <w:rPr>
                <w:rFonts w:hint="eastAsia" w:cs="Times New Roman"/>
                <w:snapToGrid w:val="0"/>
                <w:color w:val="auto"/>
                <w:spacing w:val="1"/>
                <w:kern w:val="0"/>
                <w:sz w:val="21"/>
                <w:szCs w:val="21"/>
                <w:lang w:val="en-US" w:eastAsia="zh-CN" w:bidi="ar-SA"/>
              </w:rPr>
              <w:t>GB/T18152-2000</w:t>
            </w:r>
            <w:r>
              <w:rPr>
                <w:rFonts w:hint="default" w:ascii="Times New Roman" w:hAnsi="Times New Roman" w:eastAsia="宋体" w:cs="Times New Roman"/>
                <w:snapToGrid w:val="0"/>
                <w:color w:val="auto"/>
                <w:spacing w:val="1"/>
                <w:kern w:val="0"/>
                <w:sz w:val="21"/>
                <w:szCs w:val="21"/>
                <w:lang w:val="en-US" w:eastAsia="en-US" w:bidi="ar-SA"/>
              </w:rPr>
              <w:t>）第10.2.</w:t>
            </w:r>
            <w:r>
              <w:rPr>
                <w:rFonts w:hint="eastAsia" w:cs="Times New Roman"/>
                <w:snapToGrid w:val="0"/>
                <w:color w:val="auto"/>
                <w:spacing w:val="1"/>
                <w:kern w:val="0"/>
                <w:sz w:val="21"/>
                <w:szCs w:val="21"/>
                <w:lang w:val="en-US" w:eastAsia="zh-CN" w:bidi="ar-SA"/>
              </w:rPr>
              <w:t>9</w:t>
            </w:r>
            <w:r>
              <w:rPr>
                <w:rFonts w:hint="default" w:ascii="Times New Roman" w:hAnsi="Times New Roman" w:eastAsia="宋体" w:cs="Times New Roman"/>
                <w:snapToGrid w:val="0"/>
                <w:color w:val="auto"/>
                <w:spacing w:val="1"/>
                <w:kern w:val="0"/>
                <w:sz w:val="21"/>
                <w:szCs w:val="21"/>
                <w:lang w:val="en-US" w:eastAsia="en-US" w:bidi="ar-SA"/>
              </w:rPr>
              <w:t>条</w:t>
            </w:r>
          </w:p>
        </w:tc>
        <w:tc>
          <w:tcPr>
            <w:tcW w:w="31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《可研报告》暂未做要求</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300" w:lineRule="exact"/>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11</w:t>
            </w:r>
          </w:p>
        </w:tc>
        <w:tc>
          <w:tcPr>
            <w:tcW w:w="28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选矿厂生产车间应有充足的照明，人工照明的照度应符合规定。</w:t>
            </w:r>
          </w:p>
        </w:tc>
        <w:tc>
          <w:tcPr>
            <w:tcW w:w="23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《选矿安全规程》（</w:t>
            </w:r>
            <w:r>
              <w:rPr>
                <w:rFonts w:hint="eastAsia" w:cs="Times New Roman"/>
                <w:snapToGrid w:val="0"/>
                <w:color w:val="auto"/>
                <w:spacing w:val="1"/>
                <w:kern w:val="0"/>
                <w:sz w:val="21"/>
                <w:szCs w:val="21"/>
                <w:lang w:val="en-US" w:eastAsia="zh-CN" w:bidi="ar-SA"/>
              </w:rPr>
              <w:t>GB/T18152-2000</w:t>
            </w:r>
            <w:r>
              <w:rPr>
                <w:rFonts w:hint="default" w:ascii="Times New Roman" w:hAnsi="Times New Roman" w:eastAsia="宋体" w:cs="Times New Roman"/>
                <w:snapToGrid w:val="0"/>
                <w:color w:val="auto"/>
                <w:spacing w:val="1"/>
                <w:kern w:val="0"/>
                <w:sz w:val="21"/>
                <w:szCs w:val="21"/>
                <w:lang w:val="en-US" w:eastAsia="en-US" w:bidi="ar-SA"/>
              </w:rPr>
              <w:t>）第10.4.1条</w:t>
            </w:r>
          </w:p>
        </w:tc>
        <w:tc>
          <w:tcPr>
            <w:tcW w:w="31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厂房高度在超过6m时采用深照混光节能长寿型灯具，厂房高度低于6m时采用工厂配照灯具，其他辅助性设施场所照明采用荧光灯具FL光源。</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12</w:t>
            </w:r>
          </w:p>
        </w:tc>
        <w:tc>
          <w:tcPr>
            <w:tcW w:w="28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降压变压器应用双线圈的，不应使用自耦变压器。变压器的外壳、铁芯和次级线圈，均应接地或接保安零线。</w:t>
            </w:r>
          </w:p>
        </w:tc>
        <w:tc>
          <w:tcPr>
            <w:tcW w:w="23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《选矿安全规程》（</w:t>
            </w:r>
            <w:r>
              <w:rPr>
                <w:rFonts w:hint="eastAsia" w:cs="Times New Roman"/>
                <w:snapToGrid w:val="0"/>
                <w:color w:val="auto"/>
                <w:spacing w:val="1"/>
                <w:kern w:val="0"/>
                <w:sz w:val="21"/>
                <w:szCs w:val="21"/>
                <w:lang w:val="en-US" w:eastAsia="zh-CN" w:bidi="ar-SA"/>
              </w:rPr>
              <w:t>GB/T18152-2000</w:t>
            </w:r>
            <w:r>
              <w:rPr>
                <w:rFonts w:hint="default" w:ascii="Times New Roman" w:hAnsi="Times New Roman" w:eastAsia="宋体" w:cs="Times New Roman"/>
                <w:snapToGrid w:val="0"/>
                <w:color w:val="auto"/>
                <w:spacing w:val="1"/>
                <w:kern w:val="0"/>
                <w:sz w:val="21"/>
                <w:szCs w:val="21"/>
                <w:lang w:val="en-US" w:eastAsia="en-US" w:bidi="ar-SA"/>
              </w:rPr>
              <w:t>）第10.4.2条</w:t>
            </w:r>
          </w:p>
        </w:tc>
        <w:tc>
          <w:tcPr>
            <w:tcW w:w="31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配电变压器选用SCB11型干式变压器，中性点接地。</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13</w:t>
            </w:r>
          </w:p>
        </w:tc>
        <w:tc>
          <w:tcPr>
            <w:tcW w:w="28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有触电危险的场所，照明应采用36V以下的安全电压。</w:t>
            </w:r>
          </w:p>
        </w:tc>
        <w:tc>
          <w:tcPr>
            <w:tcW w:w="23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《选矿安全规程》（</w:t>
            </w:r>
            <w:r>
              <w:rPr>
                <w:rFonts w:hint="eastAsia" w:cs="Times New Roman"/>
                <w:snapToGrid w:val="0"/>
                <w:color w:val="auto"/>
                <w:spacing w:val="1"/>
                <w:kern w:val="0"/>
                <w:sz w:val="21"/>
                <w:szCs w:val="21"/>
                <w:lang w:val="en-US" w:eastAsia="zh-CN" w:bidi="ar-SA"/>
              </w:rPr>
              <w:t>GB/T18152-2000</w:t>
            </w:r>
            <w:r>
              <w:rPr>
                <w:rFonts w:hint="default" w:ascii="Times New Roman" w:hAnsi="Times New Roman" w:eastAsia="宋体" w:cs="Times New Roman"/>
                <w:snapToGrid w:val="0"/>
                <w:color w:val="auto"/>
                <w:spacing w:val="1"/>
                <w:kern w:val="0"/>
                <w:sz w:val="21"/>
                <w:szCs w:val="21"/>
                <w:lang w:val="en-US" w:eastAsia="en-US" w:bidi="ar-SA"/>
              </w:rPr>
              <w:t>）第10.4.</w:t>
            </w:r>
            <w:r>
              <w:rPr>
                <w:rFonts w:hint="eastAsia" w:cs="Times New Roman"/>
                <w:snapToGrid w:val="0"/>
                <w:color w:val="auto"/>
                <w:spacing w:val="1"/>
                <w:kern w:val="0"/>
                <w:sz w:val="21"/>
                <w:szCs w:val="21"/>
                <w:lang w:val="en-US" w:eastAsia="zh-CN" w:bidi="ar-SA"/>
              </w:rPr>
              <w:t>3</w:t>
            </w:r>
            <w:r>
              <w:rPr>
                <w:rFonts w:hint="default" w:ascii="Times New Roman" w:hAnsi="Times New Roman" w:eastAsia="宋体" w:cs="Times New Roman"/>
                <w:snapToGrid w:val="0"/>
                <w:color w:val="auto"/>
                <w:spacing w:val="1"/>
                <w:kern w:val="0"/>
                <w:sz w:val="21"/>
                <w:szCs w:val="21"/>
                <w:lang w:val="en-US" w:eastAsia="en-US" w:bidi="ar-SA"/>
              </w:rPr>
              <w:t>条</w:t>
            </w:r>
          </w:p>
        </w:tc>
        <w:tc>
          <w:tcPr>
            <w:tcW w:w="31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《可研报告》暂未做要求</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14</w:t>
            </w:r>
          </w:p>
        </w:tc>
        <w:tc>
          <w:tcPr>
            <w:tcW w:w="28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选矿厂建筑物的防雷设计，应按第三类防雷保护的要求，根据选矿厂所在地的雷电活动情况、地形、地物等采取相应的措施。</w:t>
            </w:r>
          </w:p>
        </w:tc>
        <w:tc>
          <w:tcPr>
            <w:tcW w:w="23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《选矿安全规程》（</w:t>
            </w:r>
            <w:r>
              <w:rPr>
                <w:rFonts w:hint="eastAsia" w:cs="Times New Roman"/>
                <w:snapToGrid w:val="0"/>
                <w:color w:val="auto"/>
                <w:spacing w:val="1"/>
                <w:kern w:val="0"/>
                <w:sz w:val="21"/>
                <w:szCs w:val="21"/>
                <w:lang w:val="en-US" w:eastAsia="zh-CN" w:bidi="ar-SA"/>
              </w:rPr>
              <w:t>GB/T18152-2000</w:t>
            </w:r>
            <w:r>
              <w:rPr>
                <w:rFonts w:hint="default" w:ascii="Times New Roman" w:hAnsi="Times New Roman" w:eastAsia="宋体" w:cs="Times New Roman"/>
                <w:snapToGrid w:val="0"/>
                <w:color w:val="auto"/>
                <w:spacing w:val="1"/>
                <w:kern w:val="0"/>
                <w:sz w:val="21"/>
                <w:szCs w:val="21"/>
                <w:lang w:val="en-US" w:eastAsia="en-US" w:bidi="ar-SA"/>
              </w:rPr>
              <w:t>）第10.</w:t>
            </w:r>
            <w:r>
              <w:rPr>
                <w:rFonts w:hint="eastAsia" w:cs="Times New Roman"/>
                <w:snapToGrid w:val="0"/>
                <w:color w:val="auto"/>
                <w:spacing w:val="1"/>
                <w:kern w:val="0"/>
                <w:sz w:val="21"/>
                <w:szCs w:val="21"/>
                <w:lang w:val="en-US" w:eastAsia="zh-CN" w:bidi="ar-SA"/>
              </w:rPr>
              <w:t>5.1</w:t>
            </w:r>
            <w:r>
              <w:rPr>
                <w:rFonts w:hint="default" w:ascii="Times New Roman" w:hAnsi="Times New Roman" w:eastAsia="宋体" w:cs="Times New Roman"/>
                <w:snapToGrid w:val="0"/>
                <w:color w:val="auto"/>
                <w:spacing w:val="1"/>
                <w:kern w:val="0"/>
                <w:sz w:val="21"/>
                <w:szCs w:val="21"/>
                <w:lang w:val="en-US" w:eastAsia="en-US" w:bidi="ar-SA"/>
              </w:rPr>
              <w:t>条</w:t>
            </w:r>
          </w:p>
        </w:tc>
        <w:tc>
          <w:tcPr>
            <w:tcW w:w="31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按三类防雷设计，并充分利用建筑物内金属体做防雷及接地装置。</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15</w:t>
            </w:r>
          </w:p>
        </w:tc>
        <w:tc>
          <w:tcPr>
            <w:tcW w:w="285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电气设备及装置的金属框架或外壳、电缆的金属包皮，应可靠接地，接地电阻应不超过2Ω。</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接地网接地电阻不超过4Ω。独立的防雷接地电阻应小于10Ω。安全接地电阻应小于4Ω。交流电阻应小于4Ω。直流接地电阻应小于4Ω。防静电电阻应小于100Ω。</w:t>
            </w:r>
          </w:p>
        </w:tc>
        <w:tc>
          <w:tcPr>
            <w:tcW w:w="23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《选矿安全规程》（</w:t>
            </w:r>
            <w:r>
              <w:rPr>
                <w:rFonts w:hint="eastAsia" w:cs="Times New Roman"/>
                <w:snapToGrid w:val="0"/>
                <w:color w:val="auto"/>
                <w:spacing w:val="1"/>
                <w:kern w:val="0"/>
                <w:sz w:val="21"/>
                <w:szCs w:val="21"/>
                <w:lang w:val="en-US" w:eastAsia="zh-CN" w:bidi="ar-SA"/>
              </w:rPr>
              <w:t>GB/T18152-2000</w:t>
            </w:r>
            <w:r>
              <w:rPr>
                <w:rFonts w:hint="default" w:ascii="Times New Roman" w:hAnsi="Times New Roman" w:eastAsia="宋体" w:cs="Times New Roman"/>
                <w:snapToGrid w:val="0"/>
                <w:color w:val="auto"/>
                <w:spacing w:val="1"/>
                <w:kern w:val="0"/>
                <w:sz w:val="21"/>
                <w:szCs w:val="21"/>
                <w:lang w:val="en-US" w:eastAsia="en-US" w:bidi="ar-SA"/>
              </w:rPr>
              <w:t>）第10.5.4条，《交流电气装置的接地设计规范》</w:t>
            </w:r>
            <w:r>
              <w:rPr>
                <w:rFonts w:hint="default" w:ascii="Times New Roman" w:hAnsi="Times New Roman" w:cs="Times New Roman"/>
                <w:b w:val="0"/>
                <w:bCs w:val="0"/>
                <w:snapToGrid w:val="0"/>
                <w:color w:val="auto"/>
                <w:spacing w:val="1"/>
                <w:kern w:val="0"/>
                <w:sz w:val="21"/>
                <w:szCs w:val="21"/>
                <w:lang w:val="en-US" w:eastAsia="zh-CN" w:bidi="ar-SA"/>
              </w:rPr>
              <w:t>（</w:t>
            </w:r>
            <w:r>
              <w:rPr>
                <w:rStyle w:val="18"/>
                <w:rFonts w:hint="default" w:ascii="Times New Roman" w:hAnsi="Times New Roman" w:eastAsia="宋体" w:cs="Times New Roman"/>
                <w:b w:val="0"/>
                <w:bCs w:val="0"/>
                <w:color w:val="auto"/>
                <w:sz w:val="21"/>
                <w:szCs w:val="21"/>
              </w:rPr>
              <w:t>GB/T 50065-2011</w:t>
            </w:r>
            <w:r>
              <w:rPr>
                <w:rFonts w:hint="default" w:ascii="Times New Roman" w:hAnsi="Times New Roman" w:cs="Times New Roman"/>
                <w:b w:val="0"/>
                <w:bCs w:val="0"/>
                <w:snapToGrid w:val="0"/>
                <w:color w:val="auto"/>
                <w:spacing w:val="1"/>
                <w:kern w:val="0"/>
                <w:sz w:val="21"/>
                <w:szCs w:val="21"/>
                <w:lang w:val="en-US" w:eastAsia="zh-CN" w:bidi="ar-SA"/>
              </w:rPr>
              <w:t>）</w:t>
            </w:r>
            <w:r>
              <w:rPr>
                <w:rFonts w:hint="default" w:ascii="Times New Roman" w:hAnsi="Times New Roman" w:eastAsia="宋体" w:cs="Times New Roman"/>
                <w:snapToGrid w:val="0"/>
                <w:color w:val="auto"/>
                <w:spacing w:val="1"/>
                <w:kern w:val="0"/>
                <w:sz w:val="21"/>
                <w:szCs w:val="21"/>
                <w:lang w:val="en-US" w:eastAsia="en-US" w:bidi="ar-SA"/>
              </w:rPr>
              <w:t>第4.2条；《建筑物防雷设计规范》</w:t>
            </w:r>
            <w:r>
              <w:rPr>
                <w:rFonts w:hint="eastAsia" w:cs="Times New Roman"/>
                <w:snapToGrid w:val="0"/>
                <w:color w:val="auto"/>
                <w:spacing w:val="1"/>
                <w:kern w:val="0"/>
                <w:sz w:val="21"/>
                <w:szCs w:val="21"/>
                <w:lang w:val="en-US" w:eastAsia="zh-CN" w:bidi="ar-SA"/>
              </w:rPr>
              <w:t>（GB 50057-2010）</w:t>
            </w:r>
            <w:r>
              <w:rPr>
                <w:rFonts w:hint="default" w:ascii="Times New Roman" w:hAnsi="Times New Roman" w:eastAsia="宋体" w:cs="Times New Roman"/>
                <w:snapToGrid w:val="0"/>
                <w:color w:val="auto"/>
                <w:spacing w:val="1"/>
                <w:kern w:val="0"/>
                <w:sz w:val="21"/>
                <w:szCs w:val="21"/>
                <w:lang w:val="en-US" w:eastAsia="en-US" w:bidi="ar-SA"/>
              </w:rPr>
              <w:t xml:space="preserve"> </w:t>
            </w:r>
          </w:p>
        </w:tc>
        <w:tc>
          <w:tcPr>
            <w:tcW w:w="31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有电气系统接地，地面各类接地装置的规范接地电阻见表2-4。</w:t>
            </w:r>
          </w:p>
        </w:tc>
        <w:tc>
          <w:tcPr>
            <w:tcW w:w="104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bl>
    <w:p>
      <w:pPr>
        <w:bidi w:val="0"/>
        <w:rPr>
          <w:rFonts w:hint="default"/>
          <w:color w:val="auto"/>
          <w:lang w:val="en-US" w:eastAsia="zh-CN"/>
        </w:rPr>
      </w:pPr>
      <w:r>
        <w:rPr>
          <w:rFonts w:hint="default"/>
          <w:color w:val="auto"/>
          <w:lang w:val="en-US" w:eastAsia="zh-CN"/>
        </w:rPr>
        <w:t>本子单元对该项目供配电设施子单元进行检查，检查</w:t>
      </w:r>
      <w:r>
        <w:rPr>
          <w:rFonts w:hint="eastAsia"/>
          <w:color w:val="auto"/>
          <w:lang w:val="en-US" w:eastAsia="zh-CN"/>
        </w:rPr>
        <w:t>15</w:t>
      </w:r>
      <w:r>
        <w:rPr>
          <w:rFonts w:hint="default"/>
          <w:color w:val="auto"/>
          <w:lang w:val="en-US" w:eastAsia="zh-CN"/>
        </w:rPr>
        <w:t>项，</w:t>
      </w:r>
      <w:r>
        <w:rPr>
          <w:rFonts w:hint="eastAsia"/>
          <w:color w:val="auto"/>
          <w:lang w:val="en-US" w:eastAsia="zh-CN"/>
        </w:rPr>
        <w:t>9</w:t>
      </w:r>
      <w:r>
        <w:rPr>
          <w:rFonts w:hint="default"/>
          <w:color w:val="auto"/>
          <w:lang w:val="en-US" w:eastAsia="zh-CN"/>
        </w:rPr>
        <w:t>项满足要求，</w:t>
      </w:r>
      <w:r>
        <w:rPr>
          <w:rFonts w:hint="eastAsia"/>
          <w:color w:val="auto"/>
          <w:lang w:val="en-US" w:eastAsia="zh-CN"/>
        </w:rPr>
        <w:t>6</w:t>
      </w:r>
      <w:r>
        <w:rPr>
          <w:rFonts w:hint="default"/>
          <w:color w:val="auto"/>
          <w:lang w:val="en-US" w:eastAsia="zh-CN"/>
        </w:rPr>
        <w:t>项</w:t>
      </w:r>
      <w:r>
        <w:rPr>
          <w:rFonts w:hint="eastAsia"/>
          <w:color w:val="auto"/>
          <w:lang w:val="en-US" w:eastAsia="zh-CN"/>
        </w:rPr>
        <w:t>需下一步设计补充</w:t>
      </w:r>
      <w:r>
        <w:rPr>
          <w:rFonts w:hint="default"/>
          <w:color w:val="auto"/>
          <w:lang w:val="en-US" w:eastAsia="zh-CN"/>
        </w:rPr>
        <w:t>，后续在初步设计和安全设施设计中应予以完善给供配电设施部分的设计内容，如电气设备和线路设置明显的警示标志、防护网和安全遮栏</w:t>
      </w:r>
      <w:r>
        <w:rPr>
          <w:rFonts w:hint="eastAsia"/>
          <w:color w:val="auto"/>
          <w:lang w:val="en-US" w:eastAsia="zh-CN"/>
        </w:rPr>
        <w:t>；变电所设置防潮及防止小动物窜入带电部位的措施；高低压配电室配电柜（屏）前、后、两端的操作维护通道宽度等</w:t>
      </w:r>
      <w:r>
        <w:rPr>
          <w:rFonts w:hint="default"/>
          <w:color w:val="auto"/>
          <w:lang w:val="en-US" w:eastAsia="zh-CN"/>
        </w:rPr>
        <w:t>。</w:t>
      </w:r>
    </w:p>
    <w:p>
      <w:pPr>
        <w:bidi w:val="0"/>
        <w:rPr>
          <w:rFonts w:hint="default"/>
          <w:color w:val="auto"/>
          <w:lang w:val="en-US" w:eastAsia="zh-CN"/>
        </w:rPr>
      </w:pPr>
      <w:r>
        <w:rPr>
          <w:rFonts w:hint="eastAsia"/>
          <w:color w:val="auto"/>
          <w:lang w:val="en-US" w:eastAsia="zh-CN"/>
        </w:rPr>
        <w:t>本项目的照明及应急照明符合规范要求，地面各类建筑物及设备均有接地装置。在后续运行过程中，为确保人员和设备的安全，配电室安全出口的门必须朝外开，以便在出现异常情况时能够迅速撤离危险现场；做好绝缘防护措施。如：配电室（站）应由专职电工管理，严禁私人进入，确保电房的安全。配电房必须符合“五防一通”要求。配电房必须配备绝缘手套、绝缘棒等安全防护用品和电气消防器材，设置安全警告牌标志。配电屏操作的地面必须铺设绝缘垫。管理人员要坚守岗位，作好设备运转及交接班的记录，发现问题及时解决。电工在安装、维修电气设备线路时必须挂“有人操作，严禁合闸”牌，不准违章作业。在各类建筑物中，采取紧急备用电源应急照明系统、自动照明开关、紧急照明标识以及培训和演练等措施，可以有效提升应急照明的能力。</w:t>
      </w:r>
    </w:p>
    <w:p>
      <w:pPr>
        <w:pStyle w:val="4"/>
        <w:bidi w:val="0"/>
        <w:rPr>
          <w:rFonts w:hint="default"/>
          <w:color w:val="auto"/>
          <w:lang w:val="en-US" w:eastAsia="zh-CN"/>
        </w:rPr>
      </w:pPr>
      <w:bookmarkStart w:id="274" w:name="_Toc10420"/>
      <w:bookmarkStart w:id="275" w:name="_Toc27870"/>
      <w:r>
        <w:rPr>
          <w:rFonts w:hint="eastAsia"/>
          <w:color w:val="auto"/>
          <w:lang w:val="en-US" w:eastAsia="zh-CN"/>
        </w:rPr>
        <w:t xml:space="preserve">5.4.4 </w:t>
      </w:r>
      <w:r>
        <w:rPr>
          <w:rFonts w:hint="default"/>
          <w:color w:val="auto"/>
          <w:lang w:val="en-US" w:eastAsia="zh-CN"/>
        </w:rPr>
        <w:t>辅助设施</w:t>
      </w:r>
      <w:r>
        <w:rPr>
          <w:rFonts w:hint="eastAsia"/>
          <w:color w:val="auto"/>
          <w:lang w:val="en-US" w:eastAsia="zh-CN"/>
        </w:rPr>
        <w:t>子</w:t>
      </w:r>
      <w:r>
        <w:rPr>
          <w:rFonts w:hint="default"/>
          <w:color w:val="auto"/>
          <w:lang w:val="en-US" w:eastAsia="zh-CN"/>
        </w:rPr>
        <w:t>单元</w:t>
      </w:r>
      <w:bookmarkEnd w:id="274"/>
      <w:bookmarkEnd w:id="275"/>
    </w:p>
    <w:p>
      <w:pPr>
        <w:rPr>
          <w:rFonts w:hint="default"/>
          <w:color w:val="auto"/>
          <w:lang w:val="en-US" w:eastAsia="zh-CN"/>
        </w:rPr>
      </w:pPr>
      <w:r>
        <w:rPr>
          <w:rFonts w:hint="default"/>
          <w:color w:val="auto"/>
          <w:lang w:val="en-US" w:eastAsia="zh-CN"/>
        </w:rPr>
        <w:t>依据《选矿安全规程》（</w:t>
      </w:r>
      <w:r>
        <w:rPr>
          <w:rFonts w:hint="eastAsia"/>
          <w:color w:val="auto"/>
          <w:lang w:val="en-US" w:eastAsia="zh-CN"/>
        </w:rPr>
        <w:t>GB/T18152-2000</w:t>
      </w:r>
      <w:r>
        <w:rPr>
          <w:rFonts w:hint="default"/>
          <w:color w:val="auto"/>
          <w:lang w:val="en-US" w:eastAsia="zh-CN"/>
        </w:rPr>
        <w:t>）编制安全检查表，对评价项目辅助设施的符合性进行评价，见表</w:t>
      </w:r>
      <w:r>
        <w:rPr>
          <w:rFonts w:hint="eastAsia"/>
          <w:color w:val="auto"/>
          <w:lang w:val="en-US" w:eastAsia="zh-CN"/>
        </w:rPr>
        <w:t>5-9</w:t>
      </w:r>
      <w:r>
        <w:rPr>
          <w:rFonts w:hint="default"/>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w:t>
      </w:r>
      <w:r>
        <w:rPr>
          <w:rFonts w:hint="eastAsia" w:cs="Times New Roman"/>
          <w:color w:val="auto"/>
          <w:lang w:val="en-US" w:eastAsia="zh-CN"/>
        </w:rPr>
        <w:t>9</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辅助设施子单元安全检查表</w:t>
      </w:r>
    </w:p>
    <w:tbl>
      <w:tblPr>
        <w:tblStyle w:val="34"/>
        <w:tblW w:w="500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16"/>
        <w:gridCol w:w="2610"/>
        <w:gridCol w:w="2135"/>
        <w:gridCol w:w="2864"/>
        <w:gridCol w:w="9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284" w:type="pct"/>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序号</w:t>
            </w:r>
          </w:p>
        </w:tc>
        <w:tc>
          <w:tcPr>
            <w:tcW w:w="143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检查项目和内容</w:t>
            </w:r>
          </w:p>
        </w:tc>
        <w:tc>
          <w:tcPr>
            <w:tcW w:w="1175"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检查依据</w:t>
            </w:r>
          </w:p>
        </w:tc>
        <w:tc>
          <w:tcPr>
            <w:tcW w:w="157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b/>
                <w:bCs/>
                <w:snapToGrid w:val="0"/>
                <w:color w:val="auto"/>
                <w:kern w:val="0"/>
                <w:sz w:val="21"/>
                <w:szCs w:val="21"/>
                <w:lang w:val="en-US" w:eastAsia="zh-CN" w:bidi="ar-SA"/>
              </w:rPr>
              <w:t>检查情况</w:t>
            </w:r>
          </w:p>
        </w:tc>
        <w:tc>
          <w:tcPr>
            <w:tcW w:w="52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kern w:val="0"/>
                <w:sz w:val="21"/>
                <w:szCs w:val="21"/>
                <w:lang w:val="en-US" w:eastAsia="en-US" w:bidi="ar-SA"/>
              </w:rPr>
              <w:t>检查结果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28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1</w:t>
            </w:r>
          </w:p>
        </w:tc>
        <w:tc>
          <w:tcPr>
            <w:tcW w:w="4715" w:type="pct"/>
            <w:gridSpan w:val="4"/>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运输与起重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28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1.1</w:t>
            </w:r>
          </w:p>
        </w:tc>
        <w:tc>
          <w:tcPr>
            <w:tcW w:w="143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矿仓口周围（进出车处除外），应设防护栏杆。</w:t>
            </w:r>
          </w:p>
        </w:tc>
        <w:tc>
          <w:tcPr>
            <w:tcW w:w="1175"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《选矿安全规程》</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w:t>
            </w:r>
            <w:r>
              <w:rPr>
                <w:rFonts w:hint="eastAsia" w:cs="Times New Roman"/>
                <w:snapToGrid w:val="0"/>
                <w:color w:val="auto"/>
                <w:spacing w:val="1"/>
                <w:kern w:val="0"/>
                <w:sz w:val="21"/>
                <w:szCs w:val="21"/>
                <w:lang w:val="en-US" w:eastAsia="zh-CN" w:bidi="ar-SA"/>
              </w:rPr>
              <w:t>GB/T18152-2000</w:t>
            </w:r>
            <w:r>
              <w:rPr>
                <w:rFonts w:hint="default" w:ascii="Times New Roman" w:hAnsi="Times New Roman" w:eastAsia="宋体" w:cs="Times New Roman"/>
                <w:snapToGrid w:val="0"/>
                <w:color w:val="auto"/>
                <w:spacing w:val="1"/>
                <w:kern w:val="0"/>
                <w:sz w:val="21"/>
                <w:szCs w:val="21"/>
                <w:lang w:val="en-US" w:eastAsia="en-US" w:bidi="ar-SA"/>
              </w:rPr>
              <w:t>）</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第9.1.1条</w:t>
            </w:r>
          </w:p>
        </w:tc>
        <w:tc>
          <w:tcPr>
            <w:tcW w:w="157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《可研报告》中未见要求</w:t>
            </w:r>
          </w:p>
        </w:tc>
        <w:tc>
          <w:tcPr>
            <w:tcW w:w="52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28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1.2</w:t>
            </w:r>
          </w:p>
        </w:tc>
        <w:tc>
          <w:tcPr>
            <w:tcW w:w="143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带式输送机应具有相应的防止逆转、胶带撕裂、断绳、断带、跑偏及脱槽的措施,并应有制动装置及清理胶带和滚筒的装置,线路上应有信号、电气联锁和停车装置。</w:t>
            </w:r>
          </w:p>
        </w:tc>
        <w:tc>
          <w:tcPr>
            <w:tcW w:w="1175"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ascii="Times New Roman" w:hAnsi="Times New Roman" w:eastAsia="宋体" w:cs="Times New Roman"/>
                <w:snapToGrid w:val="0"/>
                <w:color w:val="auto"/>
                <w:kern w:val="0"/>
                <w:sz w:val="21"/>
                <w:szCs w:val="21"/>
                <w:lang w:val="en-US" w:bidi="ar-SA"/>
              </w:rPr>
            </w:pPr>
            <w:r>
              <w:rPr>
                <w:rFonts w:ascii="Times New Roman" w:hAnsi="Times New Roman" w:eastAsia="宋体" w:cs="Times New Roman"/>
                <w:snapToGrid w:val="0"/>
                <w:color w:val="auto"/>
                <w:spacing w:val="6"/>
                <w:kern w:val="0"/>
                <w:sz w:val="21"/>
                <w:szCs w:val="21"/>
                <w:lang w:val="en-US" w:bidi="ar-SA"/>
              </w:rPr>
              <w:t>《选矿安全规程》</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ascii="Times New Roman" w:hAnsi="Times New Roman" w:eastAsia="宋体" w:cs="Times New Roman"/>
                <w:snapToGrid w:val="0"/>
                <w:color w:val="auto"/>
                <w:kern w:val="0"/>
                <w:sz w:val="21"/>
                <w:szCs w:val="21"/>
                <w:lang w:val="en-US" w:bidi="ar-SA"/>
              </w:rPr>
            </w:pPr>
            <w:r>
              <w:rPr>
                <w:rFonts w:ascii="Times New Roman" w:hAnsi="Times New Roman" w:eastAsia="宋体" w:cs="Times New Roman"/>
                <w:snapToGrid w:val="0"/>
                <w:color w:val="auto"/>
                <w:spacing w:val="4"/>
                <w:kern w:val="0"/>
                <w:sz w:val="21"/>
                <w:szCs w:val="21"/>
                <w:lang w:val="en-US" w:bidi="ar-SA"/>
              </w:rPr>
              <w:t>（</w:t>
            </w:r>
            <w:r>
              <w:rPr>
                <w:rFonts w:hint="eastAsia" w:cs="Times New Roman"/>
                <w:snapToGrid w:val="0"/>
                <w:color w:val="auto"/>
                <w:kern w:val="0"/>
                <w:sz w:val="21"/>
                <w:szCs w:val="21"/>
                <w:lang w:val="en-US" w:eastAsia="zh-CN" w:bidi="ar-SA"/>
              </w:rPr>
              <w:t>GB/T18152-2000</w:t>
            </w:r>
            <w:r>
              <w:rPr>
                <w:rFonts w:ascii="Times New Roman" w:hAnsi="Times New Roman" w:eastAsia="宋体" w:cs="Times New Roman"/>
                <w:snapToGrid w:val="0"/>
                <w:color w:val="auto"/>
                <w:spacing w:val="4"/>
                <w:kern w:val="0"/>
                <w:sz w:val="21"/>
                <w:szCs w:val="21"/>
                <w:lang w:val="en-US" w:bidi="ar-SA"/>
              </w:rPr>
              <w:t>）</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auto"/>
                <w:spacing w:val="1"/>
                <w:kern w:val="0"/>
                <w:sz w:val="21"/>
                <w:szCs w:val="21"/>
                <w:lang w:val="en-US" w:eastAsia="en-US" w:bidi="ar-SA"/>
              </w:rPr>
            </w:pPr>
            <w:r>
              <w:rPr>
                <w:rFonts w:ascii="Times New Roman" w:hAnsi="Times New Roman" w:eastAsia="宋体" w:cs="Times New Roman"/>
                <w:snapToGrid w:val="0"/>
                <w:color w:val="auto"/>
                <w:spacing w:val="1"/>
                <w:kern w:val="0"/>
                <w:sz w:val="21"/>
                <w:szCs w:val="21"/>
                <w:lang w:val="en-US" w:bidi="ar-SA"/>
              </w:rPr>
              <w:t>第</w:t>
            </w:r>
            <w:r>
              <w:rPr>
                <w:rFonts w:hint="eastAsia" w:cs="Times New Roman"/>
                <w:snapToGrid w:val="0"/>
                <w:color w:val="auto"/>
                <w:spacing w:val="1"/>
                <w:kern w:val="0"/>
                <w:sz w:val="21"/>
                <w:szCs w:val="21"/>
                <w:lang w:val="en-US" w:eastAsia="zh-CN" w:bidi="ar-SA"/>
              </w:rPr>
              <w:t>9</w:t>
            </w:r>
            <w:r>
              <w:rPr>
                <w:rFonts w:ascii="Times New Roman" w:hAnsi="Times New Roman" w:eastAsia="宋体" w:cs="Times New Roman"/>
                <w:snapToGrid w:val="0"/>
                <w:color w:val="auto"/>
                <w:spacing w:val="1"/>
                <w:kern w:val="0"/>
                <w:sz w:val="21"/>
                <w:szCs w:val="21"/>
                <w:lang w:val="en-US" w:bidi="ar-SA"/>
              </w:rPr>
              <w:t>.</w:t>
            </w:r>
            <w:r>
              <w:rPr>
                <w:rFonts w:hint="eastAsia" w:cs="Times New Roman"/>
                <w:snapToGrid w:val="0"/>
                <w:color w:val="auto"/>
                <w:spacing w:val="1"/>
                <w:kern w:val="0"/>
                <w:sz w:val="21"/>
                <w:szCs w:val="21"/>
                <w:lang w:val="en-US" w:eastAsia="zh-CN" w:bidi="ar-SA"/>
              </w:rPr>
              <w:t>2</w:t>
            </w:r>
            <w:r>
              <w:rPr>
                <w:rFonts w:ascii="Times New Roman" w:hAnsi="Times New Roman" w:eastAsia="宋体" w:cs="Times New Roman"/>
                <w:snapToGrid w:val="0"/>
                <w:color w:val="auto"/>
                <w:spacing w:val="1"/>
                <w:kern w:val="0"/>
                <w:sz w:val="21"/>
                <w:szCs w:val="21"/>
                <w:lang w:val="en-US" w:bidi="ar-SA"/>
              </w:rPr>
              <w:t>.</w:t>
            </w:r>
            <w:r>
              <w:rPr>
                <w:rFonts w:hint="eastAsia" w:cs="Times New Roman"/>
                <w:snapToGrid w:val="0"/>
                <w:color w:val="auto"/>
                <w:spacing w:val="1"/>
                <w:kern w:val="0"/>
                <w:sz w:val="21"/>
                <w:szCs w:val="21"/>
                <w:lang w:val="en-US" w:eastAsia="zh-CN" w:bidi="ar-SA"/>
              </w:rPr>
              <w:t>4</w:t>
            </w:r>
            <w:r>
              <w:rPr>
                <w:rFonts w:ascii="Times New Roman" w:hAnsi="Times New Roman" w:eastAsia="宋体" w:cs="Times New Roman"/>
                <w:snapToGrid w:val="0"/>
                <w:color w:val="auto"/>
                <w:spacing w:val="1"/>
                <w:kern w:val="0"/>
                <w:sz w:val="21"/>
                <w:szCs w:val="21"/>
                <w:lang w:val="en-US" w:bidi="ar-SA"/>
              </w:rPr>
              <w:t>条</w:t>
            </w:r>
          </w:p>
        </w:tc>
        <w:tc>
          <w:tcPr>
            <w:tcW w:w="157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《可研报告》中未见要求</w:t>
            </w:r>
          </w:p>
        </w:tc>
        <w:tc>
          <w:tcPr>
            <w:tcW w:w="52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28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1.3</w:t>
            </w:r>
          </w:p>
        </w:tc>
        <w:tc>
          <w:tcPr>
            <w:tcW w:w="143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站场、道岔区、料场、装卸线以及建筑物的进出口，均应有良好的照明设施。</w:t>
            </w:r>
          </w:p>
        </w:tc>
        <w:tc>
          <w:tcPr>
            <w:tcW w:w="1175"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ascii="Times New Roman" w:hAnsi="Times New Roman" w:eastAsia="宋体" w:cs="Times New Roman"/>
                <w:snapToGrid w:val="0"/>
                <w:color w:val="auto"/>
                <w:kern w:val="0"/>
                <w:sz w:val="21"/>
                <w:szCs w:val="21"/>
                <w:lang w:val="en-US" w:bidi="ar-SA"/>
              </w:rPr>
            </w:pPr>
            <w:r>
              <w:rPr>
                <w:rFonts w:ascii="Times New Roman" w:hAnsi="Times New Roman" w:eastAsia="宋体" w:cs="Times New Roman"/>
                <w:snapToGrid w:val="0"/>
                <w:color w:val="auto"/>
                <w:spacing w:val="6"/>
                <w:kern w:val="0"/>
                <w:sz w:val="21"/>
                <w:szCs w:val="21"/>
                <w:lang w:val="en-US" w:bidi="ar-SA"/>
              </w:rPr>
              <w:t>《选矿安全规程》</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ascii="Times New Roman" w:hAnsi="Times New Roman" w:eastAsia="宋体" w:cs="Times New Roman"/>
                <w:snapToGrid w:val="0"/>
                <w:color w:val="auto"/>
                <w:kern w:val="0"/>
                <w:sz w:val="21"/>
                <w:szCs w:val="21"/>
                <w:lang w:val="en-US" w:bidi="ar-SA"/>
              </w:rPr>
            </w:pPr>
            <w:r>
              <w:rPr>
                <w:rFonts w:ascii="Times New Roman" w:hAnsi="Times New Roman" w:eastAsia="宋体" w:cs="Times New Roman"/>
                <w:snapToGrid w:val="0"/>
                <w:color w:val="auto"/>
                <w:spacing w:val="4"/>
                <w:kern w:val="0"/>
                <w:sz w:val="21"/>
                <w:szCs w:val="21"/>
                <w:lang w:val="en-US" w:bidi="ar-SA"/>
              </w:rPr>
              <w:t>（</w:t>
            </w:r>
            <w:r>
              <w:rPr>
                <w:rFonts w:hint="eastAsia" w:cs="Times New Roman"/>
                <w:snapToGrid w:val="0"/>
                <w:color w:val="auto"/>
                <w:kern w:val="0"/>
                <w:sz w:val="21"/>
                <w:szCs w:val="21"/>
                <w:lang w:val="en-US" w:eastAsia="zh-CN" w:bidi="ar-SA"/>
              </w:rPr>
              <w:t>GB/T18152-2000</w:t>
            </w:r>
            <w:r>
              <w:rPr>
                <w:rFonts w:ascii="Times New Roman" w:hAnsi="Times New Roman" w:eastAsia="宋体" w:cs="Times New Roman"/>
                <w:snapToGrid w:val="0"/>
                <w:color w:val="auto"/>
                <w:spacing w:val="4"/>
                <w:kern w:val="0"/>
                <w:sz w:val="21"/>
                <w:szCs w:val="21"/>
                <w:lang w:val="en-US" w:bidi="ar-SA"/>
              </w:rPr>
              <w:t>）</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ascii="Times New Roman" w:hAnsi="Times New Roman" w:eastAsia="宋体" w:cs="Times New Roman"/>
                <w:snapToGrid w:val="0"/>
                <w:color w:val="auto"/>
                <w:spacing w:val="1"/>
                <w:kern w:val="0"/>
                <w:sz w:val="21"/>
                <w:szCs w:val="21"/>
                <w:lang w:val="en-US" w:bidi="ar-SA"/>
              </w:rPr>
            </w:pPr>
            <w:r>
              <w:rPr>
                <w:rFonts w:ascii="Times New Roman" w:hAnsi="Times New Roman" w:eastAsia="宋体" w:cs="Times New Roman"/>
                <w:snapToGrid w:val="0"/>
                <w:color w:val="auto"/>
                <w:spacing w:val="1"/>
                <w:kern w:val="0"/>
                <w:sz w:val="21"/>
                <w:szCs w:val="21"/>
                <w:lang w:val="en-US" w:bidi="ar-SA"/>
              </w:rPr>
              <w:t>第</w:t>
            </w:r>
            <w:r>
              <w:rPr>
                <w:rFonts w:hint="eastAsia" w:cs="Times New Roman"/>
                <w:snapToGrid w:val="0"/>
                <w:color w:val="auto"/>
                <w:spacing w:val="1"/>
                <w:kern w:val="0"/>
                <w:sz w:val="21"/>
                <w:szCs w:val="21"/>
                <w:lang w:val="en-US" w:eastAsia="zh-CN" w:bidi="ar-SA"/>
              </w:rPr>
              <w:t>9</w:t>
            </w:r>
            <w:r>
              <w:rPr>
                <w:rFonts w:ascii="Times New Roman" w:hAnsi="Times New Roman" w:eastAsia="宋体" w:cs="Times New Roman"/>
                <w:snapToGrid w:val="0"/>
                <w:color w:val="auto"/>
                <w:spacing w:val="1"/>
                <w:kern w:val="0"/>
                <w:sz w:val="21"/>
                <w:szCs w:val="21"/>
                <w:lang w:val="en-US" w:bidi="ar-SA"/>
              </w:rPr>
              <w:t>.</w:t>
            </w:r>
            <w:r>
              <w:rPr>
                <w:rFonts w:hint="eastAsia" w:cs="Times New Roman"/>
                <w:snapToGrid w:val="0"/>
                <w:color w:val="auto"/>
                <w:spacing w:val="1"/>
                <w:kern w:val="0"/>
                <w:sz w:val="21"/>
                <w:szCs w:val="21"/>
                <w:lang w:val="en-US" w:eastAsia="zh-CN" w:bidi="ar-SA"/>
              </w:rPr>
              <w:t>3</w:t>
            </w:r>
            <w:r>
              <w:rPr>
                <w:rFonts w:ascii="Times New Roman" w:hAnsi="Times New Roman" w:eastAsia="宋体" w:cs="Times New Roman"/>
                <w:snapToGrid w:val="0"/>
                <w:color w:val="auto"/>
                <w:spacing w:val="1"/>
                <w:kern w:val="0"/>
                <w:sz w:val="21"/>
                <w:szCs w:val="21"/>
                <w:lang w:val="en-US" w:bidi="ar-SA"/>
              </w:rPr>
              <w:t>.</w:t>
            </w:r>
            <w:r>
              <w:rPr>
                <w:rFonts w:hint="eastAsia" w:cs="Times New Roman"/>
                <w:snapToGrid w:val="0"/>
                <w:color w:val="auto"/>
                <w:spacing w:val="1"/>
                <w:kern w:val="0"/>
                <w:sz w:val="21"/>
                <w:szCs w:val="21"/>
                <w:lang w:val="en-US" w:eastAsia="zh-CN" w:bidi="ar-SA"/>
              </w:rPr>
              <w:t>4</w:t>
            </w:r>
            <w:r>
              <w:rPr>
                <w:rFonts w:ascii="Times New Roman" w:hAnsi="Times New Roman" w:eastAsia="宋体" w:cs="Times New Roman"/>
                <w:snapToGrid w:val="0"/>
                <w:color w:val="auto"/>
                <w:spacing w:val="1"/>
                <w:kern w:val="0"/>
                <w:sz w:val="21"/>
                <w:szCs w:val="21"/>
                <w:lang w:val="en-US" w:bidi="ar-SA"/>
              </w:rPr>
              <w:t>条</w:t>
            </w:r>
          </w:p>
        </w:tc>
        <w:tc>
          <w:tcPr>
            <w:tcW w:w="157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矿区道路照明采用防眩通路灯具，光照自动控制。</w:t>
            </w:r>
          </w:p>
        </w:tc>
        <w:tc>
          <w:tcPr>
            <w:tcW w:w="52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28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1.4</w:t>
            </w:r>
          </w:p>
        </w:tc>
        <w:tc>
          <w:tcPr>
            <w:tcW w:w="143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起重机械应装设过卷、超载、极限位置限制器及启动、事故信号装置，并设置安全连锁保护装置。</w:t>
            </w:r>
          </w:p>
        </w:tc>
        <w:tc>
          <w:tcPr>
            <w:tcW w:w="1175"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ascii="Times New Roman" w:hAnsi="Times New Roman" w:eastAsia="宋体" w:cs="Times New Roman"/>
                <w:snapToGrid w:val="0"/>
                <w:color w:val="auto"/>
                <w:kern w:val="0"/>
                <w:sz w:val="21"/>
                <w:szCs w:val="21"/>
                <w:lang w:val="en-US" w:bidi="ar-SA"/>
              </w:rPr>
            </w:pPr>
            <w:r>
              <w:rPr>
                <w:rFonts w:ascii="Times New Roman" w:hAnsi="Times New Roman" w:eastAsia="宋体" w:cs="Times New Roman"/>
                <w:snapToGrid w:val="0"/>
                <w:color w:val="auto"/>
                <w:spacing w:val="6"/>
                <w:kern w:val="0"/>
                <w:sz w:val="21"/>
                <w:szCs w:val="21"/>
                <w:lang w:val="en-US" w:bidi="ar-SA"/>
              </w:rPr>
              <w:t>《选矿安全规程》</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ascii="Times New Roman" w:hAnsi="Times New Roman" w:eastAsia="宋体" w:cs="Times New Roman"/>
                <w:snapToGrid w:val="0"/>
                <w:color w:val="auto"/>
                <w:kern w:val="0"/>
                <w:sz w:val="21"/>
                <w:szCs w:val="21"/>
                <w:lang w:val="en-US" w:bidi="ar-SA"/>
              </w:rPr>
            </w:pPr>
            <w:r>
              <w:rPr>
                <w:rFonts w:ascii="Times New Roman" w:hAnsi="Times New Roman" w:eastAsia="宋体" w:cs="Times New Roman"/>
                <w:snapToGrid w:val="0"/>
                <w:color w:val="auto"/>
                <w:spacing w:val="4"/>
                <w:kern w:val="0"/>
                <w:sz w:val="21"/>
                <w:szCs w:val="21"/>
                <w:lang w:val="en-US" w:bidi="ar-SA"/>
              </w:rPr>
              <w:t>（</w:t>
            </w:r>
            <w:r>
              <w:rPr>
                <w:rFonts w:hint="eastAsia" w:cs="Times New Roman"/>
                <w:snapToGrid w:val="0"/>
                <w:color w:val="auto"/>
                <w:kern w:val="0"/>
                <w:sz w:val="21"/>
                <w:szCs w:val="21"/>
                <w:lang w:val="en-US" w:eastAsia="zh-CN" w:bidi="ar-SA"/>
              </w:rPr>
              <w:t>GB/T18152-2000</w:t>
            </w:r>
            <w:r>
              <w:rPr>
                <w:rFonts w:ascii="Times New Roman" w:hAnsi="Times New Roman" w:eastAsia="宋体" w:cs="Times New Roman"/>
                <w:snapToGrid w:val="0"/>
                <w:color w:val="auto"/>
                <w:spacing w:val="4"/>
                <w:kern w:val="0"/>
                <w:sz w:val="21"/>
                <w:szCs w:val="21"/>
                <w:lang w:val="en-US" w:bidi="ar-SA"/>
              </w:rPr>
              <w:t>）</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snapToGrid w:val="0"/>
                <w:color w:val="auto"/>
                <w:spacing w:val="1"/>
                <w:kern w:val="0"/>
                <w:sz w:val="21"/>
                <w:szCs w:val="21"/>
                <w:lang w:val="en-US" w:bidi="ar-SA"/>
              </w:rPr>
            </w:pPr>
            <w:r>
              <w:rPr>
                <w:rFonts w:ascii="Times New Roman" w:hAnsi="Times New Roman" w:eastAsia="宋体" w:cs="Times New Roman"/>
                <w:snapToGrid w:val="0"/>
                <w:color w:val="auto"/>
                <w:spacing w:val="1"/>
                <w:kern w:val="0"/>
                <w:sz w:val="21"/>
                <w:szCs w:val="21"/>
                <w:lang w:val="en-US" w:bidi="ar-SA"/>
              </w:rPr>
              <w:t>第</w:t>
            </w:r>
            <w:r>
              <w:rPr>
                <w:rFonts w:hint="eastAsia" w:cs="Times New Roman"/>
                <w:snapToGrid w:val="0"/>
                <w:color w:val="auto"/>
                <w:spacing w:val="1"/>
                <w:kern w:val="0"/>
                <w:sz w:val="21"/>
                <w:szCs w:val="21"/>
                <w:lang w:val="en-US" w:eastAsia="zh-CN" w:bidi="ar-SA"/>
              </w:rPr>
              <w:t>9</w:t>
            </w:r>
            <w:r>
              <w:rPr>
                <w:rFonts w:ascii="Times New Roman" w:hAnsi="Times New Roman" w:eastAsia="宋体" w:cs="Times New Roman"/>
                <w:snapToGrid w:val="0"/>
                <w:color w:val="auto"/>
                <w:spacing w:val="1"/>
                <w:kern w:val="0"/>
                <w:sz w:val="21"/>
                <w:szCs w:val="21"/>
                <w:lang w:val="en-US" w:bidi="ar-SA"/>
              </w:rPr>
              <w:t>.</w:t>
            </w:r>
            <w:r>
              <w:rPr>
                <w:rFonts w:hint="eastAsia" w:cs="Times New Roman"/>
                <w:snapToGrid w:val="0"/>
                <w:color w:val="auto"/>
                <w:spacing w:val="1"/>
                <w:kern w:val="0"/>
                <w:sz w:val="21"/>
                <w:szCs w:val="21"/>
                <w:lang w:val="en-US" w:eastAsia="zh-CN" w:bidi="ar-SA"/>
              </w:rPr>
              <w:t>4</w:t>
            </w:r>
            <w:r>
              <w:rPr>
                <w:rFonts w:ascii="Times New Roman" w:hAnsi="Times New Roman" w:eastAsia="宋体" w:cs="Times New Roman"/>
                <w:snapToGrid w:val="0"/>
                <w:color w:val="auto"/>
                <w:spacing w:val="1"/>
                <w:kern w:val="0"/>
                <w:sz w:val="21"/>
                <w:szCs w:val="21"/>
                <w:lang w:val="en-US" w:bidi="ar-SA"/>
              </w:rPr>
              <w:t>.</w:t>
            </w:r>
            <w:r>
              <w:rPr>
                <w:rFonts w:hint="eastAsia" w:cs="Times New Roman"/>
                <w:snapToGrid w:val="0"/>
                <w:color w:val="auto"/>
                <w:spacing w:val="1"/>
                <w:kern w:val="0"/>
                <w:sz w:val="21"/>
                <w:szCs w:val="21"/>
                <w:lang w:val="en-US" w:eastAsia="zh-CN" w:bidi="ar-SA"/>
              </w:rPr>
              <w:t>3</w:t>
            </w:r>
            <w:r>
              <w:rPr>
                <w:rFonts w:ascii="Times New Roman" w:hAnsi="Times New Roman" w:eastAsia="宋体" w:cs="Times New Roman"/>
                <w:snapToGrid w:val="0"/>
                <w:color w:val="auto"/>
                <w:spacing w:val="1"/>
                <w:kern w:val="0"/>
                <w:sz w:val="21"/>
                <w:szCs w:val="21"/>
                <w:lang w:val="en-US" w:bidi="ar-SA"/>
              </w:rPr>
              <w:t>条</w:t>
            </w:r>
          </w:p>
        </w:tc>
        <w:tc>
          <w:tcPr>
            <w:tcW w:w="157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《可研报告》中未见要求</w:t>
            </w:r>
          </w:p>
        </w:tc>
        <w:tc>
          <w:tcPr>
            <w:tcW w:w="52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eastAsia"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28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2</w:t>
            </w:r>
          </w:p>
        </w:tc>
        <w:tc>
          <w:tcPr>
            <w:tcW w:w="4715" w:type="pct"/>
            <w:gridSpan w:val="4"/>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通风、除尘、降噪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28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2.1</w:t>
            </w:r>
          </w:p>
        </w:tc>
        <w:tc>
          <w:tcPr>
            <w:tcW w:w="143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对产尘作业点,应采取密闭除尘、喷雾洒水、湿式作业等综合防尘措施。</w:t>
            </w:r>
          </w:p>
        </w:tc>
        <w:tc>
          <w:tcPr>
            <w:tcW w:w="1175"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ascii="Times New Roman" w:hAnsi="Times New Roman" w:eastAsia="宋体" w:cs="Times New Roman"/>
                <w:snapToGrid w:val="0"/>
                <w:color w:val="auto"/>
                <w:spacing w:val="1"/>
                <w:kern w:val="0"/>
                <w:sz w:val="21"/>
                <w:szCs w:val="21"/>
                <w:lang w:val="en-US" w:bidi="ar-SA"/>
              </w:rPr>
            </w:pPr>
            <w:r>
              <w:rPr>
                <w:rFonts w:ascii="Times New Roman" w:hAnsi="Times New Roman" w:eastAsia="宋体" w:cs="Times New Roman"/>
                <w:snapToGrid w:val="0"/>
                <w:color w:val="auto"/>
                <w:spacing w:val="1"/>
                <w:kern w:val="0"/>
                <w:sz w:val="21"/>
                <w:szCs w:val="21"/>
                <w:lang w:val="en-US" w:bidi="ar-SA"/>
              </w:rPr>
              <w:t>《选矿安全规程》</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ascii="Times New Roman" w:hAnsi="Times New Roman" w:eastAsia="宋体" w:cs="Times New Roman"/>
                <w:snapToGrid w:val="0"/>
                <w:color w:val="auto"/>
                <w:spacing w:val="1"/>
                <w:kern w:val="0"/>
                <w:sz w:val="21"/>
                <w:szCs w:val="21"/>
                <w:lang w:val="en-US" w:bidi="ar-SA"/>
              </w:rPr>
            </w:pPr>
            <w:r>
              <w:rPr>
                <w:rFonts w:ascii="Times New Roman" w:hAnsi="Times New Roman" w:eastAsia="宋体" w:cs="Times New Roman"/>
                <w:snapToGrid w:val="0"/>
                <w:color w:val="auto"/>
                <w:spacing w:val="1"/>
                <w:kern w:val="0"/>
                <w:sz w:val="21"/>
                <w:szCs w:val="21"/>
                <w:lang w:val="en-US" w:bidi="ar-SA"/>
              </w:rPr>
              <w:t>（</w:t>
            </w:r>
            <w:r>
              <w:rPr>
                <w:rFonts w:hint="eastAsia" w:cs="Times New Roman"/>
                <w:snapToGrid w:val="0"/>
                <w:color w:val="auto"/>
                <w:spacing w:val="1"/>
                <w:kern w:val="0"/>
                <w:sz w:val="21"/>
                <w:szCs w:val="21"/>
                <w:lang w:val="en-US" w:eastAsia="zh-CN" w:bidi="ar-SA"/>
              </w:rPr>
              <w:t>GB/T18152-2000</w:t>
            </w:r>
            <w:r>
              <w:rPr>
                <w:rFonts w:ascii="Times New Roman" w:hAnsi="Times New Roman" w:eastAsia="宋体" w:cs="Times New Roman"/>
                <w:snapToGrid w:val="0"/>
                <w:color w:val="auto"/>
                <w:spacing w:val="1"/>
                <w:kern w:val="0"/>
                <w:sz w:val="21"/>
                <w:szCs w:val="21"/>
                <w:lang w:val="en-US" w:bidi="ar-SA"/>
              </w:rPr>
              <w:t>）</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snapToGrid w:val="0"/>
                <w:color w:val="auto"/>
                <w:spacing w:val="1"/>
                <w:kern w:val="0"/>
                <w:sz w:val="21"/>
                <w:szCs w:val="21"/>
                <w:lang w:val="en-US" w:bidi="ar-SA"/>
              </w:rPr>
            </w:pPr>
            <w:r>
              <w:rPr>
                <w:rFonts w:ascii="Times New Roman" w:hAnsi="Times New Roman" w:eastAsia="宋体" w:cs="Times New Roman"/>
                <w:snapToGrid w:val="0"/>
                <w:color w:val="auto"/>
                <w:spacing w:val="1"/>
                <w:kern w:val="0"/>
                <w:sz w:val="21"/>
                <w:szCs w:val="21"/>
                <w:lang w:val="en-US" w:bidi="ar-SA"/>
              </w:rPr>
              <w:t>第1</w:t>
            </w:r>
            <w:r>
              <w:rPr>
                <w:rFonts w:hint="eastAsia" w:cs="Times New Roman"/>
                <w:snapToGrid w:val="0"/>
                <w:color w:val="auto"/>
                <w:spacing w:val="1"/>
                <w:kern w:val="0"/>
                <w:sz w:val="21"/>
                <w:szCs w:val="21"/>
                <w:lang w:val="en-US" w:eastAsia="zh-CN" w:bidi="ar-SA"/>
              </w:rPr>
              <w:t>2.4</w:t>
            </w:r>
            <w:r>
              <w:rPr>
                <w:rFonts w:ascii="Times New Roman" w:hAnsi="Times New Roman" w:eastAsia="宋体" w:cs="Times New Roman"/>
                <w:snapToGrid w:val="0"/>
                <w:color w:val="auto"/>
                <w:spacing w:val="1"/>
                <w:kern w:val="0"/>
                <w:sz w:val="21"/>
                <w:szCs w:val="21"/>
                <w:lang w:val="en-US" w:bidi="ar-SA"/>
              </w:rPr>
              <w:t>条</w:t>
            </w:r>
          </w:p>
        </w:tc>
        <w:tc>
          <w:tcPr>
            <w:tcW w:w="157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spacing w:val="4"/>
                <w:kern w:val="0"/>
                <w:sz w:val="21"/>
                <w:szCs w:val="21"/>
                <w:lang w:val="en-US" w:eastAsia="zh-CN" w:bidi="ar-SA"/>
              </w:rPr>
              <w:t>除尘系统采用密闭或吸风罩抽尘、除尘设备净化方法。</w:t>
            </w:r>
          </w:p>
        </w:tc>
        <w:tc>
          <w:tcPr>
            <w:tcW w:w="52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28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2.2</w:t>
            </w:r>
          </w:p>
        </w:tc>
        <w:tc>
          <w:tcPr>
            <w:tcW w:w="143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散发有毒有害气体、蒸汽及大量余热的厂房,应采用机械通风</w:t>
            </w:r>
          </w:p>
        </w:tc>
        <w:tc>
          <w:tcPr>
            <w:tcW w:w="1175"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ascii="Times New Roman" w:hAnsi="Times New Roman" w:eastAsia="宋体" w:cs="Times New Roman"/>
                <w:snapToGrid w:val="0"/>
                <w:color w:val="auto"/>
                <w:spacing w:val="1"/>
                <w:kern w:val="0"/>
                <w:sz w:val="21"/>
                <w:szCs w:val="21"/>
                <w:lang w:val="en-US" w:bidi="ar-SA"/>
              </w:rPr>
            </w:pPr>
            <w:r>
              <w:rPr>
                <w:rFonts w:ascii="Times New Roman" w:hAnsi="Times New Roman" w:eastAsia="宋体" w:cs="Times New Roman"/>
                <w:snapToGrid w:val="0"/>
                <w:color w:val="auto"/>
                <w:spacing w:val="1"/>
                <w:kern w:val="0"/>
                <w:sz w:val="21"/>
                <w:szCs w:val="21"/>
                <w:lang w:val="en-US" w:bidi="ar-SA"/>
              </w:rPr>
              <w:t>《选矿安全规程》</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ascii="Times New Roman" w:hAnsi="Times New Roman" w:eastAsia="宋体" w:cs="Times New Roman"/>
                <w:snapToGrid w:val="0"/>
                <w:color w:val="auto"/>
                <w:spacing w:val="1"/>
                <w:kern w:val="0"/>
                <w:sz w:val="21"/>
                <w:szCs w:val="21"/>
                <w:lang w:val="en-US" w:bidi="ar-SA"/>
              </w:rPr>
            </w:pPr>
            <w:r>
              <w:rPr>
                <w:rFonts w:ascii="Times New Roman" w:hAnsi="Times New Roman" w:eastAsia="宋体" w:cs="Times New Roman"/>
                <w:snapToGrid w:val="0"/>
                <w:color w:val="auto"/>
                <w:spacing w:val="1"/>
                <w:kern w:val="0"/>
                <w:sz w:val="21"/>
                <w:szCs w:val="21"/>
                <w:lang w:val="en-US" w:bidi="ar-SA"/>
              </w:rPr>
              <w:t>（</w:t>
            </w:r>
            <w:r>
              <w:rPr>
                <w:rFonts w:hint="eastAsia" w:cs="Times New Roman"/>
                <w:snapToGrid w:val="0"/>
                <w:color w:val="auto"/>
                <w:spacing w:val="1"/>
                <w:kern w:val="0"/>
                <w:sz w:val="21"/>
                <w:szCs w:val="21"/>
                <w:lang w:val="en-US" w:eastAsia="zh-CN" w:bidi="ar-SA"/>
              </w:rPr>
              <w:t>GB/T18152-2000</w:t>
            </w:r>
            <w:r>
              <w:rPr>
                <w:rFonts w:ascii="Times New Roman" w:hAnsi="Times New Roman" w:eastAsia="宋体" w:cs="Times New Roman"/>
                <w:snapToGrid w:val="0"/>
                <w:color w:val="auto"/>
                <w:spacing w:val="1"/>
                <w:kern w:val="0"/>
                <w:sz w:val="21"/>
                <w:szCs w:val="21"/>
                <w:lang w:val="en-US" w:bidi="ar-SA"/>
              </w:rPr>
              <w:t>）</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snapToGrid w:val="0"/>
                <w:color w:val="auto"/>
                <w:spacing w:val="1"/>
                <w:kern w:val="0"/>
                <w:sz w:val="21"/>
                <w:szCs w:val="21"/>
                <w:lang w:val="en-US" w:bidi="ar-SA"/>
              </w:rPr>
            </w:pPr>
            <w:r>
              <w:rPr>
                <w:rFonts w:ascii="Times New Roman" w:hAnsi="Times New Roman" w:eastAsia="宋体" w:cs="Times New Roman"/>
                <w:snapToGrid w:val="0"/>
                <w:color w:val="auto"/>
                <w:spacing w:val="1"/>
                <w:kern w:val="0"/>
                <w:sz w:val="21"/>
                <w:szCs w:val="21"/>
                <w:lang w:val="en-US" w:bidi="ar-SA"/>
              </w:rPr>
              <w:t>第1</w:t>
            </w:r>
            <w:r>
              <w:rPr>
                <w:rFonts w:hint="eastAsia" w:cs="Times New Roman"/>
                <w:snapToGrid w:val="0"/>
                <w:color w:val="auto"/>
                <w:spacing w:val="1"/>
                <w:kern w:val="0"/>
                <w:sz w:val="21"/>
                <w:szCs w:val="21"/>
                <w:lang w:val="en-US" w:eastAsia="zh-CN" w:bidi="ar-SA"/>
              </w:rPr>
              <w:t>2.6</w:t>
            </w:r>
            <w:r>
              <w:rPr>
                <w:rFonts w:ascii="Times New Roman" w:hAnsi="Times New Roman" w:eastAsia="宋体" w:cs="Times New Roman"/>
                <w:snapToGrid w:val="0"/>
                <w:color w:val="auto"/>
                <w:spacing w:val="1"/>
                <w:kern w:val="0"/>
                <w:sz w:val="21"/>
                <w:szCs w:val="21"/>
                <w:lang w:val="en-US" w:bidi="ar-SA"/>
              </w:rPr>
              <w:t>条</w:t>
            </w:r>
          </w:p>
        </w:tc>
        <w:tc>
          <w:tcPr>
            <w:tcW w:w="157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《可研报告》中只考虑到地下矿山的通风情况，选矿厂的通风情况未做说明。</w:t>
            </w:r>
          </w:p>
        </w:tc>
        <w:tc>
          <w:tcPr>
            <w:tcW w:w="52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eastAsia"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下一步设计补充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284"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2.3</w:t>
            </w:r>
          </w:p>
        </w:tc>
        <w:tc>
          <w:tcPr>
            <w:tcW w:w="143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作业场所的噪声不应超过85dB（A）;否则,应采取综合防噪措施</w:t>
            </w:r>
          </w:p>
        </w:tc>
        <w:tc>
          <w:tcPr>
            <w:tcW w:w="1175"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ascii="Times New Roman" w:hAnsi="Times New Roman" w:eastAsia="宋体" w:cs="Times New Roman"/>
                <w:snapToGrid w:val="0"/>
                <w:color w:val="auto"/>
                <w:spacing w:val="1"/>
                <w:kern w:val="0"/>
                <w:sz w:val="21"/>
                <w:szCs w:val="21"/>
                <w:lang w:val="en-US" w:bidi="ar-SA"/>
              </w:rPr>
            </w:pPr>
            <w:r>
              <w:rPr>
                <w:rFonts w:ascii="Times New Roman" w:hAnsi="Times New Roman" w:eastAsia="宋体" w:cs="Times New Roman"/>
                <w:snapToGrid w:val="0"/>
                <w:color w:val="auto"/>
                <w:spacing w:val="1"/>
                <w:kern w:val="0"/>
                <w:sz w:val="21"/>
                <w:szCs w:val="21"/>
                <w:lang w:val="en-US" w:bidi="ar-SA"/>
              </w:rPr>
              <w:t>《选矿安全规程》</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ascii="Times New Roman" w:hAnsi="Times New Roman" w:eastAsia="宋体" w:cs="Times New Roman"/>
                <w:snapToGrid w:val="0"/>
                <w:color w:val="auto"/>
                <w:spacing w:val="1"/>
                <w:kern w:val="0"/>
                <w:sz w:val="21"/>
                <w:szCs w:val="21"/>
                <w:lang w:val="en-US" w:bidi="ar-SA"/>
              </w:rPr>
            </w:pPr>
            <w:r>
              <w:rPr>
                <w:rFonts w:ascii="Times New Roman" w:hAnsi="Times New Roman" w:eastAsia="宋体" w:cs="Times New Roman"/>
                <w:snapToGrid w:val="0"/>
                <w:color w:val="auto"/>
                <w:spacing w:val="1"/>
                <w:kern w:val="0"/>
                <w:sz w:val="21"/>
                <w:szCs w:val="21"/>
                <w:lang w:val="en-US" w:bidi="ar-SA"/>
              </w:rPr>
              <w:t>（</w:t>
            </w:r>
            <w:r>
              <w:rPr>
                <w:rFonts w:hint="eastAsia" w:cs="Times New Roman"/>
                <w:snapToGrid w:val="0"/>
                <w:color w:val="auto"/>
                <w:spacing w:val="1"/>
                <w:kern w:val="0"/>
                <w:sz w:val="21"/>
                <w:szCs w:val="21"/>
                <w:lang w:val="en-US" w:eastAsia="zh-CN" w:bidi="ar-SA"/>
              </w:rPr>
              <w:t>GB/T18152-2000</w:t>
            </w:r>
            <w:r>
              <w:rPr>
                <w:rFonts w:ascii="Times New Roman" w:hAnsi="Times New Roman" w:eastAsia="宋体" w:cs="Times New Roman"/>
                <w:snapToGrid w:val="0"/>
                <w:color w:val="auto"/>
                <w:spacing w:val="1"/>
                <w:kern w:val="0"/>
                <w:sz w:val="21"/>
                <w:szCs w:val="21"/>
                <w:lang w:val="en-US" w:bidi="ar-SA"/>
              </w:rPr>
              <w:t>）</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snapToGrid w:val="0"/>
                <w:color w:val="auto"/>
                <w:spacing w:val="1"/>
                <w:kern w:val="0"/>
                <w:sz w:val="21"/>
                <w:szCs w:val="21"/>
                <w:lang w:val="en-US" w:bidi="ar-SA"/>
              </w:rPr>
            </w:pPr>
            <w:r>
              <w:rPr>
                <w:rFonts w:ascii="Times New Roman" w:hAnsi="Times New Roman" w:eastAsia="宋体" w:cs="Times New Roman"/>
                <w:snapToGrid w:val="0"/>
                <w:color w:val="auto"/>
                <w:spacing w:val="1"/>
                <w:kern w:val="0"/>
                <w:sz w:val="21"/>
                <w:szCs w:val="21"/>
                <w:lang w:val="en-US" w:bidi="ar-SA"/>
              </w:rPr>
              <w:t>第1</w:t>
            </w:r>
            <w:r>
              <w:rPr>
                <w:rFonts w:hint="eastAsia" w:cs="Times New Roman"/>
                <w:snapToGrid w:val="0"/>
                <w:color w:val="auto"/>
                <w:spacing w:val="1"/>
                <w:kern w:val="0"/>
                <w:sz w:val="21"/>
                <w:szCs w:val="21"/>
                <w:lang w:val="en-US" w:eastAsia="zh-CN" w:bidi="ar-SA"/>
              </w:rPr>
              <w:t>2.7</w:t>
            </w:r>
            <w:r>
              <w:rPr>
                <w:rFonts w:ascii="Times New Roman" w:hAnsi="Times New Roman" w:eastAsia="宋体" w:cs="Times New Roman"/>
                <w:snapToGrid w:val="0"/>
                <w:color w:val="auto"/>
                <w:spacing w:val="1"/>
                <w:kern w:val="0"/>
                <w:sz w:val="21"/>
                <w:szCs w:val="21"/>
                <w:lang w:val="en-US" w:bidi="ar-SA"/>
              </w:rPr>
              <w:t>条</w:t>
            </w:r>
          </w:p>
        </w:tc>
        <w:tc>
          <w:tcPr>
            <w:tcW w:w="157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cs="Times New Roman"/>
                <w:snapToGrid w:val="0"/>
                <w:color w:val="auto"/>
                <w:kern w:val="0"/>
                <w:sz w:val="21"/>
                <w:szCs w:val="21"/>
                <w:lang w:val="en-US" w:eastAsia="zh-CN" w:bidi="ar-SA"/>
              </w:rPr>
            </w:pPr>
            <w:r>
              <w:rPr>
                <w:rFonts w:hint="eastAsia" w:cs="Times New Roman"/>
                <w:snapToGrid w:val="0"/>
                <w:color w:val="auto"/>
                <w:spacing w:val="4"/>
                <w:kern w:val="0"/>
                <w:sz w:val="21"/>
                <w:szCs w:val="21"/>
                <w:lang w:val="en-US" w:eastAsia="zh-CN" w:bidi="ar-SA"/>
              </w:rPr>
              <w:t>有防噪措施</w:t>
            </w:r>
          </w:p>
        </w:tc>
        <w:tc>
          <w:tcPr>
            <w:tcW w:w="52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eastAsia" w:cs="Times New Roman"/>
                <w:snapToGrid w:val="0"/>
                <w:color w:val="auto"/>
                <w:kern w:val="0"/>
                <w:sz w:val="21"/>
                <w:szCs w:val="21"/>
                <w:lang w:val="en-US" w:eastAsia="zh-CN" w:bidi="ar-SA"/>
              </w:rPr>
            </w:pPr>
            <w:r>
              <w:rPr>
                <w:rFonts w:hint="eastAsia" w:cs="Times New Roman"/>
                <w:snapToGrid w:val="0"/>
                <w:color w:val="auto"/>
                <w:spacing w:val="3"/>
                <w:kern w:val="0"/>
                <w:sz w:val="21"/>
                <w:szCs w:val="21"/>
                <w:lang w:val="en-US" w:eastAsia="zh-CN" w:bidi="ar-SA"/>
              </w:rPr>
              <w:t>满足要求</w:t>
            </w:r>
          </w:p>
        </w:tc>
      </w:tr>
    </w:tbl>
    <w:p>
      <w:pPr>
        <w:bidi w:val="0"/>
        <w:rPr>
          <w:rFonts w:hint="default"/>
          <w:color w:val="auto"/>
          <w:lang w:val="en-US" w:eastAsia="zh-CN"/>
        </w:rPr>
      </w:pPr>
      <w:r>
        <w:rPr>
          <w:rFonts w:hint="default"/>
          <w:color w:val="auto"/>
          <w:lang w:val="en-US" w:eastAsia="zh-CN"/>
        </w:rPr>
        <w:t>本子单元对该项目辅助设施子单元进行检查，检查</w:t>
      </w:r>
      <w:r>
        <w:rPr>
          <w:rFonts w:hint="eastAsia"/>
          <w:color w:val="auto"/>
          <w:lang w:val="en-US" w:eastAsia="zh-CN"/>
        </w:rPr>
        <w:t>7</w:t>
      </w:r>
      <w:r>
        <w:rPr>
          <w:rFonts w:hint="default"/>
          <w:color w:val="auto"/>
          <w:lang w:val="en-US" w:eastAsia="zh-CN"/>
        </w:rPr>
        <w:t>项，</w:t>
      </w:r>
      <w:r>
        <w:rPr>
          <w:rFonts w:hint="eastAsia"/>
          <w:color w:val="auto"/>
          <w:lang w:val="en-US" w:eastAsia="zh-CN"/>
        </w:rPr>
        <w:t>3</w:t>
      </w:r>
      <w:r>
        <w:rPr>
          <w:rFonts w:hint="default"/>
          <w:color w:val="auto"/>
          <w:lang w:val="en-US" w:eastAsia="zh-CN"/>
        </w:rPr>
        <w:t>项满足要求，</w:t>
      </w:r>
      <w:r>
        <w:rPr>
          <w:rFonts w:hint="eastAsia"/>
          <w:color w:val="auto"/>
          <w:lang w:val="en-US" w:eastAsia="zh-CN"/>
        </w:rPr>
        <w:t>4</w:t>
      </w:r>
      <w:r>
        <w:rPr>
          <w:rFonts w:hint="default"/>
          <w:color w:val="auto"/>
          <w:lang w:val="en-US" w:eastAsia="zh-CN"/>
        </w:rPr>
        <w:t>项</w:t>
      </w:r>
      <w:r>
        <w:rPr>
          <w:rFonts w:hint="eastAsia"/>
          <w:color w:val="auto"/>
          <w:lang w:val="en-US" w:eastAsia="zh-CN"/>
        </w:rPr>
        <w:t>需下一步设计补充</w:t>
      </w:r>
      <w:r>
        <w:rPr>
          <w:rFonts w:hint="default"/>
          <w:color w:val="auto"/>
          <w:lang w:val="en-US" w:eastAsia="zh-CN"/>
        </w:rPr>
        <w:t>，后续在初步设计和安全设施设计中应予以完善辅助设施部分的设计内容，如矿仓口周围，应设防护栏杆</w:t>
      </w:r>
      <w:r>
        <w:rPr>
          <w:rFonts w:hint="eastAsia"/>
          <w:color w:val="auto"/>
          <w:lang w:val="en-US" w:eastAsia="zh-CN"/>
        </w:rPr>
        <w:t>；胶带输送机应设置防跑偏、防撕裂报警装置；起重机械应装设过卷、超载、极限位置限制器及启动、事故信号装置，并设置安全连锁保护装置；选矿厂的通风情况等</w:t>
      </w:r>
      <w:r>
        <w:rPr>
          <w:rFonts w:hint="default"/>
          <w:color w:val="auto"/>
          <w:lang w:val="en-US" w:eastAsia="zh-CN"/>
        </w:rPr>
        <w:t>。</w:t>
      </w:r>
      <w:r>
        <w:rPr>
          <w:rFonts w:hint="eastAsia"/>
          <w:color w:val="auto"/>
          <w:lang w:val="en-US" w:eastAsia="zh-CN"/>
        </w:rPr>
        <w:t>本项目的除尘系统流程设计不太合理，收集到的灰尘中也有不少的资源，不应直接外排，应进行重复利用。</w:t>
      </w:r>
    </w:p>
    <w:p>
      <w:pPr>
        <w:pStyle w:val="4"/>
        <w:bidi w:val="0"/>
        <w:rPr>
          <w:rFonts w:hint="default"/>
          <w:color w:val="auto"/>
          <w:lang w:val="en-US" w:eastAsia="zh-CN"/>
        </w:rPr>
      </w:pPr>
      <w:bookmarkStart w:id="276" w:name="_Toc3472"/>
      <w:bookmarkStart w:id="277" w:name="_Toc24099"/>
      <w:r>
        <w:rPr>
          <w:rFonts w:hint="eastAsia"/>
          <w:color w:val="auto"/>
          <w:lang w:val="en-US" w:eastAsia="zh-CN"/>
        </w:rPr>
        <w:t xml:space="preserve">5.4.5 </w:t>
      </w:r>
      <w:r>
        <w:rPr>
          <w:rFonts w:hint="default"/>
          <w:color w:val="auto"/>
          <w:lang w:val="en-US" w:eastAsia="zh-CN"/>
        </w:rPr>
        <w:t>单元评价小结</w:t>
      </w:r>
      <w:bookmarkEnd w:id="276"/>
      <w:bookmarkEnd w:id="277"/>
    </w:p>
    <w:p>
      <w:pPr>
        <w:rPr>
          <w:rFonts w:hint="default"/>
          <w:color w:val="auto"/>
          <w:lang w:val="en-US" w:eastAsia="zh-CN"/>
        </w:rPr>
      </w:pPr>
      <w:r>
        <w:rPr>
          <w:rFonts w:hint="default"/>
          <w:color w:val="auto"/>
          <w:lang w:val="en-US" w:eastAsia="zh-CN"/>
        </w:rPr>
        <w:t>通过对公辅设施进行了</w:t>
      </w:r>
      <w:r>
        <w:rPr>
          <w:rFonts w:hint="eastAsia"/>
          <w:color w:val="auto"/>
          <w:lang w:val="en-US" w:eastAsia="zh-CN"/>
        </w:rPr>
        <w:t>44</w:t>
      </w:r>
      <w:r>
        <w:rPr>
          <w:rFonts w:hint="default"/>
          <w:color w:val="auto"/>
          <w:lang w:val="en-US" w:eastAsia="zh-CN"/>
        </w:rPr>
        <w:t>项检查，</w:t>
      </w:r>
      <w:r>
        <w:rPr>
          <w:rFonts w:hint="eastAsia"/>
          <w:color w:val="auto"/>
          <w:lang w:val="en-US" w:eastAsia="zh-CN"/>
        </w:rPr>
        <w:t>25</w:t>
      </w:r>
      <w:r>
        <w:rPr>
          <w:rFonts w:hint="default"/>
          <w:color w:val="auto"/>
          <w:lang w:val="en-US" w:eastAsia="zh-CN"/>
        </w:rPr>
        <w:t>项满足要求，</w:t>
      </w:r>
      <w:r>
        <w:rPr>
          <w:rFonts w:hint="eastAsia"/>
          <w:color w:val="auto"/>
          <w:lang w:val="en-US" w:eastAsia="zh-CN"/>
        </w:rPr>
        <w:t>19</w:t>
      </w:r>
      <w:r>
        <w:rPr>
          <w:rFonts w:hint="default"/>
          <w:color w:val="auto"/>
          <w:lang w:val="en-US" w:eastAsia="zh-CN"/>
        </w:rPr>
        <w:t>项</w:t>
      </w:r>
      <w:r>
        <w:rPr>
          <w:rFonts w:hint="eastAsia"/>
          <w:color w:val="auto"/>
          <w:lang w:val="en-US" w:eastAsia="zh-CN"/>
        </w:rPr>
        <w:t>需下一步设计补充。可研报告对于道路及运输部分只提及了道路的宽度、材料和最小转弯半径，后续初步设计和安全设施设计应根据《工业企业总平面设计规范》、《厂矿道路设计规范》对道路及运输部分进行详细设计并对附图进行完善。给排水及消防设施部分，应完善场地雨水排水设计流量计算；矩形排水明沟的尺寸；截、排水沟的布置；安全出口的布置等。</w:t>
      </w:r>
      <w:r>
        <w:rPr>
          <w:rFonts w:hint="eastAsia" w:cs="Times New Roman"/>
          <w:snapToGrid w:val="0"/>
          <w:color w:val="auto"/>
          <w:kern w:val="0"/>
          <w:sz w:val="28"/>
          <w:szCs w:val="28"/>
          <w:lang w:val="en-US" w:eastAsia="zh-CN" w:bidi="ar-SA"/>
        </w:rPr>
        <w:t>供配电设施部分基本符合要求，主要是缺少安全遮栏、警示标志等安全防护措施，后续需进行补充。辅助设施部分，需对选矿厂的通风情况，胶带输送机、起重机械的安全防护装置设置情况，防护栏杆的布置等进行补充</w:t>
      </w:r>
      <w:r>
        <w:rPr>
          <w:rFonts w:hint="default"/>
          <w:color w:val="auto"/>
          <w:sz w:val="28"/>
          <w:szCs w:val="28"/>
          <w:lang w:val="en-US" w:eastAsia="zh-CN"/>
        </w:rPr>
        <w:t>。</w:t>
      </w:r>
    </w:p>
    <w:p>
      <w:pPr>
        <w:rPr>
          <w:rFonts w:hint="default"/>
          <w:color w:val="auto"/>
          <w:lang w:val="en-US" w:eastAsia="zh-CN"/>
        </w:rPr>
      </w:pPr>
      <w:r>
        <w:rPr>
          <w:rFonts w:hint="eastAsia"/>
          <w:color w:val="auto"/>
          <w:lang w:val="en-US" w:eastAsia="zh-CN"/>
        </w:rPr>
        <w:t>上述问题</w:t>
      </w:r>
      <w:r>
        <w:rPr>
          <w:rFonts w:hint="default"/>
          <w:color w:val="auto"/>
          <w:lang w:val="en-US" w:eastAsia="zh-CN"/>
        </w:rPr>
        <w:t>均可在后续</w:t>
      </w:r>
      <w:r>
        <w:rPr>
          <w:rFonts w:hint="eastAsia"/>
          <w:color w:val="auto"/>
          <w:lang w:val="en-US" w:eastAsia="zh-CN"/>
        </w:rPr>
        <w:t>初步设计和安全设施设计以及</w:t>
      </w:r>
      <w:r>
        <w:rPr>
          <w:rFonts w:hint="default"/>
          <w:color w:val="auto"/>
          <w:lang w:val="en-US" w:eastAsia="zh-CN"/>
        </w:rPr>
        <w:t>工程实施过程中予以解决，风险可控</w:t>
      </w:r>
      <w:r>
        <w:rPr>
          <w:rFonts w:hint="eastAsia"/>
          <w:color w:val="auto"/>
          <w:lang w:val="en-US" w:eastAsia="zh-CN"/>
        </w:rPr>
        <w:t>。</w:t>
      </w:r>
      <w:r>
        <w:rPr>
          <w:rFonts w:hint="default"/>
          <w:color w:val="auto"/>
          <w:lang w:val="en-US" w:eastAsia="zh-CN"/>
        </w:rPr>
        <w:br w:type="page"/>
      </w:r>
    </w:p>
    <w:p>
      <w:pPr>
        <w:pStyle w:val="2"/>
        <w:numPr>
          <w:ilvl w:val="0"/>
          <w:numId w:val="1"/>
        </w:numPr>
        <w:bidi w:val="0"/>
        <w:rPr>
          <w:rFonts w:hint="default" w:ascii="Times New Roman" w:hAnsi="Times New Roman" w:cs="Times New Roman"/>
          <w:color w:val="auto"/>
          <w:lang w:val="en-US" w:eastAsia="zh-CN"/>
        </w:rPr>
      </w:pPr>
      <w:bookmarkStart w:id="278" w:name="_Toc9899"/>
      <w:bookmarkStart w:id="279" w:name="_Toc28927"/>
      <w:bookmarkStart w:id="280" w:name="_Toc5884"/>
      <w:r>
        <w:rPr>
          <w:rFonts w:hint="default" w:ascii="Times New Roman" w:hAnsi="Times New Roman" w:cs="Times New Roman"/>
          <w:color w:val="auto"/>
          <w:lang w:val="en-US" w:eastAsia="zh-CN"/>
        </w:rPr>
        <w:t>安全对策措施建议</w:t>
      </w:r>
      <w:bookmarkEnd w:id="278"/>
      <w:bookmarkEnd w:id="279"/>
      <w:bookmarkEnd w:id="280"/>
    </w:p>
    <w:p>
      <w:pPr>
        <w:rPr>
          <w:rFonts w:hint="default"/>
          <w:color w:val="auto"/>
          <w:lang w:val="en-US" w:eastAsia="zh-CN"/>
        </w:rPr>
      </w:pPr>
      <w:r>
        <w:rPr>
          <w:rFonts w:hint="default"/>
          <w:color w:val="auto"/>
          <w:lang w:val="en-US" w:eastAsia="zh-CN"/>
        </w:rPr>
        <w:t>为了加强对危险、有害因素的监控，减少危险、有害因素的危害，提高该项目的安全水平，预防项目投产后各种人身、设备事故的发生，建议该项目建设单位采取行之有效的安全对策措施。评价组依据有关的法规、标准和该项目的可研，基于可研提出的问题，结合本次预评价的情况，对该项目提出建议补充完善的安全对策措施，供该项目设计、施工、监理和业主单位参考。</w:t>
      </w:r>
    </w:p>
    <w:p>
      <w:pPr>
        <w:keepNext/>
        <w:keepLines/>
        <w:widowControl w:val="0"/>
        <w:bidi w:val="0"/>
        <w:spacing w:beforeAutospacing="0" w:afterAutospacing="0" w:line="360" w:lineRule="auto"/>
        <w:ind w:left="280" w:leftChars="100" w:firstLine="0" w:firstLineChars="0"/>
        <w:jc w:val="both"/>
        <w:outlineLvl w:val="1"/>
        <w:rPr>
          <w:rFonts w:ascii="Times New Roman" w:hAnsi="Times New Roman" w:eastAsia="黑体" w:cs="Times New Roman"/>
          <w:b/>
          <w:color w:val="auto"/>
          <w:kern w:val="2"/>
          <w:sz w:val="30"/>
          <w:szCs w:val="24"/>
          <w:lang w:val="en-US" w:eastAsia="zh-CN" w:bidi="ar-SA"/>
        </w:rPr>
      </w:pPr>
      <w:bookmarkStart w:id="281" w:name="_Toc11746"/>
      <w:bookmarkStart w:id="282" w:name="_Toc29752"/>
      <w:bookmarkStart w:id="283" w:name="_Toc13472"/>
      <w:bookmarkStart w:id="284" w:name="_Toc17620"/>
      <w:r>
        <w:rPr>
          <w:rFonts w:ascii="Times New Roman" w:hAnsi="Times New Roman" w:eastAsia="黑体" w:cs="Times New Roman"/>
          <w:b/>
          <w:color w:val="auto"/>
          <w:kern w:val="2"/>
          <w:sz w:val="30"/>
          <w:szCs w:val="24"/>
          <w:lang w:val="en-US" w:eastAsia="zh-CN" w:bidi="ar-SA"/>
        </w:rPr>
        <w:t>6.1 基本安全对策措施</w:t>
      </w:r>
      <w:bookmarkEnd w:id="281"/>
      <w:bookmarkEnd w:id="282"/>
      <w:bookmarkEnd w:id="283"/>
      <w:bookmarkEnd w:id="284"/>
    </w:p>
    <w:p>
      <w:pPr>
        <w:keepNext/>
        <w:keepLines/>
        <w:widowControl w:val="0"/>
        <w:bidi w:val="0"/>
        <w:spacing w:beforeAutospacing="0" w:afterAutospacing="0" w:line="360" w:lineRule="auto"/>
        <w:ind w:left="560" w:leftChars="200" w:firstLine="0" w:firstLineChars="0"/>
        <w:jc w:val="both"/>
        <w:outlineLvl w:val="2"/>
        <w:rPr>
          <w:rFonts w:ascii="Times New Roman" w:hAnsi="Times New Roman" w:eastAsia="黑体" w:cs="Times New Roman"/>
          <w:b/>
          <w:color w:val="auto"/>
          <w:kern w:val="2"/>
          <w:sz w:val="28"/>
          <w:szCs w:val="24"/>
          <w:lang w:val="en-US" w:eastAsia="zh-CN" w:bidi="ar-SA"/>
        </w:rPr>
      </w:pPr>
      <w:bookmarkStart w:id="285" w:name="_Toc11936"/>
      <w:bookmarkStart w:id="286" w:name="_Toc29267"/>
      <w:bookmarkStart w:id="287" w:name="_Toc11394"/>
      <w:bookmarkStart w:id="288" w:name="_Toc29714"/>
      <w:r>
        <w:rPr>
          <w:rFonts w:ascii="Times New Roman" w:hAnsi="Times New Roman" w:eastAsia="黑体" w:cs="Times New Roman"/>
          <w:b/>
          <w:color w:val="auto"/>
          <w:kern w:val="2"/>
          <w:sz w:val="28"/>
          <w:szCs w:val="24"/>
          <w:lang w:val="en-US" w:eastAsia="zh-CN" w:bidi="ar-SA"/>
        </w:rPr>
        <w:t>6.1.1 安全防护用品</w:t>
      </w:r>
      <w:bookmarkEnd w:id="285"/>
      <w:bookmarkEnd w:id="286"/>
      <w:bookmarkEnd w:id="287"/>
      <w:bookmarkEnd w:id="288"/>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现场作业人员均应配置安全帽、反光背心或反光工作服、雨衣、橡胶雨靴、防滑鞋、帆布手套等基本劳动防护用品，并应按有效使用时间定期更换。</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机动车驾驶员和机械操作工，应配棉纱手套。</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3</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钢筋工、搬运工宜配过胶防滑棉纱手套。</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4</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电气焊工应配皮质电焊手套，电焊作业应配焊接面罩，气焊作业应配焊接防护眼镜。</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5</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混凝土工在进行振捣作业时，应配带防噪音耳塞；在进行混凝土凿</w:t>
      </w:r>
    </w:p>
    <w:p>
      <w:pPr>
        <w:ind w:left="0" w:firstLine="0" w:firstLineChars="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毛或修饰作业时，应佩戴防尘口罩。</w:t>
      </w:r>
    </w:p>
    <w:p>
      <w:pPr>
        <w:bidi w:val="0"/>
        <w:rPr>
          <w:rFonts w:hint="default"/>
          <w:color w:val="auto"/>
          <w:lang w:val="en-US" w:eastAsia="zh-CN"/>
        </w:rPr>
      </w:pPr>
      <w:r>
        <w:rPr>
          <w:rFonts w:hint="eastAsia"/>
          <w:color w:val="auto"/>
          <w:lang w:val="en-US" w:eastAsia="zh-CN"/>
        </w:rPr>
        <w:t>6. 破碎、筛分、磨矿等设备在后续工作过程中会产生噪声和粉尘，在此部位工作的员工应配带防噪音耳塞和</w:t>
      </w:r>
      <w:r>
        <w:rPr>
          <w:rFonts w:ascii="Times New Roman" w:hAnsi="Times New Roman" w:eastAsia="宋体" w:cs="Times New Roman"/>
          <w:color w:val="auto"/>
          <w:lang w:val="en-US" w:eastAsia="zh-CN"/>
        </w:rPr>
        <w:t>防尘口罩</w:t>
      </w:r>
      <w:r>
        <w:rPr>
          <w:rFonts w:hint="eastAsia" w:cs="Times New Roman"/>
          <w:color w:val="auto"/>
          <w:lang w:val="en-US" w:eastAsia="zh-CN"/>
        </w:rPr>
        <w:t>。</w:t>
      </w:r>
    </w:p>
    <w:p>
      <w:pPr>
        <w:ind w:firstLine="200"/>
        <w:rPr>
          <w:rFonts w:ascii="Times New Roman" w:hAnsi="Times New Roman" w:eastAsia="宋体" w:cs="Times New Roman"/>
          <w:color w:val="auto"/>
          <w:lang w:val="en-US" w:eastAsia="zh-CN"/>
        </w:rPr>
      </w:pPr>
      <w:r>
        <w:rPr>
          <w:rFonts w:hint="eastAsia" w:cs="Times New Roman"/>
          <w:color w:val="auto"/>
          <w:lang w:val="en-US" w:eastAsia="zh-CN"/>
        </w:rPr>
        <w:t>7</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电工必须配置电绝缘鞋。</w:t>
      </w:r>
    </w:p>
    <w:p>
      <w:pPr>
        <w:ind w:firstLine="200"/>
        <w:rPr>
          <w:rFonts w:ascii="Times New Roman" w:hAnsi="Times New Roman" w:eastAsia="宋体" w:cs="Times New Roman"/>
          <w:color w:val="auto"/>
          <w:lang w:val="en-US" w:eastAsia="zh-CN"/>
        </w:rPr>
      </w:pPr>
      <w:r>
        <w:rPr>
          <w:rFonts w:hint="eastAsia" w:cs="Times New Roman"/>
          <w:color w:val="auto"/>
          <w:lang w:val="en-US" w:eastAsia="zh-CN"/>
        </w:rPr>
        <w:t>8</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高处临边作业的人员，必须按规定穿戴安全带。</w:t>
      </w:r>
    </w:p>
    <w:p>
      <w:pPr>
        <w:ind w:firstLine="200"/>
        <w:rPr>
          <w:rFonts w:ascii="Times New Roman" w:hAnsi="Times New Roman" w:eastAsia="宋体" w:cs="Times New Roman"/>
          <w:color w:val="auto"/>
          <w:lang w:val="en-US" w:eastAsia="zh-CN"/>
        </w:rPr>
      </w:pPr>
      <w:r>
        <w:rPr>
          <w:rFonts w:hint="eastAsia" w:cs="Times New Roman"/>
          <w:color w:val="auto"/>
          <w:lang w:val="en-US" w:eastAsia="zh-CN"/>
        </w:rPr>
        <w:t>9</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高处作业现场临边和登高爬梯外侧必须满挂密目式安全网，高处和</w:t>
      </w:r>
    </w:p>
    <w:p>
      <w:pPr>
        <w:ind w:left="0" w:firstLine="0" w:firstLineChars="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悬空作业应按行业规定或设计要求张挂安全网。</w:t>
      </w:r>
    </w:p>
    <w:p>
      <w:pPr>
        <w:ind w:firstLine="200"/>
        <w:rPr>
          <w:rFonts w:ascii="Times New Roman" w:hAnsi="Times New Roman" w:eastAsia="宋体" w:cs="Times New Roman"/>
          <w:color w:val="auto"/>
          <w:lang w:val="en-US" w:eastAsia="zh-CN"/>
        </w:rPr>
      </w:pPr>
      <w:r>
        <w:rPr>
          <w:rFonts w:hint="eastAsia" w:cs="Times New Roman"/>
          <w:color w:val="auto"/>
          <w:lang w:val="en-US" w:eastAsia="zh-CN"/>
        </w:rPr>
        <w:t>10</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工人在作业时要按照规范要求佩戴好个人防护用品，破损丢失的要及时上报。</w:t>
      </w:r>
    </w:p>
    <w:p>
      <w:pPr>
        <w:keepNext/>
        <w:keepLines/>
        <w:widowControl w:val="0"/>
        <w:bidi w:val="0"/>
        <w:spacing w:beforeAutospacing="0" w:afterAutospacing="0" w:line="360" w:lineRule="auto"/>
        <w:ind w:left="560" w:leftChars="200" w:firstLine="0" w:firstLineChars="0"/>
        <w:jc w:val="both"/>
        <w:outlineLvl w:val="2"/>
        <w:rPr>
          <w:rFonts w:ascii="Times New Roman" w:hAnsi="Times New Roman" w:eastAsia="黑体" w:cs="Times New Roman"/>
          <w:b/>
          <w:color w:val="auto"/>
          <w:kern w:val="2"/>
          <w:sz w:val="28"/>
          <w:szCs w:val="24"/>
          <w:lang w:val="en-US" w:eastAsia="zh-CN" w:bidi="ar-SA"/>
        </w:rPr>
      </w:pPr>
      <w:bookmarkStart w:id="289" w:name="_Toc19726"/>
      <w:bookmarkStart w:id="290" w:name="_Toc13637"/>
      <w:bookmarkStart w:id="291" w:name="_Toc32584"/>
      <w:bookmarkStart w:id="292" w:name="_Toc23015"/>
      <w:r>
        <w:rPr>
          <w:rFonts w:ascii="Times New Roman" w:hAnsi="Times New Roman" w:eastAsia="黑体" w:cs="Times New Roman"/>
          <w:b/>
          <w:color w:val="auto"/>
          <w:kern w:val="2"/>
          <w:sz w:val="28"/>
          <w:szCs w:val="24"/>
          <w:lang w:val="en-US" w:eastAsia="zh-CN" w:bidi="ar-SA"/>
        </w:rPr>
        <w:t>6.1.</w:t>
      </w:r>
      <w:r>
        <w:rPr>
          <w:rFonts w:hint="eastAsia" w:ascii="Times New Roman" w:hAnsi="Times New Roman" w:eastAsia="黑体" w:cs="Times New Roman"/>
          <w:b/>
          <w:color w:val="auto"/>
          <w:kern w:val="2"/>
          <w:sz w:val="28"/>
          <w:szCs w:val="24"/>
          <w:lang w:val="en-US" w:eastAsia="zh-CN" w:bidi="ar-SA"/>
        </w:rPr>
        <w:t>2</w:t>
      </w:r>
      <w:r>
        <w:rPr>
          <w:rFonts w:ascii="Times New Roman" w:hAnsi="Times New Roman" w:eastAsia="黑体" w:cs="Times New Roman"/>
          <w:b/>
          <w:color w:val="auto"/>
          <w:kern w:val="2"/>
          <w:sz w:val="28"/>
          <w:szCs w:val="24"/>
          <w:lang w:val="en-US" w:eastAsia="zh-CN" w:bidi="ar-SA"/>
        </w:rPr>
        <w:t xml:space="preserve"> 机械设备</w:t>
      </w:r>
      <w:bookmarkEnd w:id="289"/>
      <w:bookmarkEnd w:id="290"/>
      <w:bookmarkEnd w:id="291"/>
      <w:bookmarkEnd w:id="292"/>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基本规定</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1）机械设备管理部门应督促各种机械操作人员认真学习本规程。凡违反规程的，机械设备管理部门有权制止，待改进后，方可继续操作。新机型到达后没有安全技术操作规程的，机械设备管理部门必须根据说明书的要求，先制定出安全技术操作规程及注意事项后，方可投入使用。</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2）机械设备的操作人员必须经过单位专门培训，熟悉本机械的构造、原理、性能及安全技术要求，做到会使用、会保养、会检查、会排除故障；经培训、考试合格并取得正规的《机械操作合格证》；一切轮式机械操作人员必须取得具有资格的部门办理的驾驶执照和操作证后，方可单独作业。属于特殊工种的机械操作证，由政府劳动部门发放</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安全技术操作证</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3）《安全技术操作证》的办理程序：项目部选拔品学兼优人员，聘请相关人员讲课，组织培训；经有资格的主管部门考核、考试合格；发放相应资格的安全技术操作证。</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4）操作人员必须身体健康，凡酒后、患病和精神受到严重刺激不能正常工作的机上人员，不允许驾驶和操作机械，非机械操作人员不得操作机械。驾驶人员只能驾驶本人驾驶证上准驾范围的机动车辆。</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5）学员必须了解、掌握操作方法和保养规程，并经技术部门同意、单位领导批准后，在师傅的指导下驾驶或操作机械设备。</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机械设备操作使用安全要点</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1）操作人员必须严格遵守机械设备的有关保养规定，认真及时地作好各级保养。正确操作，合理使用，严禁违章作业。经常保持机械处于完好状态。</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2）操作人员在工作过程中应注意观察或巡视机械工况，精力要集中，不得吸烟、吃食物，或与他人谈笑打闹、看书报以及做其它无关的工作，机械运转中不得擅自离开岗位。</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3）严格执行交接班制度。认真填写交接班记录、作好例保、</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十字作业</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。交接清楚后，接班的人应检查移交的运转、维修、油耗等记录及设备情况，并开空车试运转，确认妥善无误后方能进行工作。</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4）严格执行机械巡回检查制度和机械设备启动前、运转中的安全注意事项。</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5）机械设备不得带病运转，运转中严禁进行维修、保养、润滑、紧固等作业；运转中发现不正常时，应先停机后检查。</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6）机械设备在使用中不得超载作业或随意扩大使用范围，应严格按照机械使用说明书的规定承载，按规定的使用条件使用。</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7）新购入、调入、大修竣工出厂经过拆装、转移的机械设备，在投入使用前，必须按照机械设备技术试验规程和有关规定进行检查、鉴定和试运转，以防机械设备早期磨损。</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8）自制的机械和电气设备，使用前必须进行技术鉴定，由项目部自检验收后，有必要时还要取得国家技术监督、计量等部门的验证，合格后方可使用。</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9）所有电器设备都应按《电力设备接地设计技术规程》的规定，做好良好的接地或接零，加装漏电保安器。</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10）机械设备使用的润滑油、脂，应符合说明书中规定的种类和牌号。</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11）夜间作业时，应保证照明完好，且有现场指挥人员。</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12）发动机起动后应进行预热运转，待机油压力、水温、机油温度、液压系统压力、制动系统压力正常后方能带负荷运转。</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13）注意防寒、防冻工作，严格换季保养，进入冬季前备好防冻、防滑设备。机械采取防冻措施后要悬挂标志。</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14）注意做好机械设备的防雨、防火、防洪和防汛工作，要采取措施防止机电设备及电线路因洪水、风灾、石方爆破、山体滑坡、泥石流等造成的损害。</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3</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机械设备安全装置安全要点</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1）各种安全防护装置，照明、信号、监视仪表、警戒标记等不准随意拆除或移作它用。</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2）机械设备设有安全保护装置（如安全阀、力矩限制器、熔断器、限位器、警报器）及安全指示装置（如锅炉水位表、压力表、电流表、水温表、油温表等）的都必须定期按有关规定，检查、调整，如发现有动作不准等异常情况，严禁继续使用，应停机修理。要坚持定期年检和自检制度。</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3）暴露于机体外部的运动机构、部件或高温、高压带电等有可能伤人的部分，应装设防护罩等安全设施。</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4）电站、发电机房、变压器、搅拌站及处于雷击区的机械场所，都要装设雷击保护措施，防雷保护设施应符合《电力设备过电压保护设计技术规程》的要求，并定期进行检查防雷设施。</w:t>
      </w:r>
    </w:p>
    <w:p>
      <w:pPr>
        <w:keepNext/>
        <w:keepLines/>
        <w:widowControl w:val="0"/>
        <w:bidi w:val="0"/>
        <w:spacing w:beforeAutospacing="0" w:afterAutospacing="0" w:line="360" w:lineRule="auto"/>
        <w:ind w:left="560" w:leftChars="200" w:firstLine="0" w:firstLineChars="0"/>
        <w:jc w:val="both"/>
        <w:outlineLvl w:val="2"/>
        <w:rPr>
          <w:rFonts w:ascii="Times New Roman" w:hAnsi="Times New Roman" w:eastAsia="黑体" w:cs="Times New Roman"/>
          <w:b/>
          <w:color w:val="auto"/>
          <w:kern w:val="2"/>
          <w:sz w:val="28"/>
          <w:szCs w:val="24"/>
          <w:lang w:val="en-US" w:eastAsia="zh-CN" w:bidi="ar-SA"/>
        </w:rPr>
      </w:pPr>
      <w:bookmarkStart w:id="293" w:name="_Toc12888"/>
      <w:bookmarkStart w:id="294" w:name="_Toc27415"/>
      <w:bookmarkStart w:id="295" w:name="_Toc8102"/>
      <w:bookmarkStart w:id="296" w:name="_Toc4934"/>
      <w:r>
        <w:rPr>
          <w:rFonts w:ascii="Times New Roman" w:hAnsi="Times New Roman" w:eastAsia="黑体" w:cs="Times New Roman"/>
          <w:b/>
          <w:color w:val="auto"/>
          <w:kern w:val="2"/>
          <w:sz w:val="28"/>
          <w:szCs w:val="24"/>
          <w:lang w:val="en-US" w:eastAsia="zh-CN" w:bidi="ar-SA"/>
        </w:rPr>
        <w:t>6.1.</w:t>
      </w:r>
      <w:r>
        <w:rPr>
          <w:rFonts w:hint="eastAsia" w:ascii="Times New Roman" w:hAnsi="Times New Roman" w:eastAsia="黑体" w:cs="Times New Roman"/>
          <w:b/>
          <w:color w:val="auto"/>
          <w:kern w:val="2"/>
          <w:sz w:val="28"/>
          <w:szCs w:val="24"/>
          <w:lang w:val="en-US" w:eastAsia="zh-CN" w:bidi="ar-SA"/>
        </w:rPr>
        <w:t>3</w:t>
      </w:r>
      <w:r>
        <w:rPr>
          <w:rFonts w:ascii="Times New Roman" w:hAnsi="Times New Roman" w:eastAsia="黑体" w:cs="Times New Roman"/>
          <w:b/>
          <w:color w:val="auto"/>
          <w:kern w:val="2"/>
          <w:sz w:val="28"/>
          <w:szCs w:val="24"/>
          <w:lang w:val="en-US" w:eastAsia="zh-CN" w:bidi="ar-SA"/>
        </w:rPr>
        <w:t xml:space="preserve"> 现场消防</w:t>
      </w:r>
      <w:bookmarkEnd w:id="293"/>
      <w:bookmarkEnd w:id="294"/>
      <w:bookmarkEnd w:id="295"/>
      <w:bookmarkEnd w:id="296"/>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安全疏散设施</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1）办公及生活区安全疏散设施的设置应符合《建筑设计防火规范》（GB50016）的要求，施工现场通道应保持通畅。</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2）办公及生活区临边疏散楼梯、走道应设置防护栏杆。</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3）疏散楼梯间、室内走道以及会议室、员工活动室、发电机房等部位应设应急照明；应急照明连续供电时间不少于</w:t>
      </w:r>
      <w:r>
        <w:rPr>
          <w:rFonts w:hint="eastAsia" w:ascii="Times New Roman" w:hAnsi="Times New Roman" w:eastAsia="宋体" w:cs="Times New Roman"/>
          <w:color w:val="auto"/>
          <w:lang w:val="en-US" w:eastAsia="zh-CN"/>
        </w:rPr>
        <w:t>20</w:t>
      </w:r>
      <w:r>
        <w:rPr>
          <w:rFonts w:ascii="Times New Roman" w:hAnsi="Times New Roman" w:eastAsia="宋体" w:cs="Times New Roman"/>
          <w:color w:val="auto"/>
          <w:lang w:val="en-US" w:eastAsia="zh-CN"/>
        </w:rPr>
        <w:t>分钟，最低照度不应低于0.5LX。</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消防设施配置</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1）办公、生活区及施工现场配置消防设施应符合《建筑设计防火规范》和《建筑灭火器配置设计规范》的要求。</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2）施工现场有关场所火灾类别、危险等级、灭火器最大保护面积、最大保护距离。</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3）一个计算单元内配置的灭火器数量不得少于</w:t>
      </w:r>
      <w:r>
        <w:rPr>
          <w:rFonts w:hint="eastAsia" w:ascii="Times New Roman" w:hAnsi="Times New Roman" w:eastAsia="宋体" w:cs="Times New Roman"/>
          <w:color w:val="auto"/>
          <w:lang w:val="en-US" w:eastAsia="zh-CN"/>
        </w:rPr>
        <w:t>2</w:t>
      </w:r>
      <w:r>
        <w:rPr>
          <w:rFonts w:ascii="Times New Roman" w:hAnsi="Times New Roman" w:eastAsia="宋体" w:cs="Times New Roman"/>
          <w:color w:val="auto"/>
          <w:lang w:val="en-US" w:eastAsia="zh-CN"/>
        </w:rPr>
        <w:t>具；每个设置点的灭火器数量不宜多于</w:t>
      </w:r>
      <w:r>
        <w:rPr>
          <w:rFonts w:hint="eastAsia" w:ascii="Times New Roman" w:hAnsi="Times New Roman" w:eastAsia="宋体" w:cs="Times New Roman"/>
          <w:color w:val="auto"/>
          <w:lang w:val="en-US" w:eastAsia="zh-CN"/>
        </w:rPr>
        <w:t>5</w:t>
      </w:r>
      <w:r>
        <w:rPr>
          <w:rFonts w:ascii="Times New Roman" w:hAnsi="Times New Roman" w:eastAsia="宋体" w:cs="Times New Roman"/>
          <w:color w:val="auto"/>
          <w:lang w:val="en-US" w:eastAsia="zh-CN"/>
        </w:rPr>
        <w:t>具。</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4）灭火器应设置在位置明显和便于取用的地点，且不得影响安全疏散，摆放应稳固，其铭牌应朝外。手提式灭火器宜摆放在灭火器箱内或挂钩、托架上，其顶部离地面高度不应大于1.50m；底部离地面高度不宜小于0.08m。</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5）用可燃材料搭建的办公及生活用房、人员密集的员工宿舍、建筑面积大于100m</w:t>
      </w:r>
      <w:r>
        <w:rPr>
          <w:rFonts w:ascii="Times New Roman" w:hAnsi="Times New Roman" w:eastAsia="宋体" w:cs="Times New Roman"/>
          <w:color w:val="auto"/>
          <w:vertAlign w:val="superscript"/>
          <w:lang w:val="en-US" w:eastAsia="zh-CN"/>
        </w:rPr>
        <w:t>2</w:t>
      </w:r>
      <w:r>
        <w:rPr>
          <w:rFonts w:ascii="Times New Roman" w:hAnsi="Times New Roman" w:eastAsia="宋体" w:cs="Times New Roman"/>
          <w:color w:val="auto"/>
          <w:lang w:val="en-US" w:eastAsia="zh-CN"/>
        </w:rPr>
        <w:t>的仓库及木工车间的适合用水扑救的场所，宜设置可在自来水供水管路上使用的消防软管卷盘或轻便消防水龙（符合《建规》规定应设消火栓的场所按其规定设置）。</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3</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消防安全标志</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1）消防安全标志的设置应符合《消防安全标志》（GB13495）、《消防安全标志设置要求》（GB15630）的规定。</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2）消防安全标志应设置在显眼处，使大多数观察者的观察角接近90</w:t>
      </w:r>
      <w:r>
        <w:rPr>
          <w:rFonts w:hint="eastAsia" w:ascii="宋体" w:hAnsi="Times New Roman" w:eastAsia="宋体" w:cs="宋体"/>
          <w:color w:val="auto"/>
          <w:lang w:val="en-US" w:eastAsia="zh-CN"/>
        </w:rPr>
        <w:t>°</w:t>
      </w:r>
      <w:r>
        <w:rPr>
          <w:rFonts w:ascii="Times New Roman" w:hAnsi="Times New Roman" w:eastAsia="宋体" w:cs="Times New Roman"/>
          <w:color w:val="auto"/>
          <w:lang w:val="en-US" w:eastAsia="zh-CN"/>
        </w:rPr>
        <w:t>,尺寸大小一般为25×30cm、20×32cm；设置时，应避免出现标志内容相互矛盾、重复的现象，尽量用最少的标志表达必须的信息。</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3）施工现场和临时设施区域应按规定设有消防通道，宽度不得小于3.5m，必须经常保持通道畅通。</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4）施工现场不准在高压电线下面搭设临时设施，堆放易燃材料和进行明火作业。</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5）施工现场应明确区分用火作业、易燃、易爆材料堆场仓库，易燃废品集中堆放点应设在逆风向并保持十五米的距离。</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6）施工现场应配备足够的消防器材，木工车间、机具间每二十五平方米配一只灭火器，一般临时设施区域每五十米配一只灭火器，指定专人管理，定期检查，保证完好有效。</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7）工地现场应配备1～2个机动消防水泵。</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8）焊工必须持证上岗，无特种作业人员安全操作证的人员不准进行焊、割作业。</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9）焊割作业点与氧气瓶、乙炔瓶（或乙炔发生器）等危险品的距离不得小于10m，如达不到上述要求的，应报告施工负责人，并采取有效的安全隔离措施。焊接时必须遵守现场施工防火规定，及时清理周围可燃物，施工中由操作引起的火花、熔渣应有控制措施，操作点与可燃物的间隔距离不得小于十米，或用阻燃材料隔成安全屏障。</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10）加强施工现场用电管理，电源线要架空或埋地铺设，禁止电源线拖拉或穿过易燃物，严禁乱拉乱接电线和使用电炉。</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11）施工现场的临时工棚严禁用易燃材料搭建。</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12）施工现场发生火灾应立即拨打</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119</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报警，并组织力量进行抢救。</w:t>
      </w:r>
    </w:p>
    <w:p>
      <w:pPr>
        <w:keepNext/>
        <w:keepLines/>
        <w:widowControl w:val="0"/>
        <w:bidi w:val="0"/>
        <w:spacing w:beforeAutospacing="0" w:afterAutospacing="0" w:line="360" w:lineRule="auto"/>
        <w:ind w:left="560" w:leftChars="200" w:firstLine="0" w:firstLineChars="0"/>
        <w:jc w:val="both"/>
        <w:outlineLvl w:val="2"/>
        <w:rPr>
          <w:rFonts w:ascii="Times New Roman" w:hAnsi="Times New Roman" w:eastAsia="黑体" w:cs="Times New Roman"/>
          <w:b/>
          <w:color w:val="auto"/>
          <w:kern w:val="2"/>
          <w:sz w:val="28"/>
          <w:szCs w:val="24"/>
          <w:lang w:val="en-US" w:eastAsia="zh-CN" w:bidi="ar-SA"/>
        </w:rPr>
      </w:pPr>
      <w:bookmarkStart w:id="297" w:name="_Toc19203"/>
      <w:bookmarkStart w:id="298" w:name="_Toc26600"/>
      <w:bookmarkStart w:id="299" w:name="_Toc10450"/>
      <w:bookmarkStart w:id="300" w:name="_Toc6713"/>
      <w:r>
        <w:rPr>
          <w:rFonts w:ascii="Times New Roman" w:hAnsi="Times New Roman" w:eastAsia="黑体" w:cs="Times New Roman"/>
          <w:b/>
          <w:color w:val="auto"/>
          <w:kern w:val="2"/>
          <w:sz w:val="28"/>
          <w:szCs w:val="24"/>
          <w:lang w:val="en-US" w:eastAsia="zh-CN" w:bidi="ar-SA"/>
        </w:rPr>
        <w:t>6.1.</w:t>
      </w:r>
      <w:r>
        <w:rPr>
          <w:rFonts w:hint="eastAsia" w:ascii="Times New Roman" w:hAnsi="Times New Roman" w:eastAsia="黑体" w:cs="Times New Roman"/>
          <w:b/>
          <w:color w:val="auto"/>
          <w:kern w:val="2"/>
          <w:sz w:val="28"/>
          <w:szCs w:val="24"/>
          <w:lang w:val="en-US" w:eastAsia="zh-CN" w:bidi="ar-SA"/>
        </w:rPr>
        <w:t>4</w:t>
      </w:r>
      <w:r>
        <w:rPr>
          <w:rFonts w:ascii="Times New Roman" w:hAnsi="Times New Roman" w:eastAsia="黑体" w:cs="Times New Roman"/>
          <w:b/>
          <w:color w:val="auto"/>
          <w:kern w:val="2"/>
          <w:sz w:val="28"/>
          <w:szCs w:val="24"/>
          <w:lang w:val="en-US" w:eastAsia="zh-CN" w:bidi="ar-SA"/>
        </w:rPr>
        <w:t xml:space="preserve"> 起重作业</w:t>
      </w:r>
      <w:bookmarkEnd w:id="297"/>
      <w:bookmarkEnd w:id="298"/>
      <w:bookmarkEnd w:id="299"/>
      <w:bookmarkEnd w:id="300"/>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应按照国家标准规定对吊装机具进行日检、月检、年检。对检查中发现问题的吊装机具，应进行检修处理，并保存检修档案，检查应符合（《起重作业安全规程》GB6067）。</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吊装作业人员（指挥人员、起重工）应持有有效的《特种作业人员操作证》，方可从事吊装作业指挥和操作。</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3</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施工单位应根据工程特点和作业环境，对危险性较大、环境复杂的吊装作业编制安全专项施工方案。</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4</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吊装作业前，应对起重机械的制动器、吊钩、钢丝绳和安全装置进行检查，发现性能不正常时，应在操作前排除。</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5</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吊装作业中，当重物吊起、转向、走行、接近人员、重物下落时，必须鸣铃示警。</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6</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吊装作业时应明确指挥人员，指挥人员应佩戴明显的标志；应佩戴安全帽，安全帽应符合（GB2811-2007）的规定。</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7</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应分工明确、坚守岗位，并按（《起重调运指挥信号》GB5082）规定的联络信号，统一指挥。指挥人员应由安全技术培训合格的专职人员担任，并按信号进行指挥，其他人员应清楚吊装方案和指挥信号。</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8</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正式起吊前应进行试吊，试吊中检查全部机具、地锚受力情况，发现问题应将工件放回地面，排除故障后重新试吊，确认一切正常，方可正式吊装。</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9</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严禁利用管道、管架、电杆、机电设备等作吊装锚点。未经有关部门审查核算，不得将建筑物、构筑物作为锚点。</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10</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吊装作业中，夜间应有足够的照明。室外作业遇到暴雨、大雾及6级以上强风时，应停止作业。</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11</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吊装过程中，出现故障，应立即向指挥者报告，没有指挥令，任何人不得擅自离开岗位。</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12</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起吊重物就位前，不许解开吊装索具。</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13</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当起重臂吊钩或吊物下面有人，吊物上有人或浮置物时，不得进行起重操作；吊装物上严禁站人。</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14</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严禁起吊超负荷或重物质量不明和埋置物体；不得捆挂、起吊不明质量，与其他重物相连、埋在地下或与其他物体冻结在一起的重物。</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15</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在制动器、安全装置失灵、吊钩防松装置损坏、钢丝绳损伤达到报废标准等情况下严禁起吊操作。</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16</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应按规定负荷进行吊装，吊具、索具经计算选择使用，严禁超负荷运行。所吊重物接近或达到额定起重吊装能力时，应检查制动器，用低高度、短行程试吊后，再平稳吊起。</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17</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重物捆绑、紧固、吊挂不牢，吊挂不平衡而可能滑动，或斜拉重物，棱角吊物与钢丝绳之间没有衬垫时不得进行起吊。</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18</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不准用吊钩直接缠绕重物，不得将不同种类或不同规格的索具混在一起使用。</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19</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吊物捆绑应牢靠，吊点和吊物的中心应在同一垂直线上。</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20</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无法看清场地、无法看清吊物情况和指挥信号时，不得进行起吊。</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21</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起重机械及其臂架、吊具、辅具、钢丝绳、缆风绳和吊物不得靠近高低压输电线路。在输电线路近旁作业时，应按规定保持足够的安全距离，不能满足时，应停电后再进行起重作业。</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22</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停工和休息时，不得将吊物、吊笼、吊具和吊索吊在空中。</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23</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在起重机械工作时，不得对起重机械进行检查和维修；在有载荷的情况下，不得调整起升变幅机构的制动器。</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24</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下方吊物时，严禁自由下落（溜）；不得利用极限位置限制器停车。</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25</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吊钩的缺陷严禁焊补。</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26</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用定型起重吊装机械（例如履带吊车、轮胎吊车、桥式吊车等）进行吊装作业时，除遵守本标准外，还应遵守该定型起重机械的操作规范。</w:t>
      </w:r>
    </w:p>
    <w:p>
      <w:pPr>
        <w:keepNext/>
        <w:keepLines/>
        <w:widowControl w:val="0"/>
        <w:bidi w:val="0"/>
        <w:spacing w:beforeAutospacing="0" w:afterAutospacing="0" w:line="360" w:lineRule="auto"/>
        <w:ind w:left="560" w:leftChars="200" w:firstLine="0" w:firstLineChars="0"/>
        <w:jc w:val="both"/>
        <w:outlineLvl w:val="2"/>
        <w:rPr>
          <w:rFonts w:ascii="Times New Roman" w:hAnsi="Times New Roman" w:eastAsia="黑体" w:cs="Times New Roman"/>
          <w:b/>
          <w:color w:val="auto"/>
          <w:kern w:val="2"/>
          <w:sz w:val="28"/>
          <w:szCs w:val="24"/>
          <w:lang w:val="en-US" w:eastAsia="zh-CN" w:bidi="ar-SA"/>
        </w:rPr>
      </w:pPr>
      <w:bookmarkStart w:id="301" w:name="_Toc19234"/>
      <w:bookmarkStart w:id="302" w:name="_Toc20534"/>
      <w:bookmarkStart w:id="303" w:name="_Toc13442"/>
      <w:bookmarkStart w:id="304" w:name="_Toc17246"/>
      <w:r>
        <w:rPr>
          <w:rFonts w:ascii="Times New Roman" w:hAnsi="Times New Roman" w:eastAsia="黑体" w:cs="Times New Roman"/>
          <w:b/>
          <w:color w:val="auto"/>
          <w:kern w:val="2"/>
          <w:sz w:val="28"/>
          <w:szCs w:val="24"/>
          <w:lang w:val="en-US" w:eastAsia="zh-CN" w:bidi="ar-SA"/>
        </w:rPr>
        <w:t>6.1.</w:t>
      </w:r>
      <w:r>
        <w:rPr>
          <w:rFonts w:hint="eastAsia" w:ascii="Times New Roman" w:hAnsi="Times New Roman" w:eastAsia="黑体" w:cs="Times New Roman"/>
          <w:b/>
          <w:color w:val="auto"/>
          <w:kern w:val="2"/>
          <w:sz w:val="28"/>
          <w:szCs w:val="24"/>
          <w:lang w:val="en-US" w:eastAsia="zh-CN" w:bidi="ar-SA"/>
        </w:rPr>
        <w:t>5</w:t>
      </w:r>
      <w:r>
        <w:rPr>
          <w:rFonts w:ascii="Times New Roman" w:hAnsi="Times New Roman" w:eastAsia="黑体" w:cs="Times New Roman"/>
          <w:b/>
          <w:color w:val="auto"/>
          <w:kern w:val="2"/>
          <w:sz w:val="28"/>
          <w:szCs w:val="24"/>
          <w:lang w:val="en-US" w:eastAsia="zh-CN" w:bidi="ar-SA"/>
        </w:rPr>
        <w:t xml:space="preserve"> 高处作业</w:t>
      </w:r>
      <w:bookmarkEnd w:id="301"/>
      <w:bookmarkEnd w:id="302"/>
      <w:bookmarkEnd w:id="303"/>
      <w:bookmarkEnd w:id="304"/>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基本规定</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1）高处作业必须编制安全技术措施，工艺复杂、危险性较大的工程应编制安全专项施工方案。</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2）高处作业人员必须定期进行体检。</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3）高处作业人员必须经过专业技术培训，特殊工种人员必须持证上岗。施工前，应逐级进行安全技术教育及交底，落实所有安全技术措施。</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4）高处作业所需的安全防护用品及防护设施、标志、工具、仪表、电器设施，必须在施工前进行检查或试验合格，方可投入使用；作业人员必须正确佩戴和使用防护用品。</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5）高处作业必须系安全带，安全带应挂在牢固的物件上，严禁在一个物件上拴挂多根安全带或一根安全带上拴多个人。</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6）作业人员必须从专用的通道或爬梯上下，严禁攀登脚手架。攀登的用具、结构构造必须牢固可靠。</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7）高处作业所用的物料、机具、工具等，必须堆平放稳，不得妨碍通行和装卸。对有可能坠落的物件必须先行撤除或加以固定。</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8）遇有六级及以上强风、暴雨、浓雾等恶劣天气，严禁进行室外攀登与悬空作业。</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9）临时拆除或变动安全防护设施时，必须经施工负责人批准，并采取相应可靠的安全措施，作业后应立即组织恢复。</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10）防护设施搭设与拆除时，应设警戒区，并派专人监护。拆除时应自上而下，严禁上下同时拆除。</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11）立体交叉作业时，不得在同一竖直方向上下同时操作。下层作业的位置，必须处于依上层高度确定的可能坠落半径范围之外。不符合以上条件必需作业时，应设置安全防护层。</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12）高空作业安全防护用品的配置：高处作业配置安全带、安全帽，安全带高挂低用，做到随挂随摘；安全帽必须正确佩戴，帽衬先调到适中位置，帽带必须扣在下颚下。</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临边作业</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1）临边作业的防护措施应符合下列规定：</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1）基坑周边、墩台顶、桥面周边等，必须设置防护栏杆。</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2）施工电梯、脚手爬梯与建筑物通道的两侧边，必须设置防护栏杆。</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3）各种垂直运输接料平台口、作业平台应设置安全门或活动防护栏杆。</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4）施工现场通道附近的各类洞口与坑槽等处以及公路、乡道、村路边施工的基坑等，除设置防护设施外，夜间应设置警示灯。</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5）临水面的作业区应设置防护栏杆。</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2）防护栏杆下方有人员通行或作业的，应在防护栏杆下边设置高度小于0.2m的挡脚，并挂密目安全立网封闭。</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3）临边防护栏杆杆件的规格及连接，应保证稳固可靠。</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4）临边防护栏杆的搭设应符合下列规定：</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1）防护栏杆由上下两道横杆及栏杆立柱组成，上杆离防护面高度不低于1.2m，下杆离防护面高度不低于0.6m，栏杆立柱间距不得大于2m。栏杆应能承受1KN的水平推力。所有栏杆应刷红白漆相间警示色，红、白漆间距均为300mm。</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2）防护栏杆采用Φ48～51×3.5mm的钢管。</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3）防护栏杆必须采用扣件连接、丝扣连接、螺栓连接、焊接或其它可靠连接方式连接。</w:t>
      </w:r>
    </w:p>
    <w:p>
      <w:pPr>
        <w:keepNext/>
        <w:keepLines/>
        <w:widowControl w:val="0"/>
        <w:bidi w:val="0"/>
        <w:spacing w:beforeAutospacing="0" w:afterAutospacing="0" w:line="360" w:lineRule="auto"/>
        <w:ind w:left="280" w:leftChars="100" w:firstLine="0" w:firstLineChars="0"/>
        <w:jc w:val="both"/>
        <w:outlineLvl w:val="1"/>
        <w:rPr>
          <w:rFonts w:hint="default" w:ascii="Times New Roman" w:hAnsi="Times New Roman" w:eastAsia="黑体" w:cs="Times New Roman"/>
          <w:b/>
          <w:color w:val="auto"/>
          <w:kern w:val="2"/>
          <w:sz w:val="30"/>
          <w:szCs w:val="24"/>
          <w:lang w:val="en-US" w:eastAsia="zh-CN" w:bidi="ar-SA"/>
        </w:rPr>
      </w:pPr>
      <w:bookmarkStart w:id="305" w:name="_Toc28036"/>
      <w:bookmarkStart w:id="306" w:name="_Toc32231"/>
      <w:bookmarkStart w:id="307" w:name="_Toc3406"/>
      <w:bookmarkStart w:id="308" w:name="_Toc18692"/>
      <w:r>
        <w:rPr>
          <w:rFonts w:ascii="Times New Roman" w:hAnsi="Times New Roman" w:eastAsia="黑体" w:cs="Times New Roman"/>
          <w:b/>
          <w:color w:val="auto"/>
          <w:kern w:val="2"/>
          <w:sz w:val="30"/>
          <w:szCs w:val="24"/>
          <w:lang w:val="en-US" w:eastAsia="zh-CN" w:bidi="ar-SA"/>
        </w:rPr>
        <w:t>6.2 总</w:t>
      </w:r>
      <w:bookmarkEnd w:id="305"/>
      <w:bookmarkEnd w:id="306"/>
      <w:r>
        <w:rPr>
          <w:rFonts w:hint="eastAsia" w:eastAsia="黑体" w:cs="Times New Roman"/>
          <w:b/>
          <w:color w:val="auto"/>
          <w:kern w:val="2"/>
          <w:sz w:val="30"/>
          <w:szCs w:val="24"/>
          <w:lang w:val="en-US" w:eastAsia="zh-CN" w:bidi="ar-SA"/>
        </w:rPr>
        <w:t>平面布置</w:t>
      </w:r>
      <w:bookmarkEnd w:id="307"/>
      <w:bookmarkEnd w:id="308"/>
    </w:p>
    <w:p>
      <w:pPr>
        <w:bidi w:val="0"/>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 选择厂址，应有完整的地形、工程地质、水文地质、地震、气象及环境影响评价等方面的资料作依据。</w:t>
      </w:r>
    </w:p>
    <w:p>
      <w:pPr>
        <w:bidi w:val="0"/>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 </w:t>
      </w:r>
      <w:r>
        <w:rPr>
          <w:rFonts w:ascii="Times New Roman" w:hAnsi="Times New Roman" w:eastAsia="宋体" w:cs="Times New Roman"/>
          <w:color w:val="auto"/>
          <w:lang w:val="en-US" w:eastAsia="zh-CN"/>
        </w:rPr>
        <w:t>选厂厂址应避免洪水淹设。场地的设计标高，应高出当地计算水位0.5m以上。</w:t>
      </w:r>
    </w:p>
    <w:p>
      <w:pPr>
        <w:bidi w:val="0"/>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 </w:t>
      </w:r>
      <w:r>
        <w:rPr>
          <w:rFonts w:ascii="Times New Roman" w:hAnsi="Times New Roman" w:eastAsia="宋体" w:cs="Times New Roman"/>
          <w:color w:val="auto"/>
          <w:lang w:val="en-US" w:eastAsia="zh-CN"/>
        </w:rPr>
        <w:t>选厂一般建构筑物地基土的承载力标准值，应大于150kPa（1.5kgf/cm</w:t>
      </w:r>
      <w:r>
        <w:rPr>
          <w:rFonts w:ascii="Times New Roman" w:hAnsi="Times New Roman" w:eastAsia="宋体" w:cs="Times New Roman"/>
          <w:color w:val="auto"/>
          <w:vertAlign w:val="superscript"/>
          <w:lang w:val="en-US" w:eastAsia="zh-CN"/>
        </w:rPr>
        <w:t>2</w:t>
      </w:r>
      <w:r>
        <w:rPr>
          <w:rFonts w:ascii="Times New Roman" w:hAnsi="Times New Roman" w:eastAsia="宋体" w:cs="Times New Roman"/>
          <w:color w:val="auto"/>
          <w:lang w:val="en-US" w:eastAsia="zh-CN"/>
        </w:rPr>
        <w:t>）；主要建构筑物地基土的承载力标准值，应大于250kPa（2.5kgf/cm</w:t>
      </w:r>
      <w:r>
        <w:rPr>
          <w:rFonts w:ascii="Times New Roman" w:hAnsi="Times New Roman" w:eastAsia="宋体" w:cs="Times New Roman"/>
          <w:color w:val="auto"/>
          <w:vertAlign w:val="superscript"/>
          <w:lang w:val="en-US" w:eastAsia="zh-CN"/>
        </w:rPr>
        <w:t>2</w:t>
      </w:r>
      <w:r>
        <w:rPr>
          <w:rFonts w:ascii="Times New Roman" w:hAnsi="Times New Roman" w:eastAsia="宋体" w:cs="Times New Roman"/>
          <w:color w:val="auto"/>
          <w:lang w:val="en-US" w:eastAsia="zh-CN"/>
        </w:rPr>
        <w:t>）。如地基土承载力不满足要求，应对地基进行妥善处理。</w:t>
      </w:r>
    </w:p>
    <w:p>
      <w:pPr>
        <w:bidi w:val="0"/>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 </w:t>
      </w:r>
      <w:r>
        <w:rPr>
          <w:rFonts w:ascii="Times New Roman" w:hAnsi="Times New Roman" w:eastAsia="宋体" w:cs="Times New Roman"/>
          <w:color w:val="auto"/>
          <w:lang w:val="en-US" w:eastAsia="zh-CN"/>
        </w:rPr>
        <w:t>确定建构筑物位置时，应遵守下列规定：</w:t>
      </w:r>
    </w:p>
    <w:p>
      <w:pPr>
        <w:bidi w:val="0"/>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荷载较大的主要建筑物如原矿仓、破碎间、磨矿间、精矿仓等应布置在地质条件较好的地段；产生烟尘及有毒有害气体的车间如锅炉房、化验室应布置在厂区的边缘和不产生有毒有害气体的车间最小风频方向的上风侧。</w:t>
      </w:r>
    </w:p>
    <w:p>
      <w:pPr>
        <w:bidi w:val="0"/>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5. </w:t>
      </w:r>
      <w:r>
        <w:rPr>
          <w:rFonts w:ascii="Times New Roman" w:hAnsi="Times New Roman" w:eastAsia="宋体" w:cs="Times New Roman"/>
          <w:color w:val="auto"/>
          <w:lang w:val="en-US" w:eastAsia="zh-CN"/>
        </w:rPr>
        <w:t>浮选药剂库到进风井、通风机扩散器的距离，应不小于下列规定：贮药、油容积小于10m</w:t>
      </w:r>
      <w:r>
        <w:rPr>
          <w:rFonts w:ascii="Times New Roman" w:hAnsi="Times New Roman" w:eastAsia="宋体" w:cs="Times New Roman"/>
          <w:color w:val="auto"/>
          <w:vertAlign w:val="superscript"/>
          <w:lang w:val="en-US" w:eastAsia="zh-CN"/>
        </w:rPr>
        <w:t>3</w:t>
      </w:r>
      <w:r>
        <w:rPr>
          <w:rFonts w:ascii="Times New Roman" w:hAnsi="Times New Roman" w:eastAsia="宋体" w:cs="Times New Roman"/>
          <w:color w:val="auto"/>
          <w:lang w:val="en-US" w:eastAsia="zh-CN"/>
        </w:rPr>
        <w:t>——20m；贮药、油容积（10~50）m</w:t>
      </w:r>
      <w:r>
        <w:rPr>
          <w:rFonts w:ascii="Times New Roman" w:hAnsi="Times New Roman" w:eastAsia="宋体" w:cs="Times New Roman"/>
          <w:color w:val="auto"/>
          <w:vertAlign w:val="superscript"/>
          <w:lang w:val="en-US" w:eastAsia="zh-CN"/>
        </w:rPr>
        <w:t>3</w:t>
      </w:r>
      <w:r>
        <w:rPr>
          <w:rFonts w:ascii="Times New Roman" w:hAnsi="Times New Roman" w:eastAsia="宋体" w:cs="Times New Roman"/>
          <w:color w:val="auto"/>
          <w:lang w:val="en-US" w:eastAsia="zh-CN"/>
        </w:rPr>
        <w:t>——30m。</w:t>
      </w:r>
    </w:p>
    <w:p>
      <w:pPr>
        <w:bidi w:val="0"/>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6. </w:t>
      </w:r>
      <w:r>
        <w:rPr>
          <w:rFonts w:ascii="Times New Roman" w:hAnsi="Times New Roman" w:eastAsia="宋体" w:cs="Times New Roman"/>
          <w:color w:val="auto"/>
          <w:lang w:val="en-US" w:eastAsia="zh-CN"/>
        </w:rPr>
        <w:t>厂区内设备与周边建（构）筑物的距离，应根据《建筑设计防火规范》的要求，保证现在和未来均应满足与相邻建构筑物和自身设备设施之间的安全间距。存放易燃易爆物品的仓库如煤油库应布置在建筑物最小风频方向的上风侧，及经常喷出火花和有明火火源的建筑物的最小风频方向的下风侧。</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7. </w:t>
      </w:r>
      <w:r>
        <w:rPr>
          <w:rFonts w:ascii="Times New Roman" w:hAnsi="Times New Roman" w:eastAsia="宋体" w:cs="Times New Roman"/>
          <w:color w:val="auto"/>
          <w:lang w:val="en-US" w:eastAsia="zh-CN"/>
        </w:rPr>
        <w:t>项目有新增高、低压开关柜和变压器，变配电所不应设在有爆炸危险的厂房内或贴邻建造。</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8. </w:t>
      </w:r>
      <w:r>
        <w:rPr>
          <w:rFonts w:ascii="Times New Roman" w:hAnsi="Times New Roman" w:eastAsia="宋体" w:cs="Times New Roman"/>
          <w:color w:val="auto"/>
          <w:lang w:val="en-US" w:eastAsia="zh-CN"/>
        </w:rPr>
        <w:t>采用架空电力线路进出厂区的配电间（所），布置在厂区的边缘，厂生产区现场不能出现架空线缆越过。</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9. </w:t>
      </w:r>
      <w:r>
        <w:rPr>
          <w:rFonts w:ascii="Times New Roman" w:hAnsi="Times New Roman" w:eastAsia="宋体" w:cs="Times New Roman"/>
          <w:color w:val="auto"/>
          <w:lang w:val="en-US" w:eastAsia="zh-CN"/>
        </w:rPr>
        <w:t>新增生产设施应综合考虑用水，选厂的楼板和地面采取防水或排水措施，应有适当坡度，一般要求楼板应设地漏，周围设置专用排水沟等排水措施。</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10. </w:t>
      </w:r>
      <w:r>
        <w:rPr>
          <w:rFonts w:ascii="Times New Roman" w:hAnsi="Times New Roman" w:eastAsia="宋体" w:cs="Times New Roman"/>
          <w:color w:val="auto"/>
          <w:lang w:val="en-US" w:eastAsia="zh-CN"/>
        </w:rPr>
        <w:t>新增生产设施在车间内的排放应考虑足够的疏散通道，最远作业点距疏散门、楼梯的距离应符合《建筑设计防火规范》的要求。</w:t>
      </w:r>
    </w:p>
    <w:p>
      <w:pPr>
        <w:keepNext/>
        <w:keepLines/>
        <w:widowControl w:val="0"/>
        <w:bidi w:val="0"/>
        <w:spacing w:beforeAutospacing="0" w:afterAutospacing="0" w:line="360" w:lineRule="auto"/>
        <w:ind w:left="280" w:leftChars="100" w:firstLine="0" w:firstLineChars="0"/>
        <w:jc w:val="both"/>
        <w:outlineLvl w:val="1"/>
        <w:rPr>
          <w:rFonts w:ascii="Times New Roman" w:hAnsi="Times New Roman" w:eastAsia="黑体" w:cs="Times New Roman"/>
          <w:b/>
          <w:color w:val="auto"/>
          <w:kern w:val="2"/>
          <w:sz w:val="30"/>
          <w:szCs w:val="24"/>
          <w:lang w:val="en-US" w:eastAsia="zh-CN" w:bidi="ar-SA"/>
        </w:rPr>
      </w:pPr>
      <w:bookmarkStart w:id="309" w:name="_Toc22690"/>
      <w:bookmarkStart w:id="310" w:name="_Toc13674"/>
      <w:bookmarkStart w:id="311" w:name="_Toc5630"/>
      <w:bookmarkStart w:id="312" w:name="_Toc28097"/>
      <w:r>
        <w:rPr>
          <w:rFonts w:ascii="Times New Roman" w:hAnsi="Times New Roman" w:eastAsia="黑体" w:cs="Times New Roman"/>
          <w:b/>
          <w:color w:val="auto"/>
          <w:kern w:val="2"/>
          <w:sz w:val="30"/>
          <w:szCs w:val="24"/>
          <w:lang w:val="en-US" w:eastAsia="zh-CN" w:bidi="ar-SA"/>
        </w:rPr>
        <w:t>6.3 生产工艺</w:t>
      </w:r>
      <w:bookmarkEnd w:id="309"/>
      <w:bookmarkEnd w:id="310"/>
      <w:bookmarkEnd w:id="311"/>
      <w:bookmarkEnd w:id="312"/>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1、车辆运输</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1）车辆运输应遵守GB4387-2008的有关规定。</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2）机动车驾驶人员应经过安全技术培训考核，持证上岗。实习人员驾驶机动车，操作信号以及进行行车作业等，应在正式值乘、值班人员监护下进行。</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3）建筑物的进出口，均应有良好的照明设施。</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w:t>
      </w:r>
      <w:r>
        <w:rPr>
          <w:rFonts w:ascii="Times New Roman" w:hAnsi="Times New Roman" w:eastAsia="宋体" w:cs="Times New Roman"/>
          <w:color w:val="auto"/>
          <w:lang w:val="en-US" w:eastAsia="zh-CN"/>
        </w:rPr>
        <w:t>）雾天及粉尘浓度较大时，应开亮警示灯行驶；视线不清时，应减速行驶；在弯道、坡道上和接班出车时，不应超车。</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w:t>
      </w:r>
      <w:r>
        <w:rPr>
          <w:rFonts w:ascii="Times New Roman" w:hAnsi="Times New Roman" w:eastAsia="宋体" w:cs="Times New Roman"/>
          <w:color w:val="auto"/>
          <w:lang w:val="en-US" w:eastAsia="zh-CN"/>
        </w:rPr>
        <w:t>）装卸时，驾驶员不应将头和手臂伸出驾驶室外，不应检查维护车辆。</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w:t>
      </w:r>
      <w:r>
        <w:rPr>
          <w:rFonts w:ascii="Times New Roman" w:hAnsi="Times New Roman" w:eastAsia="宋体" w:cs="Times New Roman"/>
          <w:color w:val="auto"/>
          <w:lang w:val="en-US" w:eastAsia="zh-CN"/>
        </w:rPr>
        <w:t>）在厂区和车间行驶，应遵循规定的道路，不应从传送带、工程脚手架和低垂的电线下通过。</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w:t>
      </w:r>
      <w:r>
        <w:rPr>
          <w:rFonts w:ascii="Times New Roman" w:hAnsi="Times New Roman" w:eastAsia="宋体" w:cs="Times New Roman"/>
          <w:color w:val="auto"/>
          <w:lang w:val="en-US" w:eastAsia="zh-CN"/>
        </w:rPr>
        <w:t>）不应超重、超长、超宽、超高装运，装载物品应捆绑稳妥牢固。载货汽车不应客货混装。</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ascii="Times New Roman" w:hAnsi="Times New Roman" w:eastAsia="宋体" w:cs="Times New Roman"/>
          <w:color w:val="auto"/>
          <w:lang w:val="en-US" w:eastAsia="zh-CN"/>
        </w:rPr>
        <w:t>、检修翻车机（尤其是在翻车机内工作）时，应有可靠的安全措施；</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r>
        <w:rPr>
          <w:rFonts w:ascii="Times New Roman" w:hAnsi="Times New Roman" w:eastAsia="宋体" w:cs="Times New Roman"/>
          <w:color w:val="auto"/>
          <w:lang w:val="en-US" w:eastAsia="zh-CN"/>
        </w:rPr>
        <w:t>、原矿仓给矿机堵塞和棚矿的处理，应遵守下列规定：捅矿时应站在设备一侧的安全位置，避免矿石滚出伤人；采用爆破方法处理时，应有专人负责，并严格执行GB6722-2011的有关规定。</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w:t>
      </w:r>
      <w:r>
        <w:rPr>
          <w:rFonts w:ascii="Times New Roman" w:hAnsi="Times New Roman" w:eastAsia="宋体" w:cs="Times New Roman"/>
          <w:color w:val="auto"/>
          <w:lang w:val="en-US" w:eastAsia="zh-CN"/>
        </w:rPr>
        <w:t>、带式输送机运输，应遵守GB14784-1993的有关规定。带式输送机，应在侧面设置紧急使用拉线开关。</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w:t>
      </w:r>
      <w:r>
        <w:rPr>
          <w:rFonts w:ascii="Times New Roman" w:hAnsi="Times New Roman" w:eastAsia="宋体" w:cs="Times New Roman"/>
          <w:color w:val="auto"/>
          <w:lang w:val="en-US" w:eastAsia="zh-CN"/>
        </w:rPr>
        <w:t>、带式输送机运行应遵守下列规定：人员不应乘坐、跨越、钻爬带式输送机，带式输送机不应运送规定物料以外的其他物料；不应从运行中的带式输送机上用手捡矿石（手选皮带除外）输送带、传动轮和改向轮上的杂物，应及时停车清除；不应在运行的输送带下清矿；运行中的带式输送机，不应进行检修、打扫和注油，不应用手摸托滚、首尾轮等转动部件；更换栏板、清扫器（刮泥板）和托辊，应停车、切断电源进行，并应有专人监护。</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w:t>
      </w:r>
      <w:r>
        <w:rPr>
          <w:rFonts w:ascii="Times New Roman" w:hAnsi="Times New Roman" w:eastAsia="宋体" w:cs="Times New Roman"/>
          <w:color w:val="auto"/>
          <w:lang w:val="en-US" w:eastAsia="zh-CN"/>
        </w:rPr>
        <w:t>、带式输送机不能启动或打滑时，不应用脚蹬踩、用手推拉或压杠子等办法处理。</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w:t>
      </w:r>
      <w:r>
        <w:rPr>
          <w:rFonts w:ascii="Times New Roman" w:hAnsi="Times New Roman" w:eastAsia="宋体" w:cs="Times New Roman"/>
          <w:color w:val="auto"/>
          <w:lang w:val="en-US" w:eastAsia="zh-CN"/>
        </w:rPr>
        <w:t>、厂房应设地坪冲洗设施。冲洗厂房平台和通廊等的供水点，应按方便冲洗的原则布置，以间距不超过30m为宜。冲洗污水宜自流排泄，并在全厂标高最低处设置汇总污水池、排污泵站和相应的安全防护设施。</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w:t>
      </w:r>
      <w:r>
        <w:rPr>
          <w:rFonts w:ascii="Times New Roman" w:hAnsi="Times New Roman" w:eastAsia="宋体" w:cs="Times New Roman"/>
          <w:color w:val="auto"/>
          <w:lang w:val="en-US" w:eastAsia="zh-CN"/>
        </w:rPr>
        <w:t>、厂房不宜布置悬臂结构；工艺布置须设悬臂结构时，悬臂长度应小于2.0m，悬臂部分不应布置重量较大和振动较大的设备。</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w:t>
      </w:r>
      <w:r>
        <w:rPr>
          <w:rFonts w:ascii="Times New Roman" w:hAnsi="Times New Roman" w:eastAsia="宋体" w:cs="Times New Roman"/>
          <w:color w:val="auto"/>
          <w:lang w:val="en-US" w:eastAsia="zh-CN"/>
        </w:rPr>
        <w:t>、荷载较重和振动较大的设备如破碎机、筛分机、球磨机等，其基础不应坐落在平台上，而应坐落在地基上。操作平台有集中荷载时，应采取特殊加固措施。</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r>
        <w:rPr>
          <w:rFonts w:ascii="Times New Roman" w:hAnsi="Times New Roman" w:eastAsia="宋体" w:cs="Times New Roman"/>
          <w:color w:val="auto"/>
          <w:lang w:val="en-US" w:eastAsia="zh-CN"/>
        </w:rPr>
        <w:t>、长度超过60m的厂房，应设两个主要楼梯。主要通道的楼梯倾角，应不大于45</w:t>
      </w:r>
      <w:r>
        <w:rPr>
          <w:rFonts w:hint="eastAsia" w:ascii="宋体" w:hAnsi="Times New Roman" w:eastAsia="宋体" w:cs="宋体"/>
          <w:color w:val="auto"/>
          <w:lang w:val="en-US" w:eastAsia="zh-CN"/>
        </w:rPr>
        <w:t>°</w:t>
      </w:r>
      <w:r>
        <w:rPr>
          <w:rFonts w:ascii="Times New Roman" w:hAnsi="Times New Roman" w:eastAsia="宋体" w:cs="Times New Roman"/>
          <w:color w:val="auto"/>
          <w:lang w:val="en-US" w:eastAsia="zh-CN"/>
        </w:rPr>
        <w:t>；行人不频繁的楼梯倾角可达60</w:t>
      </w:r>
      <w:r>
        <w:rPr>
          <w:rFonts w:hint="eastAsia" w:ascii="宋体" w:hAnsi="Times New Roman" w:eastAsia="宋体" w:cs="宋体"/>
          <w:color w:val="auto"/>
          <w:lang w:val="en-US" w:eastAsia="zh-CN"/>
        </w:rPr>
        <w:t>°</w:t>
      </w:r>
      <w:r>
        <w:rPr>
          <w:rFonts w:ascii="Times New Roman" w:hAnsi="Times New Roman" w:eastAsia="宋体" w:cs="Times New Roman"/>
          <w:color w:val="auto"/>
          <w:lang w:val="en-US" w:eastAsia="zh-CN"/>
        </w:rPr>
        <w:t>。楼梯每个踏步上方的净空高度应不小于2.2m。楼梯休息平台下的行人通道，净宽不应小于2.0m。</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11</w:t>
      </w:r>
      <w:r>
        <w:rPr>
          <w:rFonts w:ascii="Times New Roman" w:hAnsi="Times New Roman" w:eastAsia="宋体" w:cs="Times New Roman"/>
          <w:color w:val="auto"/>
          <w:lang w:val="en-US" w:eastAsia="zh-CN"/>
        </w:rPr>
        <w:t>、厂房内主要操作通道宽度应不小于1.5m，一般设备维护通道宽度应不小于1.0m，通道净空高度应小于2.0m。工业管廊上管道的敷设应符合相关规定，跨越交通道路路肩时管廊高度不低于5 m，管廊支架距交通道路不小于1 m。</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12</w:t>
      </w:r>
      <w:r>
        <w:rPr>
          <w:rFonts w:ascii="Times New Roman" w:hAnsi="Times New Roman" w:eastAsia="宋体" w:cs="Times New Roman"/>
          <w:color w:val="auto"/>
          <w:lang w:val="en-US" w:eastAsia="zh-CN"/>
        </w:rPr>
        <w:t>、厂内各类管线、溜槽，不应妨碍操作和行走。</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13</w:t>
      </w:r>
      <w:r>
        <w:rPr>
          <w:rFonts w:ascii="Times New Roman" w:hAnsi="Times New Roman" w:eastAsia="宋体" w:cs="Times New Roman"/>
          <w:color w:val="auto"/>
          <w:lang w:val="en-US" w:eastAsia="zh-CN"/>
        </w:rPr>
        <w:t>、高于10m的建筑物，屋顶如有可燃材料，应在室外安设离地3m宽度不小于500mm的固定式消防钢直梯。　　</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14</w:t>
      </w:r>
      <w:r>
        <w:rPr>
          <w:rFonts w:ascii="Times New Roman" w:hAnsi="Times New Roman" w:eastAsia="宋体" w:cs="Times New Roman"/>
          <w:color w:val="auto"/>
          <w:lang w:val="en-US" w:eastAsia="zh-CN"/>
        </w:rPr>
        <w:t>、屋面须检查或经常清灰的厂房，高度大于6m的，应设检修用固定式钢直梯；多层厂房两屋面高差大于2m的，应设直梯；房檐高大于10m的，应在檐边设防护栏杆，小于10m的，可设安全挂钩，挂钩间距应不大于6m。</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w:t>
      </w:r>
      <w:r>
        <w:rPr>
          <w:rFonts w:ascii="Times New Roman" w:hAnsi="Times New Roman" w:eastAsia="宋体" w:cs="Times New Roman"/>
          <w:color w:val="auto"/>
          <w:lang w:val="en-US" w:eastAsia="zh-CN"/>
        </w:rPr>
        <w:t>、厂房应有足够的、供设备（部件）装配和检修用的场地。</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16</w:t>
      </w:r>
      <w:r>
        <w:rPr>
          <w:rFonts w:ascii="Times New Roman" w:hAnsi="Times New Roman" w:eastAsia="宋体" w:cs="Times New Roman"/>
          <w:color w:val="auto"/>
          <w:lang w:val="en-US" w:eastAsia="zh-CN"/>
        </w:rPr>
        <w:t>、设备的检修空间、通道应符合下列规定：根据检修部件的各种装卸方向、部件的大小和位置确定合理的检修空间，在检修空间范围内不应设置其他设备和构筑物；起重机吊运最大部件时，部件与固定设备、设施最大轮廓之间的净空尺寸，应不小于400mm；用起重机吊装、检修的设备及部件，应布置在起重机吊钩能垂直起吊的空间范围内；检修用起重机的提升高度，应满足设备检修工作的需要；起重机提升设备及部件需要通过平台或墙壁的，平台或墙壁应设置吊运通道口，通道口周边与设备或部件的间隙不小于300mm；设备吊装孔应设活动盖板或保护栏杆、且每层吊装孔设备进出的一边应做成活动栏杆；建筑物第二层及其以上的墙壁设有吊装拉门的，应在拉门处设高1.05m的隔墙或装设可拆卸的保护栏杆，起重梁伸出墙外应不大于2m。</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17</w:t>
      </w:r>
      <w:r>
        <w:rPr>
          <w:rFonts w:ascii="Times New Roman" w:hAnsi="Times New Roman" w:eastAsia="宋体" w:cs="Times New Roman"/>
          <w:color w:val="auto"/>
          <w:lang w:val="en-US" w:eastAsia="zh-CN"/>
        </w:rPr>
        <w:t>、检修场地的梁板荷载，应按满荷载考虑；整体装配重型设备有可能出现集中荷载时，应采取加固措施。</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18</w:t>
      </w:r>
      <w:r>
        <w:rPr>
          <w:rFonts w:ascii="Times New Roman" w:hAnsi="Times New Roman" w:eastAsia="宋体" w:cs="Times New Roman"/>
          <w:color w:val="auto"/>
          <w:lang w:val="en-US" w:eastAsia="zh-CN"/>
        </w:rPr>
        <w:t>、检修设备的同时应检修安全装置和除尘设备，检修后应立即重新安装好，不得随意弃置。</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19</w:t>
      </w:r>
      <w:r>
        <w:rPr>
          <w:rFonts w:ascii="Times New Roman" w:hAnsi="Times New Roman" w:eastAsia="宋体" w:cs="Times New Roman"/>
          <w:color w:val="auto"/>
          <w:lang w:val="en-US" w:eastAsia="zh-CN"/>
        </w:rPr>
        <w:t>、检修设备应事先切断电源，用操作牌换电源牌，在操作箱上挂好“禁止开动”标志牌，方可开始作业。</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w:t>
      </w:r>
      <w:r>
        <w:rPr>
          <w:rFonts w:ascii="Times New Roman" w:hAnsi="Times New Roman" w:eastAsia="宋体" w:cs="Times New Roman"/>
          <w:color w:val="auto"/>
          <w:lang w:val="en-US" w:eastAsia="zh-CN"/>
        </w:rPr>
        <w:t>、选矿厂生产车间应有充足的照明，人工照明的照度应不小于表</w:t>
      </w:r>
      <w:r>
        <w:rPr>
          <w:rFonts w:hint="eastAsia" w:ascii="Times New Roman" w:hAnsi="Times New Roman" w:eastAsia="宋体" w:cs="Times New Roman"/>
          <w:color w:val="auto"/>
          <w:lang w:val="en-US" w:eastAsia="zh-CN"/>
        </w:rPr>
        <w:t>6</w:t>
      </w:r>
      <w:r>
        <w:rPr>
          <w:rFonts w:ascii="Times New Roman" w:hAnsi="Times New Roman" w:eastAsia="宋体" w:cs="Times New Roman"/>
          <w:color w:val="auto"/>
          <w:lang w:val="en-US" w:eastAsia="zh-CN"/>
        </w:rPr>
        <w:t>-1的规定。</w:t>
      </w:r>
    </w:p>
    <w:p>
      <w:pPr>
        <w:keepNext w:val="0"/>
        <w:keepLines w:val="0"/>
        <w:pageBreakBefore w:val="0"/>
        <w:widowControl w:val="0"/>
        <w:kinsoku/>
        <w:wordWrap/>
        <w:overflowPunct/>
        <w:topLinePunct w:val="0"/>
        <w:autoSpaceDE/>
        <w:autoSpaceDN/>
        <w:bidi w:val="0"/>
        <w:adjustRightInd/>
        <w:snapToGrid/>
        <w:spacing w:line="240" w:lineRule="auto"/>
        <w:ind w:firstLine="200"/>
        <w:textAlignment w:val="auto"/>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　　   表</w:t>
      </w:r>
      <w:r>
        <w:rPr>
          <w:rFonts w:hint="eastAsia" w:ascii="Times New Roman" w:hAnsi="Times New Roman" w:eastAsia="宋体" w:cs="Times New Roman"/>
          <w:color w:val="auto"/>
          <w:lang w:val="en-US" w:eastAsia="zh-CN"/>
        </w:rPr>
        <w:t>6</w:t>
      </w:r>
      <w:r>
        <w:rPr>
          <w:rFonts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选矿厂生产车间人工照明的照度要求</w:t>
      </w:r>
    </w:p>
    <w:tbl>
      <w:tblPr>
        <w:tblStyle w:val="15"/>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819"/>
        <w:gridCol w:w="246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70"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pacing w:val="-2"/>
                <w:sz w:val="21"/>
                <w:szCs w:val="21"/>
              </w:rPr>
            </w:pPr>
            <w:r>
              <w:rPr>
                <w:rFonts w:hint="eastAsia" w:ascii="Times New Roman" w:hAnsi="Times New Roman" w:eastAsia="宋体" w:cs="Times New Roman"/>
                <w:color w:val="auto"/>
                <w:spacing w:val="-2"/>
                <w:sz w:val="21"/>
                <w:szCs w:val="21"/>
              </w:rPr>
              <w:t>照明地点</w:t>
            </w:r>
          </w:p>
        </w:tc>
        <w:tc>
          <w:tcPr>
            <w:tcW w:w="1329"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2"/>
                <w:sz w:val="21"/>
                <w:szCs w:val="21"/>
              </w:rPr>
            </w:pPr>
            <w:r>
              <w:rPr>
                <w:rFonts w:hint="eastAsia" w:ascii="Times New Roman" w:hAnsi="Times New Roman" w:eastAsia="宋体" w:cs="Times New Roman"/>
                <w:color w:val="auto"/>
                <w:spacing w:val="-2"/>
                <w:sz w:val="21"/>
                <w:szCs w:val="21"/>
              </w:rPr>
              <w:t>最小照度（</w:t>
            </w:r>
            <w:r>
              <w:rPr>
                <w:rFonts w:ascii="Times New Roman" w:hAnsi="Times New Roman" w:eastAsia="宋体" w:cs="Times New Roman"/>
                <w:color w:val="auto"/>
                <w:spacing w:val="-2"/>
                <w:sz w:val="21"/>
                <w:szCs w:val="21"/>
              </w:rPr>
              <w:t>1x</w:t>
            </w:r>
            <w:r>
              <w:rPr>
                <w:rFonts w:hint="eastAsia" w:ascii="Times New Roman" w:hAnsi="Times New Roman" w:eastAsia="宋体" w:cs="Times New Roman"/>
                <w:color w:val="auto"/>
                <w:spacing w:val="-2"/>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70"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pacing w:val="-2"/>
                <w:sz w:val="21"/>
                <w:szCs w:val="21"/>
              </w:rPr>
            </w:pPr>
            <w:r>
              <w:rPr>
                <w:rFonts w:hint="eastAsia" w:ascii="Times New Roman" w:hAnsi="Times New Roman" w:eastAsia="宋体" w:cs="Times New Roman"/>
                <w:color w:val="auto"/>
                <w:spacing w:val="-2"/>
                <w:sz w:val="21"/>
                <w:szCs w:val="21"/>
              </w:rPr>
              <w:t>中间矿仓上面的房间、梯子、通廓</w:t>
            </w:r>
          </w:p>
        </w:tc>
        <w:tc>
          <w:tcPr>
            <w:tcW w:w="1329"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70"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pacing w:val="-2"/>
                <w:sz w:val="21"/>
                <w:szCs w:val="21"/>
              </w:rPr>
            </w:pPr>
            <w:r>
              <w:rPr>
                <w:rFonts w:hint="eastAsia" w:ascii="Times New Roman" w:hAnsi="Times New Roman" w:eastAsia="宋体" w:cs="Times New Roman"/>
                <w:color w:val="auto"/>
                <w:spacing w:val="-2"/>
                <w:sz w:val="21"/>
                <w:szCs w:val="21"/>
              </w:rPr>
              <w:t>贮矿仓上面的房间、固定筛、干磨机、带式输送机、砂泵</w:t>
            </w:r>
          </w:p>
        </w:tc>
        <w:tc>
          <w:tcPr>
            <w:tcW w:w="1329"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70"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2"/>
                <w:sz w:val="21"/>
                <w:szCs w:val="21"/>
              </w:rPr>
            </w:pPr>
            <w:r>
              <w:rPr>
                <w:rFonts w:hint="eastAsia" w:ascii="Times New Roman" w:hAnsi="Times New Roman" w:eastAsia="宋体" w:cs="Times New Roman"/>
                <w:color w:val="auto"/>
                <w:spacing w:val="-2"/>
                <w:sz w:val="21"/>
                <w:szCs w:val="21"/>
              </w:rPr>
              <w:t>振动筛、破碎机、磨矿机、分级机、洗矿机、</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pacing w:val="-2"/>
                <w:sz w:val="21"/>
                <w:szCs w:val="21"/>
              </w:rPr>
            </w:pPr>
            <w:r>
              <w:rPr>
                <w:rFonts w:hint="eastAsia" w:ascii="Times New Roman" w:hAnsi="Times New Roman" w:eastAsia="宋体" w:cs="Times New Roman"/>
                <w:color w:val="auto"/>
                <w:spacing w:val="-2"/>
                <w:sz w:val="21"/>
                <w:szCs w:val="21"/>
              </w:rPr>
              <w:t>带式输送机传动装置、药剂存放处</w:t>
            </w:r>
          </w:p>
        </w:tc>
        <w:tc>
          <w:tcPr>
            <w:tcW w:w="1329"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70"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pacing w:val="-2"/>
                <w:sz w:val="21"/>
                <w:szCs w:val="21"/>
              </w:rPr>
            </w:pPr>
            <w:r>
              <w:rPr>
                <w:rFonts w:hint="eastAsia" w:ascii="Times New Roman" w:hAnsi="Times New Roman" w:eastAsia="宋体" w:cs="Times New Roman"/>
                <w:color w:val="auto"/>
                <w:spacing w:val="-2"/>
                <w:sz w:val="21"/>
                <w:szCs w:val="21"/>
              </w:rPr>
              <w:t>浮选机、真空泵、鼓风机</w:t>
            </w:r>
          </w:p>
        </w:tc>
        <w:tc>
          <w:tcPr>
            <w:tcW w:w="1329"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70"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pacing w:val="-2"/>
                <w:sz w:val="21"/>
                <w:szCs w:val="21"/>
              </w:rPr>
            </w:pPr>
            <w:r>
              <w:rPr>
                <w:rFonts w:hint="eastAsia" w:ascii="Times New Roman" w:hAnsi="Times New Roman" w:eastAsia="宋体" w:cs="Times New Roman"/>
                <w:color w:val="auto"/>
                <w:spacing w:val="-2"/>
                <w:sz w:val="21"/>
                <w:szCs w:val="21"/>
              </w:rPr>
              <w:t>化验室、实验室</w:t>
            </w:r>
          </w:p>
        </w:tc>
        <w:tc>
          <w:tcPr>
            <w:tcW w:w="1329"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50</w:t>
            </w:r>
          </w:p>
        </w:tc>
      </w:tr>
    </w:tbl>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21</w:t>
      </w:r>
      <w:r>
        <w:rPr>
          <w:rFonts w:ascii="Times New Roman" w:hAnsi="Times New Roman" w:eastAsia="宋体" w:cs="Times New Roman"/>
          <w:color w:val="auto"/>
          <w:lang w:val="en-US" w:eastAsia="zh-CN"/>
        </w:rPr>
        <w:t>、在破碎车间、筛分车间、磨浮车间、锅炉房产生噪声、粉尘、高温等作业场所，应设置便于员工观察的隔离工作室。</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2</w:t>
      </w:r>
      <w:r>
        <w:rPr>
          <w:rFonts w:ascii="Times New Roman" w:hAnsi="Times New Roman" w:eastAsia="宋体" w:cs="Times New Roman"/>
          <w:color w:val="auto"/>
          <w:lang w:val="en-US" w:eastAsia="zh-CN"/>
        </w:rPr>
        <w:t>、干式筛分作业应有除尘设施，并在密封状态下工作。密封装置应有便于检修、观察的门洞。</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3</w:t>
      </w:r>
      <w:r>
        <w:rPr>
          <w:rFonts w:ascii="Times New Roman" w:hAnsi="Times New Roman" w:eastAsia="宋体" w:cs="Times New Roman"/>
          <w:color w:val="auto"/>
          <w:lang w:val="en-US" w:eastAsia="zh-CN"/>
        </w:rPr>
        <w:t>、检修、更换磨矿机衬板时，起重机的钩头不应进入机体内；封闭磨矿机人孔时，应确认磨矿机内无人，方可封闭。</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24</w:t>
      </w:r>
      <w:r>
        <w:rPr>
          <w:rFonts w:ascii="Times New Roman" w:hAnsi="Times New Roman" w:eastAsia="宋体" w:cs="Times New Roman"/>
          <w:color w:val="auto"/>
          <w:lang w:val="en-US" w:eastAsia="zh-CN"/>
        </w:rPr>
        <w:t>、处理磨矿机漏浆或紧固筒体螺钉时，应先停机、滚筒固定后作业；若磨矿机严重偏心，应首先消除偏心，然后进行处理。</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25</w:t>
      </w:r>
      <w:r>
        <w:rPr>
          <w:rFonts w:ascii="Times New Roman" w:hAnsi="Times New Roman" w:eastAsia="宋体" w:cs="Times New Roman"/>
          <w:color w:val="auto"/>
          <w:lang w:val="en-US" w:eastAsia="zh-CN"/>
        </w:rPr>
        <w:t>、球磨机</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胀肚</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时，应立即停止给料，然后按</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前水闭，后水加，提高分级浓度降返砂</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的原则处理。</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cs="Times New Roman"/>
          <w:color w:val="auto"/>
          <w:lang w:val="en-US" w:eastAsia="zh-CN"/>
        </w:rPr>
        <w:t>6</w:t>
      </w:r>
      <w:r>
        <w:rPr>
          <w:rFonts w:ascii="Times New Roman" w:hAnsi="Times New Roman" w:eastAsia="宋体" w:cs="Times New Roman"/>
          <w:color w:val="auto"/>
          <w:lang w:val="en-US" w:eastAsia="zh-CN"/>
        </w:rPr>
        <w:t>、磨矿机停车超过8小时以上或检修更换衬板完毕，在无微拖设施的情况下，开车之前应用起重机盘车，盘车钢丝绳应事先经过检查；不应利用主电动机盘车。</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cs="Times New Roman"/>
          <w:color w:val="auto"/>
          <w:lang w:val="en-US" w:eastAsia="zh-CN"/>
        </w:rPr>
        <w:t>7</w:t>
      </w:r>
      <w:r>
        <w:rPr>
          <w:rFonts w:ascii="Times New Roman" w:hAnsi="Times New Roman" w:eastAsia="宋体" w:cs="Times New Roman"/>
          <w:color w:val="auto"/>
          <w:lang w:val="en-US" w:eastAsia="zh-CN"/>
        </w:rPr>
        <w:t>、检查泥勺机的勺嘴磨损情况时，作业人员应站在勺嘴运转方向的侧面，不应站在正面。</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cs="Times New Roman"/>
          <w:color w:val="auto"/>
          <w:lang w:val="en-US" w:eastAsia="zh-CN"/>
        </w:rPr>
        <w:t>8</w:t>
      </w:r>
      <w:r>
        <w:rPr>
          <w:rFonts w:ascii="Times New Roman" w:hAnsi="Times New Roman" w:eastAsia="宋体" w:cs="Times New Roman"/>
          <w:color w:val="auto"/>
          <w:lang w:val="en-US" w:eastAsia="zh-CN"/>
        </w:rPr>
        <w:t>、处理分级设备的返砂槽堵塞时，不应攀登在分级机或其他设备上进行。</w:t>
      </w:r>
    </w:p>
    <w:p>
      <w:pPr>
        <w:ind w:firstLine="200"/>
        <w:rPr>
          <w:rFonts w:ascii="Times New Roman" w:hAnsi="Times New Roman" w:eastAsia="宋体" w:cs="Times New Roman"/>
          <w:color w:val="auto"/>
          <w:lang w:val="en-US" w:eastAsia="zh-CN"/>
        </w:rPr>
      </w:pPr>
      <w:r>
        <w:rPr>
          <w:rFonts w:hint="eastAsia" w:cs="Times New Roman"/>
          <w:color w:val="auto"/>
          <w:lang w:val="en-US" w:eastAsia="zh-CN"/>
        </w:rPr>
        <w:t>29</w:t>
      </w:r>
      <w:r>
        <w:rPr>
          <w:rFonts w:ascii="Times New Roman" w:hAnsi="Times New Roman" w:eastAsia="宋体" w:cs="Times New Roman"/>
          <w:color w:val="auto"/>
          <w:lang w:val="en-US" w:eastAsia="zh-CN"/>
        </w:rPr>
        <w:t>、清除分级设备溢流除渣篦上的木屑等废渣时，不应站在除渣篦子上进行。</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r>
        <w:rPr>
          <w:rFonts w:hint="eastAsia" w:cs="Times New Roman"/>
          <w:color w:val="auto"/>
          <w:lang w:val="en-US" w:eastAsia="zh-CN"/>
        </w:rPr>
        <w:t>0</w:t>
      </w:r>
      <w:r>
        <w:rPr>
          <w:rFonts w:ascii="Times New Roman" w:hAnsi="Times New Roman" w:eastAsia="宋体" w:cs="Times New Roman"/>
          <w:color w:val="auto"/>
          <w:lang w:val="en-US" w:eastAsia="zh-CN"/>
        </w:rPr>
        <w:t>、破碎设备应按逆生产流程方向联锁启动。</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r>
        <w:rPr>
          <w:rFonts w:hint="eastAsia" w:cs="Times New Roman"/>
          <w:color w:val="auto"/>
          <w:lang w:val="en-US" w:eastAsia="zh-CN"/>
        </w:rPr>
        <w:t>1</w:t>
      </w:r>
      <w:r>
        <w:rPr>
          <w:rFonts w:ascii="Times New Roman" w:hAnsi="Times New Roman" w:eastAsia="宋体" w:cs="Times New Roman"/>
          <w:color w:val="auto"/>
          <w:lang w:val="en-US" w:eastAsia="zh-CN"/>
        </w:rPr>
        <w:t>、联锁局部操作的带式输送机长度超过40m时，应有启动预示信号。</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r>
        <w:rPr>
          <w:rFonts w:hint="eastAsia" w:cs="Times New Roman"/>
          <w:color w:val="auto"/>
          <w:lang w:val="en-US" w:eastAsia="zh-CN"/>
        </w:rPr>
        <w:t>2</w:t>
      </w:r>
      <w:r>
        <w:rPr>
          <w:rFonts w:ascii="Times New Roman" w:hAnsi="Times New Roman" w:eastAsia="宋体" w:cs="Times New Roman"/>
          <w:color w:val="auto"/>
          <w:lang w:val="en-US" w:eastAsia="zh-CN"/>
        </w:rPr>
        <w:t>、贯通多层操作平台的设备，应在各层都能执行停车；若联锁设备开车或停车顺序有误，还应能制动和自动停车。</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r>
        <w:rPr>
          <w:rFonts w:hint="eastAsia" w:cs="Times New Roman"/>
          <w:color w:val="auto"/>
          <w:lang w:val="en-US" w:eastAsia="zh-CN"/>
        </w:rPr>
        <w:t>3</w:t>
      </w:r>
      <w:r>
        <w:rPr>
          <w:rFonts w:ascii="Times New Roman" w:hAnsi="Times New Roman" w:eastAsia="宋体" w:cs="Times New Roman"/>
          <w:color w:val="auto"/>
          <w:lang w:val="en-US" w:eastAsia="zh-CN"/>
        </w:rPr>
        <w:t>、启动机器的装置，应位于能看到机器周围情况的地点，停车开关应设在该机器附近；如在启动装置处看不到被启动的机器，则应有启动预示信号（电铃或指示灯），而且应在得到允许开车的信号后，方可开车。</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r>
        <w:rPr>
          <w:rFonts w:hint="eastAsia" w:cs="Times New Roman"/>
          <w:color w:val="auto"/>
          <w:lang w:val="en-US" w:eastAsia="zh-CN"/>
        </w:rPr>
        <w:t>4</w:t>
      </w:r>
      <w:r>
        <w:rPr>
          <w:rFonts w:ascii="Times New Roman" w:hAnsi="Times New Roman" w:eastAsia="宋体" w:cs="Times New Roman"/>
          <w:color w:val="auto"/>
          <w:lang w:val="en-US" w:eastAsia="zh-CN"/>
        </w:rPr>
        <w:t>、开动浮选设备时，应确认机内无人、无障碍物。运行中的浮选槽，应防止掉入铁件等杂物或影响运转的其他障碍物。</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r>
        <w:rPr>
          <w:rFonts w:hint="eastAsia" w:cs="Times New Roman"/>
          <w:color w:val="auto"/>
          <w:lang w:val="en-US" w:eastAsia="zh-CN"/>
        </w:rPr>
        <w:t>5</w:t>
      </w:r>
      <w:r>
        <w:rPr>
          <w:rFonts w:ascii="Times New Roman" w:hAnsi="Times New Roman" w:eastAsia="宋体" w:cs="Times New Roman"/>
          <w:color w:val="auto"/>
          <w:lang w:val="en-US" w:eastAsia="zh-CN"/>
        </w:rPr>
        <w:t>、更换机械搅拌式浮选机的搅拌器，应用钢丝绳吊运，不应用三角带、磨绳吊运。</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r>
        <w:rPr>
          <w:rFonts w:hint="eastAsia" w:cs="Times New Roman"/>
          <w:color w:val="auto"/>
          <w:lang w:val="en-US" w:eastAsia="zh-CN"/>
        </w:rPr>
        <w:t>6</w:t>
      </w:r>
      <w:r>
        <w:rPr>
          <w:rFonts w:ascii="Times New Roman" w:hAnsi="Times New Roman" w:eastAsia="宋体" w:cs="Times New Roman"/>
          <w:color w:val="auto"/>
          <w:lang w:val="en-US" w:eastAsia="zh-CN"/>
        </w:rPr>
        <w:t>、不应跨在矿浆搅拌槽体上作业。溅堆到槽壁端面的矿泥，应经常用水冲洗干净。</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r>
        <w:rPr>
          <w:rFonts w:hint="eastAsia" w:cs="Times New Roman"/>
          <w:color w:val="auto"/>
          <w:lang w:val="en-US" w:eastAsia="zh-CN"/>
        </w:rPr>
        <w:t>7</w:t>
      </w:r>
      <w:r>
        <w:rPr>
          <w:rFonts w:ascii="Times New Roman" w:hAnsi="Times New Roman" w:eastAsia="宋体" w:cs="Times New Roman"/>
          <w:color w:val="auto"/>
          <w:lang w:val="en-US" w:eastAsia="zh-CN"/>
        </w:rPr>
        <w:t>、浮选机突然停电跳闸时，应立即切断电源开关，同时通知球磨停止给矿。</w:t>
      </w:r>
    </w:p>
    <w:p>
      <w:pPr>
        <w:ind w:firstLine="200"/>
        <w:rPr>
          <w:rFonts w:ascii="Times New Roman" w:hAnsi="Times New Roman" w:eastAsia="宋体" w:cs="Times New Roman"/>
          <w:color w:val="auto"/>
          <w:lang w:val="en-US" w:eastAsia="zh-CN"/>
        </w:rPr>
      </w:pPr>
      <w:r>
        <w:rPr>
          <w:rFonts w:hint="eastAsia" w:cs="Times New Roman"/>
          <w:color w:val="auto"/>
          <w:lang w:val="en-US" w:eastAsia="zh-CN"/>
        </w:rPr>
        <w:t>38</w:t>
      </w:r>
      <w:r>
        <w:rPr>
          <w:rFonts w:ascii="Times New Roman" w:hAnsi="Times New Roman" w:eastAsia="宋体" w:cs="Times New Roman"/>
          <w:color w:val="auto"/>
          <w:lang w:val="en-US" w:eastAsia="zh-CN"/>
        </w:rPr>
        <w:t>、配药间应单独设置，并应设通风装置。人工破碎固体药剂时，正面不得有人。</w:t>
      </w:r>
    </w:p>
    <w:p>
      <w:pPr>
        <w:ind w:firstLine="200"/>
        <w:rPr>
          <w:rFonts w:ascii="Times New Roman" w:hAnsi="Times New Roman" w:eastAsia="宋体" w:cs="Times New Roman"/>
          <w:color w:val="auto"/>
          <w:lang w:val="en-US" w:eastAsia="zh-CN"/>
        </w:rPr>
      </w:pPr>
      <w:r>
        <w:rPr>
          <w:rFonts w:hint="eastAsia" w:cs="Times New Roman"/>
          <w:color w:val="auto"/>
          <w:lang w:val="en-US" w:eastAsia="zh-CN"/>
        </w:rPr>
        <w:t>39</w:t>
      </w:r>
      <w:r>
        <w:rPr>
          <w:rFonts w:ascii="Times New Roman" w:hAnsi="Times New Roman" w:eastAsia="宋体" w:cs="Times New Roman"/>
          <w:color w:val="auto"/>
          <w:lang w:val="en-US" w:eastAsia="zh-CN"/>
        </w:rPr>
        <w:t>、化学药品应按其性质（剧毒、易爆、易燃、易潮、怕光等）进行分类储存、液体与固体应分开储存。易燃、易爆药品应远离火源，分别储存于低温、干燥地点。</w:t>
      </w:r>
    </w:p>
    <w:p>
      <w:pPr>
        <w:ind w:firstLine="200"/>
        <w:rPr>
          <w:rFonts w:ascii="Times New Roman" w:hAnsi="Times New Roman" w:eastAsia="宋体" w:cs="Times New Roman"/>
          <w:color w:val="auto"/>
          <w:lang w:val="en-US" w:eastAsia="zh-CN"/>
        </w:rPr>
      </w:pPr>
      <w:r>
        <w:rPr>
          <w:rFonts w:hint="eastAsia" w:cs="Times New Roman"/>
          <w:color w:val="auto"/>
          <w:lang w:val="en-US" w:eastAsia="zh-CN"/>
        </w:rPr>
        <w:t>40</w:t>
      </w:r>
      <w:r>
        <w:rPr>
          <w:rFonts w:ascii="Times New Roman" w:hAnsi="Times New Roman" w:eastAsia="宋体" w:cs="Times New Roman"/>
          <w:color w:val="auto"/>
          <w:lang w:val="en-US" w:eastAsia="zh-CN"/>
        </w:rPr>
        <w:t>、从大瓶内取用药品，用剩部分不应倒回原瓶，应另装小瓶储存，并加贴标签。</w:t>
      </w:r>
    </w:p>
    <w:p>
      <w:pPr>
        <w:ind w:firstLine="200"/>
        <w:rPr>
          <w:rFonts w:hint="eastAsia" w:cs="Times New Roman"/>
          <w:color w:val="auto"/>
          <w:lang w:val="en-US" w:eastAsia="zh-CN"/>
        </w:rPr>
      </w:pPr>
      <w:r>
        <w:rPr>
          <w:rFonts w:hint="eastAsia" w:cs="Times New Roman"/>
          <w:color w:val="auto"/>
          <w:lang w:val="en-US" w:eastAsia="zh-CN"/>
        </w:rPr>
        <w:t>41、浓硫酸操作人员必须经过上岗培训，严格遵守操作规程和操作卡。严禁烟火；戴防护镜，穿防护服；选用适当呼吸器。避免与碱性物质和水接触。搬运时要轻装轻卸，防止包装及容器损坏。配备泄漏应急处理设备。倒空的容器可能残留有害物。稀释或制备溶液时，应严格遵守在搅拌下将硫酸缓慢加入水中，以免沸腾和飞溅。</w:t>
      </w:r>
    </w:p>
    <w:p>
      <w:pPr>
        <w:ind w:firstLine="200"/>
        <w:rPr>
          <w:rFonts w:hint="default" w:cs="Times New Roman"/>
          <w:color w:val="auto"/>
          <w:lang w:val="en-US" w:eastAsia="zh-CN"/>
        </w:rPr>
      </w:pPr>
      <w:r>
        <w:rPr>
          <w:rFonts w:hint="eastAsia" w:cs="Times New Roman"/>
          <w:color w:val="auto"/>
          <w:lang w:val="en-US" w:eastAsia="zh-CN"/>
        </w:rPr>
        <w:t>42、使用次氯酸钠时，按照所需的浓度和使用量，将适量的次氯酸钠粉未或者液体加入适量的清水中，搅拌均匀，配制成次氯酸钠溶液；使用专业的测量工具，测量次氯酸钠溶液的浓度，确保其符合使用要求；将配制好的次氯酸钠溶液均匀地喷洒或者涂抹在需要消毒的表面，确保覆盖全面。根据需要，可以使用喷雾器或者刷子等工具进行操作。</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43</w:t>
      </w:r>
      <w:r>
        <w:rPr>
          <w:rFonts w:ascii="Times New Roman" w:hAnsi="Times New Roman" w:eastAsia="宋体" w:cs="Times New Roman"/>
          <w:color w:val="auto"/>
          <w:lang w:val="en-US" w:eastAsia="zh-CN"/>
        </w:rPr>
        <w:t>、储存药品，应有明显的标签，对有毒、易爆药品还应有特殊标识。不应随意弄掉标签，以免错用药品发生危险。对无标签而又不明性质的药品，应经化验确认，方可使用。</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44</w:t>
      </w:r>
      <w:r>
        <w:rPr>
          <w:rFonts w:ascii="Times New Roman" w:hAnsi="Times New Roman" w:eastAsia="宋体" w:cs="Times New Roman"/>
          <w:color w:val="auto"/>
          <w:lang w:val="en-US" w:eastAsia="zh-CN"/>
        </w:rPr>
        <w:t>、工作室内经常使用的易燃、易爆或有毒药品，应分别妥善保存在药品柜内，以红色标签注明药品名称规格，并加注</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易燃</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易爆</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有</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等字样。</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45</w:t>
      </w:r>
      <w:r>
        <w:rPr>
          <w:rFonts w:ascii="Times New Roman" w:hAnsi="Times New Roman" w:eastAsia="宋体" w:cs="Times New Roman"/>
          <w:color w:val="auto"/>
          <w:lang w:val="en-US" w:eastAsia="zh-CN"/>
        </w:rPr>
        <w:t>、夜间检查周边传动式浓缩机中心盘或开关流槽闸板，应有良好照明，并在他人监护下进行。</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46</w:t>
      </w:r>
      <w:r>
        <w:rPr>
          <w:rFonts w:ascii="Times New Roman" w:hAnsi="Times New Roman" w:eastAsia="宋体" w:cs="Times New Roman"/>
          <w:color w:val="auto"/>
          <w:lang w:val="en-US" w:eastAsia="zh-CN"/>
        </w:rPr>
        <w:t>、浓缩机的溢流槽外沿，应高出地面至少0.4m；否则，应在靠近路边地段设置安全栏杆。</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47</w:t>
      </w:r>
      <w:r>
        <w:rPr>
          <w:rFonts w:ascii="Times New Roman" w:hAnsi="Times New Roman" w:eastAsia="宋体" w:cs="Times New Roman"/>
          <w:color w:val="auto"/>
          <w:lang w:val="en-US" w:eastAsia="zh-CN"/>
        </w:rPr>
        <w:t>、浓缩机停机之前，应停止给矿，并继续输出矿浆一定时间；恢复正常运行之前，应注意防止浓缩机超负荷运行。</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48</w:t>
      </w:r>
      <w:r>
        <w:rPr>
          <w:rFonts w:ascii="Times New Roman" w:hAnsi="Times New Roman" w:eastAsia="宋体" w:cs="Times New Roman"/>
          <w:color w:val="auto"/>
          <w:lang w:val="en-US" w:eastAsia="zh-CN"/>
        </w:rPr>
        <w:t>、高位水池、回水池应设置安全护栏，并悬挂安全警示牌，防止发生淹溺事故。</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49</w:t>
      </w:r>
      <w:r>
        <w:rPr>
          <w:rFonts w:ascii="Times New Roman" w:hAnsi="Times New Roman" w:eastAsia="宋体" w:cs="Times New Roman"/>
          <w:color w:val="auto"/>
          <w:lang w:val="en-US" w:eastAsia="zh-CN"/>
        </w:rPr>
        <w:t>、根据工艺物料的性质选择设备、管道材料，使之满足工艺、压力及介质的要求，必须考虑检查和维修的安全性、方便性，必要时应随设备配备专用检查、维修工具或装置；尽量选用本质安全型设备，提高整个项目本质安全度。对于重要设备及其附属设施，应选用有国家承认资质的企业的定型产品，由取得国家承认的资质的专业队伍进行安装施工，并按照国家规定取得相应的质监部门的检验合格证和使用许可证。</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50</w:t>
      </w:r>
      <w:r>
        <w:rPr>
          <w:rFonts w:ascii="Times New Roman" w:hAnsi="Times New Roman" w:eastAsia="宋体" w:cs="Times New Roman"/>
          <w:color w:val="auto"/>
          <w:lang w:val="en-US" w:eastAsia="zh-CN"/>
        </w:rPr>
        <w:t>、对工艺管道、压力管道的设计、制造、安装和试压，应符合国家现行的标准和规范，投入使用前，应取得有关质监部门的检验合格证书。</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5</w:t>
      </w:r>
      <w:r>
        <w:rPr>
          <w:rFonts w:hint="eastAsia" w:ascii="Times New Roman" w:hAnsi="Times New Roman" w:eastAsia="宋体" w:cs="Times New Roman"/>
          <w:color w:val="auto"/>
          <w:lang w:val="en-US" w:eastAsia="zh-CN"/>
        </w:rPr>
        <w:t>1</w:t>
      </w:r>
      <w:r>
        <w:rPr>
          <w:rFonts w:ascii="Times New Roman" w:hAnsi="Times New Roman" w:eastAsia="宋体" w:cs="Times New Roman"/>
          <w:color w:val="auto"/>
          <w:lang w:val="en-US" w:eastAsia="zh-CN"/>
        </w:rPr>
        <w:t>、对所有设备、装置和管线以及安装支架等，采用适当的方法进行防腐等防护处理，并按介质的不同采用规范的颜色进行表面涂色。设备应标明内部介质及流向。</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5</w:t>
      </w:r>
      <w:r>
        <w:rPr>
          <w:rFonts w:hint="eastAsia" w:ascii="Times New Roman" w:hAnsi="Times New Roman" w:eastAsia="宋体" w:cs="Times New Roman"/>
          <w:color w:val="auto"/>
          <w:lang w:val="en-US" w:eastAsia="zh-CN"/>
        </w:rPr>
        <w:t>2</w:t>
      </w:r>
      <w:r>
        <w:rPr>
          <w:rFonts w:ascii="Times New Roman" w:hAnsi="Times New Roman" w:eastAsia="宋体" w:cs="Times New Roman"/>
          <w:color w:val="auto"/>
          <w:lang w:val="en-US" w:eastAsia="zh-CN"/>
        </w:rPr>
        <w:t>、生产装置内有发生坠落危险的操作岗位时，应按规定设计便于操作、巡检和维修作业的扶梯、平台、围栏等附属设施。对于检修平台、扶梯等结构，严格按规范设计制作。扶梯、平台和栏杆应符合《固定式钢直梯安全技术条件》、《固定式钢斜梯安全技术条件》、《固定式工业防护栏杆安全技术条件》的规定。</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5</w:t>
      </w:r>
      <w:r>
        <w:rPr>
          <w:rFonts w:hint="eastAsia" w:ascii="Times New Roman" w:hAnsi="Times New Roman" w:eastAsia="宋体" w:cs="Times New Roman"/>
          <w:color w:val="auto"/>
          <w:lang w:val="en-US" w:eastAsia="zh-CN"/>
        </w:rPr>
        <w:t>3</w:t>
      </w:r>
      <w:r>
        <w:rPr>
          <w:rFonts w:ascii="Times New Roman" w:hAnsi="Times New Roman" w:eastAsia="宋体" w:cs="Times New Roman"/>
          <w:color w:val="auto"/>
          <w:lang w:val="en-US" w:eastAsia="zh-CN"/>
        </w:rPr>
        <w:t>、对高噪声生产设备采取基础减震处理，岗位操作人员佩戴防护用品。对噪声较高的辅助设备如各类风机等订货时，采用低噪音设备，并安装消音器，降低对车间环境的影响。</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5</w:t>
      </w:r>
      <w:r>
        <w:rPr>
          <w:rFonts w:hint="eastAsia" w:ascii="Times New Roman" w:hAnsi="Times New Roman" w:eastAsia="宋体" w:cs="Times New Roman"/>
          <w:color w:val="auto"/>
          <w:lang w:val="en-US" w:eastAsia="zh-CN"/>
        </w:rPr>
        <w:t>4</w:t>
      </w:r>
      <w:r>
        <w:rPr>
          <w:rFonts w:ascii="Times New Roman" w:hAnsi="Times New Roman" w:eastAsia="宋体" w:cs="Times New Roman"/>
          <w:color w:val="auto"/>
          <w:lang w:val="en-US" w:eastAsia="zh-CN"/>
        </w:rPr>
        <w:t>、设计输送具有高温灼伤危害物质的生产过程时，应合理选择流程、设备和管道结构及材料，防止物料外漏或撞溅，设置相应的仪表、报警信号、自动联锁保护系统和紧急停车措施。。</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5</w:t>
      </w:r>
      <w:r>
        <w:rPr>
          <w:rFonts w:hint="eastAsia" w:ascii="Times New Roman" w:hAnsi="Times New Roman" w:eastAsia="宋体" w:cs="Times New Roman"/>
          <w:color w:val="auto"/>
          <w:lang w:val="en-US" w:eastAsia="zh-CN"/>
        </w:rPr>
        <w:t>5</w:t>
      </w:r>
      <w:r>
        <w:rPr>
          <w:rFonts w:ascii="Times New Roman" w:hAnsi="Times New Roman" w:eastAsia="宋体" w:cs="Times New Roman"/>
          <w:color w:val="auto"/>
          <w:lang w:val="en-US" w:eastAsia="zh-CN"/>
        </w:rPr>
        <w:t>、以操作人员的操作位置所在平面为基准，凡高度在2m之内的所有传动、转动等危险零部件及危险部位，都必须设置安全防护装置。</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56</w:t>
      </w:r>
      <w:r>
        <w:rPr>
          <w:rFonts w:ascii="Times New Roman" w:hAnsi="Times New Roman" w:eastAsia="宋体" w:cs="Times New Roman"/>
          <w:color w:val="auto"/>
          <w:lang w:val="en-US" w:eastAsia="zh-CN"/>
        </w:rPr>
        <w:t>、电器仪表、计量器具的质量应符合国家的有关规定。其安装位置和手动操作阀的位置，均应便于操作、观察、检修和维修保养。压力表和温度计的表盘直径应大于100mm。</w:t>
      </w:r>
    </w:p>
    <w:p>
      <w:pPr>
        <w:pStyle w:val="3"/>
        <w:bidi w:val="0"/>
        <w:rPr>
          <w:rFonts w:hint="eastAsia"/>
          <w:color w:val="auto"/>
          <w:lang w:val="en-US" w:eastAsia="zh-CN"/>
        </w:rPr>
      </w:pPr>
      <w:bookmarkStart w:id="313" w:name="_Toc25405"/>
      <w:bookmarkStart w:id="314" w:name="_Toc29899"/>
      <w:r>
        <w:rPr>
          <w:rFonts w:hint="eastAsia"/>
          <w:color w:val="auto"/>
          <w:lang w:val="en-US" w:eastAsia="zh-CN"/>
        </w:rPr>
        <w:t>6.4 辅助设施</w:t>
      </w:r>
      <w:bookmarkEnd w:id="313"/>
      <w:bookmarkEnd w:id="314"/>
    </w:p>
    <w:p>
      <w:pPr>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卸料平台应有反坡，原矿仓卸料口应设高度为轮胎直径1/3的车档，车档应坚固稳定。同时，卸料口还需要设置安全警示牌、喷雾降尘装置或通风除尘设施，顶部应设限位限高栏杆。</w:t>
      </w:r>
    </w:p>
    <w:p>
      <w:pPr>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除尘系统运行控制应具备系统的启停顺序、系统与生产工艺设备的联锁、运行参数的超限报警及自动保护等功能。</w:t>
      </w:r>
    </w:p>
    <w:p>
      <w:pPr>
        <w:rPr>
          <w:rFonts w:hint="default"/>
          <w:color w:val="auto"/>
          <w:lang w:val="en-US" w:eastAsia="zh-CN"/>
        </w:rPr>
      </w:pPr>
      <w:r>
        <w:rPr>
          <w:rFonts w:hint="eastAsia"/>
          <w:color w:val="auto"/>
          <w:lang w:val="en-US" w:eastAsia="zh-CN"/>
        </w:rPr>
        <w:t>3. 本项目的除尘系统流程设计不太合理，收集到的灰尘中也有不少的资源，不应直接外排，应进行重复利用。</w:t>
      </w:r>
    </w:p>
    <w:p>
      <w:pPr>
        <w:rPr>
          <w:rFonts w:hint="default"/>
          <w:color w:val="auto"/>
          <w:lang w:val="en-US" w:eastAsia="zh-CN"/>
        </w:rPr>
      </w:pPr>
      <w:r>
        <w:rPr>
          <w:rFonts w:hint="eastAsia"/>
          <w:color w:val="auto"/>
          <w:lang w:val="en-US" w:eastAsia="zh-CN"/>
        </w:rPr>
        <w:t>4</w:t>
      </w:r>
      <w:r>
        <w:rPr>
          <w:rFonts w:hint="default"/>
          <w:color w:val="auto"/>
          <w:lang w:val="en-US" w:eastAsia="zh-CN"/>
        </w:rPr>
        <w:t>.</w:t>
      </w:r>
      <w:r>
        <w:rPr>
          <w:rFonts w:hint="eastAsia"/>
          <w:color w:val="auto"/>
          <w:lang w:val="en-US" w:eastAsia="zh-CN"/>
        </w:rPr>
        <w:t xml:space="preserve"> </w:t>
      </w:r>
      <w:r>
        <w:rPr>
          <w:rFonts w:hint="default"/>
          <w:color w:val="auto"/>
          <w:lang w:val="en-US" w:eastAsia="zh-CN"/>
        </w:rPr>
        <w:t>特种设备的安全措施</w:t>
      </w:r>
    </w:p>
    <w:p>
      <w:pPr>
        <w:rPr>
          <w:rFonts w:hint="default"/>
          <w:color w:val="auto"/>
          <w:lang w:val="en-US" w:eastAsia="zh-CN"/>
        </w:rPr>
      </w:pPr>
      <w:r>
        <w:rPr>
          <w:rFonts w:hint="default"/>
          <w:color w:val="auto"/>
          <w:lang w:val="en-US" w:eastAsia="zh-CN"/>
        </w:rPr>
        <w:t>（1）工作地点设足够的照明设施和畅通的吊运通道，与附近的设备和建筑物保持一定的安全距离。</w:t>
      </w:r>
    </w:p>
    <w:p>
      <w:pPr>
        <w:rPr>
          <w:rFonts w:hint="default"/>
          <w:color w:val="auto"/>
          <w:lang w:val="en-US" w:eastAsia="zh-CN"/>
        </w:rPr>
      </w:pPr>
      <w:r>
        <w:rPr>
          <w:rFonts w:hint="default"/>
          <w:color w:val="auto"/>
          <w:lang w:val="en-US" w:eastAsia="zh-CN"/>
        </w:rPr>
        <w:t>起重机应按设计规范合理配备，其安全装置必须齐全并保护灵敏状态。起重机械操作人员应经过安全技术培训考核，持证上岗。</w:t>
      </w:r>
    </w:p>
    <w:p>
      <w:pPr>
        <w:rPr>
          <w:rFonts w:hint="default"/>
          <w:color w:val="auto"/>
          <w:lang w:val="en-US" w:eastAsia="zh-CN"/>
        </w:rPr>
      </w:pPr>
      <w:r>
        <w:rPr>
          <w:rFonts w:hint="default"/>
          <w:color w:val="auto"/>
          <w:lang w:val="en-US" w:eastAsia="zh-CN"/>
        </w:rPr>
        <w:t>（2）操作起重机应遵守下列规定：烟雾太浓，视线不清或信号不明，均应停止作业；不应斜拉斜吊、拖拉物体、吊拔埋在地下且其重量不明物体；被吊物体不应从人员上方通过；吊运物体时不应调整制动器，制动垫磨损不正常或磨损超过一半应立即更换；起重机吊钩达到最低位置时，卷筒上的钢丝绳不应少于二圈。</w:t>
      </w:r>
    </w:p>
    <w:p>
      <w:pPr>
        <w:rPr>
          <w:rFonts w:hint="default"/>
          <w:color w:val="auto"/>
          <w:lang w:val="en-US" w:eastAsia="zh-CN"/>
        </w:rPr>
      </w:pPr>
      <w:r>
        <w:rPr>
          <w:rFonts w:hint="default"/>
          <w:color w:val="auto"/>
          <w:lang w:val="en-US" w:eastAsia="zh-CN"/>
        </w:rPr>
        <w:t>（3）非起重机工不得操作起重机；作业人员应在指定的地点上下起重机，不应在轨道旁边行走。</w:t>
      </w:r>
    </w:p>
    <w:p>
      <w:pPr>
        <w:rPr>
          <w:rFonts w:hint="default"/>
          <w:color w:val="auto"/>
          <w:lang w:val="en-US" w:eastAsia="zh-CN"/>
        </w:rPr>
      </w:pPr>
      <w:r>
        <w:rPr>
          <w:rFonts w:hint="default"/>
          <w:color w:val="auto"/>
          <w:lang w:val="en-US" w:eastAsia="zh-CN"/>
        </w:rPr>
        <w:t>（4）检修前要检查确认工具完好，并做好不同工种的配合。</w:t>
      </w:r>
    </w:p>
    <w:p>
      <w:pPr>
        <w:rPr>
          <w:rFonts w:hint="default"/>
          <w:color w:val="auto"/>
          <w:lang w:val="en-US" w:eastAsia="zh-CN"/>
        </w:rPr>
      </w:pPr>
      <w:r>
        <w:rPr>
          <w:rFonts w:hint="default"/>
          <w:color w:val="auto"/>
          <w:lang w:val="en-US" w:eastAsia="zh-CN"/>
        </w:rPr>
        <w:t>（5）操作起重机时，不得同时使起重机同时处于上下、左右、前后等运行状态。</w:t>
      </w:r>
    </w:p>
    <w:p>
      <w:pPr>
        <w:rPr>
          <w:rFonts w:hint="default"/>
          <w:color w:val="auto"/>
          <w:lang w:val="en-US" w:eastAsia="zh-CN"/>
        </w:rPr>
      </w:pPr>
      <w:r>
        <w:rPr>
          <w:rFonts w:hint="default"/>
          <w:color w:val="auto"/>
          <w:lang w:val="en-US" w:eastAsia="zh-CN"/>
        </w:rPr>
        <w:t>（6）起重作业</w:t>
      </w:r>
      <w:r>
        <w:rPr>
          <w:rFonts w:hint="eastAsia"/>
          <w:color w:val="auto"/>
          <w:lang w:val="en-US" w:eastAsia="zh-CN"/>
        </w:rPr>
        <w:t>“</w:t>
      </w:r>
      <w:r>
        <w:rPr>
          <w:rFonts w:hint="default"/>
          <w:color w:val="auto"/>
          <w:lang w:val="en-US" w:eastAsia="zh-CN"/>
        </w:rPr>
        <w:t>十不吊</w:t>
      </w:r>
      <w:r>
        <w:rPr>
          <w:rFonts w:hint="eastAsia"/>
          <w:color w:val="auto"/>
          <w:lang w:val="en-US" w:eastAsia="zh-CN"/>
        </w:rPr>
        <w:t>”</w:t>
      </w:r>
      <w:r>
        <w:rPr>
          <w:rFonts w:hint="default"/>
          <w:color w:val="auto"/>
          <w:lang w:val="en-US" w:eastAsia="zh-CN"/>
        </w:rPr>
        <w:t>原则内容：</w:t>
      </w:r>
    </w:p>
    <w:p>
      <w:pPr>
        <w:rPr>
          <w:rFonts w:hint="default"/>
          <w:color w:val="auto"/>
          <w:lang w:val="en-US" w:eastAsia="zh-CN"/>
        </w:rPr>
      </w:pPr>
      <w:r>
        <w:rPr>
          <w:rFonts w:hint="eastAsia"/>
          <w:color w:val="auto"/>
          <w:lang w:val="en-US" w:eastAsia="zh-CN"/>
        </w:rPr>
        <w:t>1</w:t>
      </w:r>
      <w:r>
        <w:rPr>
          <w:rFonts w:hint="default"/>
          <w:color w:val="auto"/>
          <w:lang w:val="en-US" w:eastAsia="zh-CN"/>
        </w:rPr>
        <w:t>）指挥信号不明或违章指挥不吊。对起吊物进行移动、吊升、停止、安装时的全过程应用旗语或通用手势信号进行指挥，信号不明不得起吊。</w:t>
      </w:r>
    </w:p>
    <w:p>
      <w:pPr>
        <w:rPr>
          <w:rFonts w:hint="default"/>
          <w:color w:val="auto"/>
          <w:lang w:val="en-US" w:eastAsia="zh-CN"/>
        </w:rPr>
      </w:pPr>
      <w:r>
        <w:rPr>
          <w:rFonts w:hint="eastAsia"/>
          <w:color w:val="auto"/>
          <w:lang w:val="en-US" w:eastAsia="zh-CN"/>
        </w:rPr>
        <w:t>2</w:t>
      </w:r>
      <w:r>
        <w:rPr>
          <w:rFonts w:hint="default"/>
          <w:color w:val="auto"/>
          <w:lang w:val="en-US" w:eastAsia="zh-CN"/>
        </w:rPr>
        <w:t>）斜牵斜挂不准吊。起吊的构件应确保在起重机吊杆顶的正下方，严禁采用斜拉、斜吊。</w:t>
      </w:r>
    </w:p>
    <w:p>
      <w:pPr>
        <w:rPr>
          <w:rFonts w:hint="default"/>
          <w:color w:val="auto"/>
          <w:lang w:val="en-US" w:eastAsia="zh-CN"/>
        </w:rPr>
      </w:pPr>
      <w:r>
        <w:rPr>
          <w:rFonts w:hint="eastAsia"/>
          <w:color w:val="auto"/>
          <w:lang w:val="en-US" w:eastAsia="zh-CN"/>
        </w:rPr>
        <w:t>3</w:t>
      </w:r>
      <w:r>
        <w:rPr>
          <w:rFonts w:hint="default"/>
          <w:color w:val="auto"/>
          <w:lang w:val="en-US" w:eastAsia="zh-CN"/>
        </w:rPr>
        <w:t>）吊物重量不明或超负荷不准吊。严禁超载吊装和起吊重量不明的重大构件和设备。</w:t>
      </w:r>
    </w:p>
    <w:p>
      <w:pPr>
        <w:rPr>
          <w:rFonts w:hint="default"/>
          <w:color w:val="auto"/>
          <w:lang w:val="en-US" w:eastAsia="zh-CN"/>
        </w:rPr>
      </w:pPr>
      <w:r>
        <w:rPr>
          <w:rFonts w:hint="eastAsia"/>
          <w:color w:val="auto"/>
          <w:lang w:val="en-US" w:eastAsia="zh-CN"/>
        </w:rPr>
        <w:t>4</w:t>
      </w:r>
      <w:r>
        <w:rPr>
          <w:rFonts w:hint="default"/>
          <w:color w:val="auto"/>
          <w:lang w:val="en-US" w:eastAsia="zh-CN"/>
        </w:rPr>
        <w:t>）散物捆扎不牢或物料装放过满不准吊。起吊前应先检查吊物的平衡性和绑扎的牢固性，确认无误后，方可起吊，吊物捆扎不牢严禁起吊。</w:t>
      </w:r>
    </w:p>
    <w:p>
      <w:pPr>
        <w:rPr>
          <w:rFonts w:hint="default"/>
          <w:color w:val="auto"/>
          <w:lang w:val="en-US" w:eastAsia="zh-CN"/>
        </w:rPr>
      </w:pPr>
      <w:r>
        <w:rPr>
          <w:rFonts w:hint="eastAsia"/>
          <w:color w:val="auto"/>
          <w:lang w:val="en-US" w:eastAsia="zh-CN"/>
        </w:rPr>
        <w:t>5</w:t>
      </w:r>
      <w:r>
        <w:rPr>
          <w:rFonts w:hint="default"/>
          <w:color w:val="auto"/>
          <w:lang w:val="en-US" w:eastAsia="zh-CN"/>
        </w:rPr>
        <w:t>）吊物上站人或有活动物体不吊。严禁在吊起的构件上行走或站立，不得用起重机载运人员，不得在构件上堆放或悬挂零星物件。</w:t>
      </w:r>
    </w:p>
    <w:p>
      <w:pPr>
        <w:rPr>
          <w:rFonts w:hint="default"/>
          <w:color w:val="auto"/>
          <w:lang w:val="en-US" w:eastAsia="zh-CN"/>
        </w:rPr>
      </w:pPr>
      <w:r>
        <w:rPr>
          <w:rFonts w:hint="eastAsia"/>
          <w:color w:val="auto"/>
          <w:lang w:val="en-US" w:eastAsia="zh-CN"/>
        </w:rPr>
        <w:t>6</w:t>
      </w:r>
      <w:r>
        <w:rPr>
          <w:rFonts w:hint="default"/>
          <w:color w:val="auto"/>
          <w:lang w:val="en-US" w:eastAsia="zh-CN"/>
        </w:rPr>
        <w:t>）埋在地下物不准吊。严禁起吊埋于地下或粘结在地面上的构件。</w:t>
      </w:r>
    </w:p>
    <w:p>
      <w:pPr>
        <w:rPr>
          <w:rFonts w:hint="default"/>
          <w:color w:val="auto"/>
          <w:lang w:val="en-US" w:eastAsia="zh-CN"/>
        </w:rPr>
      </w:pPr>
      <w:r>
        <w:rPr>
          <w:rFonts w:hint="eastAsia"/>
          <w:color w:val="auto"/>
          <w:lang w:val="en-US" w:eastAsia="zh-CN"/>
        </w:rPr>
        <w:t>7</w:t>
      </w:r>
      <w:r>
        <w:rPr>
          <w:rFonts w:hint="default"/>
          <w:color w:val="auto"/>
          <w:lang w:val="en-US" w:eastAsia="zh-CN"/>
        </w:rPr>
        <w:t>）安全装置不齐全或带病，或动作不灵敏、失效者不吊。起重机的变幅指示器、力矩限制器和限位开关等安全保护装置，必须齐全完整、灵活可靠，安全装置不齐全或动作不灵敏、失效者严禁起吊。</w:t>
      </w:r>
    </w:p>
    <w:p>
      <w:pPr>
        <w:rPr>
          <w:rFonts w:hint="default"/>
          <w:color w:val="auto"/>
          <w:lang w:val="en-US" w:eastAsia="zh-CN"/>
        </w:rPr>
      </w:pPr>
      <w:r>
        <w:rPr>
          <w:rFonts w:hint="eastAsia"/>
          <w:color w:val="auto"/>
          <w:lang w:val="en-US" w:eastAsia="zh-CN"/>
        </w:rPr>
        <w:t>8</w:t>
      </w:r>
      <w:r>
        <w:rPr>
          <w:rFonts w:hint="default"/>
          <w:color w:val="auto"/>
          <w:lang w:val="en-US" w:eastAsia="zh-CN"/>
        </w:rPr>
        <w:t>）现场光线阴暗、视线看不清吊物起落点不吊。吊装作业夜间施工时必须有足够的照明，光线阴暗、视线不清严禁起吊。</w:t>
      </w:r>
    </w:p>
    <w:p>
      <w:pPr>
        <w:rPr>
          <w:rFonts w:hint="default"/>
          <w:color w:val="auto"/>
          <w:lang w:val="en-US" w:eastAsia="zh-CN"/>
        </w:rPr>
      </w:pPr>
      <w:r>
        <w:rPr>
          <w:rFonts w:hint="eastAsia"/>
          <w:color w:val="auto"/>
          <w:lang w:val="en-US" w:eastAsia="zh-CN"/>
        </w:rPr>
        <w:t>9</w:t>
      </w:r>
      <w:r>
        <w:rPr>
          <w:rFonts w:hint="default"/>
          <w:color w:val="auto"/>
          <w:lang w:val="en-US" w:eastAsia="zh-CN"/>
        </w:rPr>
        <w:t>）吊物边缘锋利、无防护措施不吊。吊装有棱角的物件时，必须垫以木板或麻袋等物，吊物边缘锋利无防护措施严禁起吊。棱刃物与钢丝绳直接接触无保护措施不准吊。</w:t>
      </w:r>
    </w:p>
    <w:p>
      <w:pPr>
        <w:rPr>
          <w:rFonts w:hint="default"/>
          <w:color w:val="auto"/>
          <w:lang w:val="en-US" w:eastAsia="zh-CN"/>
        </w:rPr>
      </w:pPr>
      <w:r>
        <w:rPr>
          <w:rFonts w:hint="default"/>
          <w:color w:val="auto"/>
          <w:lang w:val="en-US" w:eastAsia="zh-CN"/>
        </w:rPr>
        <w:t>1</w:t>
      </w:r>
      <w:r>
        <w:rPr>
          <w:rFonts w:hint="eastAsia"/>
          <w:color w:val="auto"/>
          <w:lang w:val="en-US" w:eastAsia="zh-CN"/>
        </w:rPr>
        <w:t>0</w:t>
      </w:r>
      <w:r>
        <w:rPr>
          <w:rFonts w:hint="default"/>
          <w:color w:val="auto"/>
          <w:lang w:val="en-US" w:eastAsia="zh-CN"/>
        </w:rPr>
        <w:t>）六级以上大风或大雨、大雪、大雾等恶劣天气不吊。大雨天、雾天、大雪天及六级以上大风天等恶劣天气应停止吊装作业。</w:t>
      </w:r>
    </w:p>
    <w:p>
      <w:pPr>
        <w:rPr>
          <w:rFonts w:hint="default"/>
          <w:color w:val="auto"/>
          <w:lang w:val="en-US" w:eastAsia="zh-CN"/>
        </w:rPr>
      </w:pPr>
      <w:r>
        <w:rPr>
          <w:rFonts w:hint="default"/>
          <w:color w:val="auto"/>
          <w:lang w:val="en-US" w:eastAsia="zh-CN"/>
        </w:rPr>
        <w:t>（</w:t>
      </w:r>
      <w:r>
        <w:rPr>
          <w:rFonts w:hint="eastAsia"/>
          <w:color w:val="auto"/>
          <w:lang w:val="en-US" w:eastAsia="zh-CN"/>
        </w:rPr>
        <w:t>7</w:t>
      </w:r>
      <w:r>
        <w:rPr>
          <w:rFonts w:hint="default"/>
          <w:color w:val="auto"/>
          <w:lang w:val="en-US" w:eastAsia="zh-CN"/>
        </w:rPr>
        <w:t>）叉车应在规定的通道、规定的区域内行驶和操作，双行道靠右行驶。小心驾驶，避免叉车碰、撞、擦、刮墙壁、门、货物、柱、树等。叉车操作时注意力要集中，不能走神分心，不能打瞌睡和使用手机，不能与旁人交谈，不要做与叉车操作无关的不安全动作。</w:t>
      </w:r>
    </w:p>
    <w:p>
      <w:pPr>
        <w:rPr>
          <w:rFonts w:hint="default"/>
          <w:color w:val="auto"/>
          <w:lang w:val="en-US" w:eastAsia="zh-CN"/>
        </w:rPr>
      </w:pPr>
      <w:r>
        <w:rPr>
          <w:rFonts w:hint="default"/>
          <w:color w:val="auto"/>
          <w:lang w:val="en-US" w:eastAsia="zh-CN"/>
        </w:rPr>
        <w:t>（</w:t>
      </w:r>
      <w:r>
        <w:rPr>
          <w:rFonts w:hint="eastAsia"/>
          <w:color w:val="auto"/>
          <w:lang w:val="en-US" w:eastAsia="zh-CN"/>
        </w:rPr>
        <w:t>8</w:t>
      </w:r>
      <w:r>
        <w:rPr>
          <w:rFonts w:hint="default"/>
          <w:color w:val="auto"/>
          <w:lang w:val="en-US" w:eastAsia="zh-CN"/>
        </w:rPr>
        <w:t>）特种设备安全管理建议：</w:t>
      </w:r>
    </w:p>
    <w:p>
      <w:pPr>
        <w:rPr>
          <w:rFonts w:hint="default"/>
          <w:color w:val="auto"/>
          <w:lang w:val="en-US" w:eastAsia="zh-CN"/>
        </w:rPr>
      </w:pPr>
      <w:r>
        <w:rPr>
          <w:rFonts w:hint="eastAsia"/>
          <w:color w:val="auto"/>
          <w:lang w:val="en-US" w:eastAsia="zh-CN"/>
        </w:rPr>
        <w:t>1）</w:t>
      </w:r>
      <w:r>
        <w:rPr>
          <w:rFonts w:hint="default"/>
          <w:color w:val="auto"/>
          <w:lang w:val="en-US" w:eastAsia="zh-CN"/>
        </w:rPr>
        <w:t>企业未来生产运行中使用有特种设备，如起重机、叉车、储气罐等，应严格贯彻《中华人民共和国特种设备安全法》《特种设备安全监察条例（2009年修订）》《特种设备安全监督检查办法》等法律法规，在特种设备部件、整机的订货、采购、安装、调试和使用环节中，注意国家资质许可的要求，应在建设过程中进行安装、检验、注册，并办理登记使用证，及时办理特种设备的检验－效验相关证书，以后定期进行检验并出具检验报告，对所有特种设备应建立管理档案。</w:t>
      </w:r>
    </w:p>
    <w:p>
      <w:pPr>
        <w:rPr>
          <w:rFonts w:hint="default"/>
          <w:color w:val="auto"/>
          <w:lang w:val="en-US" w:eastAsia="zh-CN"/>
        </w:rPr>
      </w:pPr>
      <w:r>
        <w:rPr>
          <w:rFonts w:hint="eastAsia"/>
          <w:color w:val="auto"/>
          <w:lang w:val="en-US" w:eastAsia="zh-CN"/>
        </w:rPr>
        <w:t>2）</w:t>
      </w:r>
      <w:r>
        <w:rPr>
          <w:rFonts w:hint="default"/>
          <w:color w:val="auto"/>
          <w:lang w:val="en-US" w:eastAsia="zh-CN"/>
        </w:rPr>
        <w:t>建立完整的特种设备使用操作和维护规程，建立相关安全生产管理制度，建立特种设备的专门运行记录档案，将特种设备的安全管理责任落实到人。</w:t>
      </w:r>
    </w:p>
    <w:p>
      <w:pPr>
        <w:rPr>
          <w:rFonts w:hint="default"/>
          <w:color w:val="auto"/>
          <w:lang w:val="en-US" w:eastAsia="zh-CN"/>
        </w:rPr>
      </w:pPr>
      <w:r>
        <w:rPr>
          <w:rFonts w:hint="eastAsia"/>
          <w:color w:val="auto"/>
          <w:lang w:val="en-US" w:eastAsia="zh-CN"/>
        </w:rPr>
        <w:t>3）</w:t>
      </w:r>
      <w:r>
        <w:rPr>
          <w:rFonts w:hint="default"/>
          <w:color w:val="auto"/>
          <w:lang w:val="en-US" w:eastAsia="zh-CN"/>
        </w:rPr>
        <w:t>特种作业人员如电工、焊工、起重工、叉车工、危险化学品保管人员等应经专业培训并取得具有资质的机构发放的特种作业操作证。应为电工、焊工、危险化学品保管人员发放专门的劳动防护用品和专用工具，并教育、督促检查其正确佩戴、使用、保管。</w:t>
      </w:r>
    </w:p>
    <w:p>
      <w:pPr>
        <w:rPr>
          <w:rFonts w:hint="default"/>
          <w:color w:val="auto"/>
          <w:lang w:val="en-US" w:eastAsia="zh-CN"/>
        </w:rPr>
      </w:pPr>
      <w:r>
        <w:rPr>
          <w:rFonts w:hint="default"/>
          <w:color w:val="auto"/>
          <w:lang w:val="en-US" w:eastAsia="zh-CN"/>
        </w:rPr>
        <w:t>（</w:t>
      </w:r>
      <w:r>
        <w:rPr>
          <w:rFonts w:hint="eastAsia"/>
          <w:color w:val="auto"/>
          <w:lang w:val="en-US" w:eastAsia="zh-CN"/>
        </w:rPr>
        <w:t>9</w:t>
      </w:r>
      <w:r>
        <w:rPr>
          <w:rFonts w:hint="default"/>
          <w:color w:val="auto"/>
          <w:lang w:val="en-US" w:eastAsia="zh-CN"/>
        </w:rPr>
        <w:t>）在选厂药剂制备间、添加室及试化验室等散发有害气体的工作点采用强制式通风换气，以保持工作环境质量满足工业卫生标准要求。厂房均应设良好通风换气、散热装置，钢结构须涂覆防腐蚀涂料，并按规定设置消火管路系统和消防栓，消除栓应有足够的水量和水压。</w:t>
      </w:r>
    </w:p>
    <w:p>
      <w:pPr>
        <w:rPr>
          <w:rFonts w:hint="default"/>
          <w:color w:val="auto"/>
          <w:lang w:val="en-US" w:eastAsia="zh-CN"/>
        </w:rPr>
      </w:pPr>
      <w:r>
        <w:rPr>
          <w:rFonts w:hint="default"/>
          <w:color w:val="auto"/>
          <w:lang w:val="en-US" w:eastAsia="zh-CN"/>
        </w:rPr>
        <w:t>（</w:t>
      </w:r>
      <w:r>
        <w:rPr>
          <w:rFonts w:hint="eastAsia"/>
          <w:color w:val="auto"/>
          <w:lang w:val="en-US" w:eastAsia="zh-CN"/>
        </w:rPr>
        <w:t>10</w:t>
      </w:r>
      <w:r>
        <w:rPr>
          <w:rFonts w:hint="default"/>
          <w:color w:val="auto"/>
          <w:lang w:val="en-US" w:eastAsia="zh-CN"/>
        </w:rPr>
        <w:t>）给药工应配备防毒口罩、橡胶手套等劳保用品。</w:t>
      </w:r>
    </w:p>
    <w:p>
      <w:pPr>
        <w:rPr>
          <w:rFonts w:hint="default"/>
          <w:color w:val="auto"/>
          <w:lang w:val="en-US" w:eastAsia="zh-CN"/>
        </w:rPr>
      </w:pPr>
      <w:r>
        <w:rPr>
          <w:rFonts w:hint="default"/>
          <w:color w:val="auto"/>
          <w:lang w:val="en-US" w:eastAsia="zh-CN"/>
        </w:rPr>
        <w:t>（1</w:t>
      </w:r>
      <w:r>
        <w:rPr>
          <w:rFonts w:hint="eastAsia"/>
          <w:color w:val="auto"/>
          <w:lang w:val="en-US" w:eastAsia="zh-CN"/>
        </w:rPr>
        <w:t>1</w:t>
      </w:r>
      <w:r>
        <w:rPr>
          <w:rFonts w:hint="default"/>
          <w:color w:val="auto"/>
          <w:lang w:val="en-US" w:eastAsia="zh-CN"/>
        </w:rPr>
        <w:t>）厂房内应设置排风系统，一般生产区房间设房间通风，设计通风换气次数均应按2～10次/h计算。存在有毒物质的分析、试化验应设置通风橱。</w:t>
      </w:r>
    </w:p>
    <w:p>
      <w:pPr>
        <w:rPr>
          <w:rFonts w:hint="default"/>
          <w:color w:val="auto"/>
          <w:lang w:val="en-US" w:eastAsia="zh-CN"/>
        </w:rPr>
      </w:pPr>
      <w:r>
        <w:rPr>
          <w:rFonts w:hint="eastAsia"/>
          <w:color w:val="auto"/>
          <w:lang w:val="en-US" w:eastAsia="zh-CN"/>
        </w:rPr>
        <w:t>1）</w:t>
      </w:r>
      <w:r>
        <w:rPr>
          <w:rFonts w:hint="default"/>
          <w:color w:val="auto"/>
          <w:lang w:val="en-US" w:eastAsia="zh-CN"/>
        </w:rPr>
        <w:t>各产尘点应尽量密闭，并设置除尘罩负压排风。各排风点设手动蜗杆插板调节风量。</w:t>
      </w:r>
    </w:p>
    <w:p>
      <w:pPr>
        <w:rPr>
          <w:rFonts w:hint="default"/>
          <w:color w:val="auto"/>
          <w:lang w:val="en-US" w:eastAsia="zh-CN"/>
        </w:rPr>
      </w:pPr>
      <w:r>
        <w:rPr>
          <w:rFonts w:hint="eastAsia"/>
          <w:color w:val="auto"/>
          <w:lang w:val="en-US" w:eastAsia="zh-CN"/>
        </w:rPr>
        <w:t>2）</w:t>
      </w:r>
      <w:r>
        <w:rPr>
          <w:rFonts w:hint="default"/>
          <w:color w:val="auto"/>
          <w:lang w:val="en-US" w:eastAsia="zh-CN"/>
        </w:rPr>
        <w:t>除尘器运行时，连续清灰和连续卸灰，收集的粉尘卸到料仓或转运皮带上回收利用。</w:t>
      </w:r>
    </w:p>
    <w:p>
      <w:pPr>
        <w:rPr>
          <w:rFonts w:hint="default"/>
          <w:color w:val="auto"/>
          <w:lang w:val="en-US" w:eastAsia="zh-CN"/>
        </w:rPr>
      </w:pPr>
      <w:r>
        <w:rPr>
          <w:rFonts w:hint="eastAsia"/>
          <w:color w:val="auto"/>
          <w:lang w:val="en-US" w:eastAsia="zh-CN"/>
        </w:rPr>
        <w:t>3）</w:t>
      </w:r>
      <w:r>
        <w:rPr>
          <w:rFonts w:hint="default"/>
          <w:color w:val="auto"/>
          <w:lang w:val="en-US" w:eastAsia="zh-CN"/>
        </w:rPr>
        <w:t>除尘器卸灰点设置负压排风罩，接至除尘系统，防止二次扬尘。</w:t>
      </w:r>
    </w:p>
    <w:p>
      <w:pPr>
        <w:rPr>
          <w:rFonts w:hint="default"/>
          <w:color w:val="auto"/>
          <w:lang w:val="en-US" w:eastAsia="zh-CN"/>
        </w:rPr>
      </w:pPr>
      <w:r>
        <w:rPr>
          <w:rFonts w:hint="eastAsia"/>
          <w:color w:val="auto"/>
          <w:lang w:val="en-US" w:eastAsia="zh-CN"/>
        </w:rPr>
        <w:t>4）</w:t>
      </w:r>
      <w:r>
        <w:rPr>
          <w:rFonts w:hint="default"/>
          <w:color w:val="auto"/>
          <w:lang w:val="en-US" w:eastAsia="zh-CN"/>
        </w:rPr>
        <w:t>含尘空气集中经除尘器净化后高空排放，净化后的排风中颗粒物排放浓度不大于50mg/m</w:t>
      </w:r>
      <w:r>
        <w:rPr>
          <w:rFonts w:hint="default"/>
          <w:color w:val="auto"/>
          <w:vertAlign w:val="superscript"/>
          <w:lang w:val="en-US" w:eastAsia="zh-CN"/>
        </w:rPr>
        <w:t>3</w:t>
      </w:r>
      <w:r>
        <w:rPr>
          <w:rFonts w:hint="default"/>
          <w:color w:val="auto"/>
          <w:lang w:val="en-US" w:eastAsia="zh-CN"/>
        </w:rPr>
        <w:t>，满足国家及地方相关大气污染物排放标准。排气筒高度不小于15m。</w:t>
      </w:r>
    </w:p>
    <w:p>
      <w:pPr>
        <w:rPr>
          <w:rFonts w:hint="default"/>
          <w:color w:val="auto"/>
          <w:lang w:val="en-US" w:eastAsia="zh-CN"/>
        </w:rPr>
      </w:pPr>
      <w:r>
        <w:rPr>
          <w:rFonts w:hint="eastAsia"/>
          <w:color w:val="auto"/>
          <w:lang w:val="en-US" w:eastAsia="zh-CN"/>
        </w:rPr>
        <w:t>5）</w:t>
      </w:r>
      <w:r>
        <w:rPr>
          <w:rFonts w:hint="default"/>
          <w:color w:val="auto"/>
          <w:lang w:val="en-US" w:eastAsia="zh-CN"/>
        </w:rPr>
        <w:t>除尘器清灰压力为0.5～0.7MPa，压缩空气来自除尘器自带的空压机或附近厂房的空压机。</w:t>
      </w:r>
    </w:p>
    <w:p>
      <w:pPr>
        <w:rPr>
          <w:rFonts w:hint="default"/>
          <w:color w:val="auto"/>
          <w:lang w:val="en-US" w:eastAsia="zh-CN"/>
        </w:rPr>
      </w:pPr>
      <w:r>
        <w:rPr>
          <w:rFonts w:hint="eastAsia"/>
          <w:color w:val="auto"/>
          <w:lang w:val="en-US" w:eastAsia="zh-CN"/>
        </w:rPr>
        <w:t>6）</w:t>
      </w:r>
      <w:r>
        <w:rPr>
          <w:rFonts w:hint="default"/>
          <w:color w:val="auto"/>
          <w:lang w:val="en-US" w:eastAsia="zh-CN"/>
        </w:rPr>
        <w:t>除尘系统和工艺设备连锁。工艺设备运行前，先启动除尘风机；工艺设备停运后，除尘风机接着运行10～15min，再关闭。</w:t>
      </w:r>
    </w:p>
    <w:p>
      <w:pPr>
        <w:keepNext/>
        <w:keepLines/>
        <w:widowControl w:val="0"/>
        <w:bidi w:val="0"/>
        <w:spacing w:beforeAutospacing="0" w:afterAutospacing="0" w:line="360" w:lineRule="auto"/>
        <w:ind w:left="280" w:leftChars="100" w:firstLine="0" w:firstLineChars="0"/>
        <w:jc w:val="both"/>
        <w:outlineLvl w:val="1"/>
        <w:rPr>
          <w:rFonts w:ascii="Times New Roman" w:hAnsi="Times New Roman" w:eastAsia="黑体" w:cs="Times New Roman"/>
          <w:b/>
          <w:color w:val="auto"/>
          <w:kern w:val="2"/>
          <w:sz w:val="30"/>
          <w:szCs w:val="24"/>
          <w:lang w:val="en-US" w:eastAsia="zh-CN" w:bidi="ar-SA"/>
        </w:rPr>
      </w:pPr>
      <w:bookmarkStart w:id="315" w:name="_Toc9194"/>
      <w:bookmarkStart w:id="316" w:name="_Toc6755"/>
      <w:bookmarkStart w:id="317" w:name="_Toc12262"/>
      <w:bookmarkStart w:id="318" w:name="_Toc3590"/>
      <w:r>
        <w:rPr>
          <w:rFonts w:ascii="Times New Roman" w:hAnsi="Times New Roman" w:eastAsia="黑体" w:cs="Times New Roman"/>
          <w:b/>
          <w:color w:val="auto"/>
          <w:kern w:val="2"/>
          <w:sz w:val="30"/>
          <w:szCs w:val="24"/>
          <w:lang w:val="en-US" w:eastAsia="zh-CN" w:bidi="ar-SA"/>
        </w:rPr>
        <w:t>6.</w:t>
      </w:r>
      <w:r>
        <w:rPr>
          <w:rFonts w:hint="eastAsia" w:eastAsia="黑体" w:cs="Times New Roman"/>
          <w:b/>
          <w:color w:val="auto"/>
          <w:kern w:val="2"/>
          <w:sz w:val="30"/>
          <w:szCs w:val="24"/>
          <w:lang w:val="en-US" w:eastAsia="zh-CN" w:bidi="ar-SA"/>
        </w:rPr>
        <w:t>5</w:t>
      </w:r>
      <w:r>
        <w:rPr>
          <w:rFonts w:ascii="Times New Roman" w:hAnsi="Times New Roman" w:eastAsia="黑体" w:cs="Times New Roman"/>
          <w:b/>
          <w:color w:val="auto"/>
          <w:kern w:val="2"/>
          <w:sz w:val="30"/>
          <w:szCs w:val="24"/>
          <w:lang w:val="en-US" w:eastAsia="zh-CN" w:bidi="ar-SA"/>
        </w:rPr>
        <w:t xml:space="preserve"> 安全管理</w:t>
      </w:r>
      <w:bookmarkEnd w:id="315"/>
      <w:bookmarkEnd w:id="316"/>
      <w:bookmarkEnd w:id="317"/>
      <w:bookmarkEnd w:id="318"/>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设置安全生产管理机构或者配备专职安全生产管理人员。</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规章制度及操作规程</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1）根据</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管生产必须管安全</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的原则，企业法人代表是安全生产的第一责任人，各级领导负有相应的安全生产责任，在项目建设投产后应细化安全责任制，明确每个员工的安全职责，做到有岗必有责。</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2）强化生产过程管理的领导责任，生产经营单位的主要负责人对本单位安全生产工作负有下列职责：</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1）建立、健全本单位安全生产责任制；</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2）组织制定本单位安全生产规章制度和操作规程；</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3）组织制定并实施本单位安全生产教育和培训计划；</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4）保证本单位安全生产投入的有效实施；</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5）督促、检查本单位的安全生产工作，及时消除生产安全事故隐患；</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6）组织制定并实施本单位的生产安全事故应急预案；</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7）及时、如实报告生产安全事故；</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8）定期组织安全生产全面检查，研究分析安全生产工作中存在的问题；</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9）发生事故时迅速组织抢救，并及时、如实向负有安全生产监督管理职责的部门报告事故情况，做好善后处理工作，配合调查处理；</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10）每年向职工大会或者职工代表大会、股东会或者股东大会报告安全生产工作和个人履行安全生产管理职责的情况，接受监督。</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3）要健全完善严格的安全生产规章制度，坚持不安全不生产。加强对   生产现场监督检查，严格查处违章指挥、违规作业、违反劳动纪律的</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三违</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行为。</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4）企业建设项目的所有设备设施应符合有关法律法规、标准规范要求； 安全设备设施应与建设项目主体工程同时设计、同时施工、同时投入生产和使用。在项目建设投产后要健全各种设备管理制度、管理台帐和技术档案，尤其要完善设备的检维修管理制度，健全主要设备档案，应做到一台一档。</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3</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安全教育培训</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1）企业的主要负责人和安全生产管理人员，必须具备与本单位所从事 的生产经营活动相适应的安全生产知识和管理能力。法律法规要求必须对其安全生产知识和管理能力进行考核的，须经考核合格后方可任职。</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2）新入厂人员在上岗前必须经过三级安全教育培训，从事特种作业的人员应取得特种作业操作资格证书，方可上岗作业。</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3）企业应对相关方的作业人员进行安全教育培训。作业人员进入作业 现场前，应由作业现场所在单位对其进行进入现场前的安全教育培训。外来 参观、学习等人员，应进行有关安全规定、可能接触到的危害及应急知识的教育和告知。</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4）企业应通过安全文化建设，促进安全生产工作。企业应采取多种形 式的安全文化活动，引导全体从业人员的安全态度和安全行为，逐步形成为 全体员工所认同、共同遵守、带有本单位特点的安全价值观，实现法律和政府监管要求之上的安全自我约束，保障企业安全生产水平持续提高。</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4</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安全投入</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1）生产经营单位应当具备的安全生产条件所必需的资金投入，由生产 经营单位的决策机构、主要负责人或者个人经营的投资人予以保证，并对由于安全生产所必需的资金投入不足导致的后果承担责任。</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2）建立安全生产费用提取和使用管理制度，制定安全生产费用的使用计划。</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3）保证安全生产费用投入，专款专用，并建立安全生产费用使用台账。</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5</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其他方面</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1）企业应为所有员工参加工伤保险和安全生产责任保险，并为从业人员缴纳保险费。</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2）生产经营单位必须为从业人员提供符合国家标准或者行业标准的劳动防护用品，并监督、教育从业人员按照使用规则佩戴、使用。</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3）对安全生产状况应经常进行检查、分析、研究；对检查中发现的隐 患应当立即处理；对不能处理的应当及时报告本单位有关负责人，设法研究解决方案。</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4）应正常开展</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危险点分析</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工作，向从业人员如实告知其工作岗位和作业场所存在的危险因素、防范措施及事故应急措施。</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5）及时排查治理安全隐患。要经常性开展安全隐患排查，并切实做到 整改措施、责任、资金、时限和预案</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五到位</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val="en-US" w:eastAsia="zh-CN"/>
        </w:rPr>
        <w:t>。建立以安全生产专业人员为主导的隐患整改效果评价制度，确保整改到位。</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br w:type="page"/>
      </w:r>
    </w:p>
    <w:p>
      <w:pPr>
        <w:pStyle w:val="2"/>
        <w:numPr>
          <w:ilvl w:val="0"/>
          <w:numId w:val="1"/>
        </w:numPr>
        <w:bidi w:val="0"/>
        <w:rPr>
          <w:rFonts w:hint="default" w:ascii="Times New Roman" w:hAnsi="Times New Roman" w:cs="Times New Roman"/>
          <w:color w:val="auto"/>
          <w:lang w:val="en-US" w:eastAsia="zh-CN"/>
        </w:rPr>
      </w:pPr>
      <w:bookmarkStart w:id="319" w:name="_Toc811"/>
      <w:bookmarkStart w:id="320" w:name="_Toc28307"/>
      <w:bookmarkStart w:id="321" w:name="_Toc27871"/>
      <w:bookmarkStart w:id="322" w:name="_Toc22995"/>
      <w:r>
        <w:rPr>
          <w:rFonts w:hint="default" w:ascii="Times New Roman" w:hAnsi="Times New Roman" w:cs="Times New Roman"/>
          <w:color w:val="auto"/>
          <w:lang w:val="en-US" w:eastAsia="zh-CN"/>
        </w:rPr>
        <w:t>安全预评价结论</w:t>
      </w:r>
      <w:bookmarkEnd w:id="319"/>
      <w:bookmarkEnd w:id="320"/>
      <w:bookmarkEnd w:id="321"/>
      <w:bookmarkEnd w:id="322"/>
    </w:p>
    <w:p>
      <w:pPr>
        <w:rPr>
          <w:rFonts w:hint="default"/>
          <w:color w:val="auto"/>
          <w:lang w:val="en-US" w:eastAsia="zh-CN"/>
        </w:rPr>
      </w:pPr>
      <w:r>
        <w:rPr>
          <w:rFonts w:hint="default"/>
          <w:color w:val="auto"/>
          <w:lang w:val="en-US" w:eastAsia="zh-CN"/>
        </w:rPr>
        <w:t>通过对于都小东坑矿业有限公司选矿厂工程建设项目进行的安全预评价，将项目建设、生产运营过程中存在的主要危险、有害因素进行了全面分析之后，再根据单元划分原则和方法划分出评价单元，采用预先危险分析法(PHA) 、安全检查表法（SCL）和综合评价法进行了定性和定量评价，确定了该项目的危险（危害）程度，提出了有针对性的安全对策措施及建议，做出了安全预评价结论。</w:t>
      </w:r>
    </w:p>
    <w:p>
      <w:pPr>
        <w:keepNext/>
        <w:keepLines/>
        <w:widowControl w:val="0"/>
        <w:bidi w:val="0"/>
        <w:spacing w:beforeAutospacing="0" w:afterAutospacing="0" w:line="360" w:lineRule="auto"/>
        <w:ind w:left="280" w:leftChars="100" w:firstLine="0" w:firstLineChars="0"/>
        <w:jc w:val="both"/>
        <w:outlineLvl w:val="1"/>
        <w:rPr>
          <w:rFonts w:ascii="Times New Roman" w:hAnsi="Times New Roman" w:eastAsia="黑体" w:cs="Times New Roman"/>
          <w:b/>
          <w:color w:val="auto"/>
          <w:kern w:val="2"/>
          <w:sz w:val="30"/>
          <w:szCs w:val="24"/>
          <w:lang w:val="en-US" w:eastAsia="zh-CN" w:bidi="ar-SA"/>
        </w:rPr>
      </w:pPr>
      <w:bookmarkStart w:id="323" w:name="_Toc28666"/>
      <w:bookmarkStart w:id="324" w:name="_Toc3950"/>
      <w:bookmarkStart w:id="325" w:name="_Toc7455"/>
      <w:bookmarkStart w:id="326" w:name="_Toc15543"/>
      <w:r>
        <w:rPr>
          <w:rFonts w:ascii="Times New Roman" w:hAnsi="Times New Roman" w:eastAsia="黑体" w:cs="Times New Roman"/>
          <w:b/>
          <w:color w:val="auto"/>
          <w:kern w:val="2"/>
          <w:sz w:val="30"/>
          <w:szCs w:val="24"/>
          <w:lang w:val="en-US" w:eastAsia="zh-CN" w:bidi="ar-SA"/>
        </w:rPr>
        <w:t>7.1 项目潜在主要危险、有害因素及其评价结果</w:t>
      </w:r>
      <w:bookmarkEnd w:id="323"/>
      <w:bookmarkEnd w:id="324"/>
      <w:bookmarkEnd w:id="325"/>
      <w:bookmarkEnd w:id="326"/>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lang w:val="en-US" w:eastAsia="zh-CN"/>
        </w:rPr>
        <w:t>该项目主要工艺设备及装置在生产过程中存在的主要危险因素有： 机械伤害、触电</w:t>
      </w:r>
      <w:r>
        <w:rPr>
          <w:rFonts w:hint="eastAsia" w:ascii="Times New Roman" w:hAnsi="Times New Roman" w:eastAsia="宋体" w:cs="Times New Roman"/>
          <w:color w:val="auto"/>
          <w:lang w:val="en-US" w:eastAsia="zh-CN"/>
        </w:rPr>
        <w:t>（电气伤害）</w:t>
      </w:r>
      <w:r>
        <w:rPr>
          <w:rFonts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火灾、车辆伤害、起重伤害、坍塌</w:t>
      </w:r>
      <w:r>
        <w:rPr>
          <w:rFonts w:hint="eastAsia" w:cs="Times New Roman"/>
          <w:color w:val="auto"/>
          <w:lang w:val="en-US" w:eastAsia="zh-CN"/>
        </w:rPr>
        <w:t>、</w:t>
      </w:r>
      <w:r>
        <w:rPr>
          <w:rFonts w:hint="eastAsia" w:ascii="Times New Roman" w:hAnsi="Times New Roman" w:eastAsia="宋体" w:cs="Times New Roman"/>
          <w:color w:val="auto"/>
          <w:lang w:val="en-US" w:eastAsia="zh-CN"/>
        </w:rPr>
        <w:t>灼烫、</w:t>
      </w:r>
      <w:r>
        <w:rPr>
          <w:rFonts w:ascii="Times New Roman" w:hAnsi="Times New Roman" w:eastAsia="宋体" w:cs="Times New Roman"/>
          <w:color w:val="auto"/>
          <w:lang w:val="en-US" w:eastAsia="zh-CN"/>
        </w:rPr>
        <w:t>物体打击、高处坠落、淹溺、</w:t>
      </w:r>
      <w:r>
        <w:rPr>
          <w:rFonts w:hint="eastAsia" w:ascii="Times New Roman" w:hAnsi="Times New Roman" w:eastAsia="宋体" w:cs="Times New Roman"/>
          <w:color w:val="auto"/>
          <w:lang w:val="en-US" w:eastAsia="zh-CN"/>
        </w:rPr>
        <w:t>中毒窒息、</w:t>
      </w:r>
      <w:r>
        <w:rPr>
          <w:rFonts w:hint="eastAsia" w:cs="Times New Roman"/>
          <w:color w:val="auto"/>
          <w:lang w:val="en-US" w:eastAsia="zh-CN"/>
        </w:rPr>
        <w:t>药剂、有限空间作业、</w:t>
      </w:r>
      <w:r>
        <w:rPr>
          <w:rFonts w:hint="eastAsia" w:ascii="Times New Roman" w:hAnsi="Times New Roman" w:eastAsia="宋体" w:cs="Times New Roman"/>
          <w:color w:val="auto"/>
          <w:lang w:val="en-US" w:eastAsia="zh-CN"/>
        </w:rPr>
        <w:t>容器爆炸及其他</w:t>
      </w:r>
      <w:r>
        <w:rPr>
          <w:rFonts w:ascii="Times New Roman" w:hAnsi="Times New Roman" w:eastAsia="宋体" w:cs="Times New Roman"/>
          <w:color w:val="auto"/>
          <w:lang w:val="en-US" w:eastAsia="zh-CN"/>
        </w:rPr>
        <w:t>等；存在的主要有害因素有：</w:t>
      </w:r>
      <w:r>
        <w:rPr>
          <w:rFonts w:hint="eastAsia" w:ascii="Times New Roman" w:hAnsi="Times New Roman" w:eastAsia="宋体" w:cs="Times New Roman"/>
          <w:color w:val="auto"/>
          <w:lang w:val="en-US" w:eastAsia="zh-CN"/>
        </w:rPr>
        <w:t>粉尘</w:t>
      </w:r>
      <w:r>
        <w:rPr>
          <w:rFonts w:hint="eastAsia" w:cs="Times New Roman"/>
          <w:color w:val="auto"/>
          <w:lang w:val="en-US" w:eastAsia="zh-CN"/>
        </w:rPr>
        <w:t>、</w:t>
      </w:r>
      <w:r>
        <w:rPr>
          <w:rFonts w:hint="eastAsia" w:ascii="Times New Roman" w:hAnsi="Times New Roman" w:eastAsia="宋体" w:cs="Times New Roman"/>
          <w:color w:val="auto"/>
          <w:lang w:val="en-US" w:eastAsia="zh-CN"/>
        </w:rPr>
        <w:t>噪声、振动</w:t>
      </w:r>
      <w:r>
        <w:rPr>
          <w:rFonts w:hint="eastAsia" w:cs="Times New Roman"/>
          <w:color w:val="auto"/>
          <w:lang w:val="en-US" w:eastAsia="zh-CN"/>
        </w:rPr>
        <w:t>、</w:t>
      </w:r>
      <w:r>
        <w:rPr>
          <w:rFonts w:hint="eastAsia" w:ascii="Times New Roman" w:hAnsi="Times New Roman" w:eastAsia="宋体" w:cs="Times New Roman"/>
          <w:color w:val="auto"/>
          <w:lang w:val="en-US" w:eastAsia="zh-CN"/>
        </w:rPr>
        <w:t>高温、低温</w:t>
      </w:r>
      <w:r>
        <w:rPr>
          <w:rFonts w:hint="eastAsia" w:cs="Times New Roman"/>
          <w:color w:val="auto"/>
          <w:lang w:val="en-US" w:eastAsia="zh-CN"/>
        </w:rPr>
        <w:t>、</w:t>
      </w:r>
      <w:r>
        <w:rPr>
          <w:rFonts w:hint="eastAsia" w:ascii="Times New Roman" w:hAnsi="Times New Roman" w:eastAsia="宋体" w:cs="Times New Roman"/>
          <w:color w:val="auto"/>
          <w:lang w:val="en-US" w:eastAsia="zh-CN"/>
        </w:rPr>
        <w:t>X射线、微波</w:t>
      </w:r>
      <w:r>
        <w:rPr>
          <w:rFonts w:ascii="Times New Roman" w:hAnsi="Times New Roman" w:eastAsia="宋体" w:cs="Times New Roman"/>
          <w:color w:val="auto"/>
          <w:lang w:val="en-US" w:eastAsia="zh-CN"/>
        </w:rPr>
        <w:t>。</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 </w:t>
      </w:r>
      <w:r>
        <w:rPr>
          <w:rFonts w:ascii="Times New Roman" w:hAnsi="Times New Roman" w:eastAsia="宋体" w:cs="Times New Roman"/>
          <w:color w:val="auto"/>
          <w:lang w:val="en-US" w:eastAsia="zh-CN"/>
        </w:rPr>
        <w:t>各单元评价结果：</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本单元对该项目厂址选择进行了14项检查，13项满足要求，1项需下一步设计补充，下一步设计需增加历史最高计算水位内容。</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通过对总图布置进行了18项检查，13项满足要求，5项需下一步设计补充，下一步设计需补充建构筑物之间、建构筑物与道路之间的防火间距；消防通道的布置和药剂仓库到进风井、通风机扩散器的距离进行补充说明，并在附图上体现出来。</w:t>
      </w:r>
    </w:p>
    <w:p>
      <w:pPr>
        <w:ind w:firstLine="200"/>
        <w:rPr>
          <w:rFonts w:hint="eastAsia"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3）</w:t>
      </w:r>
      <w:r>
        <w:rPr>
          <w:rFonts w:hint="eastAsia" w:ascii="Times New Roman" w:hAnsi="Times New Roman" w:eastAsia="宋体" w:cs="Times New Roman"/>
          <w:color w:val="auto"/>
          <w:lang w:val="en-US" w:eastAsia="zh-CN"/>
        </w:rPr>
        <w:t>通过预先危险性分析可知，生产工艺中可能发生机械伤害、火灾、高处坠落、淹溺、触电、高温烫伤、其它等级均为Ⅱ级，是临界的，如果超过临界状态就会导致事故的发生。因此，应采取相应的措施对各种危险因素进行排除和控制，使其处于可接受范围内。</w:t>
      </w:r>
    </w:p>
    <w:p>
      <w:pPr>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本单元对该项目生产工艺及设备设施进行了24项检查，19项</w:t>
      </w:r>
      <w:r>
        <w:rPr>
          <w:rFonts w:hint="eastAsia" w:cs="Times New Roman"/>
          <w:color w:val="auto"/>
          <w:lang w:val="en-US" w:eastAsia="zh-CN"/>
        </w:rPr>
        <w:t>满足要求</w:t>
      </w:r>
      <w:r>
        <w:rPr>
          <w:rFonts w:hint="eastAsia" w:ascii="Times New Roman" w:hAnsi="Times New Roman" w:eastAsia="宋体" w:cs="Times New Roman"/>
          <w:color w:val="auto"/>
          <w:lang w:val="en-US" w:eastAsia="zh-CN"/>
        </w:rPr>
        <w:t>，5项</w:t>
      </w:r>
      <w:r>
        <w:rPr>
          <w:rFonts w:hint="eastAsia" w:cs="Times New Roman"/>
          <w:color w:val="auto"/>
          <w:lang w:val="en-US" w:eastAsia="zh-CN"/>
        </w:rPr>
        <w:t>需下一步设计补充</w:t>
      </w:r>
      <w:r>
        <w:rPr>
          <w:rFonts w:hint="eastAsia" w:ascii="Times New Roman" w:hAnsi="Times New Roman" w:eastAsia="宋体" w:cs="Times New Roman"/>
          <w:color w:val="auto"/>
          <w:lang w:val="en-US" w:eastAsia="zh-CN"/>
        </w:rPr>
        <w:t>，《可研报告》及其附图中未提及楼梯、安全护栏、安全通道、安全出口以及药剂仓库及制备间的通风装置，后续在设计中应进行补充</w:t>
      </w:r>
      <w:r>
        <w:rPr>
          <w:rFonts w:hint="eastAsia" w:cs="Times New Roman"/>
          <w:color w:val="auto"/>
          <w:lang w:val="en-US" w:eastAsia="zh-CN"/>
        </w:rPr>
        <w:t>。</w:t>
      </w:r>
    </w:p>
    <w:p>
      <w:pPr>
        <w:numPr>
          <w:ilvl w:val="0"/>
          <w:numId w:val="5"/>
        </w:numPr>
        <w:ind w:left="0" w:leftChars="0" w:firstLine="56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公辅设施单元进行了44项检查，25项满足要求，19项需下一步设计补充。可研报告对于道路及运输部分只提及了道路的宽度、材料和最小转弯半径，后续初步设计和安全设施设计应根据《工业企业总平面设计规范》、《厂矿道路设计规范》对道路及运输部分进行详细设计并对附图进行完善。给排水及消防设施部分，应完善场地雨水排水设计流量计算；矩形排水明沟的尺寸；截、排水沟的布置；安全出口的布置等。供配电设施部分基本符合要求，主要是缺少安全遮栏、警示标志等安全防护措施，后续需进行补充。辅助设施部分，需对选矿厂的通风情况，胶带输送机、起重机械的安全防护装置设置情况，防护栏杆的布置等进行补充。</w:t>
      </w:r>
    </w:p>
    <w:p>
      <w:pPr>
        <w:pStyle w:val="3"/>
        <w:bidi w:val="0"/>
        <w:rPr>
          <w:rFonts w:hint="eastAsia"/>
          <w:color w:val="auto"/>
        </w:rPr>
      </w:pPr>
      <w:bookmarkStart w:id="327" w:name="_Toc593"/>
      <w:bookmarkStart w:id="328" w:name="_Toc222"/>
      <w:r>
        <w:rPr>
          <w:rFonts w:hint="eastAsia"/>
          <w:color w:val="auto"/>
          <w:lang w:val="en-US" w:eastAsia="zh-CN"/>
        </w:rPr>
        <w:t>7.2 设计</w:t>
      </w:r>
      <w:r>
        <w:rPr>
          <w:rFonts w:hint="eastAsia"/>
          <w:color w:val="auto"/>
        </w:rPr>
        <w:t>应重视的安全对策措施建议</w:t>
      </w:r>
      <w:bookmarkEnd w:id="327"/>
      <w:bookmarkEnd w:id="328"/>
    </w:p>
    <w:p>
      <w:pPr>
        <w:rPr>
          <w:rFonts w:hint="default"/>
          <w:color w:val="auto"/>
          <w:lang w:val="en-US" w:eastAsia="zh-CN"/>
        </w:rPr>
      </w:pPr>
      <w:r>
        <w:rPr>
          <w:rFonts w:hint="eastAsia"/>
          <w:color w:val="auto"/>
          <w:lang w:val="en-US" w:eastAsia="zh-CN"/>
        </w:rPr>
        <w:t xml:space="preserve">1. </w:t>
      </w:r>
      <w:r>
        <w:rPr>
          <w:rFonts w:hint="eastAsia" w:hAnsi="宋体"/>
          <w:b w:val="0"/>
          <w:bCs w:val="0"/>
          <w:color w:val="auto"/>
          <w:kern w:val="0"/>
          <w:sz w:val="28"/>
          <w:szCs w:val="28"/>
          <w:lang w:val="en-US" w:eastAsia="zh-CN"/>
        </w:rPr>
        <w:t>下一步</w:t>
      </w:r>
      <w:r>
        <w:rPr>
          <w:rFonts w:hint="eastAsia" w:hAnsi="宋体"/>
          <w:b w:val="0"/>
          <w:bCs w:val="0"/>
          <w:color w:val="auto"/>
          <w:kern w:val="0"/>
          <w:sz w:val="28"/>
          <w:szCs w:val="28"/>
        </w:rPr>
        <w:t>设计时，</w:t>
      </w:r>
      <w:r>
        <w:rPr>
          <w:rFonts w:hint="eastAsia"/>
          <w:color w:val="auto"/>
          <w:lang w:val="en-US" w:eastAsia="zh-CN"/>
        </w:rPr>
        <w:t>应对厂区防排洪进行计算，确保选厂免受洪水的威胁。</w:t>
      </w:r>
    </w:p>
    <w:p>
      <w:pPr>
        <w:rPr>
          <w:rFonts w:hint="eastAsia"/>
          <w:color w:val="auto"/>
          <w:lang w:val="en-US" w:eastAsia="zh-CN"/>
        </w:rPr>
      </w:pPr>
      <w:r>
        <w:rPr>
          <w:rFonts w:hint="eastAsia"/>
          <w:color w:val="auto"/>
          <w:lang w:val="en-US" w:eastAsia="zh-CN"/>
        </w:rPr>
        <w:t xml:space="preserve">2. </w:t>
      </w:r>
      <w:r>
        <w:rPr>
          <w:rFonts w:hint="eastAsia" w:hAnsi="宋体"/>
          <w:b w:val="0"/>
          <w:bCs w:val="0"/>
          <w:color w:val="auto"/>
          <w:kern w:val="0"/>
          <w:sz w:val="28"/>
          <w:szCs w:val="28"/>
          <w:lang w:val="en-US" w:eastAsia="zh-CN"/>
        </w:rPr>
        <w:t>下一步</w:t>
      </w:r>
      <w:r>
        <w:rPr>
          <w:rFonts w:hint="eastAsia" w:hAnsi="宋体"/>
          <w:b w:val="0"/>
          <w:bCs w:val="0"/>
          <w:color w:val="auto"/>
          <w:kern w:val="0"/>
          <w:sz w:val="28"/>
          <w:szCs w:val="28"/>
        </w:rPr>
        <w:t>设计时，</w:t>
      </w:r>
      <w:r>
        <w:rPr>
          <w:rFonts w:hint="eastAsia"/>
          <w:color w:val="auto"/>
          <w:lang w:val="en-US" w:eastAsia="zh-CN"/>
        </w:rPr>
        <w:t>应补充建设项目区域内的建（构）筑物与周边的建（构）筑物的防火间距以及各建筑物之间的防火间距，应满足《建筑设计防火规范》（GB50016-2014）（2018年版）中关于防火间距的相关条款。</w:t>
      </w:r>
    </w:p>
    <w:p>
      <w:pPr>
        <w:rPr>
          <w:rFonts w:hint="eastAsia"/>
          <w:color w:val="auto"/>
          <w:lang w:val="en-US" w:eastAsia="zh-CN"/>
        </w:rPr>
      </w:pPr>
      <w:r>
        <w:rPr>
          <w:rFonts w:hint="eastAsia"/>
          <w:color w:val="auto"/>
          <w:lang w:val="en-US" w:eastAsia="zh-CN"/>
        </w:rPr>
        <w:t xml:space="preserve">3. </w:t>
      </w:r>
      <w:r>
        <w:rPr>
          <w:rFonts w:hint="eastAsia" w:hAnsi="宋体"/>
          <w:b w:val="0"/>
          <w:bCs w:val="0"/>
          <w:color w:val="auto"/>
          <w:kern w:val="0"/>
          <w:sz w:val="28"/>
          <w:szCs w:val="28"/>
          <w:lang w:val="en-US" w:eastAsia="zh-CN"/>
        </w:rPr>
        <w:t>下一步</w:t>
      </w:r>
      <w:r>
        <w:rPr>
          <w:rFonts w:hint="eastAsia" w:hAnsi="宋体"/>
          <w:b w:val="0"/>
          <w:bCs w:val="0"/>
          <w:color w:val="auto"/>
          <w:kern w:val="0"/>
          <w:sz w:val="28"/>
          <w:szCs w:val="28"/>
        </w:rPr>
        <w:t>设计时，</w:t>
      </w:r>
      <w:r>
        <w:rPr>
          <w:rFonts w:hint="eastAsia"/>
          <w:color w:val="auto"/>
          <w:lang w:val="en-US" w:eastAsia="zh-CN"/>
        </w:rPr>
        <w:t>应补充</w:t>
      </w:r>
      <w:r>
        <w:rPr>
          <w:rFonts w:hint="default"/>
          <w:color w:val="auto"/>
          <w:lang w:val="en-US" w:eastAsia="zh-CN"/>
        </w:rPr>
        <w:t>药剂仓库及制备间应</w:t>
      </w:r>
      <w:r>
        <w:rPr>
          <w:rFonts w:hint="eastAsia"/>
          <w:color w:val="auto"/>
          <w:lang w:val="en-US" w:eastAsia="zh-CN"/>
        </w:rPr>
        <w:t>的</w:t>
      </w:r>
      <w:r>
        <w:rPr>
          <w:rFonts w:hint="default"/>
          <w:color w:val="auto"/>
          <w:lang w:val="en-US" w:eastAsia="zh-CN"/>
        </w:rPr>
        <w:t>通风装置</w:t>
      </w:r>
      <w:r>
        <w:rPr>
          <w:rFonts w:hint="eastAsia"/>
          <w:color w:val="auto"/>
          <w:lang w:val="en-US" w:eastAsia="zh-CN"/>
        </w:rPr>
        <w:t>，保证空气的流通换气。</w:t>
      </w:r>
    </w:p>
    <w:p>
      <w:pPr>
        <w:rPr>
          <w:rFonts w:hint="eastAsia" w:ascii="Times New Roman" w:hAnsi="Times New Roman" w:eastAsia="宋体" w:cs="Times New Roman"/>
          <w:color w:val="auto"/>
          <w:lang w:val="en-US" w:eastAsia="zh-CN"/>
        </w:rPr>
      </w:pPr>
      <w:r>
        <w:rPr>
          <w:rFonts w:hint="eastAsia"/>
          <w:color w:val="auto"/>
          <w:lang w:val="en-US" w:eastAsia="zh-CN"/>
        </w:rPr>
        <w:t xml:space="preserve">4. </w:t>
      </w:r>
      <w:r>
        <w:rPr>
          <w:rFonts w:hint="eastAsia" w:hAnsi="宋体"/>
          <w:b w:val="0"/>
          <w:bCs w:val="0"/>
          <w:color w:val="auto"/>
          <w:kern w:val="0"/>
          <w:sz w:val="28"/>
          <w:szCs w:val="28"/>
          <w:lang w:val="en-US" w:eastAsia="zh-CN"/>
        </w:rPr>
        <w:t>下一步</w:t>
      </w:r>
      <w:r>
        <w:rPr>
          <w:rFonts w:hint="eastAsia" w:hAnsi="宋体"/>
          <w:b w:val="0"/>
          <w:bCs w:val="0"/>
          <w:color w:val="auto"/>
          <w:kern w:val="0"/>
          <w:sz w:val="28"/>
          <w:szCs w:val="28"/>
        </w:rPr>
        <w:t>设计时，</w:t>
      </w:r>
      <w:r>
        <w:rPr>
          <w:rFonts w:hint="eastAsia"/>
          <w:color w:val="auto"/>
          <w:lang w:val="en-US" w:eastAsia="zh-CN"/>
        </w:rPr>
        <w:t>应补充生产工艺流程中</w:t>
      </w:r>
      <w:r>
        <w:rPr>
          <w:rFonts w:hint="eastAsia" w:ascii="Times New Roman" w:hAnsi="Times New Roman" w:eastAsia="宋体" w:cs="Times New Roman"/>
          <w:color w:val="auto"/>
          <w:lang w:val="en-US" w:eastAsia="zh-CN"/>
        </w:rPr>
        <w:t>的安全护栏、安全通道、安全出口情况。</w:t>
      </w:r>
    </w:p>
    <w:p>
      <w:pPr>
        <w:rPr>
          <w:rFonts w:hint="default" w:ascii="Times New Roman" w:hAnsi="Times New Roman" w:eastAsia="宋体" w:cs="Times New Roman"/>
          <w:color w:val="auto"/>
          <w:lang w:val="en-US" w:eastAsia="zh-CN"/>
        </w:rPr>
      </w:pPr>
      <w:r>
        <w:rPr>
          <w:rFonts w:hint="eastAsia" w:cs="Times New Roman"/>
          <w:color w:val="auto"/>
          <w:lang w:val="en-US" w:eastAsia="zh-CN"/>
        </w:rPr>
        <w:t>5</w:t>
      </w:r>
      <w:r>
        <w:rPr>
          <w:rFonts w:hint="eastAsia" w:ascii="Times New Roman" w:hAnsi="Times New Roman" w:eastAsia="宋体" w:cs="Times New Roman"/>
          <w:color w:val="auto"/>
          <w:lang w:val="en-US" w:eastAsia="zh-CN"/>
        </w:rPr>
        <w:t xml:space="preserve">. </w:t>
      </w:r>
      <w:r>
        <w:rPr>
          <w:rFonts w:hint="eastAsia" w:hAnsi="宋体"/>
          <w:b w:val="0"/>
          <w:bCs w:val="0"/>
          <w:color w:val="auto"/>
          <w:kern w:val="0"/>
          <w:sz w:val="28"/>
          <w:szCs w:val="28"/>
          <w:lang w:val="en-US" w:eastAsia="zh-CN"/>
        </w:rPr>
        <w:t>下一步</w:t>
      </w:r>
      <w:r>
        <w:rPr>
          <w:rFonts w:hint="eastAsia" w:hAnsi="宋体"/>
          <w:b w:val="0"/>
          <w:bCs w:val="0"/>
          <w:color w:val="auto"/>
          <w:kern w:val="0"/>
          <w:sz w:val="28"/>
          <w:szCs w:val="28"/>
        </w:rPr>
        <w:t>设计时，</w:t>
      </w:r>
      <w:r>
        <w:rPr>
          <w:rFonts w:hint="eastAsia" w:ascii="Times New Roman" w:hAnsi="Times New Roman" w:eastAsia="宋体" w:cs="Times New Roman"/>
          <w:color w:val="auto"/>
          <w:lang w:val="en-US" w:eastAsia="zh-CN"/>
        </w:rPr>
        <w:t>应根据《工业企业总平面设计规范》、《厂矿道路设计规范》对道路及运输部分进行详细设计并对附图进行完善。</w:t>
      </w:r>
    </w:p>
    <w:p>
      <w:pPr>
        <w:keepNext/>
        <w:keepLines/>
        <w:widowControl w:val="0"/>
        <w:bidi w:val="0"/>
        <w:spacing w:beforeAutospacing="0" w:afterAutospacing="0" w:line="360" w:lineRule="auto"/>
        <w:ind w:left="280" w:leftChars="100" w:firstLine="0" w:firstLineChars="0"/>
        <w:jc w:val="both"/>
        <w:outlineLvl w:val="1"/>
        <w:rPr>
          <w:rFonts w:hint="default" w:ascii="Times New Roman" w:hAnsi="Times New Roman" w:eastAsia="黑体" w:cs="Times New Roman"/>
          <w:b/>
          <w:color w:val="auto"/>
          <w:kern w:val="2"/>
          <w:sz w:val="30"/>
          <w:szCs w:val="24"/>
          <w:lang w:val="en-US" w:eastAsia="zh-CN" w:bidi="ar-SA"/>
        </w:rPr>
      </w:pPr>
      <w:bookmarkStart w:id="329" w:name="_Toc27071"/>
      <w:bookmarkStart w:id="330" w:name="_Toc15841"/>
      <w:r>
        <w:rPr>
          <w:rFonts w:hint="eastAsia" w:ascii="Times New Roman" w:hAnsi="Times New Roman" w:eastAsia="黑体" w:cs="Times New Roman"/>
          <w:b/>
          <w:color w:val="auto"/>
          <w:kern w:val="2"/>
          <w:sz w:val="30"/>
          <w:szCs w:val="24"/>
          <w:lang w:val="en-US" w:eastAsia="zh-CN" w:bidi="ar-SA"/>
        </w:rPr>
        <w:t>7.</w:t>
      </w:r>
      <w:r>
        <w:rPr>
          <w:rFonts w:hint="eastAsia" w:eastAsia="黑体" w:cs="Times New Roman"/>
          <w:b/>
          <w:color w:val="auto"/>
          <w:kern w:val="2"/>
          <w:sz w:val="30"/>
          <w:szCs w:val="24"/>
          <w:lang w:val="en-US" w:eastAsia="zh-CN" w:bidi="ar-SA"/>
        </w:rPr>
        <w:t>3</w:t>
      </w:r>
      <w:r>
        <w:rPr>
          <w:rFonts w:hint="eastAsia" w:ascii="Times New Roman" w:hAnsi="Times New Roman" w:eastAsia="黑体" w:cs="Times New Roman"/>
          <w:b/>
          <w:color w:val="auto"/>
          <w:kern w:val="2"/>
          <w:sz w:val="30"/>
          <w:szCs w:val="24"/>
          <w:lang w:val="en-US" w:eastAsia="zh-CN" w:bidi="ar-SA"/>
        </w:rPr>
        <w:t xml:space="preserve"> 危险、有害因素在采取安全对策措施后的受控程度</w:t>
      </w:r>
      <w:bookmarkEnd w:id="329"/>
      <w:bookmarkEnd w:id="330"/>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通过对该项目生产过程情况分析，存在一定的危险、有害因素，但在采取《</w:t>
      </w:r>
      <w:r>
        <w:rPr>
          <w:rFonts w:hint="eastAsia" w:ascii="Times New Roman" w:hAnsi="Times New Roman" w:eastAsia="宋体" w:cs="Times New Roman"/>
          <w:color w:val="auto"/>
          <w:lang w:val="en-US" w:eastAsia="zh-CN"/>
        </w:rPr>
        <w:t>于都小东坑矿业有限公司小东坑钨矿区30万吨/年矿山工程建设项目可行性研究报告</w:t>
      </w:r>
      <w:r>
        <w:rPr>
          <w:rFonts w:ascii="Times New Roman" w:hAnsi="Times New Roman" w:eastAsia="宋体" w:cs="Times New Roman"/>
          <w:color w:val="auto"/>
          <w:lang w:val="en-US" w:eastAsia="zh-CN"/>
        </w:rPr>
        <w:t>》以及《</w:t>
      </w:r>
      <w:r>
        <w:rPr>
          <w:rFonts w:hint="eastAsia" w:ascii="Times New Roman" w:hAnsi="Times New Roman" w:eastAsia="宋体" w:cs="Times New Roman"/>
          <w:color w:val="auto"/>
          <w:lang w:val="en-US" w:eastAsia="zh-CN"/>
        </w:rPr>
        <w:t>于都小东坑矿业有限公司选矿厂工程建设项目安全预评价报告</w:t>
      </w:r>
      <w:r>
        <w:rPr>
          <w:rFonts w:ascii="Times New Roman" w:hAnsi="Times New Roman" w:eastAsia="宋体" w:cs="Times New Roman"/>
          <w:color w:val="auto"/>
          <w:lang w:val="en-US" w:eastAsia="zh-CN"/>
        </w:rPr>
        <w:t>》中提出的各项安全对策措施及预防手段的基础上，工程潜在的危险、有害因素可以得到有效控制，危险程度可以接受。</w:t>
      </w:r>
    </w:p>
    <w:p>
      <w:pPr>
        <w:keepNext/>
        <w:keepLines/>
        <w:widowControl w:val="0"/>
        <w:bidi w:val="0"/>
        <w:spacing w:beforeAutospacing="0" w:afterAutospacing="0" w:line="360" w:lineRule="auto"/>
        <w:ind w:left="280" w:leftChars="100" w:firstLine="0" w:firstLineChars="0"/>
        <w:jc w:val="both"/>
        <w:outlineLvl w:val="1"/>
        <w:rPr>
          <w:rFonts w:ascii="Times New Roman" w:hAnsi="Times New Roman" w:eastAsia="黑体" w:cs="Times New Roman"/>
          <w:b/>
          <w:color w:val="auto"/>
          <w:kern w:val="2"/>
          <w:sz w:val="30"/>
          <w:szCs w:val="24"/>
          <w:lang w:val="en-US" w:eastAsia="zh-CN" w:bidi="ar-SA"/>
        </w:rPr>
      </w:pPr>
      <w:bookmarkStart w:id="331" w:name="_Toc15013"/>
      <w:bookmarkStart w:id="332" w:name="_Toc4668"/>
      <w:bookmarkStart w:id="333" w:name="_Toc22495"/>
      <w:bookmarkStart w:id="334" w:name="_Toc7638"/>
      <w:r>
        <w:rPr>
          <w:rFonts w:ascii="Times New Roman" w:hAnsi="Times New Roman" w:eastAsia="黑体" w:cs="Times New Roman"/>
          <w:b/>
          <w:color w:val="auto"/>
          <w:kern w:val="2"/>
          <w:sz w:val="30"/>
          <w:szCs w:val="24"/>
          <w:lang w:val="en-US" w:eastAsia="zh-CN" w:bidi="ar-SA"/>
        </w:rPr>
        <w:t>7.</w:t>
      </w:r>
      <w:r>
        <w:rPr>
          <w:rFonts w:hint="eastAsia" w:ascii="Times New Roman" w:hAnsi="Times New Roman" w:eastAsia="黑体" w:cs="Times New Roman"/>
          <w:b/>
          <w:color w:val="auto"/>
          <w:kern w:val="2"/>
          <w:sz w:val="30"/>
          <w:szCs w:val="24"/>
          <w:lang w:val="en-US" w:eastAsia="zh-CN" w:bidi="ar-SA"/>
        </w:rPr>
        <w:t>3</w:t>
      </w:r>
      <w:r>
        <w:rPr>
          <w:rFonts w:ascii="Times New Roman" w:hAnsi="Times New Roman" w:eastAsia="黑体" w:cs="Times New Roman"/>
          <w:b/>
          <w:color w:val="auto"/>
          <w:kern w:val="2"/>
          <w:sz w:val="30"/>
          <w:szCs w:val="24"/>
          <w:lang w:val="en-US" w:eastAsia="zh-CN" w:bidi="ar-SA"/>
        </w:rPr>
        <w:t xml:space="preserve"> 预评价结论</w:t>
      </w:r>
      <w:bookmarkEnd w:id="331"/>
      <w:bookmarkEnd w:id="332"/>
      <w:bookmarkEnd w:id="333"/>
      <w:bookmarkEnd w:id="334"/>
    </w:p>
    <w:p>
      <w:pPr>
        <w:bidi w:val="0"/>
        <w:ind w:firstLine="20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于都小东坑矿业有限公司选矿厂工程建设项目在严格按照国家相关法规、法规及技术标准，落实采购、安装建设、检测检验的前提下，所存在的危险、有害因素在落实《于都小东坑矿业有限公司小东坑钨矿区30万吨/年矿山工程建设项目可行性研究报告》和本报告提出的安全措施和对策后，能得到有效防范和控制，适宜建设。</w:t>
      </w:r>
    </w:p>
    <w:p>
      <w:pPr>
        <w:bidi w:val="0"/>
        <w:ind w:firstLine="20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温馨提示</w:t>
      </w:r>
      <w:r>
        <w:rPr>
          <w:rFonts w:ascii="Times New Roman" w:hAnsi="Times New Roman" w:eastAsia="宋体" w:cs="Times New Roman"/>
          <w:color w:val="auto"/>
          <w:lang w:val="en-US" w:eastAsia="zh-CN"/>
        </w:rPr>
        <w:t>：在以后的项目建设和运行阶段，如在初步设计</w:t>
      </w:r>
      <w:r>
        <w:rPr>
          <w:rFonts w:hint="eastAsia" w:ascii="Times New Roman" w:hAnsi="Times New Roman" w:eastAsia="宋体" w:cs="Times New Roman"/>
          <w:color w:val="auto"/>
          <w:lang w:val="en-US" w:eastAsia="zh-CN"/>
        </w:rPr>
        <w:t>和安全设施设计</w:t>
      </w:r>
      <w:r>
        <w:rPr>
          <w:rFonts w:ascii="Times New Roman" w:hAnsi="Times New Roman" w:eastAsia="宋体" w:cs="Times New Roman"/>
          <w:color w:val="auto"/>
          <w:lang w:val="en-US" w:eastAsia="zh-CN"/>
        </w:rPr>
        <w:t>、施工图设计和建设施工、安装调试及生产运行阶段中，企业应严格执行国家有关安全生产法律、法规和有关标准、规范，真正做到安全设施、环保设施、职业卫生设施与主体工程同时设计、同时施工、同时投入生产和使用，注意及时办理危险化学品储存、使用的相关手续；企业应保证企业的安全设施设备和安全管理体系、制度综合发挥作用，积极创造条件早日通过安全生产标准化，使工程建成后运行后的安全系统风险降至最低。</w:t>
      </w: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br w:type="page"/>
      </w:r>
    </w:p>
    <w:p>
      <w:pPr>
        <w:pStyle w:val="2"/>
        <w:numPr>
          <w:ilvl w:val="0"/>
          <w:numId w:val="1"/>
        </w:numPr>
        <w:bidi w:val="0"/>
        <w:rPr>
          <w:rFonts w:hint="default" w:ascii="Times New Roman" w:hAnsi="Times New Roman" w:cs="Times New Roman"/>
          <w:color w:val="auto"/>
          <w:lang w:val="en-US" w:eastAsia="zh-CN"/>
        </w:rPr>
      </w:pPr>
      <w:bookmarkStart w:id="335" w:name="_Toc30066"/>
      <w:bookmarkStart w:id="336" w:name="_Toc17313"/>
      <w:bookmarkStart w:id="337" w:name="_Toc30817"/>
      <w:bookmarkStart w:id="338" w:name="_Toc29727"/>
      <w:r>
        <w:rPr>
          <w:rFonts w:hint="default" w:ascii="Times New Roman" w:hAnsi="Times New Roman" w:cs="Times New Roman"/>
          <w:color w:val="auto"/>
          <w:lang w:val="en-US" w:eastAsia="zh-CN"/>
        </w:rPr>
        <w:t>附件</w:t>
      </w:r>
      <w:bookmarkEnd w:id="335"/>
      <w:bookmarkEnd w:id="336"/>
      <w:bookmarkEnd w:id="337"/>
      <w:bookmarkEnd w:id="338"/>
    </w:p>
    <w:p>
      <w:pPr>
        <w:numPr>
          <w:ilvl w:val="0"/>
          <w:numId w:val="15"/>
        </w:num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企业法人营业执照</w:t>
      </w:r>
    </w:p>
    <w:p>
      <w:pPr>
        <w:ind w:firstLine="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附：评价人员与企业安全管理人员现场合影</w:t>
      </w:r>
      <w:bookmarkStart w:id="343" w:name="_GoBack"/>
      <w:bookmarkEnd w:id="343"/>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lang w:val="en-US" w:eastAsia="zh-CN"/>
        </w:rPr>
      </w:pPr>
      <w:r>
        <w:rPr>
          <w:lang w:val="en-US" w:eastAsia="zh-CN"/>
        </w:rPr>
        <w:drawing>
          <wp:inline distT="0" distB="0" distL="114300" distR="114300">
            <wp:extent cx="4807585" cy="3606165"/>
            <wp:effectExtent l="0" t="0" r="12065" b="13335"/>
            <wp:docPr id="2" name="图片 2" descr="a9967c44514bb6ec049c0c3958508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9967c44514bb6ec049c0c39585081d"/>
                    <pic:cNvPicPr>
                      <a:picLocks noChangeAspect="1"/>
                    </pic:cNvPicPr>
                  </pic:nvPicPr>
                  <pic:blipFill>
                    <a:blip r:embed="rId33"/>
                    <a:stretch>
                      <a:fillRect/>
                    </a:stretch>
                  </pic:blipFill>
                  <pic:spPr>
                    <a:xfrm>
                      <a:off x="0" y="0"/>
                      <a:ext cx="4807585" cy="3606165"/>
                    </a:xfrm>
                    <a:prstGeom prst="rect">
                      <a:avLst/>
                    </a:prstGeom>
                  </pic:spPr>
                </pic:pic>
              </a:graphicData>
            </a:graphic>
          </wp:inline>
        </w:drawing>
      </w:r>
    </w:p>
    <w:p>
      <w:pPr>
        <w:ind w:firstLine="0" w:firstLineChars="0"/>
        <w:jc w:val="center"/>
        <w:rPr>
          <w:rFonts w:hint="eastAsia" w:ascii="Times New Roman" w:hAnsi="Times New Roman" w:eastAsia="宋体" w:cs="Times New Roman"/>
          <w:color w:val="auto"/>
          <w:lang w:val="en-US" w:eastAsia="zh-CN"/>
        </w:rPr>
      </w:pPr>
    </w:p>
    <w:p>
      <w:pPr>
        <w:ind w:firstLine="20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br w:type="page"/>
      </w:r>
    </w:p>
    <w:p>
      <w:pPr>
        <w:pStyle w:val="2"/>
        <w:numPr>
          <w:ilvl w:val="0"/>
          <w:numId w:val="1"/>
        </w:numPr>
        <w:bidi w:val="0"/>
        <w:rPr>
          <w:rFonts w:hint="default" w:ascii="Times New Roman" w:hAnsi="Times New Roman" w:cs="Times New Roman"/>
          <w:color w:val="auto"/>
          <w:lang w:val="en-US" w:eastAsia="zh-CN"/>
        </w:rPr>
      </w:pPr>
      <w:bookmarkStart w:id="339" w:name="_Toc31575"/>
      <w:bookmarkStart w:id="340" w:name="_Toc29891"/>
      <w:bookmarkStart w:id="341" w:name="_Toc13857"/>
      <w:bookmarkStart w:id="342" w:name="_Toc17546"/>
      <w:r>
        <w:rPr>
          <w:rFonts w:hint="eastAsia" w:ascii="Times New Roman" w:hAnsi="Times New Roman" w:cs="Times New Roman"/>
          <w:color w:val="auto"/>
          <w:lang w:val="en-US" w:eastAsia="zh-CN"/>
        </w:rPr>
        <w:t>附图</w:t>
      </w:r>
      <w:bookmarkEnd w:id="339"/>
      <w:bookmarkEnd w:id="340"/>
      <w:bookmarkEnd w:id="341"/>
      <w:bookmarkEnd w:id="342"/>
    </w:p>
    <w:p>
      <w:pPr>
        <w:numPr>
          <w:ilvl w:val="0"/>
          <w:numId w:val="16"/>
        </w:numPr>
        <w:ind w:firstLine="200" w:firstLineChars="0"/>
        <w:rPr>
          <w:rFonts w:ascii="Times New Roman" w:hAnsi="Times New Roman" w:eastAsia="宋体" w:cs="Times New Roman"/>
          <w:color w:val="auto"/>
          <w:lang w:val="en-US" w:eastAsia="zh-CN"/>
        </w:rPr>
      </w:pPr>
      <w:r>
        <w:rPr>
          <w:rFonts w:hint="eastAsia" w:cs="Times New Roman"/>
          <w:color w:val="auto"/>
          <w:lang w:val="en-US" w:eastAsia="zh-CN"/>
        </w:rPr>
        <w:t>总平面布置图</w:t>
      </w:r>
    </w:p>
    <w:p>
      <w:pPr>
        <w:numPr>
          <w:ilvl w:val="0"/>
          <w:numId w:val="16"/>
        </w:numPr>
        <w:ind w:firstLine="200" w:firstLineChars="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工艺数质量流程图（一</w:t>
      </w:r>
      <w:r>
        <w:rPr>
          <w:rFonts w:ascii="Times New Roman" w:hAnsi="Times New Roman" w:eastAsia="宋体" w:cs="Times New Roman"/>
          <w:color w:val="auto"/>
          <w:lang w:val="en-US" w:eastAsia="zh-CN"/>
        </w:rPr>
        <w:t>）</w:t>
      </w:r>
    </w:p>
    <w:p>
      <w:pPr>
        <w:numPr>
          <w:ilvl w:val="0"/>
          <w:numId w:val="16"/>
        </w:numPr>
        <w:ind w:firstLine="200" w:firstLineChars="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工艺数质量流程图（</w:t>
      </w:r>
      <w:r>
        <w:rPr>
          <w:rFonts w:ascii="Times New Roman" w:hAnsi="Times New Roman" w:eastAsia="宋体" w:cs="Times New Roman"/>
          <w:color w:val="auto"/>
          <w:lang w:val="en-US" w:eastAsia="zh-CN"/>
        </w:rPr>
        <w:t>二）</w:t>
      </w:r>
    </w:p>
    <w:p>
      <w:pPr>
        <w:numPr>
          <w:ilvl w:val="0"/>
          <w:numId w:val="16"/>
        </w:numPr>
        <w:ind w:firstLine="200" w:firstLineChars="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选矿厂构建筑物平断面图（一</w:t>
      </w:r>
      <w:r>
        <w:rPr>
          <w:rFonts w:ascii="Times New Roman" w:hAnsi="Times New Roman" w:eastAsia="宋体" w:cs="Times New Roman"/>
          <w:color w:val="auto"/>
          <w:lang w:val="en-US" w:eastAsia="zh-CN"/>
        </w:rPr>
        <w:t>）</w:t>
      </w:r>
    </w:p>
    <w:p>
      <w:pPr>
        <w:numPr>
          <w:ilvl w:val="0"/>
          <w:numId w:val="16"/>
        </w:numPr>
        <w:ind w:firstLine="200" w:firstLineChars="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选矿厂构建筑物平断面图（</w:t>
      </w:r>
      <w:r>
        <w:rPr>
          <w:rFonts w:ascii="Times New Roman" w:hAnsi="Times New Roman" w:eastAsia="宋体" w:cs="Times New Roman"/>
          <w:color w:val="auto"/>
          <w:lang w:val="en-US" w:eastAsia="zh-CN"/>
        </w:rPr>
        <w:t>二）</w:t>
      </w:r>
    </w:p>
    <w:p>
      <w:pPr>
        <w:numPr>
          <w:ilvl w:val="0"/>
          <w:numId w:val="16"/>
        </w:numPr>
        <w:ind w:firstLine="20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10KV供配电系统图</w:t>
      </w:r>
    </w:p>
    <w:sectPr>
      <w:headerReference r:id="rId22" w:type="default"/>
      <w:footerReference r:id="rId23" w:type="default"/>
      <w:pgSz w:w="11906" w:h="16839"/>
      <w:pgMar w:top="1417" w:right="1417" w:bottom="1417" w:left="1417" w:header="850" w:footer="992" w:gutter="0"/>
      <w:pgNumType w:fmt="decimal" w:start="67"/>
      <w:cols w:space="425"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Batang">
    <w:altName w:val="Malgun Gothic"/>
    <w:panose1 w:val="02030600000101010101"/>
    <w:charset w:val="81"/>
    <w:family w:val="roman"/>
    <w:pitch w:val="default"/>
    <w:sig w:usb0="00000000" w:usb1="00000000" w:usb2="00000030" w:usb3="00000000" w:csb0="0008009F" w:csb1="00000000"/>
  </w:font>
  <w:font w:name="MS Gothic">
    <w:panose1 w:val="020B0609070205080204"/>
    <w:charset w:val="80"/>
    <w:family w:val="modern"/>
    <w:pitch w:val="default"/>
    <w:sig w:usb0="E00002FF" w:usb1="6AC7FDFB" w:usb2="08000012" w:usb3="00000000" w:csb0="4002009F" w:csb1="DFD70000"/>
  </w:font>
  <w:font w:name="Constantia">
    <w:panose1 w:val="02030602050306030303"/>
    <w:charset w:val="00"/>
    <w:family w:val="auto"/>
    <w:pitch w:val="default"/>
    <w:sig w:usb0="A00002EF" w:usb1="4000204B" w:usb2="00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0"/>
      </w:pBdr>
      <w:ind w:left="0" w:leftChars="0" w:firstLine="0" w:firstLineChars="0"/>
      <w:rPr>
        <w:rFonts w:hint="default" w:eastAsia="宋体"/>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7</w:t>
                    </w:r>
                    <w:r>
                      <w:fldChar w:fldCharType="end"/>
                    </w:r>
                  </w:p>
                </w:txbxContent>
              </v:textbox>
            </v:shape>
          </w:pict>
        </mc:Fallback>
      </mc:AlternateContent>
    </w:r>
    <w:r>
      <w:rPr>
        <w:rFonts w:hint="eastAsia"/>
      </w:rPr>
      <w:t>江西赣安安全生产科学技术咨询服务中心</w:t>
    </w:r>
    <w:r>
      <w:rPr>
        <w:rFonts w:hint="eastAsia"/>
        <w:lang w:val="en-US" w:eastAsia="zh-CN"/>
      </w:rPr>
      <w:t xml:space="preserve">                                                   APJ-（赣）-002</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0"/>
      </w:pBdr>
      <w:ind w:left="0" w:leftChars="0" w:firstLine="0" w:firstLineChars="0"/>
      <w:rPr>
        <w:rFonts w:hint="default" w:eastAsia="宋体"/>
        <w:lang w:val="en-US" w:eastAsia="zh-CN"/>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江西赣安安全生产科学技术咨询服务中心</w:t>
    </w:r>
    <w:r>
      <w:rPr>
        <w:rFonts w:hint="eastAsia"/>
        <w:lang w:val="en-US" w:eastAsia="zh-CN"/>
      </w:rPr>
      <w:t xml:space="preserve">                                                     APJ-（赣）-002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0"/>
      </w:pBdr>
      <w:ind w:left="0" w:leftChars="0" w:firstLine="0" w:firstLineChars="0"/>
      <w:rPr>
        <w:rFonts w:hint="default" w:eastAsia="宋体"/>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江西赣安安全生产科学技术咨询服务中心</w:t>
    </w:r>
    <w:r>
      <w:rPr>
        <w:rFonts w:hint="eastAsia"/>
        <w:lang w:val="en-US" w:eastAsia="zh-CN"/>
      </w:rPr>
      <w:t xml:space="preserve">                                                     APJ-（赣）-002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0"/>
      </w:pBdr>
      <w:ind w:left="0" w:leftChars="0" w:firstLine="0" w:firstLineChars="0"/>
      <w:rPr>
        <w:rFonts w:hint="default" w:eastAsia="宋体"/>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江西赣安安全生产科学技术咨询服务中心</w:t>
    </w:r>
    <w:r>
      <w:rPr>
        <w:rFonts w:hint="eastAsia"/>
        <w:lang w:val="en-US" w:eastAsia="zh-CN"/>
      </w:rPr>
      <w:t xml:space="preserve">                                                                                                                                                                                         APJ-（赣）-002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0"/>
      </w:pBdr>
      <w:ind w:left="0" w:leftChars="0" w:firstLine="0" w:firstLineChars="0"/>
      <w:rPr>
        <w:rFonts w:hint="default" w:eastAsia="宋体"/>
        <w:lang w:val="en-US"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江西赣安安全生产科学技术咨询服务中心</w:t>
    </w:r>
    <w:r>
      <w:rPr>
        <w:rFonts w:hint="eastAsia"/>
        <w:lang w:val="en-US" w:eastAsia="zh-CN"/>
      </w:rPr>
      <w:t xml:space="preserve">                                                     APJ-（赣）-002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0"/>
      </w:pBdr>
      <w:ind w:left="0" w:leftChars="0" w:firstLine="0" w:firstLineChars="0"/>
      <w:rPr>
        <w:rFonts w:hint="default" w:eastAsia="宋体"/>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江西赣安安全生产科学技术咨询服务中心</w:t>
    </w:r>
    <w:r>
      <w:rPr>
        <w:rFonts w:hint="eastAsia"/>
        <w:lang w:val="en-US" w:eastAsia="zh-CN"/>
      </w:rPr>
      <w:t xml:space="preserve">                                                                                                            APJ-（赣）-002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0"/>
      </w:pBdr>
      <w:ind w:left="0" w:leftChars="0" w:firstLine="0" w:firstLineChars="0"/>
      <w:rPr>
        <w:rFonts w:hint="default" w:eastAsia="宋体"/>
        <w:lang w:val="en-US" w:eastAsia="zh-C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江西赣安安全生产科学技术咨询服务中心</w:t>
    </w:r>
    <w:r>
      <w:rPr>
        <w:rFonts w:hint="eastAsia"/>
        <w:lang w:val="en-US" w:eastAsia="zh-CN"/>
      </w:rPr>
      <w:t xml:space="preserve">                                                     APJ-（赣）-002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0"/>
      </w:pBdr>
      <w:ind w:left="0" w:leftChars="0" w:firstLine="0" w:firstLineChars="0"/>
      <w:rPr>
        <w:rFonts w:hint="default" w:eastAsia="宋体"/>
        <w:lang w:val="en-US"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江西赣安安全生产科学技术咨询服务中心</w:t>
    </w:r>
    <w:r>
      <w:rPr>
        <w:rFonts w:hint="eastAsia"/>
        <w:lang w:val="en-US" w:eastAsia="zh-CN"/>
      </w:rPr>
      <w:t xml:space="preserve">                                                                                                            APJ-（赣）-002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0"/>
      </w:pBdr>
      <w:ind w:left="0" w:leftChars="0" w:firstLine="0" w:firstLineChars="0"/>
      <w:rPr>
        <w:rFonts w:hint="default" w:eastAsia="宋体"/>
        <w:lang w:val="en-US" w:eastAsia="zh-CN"/>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江西赣安安全生产科学技术咨询服务中心</w:t>
    </w:r>
    <w:r>
      <w:rPr>
        <w:rFonts w:hint="eastAsia"/>
        <w:lang w:val="en-US" w:eastAsia="zh-CN"/>
      </w:rPr>
      <w:t xml:space="preserve">                                                     APJ-（赣）-002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0"/>
      </w:pBdr>
      <w:ind w:left="0" w:leftChars="0" w:firstLine="0" w:firstLineChars="0"/>
      <w:rPr>
        <w:rFonts w:hint="default" w:eastAsia="宋体"/>
        <w:lang w:val="en-US" w:eastAsia="zh-CN"/>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江西赣安安全生产科学技术咨询服务中心</w:t>
    </w:r>
    <w:r>
      <w:rPr>
        <w:rFonts w:hint="eastAsia"/>
        <w:lang w:val="en-US" w:eastAsia="zh-CN"/>
      </w:rPr>
      <w:t xml:space="preserve">                                                                                                            APJ-（赣）-002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0" w:leftChars="0" w:firstLine="0" w:firstLineChars="0"/>
      <w:jc w:val="left"/>
    </w:pPr>
    <w:r>
      <w:rPr>
        <w:rFonts w:hint="eastAsia"/>
      </w:rPr>
      <w:t>于都小东坑矿业有限公司选矿厂工程建设项目安全</w:t>
    </w:r>
    <w:r>
      <w:rPr>
        <w:rFonts w:hint="eastAsia"/>
        <w:lang w:val="en-US" w:eastAsia="zh-CN"/>
      </w:rPr>
      <w:t>预</w:t>
    </w:r>
    <w:r>
      <w:rPr>
        <w:rFonts w:hint="eastAsia"/>
      </w:rPr>
      <w:t>评价报告</w:t>
    </w:r>
    <w:r>
      <w:rPr>
        <w:rFonts w:hint="eastAsia"/>
        <w:lang w:val="en-US" w:eastAsia="zh-CN"/>
      </w:rPr>
      <w:t xml:space="preserve">                           GAAP</w:t>
    </w:r>
    <w:r>
      <w:rPr>
        <w:rFonts w:hint="eastAsia" w:ascii="微软雅黑" w:hAnsi="微软雅黑" w:eastAsia="微软雅黑" w:cs="微软雅黑"/>
        <w:lang w:val="en-US" w:eastAsia="zh-CN"/>
      </w:rPr>
      <w:t>〔</w:t>
    </w:r>
    <w:r>
      <w:rPr>
        <w:rFonts w:hint="eastAsia"/>
        <w:lang w:val="en-US" w:eastAsia="zh-CN"/>
      </w:rPr>
      <w:t>2022</w:t>
    </w:r>
    <w:r>
      <w:rPr>
        <w:rFonts w:hint="eastAsia" w:ascii="微软雅黑" w:hAnsi="微软雅黑" w:eastAsia="微软雅黑" w:cs="微软雅黑"/>
        <w:lang w:val="en-US" w:eastAsia="zh-CN"/>
      </w:rPr>
      <w:t>〕</w:t>
    </w:r>
    <w:r>
      <w:rPr>
        <w:rFonts w:hint="eastAsia" w:eastAsia="微软雅黑" w:cs="Times New Roman"/>
        <w:strike w:val="0"/>
        <w:dstrike w:val="0"/>
        <w:lang w:val="en-US" w:eastAsia="zh-CN"/>
      </w:rPr>
      <w:t>1631</w:t>
    </w:r>
    <w:r>
      <w:rPr>
        <w:rFonts w:hint="eastAsia"/>
        <w:lang w:val="en-US" w:eastAsia="zh-CN"/>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0" w:leftChars="0" w:firstLine="0" w:firstLineChars="0"/>
      <w:jc w:val="left"/>
    </w:pPr>
    <w:r>
      <w:rPr>
        <w:rFonts w:hint="eastAsia"/>
      </w:rPr>
      <w:t>于都小东坑矿业有限公司选矿厂工程建设项目安全</w:t>
    </w:r>
    <w:r>
      <w:rPr>
        <w:rFonts w:hint="eastAsia"/>
        <w:lang w:val="en-US" w:eastAsia="zh-CN"/>
      </w:rPr>
      <w:t>预</w:t>
    </w:r>
    <w:r>
      <w:rPr>
        <w:rFonts w:hint="eastAsia"/>
      </w:rPr>
      <w:t>评价报告</w:t>
    </w:r>
    <w:r>
      <w:rPr>
        <w:rFonts w:hint="eastAsia"/>
        <w:lang w:val="en-US" w:eastAsia="zh-CN"/>
      </w:rPr>
      <w:t xml:space="preserve">                                                                                                                                                               GAAP〔2022〕1631号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0" w:leftChars="0" w:firstLine="0" w:firstLineChars="0"/>
      <w:jc w:val="left"/>
    </w:pPr>
    <w:r>
      <w:rPr>
        <w:rFonts w:hint="eastAsia"/>
      </w:rPr>
      <w:t>于都小东坑矿业有限公司选矿厂工程建设项目安全</w:t>
    </w:r>
    <w:r>
      <w:rPr>
        <w:rFonts w:hint="eastAsia"/>
        <w:lang w:val="en-US" w:eastAsia="zh-CN"/>
      </w:rPr>
      <w:t>预</w:t>
    </w:r>
    <w:r>
      <w:rPr>
        <w:rFonts w:hint="eastAsia"/>
      </w:rPr>
      <w:t>评价报告</w:t>
    </w:r>
    <w:r>
      <w:rPr>
        <w:rFonts w:hint="eastAsia"/>
        <w:lang w:val="en-US" w:eastAsia="zh-CN"/>
      </w:rPr>
      <w:t xml:space="preserve">                           GAAP〔2022〕1631号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0" w:leftChars="0" w:firstLine="0" w:firstLineChars="0"/>
      <w:jc w:val="left"/>
    </w:pPr>
    <w:r>
      <w:rPr>
        <w:rFonts w:hint="eastAsia"/>
      </w:rPr>
      <w:t>于都小东坑矿业有限公司选矿厂工程建设项目安全</w:t>
    </w:r>
    <w:r>
      <w:rPr>
        <w:rFonts w:hint="eastAsia"/>
        <w:lang w:val="en-US" w:eastAsia="zh-CN"/>
      </w:rPr>
      <w:t>预</w:t>
    </w:r>
    <w:r>
      <w:rPr>
        <w:rFonts w:hint="eastAsia"/>
      </w:rPr>
      <w:t>评价报告</w:t>
    </w:r>
    <w:r>
      <w:rPr>
        <w:rFonts w:hint="eastAsia"/>
        <w:lang w:val="en-US" w:eastAsia="zh-CN"/>
      </w:rPr>
      <w:t xml:space="preserve">                                                                                  GAAP〔2022〕1631号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0" w:leftChars="0" w:firstLine="0" w:firstLineChars="0"/>
      <w:jc w:val="left"/>
    </w:pPr>
    <w:r>
      <w:rPr>
        <w:rFonts w:hint="eastAsia"/>
      </w:rPr>
      <w:t>于都小东坑矿业有限公司选矿厂工程建设项目安全</w:t>
    </w:r>
    <w:r>
      <w:rPr>
        <w:rFonts w:hint="eastAsia"/>
        <w:lang w:val="en-US" w:eastAsia="zh-CN"/>
      </w:rPr>
      <w:t>预</w:t>
    </w:r>
    <w:r>
      <w:rPr>
        <w:rFonts w:hint="eastAsia"/>
      </w:rPr>
      <w:t>评价报告</w:t>
    </w:r>
    <w:r>
      <w:rPr>
        <w:rFonts w:hint="eastAsia"/>
        <w:lang w:val="en-US" w:eastAsia="zh-CN"/>
      </w:rPr>
      <w:t xml:space="preserve">                           GAAP〔2022〕1631号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0" w:leftChars="0" w:firstLine="0" w:firstLineChars="0"/>
      <w:jc w:val="left"/>
    </w:pPr>
    <w:r>
      <w:rPr>
        <w:rFonts w:hint="eastAsia"/>
      </w:rPr>
      <w:t>于都小东坑矿业有限公司选矿厂工程建设项目安全</w:t>
    </w:r>
    <w:r>
      <w:rPr>
        <w:rFonts w:hint="eastAsia"/>
        <w:lang w:val="en-US" w:eastAsia="zh-CN"/>
      </w:rPr>
      <w:t>预</w:t>
    </w:r>
    <w:r>
      <w:rPr>
        <w:rFonts w:hint="eastAsia"/>
      </w:rPr>
      <w:t>评价报告</w:t>
    </w:r>
    <w:r>
      <w:rPr>
        <w:rFonts w:hint="eastAsia"/>
        <w:lang w:val="en-US" w:eastAsia="zh-CN"/>
      </w:rPr>
      <w:t xml:space="preserve">                                                                                  GAAP〔2022〕1631号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0" w:leftChars="0" w:firstLine="0" w:firstLineChars="0"/>
      <w:jc w:val="left"/>
    </w:pPr>
    <w:r>
      <w:rPr>
        <w:rFonts w:hint="eastAsia"/>
      </w:rPr>
      <w:t>于都小东坑矿业有限公司选矿厂工程建设项目安全</w:t>
    </w:r>
    <w:r>
      <w:rPr>
        <w:rFonts w:hint="eastAsia"/>
        <w:lang w:val="en-US" w:eastAsia="zh-CN"/>
      </w:rPr>
      <w:t>预</w:t>
    </w:r>
    <w:r>
      <w:rPr>
        <w:rFonts w:hint="eastAsia"/>
      </w:rPr>
      <w:t>评价报告</w:t>
    </w:r>
    <w:r>
      <w:rPr>
        <w:rFonts w:hint="eastAsia"/>
        <w:lang w:val="en-US" w:eastAsia="zh-CN"/>
      </w:rPr>
      <w:t xml:space="preserve">                           GAAP〔2022〕1631号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0" w:leftChars="0" w:firstLine="0" w:firstLineChars="0"/>
      <w:jc w:val="left"/>
    </w:pPr>
    <w:r>
      <w:rPr>
        <w:rFonts w:hint="eastAsia"/>
      </w:rPr>
      <w:t>于都小东坑矿业有限公司选矿厂工程建设项目安全</w:t>
    </w:r>
    <w:r>
      <w:rPr>
        <w:rFonts w:hint="eastAsia"/>
        <w:lang w:val="en-US" w:eastAsia="zh-CN"/>
      </w:rPr>
      <w:t>预</w:t>
    </w:r>
    <w:r>
      <w:rPr>
        <w:rFonts w:hint="eastAsia"/>
      </w:rPr>
      <w:t>评价报告</w:t>
    </w:r>
    <w:r>
      <w:rPr>
        <w:rFonts w:hint="eastAsia"/>
        <w:lang w:val="en-US" w:eastAsia="zh-CN"/>
      </w:rPr>
      <w:t xml:space="preserve">                                                                                  GAAP〔2022〕1631号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0" w:leftChars="0" w:firstLine="0" w:firstLineChars="0"/>
      <w:jc w:val="left"/>
    </w:pPr>
    <w:r>
      <w:rPr>
        <w:rFonts w:hint="eastAsia"/>
      </w:rPr>
      <w:t>于都小东坑矿业有限公司选矿厂工程建设项目安全</w:t>
    </w:r>
    <w:r>
      <w:rPr>
        <w:rFonts w:hint="eastAsia"/>
        <w:lang w:val="en-US" w:eastAsia="zh-CN"/>
      </w:rPr>
      <w:t>预</w:t>
    </w:r>
    <w:r>
      <w:rPr>
        <w:rFonts w:hint="eastAsia"/>
      </w:rPr>
      <w:t>评价报告</w:t>
    </w:r>
    <w:r>
      <w:rPr>
        <w:rFonts w:hint="eastAsia"/>
        <w:lang w:val="en-US" w:eastAsia="zh-CN"/>
      </w:rPr>
      <w:t xml:space="preserve">                           GAAP〔2022〕1631号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D7BBA"/>
    <w:multiLevelType w:val="singleLevel"/>
    <w:tmpl w:val="891D7BBA"/>
    <w:lvl w:ilvl="0" w:tentative="0">
      <w:start w:val="2"/>
      <w:numFmt w:val="decimal"/>
      <w:suff w:val="nothing"/>
      <w:lvlText w:val="%1）"/>
      <w:lvlJc w:val="left"/>
    </w:lvl>
  </w:abstractNum>
  <w:abstractNum w:abstractNumId="1">
    <w:nsid w:val="8983F0D5"/>
    <w:multiLevelType w:val="singleLevel"/>
    <w:tmpl w:val="8983F0D5"/>
    <w:lvl w:ilvl="0" w:tentative="0">
      <w:start w:val="1"/>
      <w:numFmt w:val="decimal"/>
      <w:suff w:val="space"/>
      <w:lvlText w:val="%1."/>
      <w:lvlJc w:val="left"/>
    </w:lvl>
  </w:abstractNum>
  <w:abstractNum w:abstractNumId="2">
    <w:nsid w:val="A109752E"/>
    <w:multiLevelType w:val="singleLevel"/>
    <w:tmpl w:val="A109752E"/>
    <w:lvl w:ilvl="0" w:tentative="0">
      <w:start w:val="4"/>
      <w:numFmt w:val="decimal"/>
      <w:suff w:val="nothing"/>
      <w:lvlText w:val="%1、"/>
      <w:lvlJc w:val="left"/>
    </w:lvl>
  </w:abstractNum>
  <w:abstractNum w:abstractNumId="3">
    <w:nsid w:val="C321F9A9"/>
    <w:multiLevelType w:val="multilevel"/>
    <w:tmpl w:val="C321F9A9"/>
    <w:lvl w:ilvl="0" w:tentative="0">
      <w:start w:val="1"/>
      <w:numFmt w:val="decimal"/>
      <w:pStyle w:val="2"/>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CEE1DC5B"/>
    <w:multiLevelType w:val="singleLevel"/>
    <w:tmpl w:val="CEE1DC5B"/>
    <w:lvl w:ilvl="0" w:tentative="0">
      <w:start w:val="1"/>
      <w:numFmt w:val="decimal"/>
      <w:suff w:val="nothing"/>
      <w:lvlText w:val="%1、"/>
      <w:lvlJc w:val="left"/>
    </w:lvl>
  </w:abstractNum>
  <w:abstractNum w:abstractNumId="5">
    <w:nsid w:val="CFDB4CA5"/>
    <w:multiLevelType w:val="singleLevel"/>
    <w:tmpl w:val="CFDB4CA5"/>
    <w:lvl w:ilvl="0" w:tentative="0">
      <w:start w:val="2"/>
      <w:numFmt w:val="decimal"/>
      <w:suff w:val="nothing"/>
      <w:lvlText w:val="（%1）"/>
      <w:lvlJc w:val="left"/>
    </w:lvl>
  </w:abstractNum>
  <w:abstractNum w:abstractNumId="6">
    <w:nsid w:val="D3F3A380"/>
    <w:multiLevelType w:val="singleLevel"/>
    <w:tmpl w:val="D3F3A380"/>
    <w:lvl w:ilvl="0" w:tentative="0">
      <w:start w:val="1"/>
      <w:numFmt w:val="decimal"/>
      <w:suff w:val="space"/>
      <w:lvlText w:val="%1."/>
      <w:lvlJc w:val="left"/>
    </w:lvl>
  </w:abstractNum>
  <w:abstractNum w:abstractNumId="7">
    <w:nsid w:val="EE344F81"/>
    <w:multiLevelType w:val="singleLevel"/>
    <w:tmpl w:val="EE344F81"/>
    <w:lvl w:ilvl="0" w:tentative="0">
      <w:start w:val="1"/>
      <w:numFmt w:val="decimal"/>
      <w:lvlText w:val="%1."/>
      <w:lvlJc w:val="left"/>
      <w:pPr>
        <w:tabs>
          <w:tab w:val="left" w:pos="312"/>
        </w:tabs>
      </w:pPr>
    </w:lvl>
  </w:abstractNum>
  <w:abstractNum w:abstractNumId="8">
    <w:nsid w:val="FE510C87"/>
    <w:multiLevelType w:val="singleLevel"/>
    <w:tmpl w:val="FE510C87"/>
    <w:lvl w:ilvl="0" w:tentative="0">
      <w:start w:val="2"/>
      <w:numFmt w:val="decimal"/>
      <w:suff w:val="space"/>
      <w:lvlText w:val="%1."/>
      <w:lvlJc w:val="left"/>
    </w:lvl>
  </w:abstractNum>
  <w:abstractNum w:abstractNumId="9">
    <w:nsid w:val="003B96EC"/>
    <w:multiLevelType w:val="singleLevel"/>
    <w:tmpl w:val="003B96EC"/>
    <w:lvl w:ilvl="0" w:tentative="0">
      <w:start w:val="1"/>
      <w:numFmt w:val="decimal"/>
      <w:suff w:val="space"/>
      <w:lvlText w:val="%1."/>
      <w:lvlJc w:val="left"/>
    </w:lvl>
  </w:abstractNum>
  <w:abstractNum w:abstractNumId="10">
    <w:nsid w:val="05154D85"/>
    <w:multiLevelType w:val="singleLevel"/>
    <w:tmpl w:val="05154D85"/>
    <w:lvl w:ilvl="0" w:tentative="0">
      <w:start w:val="1"/>
      <w:numFmt w:val="decimal"/>
      <w:lvlText w:val="%1."/>
      <w:lvlJc w:val="left"/>
      <w:pPr>
        <w:tabs>
          <w:tab w:val="left" w:pos="312"/>
        </w:tabs>
      </w:pPr>
    </w:lvl>
  </w:abstractNum>
  <w:abstractNum w:abstractNumId="11">
    <w:nsid w:val="22B643C4"/>
    <w:multiLevelType w:val="singleLevel"/>
    <w:tmpl w:val="22B643C4"/>
    <w:lvl w:ilvl="0" w:tentative="0">
      <w:start w:val="2"/>
      <w:numFmt w:val="decimal"/>
      <w:suff w:val="space"/>
      <w:lvlText w:val="%1."/>
      <w:lvlJc w:val="left"/>
    </w:lvl>
  </w:abstractNum>
  <w:abstractNum w:abstractNumId="12">
    <w:nsid w:val="2B29508A"/>
    <w:multiLevelType w:val="singleLevel"/>
    <w:tmpl w:val="2B29508A"/>
    <w:lvl w:ilvl="0" w:tentative="0">
      <w:start w:val="1"/>
      <w:numFmt w:val="decimal"/>
      <w:suff w:val="space"/>
      <w:lvlText w:val="%1."/>
      <w:lvlJc w:val="left"/>
    </w:lvl>
  </w:abstractNum>
  <w:abstractNum w:abstractNumId="13">
    <w:nsid w:val="41102AAE"/>
    <w:multiLevelType w:val="singleLevel"/>
    <w:tmpl w:val="41102AAE"/>
    <w:lvl w:ilvl="0" w:tentative="0">
      <w:start w:val="1"/>
      <w:numFmt w:val="decimal"/>
      <w:lvlText w:val="%1."/>
      <w:lvlJc w:val="left"/>
      <w:pPr>
        <w:tabs>
          <w:tab w:val="left" w:pos="312"/>
        </w:tabs>
      </w:pPr>
    </w:lvl>
  </w:abstractNum>
  <w:abstractNum w:abstractNumId="14">
    <w:nsid w:val="4549D53A"/>
    <w:multiLevelType w:val="singleLevel"/>
    <w:tmpl w:val="4549D53A"/>
    <w:lvl w:ilvl="0" w:tentative="0">
      <w:start w:val="1"/>
      <w:numFmt w:val="decimal"/>
      <w:suff w:val="space"/>
      <w:lvlText w:val="%1."/>
      <w:lvlJc w:val="left"/>
    </w:lvl>
  </w:abstractNum>
  <w:abstractNum w:abstractNumId="15">
    <w:nsid w:val="5783379E"/>
    <w:multiLevelType w:val="singleLevel"/>
    <w:tmpl w:val="5783379E"/>
    <w:lvl w:ilvl="0" w:tentative="0">
      <w:start w:val="1"/>
      <w:numFmt w:val="decimal"/>
      <w:suff w:val="space"/>
      <w:lvlText w:val="%1."/>
      <w:lvlJc w:val="left"/>
      <w:pPr>
        <w:ind w:left="0" w:firstLine="0"/>
      </w:pPr>
    </w:lvl>
  </w:abstractNum>
  <w:num w:numId="1">
    <w:abstractNumId w:val="3"/>
  </w:num>
  <w:num w:numId="2">
    <w:abstractNumId w:val="1"/>
  </w:num>
  <w:num w:numId="3">
    <w:abstractNumId w:val="5"/>
  </w:num>
  <w:num w:numId="4">
    <w:abstractNumId w:val="9"/>
  </w:num>
  <w:num w:numId="5">
    <w:abstractNumId w:val="0"/>
  </w:num>
  <w:num w:numId="6">
    <w:abstractNumId w:val="11"/>
  </w:num>
  <w:num w:numId="7">
    <w:abstractNumId w:val="2"/>
  </w:num>
  <w:num w:numId="8">
    <w:abstractNumId w:val="14"/>
  </w:num>
  <w:num w:numId="9">
    <w:abstractNumId w:val="8"/>
  </w:num>
  <w:num w:numId="10">
    <w:abstractNumId w:val="6"/>
  </w:num>
  <w:num w:numId="11">
    <w:abstractNumId w:val="12"/>
  </w:num>
  <w:num w:numId="12">
    <w:abstractNumId w:val="10"/>
  </w:num>
  <w:num w:numId="13">
    <w:abstractNumId w:val="7"/>
  </w:num>
  <w:num w:numId="14">
    <w:abstractNumId w:val="13"/>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JmOWZjMTdhZDhhZjU4OThiZWFjMGM2NzJiODRlYjYifQ=="/>
  </w:docVars>
  <w:rsids>
    <w:rsidRoot w:val="00000000"/>
    <w:rsid w:val="00166D33"/>
    <w:rsid w:val="0038056C"/>
    <w:rsid w:val="005408EB"/>
    <w:rsid w:val="00844285"/>
    <w:rsid w:val="008B1170"/>
    <w:rsid w:val="00936276"/>
    <w:rsid w:val="00DE185F"/>
    <w:rsid w:val="00E30FAC"/>
    <w:rsid w:val="01092E43"/>
    <w:rsid w:val="010D427B"/>
    <w:rsid w:val="012958F6"/>
    <w:rsid w:val="017355B1"/>
    <w:rsid w:val="018373F7"/>
    <w:rsid w:val="01B97F5E"/>
    <w:rsid w:val="01C74429"/>
    <w:rsid w:val="01CC7EBE"/>
    <w:rsid w:val="01EE5E5A"/>
    <w:rsid w:val="01F71DC8"/>
    <w:rsid w:val="021F0EF7"/>
    <w:rsid w:val="02283016"/>
    <w:rsid w:val="02290253"/>
    <w:rsid w:val="023D0B8F"/>
    <w:rsid w:val="02555ED9"/>
    <w:rsid w:val="02706DD3"/>
    <w:rsid w:val="02D50DC8"/>
    <w:rsid w:val="03435D32"/>
    <w:rsid w:val="0362649B"/>
    <w:rsid w:val="04082D0A"/>
    <w:rsid w:val="0412571D"/>
    <w:rsid w:val="04510922"/>
    <w:rsid w:val="046337FC"/>
    <w:rsid w:val="053B7F7E"/>
    <w:rsid w:val="055A55B4"/>
    <w:rsid w:val="057B0FFA"/>
    <w:rsid w:val="07302A71"/>
    <w:rsid w:val="07DF325C"/>
    <w:rsid w:val="07E618D5"/>
    <w:rsid w:val="07F97E85"/>
    <w:rsid w:val="080B2B96"/>
    <w:rsid w:val="0854453D"/>
    <w:rsid w:val="0858350F"/>
    <w:rsid w:val="08630C76"/>
    <w:rsid w:val="08760957"/>
    <w:rsid w:val="08962DA7"/>
    <w:rsid w:val="089E3A0A"/>
    <w:rsid w:val="08AB66CA"/>
    <w:rsid w:val="08AC4379"/>
    <w:rsid w:val="08B70A65"/>
    <w:rsid w:val="08F32F05"/>
    <w:rsid w:val="0946583B"/>
    <w:rsid w:val="09876941"/>
    <w:rsid w:val="09A03EDE"/>
    <w:rsid w:val="09B23C11"/>
    <w:rsid w:val="09C556F2"/>
    <w:rsid w:val="0A1C72DC"/>
    <w:rsid w:val="0A366575"/>
    <w:rsid w:val="0A6273E5"/>
    <w:rsid w:val="0A7D5FCD"/>
    <w:rsid w:val="0AF61D8A"/>
    <w:rsid w:val="0B27418B"/>
    <w:rsid w:val="0B296364"/>
    <w:rsid w:val="0B521208"/>
    <w:rsid w:val="0B7A69B0"/>
    <w:rsid w:val="0B971913"/>
    <w:rsid w:val="0B9D61FB"/>
    <w:rsid w:val="0BDD0E19"/>
    <w:rsid w:val="0C4C20FB"/>
    <w:rsid w:val="0CEC11E8"/>
    <w:rsid w:val="0CFD1647"/>
    <w:rsid w:val="0D417485"/>
    <w:rsid w:val="0DDE3227"/>
    <w:rsid w:val="0E0A5DCA"/>
    <w:rsid w:val="0E364E11"/>
    <w:rsid w:val="0E5D2EA2"/>
    <w:rsid w:val="0E805F90"/>
    <w:rsid w:val="0F24110D"/>
    <w:rsid w:val="0F317370"/>
    <w:rsid w:val="0F5C08A7"/>
    <w:rsid w:val="0F9221C8"/>
    <w:rsid w:val="0FD146C5"/>
    <w:rsid w:val="0FDC5544"/>
    <w:rsid w:val="0FDE6D14"/>
    <w:rsid w:val="0FF652A1"/>
    <w:rsid w:val="101B3481"/>
    <w:rsid w:val="10B80B0D"/>
    <w:rsid w:val="10D40911"/>
    <w:rsid w:val="11360C84"/>
    <w:rsid w:val="113D64B6"/>
    <w:rsid w:val="1142587A"/>
    <w:rsid w:val="114F2FFE"/>
    <w:rsid w:val="1170063A"/>
    <w:rsid w:val="11763776"/>
    <w:rsid w:val="11A7191F"/>
    <w:rsid w:val="11CA661D"/>
    <w:rsid w:val="11D87F8D"/>
    <w:rsid w:val="11DA2C04"/>
    <w:rsid w:val="1226519C"/>
    <w:rsid w:val="126D40D3"/>
    <w:rsid w:val="12703FC6"/>
    <w:rsid w:val="1283439D"/>
    <w:rsid w:val="129C0FBA"/>
    <w:rsid w:val="12AD740E"/>
    <w:rsid w:val="12D76496"/>
    <w:rsid w:val="13693592"/>
    <w:rsid w:val="13D03611"/>
    <w:rsid w:val="14221993"/>
    <w:rsid w:val="142A7EF5"/>
    <w:rsid w:val="14913DAE"/>
    <w:rsid w:val="14CB3DD9"/>
    <w:rsid w:val="14D902A4"/>
    <w:rsid w:val="15123533"/>
    <w:rsid w:val="15362A79"/>
    <w:rsid w:val="15462EC8"/>
    <w:rsid w:val="15475B55"/>
    <w:rsid w:val="15952639"/>
    <w:rsid w:val="15B81182"/>
    <w:rsid w:val="15C076B6"/>
    <w:rsid w:val="15C570C4"/>
    <w:rsid w:val="15E16C1D"/>
    <w:rsid w:val="15F01D49"/>
    <w:rsid w:val="15FA4976"/>
    <w:rsid w:val="16240763"/>
    <w:rsid w:val="16484D9D"/>
    <w:rsid w:val="1652472A"/>
    <w:rsid w:val="167A5AB7"/>
    <w:rsid w:val="16A102CE"/>
    <w:rsid w:val="17092FB8"/>
    <w:rsid w:val="17375756"/>
    <w:rsid w:val="176F6C9D"/>
    <w:rsid w:val="177034A9"/>
    <w:rsid w:val="17987A55"/>
    <w:rsid w:val="179B3F36"/>
    <w:rsid w:val="17A238FB"/>
    <w:rsid w:val="17D17BE5"/>
    <w:rsid w:val="17DF7EBC"/>
    <w:rsid w:val="183D4FEE"/>
    <w:rsid w:val="18890233"/>
    <w:rsid w:val="188F5919"/>
    <w:rsid w:val="18A22B9C"/>
    <w:rsid w:val="18B9510D"/>
    <w:rsid w:val="18FF04F5"/>
    <w:rsid w:val="192D6E10"/>
    <w:rsid w:val="199724DC"/>
    <w:rsid w:val="19A54BF8"/>
    <w:rsid w:val="19A8293B"/>
    <w:rsid w:val="19BE3F0C"/>
    <w:rsid w:val="19C257AA"/>
    <w:rsid w:val="19E25E4D"/>
    <w:rsid w:val="19FF0972"/>
    <w:rsid w:val="1A077661"/>
    <w:rsid w:val="1A3A17E5"/>
    <w:rsid w:val="1A6E5932"/>
    <w:rsid w:val="1A73397C"/>
    <w:rsid w:val="1AB0055C"/>
    <w:rsid w:val="1AF20311"/>
    <w:rsid w:val="1B2B7782"/>
    <w:rsid w:val="1B3F107D"/>
    <w:rsid w:val="1B776A68"/>
    <w:rsid w:val="1BCD48DA"/>
    <w:rsid w:val="1BEF65FF"/>
    <w:rsid w:val="1C312FB0"/>
    <w:rsid w:val="1C3A1F70"/>
    <w:rsid w:val="1C3D736A"/>
    <w:rsid w:val="1C6F168E"/>
    <w:rsid w:val="1C7A0F4E"/>
    <w:rsid w:val="1C9F6277"/>
    <w:rsid w:val="1CE64FB0"/>
    <w:rsid w:val="1D0A73B1"/>
    <w:rsid w:val="1D3E15EC"/>
    <w:rsid w:val="1D5D053C"/>
    <w:rsid w:val="1D64530A"/>
    <w:rsid w:val="1D7A676B"/>
    <w:rsid w:val="1DA33B45"/>
    <w:rsid w:val="1DD016F9"/>
    <w:rsid w:val="1DD97567"/>
    <w:rsid w:val="1E4D585F"/>
    <w:rsid w:val="1E5135A1"/>
    <w:rsid w:val="1E6A4663"/>
    <w:rsid w:val="1EDF0A76"/>
    <w:rsid w:val="1EEE53EA"/>
    <w:rsid w:val="1EF1268E"/>
    <w:rsid w:val="1F106FB8"/>
    <w:rsid w:val="1F260691"/>
    <w:rsid w:val="1F29007A"/>
    <w:rsid w:val="1F3A3FB5"/>
    <w:rsid w:val="1F3A4035"/>
    <w:rsid w:val="1F78690B"/>
    <w:rsid w:val="1F9951FF"/>
    <w:rsid w:val="1FEB532F"/>
    <w:rsid w:val="1FF22B62"/>
    <w:rsid w:val="1FF936E4"/>
    <w:rsid w:val="202238EC"/>
    <w:rsid w:val="20367D94"/>
    <w:rsid w:val="20395371"/>
    <w:rsid w:val="203A5E3A"/>
    <w:rsid w:val="204D7D98"/>
    <w:rsid w:val="20717F2A"/>
    <w:rsid w:val="208300D0"/>
    <w:rsid w:val="208C35E1"/>
    <w:rsid w:val="208C6B12"/>
    <w:rsid w:val="208E28AB"/>
    <w:rsid w:val="20901CE0"/>
    <w:rsid w:val="20C55B80"/>
    <w:rsid w:val="20CC6F0F"/>
    <w:rsid w:val="21277407"/>
    <w:rsid w:val="213571AA"/>
    <w:rsid w:val="21862E86"/>
    <w:rsid w:val="21BA0FE9"/>
    <w:rsid w:val="21E309B4"/>
    <w:rsid w:val="220977E4"/>
    <w:rsid w:val="2221328A"/>
    <w:rsid w:val="22230261"/>
    <w:rsid w:val="22482F0D"/>
    <w:rsid w:val="2283360C"/>
    <w:rsid w:val="229D5007"/>
    <w:rsid w:val="229E0D7F"/>
    <w:rsid w:val="22C34341"/>
    <w:rsid w:val="22E20FE6"/>
    <w:rsid w:val="23290CD7"/>
    <w:rsid w:val="232A7120"/>
    <w:rsid w:val="234F10F2"/>
    <w:rsid w:val="235853C4"/>
    <w:rsid w:val="236773C3"/>
    <w:rsid w:val="237422B9"/>
    <w:rsid w:val="23922691"/>
    <w:rsid w:val="23A83C63"/>
    <w:rsid w:val="23DC390D"/>
    <w:rsid w:val="23DF6052"/>
    <w:rsid w:val="23F24EDE"/>
    <w:rsid w:val="23F43720"/>
    <w:rsid w:val="242833ED"/>
    <w:rsid w:val="242A2629"/>
    <w:rsid w:val="243D353F"/>
    <w:rsid w:val="24655329"/>
    <w:rsid w:val="247578BD"/>
    <w:rsid w:val="24770A03"/>
    <w:rsid w:val="247E2C16"/>
    <w:rsid w:val="24C04FDC"/>
    <w:rsid w:val="24DC0AAD"/>
    <w:rsid w:val="24F829C8"/>
    <w:rsid w:val="24FD3B3B"/>
    <w:rsid w:val="252F2A15"/>
    <w:rsid w:val="255F2A47"/>
    <w:rsid w:val="256040C9"/>
    <w:rsid w:val="25822C8E"/>
    <w:rsid w:val="258F4359"/>
    <w:rsid w:val="25A920F9"/>
    <w:rsid w:val="261F5D33"/>
    <w:rsid w:val="263D19CB"/>
    <w:rsid w:val="26404627"/>
    <w:rsid w:val="2677791D"/>
    <w:rsid w:val="26816A52"/>
    <w:rsid w:val="26997893"/>
    <w:rsid w:val="26D7485F"/>
    <w:rsid w:val="272D447F"/>
    <w:rsid w:val="27377E1D"/>
    <w:rsid w:val="27540D23"/>
    <w:rsid w:val="27860F66"/>
    <w:rsid w:val="27B16E5E"/>
    <w:rsid w:val="27B623D4"/>
    <w:rsid w:val="27D160DF"/>
    <w:rsid w:val="27E17743"/>
    <w:rsid w:val="280671AA"/>
    <w:rsid w:val="281F026C"/>
    <w:rsid w:val="282D2989"/>
    <w:rsid w:val="28887BBF"/>
    <w:rsid w:val="28A87747"/>
    <w:rsid w:val="28D92B11"/>
    <w:rsid w:val="28E079FB"/>
    <w:rsid w:val="28FD1F7D"/>
    <w:rsid w:val="291640F4"/>
    <w:rsid w:val="29192F0D"/>
    <w:rsid w:val="291C4E95"/>
    <w:rsid w:val="29231FDE"/>
    <w:rsid w:val="29233D8C"/>
    <w:rsid w:val="292D6E86"/>
    <w:rsid w:val="29581C87"/>
    <w:rsid w:val="295D34AF"/>
    <w:rsid w:val="2A092F82"/>
    <w:rsid w:val="2A247DBB"/>
    <w:rsid w:val="2A6901D0"/>
    <w:rsid w:val="2A88659C"/>
    <w:rsid w:val="2AD0584D"/>
    <w:rsid w:val="2AD72B50"/>
    <w:rsid w:val="2B3012EB"/>
    <w:rsid w:val="2B46348F"/>
    <w:rsid w:val="2B836D64"/>
    <w:rsid w:val="2C2B5431"/>
    <w:rsid w:val="2C302A48"/>
    <w:rsid w:val="2CDB45C8"/>
    <w:rsid w:val="2D1A7254"/>
    <w:rsid w:val="2D853E99"/>
    <w:rsid w:val="2D9A2E53"/>
    <w:rsid w:val="2E21163E"/>
    <w:rsid w:val="2E50117F"/>
    <w:rsid w:val="2E6F330A"/>
    <w:rsid w:val="2ED35172"/>
    <w:rsid w:val="2EF74B19"/>
    <w:rsid w:val="2F1F6E53"/>
    <w:rsid w:val="2F36681B"/>
    <w:rsid w:val="2F690A64"/>
    <w:rsid w:val="2FBC45F2"/>
    <w:rsid w:val="2FE37DD1"/>
    <w:rsid w:val="2FFA3A98"/>
    <w:rsid w:val="3001084F"/>
    <w:rsid w:val="30240B15"/>
    <w:rsid w:val="30354AD0"/>
    <w:rsid w:val="306727BD"/>
    <w:rsid w:val="307929BE"/>
    <w:rsid w:val="307D032C"/>
    <w:rsid w:val="308415B4"/>
    <w:rsid w:val="309F1F40"/>
    <w:rsid w:val="30A9101A"/>
    <w:rsid w:val="30C94C38"/>
    <w:rsid w:val="30D22C27"/>
    <w:rsid w:val="311961A0"/>
    <w:rsid w:val="31A43590"/>
    <w:rsid w:val="31AF440F"/>
    <w:rsid w:val="31F14A27"/>
    <w:rsid w:val="328C11FD"/>
    <w:rsid w:val="32AE0B6A"/>
    <w:rsid w:val="32DE21FE"/>
    <w:rsid w:val="32EA3795"/>
    <w:rsid w:val="32EB35B4"/>
    <w:rsid w:val="32F631B3"/>
    <w:rsid w:val="32FD11AA"/>
    <w:rsid w:val="33942334"/>
    <w:rsid w:val="339972BC"/>
    <w:rsid w:val="33B42BA9"/>
    <w:rsid w:val="346911EC"/>
    <w:rsid w:val="349831C4"/>
    <w:rsid w:val="34BB30CA"/>
    <w:rsid w:val="34BE3DF6"/>
    <w:rsid w:val="34F77B28"/>
    <w:rsid w:val="34FE3200"/>
    <w:rsid w:val="351975ED"/>
    <w:rsid w:val="351F18AB"/>
    <w:rsid w:val="352944D8"/>
    <w:rsid w:val="355F7EFA"/>
    <w:rsid w:val="359758E5"/>
    <w:rsid w:val="359978AF"/>
    <w:rsid w:val="359F0C3E"/>
    <w:rsid w:val="35ED3757"/>
    <w:rsid w:val="35F44AE6"/>
    <w:rsid w:val="3608233F"/>
    <w:rsid w:val="36575075"/>
    <w:rsid w:val="366B28CE"/>
    <w:rsid w:val="36A02D91"/>
    <w:rsid w:val="36A04C6E"/>
    <w:rsid w:val="36B64491"/>
    <w:rsid w:val="36BB14FA"/>
    <w:rsid w:val="36C56482"/>
    <w:rsid w:val="36F46CFE"/>
    <w:rsid w:val="36F93775"/>
    <w:rsid w:val="370B6CF4"/>
    <w:rsid w:val="37272C99"/>
    <w:rsid w:val="374B4BD9"/>
    <w:rsid w:val="374E0226"/>
    <w:rsid w:val="3787198A"/>
    <w:rsid w:val="37A54D91"/>
    <w:rsid w:val="37B24C58"/>
    <w:rsid w:val="37BF1123"/>
    <w:rsid w:val="37DE146E"/>
    <w:rsid w:val="38211DDE"/>
    <w:rsid w:val="386B37E8"/>
    <w:rsid w:val="38ED3A6E"/>
    <w:rsid w:val="38FB262F"/>
    <w:rsid w:val="390F1C37"/>
    <w:rsid w:val="391B05DB"/>
    <w:rsid w:val="39205BF2"/>
    <w:rsid w:val="39B0341A"/>
    <w:rsid w:val="39C43F44"/>
    <w:rsid w:val="3A0B0650"/>
    <w:rsid w:val="3A543DA5"/>
    <w:rsid w:val="3A744447"/>
    <w:rsid w:val="3AA30888"/>
    <w:rsid w:val="3AC83791"/>
    <w:rsid w:val="3AD009A8"/>
    <w:rsid w:val="3B0E11B9"/>
    <w:rsid w:val="3B225418"/>
    <w:rsid w:val="3B27770B"/>
    <w:rsid w:val="3B4B3590"/>
    <w:rsid w:val="3B804752"/>
    <w:rsid w:val="3B923D23"/>
    <w:rsid w:val="3BA82BFD"/>
    <w:rsid w:val="3BDD426E"/>
    <w:rsid w:val="3BDF4059"/>
    <w:rsid w:val="3C024908"/>
    <w:rsid w:val="3C8203BB"/>
    <w:rsid w:val="3CA11CAA"/>
    <w:rsid w:val="3CD13DD3"/>
    <w:rsid w:val="3D3A7C13"/>
    <w:rsid w:val="3D4B79E4"/>
    <w:rsid w:val="3D6C7658"/>
    <w:rsid w:val="3D7A7FC6"/>
    <w:rsid w:val="3DCB0822"/>
    <w:rsid w:val="3DE50B32"/>
    <w:rsid w:val="3E6B3DB3"/>
    <w:rsid w:val="3E8417B1"/>
    <w:rsid w:val="3EBE0387"/>
    <w:rsid w:val="3F3F3F85"/>
    <w:rsid w:val="3F481E53"/>
    <w:rsid w:val="3F7A7248"/>
    <w:rsid w:val="3F957005"/>
    <w:rsid w:val="3FAC01DF"/>
    <w:rsid w:val="3FD15E98"/>
    <w:rsid w:val="3FFF47B3"/>
    <w:rsid w:val="40063D93"/>
    <w:rsid w:val="406D3E12"/>
    <w:rsid w:val="40907B01"/>
    <w:rsid w:val="40970E8F"/>
    <w:rsid w:val="409F2538"/>
    <w:rsid w:val="40BE01CA"/>
    <w:rsid w:val="40C81A57"/>
    <w:rsid w:val="40D55CEA"/>
    <w:rsid w:val="40D95004"/>
    <w:rsid w:val="40F97454"/>
    <w:rsid w:val="414508EB"/>
    <w:rsid w:val="416C231C"/>
    <w:rsid w:val="418740DD"/>
    <w:rsid w:val="420662CD"/>
    <w:rsid w:val="4235270E"/>
    <w:rsid w:val="42402E61"/>
    <w:rsid w:val="4283791D"/>
    <w:rsid w:val="42927B60"/>
    <w:rsid w:val="42B21FB1"/>
    <w:rsid w:val="42B37FEF"/>
    <w:rsid w:val="42BF46CD"/>
    <w:rsid w:val="42CB3072"/>
    <w:rsid w:val="42E0087C"/>
    <w:rsid w:val="430D5439"/>
    <w:rsid w:val="43543956"/>
    <w:rsid w:val="43B104BA"/>
    <w:rsid w:val="43E87689"/>
    <w:rsid w:val="443F1622"/>
    <w:rsid w:val="447F3D72"/>
    <w:rsid w:val="44A919BE"/>
    <w:rsid w:val="44B00772"/>
    <w:rsid w:val="44BF6C07"/>
    <w:rsid w:val="44F22B38"/>
    <w:rsid w:val="450B3BFA"/>
    <w:rsid w:val="4528655A"/>
    <w:rsid w:val="45B74BFB"/>
    <w:rsid w:val="45CC15DB"/>
    <w:rsid w:val="46512483"/>
    <w:rsid w:val="46C8713D"/>
    <w:rsid w:val="46D23E85"/>
    <w:rsid w:val="46D4173A"/>
    <w:rsid w:val="46E1361F"/>
    <w:rsid w:val="46F17FED"/>
    <w:rsid w:val="47665118"/>
    <w:rsid w:val="478E4A65"/>
    <w:rsid w:val="47B16CDB"/>
    <w:rsid w:val="47F170D7"/>
    <w:rsid w:val="48376AB4"/>
    <w:rsid w:val="483E2E8C"/>
    <w:rsid w:val="48484E0B"/>
    <w:rsid w:val="4869465C"/>
    <w:rsid w:val="48914416"/>
    <w:rsid w:val="48B3355A"/>
    <w:rsid w:val="48F54560"/>
    <w:rsid w:val="490D6193"/>
    <w:rsid w:val="49547BDA"/>
    <w:rsid w:val="4968161B"/>
    <w:rsid w:val="49B17A19"/>
    <w:rsid w:val="49CD76D0"/>
    <w:rsid w:val="49EB7B56"/>
    <w:rsid w:val="49FC7FB5"/>
    <w:rsid w:val="4A176B9D"/>
    <w:rsid w:val="4A1D1B42"/>
    <w:rsid w:val="4A3C1AFC"/>
    <w:rsid w:val="4A425D44"/>
    <w:rsid w:val="4A5D544A"/>
    <w:rsid w:val="4A7C404C"/>
    <w:rsid w:val="4AA5064D"/>
    <w:rsid w:val="4AB935C3"/>
    <w:rsid w:val="4AD54A8E"/>
    <w:rsid w:val="4AEA6060"/>
    <w:rsid w:val="4AFA72FE"/>
    <w:rsid w:val="4B50680B"/>
    <w:rsid w:val="4B652D40"/>
    <w:rsid w:val="4BE74CD7"/>
    <w:rsid w:val="4BEB429E"/>
    <w:rsid w:val="4C0C69D1"/>
    <w:rsid w:val="4C7D365D"/>
    <w:rsid w:val="4CD311DB"/>
    <w:rsid w:val="4CF80F08"/>
    <w:rsid w:val="4DE8262D"/>
    <w:rsid w:val="4E105DDD"/>
    <w:rsid w:val="4E920EE8"/>
    <w:rsid w:val="4E9718FE"/>
    <w:rsid w:val="4ECC43FA"/>
    <w:rsid w:val="4F446542"/>
    <w:rsid w:val="4F554947"/>
    <w:rsid w:val="4F8F164D"/>
    <w:rsid w:val="4FC13833"/>
    <w:rsid w:val="50072F54"/>
    <w:rsid w:val="50540B7D"/>
    <w:rsid w:val="50544327"/>
    <w:rsid w:val="50665BE5"/>
    <w:rsid w:val="5075461D"/>
    <w:rsid w:val="507836C4"/>
    <w:rsid w:val="5095646B"/>
    <w:rsid w:val="50993895"/>
    <w:rsid w:val="50B415EA"/>
    <w:rsid w:val="50C77123"/>
    <w:rsid w:val="50CD4459"/>
    <w:rsid w:val="50D15CF8"/>
    <w:rsid w:val="51DA56D9"/>
    <w:rsid w:val="51E27DFD"/>
    <w:rsid w:val="52020133"/>
    <w:rsid w:val="523D116B"/>
    <w:rsid w:val="529102F7"/>
    <w:rsid w:val="52A336C4"/>
    <w:rsid w:val="53095690"/>
    <w:rsid w:val="531B72FD"/>
    <w:rsid w:val="532365B3"/>
    <w:rsid w:val="53311C69"/>
    <w:rsid w:val="53332C9A"/>
    <w:rsid w:val="53426A39"/>
    <w:rsid w:val="53456529"/>
    <w:rsid w:val="537D3F15"/>
    <w:rsid w:val="539F20DD"/>
    <w:rsid w:val="53C102A5"/>
    <w:rsid w:val="53CD7FD4"/>
    <w:rsid w:val="53FC29DA"/>
    <w:rsid w:val="540A3316"/>
    <w:rsid w:val="54424EA8"/>
    <w:rsid w:val="544303D5"/>
    <w:rsid w:val="5492579E"/>
    <w:rsid w:val="55175CA3"/>
    <w:rsid w:val="55865E7A"/>
    <w:rsid w:val="559B1A6C"/>
    <w:rsid w:val="55AA2FBB"/>
    <w:rsid w:val="55BA2508"/>
    <w:rsid w:val="55BE25C3"/>
    <w:rsid w:val="55D6790C"/>
    <w:rsid w:val="55DA1F2A"/>
    <w:rsid w:val="55DA41A3"/>
    <w:rsid w:val="56463818"/>
    <w:rsid w:val="567333AD"/>
    <w:rsid w:val="56921A85"/>
    <w:rsid w:val="569A4893"/>
    <w:rsid w:val="56F4502E"/>
    <w:rsid w:val="57087F99"/>
    <w:rsid w:val="571701DC"/>
    <w:rsid w:val="57572CCF"/>
    <w:rsid w:val="575B631B"/>
    <w:rsid w:val="576158FB"/>
    <w:rsid w:val="57A21429"/>
    <w:rsid w:val="57CF28B2"/>
    <w:rsid w:val="57D27F65"/>
    <w:rsid w:val="57D808EB"/>
    <w:rsid w:val="57EE3DAF"/>
    <w:rsid w:val="58900246"/>
    <w:rsid w:val="58A14202"/>
    <w:rsid w:val="58B303D9"/>
    <w:rsid w:val="592A2449"/>
    <w:rsid w:val="59441031"/>
    <w:rsid w:val="59FD5D36"/>
    <w:rsid w:val="5A0507C0"/>
    <w:rsid w:val="5A162954"/>
    <w:rsid w:val="5A87203E"/>
    <w:rsid w:val="5B1E422F"/>
    <w:rsid w:val="5B4812AC"/>
    <w:rsid w:val="5BDB3ECE"/>
    <w:rsid w:val="5BDB5C7C"/>
    <w:rsid w:val="5BE454B6"/>
    <w:rsid w:val="5BE508A9"/>
    <w:rsid w:val="5C763BF7"/>
    <w:rsid w:val="5C863AC1"/>
    <w:rsid w:val="5CE03E0B"/>
    <w:rsid w:val="5D192F00"/>
    <w:rsid w:val="5D2C7B29"/>
    <w:rsid w:val="5D5104A8"/>
    <w:rsid w:val="5D796BA8"/>
    <w:rsid w:val="5DC80482"/>
    <w:rsid w:val="5E155AE6"/>
    <w:rsid w:val="5E256920"/>
    <w:rsid w:val="5E4B1EB2"/>
    <w:rsid w:val="5E5036FB"/>
    <w:rsid w:val="5E951201"/>
    <w:rsid w:val="5EBA472C"/>
    <w:rsid w:val="5EF977B3"/>
    <w:rsid w:val="5EFD429C"/>
    <w:rsid w:val="5EFE39E7"/>
    <w:rsid w:val="5F2C67EF"/>
    <w:rsid w:val="5F394F55"/>
    <w:rsid w:val="5F5A6ED0"/>
    <w:rsid w:val="5F7A39FE"/>
    <w:rsid w:val="5F7E172D"/>
    <w:rsid w:val="5F9525E6"/>
    <w:rsid w:val="6016798A"/>
    <w:rsid w:val="601D2D07"/>
    <w:rsid w:val="60200102"/>
    <w:rsid w:val="603242D9"/>
    <w:rsid w:val="608368E3"/>
    <w:rsid w:val="60A800F7"/>
    <w:rsid w:val="60C63C94"/>
    <w:rsid w:val="60CE5DB0"/>
    <w:rsid w:val="61037E69"/>
    <w:rsid w:val="610C4B2A"/>
    <w:rsid w:val="6129748A"/>
    <w:rsid w:val="617565F6"/>
    <w:rsid w:val="617A7C83"/>
    <w:rsid w:val="619C7C5C"/>
    <w:rsid w:val="61CC20F9"/>
    <w:rsid w:val="61D45648"/>
    <w:rsid w:val="62031A89"/>
    <w:rsid w:val="62257D9E"/>
    <w:rsid w:val="624502F4"/>
    <w:rsid w:val="62665185"/>
    <w:rsid w:val="627B1F67"/>
    <w:rsid w:val="628C0097"/>
    <w:rsid w:val="628C3554"/>
    <w:rsid w:val="62BE2037"/>
    <w:rsid w:val="62C751AC"/>
    <w:rsid w:val="63126812"/>
    <w:rsid w:val="6417587B"/>
    <w:rsid w:val="64371EBE"/>
    <w:rsid w:val="64532812"/>
    <w:rsid w:val="64780290"/>
    <w:rsid w:val="648D5F82"/>
    <w:rsid w:val="654B3E73"/>
    <w:rsid w:val="657E520F"/>
    <w:rsid w:val="6589396E"/>
    <w:rsid w:val="65AD6302"/>
    <w:rsid w:val="65C04BDF"/>
    <w:rsid w:val="66456A73"/>
    <w:rsid w:val="66BB6DD6"/>
    <w:rsid w:val="66EB147E"/>
    <w:rsid w:val="671B39FF"/>
    <w:rsid w:val="671D539B"/>
    <w:rsid w:val="67230DC3"/>
    <w:rsid w:val="674072DB"/>
    <w:rsid w:val="675D7E8D"/>
    <w:rsid w:val="67855FCC"/>
    <w:rsid w:val="678E44EB"/>
    <w:rsid w:val="6814298D"/>
    <w:rsid w:val="68172B30"/>
    <w:rsid w:val="68210EBB"/>
    <w:rsid w:val="6841330B"/>
    <w:rsid w:val="684D46DA"/>
    <w:rsid w:val="685F7C35"/>
    <w:rsid w:val="687234C5"/>
    <w:rsid w:val="6875755D"/>
    <w:rsid w:val="68E1064A"/>
    <w:rsid w:val="68FD373A"/>
    <w:rsid w:val="6908045D"/>
    <w:rsid w:val="690C3919"/>
    <w:rsid w:val="690F51B7"/>
    <w:rsid w:val="69126A56"/>
    <w:rsid w:val="694B00EB"/>
    <w:rsid w:val="694E3F32"/>
    <w:rsid w:val="698C05B6"/>
    <w:rsid w:val="69A73642"/>
    <w:rsid w:val="69F24F19"/>
    <w:rsid w:val="6A085624"/>
    <w:rsid w:val="6A2716C9"/>
    <w:rsid w:val="6A2C1D99"/>
    <w:rsid w:val="6A667059"/>
    <w:rsid w:val="6A6A173C"/>
    <w:rsid w:val="6B1B3F84"/>
    <w:rsid w:val="6B315878"/>
    <w:rsid w:val="6B4E7EEE"/>
    <w:rsid w:val="6B663041"/>
    <w:rsid w:val="6B9B0F84"/>
    <w:rsid w:val="6B9E2823"/>
    <w:rsid w:val="6C040F0E"/>
    <w:rsid w:val="6C5B6EDA"/>
    <w:rsid w:val="6C846764"/>
    <w:rsid w:val="6CA200F0"/>
    <w:rsid w:val="6CE32BE3"/>
    <w:rsid w:val="6CEB7CE9"/>
    <w:rsid w:val="6D231231"/>
    <w:rsid w:val="6D236CE2"/>
    <w:rsid w:val="6D88670D"/>
    <w:rsid w:val="6DCC7B1B"/>
    <w:rsid w:val="6E3A08A4"/>
    <w:rsid w:val="6E3D27EA"/>
    <w:rsid w:val="6E922241"/>
    <w:rsid w:val="6EA405A9"/>
    <w:rsid w:val="6EAB3BD4"/>
    <w:rsid w:val="6EC16F54"/>
    <w:rsid w:val="6ED36C87"/>
    <w:rsid w:val="6EE844E0"/>
    <w:rsid w:val="6EF90AB4"/>
    <w:rsid w:val="6EFC1D3A"/>
    <w:rsid w:val="6F5222A2"/>
    <w:rsid w:val="6F6721A0"/>
    <w:rsid w:val="6F834209"/>
    <w:rsid w:val="6F9E7295"/>
    <w:rsid w:val="6FA26D85"/>
    <w:rsid w:val="6FB43378"/>
    <w:rsid w:val="6FE93B2A"/>
    <w:rsid w:val="6FF43359"/>
    <w:rsid w:val="6FFB0243"/>
    <w:rsid w:val="701D28B0"/>
    <w:rsid w:val="70757FF6"/>
    <w:rsid w:val="70A11939"/>
    <w:rsid w:val="70BA0DD5"/>
    <w:rsid w:val="70DC1E23"/>
    <w:rsid w:val="7180259E"/>
    <w:rsid w:val="71C36744"/>
    <w:rsid w:val="71C64881"/>
    <w:rsid w:val="71E02960"/>
    <w:rsid w:val="71E82A49"/>
    <w:rsid w:val="728111DC"/>
    <w:rsid w:val="72C15774"/>
    <w:rsid w:val="72CC5EC7"/>
    <w:rsid w:val="72CE7E91"/>
    <w:rsid w:val="72EE22E1"/>
    <w:rsid w:val="72FA0C86"/>
    <w:rsid w:val="73351CBE"/>
    <w:rsid w:val="734F215E"/>
    <w:rsid w:val="73823B05"/>
    <w:rsid w:val="738D3C94"/>
    <w:rsid w:val="73972979"/>
    <w:rsid w:val="73AF5389"/>
    <w:rsid w:val="743326A2"/>
    <w:rsid w:val="74403FC1"/>
    <w:rsid w:val="746A3BEA"/>
    <w:rsid w:val="748154B2"/>
    <w:rsid w:val="74B530B7"/>
    <w:rsid w:val="750758DC"/>
    <w:rsid w:val="7538395C"/>
    <w:rsid w:val="756747A2"/>
    <w:rsid w:val="756E14B8"/>
    <w:rsid w:val="75734190"/>
    <w:rsid w:val="758C4F7A"/>
    <w:rsid w:val="761A519B"/>
    <w:rsid w:val="766308F1"/>
    <w:rsid w:val="7693567A"/>
    <w:rsid w:val="76A41B15"/>
    <w:rsid w:val="76BD26F7"/>
    <w:rsid w:val="76C21ABB"/>
    <w:rsid w:val="76C95589"/>
    <w:rsid w:val="76D637B8"/>
    <w:rsid w:val="76E01F41"/>
    <w:rsid w:val="76ED425C"/>
    <w:rsid w:val="772A5796"/>
    <w:rsid w:val="774F434C"/>
    <w:rsid w:val="77666857"/>
    <w:rsid w:val="77752FD1"/>
    <w:rsid w:val="779416A9"/>
    <w:rsid w:val="77B533CE"/>
    <w:rsid w:val="77EA5801"/>
    <w:rsid w:val="77EF68E0"/>
    <w:rsid w:val="77F9150C"/>
    <w:rsid w:val="78540E39"/>
    <w:rsid w:val="78720029"/>
    <w:rsid w:val="787B63C5"/>
    <w:rsid w:val="79522462"/>
    <w:rsid w:val="79586707"/>
    <w:rsid w:val="7978664F"/>
    <w:rsid w:val="798D4602"/>
    <w:rsid w:val="79F521A7"/>
    <w:rsid w:val="7A3507F6"/>
    <w:rsid w:val="7A4822D7"/>
    <w:rsid w:val="7A4B6B7E"/>
    <w:rsid w:val="7AC34054"/>
    <w:rsid w:val="7B446B2C"/>
    <w:rsid w:val="7B4968BF"/>
    <w:rsid w:val="7B6E188D"/>
    <w:rsid w:val="7B707D38"/>
    <w:rsid w:val="7B821819"/>
    <w:rsid w:val="7BA93985"/>
    <w:rsid w:val="7BDD225D"/>
    <w:rsid w:val="7BE57DD3"/>
    <w:rsid w:val="7C826A2D"/>
    <w:rsid w:val="7CA80310"/>
    <w:rsid w:val="7CB57377"/>
    <w:rsid w:val="7CEF2EDE"/>
    <w:rsid w:val="7CF91FAF"/>
    <w:rsid w:val="7D322473"/>
    <w:rsid w:val="7D6513F2"/>
    <w:rsid w:val="7D6733BC"/>
    <w:rsid w:val="7DC600E3"/>
    <w:rsid w:val="7E34499A"/>
    <w:rsid w:val="7E3A287F"/>
    <w:rsid w:val="7E994590"/>
    <w:rsid w:val="7ECA3C03"/>
    <w:rsid w:val="7F0240C9"/>
    <w:rsid w:val="7F1135E0"/>
    <w:rsid w:val="7F1462A7"/>
    <w:rsid w:val="7F1B7FBA"/>
    <w:rsid w:val="7F2D4191"/>
    <w:rsid w:val="7F6F21A3"/>
    <w:rsid w:val="7F7911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883"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link w:val="26"/>
    <w:autoRedefine/>
    <w:qFormat/>
    <w:uiPriority w:val="0"/>
    <w:pPr>
      <w:keepNext/>
      <w:keepLines/>
      <w:numPr>
        <w:ilvl w:val="0"/>
        <w:numId w:val="1"/>
      </w:numPr>
      <w:spacing w:beforeLines="0" w:afterLines="0"/>
      <w:ind w:firstLine="0" w:firstLineChars="0"/>
      <w:jc w:val="center"/>
      <w:outlineLvl w:val="0"/>
    </w:pPr>
    <w:rPr>
      <w:rFonts w:eastAsia="黑体"/>
      <w:b/>
      <w:kern w:val="44"/>
      <w:sz w:val="32"/>
    </w:rPr>
  </w:style>
  <w:style w:type="paragraph" w:styleId="3">
    <w:name w:val="heading 2"/>
    <w:basedOn w:val="1"/>
    <w:next w:val="1"/>
    <w:link w:val="24"/>
    <w:autoRedefine/>
    <w:unhideWhenUsed/>
    <w:qFormat/>
    <w:uiPriority w:val="0"/>
    <w:pPr>
      <w:keepNext/>
      <w:keepLines/>
      <w:spacing w:beforeLines="0" w:beforeAutospacing="0" w:afterLines="0" w:afterAutospacing="0" w:line="360" w:lineRule="auto"/>
      <w:ind w:left="280" w:leftChars="100" w:firstLine="0" w:firstLineChars="0"/>
      <w:outlineLvl w:val="1"/>
    </w:pPr>
    <w:rPr>
      <w:rFonts w:eastAsia="黑体"/>
      <w:b/>
      <w:sz w:val="30"/>
    </w:rPr>
  </w:style>
  <w:style w:type="paragraph" w:styleId="4">
    <w:name w:val="heading 3"/>
    <w:basedOn w:val="1"/>
    <w:next w:val="1"/>
    <w:link w:val="35"/>
    <w:autoRedefine/>
    <w:unhideWhenUsed/>
    <w:qFormat/>
    <w:uiPriority w:val="0"/>
    <w:pPr>
      <w:keepNext/>
      <w:keepLines/>
      <w:spacing w:beforeLines="0" w:beforeAutospacing="0" w:afterLines="0" w:afterAutospacing="0" w:line="360" w:lineRule="auto"/>
      <w:ind w:left="560" w:leftChars="200" w:firstLine="0" w:firstLineChars="0"/>
      <w:outlineLvl w:val="2"/>
    </w:pPr>
    <w:rPr>
      <w:rFonts w:eastAsia="黑体"/>
      <w:b/>
    </w:rPr>
  </w:style>
  <w:style w:type="paragraph" w:styleId="5">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6">
    <w:name w:val="table of authorities"/>
    <w:basedOn w:val="1"/>
    <w:next w:val="1"/>
    <w:autoRedefine/>
    <w:qFormat/>
    <w:uiPriority w:val="0"/>
    <w:pPr>
      <w:ind w:left="420" w:leftChars="200"/>
    </w:pPr>
  </w:style>
  <w:style w:type="paragraph" w:styleId="7">
    <w:name w:val="Body Text"/>
    <w:link w:val="29"/>
    <w:autoRedefine/>
    <w:qFormat/>
    <w:uiPriority w:val="0"/>
    <w:pPr>
      <w:widowControl w:val="0"/>
      <w:spacing w:after="120" w:line="360" w:lineRule="auto"/>
      <w:jc w:val="both"/>
    </w:pPr>
    <w:rPr>
      <w:rFonts w:ascii="Times New Roman" w:hAnsi="Times New Roman" w:eastAsia="宋体" w:cs="Times New Roman"/>
      <w:kern w:val="2"/>
      <w:sz w:val="28"/>
      <w:szCs w:val="24"/>
      <w:lang w:val="en-US" w:eastAsia="zh-CN" w:bidi="ar-SA"/>
    </w:rPr>
  </w:style>
  <w:style w:type="paragraph" w:styleId="8">
    <w:name w:val="toc 3"/>
    <w:basedOn w:val="1"/>
    <w:next w:val="1"/>
    <w:autoRedefine/>
    <w:qFormat/>
    <w:uiPriority w:val="0"/>
    <w:pPr>
      <w:ind w:left="840" w:leftChars="400"/>
    </w:pPr>
    <w:rPr>
      <w:rFonts w:ascii="Times New Roman" w:hAnsi="Times New Roman" w:eastAsia="宋体"/>
      <w:sz w:val="21"/>
    </w:rPr>
  </w:style>
  <w:style w:type="paragraph" w:styleId="9">
    <w:name w:val="Plain Text"/>
    <w:qFormat/>
    <w:uiPriority w:val="0"/>
    <w:pPr>
      <w:widowControl w:val="0"/>
      <w:jc w:val="both"/>
    </w:pPr>
    <w:rPr>
      <w:rFonts w:ascii="宋体" w:hAnsi="Courier New" w:eastAsia="宋体" w:cs="Courier New"/>
      <w:kern w:val="2"/>
      <w:sz w:val="21"/>
      <w:szCs w:val="21"/>
      <w:lang w:val="en-US" w:eastAsia="zh-CN" w:bidi="ar-SA"/>
    </w:rPr>
  </w:style>
  <w:style w:type="paragraph" w:styleId="10">
    <w:name w:val="footer"/>
    <w:basedOn w:val="1"/>
    <w:autoRedefine/>
    <w:qFormat/>
    <w:uiPriority w:val="0"/>
    <w:pPr>
      <w:tabs>
        <w:tab w:val="center" w:pos="4153"/>
        <w:tab w:val="right" w:pos="8306"/>
      </w:tabs>
      <w:snapToGrid w:val="0"/>
      <w:spacing w:line="240" w:lineRule="auto"/>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2">
    <w:name w:val="toc 1"/>
    <w:basedOn w:val="1"/>
    <w:next w:val="1"/>
    <w:autoRedefine/>
    <w:qFormat/>
    <w:uiPriority w:val="0"/>
  </w:style>
  <w:style w:type="paragraph" w:styleId="13">
    <w:name w:val="toc 2"/>
    <w:basedOn w:val="1"/>
    <w:next w:val="1"/>
    <w:autoRedefine/>
    <w:qFormat/>
    <w:uiPriority w:val="0"/>
    <w:pPr>
      <w:ind w:left="420" w:leftChars="200"/>
    </w:pPr>
    <w:rPr>
      <w:rFonts w:ascii="Times New Roman" w:hAnsi="Times New Roman" w:eastAsia="宋体"/>
      <w:sz w:val="24"/>
    </w:rPr>
  </w:style>
  <w:style w:type="paragraph" w:styleId="14">
    <w:name w:val="Normal (Web)"/>
    <w:autoRedefine/>
    <w:qFormat/>
    <w:uiPriority w:val="99"/>
    <w:pPr>
      <w:widowControl/>
      <w:spacing w:before="100" w:beforeAutospacing="1" w:after="100" w:afterAutospacing="1"/>
      <w:jc w:val="left"/>
    </w:pPr>
    <w:rPr>
      <w:rFonts w:ascii="宋体" w:hAnsi="宋体" w:eastAsia="宋体" w:cs="宋体"/>
      <w:kern w:val="0"/>
      <w:sz w:val="24"/>
      <w:szCs w:val="24"/>
      <w:lang w:val="en-US" w:eastAsia="zh-CN" w:bidi="ar-SA"/>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autoRedefine/>
    <w:qFormat/>
    <w:uiPriority w:val="0"/>
    <w:rPr>
      <w:b/>
    </w:rPr>
  </w:style>
  <w:style w:type="character" w:styleId="19">
    <w:name w:val="page number"/>
    <w:basedOn w:val="17"/>
    <w:autoRedefine/>
    <w:qFormat/>
    <w:uiPriority w:val="0"/>
  </w:style>
  <w:style w:type="character" w:styleId="20">
    <w:name w:val="Emphasis"/>
    <w:basedOn w:val="17"/>
    <w:autoRedefine/>
    <w:qFormat/>
    <w:uiPriority w:val="0"/>
    <w:rPr>
      <w:i/>
    </w:rPr>
  </w:style>
  <w:style w:type="paragraph" w:customStyle="1" w:styleId="21">
    <w:name w:val="目录1"/>
    <w:basedOn w:val="6"/>
    <w:autoRedefine/>
    <w:qFormat/>
    <w:uiPriority w:val="0"/>
    <w:pPr>
      <w:spacing w:line="240" w:lineRule="auto"/>
      <w:ind w:left="0" w:leftChars="0" w:firstLine="0" w:firstLineChars="0"/>
    </w:pPr>
  </w:style>
  <w:style w:type="paragraph" w:customStyle="1" w:styleId="22">
    <w:name w:val="目录2"/>
    <w:basedOn w:val="6"/>
    <w:autoRedefine/>
    <w:qFormat/>
    <w:uiPriority w:val="0"/>
    <w:pPr>
      <w:spacing w:line="240" w:lineRule="auto"/>
      <w:ind w:firstLine="0" w:firstLineChars="0"/>
    </w:pPr>
    <w:rPr>
      <w:sz w:val="24"/>
    </w:rPr>
  </w:style>
  <w:style w:type="paragraph" w:customStyle="1" w:styleId="23">
    <w:name w:val="目录3"/>
    <w:basedOn w:val="6"/>
    <w:autoRedefine/>
    <w:qFormat/>
    <w:uiPriority w:val="0"/>
    <w:pPr>
      <w:spacing w:line="240" w:lineRule="auto"/>
      <w:ind w:left="1120" w:leftChars="400" w:firstLine="0" w:firstLineChars="0"/>
    </w:pPr>
    <w:rPr>
      <w:sz w:val="21"/>
    </w:rPr>
  </w:style>
  <w:style w:type="character" w:customStyle="1" w:styleId="24">
    <w:name w:val="标题 2 Char"/>
    <w:link w:val="3"/>
    <w:autoRedefine/>
    <w:qFormat/>
    <w:uiPriority w:val="0"/>
    <w:rPr>
      <w:rFonts w:eastAsia="黑体"/>
      <w:b/>
      <w:sz w:val="30"/>
    </w:rPr>
  </w:style>
  <w:style w:type="paragraph" w:customStyle="1" w:styleId="25">
    <w:name w:val="样式 小四 首行缩进:  0.85 厘米 行距: 固定值 22 磅"/>
    <w:autoRedefine/>
    <w:qFormat/>
    <w:uiPriority w:val="0"/>
    <w:pPr>
      <w:widowControl/>
      <w:spacing w:line="440" w:lineRule="exact"/>
      <w:ind w:firstLine="480" w:firstLineChars="200"/>
      <w:jc w:val="both"/>
    </w:pPr>
    <w:rPr>
      <w:rFonts w:ascii="新宋体" w:hAnsi="新宋体" w:eastAsia="新宋体" w:cs="新宋体"/>
      <w:kern w:val="0"/>
      <w:sz w:val="24"/>
      <w:szCs w:val="20"/>
      <w:lang w:val="en-US" w:eastAsia="en-US" w:bidi="en-US"/>
    </w:rPr>
  </w:style>
  <w:style w:type="character" w:customStyle="1" w:styleId="26">
    <w:name w:val="标题 1 Char1"/>
    <w:link w:val="2"/>
    <w:autoRedefine/>
    <w:qFormat/>
    <w:uiPriority w:val="0"/>
    <w:rPr>
      <w:rFonts w:ascii="Times New Roman" w:hAnsi="Times New Roman" w:eastAsia="黑体" w:cs="Times New Roman"/>
      <w:b/>
      <w:kern w:val="44"/>
      <w:sz w:val="32"/>
      <w:szCs w:val="24"/>
      <w:lang w:val="en-US" w:eastAsia="zh-CN" w:bidi="ar-SA"/>
    </w:rPr>
  </w:style>
  <w:style w:type="paragraph" w:customStyle="1" w:styleId="27">
    <w:name w:val="Char1"/>
    <w:basedOn w:val="1"/>
    <w:autoRedefine/>
    <w:qFormat/>
    <w:uiPriority w:val="0"/>
    <w:pPr>
      <w:autoSpaceDE w:val="0"/>
      <w:autoSpaceDN w:val="0"/>
      <w:adjustRightInd w:val="0"/>
      <w:snapToGrid w:val="0"/>
      <w:spacing w:before="50" w:after="50"/>
      <w:ind w:firstLine="560" w:firstLineChars="200"/>
    </w:pPr>
    <w:rPr>
      <w:sz w:val="21"/>
      <w:szCs w:val="20"/>
    </w:rPr>
  </w:style>
  <w:style w:type="character" w:customStyle="1" w:styleId="28">
    <w:name w:val="正文文本 + 10.5 pt6"/>
    <w:autoRedefine/>
    <w:qFormat/>
    <w:uiPriority w:val="0"/>
    <w:rPr>
      <w:rFonts w:ascii="宋体" w:hAnsi="宋体" w:eastAsia="宋体" w:cs="宋体"/>
      <w:kern w:val="2"/>
      <w:sz w:val="21"/>
      <w:szCs w:val="21"/>
      <w:u w:val="none"/>
      <w:lang w:val="en-US" w:eastAsia="zh-CN" w:bidi="ar-SA"/>
    </w:rPr>
  </w:style>
  <w:style w:type="character" w:customStyle="1" w:styleId="29">
    <w:name w:val="正文文本_"/>
    <w:link w:val="7"/>
    <w:autoRedefine/>
    <w:qFormat/>
    <w:uiPriority w:val="0"/>
    <w:rPr>
      <w:kern w:val="2"/>
      <w:sz w:val="28"/>
      <w:szCs w:val="24"/>
      <w:lang w:val="en-US" w:eastAsia="zh-CN" w:bidi="ar-SA"/>
    </w:rPr>
  </w:style>
  <w:style w:type="character" w:customStyle="1" w:styleId="30">
    <w:name w:val="正文文本 + Batang19"/>
    <w:autoRedefine/>
    <w:qFormat/>
    <w:uiPriority w:val="0"/>
    <w:rPr>
      <w:rFonts w:ascii="Batang" w:hAnsi="宋体" w:eastAsia="Batang" w:cs="Batang"/>
      <w:kern w:val="2"/>
      <w:sz w:val="19"/>
      <w:szCs w:val="19"/>
      <w:u w:val="none"/>
      <w:lang w:val="en-US" w:eastAsia="en-US" w:bidi="ar-SA"/>
    </w:rPr>
  </w:style>
  <w:style w:type="character" w:customStyle="1" w:styleId="31">
    <w:name w:val="正文文本 + MS Gothic"/>
    <w:autoRedefine/>
    <w:qFormat/>
    <w:uiPriority w:val="0"/>
    <w:rPr>
      <w:rFonts w:ascii="MS Gothic" w:hAnsi="宋体" w:eastAsia="MS Gothic" w:cs="MS Gothic"/>
      <w:spacing w:val="-20"/>
      <w:kern w:val="2"/>
      <w:sz w:val="8"/>
      <w:szCs w:val="8"/>
      <w:u w:val="none"/>
      <w:lang w:val="en-US" w:eastAsia="zh-CN" w:bidi="ar-SA"/>
    </w:rPr>
  </w:style>
  <w:style w:type="character" w:customStyle="1" w:styleId="32">
    <w:name w:val="正文文本 + Batang18"/>
    <w:autoRedefine/>
    <w:qFormat/>
    <w:uiPriority w:val="0"/>
    <w:rPr>
      <w:rFonts w:ascii="Batang" w:hAnsi="宋体" w:eastAsia="Batang" w:cs="Batang"/>
      <w:kern w:val="2"/>
      <w:sz w:val="19"/>
      <w:szCs w:val="19"/>
      <w:u w:val="none"/>
      <w:lang w:val="en-US" w:eastAsia="zh-CN" w:bidi="ar-SA"/>
    </w:rPr>
  </w:style>
  <w:style w:type="paragraph" w:customStyle="1" w:styleId="33">
    <w:name w:val="Table Text"/>
    <w:basedOn w:val="1"/>
    <w:autoRedefine/>
    <w:semiHidden/>
    <w:qFormat/>
    <w:uiPriority w:val="0"/>
    <w:rPr>
      <w:rFonts w:ascii="Constantia" w:hAnsi="Constantia" w:eastAsia="Constantia" w:cs="Constantia"/>
      <w:sz w:val="21"/>
      <w:szCs w:val="21"/>
      <w:lang w:val="en-US" w:eastAsia="en-US" w:bidi="ar-SA"/>
    </w:r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character" w:customStyle="1" w:styleId="35">
    <w:name w:val="标题 3 Char"/>
    <w:link w:val="4"/>
    <w:autoRedefine/>
    <w:qFormat/>
    <w:uiPriority w:val="0"/>
    <w:rPr>
      <w:rFonts w:eastAsia="黑体"/>
      <w:b/>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7.jpe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footnotes" Target="footnotes.xml"/><Relationship Id="rId29" Type="http://schemas.openxmlformats.org/officeDocument/2006/relationships/image" Target="media/image3.png"/><Relationship Id="rId28" Type="http://schemas.openxmlformats.org/officeDocument/2006/relationships/oleObject" Target="embeddings/oleObject2.bin"/><Relationship Id="rId27" Type="http://schemas.openxmlformats.org/officeDocument/2006/relationships/image" Target="media/image2.wmf"/><Relationship Id="rId26" Type="http://schemas.openxmlformats.org/officeDocument/2006/relationships/oleObject" Target="embeddings/oleObject1.bin"/><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0.xml"/><Relationship Id="rId22" Type="http://schemas.openxmlformats.org/officeDocument/2006/relationships/header" Target="header9.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150</Pages>
  <Words>82538</Words>
  <Characters>97407</Characters>
  <Lines>0</Lines>
  <Paragraphs>0</Paragraphs>
  <TotalTime>0</TotalTime>
  <ScaleCrop>false</ScaleCrop>
  <LinksUpToDate>false</LinksUpToDate>
  <CharactersWithSpaces>100002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2023-03-13T03:26:00Z</dcterms:created>
  <dc:creator>Administrator</dc:creator>
  <cp:lastModifiedBy>爱哭的男孩</cp:lastModifiedBy>
  <dcterms:modified xsi:type="dcterms:W3CDTF">2024-06-17T07:23:21Z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B1C61FD6A7CB416B823A93B2F1477084</vt:lpwstr>
  </property>
</Properties>
</file>